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Secondary Antibody Search And Product Series Validation Report</w:t>
      </w:r>
    </w:p>
    <w:p>
      <w:r>
        <w:t/>
      </w:r>
    </w:p>
    <w:p>
      <w:pPr>
        <w:pStyle w:val="Heading2"/>
      </w:pPr>
      <w:r>
        <w:t>Verification Scope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 xml:space="preserve">Search example reviewed: </w:t>
      </w:r>
      <w:r>
        <w:rPr>
          <w:rStyle w:val="Code"/>
          <w:rFonts w:ascii="Courier New" w:hAnsi="Courier New"/>
        </w:rPr>
        <w:t>https://www.thermofisher.com/antibody/secondary/query/*</w:t>
      </w:r>
    </w:p>
    <w:p>
      <w:pPr>
        <w:pStyle w:val="ListParagraph"/>
        <w:ind w:left="360" w:hanging="180"/>
      </w:pPr>
      <w:r>
        <w:t xml:space="preserve">• </w:t>
      </w:r>
      <w:r>
        <w:t xml:space="preserve">Product example reviewed: </w:t>
      </w:r>
      <w:r>
        <w:rPr>
          <w:rStyle w:val="Code"/>
          <w:rFonts w:ascii="Courier New" w:hAnsi="Courier New"/>
        </w:rPr>
        <w:t>https://www.thermofisher.com/antibody/product/Goat-anti-Rabbit-IgG-H-L-Cross-Adsorbed-Secondary-Antibody-Polyclonal/A-11008</w:t>
      </w:r>
    </w:p>
    <w:p>
      <w:pPr>
        <w:pStyle w:val="ListParagraph"/>
        <w:ind w:left="360" w:hanging="180"/>
      </w:pPr>
      <w:r>
        <w:t xml:space="preserve">• </w:t>
      </w:r>
      <w:r>
        <w:t>Repository evidence reviewed through the GitHub connector:</w:t>
      </w:r>
    </w:p>
    <w:p>
      <w:r>
        <w:t xml:space="preserve">  - </w:t>
      </w:r>
      <w:r>
        <w:rPr>
          <w:rStyle w:val="Code"/>
          <w:rFonts w:ascii="Courier New" w:hAnsi="Courier New"/>
        </w:rPr>
        <w:t>thermofisher/magellan-search</w:t>
      </w:r>
    </w:p>
    <w:p>
      <w:r>
        <w:t xml:space="preserve">  - supporting search hits from </w:t>
      </w:r>
      <w:r>
        <w:rPr>
          <w:rStyle w:val="Code"/>
          <w:rFonts w:ascii="Courier New" w:hAnsi="Courier New"/>
        </w:rPr>
        <w:t>thermofisher/magellan-core</w:t>
      </w:r>
    </w:p>
    <w:p>
      <w:r>
        <w:t xml:space="preserve">  - supporting proxy/config search hits from </w:t>
      </w:r>
      <w:r>
        <w:rPr>
          <w:rStyle w:val="Code"/>
          <w:rFonts w:ascii="Courier New" w:hAnsi="Courier New"/>
        </w:rPr>
        <w:t>thermofisher/tfcom-magellan-proxy</w:t>
      </w:r>
    </w:p>
    <w:p>
      <w:pPr>
        <w:pStyle w:val="ListParagraph"/>
        <w:ind w:left="360" w:hanging="180"/>
      </w:pPr>
      <w:r>
        <w:t xml:space="preserve">• </w:t>
      </w:r>
      <w:r>
        <w:t>Prompt mode requested: multi-repo.</w:t>
      </w:r>
    </w:p>
    <w:p>
      <w:pPr>
        <w:pStyle w:val="ListParagraph"/>
        <w:ind w:left="360" w:hanging="180"/>
      </w:pPr>
      <w:r>
        <w:t xml:space="preserve">• </w:t>
      </w:r>
      <w:r>
        <w:t xml:space="preserve">Important limitation: the GitHub connector can search installed Thermo Fisher repositories and fetch source files, but it does not expose the exact repository list for the </w:t>
      </w:r>
      <w:r>
        <w:rPr>
          <w:rStyle w:val="Code"/>
          <w:rFonts w:ascii="Courier New" w:hAnsi="Courier New"/>
        </w:rPr>
        <w:t>de-magellan</w:t>
      </w:r>
      <w:r>
        <w:t xml:space="preserve"> team URL as a team-membership listing. The report therefore validates against accessible installed Magellan repository evidence, not a formally complete team-repository inventory.</w:t>
      </w:r>
    </w:p>
    <w:p>
      <w:r>
        <w:t/>
      </w:r>
    </w:p>
    <w:p>
      <w:pPr>
        <w:pStyle w:val="Heading2"/>
      </w:pPr>
      <w:r>
        <w:t>Overall Assessment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secondary antibody search rules are directionally correct and are supported by the Magellan search implementation.</w:t>
      </w:r>
    </w:p>
    <w:p>
      <w:pPr>
        <w:pStyle w:val="ListParagraph"/>
        <w:ind w:left="360" w:hanging="180"/>
      </w:pPr>
      <w:r>
        <w:t xml:space="preserve">• </w:t>
      </w:r>
      <w:r>
        <w:t>The secondary antibody PDP rules are mostly correct for product identity, title/header behavior, package selection, commerce card visibility, specifications, target information, references, Q&amp;A enablement, and related-antibody display.</w:t>
      </w:r>
    </w:p>
    <w:p>
      <w:pPr>
        <w:pStyle w:val="ListParagraph"/>
        <w:ind w:left="360" w:hanging="180"/>
      </w:pPr>
      <w:r>
        <w:t xml:space="preserve">• </w:t>
      </w:r>
      <w:r>
        <w:t>The live A-11008 PDP confirms the product is a Secondary Antibody PDP and displays published figures, Questions &amp; Answers, product image gallery, product-specific information, target information, references, performance guarantee, and support sections.</w:t>
      </w:r>
    </w:p>
    <w:p>
      <w:pPr>
        <w:pStyle w:val="ListParagraph"/>
        <w:ind w:left="360" w:hanging="180"/>
      </w:pPr>
      <w:r>
        <w:t xml:space="preserve">• </w:t>
      </w:r>
      <w:r>
        <w:t>The live A-11008 PDP shows References (0) while also showing 83 Published Figures, so references and published figures must remain separate rule areas.</w:t>
      </w:r>
    </w:p>
    <w:p>
      <w:pPr>
        <w:pStyle w:val="ListParagraph"/>
        <w:ind w:left="360" w:hanging="180"/>
      </w:pPr>
      <w:r>
        <w:t xml:space="preserve">• </w:t>
      </w:r>
      <w:r>
        <w:t>Bioinformatics should be treated carefully for secondary antibodies. The legacy template explicitly suppresses alias and ID fields for Secondary Antibody, and the reviewed live page did not show a Bioinformatics section.</w:t>
      </w:r>
    </w:p>
    <w:p>
      <w:pPr>
        <w:pStyle w:val="ListParagraph"/>
        <w:ind w:left="360" w:hanging="180"/>
      </w:pPr>
      <w:r>
        <w:t xml:space="preserve">• </w:t>
      </w:r>
      <w:r>
        <w:t xml:space="preserve">Detailed Q&amp;A ranking/matching rules should not be treated as fully verified from </w:t>
      </w:r>
      <w:r>
        <w:rPr>
          <w:rStyle w:val="Code"/>
          <w:rFonts w:ascii="Courier New" w:hAnsi="Courier New"/>
        </w:rPr>
        <w:t>magellan-search</w:t>
      </w:r>
      <w:r>
        <w:t xml:space="preserve"> alone; those require the Q&amp;A service repository.</w:t>
      </w:r>
    </w:p>
    <w:p>
      <w:pPr>
        <w:pStyle w:val="ListParagraph"/>
        <w:ind w:left="360" w:hanging="180"/>
      </w:pPr>
      <w:r>
        <w:t xml:space="preserve">• </w:t>
      </w:r>
      <w:r>
        <w:t>Dynamic price, Add to Cart, and availability outcomes require browser execution and commerce-service responses because static HTML does not prove final runtime state.</w:t>
      </w:r>
    </w:p>
    <w:p>
      <w:r>
        <w:t/>
      </w:r>
    </w:p>
    <w:p>
      <w:pPr>
        <w:pStyle w:val="Heading2"/>
      </w:pPr>
      <w:r>
        <w:t>Search Page Validation</w:t>
      </w:r>
    </w:p>
    <w:p>
      <w:r>
        <w:t/>
      </w:r>
    </w:p>
    <w:p>
      <w:pPr>
        <w:pStyle w:val="Heading3"/>
      </w:pPr>
      <w:r>
        <w:t>Confirmed Or Repository-Backed Rules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Secondary antibody search applies a product subtype filter for Secondary Antibody.</w:t>
      </w:r>
    </w:p>
    <w:p>
      <w:pPr>
        <w:pStyle w:val="ListParagraph"/>
        <w:ind w:left="360" w:hanging="180"/>
      </w:pPr>
      <w:r>
        <w:t xml:space="preserve">• </w:t>
      </w:r>
      <w:r>
        <w:t>The secondary antibody search chain applies search-status and entitlement filters.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uses a secondary antibody collection setting.</w:t>
      </w:r>
    </w:p>
    <w:p>
      <w:pPr>
        <w:pStyle w:val="ListParagraph"/>
        <w:ind w:left="360" w:hanging="180"/>
      </w:pPr>
      <w:r>
        <w:t xml:space="preserve">• </w:t>
      </w:r>
      <w:r>
        <w:t>Secondary antibody result rows include Product, Images, Host, Target Species, Conjugate, Application, Price, and Compare columns.</w:t>
      </w:r>
    </w:p>
    <w:p>
      <w:pPr>
        <w:pStyle w:val="ListParagraph"/>
        <w:ind w:left="360" w:hanging="180"/>
      </w:pPr>
      <w:r>
        <w:t xml:space="preserve">• </w:t>
      </w:r>
      <w:r>
        <w:t>Search result rows display package-size behavior differently for multi-package and single-package products.</w:t>
      </w:r>
    </w:p>
    <w:p>
      <w:pPr>
        <w:pStyle w:val="ListParagraph"/>
        <w:ind w:left="360" w:hanging="180"/>
      </w:pPr>
      <w:r>
        <w:t xml:space="preserve">• </w:t>
      </w:r>
      <w:r>
        <w:t>The search page fetches antibody prices after page load.</w:t>
      </w:r>
    </w:p>
    <w:p>
      <w:pPr>
        <w:pStyle w:val="ListParagraph"/>
        <w:ind w:left="360" w:hanging="180"/>
      </w:pPr>
      <w:r>
        <w:t xml:space="preserve">• </w:t>
      </w:r>
      <w:r>
        <w:t>References on result rows are shown only when reference count is greater than zero and reference-count display is enabled.</w:t>
      </w:r>
    </w:p>
    <w:p>
      <w:pPr>
        <w:pStyle w:val="ListParagraph"/>
        <w:ind w:left="360" w:hanging="180"/>
      </w:pPr>
      <w:r>
        <w:t xml:space="preserve">• </w:t>
      </w:r>
      <w:r>
        <w:t>Advanced Verification is shown only when the product is target verified and advanced-verification display is enabled.</w:t>
      </w:r>
    </w:p>
    <w:p>
      <w:pPr>
        <w:pStyle w:val="ListParagraph"/>
        <w:ind w:left="360" w:hanging="180"/>
      </w:pPr>
      <w:r>
        <w:t xml:space="preserve">• </w:t>
      </w:r>
      <w:r>
        <w:t>Green badge display is conditional on both feature enablement and product green-badge data.</w:t>
      </w:r>
    </w:p>
    <w:p>
      <w:pPr>
        <w:pStyle w:val="ListParagraph"/>
        <w:ind w:left="360" w:hanging="180"/>
      </w:pPr>
      <w:r>
        <w:t xml:space="preserve">• </w:t>
      </w:r>
      <w:r>
        <w:t>Secondary antibody is configured with spell-check behavior.</w:t>
      </w:r>
    </w:p>
    <w:p>
      <w:pPr>
        <w:pStyle w:val="ListParagraph"/>
        <w:ind w:left="360" w:hanging="180"/>
      </w:pPr>
      <w:r>
        <w:t xml:space="preserve">• </w:t>
      </w:r>
      <w:r>
        <w:t>Secondary antibody is configured with alternate-search behavior across other antibody-related subtypes and ELISA.</w:t>
      </w:r>
    </w:p>
    <w:p>
      <w:r>
        <w:t/>
      </w:r>
    </w:p>
    <w:p>
      <w:pPr>
        <w:pStyle w:val="Heading3"/>
      </w:pPr>
      <w:r>
        <w:t>Search Rules That Need Runtime Validation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Compare selection limits and exact compare panel behavior should be validated in the browser.</w:t>
      </w:r>
    </w:p>
    <w:p>
      <w:pPr>
        <w:pStyle w:val="ListParagraph"/>
        <w:ind w:left="360" w:hanging="180"/>
      </w:pPr>
      <w:r>
        <w:t xml:space="preserve">• </w:t>
      </w:r>
      <w:r>
        <w:t>Filter application, Clear All, Reset, sort changes, and Load More should be validated with Playwright against the current production bundle.</w:t>
      </w:r>
    </w:p>
    <w:p>
      <w:pPr>
        <w:pStyle w:val="ListParagraph"/>
        <w:ind w:left="360" w:hanging="180"/>
      </w:pPr>
      <w:r>
        <w:t xml:space="preserve">• </w:t>
      </w:r>
      <w:r>
        <w:t>Typeahead behavior should be validated separately because the subtype configuration marks secondary antibody GSH typeahead as false, while older legacy code contains secondary typeahead paths.</w:t>
      </w:r>
    </w:p>
    <w:p>
      <w:pPr>
        <w:pStyle w:val="ListParagraph"/>
        <w:ind w:left="360" w:hanging="180"/>
      </w:pPr>
      <w:r>
        <w:t xml:space="preserve">• </w:t>
      </w:r>
      <w:r>
        <w:t>FisherSci price behavior and batch pricing should be validated with the active runtime configuration and API responses.</w:t>
      </w:r>
    </w:p>
    <w:p>
      <w:r>
        <w:t/>
      </w:r>
    </w:p>
    <w:p>
      <w:pPr>
        <w:pStyle w:val="Heading2"/>
      </w:pPr>
      <w:r>
        <w:t>Product Page Validation</w:t>
      </w:r>
    </w:p>
    <w:p>
      <w:r>
        <w:t/>
      </w:r>
    </w:p>
    <w:p>
      <w:pPr>
        <w:pStyle w:val="Heading3"/>
      </w:pPr>
      <w:r>
        <w:t>Confirmed On The Live Product Page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live PDP title is Goat anti-Rabbit IgG (H+L) Cross-Adsorbed Secondary Antibody, Alexa Fluor 488.</w:t>
      </w:r>
    </w:p>
    <w:p>
      <w:pPr>
        <w:pStyle w:val="ListParagraph"/>
        <w:ind w:left="360" w:hanging="180"/>
      </w:pPr>
      <w:r>
        <w:t xml:space="preserve">• </w:t>
      </w:r>
      <w:r>
        <w:t>The live PDP is for catalog number A-11008.</w:t>
      </w:r>
    </w:p>
    <w:p>
      <w:pPr>
        <w:pStyle w:val="ListParagraph"/>
        <w:ind w:left="360" w:hanging="180"/>
      </w:pPr>
      <w:r>
        <w:t xml:space="preserve">• </w:t>
      </w:r>
      <w:r>
        <w:t>The live PDP breadcrumb/category identifies Secondary Antibodies.</w:t>
      </w:r>
    </w:p>
    <w:p>
      <w:pPr>
        <w:pStyle w:val="ListParagraph"/>
        <w:ind w:left="360" w:hanging="180"/>
      </w:pPr>
      <w:r>
        <w:t xml:space="preserve">• </w:t>
      </w:r>
      <w:r>
        <w:t>The page displays a related higher-specification reagent message near the product title for catalog A32731.</w:t>
      </w:r>
    </w:p>
    <w:p>
      <w:pPr>
        <w:pStyle w:val="ListParagraph"/>
        <w:ind w:left="360" w:hanging="180"/>
      </w:pPr>
      <w:r>
        <w:t xml:space="preserve">• </w:t>
      </w:r>
      <w:r>
        <w:t>The page displays 83 Published Figures.</w:t>
      </w:r>
    </w:p>
    <w:p>
      <w:pPr>
        <w:pStyle w:val="ListParagraph"/>
        <w:ind w:left="360" w:hanging="180"/>
      </w:pPr>
      <w:r>
        <w:t xml:space="preserve">• </w:t>
      </w:r>
      <w:r>
        <w:t>The page displays "View all (249) Goat anti-Rabbit IgG antibodies".</w:t>
      </w:r>
    </w:p>
    <w:p>
      <w:pPr>
        <w:pStyle w:val="ListParagraph"/>
        <w:ind w:left="360" w:hanging="180"/>
      </w:pPr>
      <w:r>
        <w:t xml:space="preserve">• </w:t>
      </w:r>
      <w:r>
        <w:t>The page displays Datasheet, Certificates, Questions &amp; Answers, and Tech Support actions.</w:t>
      </w:r>
    </w:p>
    <w:p>
      <w:pPr>
        <w:pStyle w:val="ListParagraph"/>
        <w:ind w:left="360" w:hanging="180"/>
      </w:pPr>
      <w:r>
        <w:t xml:space="preserve">• </w:t>
      </w:r>
      <w:r>
        <w:t>The page includes citation text using product name, Thermo Fisher Scientific, catalog number A-11008, and RRID AB_143165.</w:t>
      </w:r>
    </w:p>
    <w:p>
      <w:pPr>
        <w:pStyle w:val="ListParagraph"/>
        <w:ind w:left="360" w:hanging="180"/>
      </w:pPr>
      <w:r>
        <w:t xml:space="preserve">• </w:t>
      </w:r>
      <w:r>
        <w:t>The image gallery is present and includes antibody testing data and published-figure content.</w:t>
      </w:r>
    </w:p>
    <w:p>
      <w:pPr>
        <w:pStyle w:val="ListParagraph"/>
        <w:ind w:left="360" w:hanging="180"/>
      </w:pPr>
      <w:r>
        <w:t xml:space="preserve">• </w:t>
      </w:r>
      <w:r>
        <w:t>The page displays Target Information.</w:t>
      </w:r>
    </w:p>
    <w:p>
      <w:pPr>
        <w:pStyle w:val="ListParagraph"/>
        <w:ind w:left="360" w:hanging="180"/>
      </w:pPr>
      <w:r>
        <w:t xml:space="preserve">• </w:t>
      </w:r>
      <w:r>
        <w:t>The page displays References (0).</w:t>
      </w:r>
    </w:p>
    <w:p>
      <w:pPr>
        <w:pStyle w:val="ListParagraph"/>
        <w:ind w:left="360" w:hanging="180"/>
      </w:pPr>
      <w:r>
        <w:t xml:space="preserve">• </w:t>
      </w:r>
      <w:r>
        <w:t>The page asks users to report publications citing the product when references are zero.</w:t>
      </w:r>
    </w:p>
    <w:p>
      <w:pPr>
        <w:pStyle w:val="ListParagraph"/>
        <w:ind w:left="360" w:hanging="180"/>
      </w:pPr>
      <w:r>
        <w:t xml:space="preserve">• </w:t>
      </w:r>
      <w:r>
        <w:t>The page includes a Cite this product action.</w:t>
      </w:r>
    </w:p>
    <w:p>
      <w:pPr>
        <w:pStyle w:val="ListParagraph"/>
        <w:ind w:left="360" w:hanging="180"/>
      </w:pPr>
      <w:r>
        <w:t xml:space="preserve">• </w:t>
      </w:r>
      <w:r>
        <w:t>The page displays a BenchSci disclaimer for third-party scientific content.</w:t>
      </w:r>
    </w:p>
    <w:p>
      <w:pPr>
        <w:pStyle w:val="ListParagraph"/>
        <w:ind w:left="360" w:hanging="180"/>
      </w:pPr>
      <w:r>
        <w:t xml:space="preserve">• </w:t>
      </w:r>
      <w:r>
        <w:t>The page displays Performance Guarantee and We're here to help support sections.</w:t>
      </w:r>
    </w:p>
    <w:p>
      <w:r>
        <w:t/>
      </w:r>
    </w:p>
    <w:p>
      <w:pPr>
        <w:pStyle w:val="Heading3"/>
      </w:pPr>
      <w:r>
        <w:t>Product Rules Confirmed By Repository Logic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 xml:space="preserve">Secondary antibody PDPs use the secondary subtype path </w:t>
      </w:r>
      <w:r>
        <w:rPr>
          <w:rStyle w:val="Code"/>
          <w:rFonts w:ascii="Courier New" w:hAnsi="Courier New"/>
        </w:rPr>
        <w:t>/antibody/secondary</w:t>
      </w:r>
      <w:r>
        <w:t>.</w:t>
      </w:r>
    </w:p>
    <w:p>
      <w:pPr>
        <w:pStyle w:val="ListParagraph"/>
        <w:ind w:left="360" w:hanging="180"/>
      </w:pPr>
      <w:r>
        <w:t xml:space="preserve">• </w:t>
      </w:r>
      <w:r>
        <w:t>Secondary antibody related-antibody display is always enabled in the secondary antibody PDP view model.</w:t>
      </w:r>
    </w:p>
    <w:p>
      <w:pPr>
        <w:pStyle w:val="ListParagraph"/>
        <w:ind w:left="360" w:hanging="180"/>
      </w:pPr>
      <w:r>
        <w:t xml:space="preserve">• </w:t>
      </w:r>
      <w:r>
        <w:t>Secondary antibody related-antibody links include See all Secondary Antibodies, Epitope tag antibodies, and Loading isotype controls.</w:t>
      </w:r>
    </w:p>
    <w:p>
      <w:pPr>
        <w:pStyle w:val="ListParagraph"/>
        <w:ind w:left="360" w:hanging="180"/>
      </w:pPr>
      <w:r>
        <w:t xml:space="preserve">• </w:t>
      </w:r>
      <w:r>
        <w:t>Q&amp;A display requires global Q&amp;A enablement and subtype enablement.</w:t>
      </w:r>
    </w:p>
    <w:p>
      <w:pPr>
        <w:pStyle w:val="ListParagraph"/>
        <w:ind w:left="360" w:hanging="180"/>
      </w:pPr>
      <w:r>
        <w:t xml:space="preserve">• </w:t>
      </w:r>
      <w:r>
        <w:t>Secondary Antibody is configured as Q&amp;A-enabled.</w:t>
      </w:r>
    </w:p>
    <w:p>
      <w:pPr>
        <w:pStyle w:val="ListParagraph"/>
        <w:ind w:left="360" w:hanging="180"/>
      </w:pPr>
      <w:r>
        <w:t xml:space="preserve">• </w:t>
      </w:r>
      <w:r>
        <w:t>Q&amp;A country enablement is limited to configured countries, currently US and CA.</w:t>
      </w:r>
    </w:p>
    <w:p>
      <w:pPr>
        <w:pStyle w:val="ListParagraph"/>
        <w:ind w:left="360" w:hanging="180"/>
      </w:pPr>
      <w:r>
        <w:t xml:space="preserve">• </w:t>
      </w:r>
      <w:r>
        <w:t>Related-products display requires global related-products enablement and subtype enablement.</w:t>
      </w:r>
    </w:p>
    <w:p>
      <w:pPr>
        <w:pStyle w:val="ListParagraph"/>
        <w:ind w:left="360" w:hanging="180"/>
      </w:pPr>
      <w:r>
        <w:t xml:space="preserve">• </w:t>
      </w:r>
      <w:r>
        <w:t>Secondary Antibody is configured as related-products-enabled.</w:t>
      </w:r>
    </w:p>
    <w:p>
      <w:pPr>
        <w:pStyle w:val="ListParagraph"/>
        <w:ind w:left="360" w:hanging="180"/>
      </w:pPr>
      <w:r>
        <w:t xml:space="preserve">• </w:t>
      </w:r>
      <w:r>
        <w:t>Product specifications are included only when the corresponding product values exist.</w:t>
      </w:r>
    </w:p>
    <w:p>
      <w:pPr>
        <w:pStyle w:val="ListParagraph"/>
        <w:ind w:left="360" w:hanging="180"/>
      </w:pPr>
      <w:r>
        <w:t xml:space="preserve">• </w:t>
      </w:r>
      <w:r>
        <w:t>Secondary antibody target-specific fields include Target, Cross Adsorption, and Antibody Form when present.</w:t>
      </w:r>
    </w:p>
    <w:p>
      <w:pPr>
        <w:pStyle w:val="ListParagraph"/>
        <w:ind w:left="360" w:hanging="180"/>
      </w:pPr>
      <w:r>
        <w:t xml:space="preserve">• </w:t>
      </w:r>
      <w:r>
        <w:t>Shipping Condition is shown only when enabled and when the value exists.</w:t>
      </w:r>
    </w:p>
    <w:p>
      <w:pPr>
        <w:pStyle w:val="ListParagraph"/>
        <w:ind w:left="360" w:hanging="180"/>
      </w:pPr>
      <w:r>
        <w:t xml:space="preserve">• </w:t>
      </w:r>
      <w:r>
        <w:t>Tech Support modal display is subtype and country gated.</w:t>
      </w:r>
    </w:p>
    <w:p>
      <w:r>
        <w:t/>
      </w:r>
    </w:p>
    <w:p>
      <w:pPr>
        <w:pStyle w:val="Heading3"/>
      </w:pPr>
      <w:r>
        <w:t>Product Rules That Need Runtime Validation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Final displayed price requires pricing API execution.</w:t>
      </w:r>
    </w:p>
    <w:p>
      <w:pPr>
        <w:pStyle w:val="ListParagraph"/>
        <w:ind w:left="360" w:hanging="180"/>
      </w:pPr>
      <w:r>
        <w:t xml:space="preserve">• </w:t>
      </w:r>
      <w:r>
        <w:t>Final Add to Cart availability requires selected package, entitlement, search status, pricing action, long-term-unavailable state, discontinued state, and runtime API response.</w:t>
      </w:r>
    </w:p>
    <w:p>
      <w:pPr>
        <w:pStyle w:val="ListParagraph"/>
        <w:ind w:left="360" w:hanging="180"/>
      </w:pPr>
      <w:r>
        <w:t xml:space="preserve">• </w:t>
      </w:r>
      <w:r>
        <w:t>Availability details require country/login context and availability API response.</w:t>
      </w:r>
    </w:p>
    <w:p>
      <w:pPr>
        <w:pStyle w:val="ListParagraph"/>
        <w:ind w:left="360" w:hanging="180"/>
      </w:pPr>
      <w:r>
        <w:t xml:space="preserve">• </w:t>
      </w:r>
      <w:r>
        <w:t>Package switching should be tested to confirm banner, price, availability, data sheet, and SKU updates for the selected package.</w:t>
      </w:r>
    </w:p>
    <w:p>
      <w:pPr>
        <w:pStyle w:val="ListParagraph"/>
        <w:ind w:left="360" w:hanging="180"/>
      </w:pPr>
      <w:r>
        <w:t xml:space="preserve">• </w:t>
      </w:r>
      <w:r>
        <w:t>Q&amp;A widget loading should be tested in US and CA contexts and outside enabled countries.</w:t>
      </w:r>
    </w:p>
    <w:p>
      <w:pPr>
        <w:pStyle w:val="ListParagraph"/>
        <w:ind w:left="360" w:hanging="180"/>
      </w:pPr>
      <w:r>
        <w:t xml:space="preserve">• </w:t>
      </w:r>
      <w:r>
        <w:t>Related-products widget loading should be tested to confirm whether V2 widget output is visible and whether legacy links are still present.</w:t>
      </w:r>
    </w:p>
    <w:p>
      <w:pPr>
        <w:pStyle w:val="ListParagraph"/>
        <w:ind w:left="360" w:hanging="180"/>
      </w:pPr>
      <w:r>
        <w:t xml:space="preserve">• </w:t>
      </w:r>
      <w:r>
        <w:t>Product-specific banner behavior should be tested for available, temporarily unavailable, discontinued, replaced, and long-term-unavailable secondary antibody SKUs.</w:t>
      </w:r>
    </w:p>
    <w:p>
      <w:r>
        <w:t/>
      </w:r>
    </w:p>
    <w:p>
      <w:pPr>
        <w:pStyle w:val="Heading2"/>
      </w:pPr>
      <w:r>
        <w:t>Bioinformatics Validation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requested Bioinformatics area was reviewed in the PDP source.</w:t>
      </w:r>
    </w:p>
    <w:p>
      <w:pPr>
        <w:pStyle w:val="ListParagraph"/>
        <w:ind w:left="360" w:hanging="180"/>
      </w:pPr>
      <w:r>
        <w:t xml:space="preserve">• </w:t>
      </w:r>
      <w:r>
        <w:t>The legacy PDP Bioinformatics template can display Panther and GO function/process links when annotation data exists.</w:t>
      </w:r>
    </w:p>
    <w:p>
      <w:pPr>
        <w:pStyle w:val="ListParagraph"/>
        <w:ind w:left="360" w:hanging="180"/>
      </w:pPr>
      <w:r>
        <w:t xml:space="preserve">• </w:t>
      </w:r>
      <w:r>
        <w:t>For Secondary Antibody products, the legacy template suppresses Protein Aliases, Gene Aliases, UniProt ID, and Entrez Gene ID.</w:t>
      </w:r>
    </w:p>
    <w:p>
      <w:pPr>
        <w:pStyle w:val="ListParagraph"/>
        <w:ind w:left="360" w:hanging="180"/>
      </w:pPr>
      <w:r>
        <w:t xml:space="preserve">• </w:t>
      </w:r>
      <w:r>
        <w:t>In the shared view model, alias and ID display requires the product subtype to be Bioinformatics-enabled.</w:t>
      </w:r>
    </w:p>
    <w:p>
      <w:pPr>
        <w:pStyle w:val="ListParagraph"/>
        <w:ind w:left="360" w:hanging="180"/>
      </w:pPr>
      <w:r>
        <w:t xml:space="preserve">• </w:t>
      </w:r>
      <w:r>
        <w:t>Secondary Antibody does not enable the Bioinformatics display flag in the reviewed subtype configuration.</w:t>
      </w:r>
    </w:p>
    <w:p>
      <w:pPr>
        <w:pStyle w:val="ListParagraph"/>
        <w:ind w:left="360" w:hanging="180"/>
      </w:pPr>
      <w:r>
        <w:t xml:space="preserve">• </w:t>
      </w:r>
      <w:r>
        <w:t>The live A-11008 PDP did not show a Bioinformatics section in the static page content.</w:t>
      </w:r>
    </w:p>
    <w:p>
      <w:pPr>
        <w:pStyle w:val="ListParagraph"/>
        <w:ind w:left="360" w:hanging="180"/>
      </w:pPr>
      <w:r>
        <w:t xml:space="preserve">• </w:t>
      </w:r>
      <w:r>
        <w:t>Recommendation: keep Bioinformatics rules conditional and avoid copying primary-antibody Bioinformatics rules into secondary-antibody rule sets.</w:t>
      </w:r>
    </w:p>
    <w:p>
      <w:r>
        <w:t/>
      </w:r>
    </w:p>
    <w:p>
      <w:pPr>
        <w:pStyle w:val="Heading2"/>
      </w:pPr>
      <w:r>
        <w:t>Correctness Review Of Captured Rule Areas</w:t>
      </w:r>
    </w:p>
    <w:p>
      <w:r>
        <w:t/>
      </w:r>
    </w:p>
    <w:p>
      <w:pPr>
        <w:pStyle w:val="Heading3"/>
      </w:pPr>
      <w:r>
        <w:t>Correct To Keep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Secondary search must be restricted to Secondary Antibody products.</w:t>
      </w:r>
    </w:p>
    <w:p>
      <w:pPr>
        <w:pStyle w:val="ListParagraph"/>
        <w:ind w:left="360" w:hanging="180"/>
      </w:pPr>
      <w:r>
        <w:t xml:space="preserve">• </w:t>
      </w:r>
      <w:r>
        <w:t>Secondary search must apply search-status and entitlement rules.</w:t>
      </w:r>
    </w:p>
    <w:p>
      <w:pPr>
        <w:pStyle w:val="ListParagraph"/>
        <w:ind w:left="360" w:hanging="180"/>
      </w:pPr>
      <w:r>
        <w:t xml:space="preserve">• </w:t>
      </w:r>
      <w:r>
        <w:t>Search result columns for secondary antibody should include product, images, host, target species, conjugate, application, price, and compare.</w:t>
      </w:r>
    </w:p>
    <w:p>
      <w:pPr>
        <w:pStyle w:val="ListParagraph"/>
        <w:ind w:left="360" w:hanging="180"/>
      </w:pPr>
      <w:r>
        <w:t xml:space="preserve">• </w:t>
      </w:r>
      <w:r>
        <w:t>Result-row references and advanced-verification links are conditional.</w:t>
      </w:r>
    </w:p>
    <w:p>
      <w:pPr>
        <w:pStyle w:val="ListParagraph"/>
        <w:ind w:left="360" w:hanging="180"/>
      </w:pPr>
      <w:r>
        <w:t xml:space="preserve">• </w:t>
      </w:r>
      <w:r>
        <w:t>Product specifications should display only populated values.</w:t>
      </w:r>
    </w:p>
    <w:p>
      <w:pPr>
        <w:pStyle w:val="ListParagraph"/>
        <w:ind w:left="360" w:hanging="180"/>
      </w:pPr>
      <w:r>
        <w:t xml:space="preserve">• </w:t>
      </w:r>
      <w:r>
        <w:t>Secondary antibody-specific specification fields should include Target, Cross Adsorption, and Antibody Form when present.</w:t>
      </w:r>
    </w:p>
    <w:p>
      <w:pPr>
        <w:pStyle w:val="ListParagraph"/>
        <w:ind w:left="360" w:hanging="180"/>
      </w:pPr>
      <w:r>
        <w:t xml:space="preserve">• </w:t>
      </w:r>
      <w:r>
        <w:t>Q&amp;A should be documented as subtype-enabled, country-gated, and configuration-gated.</w:t>
      </w:r>
    </w:p>
    <w:p>
      <w:pPr>
        <w:pStyle w:val="ListParagraph"/>
        <w:ind w:left="360" w:hanging="180"/>
      </w:pPr>
      <w:r>
        <w:t xml:space="preserve">• </w:t>
      </w:r>
      <w:r>
        <w:t>Related antibody display should be documented as enabled for secondary PDPs.</w:t>
      </w:r>
    </w:p>
    <w:p>
      <w:pPr>
        <w:pStyle w:val="ListParagraph"/>
        <w:ind w:left="360" w:hanging="180"/>
      </w:pPr>
      <w:r>
        <w:t xml:space="preserve">• </w:t>
      </w:r>
      <w:r>
        <w:t>References and published figures should be documented as separate behaviors.</w:t>
      </w:r>
    </w:p>
    <w:p>
      <w:r>
        <w:t/>
      </w:r>
    </w:p>
    <w:p>
      <w:pPr>
        <w:pStyle w:val="Heading3"/>
      </w:pPr>
      <w:r>
        <w:t>Correct To Remove Or Reword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Do not state that every secondary antibody PDP shows Bioinformatics.</w:t>
      </w:r>
    </w:p>
    <w:p>
      <w:pPr>
        <w:pStyle w:val="ListParagraph"/>
        <w:ind w:left="360" w:hanging="180"/>
      </w:pPr>
      <w:r>
        <w:t xml:space="preserve">• </w:t>
      </w:r>
      <w:r>
        <w:t>Do not state detailed Q&amp;A sorting, matching, and fallback rules unless the Q&amp;A service repository is reviewed.</w:t>
      </w:r>
    </w:p>
    <w:p>
      <w:pPr>
        <w:pStyle w:val="ListParagraph"/>
        <w:ind w:left="360" w:hanging="180"/>
      </w:pPr>
      <w:r>
        <w:t xml:space="preserve">• </w:t>
      </w:r>
      <w:r>
        <w:t>Do not state final price or availability outcomes from static page HTML alone.</w:t>
      </w:r>
    </w:p>
    <w:p>
      <w:pPr>
        <w:pStyle w:val="ListParagraph"/>
        <w:ind w:left="360" w:hanging="180"/>
      </w:pPr>
      <w:r>
        <w:t xml:space="preserve">• </w:t>
      </w:r>
      <w:r>
        <w:t>Do not state that secondary typeahead is active without verifying the current runtime path.</w:t>
      </w:r>
    </w:p>
    <w:p>
      <w:pPr>
        <w:pStyle w:val="ListParagraph"/>
        <w:ind w:left="360" w:hanging="180"/>
      </w:pPr>
      <w:r>
        <w:t xml:space="preserve">• </w:t>
      </w:r>
      <w:r>
        <w:t>Do not merge Related Products and Related Antibodies as one behavior; the reviewed secondary PDP code contains fixed related-antibody links, while the related-products widget is separately feature-flagged.</w:t>
      </w:r>
    </w:p>
    <w:p>
      <w:r>
        <w:t/>
      </w:r>
    </w:p>
    <w:p>
      <w:pPr>
        <w:pStyle w:val="Heading2"/>
      </w:pPr>
      <w:r>
        <w:t>Suggested Improvements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Add a traceability appendix to future rule documents with one row per rule: rule, repo evidence, page evidence, and validation status.</w:t>
      </w:r>
    </w:p>
    <w:p>
      <w:pPr>
        <w:pStyle w:val="ListParagraph"/>
        <w:ind w:left="360" w:hanging="180"/>
      </w:pPr>
      <w:r>
        <w:t xml:space="preserve">• </w:t>
      </w:r>
      <w:r>
        <w:t>Run Playwright tests for search filters, sort, Load More, compare selection, package-size selection, price refresh, availability refresh, Q&amp;A widget, related-products widget, and banner changes.</w:t>
      </w:r>
    </w:p>
    <w:p>
      <w:pPr>
        <w:pStyle w:val="ListParagraph"/>
        <w:ind w:left="360" w:hanging="180"/>
      </w:pPr>
      <w:r>
        <w:t xml:space="preserve">• </w:t>
      </w:r>
      <w:r>
        <w:t>Test anonymous and signed-in commerce states because price and availability behavior changes by login state.</w:t>
      </w:r>
    </w:p>
    <w:p>
      <w:pPr>
        <w:pStyle w:val="ListParagraph"/>
        <w:ind w:left="360" w:hanging="180"/>
      </w:pPr>
      <w:r>
        <w:t xml:space="preserve">• </w:t>
      </w:r>
      <w:r>
        <w:t>Test US, CA, CN, KR, and a country outside enabled availability lists to confirm country-specific behavior.</w:t>
      </w:r>
    </w:p>
    <w:p>
      <w:pPr>
        <w:pStyle w:val="ListParagraph"/>
        <w:ind w:left="360" w:hanging="180"/>
      </w:pPr>
      <w:r>
        <w:t xml:space="preserve">• </w:t>
      </w:r>
      <w:r>
        <w:t>Test a secondary antibody PDP with nonzero references to validate reference-card fields and sorting.</w:t>
      </w:r>
    </w:p>
    <w:p>
      <w:pPr>
        <w:pStyle w:val="ListParagraph"/>
        <w:ind w:left="360" w:hanging="180"/>
      </w:pPr>
      <w:r>
        <w:t xml:space="preserve">• </w:t>
      </w:r>
      <w:r>
        <w:t>Test a secondary antibody PDP with visible Bioinformatics data, if one exists, before adding stronger Bioinformatics rules.</w:t>
      </w:r>
    </w:p>
    <w:p>
      <w:pPr>
        <w:pStyle w:val="ListParagraph"/>
        <w:ind w:left="360" w:hanging="180"/>
      </w:pPr>
      <w:r>
        <w:t xml:space="preserve">• </w:t>
      </w:r>
      <w:r>
        <w:t>Test long-term-unavailable and discontinued secondary antibody products to validate banner and commerce-action states.</w:t>
      </w:r>
    </w:p>
    <w:p>
      <w:pPr>
        <w:pStyle w:val="ListParagraph"/>
        <w:ind w:left="360" w:hanging="180"/>
      </w:pPr>
      <w:r>
        <w:t xml:space="preserve">• </w:t>
      </w:r>
      <w:r>
        <w:t>Confirm whether the production bundle uses the legacy JSP commerce card or the newer common product-order component for all secondary antibody PDP traffic.</w:t>
      </w:r>
    </w:p>
    <w:p>
      <w:pPr>
        <w:pStyle w:val="ListParagraph"/>
        <w:ind w:left="360" w:hanging="180"/>
      </w:pPr>
      <w:r>
        <w:t xml:space="preserve">• </w:t>
      </w:r>
      <w:r>
        <w:t>Confirm the exact de-magellan team repository list through GitHub team access before labeling future extraction as complete under the strict multi-repo prompt.</w:t>
      </w:r>
    </w:p>
    <w:p>
      <w:r>
        <w:t/>
      </w:r>
    </w:p>
    <w:p>
      <w:pPr>
        <w:pStyle w:val="Heading2"/>
      </w:pPr>
      <w:r>
        <w:t>Final Recommendation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Use the generated business-rules document as a repo-backed working rule set for Secondary Antibody Search and PDP.</w:t>
      </w:r>
    </w:p>
    <w:p>
      <w:pPr>
        <w:pStyle w:val="ListParagraph"/>
        <w:ind w:left="360" w:hanging="180"/>
      </w:pPr>
      <w:r>
        <w:t xml:space="preserve">• </w:t>
      </w:r>
      <w:r>
        <w:t>Treat it as validated for search subtype routing, visible result columns, PDP section visibility rules, Q&amp;A enablement, related-antibody enablement, and specification display.</w:t>
      </w:r>
    </w:p>
    <w:p>
      <w:pPr>
        <w:pStyle w:val="ListParagraph"/>
        <w:ind w:left="360" w:hanging="180"/>
      </w:pPr>
      <w:r>
        <w:t xml:space="preserve">• </w:t>
      </w:r>
      <w:r>
        <w:t>Treat commerce price, availability, Add to Cart, Q&amp;A service internals, and full related-products widget output as requiring a runtime/API validation pass before final business sign-off.</w:t>
      </w:r>
    </w:p>
    <w:sectPr>
      <w:pgSz w:w="12240" w:h="15840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sz w:val="20"/>
      <w:szCs w:val="20"/>
      <w:rFonts w:ascii="Arial" w:hAnsi="Arial"/>
    </w:rPr>
  </w:style>
  <w:style w:type="paragraph" w:styleId="Title">
    <w:name w:val="Title"/>
    <w:qFormat/>
    <w:pPr>
      <w:spacing w:after="240"/>
    </w:pPr>
    <w:rPr>
      <w:b/>
      <w:sz w:val="32"/>
      <w:rFonts w:ascii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sz w:val="26"/>
      <w:rFonts w:ascii="Arial" w:hAnsi="Arial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sz w:val="23"/>
      <w:rFonts w:ascii="Arial" w:hAnsi="Arial"/>
    </w:rPr>
  </w:style>
  <w:style w:type="paragraph" w:styleId="ListParagraph">
    <w:name w:val="List Paragraph"/>
    <w:basedOn w:val="Normal"/>
    <w:pPr>
      <w:ind w:left="360"/>
      <w:spacing w:after="80"/>
    </w:pPr>
  </w:style>
  <w:style w:type="character" w:styleId="Code">
    <w:name w:val="Code"/>
    <w:rPr>
      <w:rFonts w:ascii="Courier New" w:hAnsi="Courier New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Secondary_Antibody_Search_and_Product_Series_Validation_Report_Current</dc:title>
  <dc:creator>Codex</dc:creator>
  <cp:lastModifiedBy>Codex</cp:lastModifiedBy>
  <dcterms:created xsi:type="dcterms:W3CDTF">2026-06-05T16:39:20Z</dcterms:created>
  <dcterms:modified xsi:type="dcterms:W3CDTF">2026-06-05T16:39:20Z</dcterms:modified>
</cp:coreProperties>
</file>