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76" w:lineRule="auto"/>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2268" w:top="3402" w:left="1418" w:right="1418" w:header="652" w:footer="709"/>
          <w:pgNumType w:start="1"/>
          <w:titlePg w:val="1"/>
        </w:sectPr>
      </w:pPr>
      <w:r w:rsidDel="00000000" w:rsidR="00000000" w:rsidRPr="00000000">
        <w:rPr>
          <w:rtl w:val="0"/>
        </w:rPr>
      </w:r>
    </w:p>
    <w:bookmarkStart w:colFirst="0" w:colLast="0" w:name="bookmark=id.neyn4uchf44" w:id="0"/>
    <w:bookmarkEnd w:id="0"/>
    <w:p w:rsidR="00000000" w:rsidDel="00000000" w:rsidP="00000000" w:rsidRDefault="00000000" w:rsidRPr="00000000" w14:paraId="00000002">
      <w:pPr>
        <w:pStyle w:val="Heading1"/>
        <w:rPr>
          <w:sz w:val="22"/>
          <w:szCs w:val="22"/>
        </w:rPr>
      </w:pPr>
      <w:r w:rsidDel="00000000" w:rsidR="00000000" w:rsidRPr="00000000">
        <w:rPr>
          <w:sz w:val="22"/>
          <w:szCs w:val="22"/>
          <w:rtl w:val="0"/>
        </w:rPr>
        <w:t xml:space="preserve">Tillstånd att använda hjälpmedel i samband med fångst av fåglar för ringmärkning</w:t>
      </w:r>
    </w:p>
    <w:p w:rsidR="00000000" w:rsidDel="00000000" w:rsidP="00000000" w:rsidRDefault="00000000" w:rsidRPr="00000000" w14:paraId="00000003">
      <w:pPr>
        <w:rPr/>
      </w:pPr>
      <w:r w:rsidDel="00000000" w:rsidR="00000000" w:rsidRPr="00000000">
        <w:rPr>
          <w:rtl w:val="0"/>
        </w:rPr>
        <w:t xml:space="preserve">Naturhistoriska riksmuseet, Ringmärkningscentralen, medger med stöd av tillstånd från Naturvårdsverket (Dnr {{dnr_number}}) att Du får använda hjälpmedel vid fångst av fåglar för ringmärkning. Detta får ske endast i den omfattning som överenskommits med museet och under förutsättning att giltig ringmärkningslicens erhållits. I förekommande fall gäller tillståndet också licensierade medhjälpare.</w:t>
      </w:r>
    </w:p>
    <w:p w:rsidR="00000000" w:rsidDel="00000000" w:rsidP="00000000" w:rsidRDefault="00000000" w:rsidRPr="00000000" w14:paraId="00000004">
      <w:pPr>
        <w:rPr>
          <w:sz w:val="10"/>
          <w:szCs w:val="1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Om tillståndet inkluderar nät ska, förutom det som anförs i tillståndet från Naturvårdsverket, de instruktioner som finns i handboken för ringmärkare följas. Detta innebär att nät ska vittjas minst en gång var 30:e minut.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007">
      <w:pPr>
        <w:rPr/>
      </w:pPr>
      <w:r w:rsidDel="00000000" w:rsidR="00000000" w:rsidRPr="00000000">
        <w:rPr>
          <w:rtl w:val="0"/>
        </w:rPr>
        <w:t xml:space="preserve">Andra fångstmetoder, såsom olika typer av fällor, ska vara godkända av Ringmärkningscentralen innan de tas i bruk och finnas beskrivna på museet. Godkänd fångstmetod får inte modifieras eller förändras utan godkännande av Ringmärkningscentralen. Att använda fångstmetod som inte överenskommits med museet kan innebära att ringmärkningslicensen omedelbart dras in. </w:t>
      </w:r>
    </w:p>
    <w:p w:rsidR="00000000" w:rsidDel="00000000" w:rsidP="00000000" w:rsidRDefault="00000000" w:rsidRPr="00000000" w14:paraId="00000008">
      <w:pPr>
        <w:rPr>
          <w:sz w:val="10"/>
          <w:szCs w:val="1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Tillståndet ska, i original eller kopia, medföras vid ringmärkningsverksamhet som kräver detta tillstånd. </w:t>
      </w:r>
    </w:p>
    <w:p w:rsidR="00000000" w:rsidDel="00000000" w:rsidP="00000000" w:rsidRDefault="00000000" w:rsidRPr="00000000" w14:paraId="0000000A">
      <w:pPr>
        <w:ind w:left="284" w:firstLine="0"/>
        <w:rPr>
          <w:sz w:val="16"/>
          <w:szCs w:val="16"/>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28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Ert tillstånd omfattar: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tabs>
          <w:tab w:val="left" w:leader="none" w:pos="3686"/>
        </w:tabs>
        <w:ind w:left="284" w:firstLine="0"/>
        <w:rPr/>
      </w:pPr>
      <w:r w:rsidDel="00000000" w:rsidR="00000000" w:rsidRPr="00000000">
        <w:rPr>
          <w:rtl w:val="0"/>
        </w:rPr>
        <w:t xml:space="preserve">{{r permit_section_rich}}</w:t>
      </w:r>
    </w:p>
    <w:p w:rsidR="00000000" w:rsidDel="00000000" w:rsidP="00000000" w:rsidRDefault="00000000" w:rsidRPr="00000000" w14:paraId="0000000E">
      <w:pPr>
        <w:tabs>
          <w:tab w:val="left" w:leader="none" w:pos="3686"/>
        </w:tabs>
        <w:ind w:left="284" w:firstLine="0"/>
        <w:rPr>
          <w:b w:val="1"/>
          <w:bCs w:val="1"/>
        </w:rPr>
      </w:pPr>
      <w:r w:rsidDel="00000000" w:rsidR="00000000" w:rsidRPr="00000000">
        <w:rPr>
          <w:rtl w:val="0"/>
        </w:rPr>
      </w:r>
    </w:p>
    <w:p w:rsidR="00000000" w:rsidDel="00000000" w:rsidP="00000000" w:rsidRDefault="00000000" w:rsidRPr="00000000" w14:paraId="0000000F">
      <w:pPr>
        <w:rPr>
          <w:rFonts w:ascii="Liberation Mono" w:cs="Liberation Mono" w:eastAsia="Liberation Mono" w:hAnsi="Liberation Mono"/>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3686"/>
          <w:tab w:val="left" w:leader="none" w:pos="5529"/>
        </w:tabs>
        <w:spacing w:after="0" w:before="0" w:line="240" w:lineRule="auto"/>
        <w:ind w:left="284"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3686"/>
          <w:tab w:val="left" w:leader="none" w:pos="5529"/>
        </w:tabs>
        <w:spacing w:after="0" w:before="0" w:line="240" w:lineRule="auto"/>
        <w:ind w:left="284"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3686"/>
          <w:tab w:val="left" w:leader="none" w:pos="5529"/>
        </w:tabs>
        <w:spacing w:after="0" w:before="0" w:line="240" w:lineRule="auto"/>
        <w:ind w:left="284"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4"/>
        <w:rPr/>
      </w:pPr>
      <w:r w:rsidDel="00000000" w:rsidR="00000000" w:rsidRPr="00000000">
        <w:rPr>
          <w:rtl w:val="0"/>
        </w:rPr>
        <w:t xml:space="preserve">För Ringmärkningscentralen</w:t>
      </w:r>
    </w:p>
    <w:p w:rsidR="00000000" w:rsidDel="00000000" w:rsidP="00000000" w:rsidRDefault="00000000" w:rsidRPr="00000000" w14:paraId="00000014">
      <w:pPr>
        <w:ind w:left="284" w:firstLine="0"/>
        <w:rPr>
          <w:sz w:val="44"/>
          <w:szCs w:val="44"/>
        </w:rPr>
      </w:pPr>
      <w:r w:rsidDel="00000000" w:rsidR="00000000" w:rsidRPr="00000000">
        <w:rPr>
          <w:rtl w:val="0"/>
        </w:rPr>
      </w:r>
    </w:p>
    <w:p w:rsidR="00000000" w:rsidDel="00000000" w:rsidP="00000000" w:rsidRDefault="00000000" w:rsidRPr="00000000" w14:paraId="00000015">
      <w:pPr>
        <w:ind w:left="284" w:firstLine="0"/>
        <w:rPr>
          <w:sz w:val="44"/>
          <w:szCs w:val="44"/>
        </w:rPr>
      </w:pPr>
      <w:r w:rsidDel="00000000" w:rsidR="00000000" w:rsidRPr="00000000">
        <w:rPr>
          <w:sz w:val="24"/>
          <w:szCs w:val="24"/>
          <w:rtl w:val="0"/>
        </w:rPr>
        <w:t xml:space="preserve">Johan Lind</w:t>
      </w:r>
      <w:r w:rsidDel="00000000" w:rsidR="00000000" w:rsidRPr="00000000">
        <w:rPr>
          <w:rtl w:val="0"/>
        </w:rPr>
      </w:r>
    </w:p>
    <w:p w:rsidR="00000000" w:rsidDel="00000000" w:rsidP="00000000" w:rsidRDefault="00000000" w:rsidRPr="00000000" w14:paraId="00000016">
      <w:pPr>
        <w:ind w:left="284" w:firstLine="0"/>
        <w:rPr>
          <w:sz w:val="24"/>
          <w:szCs w:val="24"/>
        </w:rPr>
      </w:pPr>
      <w:r w:rsidDel="00000000" w:rsidR="00000000" w:rsidRPr="00000000">
        <w:rPr>
          <w:rtl w:val="0"/>
        </w:rPr>
      </w:r>
    </w:p>
    <w:p w:rsidR="00000000" w:rsidDel="00000000" w:rsidP="00000000" w:rsidRDefault="00000000" w:rsidRPr="00000000" w14:paraId="00000017">
      <w:pPr>
        <w:ind w:left="284" w:firstLine="0"/>
        <w:rPr>
          <w:sz w:val="24"/>
          <w:szCs w:val="24"/>
        </w:rPr>
      </w:pPr>
      <w:r w:rsidDel="00000000" w:rsidR="00000000" w:rsidRPr="00000000">
        <w:rPr>
          <w:rtl w:val="0"/>
        </w:rPr>
      </w:r>
    </w:p>
    <w:p w:rsidR="00000000" w:rsidDel="00000000" w:rsidP="00000000" w:rsidRDefault="00000000" w:rsidRPr="00000000" w14:paraId="00000018">
      <w:pPr>
        <w:tabs>
          <w:tab w:val="left" w:leader="none" w:pos="3686"/>
        </w:tabs>
        <w:ind w:left="284" w:firstLine="0"/>
        <w:rPr/>
      </w:pPr>
      <w:r w:rsidDel="00000000" w:rsidR="00000000" w:rsidRPr="00000000">
        <w:rPr>
          <w:rtl w:val="0"/>
        </w:rPr>
      </w:r>
    </w:p>
    <w:p w:rsidR="00000000" w:rsidDel="00000000" w:rsidP="00000000" w:rsidRDefault="00000000" w:rsidRPr="00000000" w14:paraId="00000019">
      <w:pPr>
        <w:ind w:left="284" w:firstLine="0"/>
        <w:rPr/>
      </w:pPr>
      <w:r w:rsidDel="00000000" w:rsidR="00000000" w:rsidRPr="00000000">
        <w:rPr>
          <w:rtl w:val="0"/>
        </w:rPr>
      </w:r>
    </w:p>
    <w:p w:rsidR="00000000" w:rsidDel="00000000" w:rsidP="00000000" w:rsidRDefault="00000000" w:rsidRPr="00000000" w14:paraId="0000001A">
      <w:pPr>
        <w:ind w:left="284" w:firstLine="0"/>
        <w:rPr/>
      </w:pPr>
      <w:r w:rsidDel="00000000" w:rsidR="00000000" w:rsidRPr="00000000">
        <w:rPr>
          <w:rtl w:val="0"/>
        </w:rPr>
      </w:r>
    </w:p>
    <w:sectPr>
      <w:type w:val="continuous"/>
      <w:pgSz w:h="16838" w:w="11906" w:orient="portrait"/>
      <w:pgMar w:bottom="2268" w:top="3402" w:left="1418" w:right="1418" w:header="652"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iberation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Naturhistoriska riksmuseet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Naturhistoriska riksmuseet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3402"/>
        <w:tab w:val="left" w:leader="none" w:pos="6521"/>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Postadress:</w:t>
      <w:tab/>
      <w:t xml:space="preserve">Besöksadress:</w:t>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Telefon: 08-519 540 00</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3402"/>
        <w:tab w:val="left" w:leader="none" w:pos="6521"/>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Box 50007</w:t>
      <w:tab/>
      <w:t xml:space="preserve">Frescativägen 40</w:t>
      <w:tab/>
      <w:t xml:space="preserve">Telefax. 08-519 540 85</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3402"/>
        <w:tab w:val="left" w:leader="none" w:pos="6521"/>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104 05 Stockholm</w:t>
      <w:tab/>
      <w:t xml:space="preserve">114 18 Stockholm</w:t>
      <w:tab/>
      <w:t xml:space="preserve">registrator@nrm.se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533.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7"/>
      <w:gridCol w:w="1417"/>
      <w:gridCol w:w="1416"/>
      <w:gridCol w:w="2257"/>
      <w:gridCol w:w="1146"/>
      <w:tblGridChange w:id="0">
        <w:tblGrid>
          <w:gridCol w:w="2297"/>
          <w:gridCol w:w="1417"/>
          <w:gridCol w:w="1416"/>
          <w:gridCol w:w="2257"/>
          <w:gridCol w:w="1146"/>
        </w:tblGrid>
      </w:tblGridChange>
    </w:tblGrid>
    <w:tr>
      <w:trPr>
        <w:cantSplit w:val="0"/>
        <w:trHeight w:val="891" w:hRule="atLeast"/>
        <w:tblHeader w:val="0"/>
      </w:trPr>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3810</wp:posOffset>
                </wp:positionV>
                <wp:extent cx="1333500" cy="127635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33500" cy="127635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tcMar>
            <w:top w:w="0.0" w:type="dxa"/>
            <w:left w:w="108.0" w:type="dxa"/>
            <w:right w:w="108.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right w:w="108.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0.0" w:type="dxa"/>
            <w:left w:w="108.0" w:type="dxa"/>
            <w:right w:w="108.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5"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108.0" w:type="dxa"/>
            <w:right w:w="108.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right w:w="108.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0.0" w:type="dxa"/>
            <w:left w:w="0.0" w:type="dxa"/>
            <w:right w:w="108.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5"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108.0" w:type="dxa"/>
            <w:right w:w="108.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right w:w="108.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right w:w="108.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Dnr</w:t>
          </w:r>
        </w:p>
      </w:tc>
      <w:tc>
        <w:tcPr>
          <w:tcBorders>
            <w:top w:color="000000" w:space="0" w:sz="0" w:val="nil"/>
            <w:left w:color="000000" w:space="0" w:sz="0" w:val="nil"/>
            <w:bottom w:color="000000" w:space="0" w:sz="0" w:val="nil"/>
            <w:right w:color="000000" w:space="0" w:sz="0" w:val="nil"/>
          </w:tcBorders>
          <w:tcMar>
            <w:top w:w="0.0" w:type="dxa"/>
            <w:left w:w="108.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0"/>
        <w:trHeight w:val="305"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right w:w="108.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right w:w="108.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right w:w="108.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0.0" w:type="dxa"/>
            <w:left w:w="0.0" w:type="dxa"/>
            <w:right w:w="108.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restart"/>
          <w:tcBorders>
            <w:top w:color="000000" w:space="0" w:sz="0" w:val="nil"/>
            <w:left w:color="000000" w:space="0" w:sz="0" w:val="nil"/>
            <w:bottom w:color="000000" w:space="0" w:sz="0" w:val="nil"/>
            <w:right w:color="000000" w:space="0" w:sz="0" w:val="nil"/>
          </w:tcBorders>
          <w:tcMar>
            <w:top w:w="0.0" w:type="dxa"/>
            <w:right w:w="108.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4111"/>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4111"/>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right w:w="108.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right w:w="108.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w:t>
          </w:r>
        </w:p>
      </w:tc>
      <w:tc>
        <w:tcPr>
          <w:gridSpan w:val="2"/>
          <w:tcBorders>
            <w:top w:color="000000" w:space="0" w:sz="0" w:val="nil"/>
            <w:left w:color="000000" w:space="0" w:sz="0" w:val="nil"/>
            <w:bottom w:color="000000" w:space="0" w:sz="0" w:val="nil"/>
            <w:right w:color="000000" w:space="0" w:sz="0" w:val="nil"/>
          </w:tcBorders>
          <w:tcMar>
            <w:top w:w="0.0" w:type="dxa"/>
            <w:left w:w="0.0" w:type="dxa"/>
            <w:right w:w="108.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{{dnr_number}}</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tcMar>
            <w:top w:w="0.0" w:type="dxa"/>
            <w:right w:w="108.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right w:w="108.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right w:w="108.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0.0" w:type="dxa"/>
            <w:left w:w="0.0" w:type="dxa"/>
            <w:right w:w="108.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{{full_name}}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{{address}}</w:t>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sv"/>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Arial" w:cs="Arial" w:eastAsia="Arial" w:hAnsi="Arial"/>
      <w:b w:val="1"/>
      <w:bCs w:val="1"/>
      <w:sz w:val="28"/>
      <w:szCs w:val="28"/>
    </w:rPr>
  </w:style>
  <w:style w:type="paragraph" w:styleId="Heading2">
    <w:name w:val="heading 2"/>
    <w:basedOn w:val="Normal"/>
    <w:next w:val="Normal"/>
    <w:pPr>
      <w:keepNext w:val="1"/>
      <w:keepLines w:val="1"/>
      <w:spacing w:after="120" w:before="200" w:lineRule="auto"/>
    </w:pPr>
    <w:rPr>
      <w:rFonts w:ascii="Arial" w:cs="Arial" w:eastAsia="Arial" w:hAnsi="Arial"/>
      <w:b w:val="1"/>
      <w:bCs w:val="1"/>
      <w:sz w:val="24"/>
      <w:szCs w:val="24"/>
    </w:rPr>
  </w:style>
  <w:style w:type="paragraph" w:styleId="Heading3">
    <w:name w:val="heading 3"/>
    <w:basedOn w:val="Normal"/>
    <w:next w:val="Normal"/>
    <w:pPr>
      <w:keepNext w:val="1"/>
      <w:keepLines w:val="1"/>
      <w:spacing w:after="60" w:before="200" w:lineRule="auto"/>
    </w:pPr>
    <w:rPr>
      <w:rFonts w:ascii="Arial" w:cs="Arial" w:eastAsia="Arial" w:hAnsi="Arial"/>
      <w:b w:val="1"/>
      <w:bCs w:val="1"/>
      <w:sz w:val="20"/>
      <w:szCs w:val="20"/>
    </w:rPr>
  </w:style>
  <w:style w:type="paragraph" w:styleId="Heading4">
    <w:name w:val="heading 4"/>
    <w:basedOn w:val="Normal"/>
    <w:next w:val="Normal"/>
    <w:pPr>
      <w:keepNext w:val="1"/>
      <w:keepLines w:val="1"/>
      <w:spacing w:after="60" w:before="120" w:lineRule="auto"/>
    </w:pPr>
    <w:rPr>
      <w:rFonts w:ascii="Arial" w:cs="Arial" w:eastAsia="Arial" w:hAnsi="Arial"/>
      <w:i w:val="1"/>
      <w:i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Rubrik1Char" w:customStyle="1">
    <w:name w:val="Rubrik 1 Char"/>
    <w:basedOn w:val="DefaultParagraphFont"/>
    <w:link w:val="Heading1"/>
    <w:uiPriority w:val="9"/>
    <w:qFormat w:val="1"/>
    <w:rsid w:val="00885A63"/>
    <w:rPr>
      <w:rFonts w:ascii="Arial" w:cs="" w:eastAsia="" w:hAnsi="Arial" w:asciiTheme="majorHAnsi" w:cstheme="majorBidi" w:eastAsiaTheme="majorEastAsia" w:hAnsiTheme="majorHAnsi"/>
      <w:b w:val="1"/>
      <w:bCs w:val="1"/>
      <w:sz w:val="28"/>
      <w:szCs w:val="28"/>
    </w:rPr>
  </w:style>
  <w:style w:type="character" w:styleId="Rubrik2Char" w:customStyle="1">
    <w:name w:val="Rubrik 2 Char"/>
    <w:basedOn w:val="DefaultParagraphFont"/>
    <w:link w:val="Heading2"/>
    <w:uiPriority w:val="9"/>
    <w:qFormat w:val="1"/>
    <w:rsid w:val="00DE68BA"/>
    <w:rPr>
      <w:rFonts w:ascii="Arial" w:cs="" w:eastAsia="" w:hAnsi="Arial" w:asciiTheme="majorHAnsi" w:cstheme="majorBidi" w:eastAsiaTheme="majorEastAsia" w:hAnsiTheme="majorHAnsi"/>
      <w:b w:val="1"/>
      <w:bCs w:val="1"/>
      <w:sz w:val="24"/>
      <w:szCs w:val="26"/>
    </w:rPr>
  </w:style>
  <w:style w:type="character" w:styleId="Rubrik3Char" w:customStyle="1">
    <w:name w:val="Rubrik 3 Char"/>
    <w:basedOn w:val="DefaultParagraphFont"/>
    <w:link w:val="Heading3"/>
    <w:uiPriority w:val="9"/>
    <w:qFormat w:val="1"/>
    <w:rsid w:val="00885A63"/>
    <w:rPr>
      <w:rFonts w:ascii="Arial" w:cs="" w:eastAsia="" w:hAnsi="Arial" w:asciiTheme="majorHAnsi" w:cstheme="majorBidi" w:eastAsiaTheme="majorEastAsia" w:hAnsiTheme="majorHAnsi"/>
      <w:b w:val="1"/>
      <w:bCs w:val="1"/>
      <w:sz w:val="20"/>
    </w:rPr>
  </w:style>
  <w:style w:type="character" w:styleId="Rubrik4Char" w:customStyle="1">
    <w:name w:val="Rubrik 4 Char"/>
    <w:basedOn w:val="DefaultParagraphFont"/>
    <w:link w:val="Heading4"/>
    <w:uiPriority w:val="9"/>
    <w:qFormat w:val="1"/>
    <w:rsid w:val="00DE68BA"/>
    <w:rPr>
      <w:rFonts w:ascii="Arial" w:cs="" w:eastAsia="" w:hAnsi="Arial" w:asciiTheme="majorHAnsi" w:cstheme="majorBidi" w:eastAsiaTheme="majorEastAsia" w:hAnsiTheme="majorHAnsi"/>
      <w:bCs w:val="1"/>
      <w:i w:val="1"/>
      <w:iCs w:val="1"/>
      <w:sz w:val="20"/>
    </w:rPr>
  </w:style>
  <w:style w:type="character" w:styleId="SidhuvudChar" w:customStyle="1">
    <w:name w:val="Sidhuvud Char"/>
    <w:basedOn w:val="DefaultParagraphFont"/>
    <w:link w:val="Header"/>
    <w:uiPriority w:val="99"/>
    <w:qFormat w:val="1"/>
    <w:rsid w:val="0045484A"/>
    <w:rPr/>
  </w:style>
  <w:style w:type="character" w:styleId="SidfotChar" w:customStyle="1">
    <w:name w:val="Sidfot Char"/>
    <w:basedOn w:val="DefaultParagraphFont"/>
    <w:link w:val="Footer"/>
    <w:uiPriority w:val="99"/>
    <w:qFormat w:val="1"/>
    <w:rsid w:val="0045484A"/>
    <w:rPr/>
  </w:style>
  <w:style w:type="character" w:styleId="BallongtextChar" w:customStyle="1">
    <w:name w:val="Ballongtext Char"/>
    <w:basedOn w:val="DefaultParagraphFont"/>
    <w:link w:val="BalloonText"/>
    <w:uiPriority w:val="99"/>
    <w:semiHidden w:val="1"/>
    <w:qFormat w:val="1"/>
    <w:rsid w:val="009254DC"/>
    <w:rPr>
      <w:rFonts w:ascii="Tahoma" w:cs="Tahoma" w:hAnsi="Tahoma"/>
      <w:sz w:val="16"/>
      <w:szCs w:val="16"/>
    </w:rPr>
  </w:style>
  <w:style w:type="character" w:styleId="Brdtextmedindrag3Char" w:customStyle="1">
    <w:name w:val="Brödtext med indrag 3 Char"/>
    <w:basedOn w:val="DefaultParagraphFont"/>
    <w:link w:val="BodyTextIndent3"/>
    <w:qFormat w:val="1"/>
    <w:rsid w:val="00104A80"/>
    <w:rPr>
      <w:rFonts w:ascii="Times New Roman" w:cs="Times New Roman" w:eastAsia="Times New Roman" w:hAnsi="Times New Roman"/>
      <w:sz w:val="20"/>
      <w:szCs w:val="20"/>
      <w:lang w:eastAsia="sv-SE"/>
    </w:rPr>
  </w:style>
  <w:style w:type="character" w:styleId="OformateradtextChar" w:customStyle="1">
    <w:name w:val="Oformaterad text Char"/>
    <w:basedOn w:val="DefaultParagraphFont"/>
    <w:link w:val="PlainText"/>
    <w:qFormat w:val="1"/>
    <w:rsid w:val="00F243B7"/>
    <w:rPr>
      <w:rFonts w:ascii="Courier New" w:cs="Courier New" w:eastAsia="Times New Roman" w:hAnsi="Courier New"/>
      <w:sz w:val="20"/>
      <w:szCs w:val="20"/>
      <w:lang w:val="en-GB"/>
    </w:rPr>
  </w:style>
  <w:style w:type="character" w:styleId="SourceText">
    <w:name w:val="Source Text"/>
    <w:qFormat w:val="1"/>
    <w:rPr>
      <w:rFonts w:ascii="Liberation Mono" w:cs="Liberation Mono" w:eastAsia="Liberation Mono" w:hAnsi="Liberation Mono"/>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HeaderandFooter">
    <w:name w:val="Header and Footer"/>
    <w:basedOn w:val="Normal"/>
    <w:qFormat w:val="1"/>
    <w:pPr/>
    <w:rPr/>
  </w:style>
  <w:style w:type="paragraph" w:styleId="Header">
    <w:name w:val="Header"/>
    <w:basedOn w:val="Normal"/>
    <w:link w:val="SidhuvudChar"/>
    <w:uiPriority w:val="99"/>
    <w:unhideWhenUsed w:val="1"/>
    <w:rsid w:val="0045484A"/>
    <w:pPr>
      <w:tabs>
        <w:tab w:val="clear" w:pos="1304"/>
        <w:tab w:val="center" w:leader="none" w:pos="4536"/>
        <w:tab w:val="right" w:leader="none" w:pos="9072"/>
      </w:tabs>
    </w:pPr>
    <w:rPr/>
  </w:style>
  <w:style w:type="paragraph" w:styleId="Footer">
    <w:name w:val="Footer"/>
    <w:basedOn w:val="Normal"/>
    <w:link w:val="SidfotChar"/>
    <w:uiPriority w:val="99"/>
    <w:unhideWhenUsed w:val="1"/>
    <w:rsid w:val="0045484A"/>
    <w:pPr>
      <w:tabs>
        <w:tab w:val="clear" w:pos="1304"/>
        <w:tab w:val="center" w:leader="none" w:pos="4536"/>
        <w:tab w:val="right" w:leader="none" w:pos="9072"/>
      </w:tabs>
    </w:pPr>
    <w:rPr/>
  </w:style>
  <w:style w:type="paragraph" w:styleId="BalloonText">
    <w:name w:val="Balloon Text"/>
    <w:basedOn w:val="Normal"/>
    <w:link w:val="BallongtextChar"/>
    <w:uiPriority w:val="99"/>
    <w:semiHidden w:val="1"/>
    <w:unhideWhenUsed w:val="1"/>
    <w:qFormat w:val="1"/>
    <w:rsid w:val="009254DC"/>
    <w:pPr/>
    <w:rPr>
      <w:rFonts w:ascii="Tahoma" w:cs="Tahoma" w:hAnsi="Tahoma"/>
      <w:sz w:val="16"/>
      <w:szCs w:val="16"/>
    </w:rPr>
  </w:style>
  <w:style w:type="paragraph" w:styleId="BodyTextIndent3">
    <w:name w:val="Body Text Indent 3"/>
    <w:basedOn w:val="Normal"/>
    <w:link w:val="Brdtextmedindrag3Char"/>
    <w:qFormat w:val="1"/>
    <w:rsid w:val="00104A80"/>
    <w:pPr>
      <w:ind w:left="284"/>
    </w:pPr>
    <w:rPr>
      <w:rFonts w:ascii="Times New Roman" w:cs="Times New Roman" w:eastAsia="Times New Roman" w:hAnsi="Times New Roman"/>
      <w:sz w:val="20"/>
      <w:szCs w:val="20"/>
      <w:lang w:eastAsia="sv-SE"/>
    </w:rPr>
  </w:style>
  <w:style w:type="paragraph" w:styleId="PlainText">
    <w:name w:val="Plain Text"/>
    <w:basedOn w:val="Normal"/>
    <w:link w:val="OformateradtextChar"/>
    <w:qFormat w:val="1"/>
    <w:rsid w:val="00F243B7"/>
    <w:pPr/>
    <w:rPr>
      <w:rFonts w:ascii="Courier New" w:cs="Courier New" w:eastAsia="Times New Roman" w:hAnsi="Courier New"/>
      <w:sz w:val="20"/>
      <w:szCs w:val="20"/>
      <w:lang w:val="en-GB"/>
    </w:rPr>
  </w:style>
  <w:style w:type="paragraph" w:styleId="BlockText">
    <w:name w:val="Block Text"/>
    <w:basedOn w:val="Normal"/>
    <w:qFormat w:val="1"/>
    <w:rsid w:val="001C0A84"/>
    <w:pPr>
      <w:ind w:left="284" w:right="425"/>
    </w:pPr>
    <w:rPr>
      <w:rFonts w:ascii="Times New Roman" w:cs="Times New Roman" w:eastAsia="Times New Roman" w:hAnsi="Times New Roman"/>
      <w:sz w:val="24"/>
      <w:szCs w:val="20"/>
      <w:lang w:eastAsia="sv-SE"/>
    </w:rPr>
  </w:style>
  <w:style w:type="paragraph" w:styleId="PreformattedText">
    <w:name w:val="Preformatted Text"/>
    <w:basedOn w:val="Normal"/>
    <w:qFormat w:val="1"/>
    <w:pPr>
      <w:spacing w:after="0" w:before="0"/>
    </w:pPr>
    <w:rPr>
      <w:rFonts w:ascii="Liberation Mono" w:cs="Liberation Mono" w:eastAsia="Liberation Mono" w:hAnsi="Liberation Mono"/>
      <w:sz w:val="20"/>
      <w:szCs w:val="20"/>
    </w:rPr>
  </w:style>
  <w:style w:type="numbering" w:styleId="NoList" w:default="1">
    <w:name w:val="No List"/>
    <w:uiPriority w:val="99"/>
    <w:semiHidden w:val="1"/>
    <w:unhideWhenUsed w:val="1"/>
    <w:qFormat w:val="1"/>
  </w:style>
  <w:style w:type="table" w:styleId="Normaltabell" w:default="1">
    <w:name w:val="Normal Table"/>
    <w:uiPriority w:val="99"/>
    <w:semiHidden w:val="1"/>
    <w:unhideWhenUsed w:val="1"/>
    <w:tblPr>
      <w:tblCellMar>
        <w:top w:w="0.0" w:type="dxa"/>
        <w:left w:w="108.0" w:type="dxa"/>
        <w:bottom w:w="0.0" w:type="dxa"/>
        <w:right w:w="108.0" w:type="dxa"/>
      </w:tblCellMar>
    </w:tblPr>
  </w:style>
  <w:style w:type="table" w:styleId="Tabellrutnt">
    <w:name w:val="Table Grid"/>
    <w:basedOn w:val="Normaltabell"/>
    <w:uiPriority w:val="59"/>
    <w:rsid w:val="00D50BA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28.0" w:type="dxa"/>
        <w:left w:w="28.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name="Office-tema">
  <a:themeElements>
    <a:clrScheme name="Naturhistoriska Museet">
      <a:dk1>
        <a:srgbClr val="000000"/>
      </a:dk1>
      <a:lt1>
        <a:srgbClr val="ffffff"/>
      </a:lt1>
      <a:dk2>
        <a:srgbClr val="1f497d"/>
      </a:dk2>
      <a:lt2>
        <a:srgbClr val="eeece1"/>
      </a:lt2>
      <a:accent1>
        <a:srgbClr val="99e0f8"/>
      </a:accent1>
      <a:accent2>
        <a:srgbClr val="00b2ee"/>
      </a:accent2>
      <a:accent3>
        <a:srgbClr val="0571b0"/>
      </a:accent3>
      <a:accent4>
        <a:srgbClr val="008cbb"/>
      </a:accent4>
      <a:accent5>
        <a:srgbClr val="0086b3"/>
      </a:accent5>
      <a:accent6>
        <a:srgbClr val="015a70"/>
      </a:accent6>
      <a:hlink>
        <a:srgbClr val="0000ff"/>
      </a:hlink>
      <a:folHlink>
        <a:srgbClr val="800080"/>
      </a:folHlink>
    </a:clrScheme>
    <a:fontScheme name="Naturhistoriska Museet">
      <a:majorFont>
        <a:latin typeface="Arial"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WdlEfDYkXJYHlONY9cFyPgEMlQ==">CgMxLjAyDmlkLm5leW40dWNoZjQ0OAByITE0TmJXNXdtNS02djBYRUg3SGFZaHUzTnlNS0lEVzJBNg==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2024-11-11T06:26:00Z</dcterms:created>
  <dc:creator>Thord Fransson</dc:creator>
</cp:coreProperties>
</file>

<file path=docProps/custom.xml><?xml version="1.0" encoding="utf-8"?>
<Properties xmlns="http://schemas.openxmlformats.org/officeDocument/2006/custom-properties" xmlns:vt="http://schemas.openxmlformats.org/officeDocument/2006/docPropsVTypes"/>
</file>