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ind w:hanging="0" w:left="0"/>
        <w:jc w:val="center"/>
        <w:rPr/>
      </w:pPr>
      <w:r>
        <w:rPr/>
        <w:t>QC – Answers to questions</w:t>
      </w:r>
    </w:p>
    <w:p>
      <w:pPr>
        <w:pStyle w:val="Normal"/>
        <w:bidi w:val="0"/>
        <w:ind w:hanging="0" w:left="0"/>
        <w:jc w:val="left"/>
        <w:rPr/>
      </w:pPr>
      <w:r>
        <w:rPr>
          <w:b/>
          <w:bCs/>
        </w:rPr>
        <w:t>1. Which positions in the reads have a median phred-score above 28 (very good quality calls) in each sample?</w:t>
        <w:br/>
      </w:r>
    </w:p>
    <w:tbl>
      <w:tblPr>
        <w:tblW w:w="9189" w:type="dxa"/>
        <w:jc w:val="right"/>
        <w:tblInd w:w="0" w:type="dxa"/>
        <w:tblLayout w:type="fixed"/>
        <w:tblCellMar>
          <w:top w:w="55" w:type="dxa"/>
          <w:left w:w="55" w:type="dxa"/>
          <w:bottom w:w="55" w:type="dxa"/>
          <w:right w:w="55" w:type="dxa"/>
        </w:tblCellMar>
      </w:tblPr>
      <w:tblGrid>
        <w:gridCol w:w="3332"/>
        <w:gridCol w:w="2951"/>
        <w:gridCol w:w="2906"/>
      </w:tblGrid>
      <w:tr>
        <w:trPr/>
        <w:tc>
          <w:tcPr>
            <w:tcW w:w="3332" w:type="dxa"/>
            <w:tcBorders>
              <w:top w:val="single" w:sz="4" w:space="0" w:color="000000"/>
              <w:left w:val="single" w:sz="4" w:space="0" w:color="000000"/>
              <w:bottom w:val="single" w:sz="4" w:space="0" w:color="000000"/>
            </w:tcBorders>
          </w:tcPr>
          <w:p>
            <w:pPr>
              <w:pStyle w:val="BodyText"/>
              <w:bidi w:val="0"/>
              <w:spacing w:before="0" w:after="0"/>
              <w:ind w:hanging="0" w:left="0"/>
              <w:jc w:val="left"/>
              <w:rPr/>
            </w:pPr>
            <w:r>
              <w:rPr/>
              <w:t>Sample</w:t>
            </w:r>
          </w:p>
        </w:tc>
        <w:tc>
          <w:tcPr>
            <w:tcW w:w="2951" w:type="dxa"/>
            <w:tcBorders>
              <w:top w:val="single" w:sz="4" w:space="0" w:color="000000"/>
              <w:left w:val="single" w:sz="4" w:space="0" w:color="000000"/>
              <w:bottom w:val="single" w:sz="4" w:space="0" w:color="000000"/>
            </w:tcBorders>
          </w:tcPr>
          <w:p>
            <w:pPr>
              <w:pStyle w:val="BodyText"/>
              <w:bidi w:val="0"/>
              <w:spacing w:before="0" w:after="0"/>
              <w:ind w:hanging="0" w:left="0"/>
              <w:jc w:val="left"/>
              <w:rPr/>
            </w:pPr>
            <w:r>
              <w:rPr/>
              <w:t>Read 1</w:t>
            </w:r>
          </w:p>
        </w:tc>
        <w:tc>
          <w:tcPr>
            <w:tcW w:w="2906" w:type="dxa"/>
            <w:tcBorders>
              <w:top w:val="single" w:sz="4" w:space="0" w:color="000000"/>
              <w:left w:val="single" w:sz="4" w:space="0" w:color="000000"/>
              <w:bottom w:val="single" w:sz="4" w:space="0" w:color="000000"/>
              <w:right w:val="single" w:sz="4" w:space="0" w:color="000000"/>
            </w:tcBorders>
          </w:tcPr>
          <w:p>
            <w:pPr>
              <w:pStyle w:val="BodyText"/>
              <w:bidi w:val="0"/>
              <w:spacing w:before="0" w:after="0"/>
              <w:ind w:hanging="0" w:left="0"/>
              <w:jc w:val="left"/>
              <w:rPr/>
            </w:pPr>
            <w:r>
              <w:rPr/>
              <w:t>Read 2</w:t>
            </w:r>
          </w:p>
        </w:tc>
      </w:tr>
      <w:tr>
        <w:trPr/>
        <w:tc>
          <w:tcPr>
            <w:tcW w:w="3332" w:type="dxa"/>
            <w:tcBorders>
              <w:left w:val="single" w:sz="4" w:space="0" w:color="000000"/>
              <w:bottom w:val="single" w:sz="4" w:space="0" w:color="000000"/>
            </w:tcBorders>
          </w:tcPr>
          <w:p>
            <w:pPr>
              <w:pStyle w:val="BodyText"/>
              <w:bidi w:val="0"/>
              <w:spacing w:before="0" w:after="0"/>
              <w:ind w:hanging="0" w:left="0"/>
              <w:jc w:val="left"/>
              <w:rPr/>
            </w:pPr>
            <w:r>
              <w:rPr/>
              <w:t>HG00097</w:t>
            </w:r>
          </w:p>
        </w:tc>
        <w:tc>
          <w:tcPr>
            <w:tcW w:w="2951" w:type="dxa"/>
            <w:tcBorders>
              <w:left w:val="single" w:sz="4" w:space="0" w:color="000000"/>
              <w:bottom w:val="single" w:sz="4" w:space="0" w:color="000000"/>
            </w:tcBorders>
          </w:tcPr>
          <w:p>
            <w:pPr>
              <w:pStyle w:val="BodyText"/>
              <w:bidi w:val="0"/>
              <w:spacing w:before="0" w:after="0"/>
              <w:ind w:hanging="0" w:left="0"/>
              <w:jc w:val="left"/>
              <w:rPr/>
            </w:pPr>
            <w:r>
              <w:rPr/>
              <w:t>2-101</w:t>
            </w:r>
          </w:p>
        </w:tc>
        <w:tc>
          <w:tcPr>
            <w:tcW w:w="2906" w:type="dxa"/>
            <w:tcBorders>
              <w:left w:val="single" w:sz="4" w:space="0" w:color="000000"/>
              <w:bottom w:val="single" w:sz="4" w:space="0" w:color="000000"/>
              <w:right w:val="single" w:sz="4" w:space="0" w:color="000000"/>
            </w:tcBorders>
          </w:tcPr>
          <w:p>
            <w:pPr>
              <w:pStyle w:val="BodyText"/>
              <w:bidi w:val="0"/>
              <w:spacing w:before="0" w:after="0"/>
              <w:ind w:hanging="0" w:left="0"/>
              <w:jc w:val="left"/>
              <w:rPr/>
            </w:pPr>
            <w:r>
              <w:rPr/>
              <w:t>2-101</w:t>
            </w:r>
          </w:p>
        </w:tc>
      </w:tr>
      <w:tr>
        <w:trPr/>
        <w:tc>
          <w:tcPr>
            <w:tcW w:w="3332" w:type="dxa"/>
            <w:tcBorders>
              <w:left w:val="single" w:sz="4" w:space="0" w:color="000000"/>
              <w:bottom w:val="single" w:sz="4" w:space="0" w:color="000000"/>
            </w:tcBorders>
          </w:tcPr>
          <w:p>
            <w:pPr>
              <w:pStyle w:val="BodyText"/>
              <w:bidi w:val="0"/>
              <w:spacing w:before="0" w:after="0"/>
              <w:ind w:hanging="0" w:left="0"/>
              <w:jc w:val="left"/>
              <w:rPr/>
            </w:pPr>
            <w:r>
              <w:rPr/>
              <w:t>HG00100</w:t>
            </w:r>
          </w:p>
        </w:tc>
        <w:tc>
          <w:tcPr>
            <w:tcW w:w="2951" w:type="dxa"/>
            <w:tcBorders>
              <w:left w:val="single" w:sz="4" w:space="0" w:color="000000"/>
              <w:bottom w:val="single" w:sz="4" w:space="0" w:color="000000"/>
            </w:tcBorders>
          </w:tcPr>
          <w:p>
            <w:pPr>
              <w:pStyle w:val="BodyText"/>
              <w:bidi w:val="0"/>
              <w:spacing w:before="0" w:after="0"/>
              <w:ind w:hanging="0" w:left="0"/>
              <w:jc w:val="left"/>
              <w:rPr/>
            </w:pPr>
            <w:r>
              <w:rPr/>
              <w:t>1-107</w:t>
            </w:r>
          </w:p>
        </w:tc>
        <w:tc>
          <w:tcPr>
            <w:tcW w:w="2906" w:type="dxa"/>
            <w:tcBorders>
              <w:left w:val="single" w:sz="4" w:space="0" w:color="000000"/>
              <w:bottom w:val="single" w:sz="4" w:space="0" w:color="000000"/>
              <w:right w:val="single" w:sz="4" w:space="0" w:color="000000"/>
            </w:tcBorders>
          </w:tcPr>
          <w:p>
            <w:pPr>
              <w:pStyle w:val="BodyText"/>
              <w:bidi w:val="0"/>
              <w:spacing w:before="0" w:after="0"/>
              <w:ind w:hanging="0" w:left="0"/>
              <w:jc w:val="left"/>
              <w:rPr/>
            </w:pPr>
            <w:r>
              <w:rPr/>
              <w:t>1-107</w:t>
            </w:r>
          </w:p>
        </w:tc>
      </w:tr>
      <w:tr>
        <w:trPr/>
        <w:tc>
          <w:tcPr>
            <w:tcW w:w="3332" w:type="dxa"/>
            <w:tcBorders>
              <w:left w:val="single" w:sz="4" w:space="0" w:color="000000"/>
              <w:bottom w:val="single" w:sz="4" w:space="0" w:color="000000"/>
            </w:tcBorders>
          </w:tcPr>
          <w:p>
            <w:pPr>
              <w:pStyle w:val="BodyText"/>
              <w:bidi w:val="0"/>
              <w:spacing w:before="0" w:after="0"/>
              <w:ind w:hanging="0" w:left="0"/>
              <w:jc w:val="left"/>
              <w:rPr/>
            </w:pPr>
            <w:r>
              <w:rPr/>
              <w:t>HG00101</w:t>
            </w:r>
          </w:p>
        </w:tc>
        <w:tc>
          <w:tcPr>
            <w:tcW w:w="2951" w:type="dxa"/>
            <w:tcBorders>
              <w:left w:val="single" w:sz="4" w:space="0" w:color="000000"/>
              <w:bottom w:val="single" w:sz="4" w:space="0" w:color="000000"/>
            </w:tcBorders>
          </w:tcPr>
          <w:p>
            <w:pPr>
              <w:pStyle w:val="BodyText"/>
              <w:bidi w:val="0"/>
              <w:spacing w:before="0" w:after="0"/>
              <w:ind w:hanging="0" w:left="0"/>
              <w:jc w:val="left"/>
              <w:rPr/>
            </w:pPr>
            <w:r>
              <w:rPr/>
              <w:t>1-101</w:t>
            </w:r>
          </w:p>
        </w:tc>
        <w:tc>
          <w:tcPr>
            <w:tcW w:w="2906" w:type="dxa"/>
            <w:tcBorders>
              <w:left w:val="single" w:sz="4" w:space="0" w:color="000000"/>
              <w:bottom w:val="single" w:sz="4" w:space="0" w:color="000000"/>
              <w:right w:val="single" w:sz="4" w:space="0" w:color="000000"/>
            </w:tcBorders>
          </w:tcPr>
          <w:p>
            <w:pPr>
              <w:pStyle w:val="BodyText"/>
              <w:bidi w:val="0"/>
              <w:spacing w:before="0" w:after="0"/>
              <w:ind w:hanging="0" w:left="0"/>
              <w:jc w:val="left"/>
              <w:rPr/>
            </w:pPr>
            <w:r>
              <w:rPr/>
              <w:t>1-101</w:t>
            </w:r>
          </w:p>
        </w:tc>
      </w:tr>
    </w:tbl>
    <w:p>
      <w:pPr>
        <w:pStyle w:val="Normal"/>
        <w:bidi w:val="0"/>
        <w:ind w:hanging="0" w:left="0"/>
        <w:jc w:val="left"/>
        <w:rPr>
          <w:b/>
          <w:bCs/>
        </w:rPr>
      </w:pPr>
      <w:r>
        <w:rPr>
          <w:b/>
          <w:bCs/>
        </w:rPr>
        <w:t>2. Do any of the samples have warnings or failures in the Per Base Sequence Quality module?</w:t>
      </w:r>
    </w:p>
    <w:p>
      <w:pPr>
        <w:pStyle w:val="Normal"/>
        <w:bidi w:val="0"/>
        <w:ind w:hanging="0" w:left="0"/>
        <w:jc w:val="left"/>
        <w:rPr/>
      </w:pPr>
      <w:r>
        <w:rPr/>
        <w:t>HG00097 Read 1 and Read 2</w:t>
      </w:r>
    </w:p>
    <w:p>
      <w:pPr>
        <w:pStyle w:val="Normal"/>
        <w:bidi w:val="0"/>
        <w:ind w:hanging="0" w:left="0"/>
        <w:jc w:val="left"/>
        <w:rPr>
          <w:b/>
          <w:bCs/>
        </w:rPr>
      </w:pPr>
      <w:r>
        <w:rPr>
          <w:b/>
          <w:bCs/>
        </w:rPr>
        <w:t>3. Why?</w:t>
      </w:r>
    </w:p>
    <w:p>
      <w:pPr>
        <w:pStyle w:val="Normal"/>
        <w:bidi w:val="0"/>
        <w:ind w:hanging="0" w:left="0"/>
        <w:jc w:val="left"/>
        <w:rPr/>
      </w:pPr>
      <w:r>
        <w:rPr/>
        <w:t>This module will raise a failure if the lower quartile for any base is less than 5 or if the median for any base is less than 20.</w:t>
      </w:r>
    </w:p>
    <w:p>
      <w:pPr>
        <w:pStyle w:val="Normal"/>
        <w:bidi w:val="0"/>
        <w:ind w:hanging="0" w:left="0"/>
        <w:jc w:val="left"/>
        <w:rPr/>
      </w:pPr>
      <w:r>
        <w:rPr/>
        <w:t>In sample HG00097, the first base ha</w:t>
      </w:r>
      <w:r>
        <w:rPr/>
        <w:t>s a</w:t>
      </w:r>
      <w:r>
        <w:rPr/>
        <w:t xml:space="preserve"> median quality of 15, which is less than the threshold for raising a failure. An option could be to trim off the first base, but since the quality values are taken into account in variant calling it is OK to keep this one base with lower quality in the reads.</w:t>
      </w:r>
    </w:p>
    <w:p>
      <w:pPr>
        <w:pStyle w:val="Normal"/>
        <w:bidi w:val="0"/>
        <w:ind w:hanging="0" w:left="0"/>
        <w:jc w:val="left"/>
        <w:rPr>
          <w:b/>
          <w:bCs/>
        </w:rPr>
      </w:pPr>
      <w:r>
        <w:rPr>
          <w:b/>
          <w:bCs/>
        </w:rPr>
        <w:t>4. How do quality scores change for HG00101 after quality trimming?</w:t>
      </w:r>
    </w:p>
    <w:p>
      <w:pPr>
        <w:pStyle w:val="Normal"/>
        <w:bidi w:val="0"/>
        <w:ind w:hanging="0" w:left="0"/>
        <w:jc w:val="left"/>
        <w:rPr>
          <w:b w:val="false"/>
          <w:bCs w:val="false"/>
        </w:rPr>
      </w:pPr>
      <w:r>
        <w:rPr>
          <w:b w:val="false"/>
          <w:bCs w:val="false"/>
        </w:rPr>
        <w:t>R1: Higher mean quality overall; fewer low-quality bases from about position 30 and onwards.</w:t>
        <w:br/>
        <w:t>R2: Higher quality from about position 85 and onwards.</w:t>
      </w:r>
    </w:p>
    <w:p>
      <w:pPr>
        <w:pStyle w:val="Normal"/>
        <w:bidi w:val="0"/>
        <w:ind w:hanging="0" w:left="0"/>
        <w:jc w:val="left"/>
        <w:rPr/>
      </w:pPr>
      <w:r>
        <w:rPr>
          <w:b/>
          <w:bCs/>
        </w:rPr>
        <w:t>5. How long are the reads?</w:t>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Contents"/>
              <w:bidi w:val="0"/>
              <w:spacing w:before="0" w:after="0"/>
              <w:ind w:hanging="0" w:left="0"/>
              <w:jc w:val="left"/>
              <w:rPr/>
            </w:pPr>
            <w:r>
              <w:rPr/>
              <w:t>Sample</w:t>
            </w:r>
          </w:p>
        </w:tc>
        <w:tc>
          <w:tcPr>
            <w:tcW w:w="3324" w:type="dxa"/>
            <w:tcBorders>
              <w:top w:val="single" w:sz="4" w:space="0" w:color="000000"/>
              <w:left w:val="single" w:sz="4" w:space="0" w:color="000000"/>
              <w:bottom w:val="single" w:sz="4" w:space="0" w:color="000000"/>
            </w:tcBorders>
          </w:tcPr>
          <w:p>
            <w:pPr>
              <w:pStyle w:val="TableContents"/>
              <w:bidi w:val="0"/>
              <w:spacing w:before="0" w:after="0"/>
              <w:ind w:hanging="0" w:left="0"/>
              <w:jc w:val="left"/>
              <w:rPr/>
            </w:pPr>
            <w:r>
              <w:rPr/>
              <w:t>Read 1</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0"/>
              <w:ind w:hanging="0" w:left="0"/>
              <w:jc w:val="left"/>
              <w:rPr/>
            </w:pPr>
            <w:r>
              <w:rPr/>
              <w:t>Read 2</w:t>
            </w:r>
          </w:p>
        </w:tc>
      </w:tr>
      <w:tr>
        <w:trPr/>
        <w:tc>
          <w:tcPr>
            <w:tcW w:w="3324" w:type="dxa"/>
            <w:tcBorders>
              <w:left w:val="single" w:sz="4" w:space="0" w:color="000000"/>
              <w:bottom w:val="single" w:sz="4" w:space="0" w:color="000000"/>
            </w:tcBorders>
          </w:tcPr>
          <w:p>
            <w:pPr>
              <w:pStyle w:val="TableContents"/>
              <w:bidi w:val="0"/>
              <w:spacing w:before="0" w:after="0"/>
              <w:ind w:hanging="0" w:left="0"/>
              <w:jc w:val="left"/>
              <w:rPr/>
            </w:pPr>
            <w:r>
              <w:rPr/>
              <w:t>HG00097</w:t>
            </w:r>
          </w:p>
        </w:tc>
        <w:tc>
          <w:tcPr>
            <w:tcW w:w="3324" w:type="dxa"/>
            <w:tcBorders>
              <w:left w:val="single" w:sz="4" w:space="0" w:color="000000"/>
              <w:bottom w:val="single" w:sz="4" w:space="0" w:color="000000"/>
            </w:tcBorders>
          </w:tcPr>
          <w:p>
            <w:pPr>
              <w:pStyle w:val="TableContents"/>
              <w:bidi w:val="0"/>
              <w:spacing w:before="0" w:after="0"/>
              <w:ind w:hanging="0" w:left="0"/>
              <w:jc w:val="left"/>
              <w:rPr/>
            </w:pPr>
            <w:r>
              <w:rPr/>
              <w:t>101</w:t>
            </w:r>
          </w:p>
        </w:tc>
        <w:tc>
          <w:tcPr>
            <w:tcW w:w="3324" w:type="dxa"/>
            <w:tcBorders>
              <w:left w:val="single" w:sz="4" w:space="0" w:color="000000"/>
              <w:bottom w:val="single" w:sz="4" w:space="0" w:color="000000"/>
              <w:right w:val="single" w:sz="4" w:space="0" w:color="000000"/>
            </w:tcBorders>
          </w:tcPr>
          <w:p>
            <w:pPr>
              <w:pStyle w:val="TableContents"/>
              <w:bidi w:val="0"/>
              <w:spacing w:before="0" w:after="0"/>
              <w:ind w:hanging="0" w:left="0"/>
              <w:jc w:val="left"/>
              <w:rPr/>
            </w:pPr>
            <w:r>
              <w:rPr/>
              <w:t>101</w:t>
            </w:r>
          </w:p>
        </w:tc>
      </w:tr>
      <w:tr>
        <w:trPr/>
        <w:tc>
          <w:tcPr>
            <w:tcW w:w="3324" w:type="dxa"/>
            <w:tcBorders>
              <w:left w:val="single" w:sz="4" w:space="0" w:color="000000"/>
              <w:bottom w:val="single" w:sz="4" w:space="0" w:color="000000"/>
            </w:tcBorders>
          </w:tcPr>
          <w:p>
            <w:pPr>
              <w:pStyle w:val="TableContents"/>
              <w:bidi w:val="0"/>
              <w:spacing w:before="0" w:after="0"/>
              <w:ind w:hanging="0" w:left="0"/>
              <w:jc w:val="left"/>
              <w:rPr/>
            </w:pPr>
            <w:r>
              <w:rPr/>
              <w:t>HG00100</w:t>
            </w:r>
          </w:p>
        </w:tc>
        <w:tc>
          <w:tcPr>
            <w:tcW w:w="3324" w:type="dxa"/>
            <w:tcBorders>
              <w:left w:val="single" w:sz="4" w:space="0" w:color="000000"/>
              <w:bottom w:val="single" w:sz="4" w:space="0" w:color="000000"/>
            </w:tcBorders>
          </w:tcPr>
          <w:p>
            <w:pPr>
              <w:pStyle w:val="TableContents"/>
              <w:bidi w:val="0"/>
              <w:spacing w:before="0" w:after="0"/>
              <w:ind w:hanging="0" w:left="0"/>
              <w:jc w:val="left"/>
              <w:rPr/>
            </w:pPr>
            <w:r>
              <w:rPr/>
              <w:t>100-108</w:t>
            </w:r>
          </w:p>
        </w:tc>
        <w:tc>
          <w:tcPr>
            <w:tcW w:w="3324" w:type="dxa"/>
            <w:tcBorders>
              <w:left w:val="single" w:sz="4" w:space="0" w:color="000000"/>
              <w:bottom w:val="single" w:sz="4" w:space="0" w:color="000000"/>
              <w:right w:val="single" w:sz="4" w:space="0" w:color="000000"/>
            </w:tcBorders>
          </w:tcPr>
          <w:p>
            <w:pPr>
              <w:pStyle w:val="TableContents"/>
              <w:bidi w:val="0"/>
              <w:spacing w:before="0" w:after="0"/>
              <w:ind w:hanging="0" w:left="0"/>
              <w:jc w:val="left"/>
              <w:rPr/>
            </w:pPr>
            <w:r>
              <w:rPr/>
              <w:t>100-108</w:t>
            </w:r>
          </w:p>
        </w:tc>
      </w:tr>
      <w:tr>
        <w:trPr/>
        <w:tc>
          <w:tcPr>
            <w:tcW w:w="3324" w:type="dxa"/>
            <w:tcBorders>
              <w:left w:val="single" w:sz="4" w:space="0" w:color="000000"/>
              <w:bottom w:val="single" w:sz="4" w:space="0" w:color="000000"/>
            </w:tcBorders>
          </w:tcPr>
          <w:p>
            <w:pPr>
              <w:pStyle w:val="TableContents"/>
              <w:bidi w:val="0"/>
              <w:spacing w:before="0" w:after="0"/>
              <w:ind w:hanging="0" w:left="0"/>
              <w:jc w:val="left"/>
              <w:rPr/>
            </w:pPr>
            <w:r>
              <w:rPr/>
              <w:t>HG00101</w:t>
            </w:r>
          </w:p>
        </w:tc>
        <w:tc>
          <w:tcPr>
            <w:tcW w:w="3324" w:type="dxa"/>
            <w:tcBorders>
              <w:left w:val="single" w:sz="4" w:space="0" w:color="000000"/>
              <w:bottom w:val="single" w:sz="4" w:space="0" w:color="000000"/>
            </w:tcBorders>
          </w:tcPr>
          <w:p>
            <w:pPr>
              <w:pStyle w:val="TableContents"/>
              <w:bidi w:val="0"/>
              <w:spacing w:before="0" w:after="0"/>
              <w:ind w:hanging="0" w:left="0"/>
              <w:jc w:val="left"/>
              <w:rPr/>
            </w:pPr>
            <w:r>
              <w:rPr/>
              <w:t>101</w:t>
            </w:r>
          </w:p>
        </w:tc>
        <w:tc>
          <w:tcPr>
            <w:tcW w:w="3324" w:type="dxa"/>
            <w:tcBorders>
              <w:left w:val="single" w:sz="4" w:space="0" w:color="000000"/>
              <w:bottom w:val="single" w:sz="4" w:space="0" w:color="000000"/>
              <w:right w:val="single" w:sz="4" w:space="0" w:color="000000"/>
            </w:tcBorders>
          </w:tcPr>
          <w:p>
            <w:pPr>
              <w:pStyle w:val="TableContents"/>
              <w:bidi w:val="0"/>
              <w:spacing w:before="0" w:after="0"/>
              <w:ind w:hanging="0" w:left="0"/>
              <w:jc w:val="left"/>
              <w:rPr/>
            </w:pPr>
            <w:r>
              <w:rPr/>
              <w:t>101</w:t>
            </w:r>
          </w:p>
        </w:tc>
      </w:tr>
    </w:tbl>
    <w:p>
      <w:pPr>
        <w:pStyle w:val="Normal"/>
        <w:bidi w:val="0"/>
        <w:ind w:hanging="0" w:left="0"/>
        <w:jc w:val="left"/>
        <w:rPr>
          <w:b/>
          <w:bCs/>
        </w:rPr>
      </w:pPr>
      <w:r>
        <w:rPr>
          <w:b/>
          <w:bCs/>
        </w:rPr>
        <w:t>6. Do any of the samples have warnings or failures in the Sequence Length Distribution module?</w:t>
      </w:r>
    </w:p>
    <w:p>
      <w:pPr>
        <w:pStyle w:val="Normal"/>
        <w:numPr>
          <w:ilvl w:val="0"/>
          <w:numId w:val="0"/>
        </w:numPr>
        <w:bidi w:val="0"/>
        <w:spacing w:before="283" w:after="0"/>
        <w:ind w:hanging="0" w:left="0"/>
        <w:jc w:val="left"/>
        <w:rPr/>
      </w:pPr>
      <w:r>
        <w:rPr/>
        <w:t>Yes, HG00100</w:t>
      </w:r>
    </w:p>
    <w:p>
      <w:pPr>
        <w:pStyle w:val="Normal"/>
        <w:bidi w:val="0"/>
        <w:ind w:hanging="0" w:left="0"/>
        <w:jc w:val="left"/>
        <w:rPr>
          <w:b/>
          <w:bCs/>
        </w:rPr>
      </w:pPr>
      <w:r>
        <w:rPr>
          <w:b/>
          <w:bCs/>
        </w:rPr>
        <w:t>7. Why?</w:t>
      </w:r>
    </w:p>
    <w:p>
      <w:pPr>
        <w:pStyle w:val="Normal"/>
        <w:numPr>
          <w:ilvl w:val="0"/>
          <w:numId w:val="0"/>
        </w:numPr>
        <w:bidi w:val="0"/>
        <w:spacing w:before="283" w:after="0"/>
        <w:ind w:hanging="0" w:left="0"/>
        <w:jc w:val="left"/>
        <w:rPr/>
      </w:pPr>
      <w:r>
        <w:rPr/>
        <w:t>This module will raise a warning if all sequences are not the same length.</w:t>
      </w:r>
    </w:p>
    <w:p>
      <w:pPr>
        <w:pStyle w:val="Normal"/>
        <w:numPr>
          <w:ilvl w:val="0"/>
          <w:numId w:val="0"/>
        </w:numPr>
        <w:bidi w:val="0"/>
        <w:spacing w:before="283" w:after="0"/>
        <w:ind w:hanging="0" w:left="0"/>
        <w:jc w:val="left"/>
        <w:rPr/>
      </w:pPr>
      <w:r>
        <w:rPr/>
        <w:t>For HG00100 most reads are 100 bp, but a subset of the reads are 108 bp.</w:t>
      </w:r>
    </w:p>
    <w:p>
      <w:pPr>
        <w:pStyle w:val="Normal"/>
        <w:bidi w:val="0"/>
        <w:ind w:hanging="0" w:left="0"/>
        <w:jc w:val="left"/>
        <w:rPr>
          <w:b/>
          <w:bCs/>
        </w:rPr>
      </w:pPr>
      <w:r>
        <w:rPr>
          <w:b/>
          <w:bCs/>
        </w:rPr>
        <w:t>8. How does the length distribution change for HG00101 after quality trimming?</w:t>
      </w:r>
    </w:p>
    <w:p>
      <w:pPr>
        <w:pStyle w:val="Normal"/>
        <w:bidi w:val="0"/>
        <w:ind w:hanging="0" w:left="0"/>
        <w:jc w:val="left"/>
        <w:rPr/>
      </w:pPr>
      <w:r>
        <w:rPr/>
        <w:t>R1: Lengths 0-101 bp exist. Most are still 101 bp, but some reads even get trimmed to length 0. FastQC warns (but this can be ignored).</w:t>
        <w:br/>
        <w:t>R2: Most reads are still 101 bp, but other lengths exist down to 9 bp.</w:t>
      </w:r>
    </w:p>
    <w:p>
      <w:pPr>
        <w:pStyle w:val="Normal"/>
        <w:bidi w:val="0"/>
        <w:ind w:hanging="0" w:left="0"/>
        <w:jc w:val="left"/>
        <w:rPr>
          <w:b/>
          <w:bCs/>
        </w:rPr>
      </w:pPr>
      <w:r>
        <w:rPr>
          <w:b/>
          <w:bCs/>
        </w:rPr>
        <w:t xml:space="preserve">9. What is the first read whose quality was trimmed in the </w:t>
      </w:r>
      <w:r>
        <w:rPr>
          <w:rFonts w:ascii="Courier Std" w:hAnsi="Courier Std"/>
          <w:b/>
          <w:bCs/>
        </w:rPr>
        <w:t>HG00101_trimmed_2.fq</w:t>
      </w:r>
      <w:r>
        <w:rPr>
          <w:b/>
          <w:bCs/>
        </w:rPr>
        <w:t xml:space="preserve"> file?</w:t>
      </w:r>
    </w:p>
    <w:p>
      <w:pPr>
        <w:pStyle w:val="Normal"/>
        <w:bidi w:val="0"/>
        <w:ind w:hanging="0" w:left="0"/>
        <w:jc w:val="left"/>
        <w:rPr/>
      </w:pPr>
      <w:r>
        <w:rPr/>
        <w:t xml:space="preserve">The read with identifier </w:t>
      </w:r>
      <w:r>
        <w:rPr>
          <w:rFonts w:ascii="Courier Std" w:hAnsi="Courier Std"/>
        </w:rPr>
        <w:t>ERR229776.12974779/2</w:t>
      </w:r>
      <w:r>
        <w:rPr/>
        <w:t>.</w:t>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ato">
    <w:charset w:val="01"/>
    <w:family w:val="roman"/>
    <w:pitch w:val="variable"/>
  </w:font>
  <w:font w:name="Liberation Sans">
    <w:altName w:val="Arial"/>
    <w:charset w:val="01"/>
    <w:family w:val="swiss"/>
    <w:pitch w:val="variable"/>
  </w:font>
  <w:font w:name="Courier Std">
    <w:charset w:val="01"/>
    <w:family w:val="roman"/>
    <w:pitch w:val="variable"/>
  </w:font>
</w:fonts>
</file>

<file path=word/settings.xml><?xml version="1.0" encoding="utf-8"?>
<w:settings xmlns:w="http://schemas.openxmlformats.org/wordprocessingml/2006/main">
  <w:zoom w:percent="90"/>
  <w:defaultTabStop w:val="680"/>
  <w:mailMerge>
    <w:mainDocumentType w:val="formLetters"/>
    <w:dataType w:val="textFile"/>
    <w:query w:val="SELECT * FROM Addresses.dbo.AddressBook$"/>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283" w:after="0"/>
      <w:ind w:hanging="0"/>
      <w:jc w:val="left"/>
    </w:pPr>
    <w:rPr>
      <w:rFonts w:ascii="Lato" w:hAnsi="Lato" w:eastAsia="Noto Serif CJK SC"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rFonts w:ascii="Lato" w:hAnsi="La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LibreOffice/25.2.3.2$Linux_X86_64 LibreOffice_project/520$Build-2</Application>
  <AppVersion>15.0000</AppVersion>
  <Pages>2</Pages>
  <Words>324</Words>
  <Characters>1450</Characters>
  <CharactersWithSpaces>1734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2025-11-17T13:16:40Z</dcterms:created>
  <dc:creator>Marcel Martin</dc:creator>
  <dc:description/>
  <dc:language>en-US</dc:language>
  <cp:lastModifiedBy>Marcel Martin</cp:lastModifiedBy>
  <cp:lastPrinted>2025-11-17T13:43:29Z</cp:lastPrinted>
  <dcterms:modified xsi:type="dcterms:W3CDTF">2026-03-03T12:12:54Z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