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BM01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Design Brief – Review 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BM01. Sections 0–8: maximum 4 A4 pages (font 11, margins 2 cm). Appendix A is not counted. Remove all grey guidance text and example rows, then export to PDF. File name: SWP490_&lt;ProjectCode&gt;_R2_DesignBrief.pdf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0. Header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link (tag review-2)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Scope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Registration Changes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Summary only; details in Form BM03 (Record of Changes). Write "No changes" if none.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2628"/>
        <w:gridCol w:w="2630"/>
      </w:tblGrid>
      <w:tr>
        <w:trPr>
          <w:tblHeader/>
        </w:trP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System at a Glance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Maximum 150 words: the problem, the users, the core value. Link to the architecture diagram in the SDD.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Key Design Decisions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Exactly 5 decisions. Each must have one owner.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927"/>
        <w:gridCol w:w="2570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Chosen option and rationale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Related FR / diagram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2753"/>
        <w:gridCol w:w="2065"/>
        <w:gridCol w:w="2753"/>
        <w:gridCol w:w="1379"/>
      </w:tblGrid>
      <w:tr>
        <w:trPr>
          <w:tblHeader/>
        </w:trP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verify or mitigate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R1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R2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R3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Known Gaps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Mismatches between the registration form, SRS, SDD and code. Include every High finding marked Kept or Planned in Form BM02.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570"/>
        <w:gridCol w:w="1927"/>
        <w:gridCol w:w="1927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6. Proposed Mandatory Features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Within the scope in section 1. Acceptance criteria must be testable with a clear pass/fail result.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285"/>
        <w:gridCol w:w="3212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 (testable)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Book appointment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Patient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A fully booked slot cannot be selected; confirmation email sent within 60 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TC-F01-01..03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Done / In progress / Planned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7. Non-Functional Requirements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Maximum 6 rows. Each NFR needs a metric, a threshold and a measurement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224"/>
        <w:gridCol w:w="2224"/>
        <w:gridCol w:w="1482"/>
        <w:gridCol w:w="2967"/>
      </w:tblGrid>
      <w:tr>
        <w:trPr>
          <w:tblHeader/>
        </w:trP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8. Ownership Map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One row per member. Each member owns 2–3 parts and at least one main workflow (Appendix A1).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376"/>
        <w:gridCol w:w="2753"/>
        <w:gridCol w:w="1376"/>
        <w:gridCol w:w="2068"/>
      </w:tblGrid>
      <w:tr>
        <w:trPr>
          <w:tblHeader/>
        </w:trP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Owned parts (2–3)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workflow owned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decisions / PRs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Appendix A – Defense 1.1 Targets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Main Workflows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Minimum number = number of team members. A valid workflow involves at least 2 actors or at least 3 mandatory features, and changes the state of at least one main entity.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606"/>
        <w:gridCol w:w="1070"/>
        <w:gridCol w:w="1070"/>
        <w:gridCol w:w="1606"/>
        <w:gridCol w:w="1070"/>
        <w:gridCol w:w="1606"/>
        <w:gridCol w:w="1075"/>
      </w:tblGrid>
      <w:tr>
        <w:trPr>
          <w:tblHeader/>
        </w:trP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Actors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outcome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 states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Demo Scenarios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Per workflow: at least 1 main scenario and 1 exception scenario. Run on staging with seeded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963"/>
        <w:gridCol w:w="963"/>
        <w:gridCol w:w="1927"/>
        <w:gridCol w:w="1927"/>
        <w:gridCol w:w="1927"/>
        <w:gridCol w:w="1289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DS-01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DS-02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Functional Test Case Target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752"/>
        <w:gridCol w:w="1752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per item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Mandatory features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3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Main workflows (end-to-end)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State transitions of main entities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Agreed NFRs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Committed 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Automated in CI: at least 50% of the committed total.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BM01 Design Brief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BM01 Design Brief</dc:title>
  <dc:creator>SWP490</dc:creator>
  <cp:lastModifiedBy>Un-named</cp:lastModifiedBy>
  <cp:revision>1</cp:revision>
  <dcterms:created xsi:type="dcterms:W3CDTF">2026-10-20T02:46:31.994Z</dcterms:created>
  <dcterms:modified xsi:type="dcterms:W3CDTF">2026-10-20T02:46:31.994Z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