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0.png" ContentType="image/png"/>
  <Override PartName="/word/media/rId25.png" ContentType="image/png"/>
  <Override PartName="/word/media/rId29.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528908f8ecd01be9ed6353fd7f6b02501e886bb"/>
    <w:p>
      <w:pPr>
        <w:pStyle w:val="Heading1"/>
      </w:pPr>
      <w:r>
        <w:t xml:space="preserve">Open-Source LLM Replication of</w:t>
      </w:r>
      <w:r>
        <w:t xml:space="preserve"> </w:t>
      </w:r>
      <w:r>
        <w:rPr>
          <w:i/>
          <w:iCs/>
        </w:rPr>
        <w:t xml:space="preserve">ChatGPT and Corporate Policies</w:t>
      </w:r>
    </w:p>
    <w:p>
      <w:pPr>
        <w:pStyle w:val="FirstParagraph"/>
      </w:pPr>
      <w:r>
        <w:rPr>
          <w:b/>
          <w:bCs/>
        </w:rPr>
        <w:t xml:space="preserve">Beibarys Nyussupov</w:t>
      </w:r>
      <w:r>
        <w:t xml:space="preserve"> </w:t>
      </w:r>
      <w:r>
        <w:t xml:space="preserve">NYU Stern, Text as Data, Spring 2026</w:t>
      </w:r>
      <w:r>
        <w:t xml:space="preserve"> </w:t>
      </w:r>
      <w:r>
        <w:t xml:space="preserve">Replication and methodological extension of Jha, Qian, Weber, Yang (2024),</w:t>
      </w:r>
      <w:r>
        <w:t xml:space="preserve"> </w:t>
      </w:r>
      <w:r>
        <w:rPr>
          <w:i/>
          <w:iCs/>
        </w:rPr>
        <w:t xml:space="preserve">ChatGPT and Corporate Policies</w:t>
      </w:r>
      <w:r>
        <w:t xml:space="preserve"> </w:t>
      </w:r>
      <w:r>
        <w:t xml:space="preserve">(NBER Working Paper 32161).</w:t>
      </w:r>
    </w:p>
    <w:p>
      <w:r>
        <w:pict>
          <v:rect style="width:0;height:1.5pt" o:hralign="center" o:hrstd="t" o:hr="t"/>
        </w:pict>
      </w:r>
    </w:p>
    <w:bookmarkStart w:id="9" w:name="abstract"/>
    <w:p>
      <w:pPr>
        <w:pStyle w:val="Heading2"/>
      </w:pPr>
      <w:r>
        <w:t xml:space="preserve">Abstract</w:t>
      </w:r>
    </w:p>
    <w:p>
      <w:pPr>
        <w:pStyle w:val="FirstParagraph"/>
      </w:pPr>
      <w:r>
        <w:t xml:space="preserve">Jha et al. (2024) show that GPT-3.5 can extract a continuous capital-expenditure direction signal from S&amp;P 500 earnings call transcripts, and that this signal predicts subsequent firm-level investment in standard panel regressions. We replicate the headline pipeline using an open-weight GPT-4-class model (</w:t>
      </w:r>
      <w:r>
        <w:rPr>
          <w:rStyle w:val="VerbatimChar"/>
        </w:rPr>
        <w:t xml:space="preserve">Qwen/Qwen3-32B</w:t>
      </w:r>
      <w:r>
        <w:t xml:space="preserve">, served by DeepInfra) and introduce three methodological refinements that the original paper either omits or treats as artefacts of GPT-3.5’s context window: a turn-preserving 1,500-word chunker with explicit continuation markers, a 4-class direction scheme paired with an evidence-aware aggregation rule, and a 3-variant prompt-sensitivity test on a 500-transcript subsample. Validating against I/B/E/S analyst capex consensus revisions in the 30 days after each call, we find a within-firm Spearman correlation of +0.060 (p = 3.75e-6, n = 5,853 firm-quarters across 519 firms) between the LLM transcript score and the post-call analyst expectation. The corresponding headline panel regression of two-quarter-ahead capital expenditure on the LLM score, with firm and year fixed effects, yields a coefficient of +0.0040 (t = 1.17, p = 0.24, n = 7,144). Direction matches the paper but the coefficient is not significant in our subsample at the conventional five-percent threshold; the within-firm I/B/E/S validation is the operative external check that the score reflects real capex content rather than noise. All scoring code, prompts, model identifier, and seeds are pinned for reproducibility; the full pipeline reruns end-to-end against the same DeepInfra endpoint for roughly USD 60.</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Jha, Qian, Weber, Yang (2024) paper is one of the cleanest demonstrations to date that a general-purpose large language model, with no fine-tuning, can extract economically meaningful structured information from corporate disclosures. Their construction is simple. Each S&amp;P 500 earnings call transcript is split into fixed 2,500-word blocks; each block is fed to GPT-3.5 with a prompt asking the model to classify the firm’s expected capital-spending direction over the next year on a five-class scale; per-block scores are averaged into a firm-quarter score; that score is regressed on subsequent realised capex in a standard panel specification with firm and year fixed effects. The result is a strongly significant positive coefficient on the LLM score, validated externally against the proprietary Duke CFO Survey.</w:t>
      </w:r>
    </w:p>
    <w:p>
      <w:pPr>
        <w:pStyle w:val="BodyText"/>
      </w:pPr>
      <w:r>
        <w:t xml:space="preserve">Three design choices in the original pipeline reflect engineering constraints of the model used rather than principled statistical decisions, and these choices are good targets for methodological replication. First, the 2,500-word block segmentation is set by GPT-3.5-Turbo’s context window and slices speakers mid-sentence at block boundaries, which destroys cross-turn coherence at every cut. Second, the prompt is run exactly once with one wording, so the headline number is implicitly conditional on a particular phrasing the authors chose. Third, the validation relies on a private survey that academic readers cannot independently re-pull. We address all three with a single open-source pipeline that costs roughly USD 60 to rerun end-to-end and is reproducible from a pinned model identifier and a single random seed.</w:t>
      </w:r>
    </w:p>
    <w:p>
      <w:pPr>
        <w:pStyle w:val="BodyText"/>
      </w:pPr>
      <w:r>
        <w:t xml:space="preserve">The rest of this paper proceeds as follows. Section 2 describes the data, including the pinned transcript dataset and the WRDS pulls. Section 3 lays out the methodology and the three departures from the paper. Section 4 reports the prompt sensitivity analysis. Section 5 presents the I/B/E/S external validation. Section 6 reports the headline panel regression. Section 7 discusses limitations and reproducibility.</w:t>
      </w:r>
    </w:p>
    <w:bookmarkEnd w:id="10"/>
    <w:bookmarkStart w:id="14" w:name="data"/>
    <w:p>
      <w:pPr>
        <w:pStyle w:val="Heading2"/>
      </w:pPr>
      <w:r>
        <w:t xml:space="preserve">2. Data</w:t>
      </w:r>
    </w:p>
    <w:p>
      <w:pPr>
        <w:pStyle w:val="FirstParagraph"/>
      </w:pPr>
      <w:r>
        <w:t xml:space="preserve">The transcript corpus is the public HuggingFace dataset</w:t>
      </w:r>
      <w:r>
        <w:t xml:space="preserve"> </w:t>
      </w:r>
      <w:r>
        <w:rPr>
          <w:rStyle w:val="VerbatimChar"/>
        </w:rPr>
        <w:t xml:space="preserve">kurry/sp500_earnings_transcripts</w:t>
      </w:r>
      <w:r>
        <w:t xml:space="preserve">, pinned to a specific commit hash to guarantee bit-identical re-pulls. After dropping rows with empty</w:t>
      </w:r>
      <w:r>
        <w:t xml:space="preserve"> </w:t>
      </w:r>
      <w:r>
        <w:rPr>
          <w:rStyle w:val="VerbatimChar"/>
        </w:rPr>
        <w:t xml:space="preserve">structured_content</w:t>
      </w:r>
      <w:r>
        <w:t xml:space="preserve"> </w:t>
      </w:r>
      <w:r>
        <w:t xml:space="preserve">and capping at 2024-12-31 to align with current CRSP availability, the universe contains 33,234 earnings calls across 685 unique S&amp;P 500 firms over 2005-2024. Each transcript is stored as an ordered list of speaker turns, which the chunker described in Section 3 packs into roughly 240,000 1,500-word chunks across the full corpus.</w:t>
      </w:r>
    </w:p>
    <w:p>
      <w:pPr>
        <w:pStyle w:val="BodyText"/>
      </w:pPr>
      <w:r>
        <w:t xml:space="preserve">Financial data is pulled from WRDS in five files: Compustat quarterly fundamentals (</w:t>
      </w:r>
      <w:r>
        <w:rPr>
          <w:rStyle w:val="VerbatimChar"/>
        </w:rPr>
        <w:t xml:space="preserve">comp.fundq</w:t>
      </w:r>
      <w:r>
        <w:t xml:space="preserve"> </w:t>
      </w:r>
      <w:r>
        <w:t xml:space="preserve">joined to</w:t>
      </w:r>
      <w:r>
        <w:t xml:space="preserve"> </w:t>
      </w:r>
      <w:r>
        <w:rPr>
          <w:rStyle w:val="VerbatimChar"/>
        </w:rPr>
        <w:t xml:space="preserve">comp.company</w:t>
      </w:r>
      <w:r>
        <w:t xml:space="preserve"> </w:t>
      </w:r>
      <w:r>
        <w:t xml:space="preserve">for SIC), the CCM link table (</w:t>
      </w:r>
      <w:r>
        <w:rPr>
          <w:rStyle w:val="VerbatimChar"/>
        </w:rPr>
        <w:t xml:space="preserve">crsp.ccmxpf_lnkhist</w:t>
      </w:r>
      <w:r>
        <w:t xml:space="preserve">), CRSP monthly returns (</w:t>
      </w:r>
      <w:r>
        <w:rPr>
          <w:rStyle w:val="VerbatimChar"/>
        </w:rPr>
        <w:t xml:space="preserve">crsp.msf</w:t>
      </w:r>
      <w:r>
        <w:t xml:space="preserve">), Fama-French five factors plus the UMD momentum factor (</w:t>
      </w:r>
      <w:r>
        <w:rPr>
          <w:rStyle w:val="VerbatimChar"/>
        </w:rPr>
        <w:t xml:space="preserve">ff.fivefactors_monthly</w:t>
      </w:r>
      <w:r>
        <w:t xml:space="preserve">), and I/B/E/S analyst capex consensus (</w:t>
      </w:r>
      <w:r>
        <w:rPr>
          <w:rStyle w:val="VerbatimChar"/>
        </w:rPr>
        <w:t xml:space="preserve">ibes.statsum_xepsus</w:t>
      </w:r>
      <w:r>
        <w:t xml:space="preserve"> </w:t>
      </w:r>
      <w:r>
        <w:t xml:space="preserve">filtered to</w:t>
      </w:r>
      <w:r>
        <w:t xml:space="preserve"> </w:t>
      </w:r>
      <w:r>
        <w:rPr>
          <w:rStyle w:val="VerbatimChar"/>
        </w:rPr>
        <w:t xml:space="preserve">measure='CPX'</w:t>
      </w:r>
      <w:r>
        <w:t xml:space="preserve">,</w:t>
      </w:r>
      <w:r>
        <w:t xml:space="preserve"> </w:t>
      </w:r>
      <w:r>
        <w:rPr>
          <w:rStyle w:val="VerbatimChar"/>
        </w:rPr>
        <w:t xml:space="preserve">fpi='1'</w:t>
      </w:r>
      <w:r>
        <w:t xml:space="preserve">). All variable lists are centralised in</w:t>
      </w:r>
      <w:r>
        <w:t xml:space="preserve"> </w:t>
      </w:r>
      <w:r>
        <w:rPr>
          <w:rStyle w:val="VerbatimChar"/>
        </w:rPr>
        <w:t xml:space="preserve">data/config.py</w:t>
      </w:r>
      <w:r>
        <w:t xml:space="preserve">; no parameter is hardcoded elsewhere in the codebase.</w:t>
      </w:r>
    </w:p>
    <w:p>
      <w:pPr>
        <w:pStyle w:val="BodyText"/>
      </w:pPr>
      <w:r>
        <w:t xml:space="preserve">The headline scoring run uses a 10,000-transcript stratified subsample of the corpus, drawn before any scoring began with proportional allocation by year and SIC-derived sector and a fixed seed. The subsample distribution matches the population on year and sector marginals to within 1 percentage point. The DeepInfra inference run was halted at the 57,000-chunk checkpoint due to provider-side throughput throttling on a multi-tenant GPU fleet; the resulting analytic sample of fully-scored transcripts is 7,602. We treat the early-stopping decision and the sample size transparently as a documented aspect of the methodology rather than as a post-hoc filter; partial-coverage transcripts are kept in a parallel sensitivity file but excluded from the headline.</w:t>
      </w:r>
    </w:p>
    <w:p>
      <w:pPr>
        <w:pStyle w:val="BodyText"/>
      </w:pPr>
      <w:r>
        <w:t xml:space="preserve">Figure 5 shows the chunk-count distribution under the turn-preserving 1,500-word segmentation: the median transcript yields 7 chunks and the 95th percentile yields 9, which sets the rough scale of inference cost per call.</w:t>
      </w:r>
    </w:p>
    <w:p>
      <w:pPr>
        <w:pStyle w:val="CaptionedFigure"/>
      </w:pPr>
      <w:r>
        <w:drawing>
          <wp:inline>
            <wp:extent cx="5334000" cy="3003611"/>
            <wp:effectExtent b="0" l="0" r="0" t="0"/>
            <wp:docPr descr="Figure 5: Chunks per transcript" title="" id="12" name="Picture"/>
            <a:graphic>
              <a:graphicData uri="http://schemas.openxmlformats.org/drawingml/2006/picture">
                <pic:pic>
                  <pic:nvPicPr>
                    <pic:cNvPr descr="figures/fig5_chunks_per_transcript.png" id="13" name="Picture"/>
                    <pic:cNvPicPr>
                      <a:picLocks noChangeArrowheads="1" noChangeAspect="1"/>
                    </pic:cNvPicPr>
                  </pic:nvPicPr>
                  <pic:blipFill>
                    <a:blip r:embed="rId11"/>
                    <a:stretch>
                      <a:fillRect/>
                    </a:stretch>
                  </pic:blipFill>
                  <pic:spPr bwMode="auto">
                    <a:xfrm>
                      <a:off x="0" y="0"/>
                      <a:ext cx="5334000" cy="3003611"/>
                    </a:xfrm>
                    <a:prstGeom prst="rect">
                      <a:avLst/>
                    </a:prstGeom>
                    <a:noFill/>
                    <a:ln w="9525">
                      <a:noFill/>
                      <a:headEnd/>
                      <a:tailEnd/>
                    </a:ln>
                  </pic:spPr>
                </pic:pic>
              </a:graphicData>
            </a:graphic>
          </wp:inline>
        </w:drawing>
      </w:r>
    </w:p>
    <w:p>
      <w:pPr>
        <w:pStyle w:val="ImageCaption"/>
      </w:pPr>
      <w:r>
        <w:t xml:space="preserve">Figure 5: Chunks per transcript</w:t>
      </w:r>
    </w:p>
    <w:bookmarkEnd w:id="14"/>
    <w:bookmarkStart w:id="24" w:name="methodology"/>
    <w:p>
      <w:pPr>
        <w:pStyle w:val="Heading2"/>
      </w:pPr>
      <w:r>
        <w:t xml:space="preserve">3. Methodology</w:t>
      </w:r>
    </w:p>
    <w:bookmarkStart w:id="15" w:name="X3495cb2b504bf944790a59603c6b08e9b4d8ed0"/>
    <w:p>
      <w:pPr>
        <w:pStyle w:val="Heading3"/>
      </w:pPr>
      <w:r>
        <w:t xml:space="preserve">3.1 Turn-preserving chunking with continuation markers</w:t>
      </w:r>
    </w:p>
    <w:p>
      <w:pPr>
        <w:pStyle w:val="FirstParagraph"/>
      </w:pPr>
      <w:r>
        <w:t xml:space="preserve">The original paper splits each transcript into fixed 2,500-word blocks, which means a single CFO answer to a single analyst question can be arbitrarily cut in half at a block boundary, with the second half serving as the start of the next block alongside whatever speaker happens to come after it. We chunk on complete speaker turns instead. Operator and empty-text turns are stripped first; the remaining turns are packed greedily into 1,500-word batches such that no short turn is ever split. A single turn longer than 1,500 words (the longest in our corpus is 10,409 words, a CEO opening statement) is the only case where mid-turn splitting is permitted, and in that case the first part receives a</w:t>
      </w:r>
      <w:r>
        <w:t xml:space="preserve"> </w:t>
      </w:r>
      <w:r>
        <w:rPr>
          <w:rStyle w:val="VerbatimChar"/>
        </w:rPr>
        <w:t xml:space="preserve">[continues in next chunk]</w:t>
      </w:r>
      <w:r>
        <w:t xml:space="preserve"> </w:t>
      </w:r>
      <w:r>
        <w:t xml:space="preserve">suffix and the second part receives a</w:t>
      </w:r>
      <w:r>
        <w:t xml:space="preserve"> </w:t>
      </w:r>
      <w:r>
        <w:rPr>
          <w:rStyle w:val="VerbatimChar"/>
        </w:rPr>
        <w:t xml:space="preserve">[continuation of &lt;speaker&gt;]</w:t>
      </w:r>
      <w:r>
        <w:t xml:space="preserve"> </w:t>
      </w:r>
      <w:r>
        <w:t xml:space="preserve">prefix. The system message tells the model exactly what those markers mean and instructs it to return</w:t>
      </w:r>
      <w:r>
        <w:t xml:space="preserve"> </w:t>
      </w:r>
      <w:r>
        <w:rPr>
          <w:rStyle w:val="VerbatimChar"/>
        </w:rPr>
        <w:t xml:space="preserve">insufficient_information</w:t>
      </w:r>
      <w:r>
        <w:t xml:space="preserve"> </w:t>
      </w:r>
      <w:r>
        <w:t xml:space="preserve">if the visible text fragment alone does not contain enough information to assign a direction.</w:t>
      </w:r>
    </w:p>
    <w:bookmarkEnd w:id="15"/>
    <w:bookmarkStart w:id="16" w:name="X6b6e783accf06e44a9325d31c56bc165e7b1472"/>
    <w:p>
      <w:pPr>
        <w:pStyle w:val="Heading3"/>
      </w:pPr>
      <w:r>
        <w:t xml:space="preserve">3.2 Four-class direction with evidence-aware aggregation</w:t>
      </w:r>
    </w:p>
    <w:p>
      <w:pPr>
        <w:pStyle w:val="FirstParagraph"/>
      </w:pPr>
      <w:r>
        <w:t xml:space="preserve">The original paper uses a five-class scale (</w:t>
      </w:r>
      <w:r>
        <w:rPr>
          <w:rStyle w:val="VerbatimChar"/>
        </w:rPr>
        <w:t xml:space="preserve">increase substantially</w:t>
      </w:r>
      <w:r>
        <w:t xml:space="preserve">,</w:t>
      </w:r>
      <w:r>
        <w:t xml:space="preserve"> </w:t>
      </w:r>
      <w:r>
        <w:rPr>
          <w:rStyle w:val="VerbatimChar"/>
        </w:rPr>
        <w:t xml:space="preserve">increase</w:t>
      </w:r>
      <w:r>
        <w:t xml:space="preserve">,</w:t>
      </w:r>
      <w:r>
        <w:t xml:space="preserve"> </w:t>
      </w:r>
      <w:r>
        <w:rPr>
          <w:rStyle w:val="VerbatimChar"/>
        </w:rPr>
        <w:t xml:space="preserve">no change</w:t>
      </w:r>
      <w:r>
        <w:t xml:space="preserve">,</w:t>
      </w:r>
      <w:r>
        <w:t xml:space="preserve"> </w:t>
      </w:r>
      <w:r>
        <w:rPr>
          <w:rStyle w:val="VerbatimChar"/>
        </w:rPr>
        <w:t xml:space="preserve">decrease</w:t>
      </w:r>
      <w:r>
        <w:t xml:space="preserve">,</w:t>
      </w:r>
      <w:r>
        <w:t xml:space="preserve"> </w:t>
      </w:r>
      <w:r>
        <w:rPr>
          <w:rStyle w:val="VerbatimChar"/>
        </w:rPr>
        <w:t xml:space="preserve">decrease substantially</w:t>
      </w:r>
      <w:r>
        <w:t xml:space="preserve">) plus an</w:t>
      </w:r>
      <w:r>
        <w:t xml:space="preserve"> </w:t>
      </w:r>
      <w:r>
        <w:rPr>
          <w:rStyle w:val="VerbatimChar"/>
        </w:rPr>
        <w:t xml:space="preserve">insufficient information</w:t>
      </w:r>
      <w:r>
        <w:t xml:space="preserve"> </w:t>
      </w:r>
      <w:r>
        <w:t xml:space="preserve">escape hatch. The</w:t>
      </w:r>
      <w:r>
        <w:t xml:space="preserve"> </w:t>
      </w:r>
      <w:r>
        <w:t xml:space="preserve">“substantially”</w:t>
      </w:r>
      <w:r>
        <w:t xml:space="preserve"> </w:t>
      </w:r>
      <w:r>
        <w:t xml:space="preserve">qualifier is subjective and unstable across human raters: what counts as a substantial capex increase depends on firm size, sector, and CFO speaking style. We collapse to a 4-class scheme (</w:t>
      </w:r>
      <w:r>
        <w:rPr>
          <w:rStyle w:val="VerbatimChar"/>
        </w:rPr>
        <w:t xml:space="preserve">increase</w:t>
      </w:r>
      <w:r>
        <w:t xml:space="preserve">,</w:t>
      </w:r>
      <w:r>
        <w:t xml:space="preserve"> </w:t>
      </w:r>
      <w:r>
        <w:rPr>
          <w:rStyle w:val="VerbatimChar"/>
        </w:rPr>
        <w:t xml:space="preserve">no change</w:t>
      </w:r>
      <w:r>
        <w:t xml:space="preserve">,</w:t>
      </w:r>
      <w:r>
        <w:t xml:space="preserve"> </w:t>
      </w:r>
      <w:r>
        <w:rPr>
          <w:rStyle w:val="VerbatimChar"/>
        </w:rPr>
        <w:t xml:space="preserve">decrease</w:t>
      </w:r>
      <w:r>
        <w:t xml:space="preserve">,</w:t>
      </w:r>
      <w:r>
        <w:t xml:space="preserve"> </w:t>
      </w:r>
      <w:r>
        <w:rPr>
          <w:rStyle w:val="VerbatimChar"/>
        </w:rPr>
        <w:t xml:space="preserve">information not given</w:t>
      </w:r>
      <w:r>
        <w:t xml:space="preserve">) with a simple {+1, 0, -1, 0} numerical scoring map. This is a strict simplification; pooling magnitudes happens implicitly in the paper’s OLS aggregation anyway, so we make it explicit at the labelling stage and report higher classification stability across prompts (Section 4) as a result.</w:t>
      </w:r>
    </w:p>
    <w:p>
      <w:pPr>
        <w:pStyle w:val="BodyText"/>
      </w:pPr>
      <w:r>
        <w:t xml:space="preserve">The transcript-level score is the</w:t>
      </w:r>
      <w:r>
        <w:t xml:space="preserve"> </w:t>
      </w:r>
      <w:r>
        <w:rPr>
          <w:b/>
          <w:bCs/>
        </w:rPr>
        <w:t xml:space="preserve">evidence-aware mean</w:t>
      </w:r>
      <w:r>
        <w:t xml:space="preserve"> </w:t>
      </w:r>
      <w:r>
        <w:t xml:space="preserve">of the per-chunk score: chunks classified</w:t>
      </w:r>
      <w:r>
        <w:t xml:space="preserve"> </w:t>
      </w:r>
      <w:r>
        <w:rPr>
          <w:rStyle w:val="VerbatimChar"/>
        </w:rPr>
        <w:t xml:space="preserve">information_state = insufficient_information</w:t>
      </w:r>
      <w:r>
        <w:t xml:space="preserve"> </w:t>
      </w:r>
      <w:r>
        <w:t xml:space="preserve">are dropped before averaging, and the mean is taken over the remaining informative chunks only. Without this filter, the typical earnings call (which contains many chunks discussing topics other than capex) would have its score diluted toward zero by uninformative content; the filter recovers the actual signal-bearing chunks. Audit columns (</w:t>
      </w:r>
      <w:r>
        <w:rPr>
          <w:rStyle w:val="VerbatimChar"/>
        </w:rPr>
        <w:t xml:space="preserve">n_informative_chunks</w:t>
      </w:r>
      <w:r>
        <w:t xml:space="preserve">,</w:t>
      </w:r>
      <w:r>
        <w:t xml:space="preserve"> </w:t>
      </w:r>
      <w:r>
        <w:rPr>
          <w:rStyle w:val="VerbatimChar"/>
        </w:rPr>
        <w:t xml:space="preserve">share_informative</w:t>
      </w:r>
      <w:r>
        <w:t xml:space="preserve">) travel alongside the score for downstream filtering.</w:t>
      </w:r>
    </w:p>
    <w:bookmarkEnd w:id="16"/>
    <w:bookmarkStart w:id="23" w:name="X1c7661612ae7998103305ae46198c0ab7012f53"/>
    <w:p>
      <w:pPr>
        <w:pStyle w:val="Heading3"/>
      </w:pPr>
      <w:r>
        <w:t xml:space="preserve">3.3 Production prompt and decoding parameters</w:t>
      </w:r>
    </w:p>
    <w:p>
      <w:pPr>
        <w:pStyle w:val="FirstParagraph"/>
      </w:pPr>
      <w:r>
        <w:t xml:space="preserve">The production prompt asks the model to classify the firm’s planned change in capital spending over the next year, lists the four legal classes plus the</w:t>
      </w:r>
      <w:r>
        <w:t xml:space="preserve"> </w:t>
      </w:r>
      <w:r>
        <w:rPr>
          <w:rStyle w:val="VerbatimChar"/>
        </w:rPr>
        <w:t xml:space="preserve">information not given</w:t>
      </w:r>
      <w:r>
        <w:t xml:space="preserve"> </w:t>
      </w:r>
      <w:r>
        <w:t xml:space="preserve">option, restates the scoring map, draws the explicit</w:t>
      </w:r>
      <w:r>
        <w:t xml:space="preserve"> </w:t>
      </w:r>
      <w:r>
        <w:rPr>
          <w:rStyle w:val="VerbatimChar"/>
        </w:rPr>
        <w:t xml:space="preserve">no change</w:t>
      </w:r>
      <w:r>
        <w:t xml:space="preserve"> </w:t>
      </w:r>
      <w:r>
        <w:t xml:space="preserve">versus</w:t>
      </w:r>
      <w:r>
        <w:t xml:space="preserve"> </w:t>
      </w:r>
      <w:r>
        <w:rPr>
          <w:rStyle w:val="VerbatimChar"/>
        </w:rPr>
        <w:t xml:space="preserve">information not given</w:t>
      </w:r>
      <w:r>
        <w:t xml:space="preserve"> </w:t>
      </w:r>
      <w:r>
        <w:t xml:space="preserve">distinction, and requires a JSON response containing the direction class, numerical score, an</w:t>
      </w:r>
      <w:r>
        <w:t xml:space="preserve"> </w:t>
      </w:r>
      <w:r>
        <w:rPr>
          <w:rStyle w:val="VerbatimChar"/>
        </w:rPr>
        <w:t xml:space="preserve">information_state</w:t>
      </w:r>
      <w:r>
        <w:t xml:space="preserve"> </w:t>
      </w:r>
      <w:r>
        <w:t xml:space="preserve">field that records why the classification was made, a verbatim supporting excerpt from the chunk text (a hallucination guardrail), and a one-sentence explanation. The model is</w:t>
      </w:r>
      <w:r>
        <w:t xml:space="preserve"> </w:t>
      </w:r>
      <w:r>
        <w:rPr>
          <w:rStyle w:val="VerbatimChar"/>
        </w:rPr>
        <w:t xml:space="preserve">Qwen/Qwen3-32B</w:t>
      </w:r>
      <w:r>
        <w:t xml:space="preserve"> </w:t>
      </w:r>
      <w:r>
        <w:t xml:space="preserve">served via the DeepInfra OpenAI-compatible endpoint with</w:t>
      </w:r>
      <w:r>
        <w:t xml:space="preserve"> </w:t>
      </w:r>
      <w:r>
        <w:rPr>
          <w:rStyle w:val="VerbatimChar"/>
        </w:rPr>
        <w:t xml:space="preserve">temperature=0</w:t>
      </w:r>
      <w:r>
        <w:t xml:space="preserve">,</w:t>
      </w:r>
      <w:r>
        <w:t xml:space="preserve"> </w:t>
      </w:r>
      <w:r>
        <w:rPr>
          <w:rStyle w:val="VerbatimChar"/>
        </w:rPr>
        <w:t xml:space="preserve">top_p=1.0</w:t>
      </w:r>
      <w:r>
        <w:t xml:space="preserve">,</w:t>
      </w:r>
      <w:r>
        <w:t xml:space="preserve"> </w:t>
      </w:r>
      <w:r>
        <w:rPr>
          <w:rStyle w:val="VerbatimChar"/>
        </w:rPr>
        <w:t xml:space="preserve">seed=42</w:t>
      </w:r>
      <w:r>
        <w:t xml:space="preserve">, and</w:t>
      </w:r>
      <w:r>
        <w:t xml:space="preserve"> </w:t>
      </w:r>
      <w:r>
        <w:rPr>
          <w:rStyle w:val="VerbatimChar"/>
        </w:rPr>
        <w:t xml:space="preserve">response_format={"type":"json_object"}</w:t>
      </w:r>
      <w:r>
        <w:t xml:space="preserve">. The system message includes a</w:t>
      </w:r>
      <w:r>
        <w:t xml:space="preserve"> </w:t>
      </w:r>
      <w:r>
        <w:rPr>
          <w:rStyle w:val="VerbatimChar"/>
        </w:rPr>
        <w:t xml:space="preserve">/no_think</w:t>
      </w:r>
      <w:r>
        <w:t xml:space="preserve"> </w:t>
      </w:r>
      <w:r>
        <w:t xml:space="preserve">directive that disables Qwen 3’s reasoning mode and reduces per-call output by roughly 5x, because the structured-extraction task does not benefit from chain-of-thought reasoning on this kind of input.</w:t>
      </w:r>
    </w:p>
    <w:p>
      <w:pPr>
        <w:pStyle w:val="BodyText"/>
      </w:pPr>
      <w:r>
        <w:t xml:space="preserve">Figure 1 shows the resulting distribution of transcript-level scores on the analytic sample. The distribution is approximately symmetric around zero with a fat right tail, consistent with the prior that earnings-call CFOs talk about expansion more often than contraction.</w:t>
      </w:r>
    </w:p>
    <w:p>
      <w:pPr>
        <w:pStyle w:val="CaptionedFigure"/>
      </w:pPr>
      <w:r>
        <w:drawing>
          <wp:inline>
            <wp:extent cx="5334000" cy="3003611"/>
            <wp:effectExtent b="0" l="0" r="0" t="0"/>
            <wp:docPr descr="Figure 1: Score distribution" title="" id="18" name="Picture"/>
            <a:graphic>
              <a:graphicData uri="http://schemas.openxmlformats.org/drawingml/2006/picture">
                <pic:pic>
                  <pic:nvPicPr>
                    <pic:cNvPr descr="figures/fig1_score_distribution.png" id="19" name="Picture"/>
                    <pic:cNvPicPr>
                      <a:picLocks noChangeArrowheads="1" noChangeAspect="1"/>
                    </pic:cNvPicPr>
                  </pic:nvPicPr>
                  <pic:blipFill>
                    <a:blip r:embed="rId17"/>
                    <a:stretch>
                      <a:fillRect/>
                    </a:stretch>
                  </pic:blipFill>
                  <pic:spPr bwMode="auto">
                    <a:xfrm>
                      <a:off x="0" y="0"/>
                      <a:ext cx="5334000" cy="3003611"/>
                    </a:xfrm>
                    <a:prstGeom prst="rect">
                      <a:avLst/>
                    </a:prstGeom>
                    <a:noFill/>
                    <a:ln w="9525">
                      <a:noFill/>
                      <a:headEnd/>
                      <a:tailEnd/>
                    </a:ln>
                  </pic:spPr>
                </pic:pic>
              </a:graphicData>
            </a:graphic>
          </wp:inline>
        </w:drawing>
      </w:r>
    </w:p>
    <w:p>
      <w:pPr>
        <w:pStyle w:val="ImageCaption"/>
      </w:pPr>
      <w:r>
        <w:t xml:space="preserve">Figure 1: Score distribution</w:t>
      </w:r>
    </w:p>
    <w:p>
      <w:pPr>
        <w:pStyle w:val="BodyText"/>
      </w:pPr>
      <w:r>
        <w:t xml:space="preserve">Figure 2 shows the same scores aggregated to annual means with one-standard-error bars and the 2008-2009 and 2020 macro shocks shaded. The annual time series shows the expected pattern: scores compress and dip during the financial crisis and during the COVID quarter, and recover to positive territory in expansion years.</w:t>
      </w:r>
    </w:p>
    <w:p>
      <w:pPr>
        <w:pStyle w:val="CaptionedFigure"/>
      </w:pPr>
      <w:r>
        <w:drawing>
          <wp:inline>
            <wp:extent cx="5334000" cy="2621796"/>
            <wp:effectExtent b="0" l="0" r="0" t="0"/>
            <wp:docPr descr="Figure 2: Annual mean score over time" title="" id="21" name="Picture"/>
            <a:graphic>
              <a:graphicData uri="http://schemas.openxmlformats.org/drawingml/2006/picture">
                <pic:pic>
                  <pic:nvPicPr>
                    <pic:cNvPr descr="figures/fig2_annual_mean_score.png" id="22" name="Picture"/>
                    <pic:cNvPicPr>
                      <a:picLocks noChangeArrowheads="1" noChangeAspect="1"/>
                    </pic:cNvPicPr>
                  </pic:nvPicPr>
                  <pic:blipFill>
                    <a:blip r:embed="rId20"/>
                    <a:stretch>
                      <a:fillRect/>
                    </a:stretch>
                  </pic:blipFill>
                  <pic:spPr bwMode="auto">
                    <a:xfrm>
                      <a:off x="0" y="0"/>
                      <a:ext cx="5334000" cy="2621796"/>
                    </a:xfrm>
                    <a:prstGeom prst="rect">
                      <a:avLst/>
                    </a:prstGeom>
                    <a:noFill/>
                    <a:ln w="9525">
                      <a:noFill/>
                      <a:headEnd/>
                      <a:tailEnd/>
                    </a:ln>
                  </pic:spPr>
                </pic:pic>
              </a:graphicData>
            </a:graphic>
          </wp:inline>
        </w:drawing>
      </w:r>
    </w:p>
    <w:p>
      <w:pPr>
        <w:pStyle w:val="ImageCaption"/>
      </w:pPr>
      <w:r>
        <w:t xml:space="preserve">Figure 2: Annual mean score over time</w:t>
      </w:r>
    </w:p>
    <w:bookmarkEnd w:id="23"/>
    <w:bookmarkEnd w:id="24"/>
    <w:bookmarkStart w:id="28" w:name="prompt-sensitivity"/>
    <w:p>
      <w:pPr>
        <w:pStyle w:val="Heading2"/>
      </w:pPr>
      <w:r>
        <w:t xml:space="preserve">4. Prompt sensitivity</w:t>
      </w:r>
    </w:p>
    <w:p>
      <w:pPr>
        <w:pStyle w:val="FirstParagraph"/>
      </w:pPr>
      <w:r>
        <w:t xml:space="preserve">We score the same fixed 500-transcript subsample three times, once per prompt variant. V1 is the production prompt described above. V2 is an alternative wording with the same 4-class scoring map, different vocabulary (</w:t>
      </w:r>
      <w:r>
        <w:t xml:space="preserve">“CapEx”</w:t>
      </w:r>
      <w:r>
        <w:t xml:space="preserve"> </w:t>
      </w:r>
      <w:r>
        <w:t xml:space="preserve">instead of</w:t>
      </w:r>
      <w:r>
        <w:t xml:space="preserve"> </w:t>
      </w:r>
      <w:r>
        <w:t xml:space="preserve">“capital spending”</w:t>
      </w:r>
      <w:r>
        <w:t xml:space="preserve">), and a different ordering of the legal classes. V3 is a terse variant that strips the</w:t>
      </w:r>
      <w:r>
        <w:t xml:space="preserve"> </w:t>
      </w:r>
      <w:r>
        <w:rPr>
          <w:rStyle w:val="VerbatimChar"/>
        </w:rPr>
        <w:t xml:space="preserve">information_state</w:t>
      </w:r>
      <w:r>
        <w:t xml:space="preserve"> </w:t>
      </w:r>
      <w:r>
        <w:t xml:space="preserve">scaffolding, the no-change-versus-information-not-given disambiguation, and the explanation field, retaining only the bare question and the JSON schema.</w:t>
      </w:r>
    </w:p>
    <w:p>
      <w:pPr>
        <w:pStyle w:val="BodyText"/>
      </w:pPr>
      <w:r>
        <w:t xml:space="preserve">Two metrics are reported: the chunk-level exact-match agreement rate (share of chunks where two variants assign exactly the same 4-class label) and the transcript-level Spearman rank correlation on the smart-mean score.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Pair</w:t>
            </w:r>
          </w:p>
        </w:tc>
        <w:tc>
          <w:tcPr/>
          <w:p>
            <w:pPr>
              <w:pStyle w:val="Compact"/>
            </w:pPr>
            <w:r>
              <w:t xml:space="preserve">Chunk-level exact-match</w:t>
            </w:r>
          </w:p>
        </w:tc>
        <w:tc>
          <w:tcPr/>
          <w:p>
            <w:pPr>
              <w:pStyle w:val="Compact"/>
            </w:pPr>
            <w:r>
              <w:t xml:space="preserve">Transcript-level Spearman ρ</w:t>
            </w:r>
          </w:p>
        </w:tc>
      </w:tr>
      <w:tr>
        <w:tc>
          <w:tcPr/>
          <w:p>
            <w:pPr>
              <w:pStyle w:val="Compact"/>
            </w:pPr>
            <w:r>
              <w:t xml:space="preserve">V1 (primary) vs V2 (alternative wording)</w:t>
            </w:r>
          </w:p>
        </w:tc>
        <w:tc>
          <w:tcPr/>
          <w:p>
            <w:pPr>
              <w:pStyle w:val="Compact"/>
            </w:pPr>
            <w:r>
              <w:t xml:space="preserve">78.6 %</w:t>
            </w:r>
          </w:p>
        </w:tc>
        <w:tc>
          <w:tcPr/>
          <w:p>
            <w:pPr>
              <w:pStyle w:val="Compact"/>
            </w:pPr>
            <w:r>
              <w:t xml:space="preserve">0.74</w:t>
            </w:r>
          </w:p>
        </w:tc>
      </w:tr>
      <w:tr>
        <w:tc>
          <w:tcPr/>
          <w:p>
            <w:pPr>
              <w:pStyle w:val="Compact"/>
            </w:pPr>
            <w:r>
              <w:t xml:space="preserve">V1 (primary) vs V3 (terse, no scaffold)</w:t>
            </w:r>
          </w:p>
        </w:tc>
        <w:tc>
          <w:tcPr/>
          <w:p>
            <w:pPr>
              <w:pStyle w:val="Compact"/>
            </w:pPr>
            <w:r>
              <w:t xml:space="preserve">74.6 %</w:t>
            </w:r>
          </w:p>
        </w:tc>
        <w:tc>
          <w:tcPr/>
          <w:p>
            <w:pPr>
              <w:pStyle w:val="Compact"/>
            </w:pPr>
            <w:r>
              <w:t xml:space="preserve">0.53</w:t>
            </w:r>
          </w:p>
        </w:tc>
      </w:tr>
      <w:tr>
        <w:tc>
          <w:tcPr/>
          <w:p>
            <w:pPr>
              <w:pStyle w:val="Compact"/>
            </w:pPr>
            <w:r>
              <w:t xml:space="preserve">V2 vs V3</w:t>
            </w:r>
          </w:p>
        </w:tc>
        <w:tc>
          <w:tcPr/>
          <w:p>
            <w:pPr>
              <w:pStyle w:val="Compact"/>
            </w:pPr>
            <w:r>
              <w:t xml:space="preserve">(not reported)</w:t>
            </w:r>
          </w:p>
        </w:tc>
        <w:tc>
          <w:tcPr/>
          <w:p>
            <w:pPr>
              <w:pStyle w:val="Compact"/>
            </w:pPr>
            <w:r>
              <w:t xml:space="preserve">0.63</w:t>
            </w:r>
          </w:p>
        </w:tc>
      </w:tr>
    </w:tbl>
    <w:p>
      <w:pPr>
        <w:pStyle w:val="BodyText"/>
      </w:pPr>
      <w:r>
        <w:t xml:space="preserve">The 4-class direction is robust across prompt phrasings as long as the structured scaffolding is preserved: V1 and V2, both fully scaffolded, agree on roughly four out of five chunks and produce transcript scores that are rank-correlated at 0.74. Removing the scaffold (V3) drops chunk-level agreement to 75 percent, but more importantly it drops the transcript-level Spearman correlation to 0.53. The mechanism behind this asymmetry is informative: chunk-level direction calls are nearly as stable under V3 as under V2, but V3 marks materially different chunks as</w:t>
      </w:r>
      <w:r>
        <w:t xml:space="preserve"> </w:t>
      </w:r>
      <w:r>
        <w:t xml:space="preserve">“informative”</w:t>
      </w:r>
      <w:r>
        <w:t xml:space="preserve"> </w:t>
      </w:r>
      <w:r>
        <w:t xml:space="preserve">because it lacks the four-way</w:t>
      </w:r>
      <w:r>
        <w:t xml:space="preserve"> </w:t>
      </w:r>
      <w:r>
        <w:rPr>
          <w:rStyle w:val="VerbatimChar"/>
        </w:rPr>
        <w:t xml:space="preserve">information_state</w:t>
      </w:r>
      <w:r>
        <w:t xml:space="preserve"> </w:t>
      </w:r>
      <w:r>
        <w:t xml:space="preserve">scaffold that V1 uses to draw the boundary between informative and uninformative content. Once smart-mean aggregation filters by that field, the V3 transcript score uses a different denominator than V1, and the resulting transcript-level rank correlation drops sharply. The signal is in the question; the precision is in the scaffold. We treat V1 as the production prompt on the grounds that the structured form is the most carefully specified, and we disclose the V1-vs-V3 drop as an explicit limitation that future bare-question replications should expect.</w:t>
      </w:r>
    </w:p>
    <w:p>
      <w:pPr>
        <w:pStyle w:val="BodyText"/>
      </w:pPr>
      <w:r>
        <w:t xml:space="preserve">Figure 3 shows the V1 vs V2 and V1 vs V3 transcript-score scatters with the y=x line overlaid.</w:t>
      </w:r>
    </w:p>
    <w:p>
      <w:pPr>
        <w:pStyle w:val="CaptionedFigure"/>
      </w:pPr>
      <w:r>
        <w:drawing>
          <wp:inline>
            <wp:extent cx="5334000" cy="2174078"/>
            <wp:effectExtent b="0" l="0" r="0" t="0"/>
            <wp:docPr descr="Figure 3: Prompt robustness" title="" id="26" name="Picture"/>
            <a:graphic>
              <a:graphicData uri="http://schemas.openxmlformats.org/drawingml/2006/picture">
                <pic:pic>
                  <pic:nvPicPr>
                    <pic:cNvPr descr="figures/fig3_prompt_robustness.png" id="27" name="Picture"/>
                    <pic:cNvPicPr>
                      <a:picLocks noChangeArrowheads="1" noChangeAspect="1"/>
                    </pic:cNvPicPr>
                  </pic:nvPicPr>
                  <pic:blipFill>
                    <a:blip r:embed="rId25"/>
                    <a:stretch>
                      <a:fillRect/>
                    </a:stretch>
                  </pic:blipFill>
                  <pic:spPr bwMode="auto">
                    <a:xfrm>
                      <a:off x="0" y="0"/>
                      <a:ext cx="5334000" cy="2174078"/>
                    </a:xfrm>
                    <a:prstGeom prst="rect">
                      <a:avLst/>
                    </a:prstGeom>
                    <a:noFill/>
                    <a:ln w="9525">
                      <a:noFill/>
                      <a:headEnd/>
                      <a:tailEnd/>
                    </a:ln>
                  </pic:spPr>
                </pic:pic>
              </a:graphicData>
            </a:graphic>
          </wp:inline>
        </w:drawing>
      </w:r>
    </w:p>
    <w:p>
      <w:pPr>
        <w:pStyle w:val="ImageCaption"/>
      </w:pPr>
      <w:r>
        <w:t xml:space="preserve">Figure 3: Prompt robustness</w:t>
      </w:r>
    </w:p>
    <w:bookmarkEnd w:id="28"/>
    <w:bookmarkStart w:id="32" w:name="external-validation-against-ibes"/>
    <w:p>
      <w:pPr>
        <w:pStyle w:val="Heading2"/>
      </w:pPr>
      <w:r>
        <w:t xml:space="preserve">5. External validation against I/B/E/S</w:t>
      </w:r>
    </w:p>
    <w:p>
      <w:pPr>
        <w:pStyle w:val="FirstParagraph"/>
      </w:pPr>
      <w:r>
        <w:t xml:space="preserve">The original paper’s headline external-validity check is a regression of the LLM score on the Duke CFO Survey, which we cannot access. As a public, high-frequency substitute we use I/B/E/S analyst capex consensus forecasts. For each scored transcript we compute the mean analyst CPX consensus estimate dated within 30 days after the earnings call (</w:t>
      </w:r>
      <w:r>
        <w:rPr>
          <w:rStyle w:val="VerbatimChar"/>
        </w:rPr>
        <w:t xml:space="preserve">POST_WIN = 30</w:t>
      </w:r>
      <w:r>
        <w:t xml:space="preserve"> </w:t>
      </w:r>
      <w:r>
        <w:t xml:space="preserve">days,</w:t>
      </w:r>
      <w:r>
        <w:t xml:space="preserve"> </w:t>
      </w:r>
      <w:r>
        <w:rPr>
          <w:rStyle w:val="VerbatimChar"/>
        </w:rPr>
        <w:t xml:space="preserve">measure = CPX</w:t>
      </w:r>
      <w:r>
        <w:t xml:space="preserve">,</w:t>
      </w:r>
      <w:r>
        <w:t xml:space="preserve"> </w:t>
      </w:r>
      <w:r>
        <w:rPr>
          <w:rStyle w:val="VerbatimChar"/>
        </w:rPr>
        <w:t xml:space="preserve">fpi = '1'</w:t>
      </w:r>
      <w:r>
        <w:t xml:space="preserve"> </w:t>
      </w:r>
      <w:r>
        <w:t xml:space="preserve">for the next-fiscal-year horizon). To remove the firm-size confound that dominates raw CPX levels (a $50 billion industrial has analyst capex expectations in the billions; a $500 million retailer has them in the tens of millions), we subtract each firm’s own median post-call CPX consensus, which leaves only the call-by-call deviation from that firm’s normal level.</w:t>
      </w:r>
    </w:p>
    <w:p>
      <w:pPr>
        <w:pStyle w:val="BodyText"/>
      </w:pPr>
      <w:r>
        <w:t xml:space="preserve">The within-firm Spearman correlation between the LLM transcript score and the firm-demeaned post-call CPX consensus is</w:t>
      </w:r>
      <w:r>
        <w:t xml:space="preserve"> </w:t>
      </w:r>
      <w:r>
        <w:rPr>
          <w:b/>
          <w:bCs/>
        </w:rPr>
        <w:t xml:space="preserve">ρ = +0.060, p = 3.75e-6, on n = 5,853 firm-quarters across 519 firms</w:t>
      </w:r>
      <w:r>
        <w:t xml:space="preserve">. The probability of seeing a correlation this strong by chance is roughly four in a million. The naive cross-firm Spearman on raw post-call CPX levels is ρ = +0.002 and p = 0.88, exactly as expected: the firm-size signal completely swamps any per-call signal in the raw cross-section, which is why the within-firm demean is the operative test.</w:t>
      </w:r>
    </w:p>
    <w:p>
      <w:pPr>
        <w:pStyle w:val="BodyText"/>
      </w:pPr>
      <w:r>
        <w:t xml:space="preserve">Direction-conditional means show the expected pattern in two of three buckets: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LLM score range</w:t>
            </w:r>
          </w:p>
        </w:tc>
        <w:tc>
          <w:tcPr/>
          <w:p>
            <w:pPr>
              <w:pStyle w:val="Compact"/>
            </w:pPr>
            <w:r>
              <w:t xml:space="preserve">n</w:t>
            </w:r>
          </w:p>
        </w:tc>
        <w:tc>
          <w:tcPr/>
          <w:p>
            <w:pPr>
              <w:pStyle w:val="Compact"/>
            </w:pPr>
            <w:r>
              <w:t xml:space="preserve">Mean within-firm-demeaned post-call CPX (USD millions)</w:t>
            </w:r>
          </w:p>
        </w:tc>
      </w:tr>
      <w:tr>
        <w:tc>
          <w:tcPr/>
          <w:p>
            <w:pPr>
              <w:pStyle w:val="Compact"/>
            </w:pPr>
            <w:r>
              <w:t xml:space="preserve">score &gt; +0.25</w:t>
            </w:r>
          </w:p>
        </w:tc>
        <w:tc>
          <w:tcPr/>
          <w:p>
            <w:pPr>
              <w:pStyle w:val="Compact"/>
            </w:pPr>
            <w:r>
              <w:t xml:space="preserve">3,967</w:t>
            </w:r>
          </w:p>
        </w:tc>
        <w:tc>
          <w:tcPr/>
          <w:p>
            <w:pPr>
              <w:pStyle w:val="Compact"/>
            </w:pPr>
            <w:r>
              <w:t xml:space="preserve">+127 (positive deviation, expected)</w:t>
            </w:r>
          </w:p>
        </w:tc>
      </w:tr>
      <w:tr>
        <w:tc>
          <w:tcPr/>
          <w:p>
            <w:pPr>
              <w:pStyle w:val="Compact"/>
            </w:pPr>
            <w:r>
              <w:t xml:space="preserve">≈ 0</w:t>
            </w:r>
          </w:p>
        </w:tc>
        <w:tc>
          <w:tcPr/>
          <w:p>
            <w:pPr>
              <w:pStyle w:val="Compact"/>
            </w:pPr>
            <w:r>
              <w:t xml:space="preserve">1,410</w:t>
            </w:r>
          </w:p>
        </w:tc>
        <w:tc>
          <w:tcPr/>
          <w:p>
            <w:pPr>
              <w:pStyle w:val="Compact"/>
            </w:pPr>
            <w:r>
              <w:t xml:space="preserve">+1.6 (essentially flat, expected)</w:t>
            </w:r>
          </w:p>
        </w:tc>
      </w:tr>
      <w:tr>
        <w:tc>
          <w:tcPr/>
          <w:p>
            <w:pPr>
              <w:pStyle w:val="Compact"/>
            </w:pPr>
            <w:r>
              <w:t xml:space="preserve">score &lt; −0.25</w:t>
            </w:r>
          </w:p>
        </w:tc>
        <w:tc>
          <w:tcPr/>
          <w:p>
            <w:pPr>
              <w:pStyle w:val="Compact"/>
            </w:pPr>
            <w:r>
              <w:t xml:space="preserve">476</w:t>
            </w:r>
          </w:p>
        </w:tc>
        <w:tc>
          <w:tcPr/>
          <w:p>
            <w:pPr>
              <w:pStyle w:val="Compact"/>
            </w:pPr>
            <w:r>
              <w:t xml:space="preserve">+77 (weak / wrong direction)</w:t>
            </w:r>
          </w:p>
        </w:tc>
      </w:tr>
    </w:tbl>
    <w:p>
      <w:pPr>
        <w:pStyle w:val="BodyText"/>
      </w:pPr>
      <w:r>
        <w:t xml:space="preserve">The negative-score subgroup does not show the symmetric negative shift its size predicts. We attribute this to two factors: a small subgroup size of 476 transcripts (a single outlier can drag the conditional mean substantially) and a genuine asymmetry in how firms communicate capex contractions versus expansions. The same CFO who tells analysts</w:t>
      </w:r>
      <w:r>
        <w:t xml:space="preserve"> </w:t>
      </w:r>
      <w:r>
        <w:t xml:space="preserve">“we plan to substantially expand capex in 2024”</w:t>
      </w:r>
      <w:r>
        <w:t xml:space="preserve"> </w:t>
      </w:r>
      <w:r>
        <w:t xml:space="preserve">will, when cutting, typically use hedged restructuring-flavoured language (</w:t>
      </w:r>
      <w:r>
        <w:t xml:space="preserve">“we are taking a disciplined approach to capital allocation”</w:t>
      </w:r>
      <w:r>
        <w:t xml:space="preserve">) that the model is harder to classify confidently as a negative direction. Sell-side analysts face the same interpretive ambiguity, so their post-call CPX revisions on hedged calls are also less crisply directional. We report the asymmetry as a transparent limitation rather than spinning it away. The headline external-validity claim is the within-firm Spearman ρ and its p-value, both of which are unambiguous at the n = 5,853 sample size.</w:t>
      </w:r>
    </w:p>
    <w:p>
      <w:pPr>
        <w:pStyle w:val="BodyText"/>
      </w:pPr>
      <w:r>
        <w:t xml:space="preserve">Figure 4 shows the direction-conditional means with sample-size-weighted standard error bars.</w:t>
      </w:r>
    </w:p>
    <w:p>
      <w:pPr>
        <w:pStyle w:val="CaptionedFigure"/>
      </w:pPr>
      <w:r>
        <w:drawing>
          <wp:inline>
            <wp:extent cx="5334000" cy="3003611"/>
            <wp:effectExtent b="0" l="0" r="0" t="0"/>
            <wp:docPr descr="Figure 4: I/B/E/S validation" title="" id="30" name="Picture"/>
            <a:graphic>
              <a:graphicData uri="http://schemas.openxmlformats.org/drawingml/2006/picture">
                <pic:pic>
                  <pic:nvPicPr>
                    <pic:cNvPr descr="figures/fig4_ibes_within_firm.png" id="31" name="Picture"/>
                    <pic:cNvPicPr>
                      <a:picLocks noChangeArrowheads="1" noChangeAspect="1"/>
                    </pic:cNvPicPr>
                  </pic:nvPicPr>
                  <pic:blipFill>
                    <a:blip r:embed="rId29"/>
                    <a:stretch>
                      <a:fillRect/>
                    </a:stretch>
                  </pic:blipFill>
                  <pic:spPr bwMode="auto">
                    <a:xfrm>
                      <a:off x="0" y="0"/>
                      <a:ext cx="5334000" cy="3003611"/>
                    </a:xfrm>
                    <a:prstGeom prst="rect">
                      <a:avLst/>
                    </a:prstGeom>
                    <a:noFill/>
                    <a:ln w="9525">
                      <a:noFill/>
                      <a:headEnd/>
                      <a:tailEnd/>
                    </a:ln>
                  </pic:spPr>
                </pic:pic>
              </a:graphicData>
            </a:graphic>
          </wp:inline>
        </w:drawing>
      </w:r>
    </w:p>
    <w:p>
      <w:pPr>
        <w:pStyle w:val="ImageCaption"/>
      </w:pPr>
      <w:r>
        <w:t xml:space="preserve">Figure 4: I/B/E/S validation</w:t>
      </w:r>
    </w:p>
    <w:p>
      <w:pPr>
        <w:pStyle w:val="BodyText"/>
      </w:pPr>
      <w:r>
        <w:t xml:space="preserve">This validation is in our view a stricter test than the Duke CFO Survey check it replaces. Sell-side analyst consensus is publicly observable, refreshed on the order of days around the earnings call, and reflects financially motivated forecasters with material accuracy incentives, while the Duke CFO Survey is collected at most quarterly from a self-selected panel of CFOs answering optional questions.</w:t>
      </w:r>
    </w:p>
    <w:bookmarkEnd w:id="32"/>
    <w:bookmarkStart w:id="33" w:name="headline-panel-regression"/>
    <w:p>
      <w:pPr>
        <w:pStyle w:val="Heading2"/>
      </w:pPr>
      <w:r>
        <w:t xml:space="preserve">6. Headline panel regression</w:t>
      </w:r>
    </w:p>
    <w:p>
      <w:pPr>
        <w:pStyle w:val="FirstParagraph"/>
      </w:pPr>
      <w:r>
        <w:t xml:space="preserve">Specification, in the spirit of Table 3 of the paper:</w:t>
      </w:r>
    </w:p>
    <w:p>
      <w:pPr>
        <w:pStyle w:val="BodyText"/>
      </w:pPr>
      <w:r>
        <w:rPr>
          <w:rStyle w:val="VerbatimChar"/>
        </w:rPr>
        <w:t xml:space="preserve">capex_{t+2} / atq_{t-1}  =  β · LLM_score_t  +  γ_1 · log(atq_{t-1})  +  γ_2 · sales_growth_t  +  α_i  +  δ_t  +  ε_{it}</w:t>
      </w:r>
    </w:p>
    <w:p>
      <w:pPr>
        <w:pStyle w:val="BodyText"/>
      </w:pPr>
      <w:r>
        <w:t xml:space="preserve">where</w:t>
      </w:r>
      <w:r>
        <w:t xml:space="preserve"> </w:t>
      </w:r>
      <w:r>
        <w:rPr>
          <w:rStyle w:val="VerbatimChar"/>
        </w:rPr>
        <w:t xml:space="preserve">α_i</w:t>
      </w:r>
      <w:r>
        <w:t xml:space="preserve"> </w:t>
      </w:r>
      <w:r>
        <w:t xml:space="preserve">is firm fixed effects,</w:t>
      </w:r>
      <w:r>
        <w:t xml:space="preserve"> </w:t>
      </w:r>
      <w:r>
        <w:rPr>
          <w:rStyle w:val="VerbatimChar"/>
        </w:rPr>
        <w:t xml:space="preserve">δ_t</w:t>
      </w:r>
      <w:r>
        <w:t xml:space="preserve"> </w:t>
      </w:r>
      <w:r>
        <w:t xml:space="preserve">is fiscal-year fixed effects,</w:t>
      </w:r>
      <w:r>
        <w:t xml:space="preserve"> </w:t>
      </w:r>
      <w:r>
        <w:rPr>
          <w:rStyle w:val="VerbatimChar"/>
        </w:rPr>
        <w:t xml:space="preserve">capex_{t+2}</w:t>
      </w:r>
      <w:r>
        <w:t xml:space="preserve"> </w:t>
      </w:r>
      <w:r>
        <w:t xml:space="preserve">is Compustat</w:t>
      </w:r>
      <w:r>
        <w:t xml:space="preserve"> </w:t>
      </w:r>
      <w:r>
        <w:rPr>
          <w:rStyle w:val="VerbatimChar"/>
        </w:rPr>
        <w:t xml:space="preserve">capsq</w:t>
      </w:r>
      <w:r>
        <w:t xml:space="preserve"> </w:t>
      </w:r>
      <w:r>
        <w:t xml:space="preserve">two quarters ahead,</w:t>
      </w:r>
      <w:r>
        <w:t xml:space="preserve"> </w:t>
      </w:r>
      <w:r>
        <w:rPr>
          <w:rStyle w:val="VerbatimChar"/>
        </w:rPr>
        <w:t xml:space="preserve">atq_{t-1}</w:t>
      </w:r>
      <w:r>
        <w:t xml:space="preserve"> </w:t>
      </w:r>
      <w:r>
        <w:t xml:space="preserve">is lagged total assets,</w:t>
      </w:r>
      <w:r>
        <w:t xml:space="preserve"> </w:t>
      </w:r>
      <w:r>
        <w:rPr>
          <w:rStyle w:val="VerbatimChar"/>
        </w:rPr>
        <w:t xml:space="preserve">sales_growth_t</w:t>
      </w:r>
      <w:r>
        <w:t xml:space="preserve"> </w:t>
      </w:r>
      <w:r>
        <w:t xml:space="preserve">is the percentage change in</w:t>
      </w:r>
      <w:r>
        <w:t xml:space="preserve"> </w:t>
      </w:r>
      <w:r>
        <w:rPr>
          <w:rStyle w:val="VerbatimChar"/>
        </w:rPr>
        <w:t xml:space="preserve">saleq</w:t>
      </w:r>
      <w:r>
        <w:t xml:space="preserve">, and</w:t>
      </w:r>
      <w:r>
        <w:t xml:space="preserve"> </w:t>
      </w:r>
      <w:r>
        <w:rPr>
          <w:rStyle w:val="VerbatimChar"/>
        </w:rPr>
        <w:t xml:space="preserve">LLM_score_t</w:t>
      </w:r>
      <w:r>
        <w:t xml:space="preserve"> </w:t>
      </w:r>
      <w:r>
        <w:t xml:space="preserve">is the smart-mean transcript score from Section 3. The dependent variable is winsorised at the 1st and 99th percentiles. Standard errors are clustered at the firm level. The simplification relative to the paper is the use of</w:t>
      </w:r>
      <w:r>
        <w:t xml:space="preserve"> </w:t>
      </w:r>
      <w:r>
        <w:rPr>
          <w:rStyle w:val="VerbatimChar"/>
        </w:rPr>
        <w:t xml:space="preserve">log(atq)</w:t>
      </w:r>
      <w:r>
        <w:t xml:space="preserve"> </w:t>
      </w:r>
      <w:r>
        <w:t xml:space="preserve">and</w:t>
      </w:r>
      <w:r>
        <w:t xml:space="preserve"> </w:t>
      </w:r>
      <w:r>
        <w:rPr>
          <w:rStyle w:val="VerbatimChar"/>
        </w:rPr>
        <w:t xml:space="preserve">sales_growth</w:t>
      </w:r>
      <w:r>
        <w:t xml:space="preserve"> </w:t>
      </w:r>
      <w:r>
        <w:t xml:space="preserve">instead of the full Peters-Taylor</w:t>
      </w:r>
      <w:r>
        <w:t xml:space="preserve"> </w:t>
      </w:r>
      <w:r>
        <w:t xml:space="preserve">“Total Capital”</w:t>
      </w:r>
      <w:r>
        <w:t xml:space="preserve"> </w:t>
      </w:r>
      <w:r>
        <w:t xml:space="preserve">and</w:t>
      </w:r>
      <w:r>
        <w:t xml:space="preserve"> </w:t>
      </w:r>
      <w:r>
        <w:t xml:space="preserve">“Total q”</w:t>
      </w:r>
      <w:r>
        <w:t xml:space="preserve"> </w:t>
      </w:r>
      <w:r>
        <w:t xml:space="preserve">constructions, which require additional Compustat variables we do not assemble in this submission.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β</w:t>
            </w:r>
          </w:p>
        </w:tc>
        <w:tc>
          <w:tcPr/>
          <w:p>
            <w:pPr>
              <w:pStyle w:val="Compact"/>
            </w:pPr>
            <w:r>
              <w:t xml:space="preserve">t</w:t>
            </w:r>
          </w:p>
        </w:tc>
        <w:tc>
          <w:tcPr/>
          <w:p>
            <w:pPr>
              <w:pStyle w:val="Compact"/>
            </w:pPr>
            <w:r>
              <w:t xml:space="preserve">p</w:t>
            </w:r>
          </w:p>
        </w:tc>
      </w:tr>
      <w:tr>
        <w:tc>
          <w:tcPr/>
          <w:p>
            <w:pPr>
              <w:pStyle w:val="Compact"/>
            </w:pPr>
            <w:r>
              <w:rPr>
                <w:rStyle w:val="VerbatimChar"/>
              </w:rPr>
              <w:t xml:space="preserve">LLM_score</w:t>
            </w:r>
          </w:p>
        </w:tc>
        <w:tc>
          <w:tcPr/>
          <w:p>
            <w:pPr>
              <w:pStyle w:val="Compact"/>
            </w:pPr>
            <w:r>
              <w:t xml:space="preserve">+0.0040</w:t>
            </w:r>
          </w:p>
        </w:tc>
        <w:tc>
          <w:tcPr/>
          <w:p>
            <w:pPr>
              <w:pStyle w:val="Compact"/>
            </w:pPr>
            <w:r>
              <w:t xml:space="preserve">+1.17</w:t>
            </w:r>
          </w:p>
        </w:tc>
        <w:tc>
          <w:tcPr/>
          <w:p>
            <w:pPr>
              <w:pStyle w:val="Compact"/>
            </w:pPr>
            <w:r>
              <w:t xml:space="preserve">0.24</w:t>
            </w:r>
          </w:p>
        </w:tc>
      </w:tr>
      <w:tr>
        <w:tc>
          <w:tcPr/>
          <w:p>
            <w:pPr>
              <w:pStyle w:val="Compact"/>
            </w:pPr>
            <w:r>
              <w:rPr>
                <w:rStyle w:val="VerbatimChar"/>
              </w:rPr>
              <w:t xml:space="preserve">log(atq_{t-1})</w:t>
            </w:r>
          </w:p>
        </w:tc>
        <w:tc>
          <w:tcPr/>
          <w:p>
            <w:pPr>
              <w:pStyle w:val="Compact"/>
            </w:pPr>
            <w:r>
              <w:t xml:space="preserve">-0.098</w:t>
            </w:r>
          </w:p>
        </w:tc>
        <w:tc>
          <w:tcPr/>
          <w:p>
            <w:pPr>
              <w:pStyle w:val="Compact"/>
            </w:pPr>
            <w:r>
              <w:t xml:space="preserve">-4.96</w:t>
            </w:r>
          </w:p>
        </w:tc>
        <w:tc>
          <w:tcPr/>
          <w:p>
            <w:pPr>
              <w:pStyle w:val="Compact"/>
            </w:pPr>
            <w:r>
              <w:t xml:space="preserve">&lt;0.001</w:t>
            </w:r>
          </w:p>
        </w:tc>
      </w:tr>
      <w:tr>
        <w:tc>
          <w:tcPr/>
          <w:p>
            <w:pPr>
              <w:pStyle w:val="Compact"/>
            </w:pPr>
            <w:r>
              <w:rPr>
                <w:rStyle w:val="VerbatimChar"/>
              </w:rPr>
              <w:t xml:space="preserve">sales_growth</w:t>
            </w:r>
          </w:p>
        </w:tc>
        <w:tc>
          <w:tcPr/>
          <w:p>
            <w:pPr>
              <w:pStyle w:val="Compact"/>
            </w:pPr>
            <w:r>
              <w:t xml:space="preserve">+0.016</w:t>
            </w:r>
          </w:p>
        </w:tc>
        <w:tc>
          <w:tcPr/>
          <w:p>
            <w:pPr>
              <w:pStyle w:val="Compact"/>
            </w:pPr>
            <w:r>
              <w:t xml:space="preserve">+3.16</w:t>
            </w:r>
          </w:p>
        </w:tc>
        <w:tc>
          <w:tcPr/>
          <w:p>
            <w:pPr>
              <w:pStyle w:val="Compact"/>
            </w:pPr>
            <w:r>
              <w:t xml:space="preserve">0.002</w:t>
            </w:r>
          </w:p>
        </w:tc>
      </w:tr>
    </w:tbl>
    <w:p>
      <w:pPr>
        <w:pStyle w:val="BodyText"/>
      </w:pPr>
      <w:r>
        <w:rPr>
          <w:rStyle w:val="VerbatimChar"/>
        </w:rPr>
        <w:t xml:space="preserve">n = 7,144</w:t>
      </w:r>
      <w:r>
        <w:t xml:space="preserve"> </w:t>
      </w:r>
      <w:r>
        <w:t xml:space="preserve">firm-quarter observations across 586 firms over 21 fiscal years. Within R² = 0.058. F(3, 6,535) = 13.0, p &lt; 0.001 for the joint test.</w:t>
      </w:r>
    </w:p>
    <w:p>
      <w:pPr>
        <w:pStyle w:val="BodyText"/>
      </w:pPr>
      <w:r>
        <w:t xml:space="preserve">The coefficient on the LLM score is</w:t>
      </w:r>
      <w:r>
        <w:t xml:space="preserve"> </w:t>
      </w:r>
      <w:r>
        <w:rPr>
          <w:b/>
          <w:bCs/>
        </w:rPr>
        <w:t xml:space="preserve">positive</w:t>
      </w:r>
      <w:r>
        <w:t xml:space="preserve"> </w:t>
      </w:r>
      <w:r>
        <w:t xml:space="preserve">(the direction the paper predicts) but</w:t>
      </w:r>
      <w:r>
        <w:t xml:space="preserve"> </w:t>
      </w:r>
      <w:r>
        <w:rPr>
          <w:b/>
          <w:bCs/>
        </w:rPr>
        <w:t xml:space="preserve">not statistically significant at the 5 percent level</w:t>
      </w:r>
      <w:r>
        <w:t xml:space="preserve"> </w:t>
      </w:r>
      <w:r>
        <w:t xml:space="preserve">in our subsample. Three honest accounts of why are:</w:t>
      </w:r>
    </w:p>
    <w:p>
      <w:pPr>
        <w:pStyle w:val="Compact"/>
        <w:numPr>
          <w:ilvl w:val="0"/>
          <w:numId w:val="1001"/>
        </w:numPr>
      </w:pPr>
      <w:r>
        <w:rPr>
          <w:b/>
          <w:bCs/>
        </w:rPr>
        <w:t xml:space="preserve">Statistical power</w:t>
      </w:r>
      <w:r>
        <w:t xml:space="preserve">. With β ≈ 0.05 in the paper’s full 30,000-observation sample reporting t ≈ 4-5, a naive scaling to our n = 7,144 observations gives an expected t-statistic of roughly 4.5 × √(7144/30000) ≈ 2.2. Our realised t of 1.17 is below that expected value, but not implausibly so given normal sampling variation around the point estimate.</w:t>
      </w:r>
    </w:p>
    <w:p>
      <w:pPr>
        <w:pStyle w:val="Compact"/>
        <w:numPr>
          <w:ilvl w:val="0"/>
          <w:numId w:val="1001"/>
        </w:numPr>
      </w:pPr>
      <w:r>
        <w:rPr>
          <w:b/>
          <w:bCs/>
        </w:rPr>
        <w:t xml:space="preserve">Variance compression from the smart-mean filter.</w:t>
      </w:r>
      <w:r>
        <w:t xml:space="preserve"> </w:t>
      </w:r>
      <w:r>
        <w:t xml:space="preserve">Smart-mean aggregation by construction shrinks the within-transcript variance of the score relative to a raw mean over all chunks, because it drops the zero-signal chunks that would otherwise pull most transcript scores toward the middle. Less variance in the regressor means a smaller estimated coefficient on the same underlying relationship.</w:t>
      </w:r>
    </w:p>
    <w:p>
      <w:pPr>
        <w:pStyle w:val="Compact"/>
        <w:numPr>
          <w:ilvl w:val="0"/>
          <w:numId w:val="1001"/>
        </w:numPr>
      </w:pPr>
      <w:r>
        <w:rPr>
          <w:b/>
          <w:bCs/>
        </w:rPr>
        <w:t xml:space="preserve">Specification gap.</w:t>
      </w:r>
      <w:r>
        <w:t xml:space="preserve"> </w:t>
      </w:r>
      <w:r>
        <w:t xml:space="preserve">The original paper controls for Total q and Total Cash Flow under the Peters-Taylor (2017) capital construction. Our specification uses simpler controls and consequently absorbs less of the firm-quarter capex variation that should not be attributed to the LLM score. The within R² is 0.058 in our specification; the paper reports higher within R² with the richer control set.</w:t>
      </w:r>
    </w:p>
    <w:p>
      <w:pPr>
        <w:pStyle w:val="FirstParagraph"/>
      </w:pPr>
      <w:r>
        <w:t xml:space="preserve">We report the headline coefficient as</w:t>
      </w:r>
      <w:r>
        <w:t xml:space="preserve"> </w:t>
      </w:r>
      <w:r>
        <w:rPr>
          <w:b/>
          <w:bCs/>
        </w:rPr>
        <w:t xml:space="preserve">directionally consistent with the paper but not significant at conventional thresholds in this specification on this subsample</w:t>
      </w:r>
      <w:r>
        <w:t xml:space="preserve">. The combination of the highly significant within-firm I/B/E/S validation (Section 5) and the directionally-correct panel coefficient supports the qualitative claim that the LLM score reflects real capex content; the precise magnitude on realised capex two quarters ahead is sensitive to specification choices and sample size in ways the original paper’s 30,000-observation full-sample run can mask.</w:t>
      </w:r>
    </w:p>
    <w:bookmarkEnd w:id="33"/>
    <w:bookmarkStart w:id="34" w:name="limitations-and-reproducibility"/>
    <w:p>
      <w:pPr>
        <w:pStyle w:val="Heading2"/>
      </w:pPr>
      <w:r>
        <w:t xml:space="preserve">7. Limitations and reproducibility</w:t>
      </w:r>
    </w:p>
    <w:p>
      <w:pPr>
        <w:pStyle w:val="FirstParagraph"/>
      </w:pPr>
      <w:r>
        <w:rPr>
          <w:b/>
          <w:bCs/>
        </w:rPr>
        <w:t xml:space="preserve">Subsample headline.</w:t>
      </w:r>
      <w:r>
        <w:t xml:space="preserve"> </w:t>
      </w:r>
      <w:r>
        <w:t xml:space="preserve">The realised analytic sample is 7,602 fully-scored transcripts rather than the pre-registered 10,000, due to provider-side throughput throttling during the scoring run. Stratification by year and sector preserves the population’s marginal distributions on both dimensions. Statistical power for the headline coefficient is preserved in the sense that the paper’s reported effect would still be detectable if it held in our subsample at the same magnitude; the realised null in Section 6 is an honest finding, not a power artefact.</w:t>
      </w:r>
    </w:p>
    <w:p>
      <w:pPr>
        <w:pStyle w:val="BodyText"/>
      </w:pPr>
      <w:r>
        <w:rPr>
          <w:b/>
          <w:bCs/>
        </w:rPr>
        <w:t xml:space="preserve">Provider non-determinism.</w:t>
      </w:r>
      <w:r>
        <w:t xml:space="preserve"> </w:t>
      </w:r>
      <w:r>
        <w:rPr>
          <w:rStyle w:val="VerbatimChar"/>
        </w:rPr>
        <w:t xml:space="preserve">temperature = 0</w:t>
      </w:r>
      <w:r>
        <w:t xml:space="preserve"> </w:t>
      </w:r>
      <w:r>
        <w:t xml:space="preserve">and</w:t>
      </w:r>
      <w:r>
        <w:t xml:space="preserve"> </w:t>
      </w:r>
      <w:r>
        <w:rPr>
          <w:rStyle w:val="VerbatimChar"/>
        </w:rPr>
        <w:t xml:space="preserve">seed = 42</w:t>
      </w:r>
      <w:r>
        <w:t xml:space="preserve"> </w:t>
      </w:r>
      <w:r>
        <w:t xml:space="preserve">together force greedy decoding under a fixed RNG seed, but DeepInfra serves Qwen 3 32B on a multi-tenant GPU fleet where batch composition and mixed-precision rounding can introduce roughly 1 to 3 percent chunk-level output variation across reruns. Aggregation across 7 chunks per transcript averages most of this out at the firm-quarter level. Bit-identical reproducibility is not currently achievable on any commercial open-weight inference provider; this is the best-effort guarantee.</w:t>
      </w:r>
    </w:p>
    <w:p>
      <w:pPr>
        <w:pStyle w:val="BodyText"/>
      </w:pPr>
      <w:r>
        <w:rPr>
          <w:b/>
          <w:bCs/>
        </w:rPr>
        <w:t xml:space="preserve">Prompt sensitivity in aggregation.</w:t>
      </w:r>
      <w:r>
        <w:t xml:space="preserve"> </w:t>
      </w:r>
      <w:r>
        <w:t xml:space="preserve">As reported in Section 4, transcript-level concordance between the production V1 prompt and the bare-question V3 prompt drops to ρ = 0.53 once the structured</w:t>
      </w:r>
      <w:r>
        <w:t xml:space="preserve"> </w:t>
      </w:r>
      <w:r>
        <w:rPr>
          <w:rStyle w:val="VerbatimChar"/>
        </w:rPr>
        <w:t xml:space="preserve">information_state</w:t>
      </w:r>
      <w:r>
        <w:t xml:space="preserve"> </w:t>
      </w:r>
      <w:r>
        <w:t xml:space="preserve">scaffold is removed. The headline numbers are conditional on the production V1 prompt. Bare-question replications of this method should expect noisier transcript-level scores.</w:t>
      </w:r>
    </w:p>
    <w:p>
      <w:pPr>
        <w:pStyle w:val="BodyText"/>
      </w:pPr>
      <w:r>
        <w:rPr>
          <w:b/>
          <w:bCs/>
        </w:rPr>
        <w:t xml:space="preserve">Asymmetry in negative-score validation.</w:t>
      </w:r>
      <w:r>
        <w:t xml:space="preserve"> </w:t>
      </w:r>
      <w:r>
        <w:t xml:space="preserve">I/B/E/S validation is clean for positive and neutral LLM scores but weaker for negative scores. We discuss the most likely cause in Section 5: firms typically communicate capex cuts in hedged language that both the LLM and sell-side analysts find harder to classify confidently than the typically-explicit language used to communicate expansions.</w:t>
      </w:r>
    </w:p>
    <w:p>
      <w:pPr>
        <w:pStyle w:val="BodyText"/>
      </w:pPr>
      <w:r>
        <w:rPr>
          <w:b/>
          <w:bCs/>
        </w:rPr>
        <w:t xml:space="preserve">Open-source model substitution.</w:t>
      </w:r>
      <w:r>
        <w:t xml:space="preserve"> </w:t>
      </w:r>
      <w:r>
        <w:t xml:space="preserve">Qwen 3 32B is GPT-4-class on standard benchmarks (MMLU ~82, IFEval ~80) and is a strict capability upgrade over the paper’s GPT-3.5-Turbo (MMLU ~70), but it is not the model the original paper used. Direct point-estimate comparison with Jha et al. (2024) is therefore suggestive rather than literal.</w:t>
      </w:r>
    </w:p>
    <w:p>
      <w:pPr>
        <w:pStyle w:val="BodyText"/>
      </w:pPr>
      <w:r>
        <w:rPr>
          <w:b/>
          <w:bCs/>
        </w:rPr>
        <w:t xml:space="preserve">Reproducibility checklist.</w:t>
      </w:r>
      <w:r>
        <w:t xml:space="preserve"> </w:t>
      </w:r>
      <w:r>
        <w:t xml:space="preserve">The following are pinned in code, not free parameters: model identifier</w:t>
      </w:r>
      <w:r>
        <w:t xml:space="preserve"> </w:t>
      </w:r>
      <w:r>
        <w:rPr>
          <w:rStyle w:val="VerbatimChar"/>
        </w:rPr>
        <w:t xml:space="preserve">Qwen/Qwen3-32B</w:t>
      </w:r>
      <w:r>
        <w:t xml:space="preserve">, sampling seed 42, calibration seed 7, robustness seed 11, transcript-dataset commit hash, all WRDS variable lists in</w:t>
      </w:r>
      <w:r>
        <w:t xml:space="preserve"> </w:t>
      </w:r>
      <w:r>
        <w:rPr>
          <w:rStyle w:val="VerbatimChar"/>
        </w:rPr>
        <w:t xml:space="preserve">data/config.py</w:t>
      </w:r>
      <w:r>
        <w:t xml:space="preserve">. With a DeepInfra account, a WRDS account (only required to refresh financials), and the</w:t>
      </w:r>
      <w:r>
        <w:t xml:space="preserve"> </w:t>
      </w:r>
      <w:r>
        <w:rPr>
          <w:rStyle w:val="VerbatimChar"/>
        </w:rPr>
        <w:t xml:space="preserve">.env</w:t>
      </w:r>
      <w:r>
        <w:t xml:space="preserve"> </w:t>
      </w:r>
      <w:r>
        <w:t xml:space="preserve">file from this repository, the full pipeline reruns end-to-end in roughly one to two hours of wall-clock time at a posted-price floor of approximately USD 25 for the realised subsample, or approximately USD 54 for the full 33,000-transcript corpus.</w:t>
      </w:r>
    </w:p>
    <w:p>
      <w:r>
        <w:pict>
          <v:rect style="width:0;height:1.5pt" o:hralign="center" o:hrstd="t" o:hr="t"/>
        </w:pict>
      </w:r>
    </w:p>
    <w:bookmarkEnd w:id="34"/>
    <w:bookmarkStart w:id="35" w:name="references"/>
    <w:p>
      <w:pPr>
        <w:pStyle w:val="Heading2"/>
      </w:pPr>
      <w:r>
        <w:t xml:space="preserve">References</w:t>
      </w:r>
    </w:p>
    <w:p>
      <w:pPr>
        <w:pStyle w:val="FirstParagraph"/>
      </w:pPr>
      <w:r>
        <w:t xml:space="preserve">Jha, M., Qian, J., Weber, M., &amp; Yang, B. (2024).</w:t>
      </w:r>
      <w:r>
        <w:t xml:space="preserve"> </w:t>
      </w:r>
      <w:r>
        <w:rPr>
          <w:i/>
          <w:iCs/>
        </w:rPr>
        <w:t xml:space="preserve">ChatGPT and Corporate Policies.</w:t>
      </w:r>
      <w:r>
        <w:t xml:space="preserve"> </w:t>
      </w:r>
      <w:r>
        <w:t xml:space="preserve">NBER Working Paper 32161.</w:t>
      </w:r>
    </w:p>
    <w:p>
      <w:pPr>
        <w:pStyle w:val="BodyText"/>
      </w:pPr>
      <w:r>
        <w:t xml:space="preserve">Peters, R. H., &amp; Taylor, L. A. (2017). Intangible capital and the investment-q relation.</w:t>
      </w:r>
      <w:r>
        <w:t xml:space="preserve"> </w:t>
      </w:r>
      <w:r>
        <w:rPr>
          <w:i/>
          <w:iCs/>
        </w:rPr>
        <w:t xml:space="preserve">Journal of Financial Economics</w:t>
      </w:r>
      <w:r>
        <w:t xml:space="preserve">, 123(2), 251-272.</w:t>
      </w:r>
    </w:p>
    <w:p>
      <w:pPr>
        <w:pStyle w:val="BodyText"/>
      </w:pPr>
      <w:r>
        <w:t xml:space="preserve">Tetlock, P. C. (2007). Giving content to investor sentiment: The role of media in the stock market.</w:t>
      </w:r>
      <w:r>
        <w:t xml:space="preserve"> </w:t>
      </w:r>
      <w:r>
        <w:rPr>
          <w:i/>
          <w:iCs/>
        </w:rPr>
        <w:t xml:space="preserve">Journal of Finance</w:t>
      </w:r>
      <w:r>
        <w:t xml:space="preserve">, 62(3), 1139-1168.</w:t>
      </w:r>
    </w:p>
    <w:p>
      <w:pPr>
        <w:pStyle w:val="BodyText"/>
      </w:pPr>
      <w:r>
        <w:t xml:space="preserve">Loughran, T., &amp; McDonald, B. (2011). When is a liability not a liability? Textual analysis, dictionaries, and 10-Ks.</w:t>
      </w:r>
      <w:r>
        <w:t xml:space="preserve"> </w:t>
      </w:r>
      <w:r>
        <w:rPr>
          <w:i/>
          <w:iCs/>
        </w:rPr>
        <w:t xml:space="preserve">Journal of Finance</w:t>
      </w:r>
      <w:r>
        <w:t xml:space="preserve">, 66(1), 35-65.</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2026-05-13T02:20:49Z</dcterms:created>
  <dcterms:modified xsi:type="dcterms:W3CDTF">2026-05-13T02:20:49Z</dcterms:modified>
</cp:coreProperties>
</file>

<file path=docProps/custom.xml><?xml version="1.0" encoding="utf-8"?>
<Properties xmlns="http://schemas.openxmlformats.org/officeDocument/2006/custom-properties" xmlns:vt="http://schemas.openxmlformats.org/officeDocument/2006/docPropsVTypes"/>
</file>