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0.0" w:type="dxa"/>
      </w:tblPr>
      <w:tblGrid>
        <w:gridCol w:w="4680"/>
        <w:gridCol w:w="4680"/>
      </w:tblGrid>
      <w:tr>
        <w:trPr>
          <w:trHeight w:hRule="exact" w:val="1326"/>
        </w:trPr>
        <w:tc>
          <w:tcPr>
            <w:tcW w:type="dxa" w:w="183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89940" cy="3327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940" cy="3327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7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4" w:val="left"/>
                <w:tab w:pos="542" w:val="left"/>
                <w:tab w:pos="674" w:val="left"/>
              </w:tabs>
              <w:autoSpaceDE w:val="0"/>
              <w:widowControl/>
              <w:spacing w:line="248" w:lineRule="exact" w:before="56" w:after="0"/>
              <w:ind w:left="342" w:right="144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CS/SE 3377.506 Systems Prog. in UNIX and Other Envs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Professor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Sridhar Alagar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Term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Spring 2022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Meetings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MW 7:00 pm – 8:15 pm </w:t>
            </w:r>
          </w:p>
        </w:tc>
      </w:tr>
    </w:tbl>
    <w:p>
      <w:pPr>
        <w:autoSpaceDN w:val="0"/>
        <w:autoSpaceDE w:val="0"/>
        <w:widowControl/>
        <w:spacing w:line="304" w:lineRule="exact" w:before="242" w:after="0"/>
        <w:ind w:left="360" w:right="0" w:firstLine="0"/>
        <w:jc w:val="left"/>
      </w:pPr>
      <w:r>
        <w:rPr>
          <w:u w:val="single" w:color="000000"/>
          <w:rFonts w:ascii="TimesNewRomanPS" w:hAnsi="TimesNewRomanPS" w:eastAsia="TimesNewRomanPS"/>
          <w:b/>
          <w:i w:val="0"/>
          <w:color w:val="003300"/>
          <w:sz w:val="22"/>
        </w:rPr>
        <w:t xml:space="preserve">Professor’s Contact </w:t>
      </w:r>
      <w:r>
        <w:rPr>
          <w:rFonts w:ascii="TimesNewRomanPS" w:hAnsi="TimesNewRomanPS" w:eastAsia="TimesNewRomanPS"/>
          <w:b/>
          <w:i w:val="0"/>
          <w:color w:val="003300"/>
          <w:sz w:val="22"/>
        </w:rPr>
        <w:t xml:space="preserve">Information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4680"/>
        <w:gridCol w:w="4680"/>
      </w:tblGrid>
      <w:tr>
        <w:trPr>
          <w:trHeight w:hRule="exact" w:val="264"/>
        </w:trPr>
        <w:tc>
          <w:tcPr>
            <w:tcW w:type="dxa" w:w="188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6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Office Phone </w:t>
            </w:r>
          </w:p>
        </w:tc>
        <w:tc>
          <w:tcPr>
            <w:tcW w:type="dxa" w:w="6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(972) 883-4161 </w:t>
            </w:r>
          </w:p>
        </w:tc>
      </w:tr>
      <w:tr>
        <w:trPr>
          <w:trHeight w:hRule="exact" w:val="266"/>
        </w:trPr>
        <w:tc>
          <w:tcPr>
            <w:tcW w:type="dxa" w:w="1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6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Other Phone </w:t>
            </w:r>
          </w:p>
        </w:tc>
        <w:tc>
          <w:tcPr>
            <w:tcW w:type="dxa" w:w="6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(972) 883-2185 (CS Department Phone Number) </w:t>
            </w:r>
          </w:p>
        </w:tc>
      </w:tr>
      <w:tr>
        <w:trPr>
          <w:trHeight w:hRule="exact" w:val="262"/>
        </w:trPr>
        <w:tc>
          <w:tcPr>
            <w:tcW w:type="dxa" w:w="1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3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Office Location </w:t>
            </w:r>
          </w:p>
        </w:tc>
        <w:tc>
          <w:tcPr>
            <w:tcW w:type="dxa" w:w="6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ECS South 3.210 </w:t>
            </w:r>
          </w:p>
        </w:tc>
      </w:tr>
      <w:tr>
        <w:trPr>
          <w:trHeight w:hRule="exact" w:val="262"/>
        </w:trPr>
        <w:tc>
          <w:tcPr>
            <w:tcW w:type="dxa" w:w="18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6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Email Address </w:t>
            </w:r>
          </w:p>
        </w:tc>
        <w:tc>
          <w:tcPr>
            <w:tcW w:type="dxa" w:w="6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sridhar@utdallas.edu</w:t>
                </w:r>
              </w:hyperlink>
            </w:r>
          </w:p>
        </w:tc>
      </w:tr>
      <w:tr>
        <w:trPr>
          <w:trHeight w:hRule="exact" w:val="516"/>
        </w:trPr>
        <w:tc>
          <w:tcPr>
            <w:tcW w:type="dxa" w:w="18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0" w:right="6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Office Hours </w:t>
            </w:r>
          </w:p>
        </w:tc>
        <w:tc>
          <w:tcPr>
            <w:tcW w:type="dxa" w:w="6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11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Only on MS Teams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 Tue 11 to 1 PM and Thur 12  to 1 PM, or any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suitable time through appointment. </w:t>
            </w:r>
          </w:p>
        </w:tc>
      </w:tr>
      <w:tr>
        <w:trPr>
          <w:trHeight w:hRule="exact" w:val="262"/>
        </w:trPr>
        <w:tc>
          <w:tcPr>
            <w:tcW w:type="dxa" w:w="1888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5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Teaching Assistant </w:t>
            </w:r>
          </w:p>
        </w:tc>
        <w:tc>
          <w:tcPr>
            <w:tcW w:type="dxa" w:w="6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TBA </w:t>
            </w:r>
          </w:p>
        </w:tc>
      </w:tr>
    </w:tbl>
    <w:p>
      <w:pPr>
        <w:autoSpaceDN w:val="0"/>
        <w:autoSpaceDE w:val="0"/>
        <w:widowControl/>
        <w:spacing w:line="304" w:lineRule="exact" w:before="742" w:after="0"/>
        <w:ind w:left="360" w:right="0" w:firstLine="0"/>
        <w:jc w:val="left"/>
      </w:pPr>
      <w:r>
        <w:rPr>
          <w:u w:val="single" w:color="000000"/>
          <w:rFonts w:ascii="TimesNewRomanPS" w:hAnsi="TimesNewRomanPS" w:eastAsia="TimesNewRomanPS"/>
          <w:b/>
          <w:i w:val="0"/>
          <w:color w:val="003300"/>
          <w:sz w:val="22"/>
        </w:rPr>
        <w:t xml:space="preserve">General Course </w:t>
      </w:r>
      <w:r>
        <w:rPr>
          <w:rFonts w:ascii="TimesNewRomanPS" w:hAnsi="TimesNewRomanPS" w:eastAsia="TimesNewRomanPS"/>
          <w:b/>
          <w:i w:val="0"/>
          <w:color w:val="003300"/>
          <w:sz w:val="22"/>
        </w:rPr>
        <w:t>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4680"/>
        <w:gridCol w:w="4680"/>
      </w:tblGrid>
      <w:tr>
        <w:trPr>
          <w:trHeight w:hRule="exact" w:val="1300"/>
        </w:trPr>
        <w:tc>
          <w:tcPr>
            <w:tcW w:type="dxa" w:w="152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16" w:after="0"/>
              <w:ind w:left="144" w:right="5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Pre-requisites,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Co-requisites,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&amp; other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restrictions </w:t>
            </w:r>
          </w:p>
        </w:tc>
        <w:tc>
          <w:tcPr>
            <w:tcW w:type="dxa" w:w="7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Pre-requisites: CE 2336 or CS 2336 or TE 2336 with a grade of C or better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equivalent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22"/>
              </w:rPr>
              <w:t>All programming projects/exercises must be implemented only in</w:t>
            </w: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2"/>
              </w:rPr>
              <w:t xml:space="preserve">.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2"/>
              </w:rPr>
              <w:t>Students are expected to have completed CS 1336 and CS 1337.</w:t>
            </w:r>
          </w:p>
        </w:tc>
      </w:tr>
      <w:tr>
        <w:trPr>
          <w:trHeight w:hRule="exact" w:val="1780"/>
        </w:trPr>
        <w:tc>
          <w:tcPr>
            <w:tcW w:type="dxa" w:w="1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80" w:after="0"/>
              <w:ind w:left="422" w:right="0" w:firstLine="37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Description </w:t>
            </w:r>
          </w:p>
        </w:tc>
        <w:tc>
          <w:tcPr>
            <w:tcW w:type="dxa" w:w="7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UNIX concepts, commands and utilities, organization of UNIX file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 including links and access control, creating and managing UNIX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processes and threads, implementing algorithms using shell scripts, basic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networking concepts including socket and client-server programming, inter-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process communication using pipes and signals, using a version control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 to manage work, and introduction to cloud computing. Design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implementation of a comprehensive programming project is required.. </w:t>
            </w:r>
          </w:p>
        </w:tc>
      </w:tr>
      <w:tr>
        <w:trPr>
          <w:trHeight w:hRule="exact" w:val="3044"/>
        </w:trPr>
        <w:tc>
          <w:tcPr>
            <w:tcW w:type="dxa" w:w="1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14" w:after="0"/>
              <w:ind w:left="432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Learning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Outcomes </w:t>
            </w:r>
          </w:p>
        </w:tc>
        <w:tc>
          <w:tcPr>
            <w:tcW w:type="dxa" w:w="7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52" w:lineRule="exact" w:before="42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Ability to use Unix/Linux operating system (command line interface,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shell scripting, regular expression). 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52" w:lineRule="exact" w:before="42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Ability to use Unix/Linux programming environment and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tools. 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54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Ability to program with Unix/Linux processes, threads, and interprocess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communication facilities. 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52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Ability to program with Unix/Linux file system, file input and output,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redirection. 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52" w:lineRule="exact" w:before="42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Ability to develop programs for network environment (client-server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model, socket programming, and cloud computing).* </w:t>
            </w:r>
          </w:p>
          <w:p>
            <w:pPr>
              <w:autoSpaceDN w:val="0"/>
              <w:autoSpaceDE w:val="0"/>
              <w:widowControl/>
              <w:spacing w:line="292" w:lineRule="exact" w:before="20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* Note. CLO #5 “Cloud computing” is at conceptual-level </w:t>
            </w:r>
          </w:p>
        </w:tc>
      </w:tr>
      <w:tr>
        <w:trPr>
          <w:trHeight w:hRule="exact" w:val="2018"/>
        </w:trPr>
        <w:tc>
          <w:tcPr>
            <w:tcW w:type="dxa" w:w="1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08" w:after="0"/>
              <w:ind w:left="288" w:right="28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Required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Texts &amp;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Materials </w:t>
            </w:r>
          </w:p>
        </w:tc>
        <w:tc>
          <w:tcPr>
            <w:tcW w:type="dxa" w:w="7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52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Practical Guide to Linux Commands, Editors, and Shell Programming,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3ed.  Mark G. Sobell. Prentice Hall. © 2012. ISBN-10: 0-13-308504-X.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462" w:right="27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ISBN-13: 9780133085044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Note. 4ed is also available and ac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ceptable. </w:t>
                </w:r>
              </w:hyperlink>
            </w:r>
          </w:p>
          <w:p>
            <w:pPr>
              <w:autoSpaceDN w:val="0"/>
              <w:autoSpaceDE w:val="0"/>
              <w:widowControl/>
              <w:spacing w:line="254" w:lineRule="exact" w:before="40" w:after="0"/>
              <w:ind w:left="46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(Available online &amp; free through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UTD Library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.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Login using your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NETID@utdallas.edu and passwo</w:t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rd. If it prom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p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ts for your university,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select Not listed.)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2" w:history="1">
                <w:r>
                  <w:rPr>
                    <w:rStyle w:val="Hyperlink"/>
                  </w:rPr>
                  <w:t>his book is referred as [Sobell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].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4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Sobell source code: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http://www.sobell.com/CR3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8" w:right="1440" w:bottom="778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4680"/>
        <w:gridCol w:w="4680"/>
      </w:tblGrid>
      <w:tr>
        <w:trPr>
          <w:trHeight w:hRule="exact" w:val="2540"/>
        </w:trPr>
        <w:tc>
          <w:tcPr>
            <w:tcW w:type="dxa" w:w="1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462" w:right="432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Advanced Programming in the UNIX Environment, 3e. W. Richard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Stevens and Stephen A. Rago. Addison-Wesley. © 2013. ISBN-10: 0-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321-63773-9. ISBN-13: 9780321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637734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(Available online &amp; free through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UTD library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>.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Login using your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NETID@utdallas.edu and passwo</w:t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>rd. If it prom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pts for your university,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select Not listed.)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4" w:history="1">
                <w:r>
                  <w:rPr>
                    <w:rStyle w:val="Hyperlink"/>
                  </w:rPr>
                  <w:t xml:space="preserve">his book is referred as [APUE]. </w:t>
                </w:r>
              </w:hyperlink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54" w:lineRule="exact" w:before="38" w:after="0"/>
              <w:ind w:left="102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APUE source code: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 xml:space="preserve">http://www.apuebook.com/code3e.html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The C programming</w:t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4" w:history="1">
                <w:r>
                  <w:rPr>
                    <w:rStyle w:val="Hyperlink"/>
                  </w:rPr>
                  <w:t xml:space="preserve"> language (second edition), Brian W. K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4" w:history="1">
                <w:r>
                  <w:rPr>
                    <w:rStyle w:val="Hyperlink"/>
                  </w:rPr>
                  <w:t>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rnighan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Dennis M. Ritchie. Prentice Hall, Inc., 1988. ISBN: 0-13-110362-8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(Available online  through UTD library.) This book is referred as [K&amp;R]. </w:t>
            </w:r>
          </w:p>
        </w:tc>
      </w:tr>
    </w:tbl>
    <w:p>
      <w:pPr>
        <w:autoSpaceDN w:val="0"/>
        <w:autoSpaceDE w:val="0"/>
        <w:widowControl/>
        <w:spacing w:line="304" w:lineRule="exact" w:before="23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Assignm</w:t>
      </w: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ents &amp; Academic C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alendar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514"/>
        </w:trPr>
        <w:tc>
          <w:tcPr>
            <w:tcW w:type="dxa" w:w="72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 xml:space="preserve">Week </w:t>
            </w:r>
          </w:p>
        </w:tc>
        <w:tc>
          <w:tcPr>
            <w:tcW w:type="dxa" w:w="1852"/>
            <w:gridSpan w:val="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 xml:space="preserve">Dates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 xml:space="preserve">Topic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 xml:space="preserve">Reading </w:t>
            </w:r>
          </w:p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 xml:space="preserve">Assignments(A),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 xml:space="preserve">Projects(P) </w:t>
            </w:r>
          </w:p>
        </w:tc>
      </w:tr>
      <w:tr>
        <w:trPr>
          <w:trHeight w:hRule="exact" w:val="2036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2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18-Jan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Syllabus &amp; Introduction. 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4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Prerequisite Form 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4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Unix/Linux Introduction 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62" w:lineRule="exact" w:before="0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First log in to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cslinux1.utdallas.edu (to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download, install and try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mobaXterm or ssh or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putty to connect cs1, etc.)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46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Sobell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chapters 1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and 2 </w:t>
            </w:r>
          </w:p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A1 </w:t>
            </w:r>
          </w:p>
        </w:tc>
      </w:tr>
      <w:tr>
        <w:trPr>
          <w:trHeight w:hRule="exact" w:val="1276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2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23-Jan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25-Jan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Unix/Linux Introduction &amp;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Commands 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74" w:lineRule="exact" w:before="0" w:after="0"/>
              <w:ind w:left="10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Unix/Linux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Commands 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4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Shell basics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60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Sobell ch 3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&amp; 4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APUE ch 1 </w:t>
            </w:r>
          </w:p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A2 </w:t>
            </w:r>
          </w:p>
        </w:tc>
      </w:tr>
      <w:tr>
        <w:trPr>
          <w:trHeight w:hRule="exact" w:val="260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3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30-Jan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1-Feb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 review, debugger, editor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K &amp; R </w:t>
            </w:r>
          </w:p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A3 </w:t>
            </w:r>
          </w:p>
        </w:tc>
      </w:tr>
      <w:tr>
        <w:trPr>
          <w:trHeight w:hRule="exact" w:val="770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4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6-Feb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8-Feb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Unix File Systems and IO,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API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APUE ch 2,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3 &amp; 4 </w:t>
            </w:r>
          </w:p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A4 </w:t>
            </w:r>
          </w:p>
        </w:tc>
      </w:tr>
      <w:tr>
        <w:trPr>
          <w:trHeight w:hRule="exact" w:val="518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5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13-Feb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15-Feb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Process Creation, process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control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APUE ch 7,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8 </w:t>
            </w:r>
          </w:p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A5 </w:t>
            </w:r>
          </w:p>
        </w:tc>
      </w:tr>
      <w:tr>
        <w:trPr>
          <w:trHeight w:hRule="exact" w:val="262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6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20-Feb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22-Feb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Inter-process communication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APUE ch 15 </w:t>
            </w:r>
          </w:p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A6. P1 </w:t>
            </w:r>
          </w:p>
        </w:tc>
      </w:tr>
      <w:tr>
        <w:trPr>
          <w:trHeight w:hRule="exact" w:val="262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7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27-Feb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1-Mar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Signal, Threads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APUE ch 10 </w:t>
            </w:r>
          </w:p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A7 </w:t>
            </w:r>
          </w:p>
        </w:tc>
      </w:tr>
      <w:tr>
        <w:trPr>
          <w:trHeight w:hRule="exact" w:val="262"/>
        </w:trPr>
        <w:tc>
          <w:tcPr>
            <w:tcW w:type="dxa" w:w="720"/>
            <w:tcBorders>
              <w:start w:sz="4.0" w:val="single" w:color="#000000"/>
              <w:top w:sz="3.2000000000007276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8 </w:t>
            </w:r>
          </w:p>
        </w:tc>
        <w:tc>
          <w:tcPr>
            <w:tcW w:type="dxa" w:w="898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6-Mar </w:t>
            </w:r>
          </w:p>
        </w:tc>
        <w:tc>
          <w:tcPr>
            <w:tcW w:type="dxa" w:w="95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8-Mar </w:t>
            </w:r>
          </w:p>
        </w:tc>
        <w:tc>
          <w:tcPr>
            <w:tcW w:type="dxa" w:w="293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22"/>
              </w:rPr>
              <w:t xml:space="preserve">Exam 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Threads </w:t>
            </w:r>
          </w:p>
        </w:tc>
        <w:tc>
          <w:tcPr>
            <w:tcW w:type="dxa" w:w="13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1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A8 </w:t>
            </w:r>
          </w:p>
        </w:tc>
      </w:tr>
      <w:tr>
        <w:trPr>
          <w:trHeight w:hRule="exact" w:val="518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9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13-Mar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15-Mar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Spring break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APUE ch 8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&amp; 10</w:t>
            </w:r>
          </w:p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6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10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20-Mar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22-Mar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Threads, Makefile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APUE ch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11&amp; 12 </w:t>
            </w:r>
          </w:p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A9, P2 </w:t>
            </w:r>
          </w:p>
        </w:tc>
      </w:tr>
      <w:tr>
        <w:trPr>
          <w:trHeight w:hRule="exact" w:val="262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11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27-Mar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29-Mar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communication basics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A10 </w:t>
            </w:r>
          </w:p>
        </w:tc>
      </w:tr>
      <w:tr>
        <w:trPr>
          <w:trHeight w:hRule="exact" w:val="262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12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3-Apr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5-Apr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Socket Programming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APUE ch 16 </w:t>
            </w:r>
          </w:p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A11 </w:t>
            </w:r>
          </w:p>
        </w:tc>
      </w:tr>
      <w:tr>
        <w:trPr>
          <w:trHeight w:hRule="exact" w:val="770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13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10-Apr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12-Apr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52" w:lineRule="exact" w:before="40" w:after="0"/>
              <w:ind w:left="10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Socket Programming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Client-Server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Concurrent Server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APUE ch 17 </w:t>
            </w:r>
          </w:p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A12, P3 </w:t>
            </w:r>
          </w:p>
        </w:tc>
      </w:tr>
      <w:tr>
        <w:trPr>
          <w:trHeight w:hRule="exact" w:val="514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14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17-Apr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19-Apr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Shell Script Programming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with bash shell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Sobell ch 8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&amp; 10 </w:t>
            </w:r>
          </w:p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A13 </w:t>
            </w:r>
          </w:p>
        </w:tc>
      </w:tr>
      <w:tr>
        <w:trPr>
          <w:trHeight w:hRule="exact" w:val="266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15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24-Apr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26-Apr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Regular Expression (RegEx)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A14 </w:t>
            </w:r>
          </w:p>
        </w:tc>
      </w:tr>
      <w:tr>
        <w:trPr>
          <w:trHeight w:hRule="exact" w:val="260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16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1-May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3-May </w:t>
            </w:r>
          </w:p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Cloud Computing 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6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17 </w:t>
            </w:r>
          </w:p>
        </w:tc>
        <w:tc>
          <w:tcPr>
            <w:tcW w:type="dxa" w:w="8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8-May </w:t>
            </w:r>
          </w:p>
        </w:tc>
        <w:tc>
          <w:tcPr>
            <w:tcW w:type="dxa" w:w="9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22"/>
              </w:rPr>
              <w:t>Exam 2</w:t>
            </w:r>
          </w:p>
        </w:tc>
        <w:tc>
          <w:tcPr>
            <w:tcW w:type="dxa" w:w="1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2" w:right="1440" w:bottom="768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4680"/>
        <w:gridCol w:w="4680"/>
      </w:tblGrid>
      <w:tr>
        <w:trPr>
          <w:trHeight w:hRule="exact" w:val="1056"/>
        </w:trPr>
        <w:tc>
          <w:tcPr>
            <w:tcW w:type="dxa" w:w="17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0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Important Dates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and Times </w:t>
            </w:r>
          </w:p>
        </w:tc>
        <w:tc>
          <w:tcPr>
            <w:tcW w:type="dxa" w:w="6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3419"/>
              <w:gridCol w:w="3419"/>
            </w:tblGrid>
            <w:tr>
              <w:trPr>
                <w:trHeight w:hRule="exact" w:val="1042"/>
              </w:trPr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3" w:lineRule="auto" w:before="8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6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38" w:after="0"/>
                    <w:ind w:left="14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FF0000"/>
                      <w:sz w:val="22"/>
                    </w:rPr>
                    <w:t>Exam 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: Mar 6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2"/>
                    </w:rPr>
                    <w:t>,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2023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FF0000"/>
                      <w:sz w:val="22"/>
                    </w:rPr>
                    <w:t>@ Testing center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. Starts at 1 PM. Ends at 9 PM.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Exam duration: 75 minutes.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4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FF0000"/>
                      <w:sz w:val="22"/>
                    </w:rPr>
                    <w:t>Exam 2: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May 8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2"/>
                    </w:rPr>
                    <w:t>,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2023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FF0000"/>
                      <w:sz w:val="22"/>
                    </w:rPr>
                    <w:t>@ Testing center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. Starts at 1 PM. Ends at 9 PM. </w:t>
                  </w:r>
                </w:p>
                <w:p>
                  <w:pPr>
                    <w:autoSpaceDN w:val="0"/>
                    <w:autoSpaceDE w:val="0"/>
                    <w:widowControl/>
                    <w:spacing w:line="292" w:lineRule="exact" w:before="0" w:after="0"/>
                    <w:ind w:left="14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Exam duration: 75 minutes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4" w:lineRule="exact" w:before="46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Course Policies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4680"/>
        <w:gridCol w:w="4680"/>
      </w:tblGrid>
      <w:tr>
        <w:trPr>
          <w:trHeight w:hRule="exact" w:val="2286"/>
        </w:trPr>
        <w:tc>
          <w:tcPr>
            <w:tcW w:type="dxa" w:w="172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8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Class Materials</w:t>
            </w:r>
          </w:p>
        </w:tc>
        <w:tc>
          <w:tcPr>
            <w:tcW w:type="dxa" w:w="691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instructor may provide class materials that will be made available to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registered for this class as they are intended to supplement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classroom experience. These materials may be downloaded during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course; however, these materials are for registered students' use only.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Classroom materials may not be reproduced or shared with those not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 or uploaded to other online environments except to implement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approved Office of Student AccessAbility accommodation. Fai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 xml:space="preserve">lure to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>comply with thes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 University requirements is a violation of 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431FF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Student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31FF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431FF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Code of Conduct.</w:t>
                </w:r>
              </w:hyperlink>
            </w:r>
          </w:p>
        </w:tc>
      </w:tr>
      <w:tr>
        <w:trPr>
          <w:trHeight w:hRule="exact" w:val="1038"/>
        </w:trPr>
        <w:tc>
          <w:tcPr>
            <w:tcW w:type="dxa" w:w="172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8" w:val="left"/>
              </w:tabs>
              <w:autoSpaceDE w:val="0"/>
              <w:widowControl/>
              <w:spacing w:line="254" w:lineRule="exact" w:before="288" w:after="0"/>
              <w:ind w:left="532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Class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Attendance</w:t>
            </w:r>
          </w:p>
        </w:tc>
        <w:tc>
          <w:tcPr>
            <w:tcW w:type="dxa" w:w="691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Regular attendance is highly recommended. As per the Department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Computer Science policy, three consecutive absences lead to one letter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6" w:history="1">
                <w:r>
                  <w:rPr>
                    <w:rStyle w:val="Hyperlink"/>
                  </w:rPr>
                  <w:t xml:space="preserve">grade drop. Four consecutive absences lead to a F. </w:t>
                </w:r>
              </w:hyperlink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http://cs.utdallas.edu/education/undergraduate/attendance-policy/</w:t>
                </w:r>
              </w:hyperlink>
            </w:r>
          </w:p>
        </w:tc>
      </w:tr>
      <w:tr>
        <w:trPr>
          <w:trHeight w:hRule="exact" w:val="2286"/>
        </w:trPr>
        <w:tc>
          <w:tcPr>
            <w:tcW w:type="dxa" w:w="172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8" w:val="left"/>
              </w:tabs>
              <w:autoSpaceDE w:val="0"/>
              <w:widowControl/>
              <w:spacing w:line="252" w:lineRule="exact" w:before="788" w:after="0"/>
              <w:ind w:left="374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Class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Participation</w:t>
            </w:r>
          </w:p>
        </w:tc>
        <w:tc>
          <w:tcPr>
            <w:tcW w:type="dxa" w:w="691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Regular class participation is expected. Students who fail to participate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 regularly are inviting scholastic difficulty. A portion of the grade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this course is directly tied to your participation in this class. It also includes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engaging in group or other activities during class that solicit your feedback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 homework assignments, readings, or materials covered in the lectures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(and/or labs). Class participation is documented by faculty.  Successful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participation is defined as consistently adhering to University requirements,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presented in this syllabus. Fail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>ure to comply with these U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niversity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requirements is a violation of 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431FF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Student Code of Conduct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>.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  <w:tr>
        <w:trPr>
          <w:trHeight w:hRule="exact" w:val="4292"/>
        </w:trPr>
        <w:tc>
          <w:tcPr>
            <w:tcW w:type="dxa" w:w="172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798" w:after="0"/>
              <w:ind w:left="544" w:right="0" w:firstLine="56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Class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Recordings </w:t>
            </w:r>
          </w:p>
        </w:tc>
        <w:tc>
          <w:tcPr>
            <w:tcW w:type="dxa" w:w="691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are expected to follow appropriate University policies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maintain the security of passwords used to access recorded lectures. Unless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Office of Student AccessAbility has approved the student to record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instruction, students are expressly prohibited from recording any part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this course. Recordings may not be published, reproduced, or shared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those not in the class, or uploaded to other online environments except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 an approved Office of Student AccessAbility accommodation.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>Failure to comply with the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 University requirements is a violation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431FF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Student Code of Conduct.</w:t>
                </w:r>
              </w:hyperlink>
            </w:r>
          </w:p>
          <w:p>
            <w:pPr>
              <w:autoSpaceDN w:val="0"/>
              <w:autoSpaceDE w:val="0"/>
              <w:widowControl/>
              <w:spacing w:line="254" w:lineRule="exact" w:before="2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instructor may record meetings of this course. These recordings will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made available to all students registered for this class if the intent is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supplement the classroom experience. If the instructor or a UTD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school/department/office plans any other uses for the recordings, consent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students identifiable in the recordings is required prior to such 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unless an exception is allowed by law.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076" w:right="1440" w:bottom="978" w:left="1440" w:header="720" w:footer="720" w:gutter="0"/>
          <w:cols w:space="720" w:num="1" w:equalWidth="0"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4680"/>
        <w:gridCol w:w="4680"/>
      </w:tblGrid>
      <w:tr>
        <w:trPr>
          <w:trHeight w:hRule="exact" w:val="4132"/>
        </w:trPr>
        <w:tc>
          <w:tcPr>
            <w:tcW w:type="dxa" w:w="172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832" w:after="0"/>
              <w:ind w:left="72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Grading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Criteria </w:t>
            </w:r>
          </w:p>
        </w:tc>
        <w:tc>
          <w:tcPr>
            <w:tcW w:type="dxa" w:w="691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2"/>
              </w:rPr>
              <w:t xml:space="preserve">Exam 1: 15%, Exam 2: 15%, Programming Projects (3): 40%, </w:t>
            </w: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2"/>
              </w:rPr>
              <w:t xml:space="preserve">Assignments (weekly): 30% </w:t>
            </w:r>
          </w:p>
          <w:p>
            <w:pPr>
              <w:autoSpaceDN w:val="0"/>
              <w:autoSpaceDE w:val="0"/>
              <w:widowControl/>
              <w:spacing w:line="246" w:lineRule="exact" w:before="262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All programming projects/exercises must be implemented only in 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may be asked to demonstrate their projects to the TA to receive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grade on them. </w:t>
            </w:r>
          </w:p>
          <w:p>
            <w:pPr>
              <w:autoSpaceDN w:val="0"/>
              <w:autoSpaceDE w:val="0"/>
              <w:widowControl/>
              <w:spacing w:line="254" w:lineRule="exact" w:before="25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Table below is indicative letter grade for total points scored. There may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some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urving, but not gu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t>rante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ed.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3.99999999999977" w:type="dxa"/>
            </w:tblPr>
            <w:tblGrid>
              <w:gridCol w:w="864"/>
              <w:gridCol w:w="864"/>
              <w:gridCol w:w="864"/>
              <w:gridCol w:w="864"/>
              <w:gridCol w:w="864"/>
              <w:gridCol w:w="864"/>
              <w:gridCol w:w="864"/>
              <w:gridCol w:w="864"/>
            </w:tblGrid>
            <w:tr>
              <w:trPr>
                <w:trHeight w:hRule="exact" w:val="328"/>
              </w:trPr>
              <w:tc>
                <w:tcPr>
                  <w:tcW w:type="dxa" w:w="590"/>
                  <w:tcBorders>
                    <w:start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A+:</w:t>
                  </w:r>
                </w:p>
              </w:tc>
              <w:tc>
                <w:tcPr>
                  <w:tcW w:type="dxa" w:w="1570"/>
                  <w:tcBorders>
                    <w:start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95% and above </w:t>
                  </w:r>
                </w:p>
              </w:tc>
              <w:tc>
                <w:tcPr>
                  <w:tcW w:type="dxa" w:w="98"/>
                  <w:tcBorders>
                    <w:start w:sz="8.0" w:val="single" w:color="#000000"/>
                    <w:end w:sz="7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7.200000000000273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A:</w:t>
                  </w:r>
                </w:p>
              </w:tc>
              <w:tc>
                <w:tcPr>
                  <w:tcW w:type="dxa" w:w="1666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 90% and above</w:t>
                  </w:r>
                </w:p>
              </w:tc>
              <w:tc>
                <w:tcPr>
                  <w:tcW w:type="dxa" w:w="102"/>
                  <w:tcBorders>
                    <w:start w:sz="8.0" w:val="single" w:color="#000000"/>
                    <w:end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2"/>
                  <w:tcBorders>
                    <w:start w:sz="7.199999999999818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A-:</w:t>
                  </w:r>
                </w:p>
              </w:tc>
              <w:tc>
                <w:tcPr>
                  <w:tcW w:type="dxa" w:w="1582"/>
                  <w:tcBorders>
                    <w:start w:sz="8.0" w:val="single" w:color="#000000"/>
                    <w:top w:sz="7.2000000000000455" w:val="single" w:color="#000000"/>
                    <w:end w:sz="7.19999999999981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 85% and above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59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B+:</w:t>
                  </w:r>
                </w:p>
              </w:tc>
              <w:tc>
                <w:tcPr>
                  <w:tcW w:type="dxa" w:w="157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 80% and above</w:t>
                  </w:r>
                </w:p>
              </w:tc>
              <w:tc>
                <w:tcPr>
                  <w:tcW w:type="dxa" w:w="98"/>
                  <w:tcBorders>
                    <w:start w:sz="8.0" w:val="single" w:color="#000000"/>
                    <w:end w:sz="7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7.200000000000273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B:</w:t>
                  </w:r>
                </w:p>
              </w:tc>
              <w:tc>
                <w:tcPr>
                  <w:tcW w:type="dxa" w:w="166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" w:after="0"/>
                    <w:ind w:left="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 76% and above</w:t>
                  </w:r>
                </w:p>
              </w:tc>
              <w:tc>
                <w:tcPr>
                  <w:tcW w:type="dxa" w:w="102"/>
                  <w:tcBorders>
                    <w:start w:sz="8.0" w:val="single" w:color="#000000"/>
                    <w:end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B-:</w:t>
                  </w:r>
                </w:p>
              </w:tc>
              <w:tc>
                <w:tcPr>
                  <w:tcW w:type="dxa" w:w="1582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 73% and above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590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C+:</w:t>
                  </w:r>
                </w:p>
              </w:tc>
              <w:tc>
                <w:tcPr>
                  <w:tcW w:type="dxa" w:w="1570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 70% and above</w:t>
                  </w:r>
                </w:p>
              </w:tc>
              <w:tc>
                <w:tcPr>
                  <w:tcW w:type="dxa" w:w="98"/>
                  <w:tcBorders>
                    <w:start w:sz="8.0" w:val="single" w:color="#000000"/>
                    <w:end w:sz="7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7.200000000000273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C:</w:t>
                  </w:r>
                </w:p>
              </w:tc>
              <w:tc>
                <w:tcPr>
                  <w:tcW w:type="dxa" w:w="1666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4" w:after="0"/>
                    <w:ind w:left="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 66% and above</w:t>
                  </w:r>
                </w:p>
              </w:tc>
              <w:tc>
                <w:tcPr>
                  <w:tcW w:type="dxa" w:w="102"/>
                  <w:tcBorders>
                    <w:start w:sz="8.0" w:val="single" w:color="#000000"/>
                    <w:end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C-:</w:t>
                  </w:r>
                </w:p>
              </w:tc>
              <w:tc>
                <w:tcPr>
                  <w:tcW w:type="dxa" w:w="1582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 63% and above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59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D+:</w:t>
                  </w:r>
                </w:p>
              </w:tc>
              <w:tc>
                <w:tcPr>
                  <w:tcW w:type="dxa" w:w="157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 60% and above</w:t>
                  </w:r>
                </w:p>
              </w:tc>
              <w:tc>
                <w:tcPr>
                  <w:tcW w:type="dxa" w:w="98"/>
                  <w:tcBorders>
                    <w:start w:sz="8.0" w:val="single" w:color="#000000"/>
                    <w:end w:sz="7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7.200000000000273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D:</w:t>
                  </w:r>
                </w:p>
              </w:tc>
              <w:tc>
                <w:tcPr>
                  <w:tcW w:type="dxa" w:w="166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2" w:after="0"/>
                    <w:ind w:left="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 56% and above</w:t>
                  </w:r>
                </w:p>
              </w:tc>
              <w:tc>
                <w:tcPr>
                  <w:tcW w:type="dxa" w:w="102"/>
                  <w:tcBorders>
                    <w:start w:sz="8.0" w:val="single" w:color="#000000"/>
                    <w:end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D-:</w:t>
                  </w:r>
                </w:p>
              </w:tc>
              <w:tc>
                <w:tcPr>
                  <w:tcW w:type="dxa" w:w="1582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 53% and above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780"/>
        </w:trPr>
        <w:tc>
          <w:tcPr>
            <w:tcW w:type="dxa" w:w="172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58" w:after="0"/>
              <w:ind w:left="972" w:right="0" w:hanging="2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Make-up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Exams </w:t>
            </w:r>
          </w:p>
        </w:tc>
        <w:tc>
          <w:tcPr>
            <w:tcW w:type="dxa" w:w="691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Make-up examinations will be offered only if the student has a valid 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medical reason and produces a doctor’s letter. </w:t>
            </w:r>
          </w:p>
          <w:p>
            <w:pPr>
              <w:autoSpaceDN w:val="0"/>
              <w:autoSpaceDE w:val="0"/>
              <w:widowControl/>
              <w:spacing w:line="254" w:lineRule="exact" w:before="26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If a student is absent for several classes because of job related obligations,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they will not be eligible for an incomplete grade. In such instances,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 is advised to drop the course. </w:t>
            </w:r>
          </w:p>
        </w:tc>
      </w:tr>
      <w:tr>
        <w:trPr>
          <w:trHeight w:hRule="exact" w:val="262"/>
        </w:trPr>
        <w:tc>
          <w:tcPr>
            <w:tcW w:type="dxa" w:w="172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4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Extra Credit </w:t>
            </w:r>
          </w:p>
        </w:tc>
        <w:tc>
          <w:tcPr>
            <w:tcW w:type="dxa" w:w="691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extra credit work will be assigned. </w:t>
            </w:r>
          </w:p>
        </w:tc>
      </w:tr>
      <w:tr>
        <w:trPr>
          <w:trHeight w:hRule="exact" w:val="770"/>
        </w:trPr>
        <w:tc>
          <w:tcPr>
            <w:tcW w:type="dxa" w:w="172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30" w:after="0"/>
              <w:ind w:left="0" w:right="5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Late Work </w:t>
            </w:r>
          </w:p>
        </w:tc>
        <w:tc>
          <w:tcPr>
            <w:tcW w:type="dxa" w:w="691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Assignments/Projects are due on the specified date. Turn in what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completed by the deadline for partial credit. No late submissions will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accepted. </w:t>
            </w:r>
          </w:p>
        </w:tc>
      </w:tr>
      <w:tr>
        <w:trPr>
          <w:trHeight w:hRule="exact" w:val="768"/>
        </w:trPr>
        <w:tc>
          <w:tcPr>
            <w:tcW w:type="dxa" w:w="172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52" w:after="0"/>
              <w:ind w:left="432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Classroom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Citizenship </w:t>
            </w:r>
          </w:p>
        </w:tc>
        <w:tc>
          <w:tcPr>
            <w:tcW w:type="dxa" w:w="691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instructor encourages students to take active part in class discussions.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question is too simple/stupid to be asked. So, do not hesitate. </w:t>
            </w:r>
          </w:p>
        </w:tc>
      </w:tr>
      <w:tr>
        <w:trPr>
          <w:trHeight w:hRule="exact" w:val="1860"/>
        </w:trPr>
        <w:tc>
          <w:tcPr>
            <w:tcW w:type="dxa" w:w="172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74" w:after="0"/>
              <w:ind w:left="35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Comet Creed </w:t>
            </w:r>
          </w:p>
        </w:tc>
        <w:tc>
          <w:tcPr>
            <w:tcW w:type="dxa" w:w="691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This creed was voted on by the UT Dallas student body in 2014. It is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a standard that Comets choose to live by and encourage others to do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the same: </w:t>
            </w:r>
          </w:p>
          <w:p>
            <w:pPr>
              <w:autoSpaceDN w:val="0"/>
              <w:autoSpaceDE w:val="0"/>
              <w:widowControl/>
              <w:spacing w:line="288" w:lineRule="exact" w:before="96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“As a Comet, I pledge honesty, integrity, and service in all that I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do.” </w:t>
            </w:r>
          </w:p>
        </w:tc>
      </w:tr>
      <w:tr>
        <w:trPr>
          <w:trHeight w:hRule="exact" w:val="1306"/>
        </w:trPr>
        <w:tc>
          <w:tcPr>
            <w:tcW w:type="dxa" w:w="172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98" w:after="0"/>
              <w:ind w:left="576" w:right="5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Academic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Support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Resources </w:t>
            </w:r>
          </w:p>
        </w:tc>
        <w:tc>
          <w:tcPr>
            <w:tcW w:type="dxa" w:w="691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The information contained in the following link lists the University’s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academic support resources for all students. </w:t>
            </w:r>
          </w:p>
          <w:p>
            <w:pPr>
              <w:autoSpaceDN w:val="0"/>
              <w:autoSpaceDE w:val="0"/>
              <w:widowControl/>
              <w:spacing w:line="294" w:lineRule="exact" w:before="10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Please go to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http://go.utdallas.edu/academic-support-resources</w:t>
                </w:r>
              </w:hyperlink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.</w:t>
                </w:r>
              </w:hyperlink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1490"/>
        </w:trPr>
        <w:tc>
          <w:tcPr>
            <w:tcW w:type="dxa" w:w="172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62" w:after="0"/>
              <w:ind w:left="432" w:right="5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UT Dallas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Syllabus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Policies 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Procedures </w:t>
            </w:r>
          </w:p>
        </w:tc>
        <w:tc>
          <w:tcPr>
            <w:tcW w:type="dxa" w:w="691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32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The information contained in the following link constitutes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University’s policies and procedures segment of the course syllabus. </w:t>
            </w:r>
          </w:p>
          <w:p>
            <w:pPr>
              <w:autoSpaceDN w:val="0"/>
              <w:autoSpaceDE w:val="0"/>
              <w:widowControl/>
              <w:spacing w:line="276" w:lineRule="exact" w:before="18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Please review the sections regarding the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credit/no credit</w:t>
                </w:r>
              </w:hyperlink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grading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option and withdrawal from class. </w:t>
            </w:r>
          </w:p>
          <w:p>
            <w:pPr>
              <w:autoSpaceDN w:val="0"/>
              <w:autoSpaceDE w:val="0"/>
              <w:widowControl/>
              <w:spacing w:line="268" w:lineRule="exact" w:before="94" w:after="0"/>
              <w:ind w:left="15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Please go to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http://go.utdallas.edu/syllabus-policies</w:t>
                </w:r>
              </w:hyperlink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for these policies.</w:t>
            </w:r>
          </w:p>
        </w:tc>
      </w:tr>
    </w:tbl>
    <w:p>
      <w:pPr>
        <w:autoSpaceDN w:val="0"/>
        <w:autoSpaceDE w:val="0"/>
        <w:widowControl/>
        <w:spacing w:line="286" w:lineRule="exact" w:before="24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2"/>
        </w:rPr>
        <w:t xml:space="preserve">These descriptions and timelines are subject to change at the discretion of the Professor. </w:t>
      </w:r>
    </w:p>
    <w:sectPr w:rsidR="00FC693F" w:rsidRPr="0006063C" w:rsidSect="00034616">
      <w:pgSz w:w="12240" w:h="15840"/>
      <w:pgMar w:top="714" w:right="1440" w:bottom="748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sridhar@utdallas.edu" TargetMode="External"/><Relationship Id="rId11" Type="http://schemas.openxmlformats.org/officeDocument/2006/relationships/hyperlink" Target="https://utdallas.primo.exlibrisgroup.com/permalink/01UT_DALLAS/5v0hp7/alma9928032016401421" TargetMode="External"/><Relationship Id="rId12" Type="http://schemas.openxmlformats.org/officeDocument/2006/relationships/hyperlink" Target="http://www.sobell.com/CR3" TargetMode="External"/><Relationship Id="rId13" Type="http://schemas.openxmlformats.org/officeDocument/2006/relationships/hyperlink" Target="https://utdallas.primo.exlibrisgroup.com/permalink/01UT_DALLAS/16oidda/cdi_askewsholts_vlebooks_9780321638007" TargetMode="External"/><Relationship Id="rId14" Type="http://schemas.openxmlformats.org/officeDocument/2006/relationships/hyperlink" Target="http://www.apuebook.com/code3e.html" TargetMode="External"/><Relationship Id="rId15" Type="http://schemas.openxmlformats.org/officeDocument/2006/relationships/hyperlink" Target="https://policy.utdallas.edu/utdsp5003" TargetMode="External"/><Relationship Id="rId16" Type="http://schemas.openxmlformats.org/officeDocument/2006/relationships/hyperlink" Target="http://cs.utdallas.edu/education/undergraduate/attendance-policy/" TargetMode="External"/><Relationship Id="rId17" Type="http://schemas.openxmlformats.org/officeDocument/2006/relationships/hyperlink" Target="http://go.utdallas.edu/academic-support-resources" TargetMode="External"/><Relationship Id="rId18" Type="http://schemas.openxmlformats.org/officeDocument/2006/relationships/hyperlink" Target="https://catalog.utdallas.edu/now/undergraduate/policies/course-policies#credit-no-credit-classes" TargetMode="External"/><Relationship Id="rId19" Type="http://schemas.openxmlformats.org/officeDocument/2006/relationships/hyperlink" Target="http://go.utdallas.edu/syllabus-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