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4"/>
        </w:rPr>
        <w:t>Ping An Bank (000001.SZ) FY2025 Earnings Update</w:t>
      </w:r>
    </w:p>
    <w:p>
      <w:pPr>
        <w:jc w:val="center"/>
      </w:pPr>
      <w:r>
        <w:rPr>
          <w:b/>
          <w:color w:val="C0504D"/>
          <w:sz w:val="28"/>
        </w:rPr>
        <w:t>Rating: HOLD | Price Target: RMB 12.50</w:t>
      </w:r>
    </w:p>
    <w:p/>
    <w:p>
      <w:pPr>
        <w:pStyle w:val="Heading1"/>
      </w:pPr>
      <w:r>
        <w:rPr>
          <w:b/>
          <w:color w:val="1F4E79"/>
        </w:rPr>
        <w:t>Executive Summary</w:t>
      </w:r>
    </w:p>
    <w:p>
      <w:r>
        <w:rPr>
          <w:sz w:val="22"/>
        </w:rPr>
        <w:t xml:space="preserve">Ping An Bank reported FY2025 results on March 20, 2026, with both revenue and net profit declining year-over-year, broadly in line with the weak sector backdrop. </w:t>
      </w:r>
      <w:r>
        <w:rPr>
          <w:b/>
        </w:rPr>
        <w:t xml:space="preserve">Revenue of RMB 131.4bn missed consensus by ~4.0%, while net profit of RMB 42.6bn missed by ~3.0%. </w:t>
      </w:r>
      <w:r>
        <w:rPr>
          <w:sz w:val="22"/>
        </w:rPr>
        <w:t>The bank continues to navigate a challenging rate environment with NIM compression, but showed encouraging signs on asset quality stabilization and cost discipline.</w:t>
      </w:r>
    </w:p>
    <w:p/>
    <w:p>
      <w:pPr>
        <w:pStyle w:val="Heading2"/>
      </w:pPr>
      <w:r>
        <w:rPr>
          <w:b/>
          <w:color w:val="1F4E79"/>
        </w:rPr>
        <w:t>Key Takeaways</w:t>
      </w:r>
    </w:p>
    <w:p>
      <w:pPr>
        <w:pStyle w:val="ListBullet"/>
      </w:pPr>
      <w:r>
        <w:t>Revenue miss on NIM pressure: FY2025 revenue fell 10.4% YoY to RMB 131.4bn, below consensus of RMB 136.9bn, dragged by NIM contraction to 1.78% (-9bps YoY)</w:t>
      </w:r>
    </w:p>
    <w:p>
      <w:pPr>
        <w:pStyle w:val="ListBullet"/>
      </w:pPr>
      <w:r>
        <w:t>Profit resilient on provision release: Net profit declined 4.2% YoY to RMB 42.6bn, supported by a 17.9% YoY reduction in credit impairment losses</w:t>
      </w:r>
    </w:p>
    <w:p>
      <w:pPr>
        <w:pStyle w:val="ListBullet"/>
      </w:pPr>
      <w:r>
        <w:t>Asset quality stable: NPL ratio ticked down 1bp YoY to 1.05%; retail NPLs improved with mortgage NPL at 0.41%</w:t>
      </w:r>
    </w:p>
    <w:p>
      <w:pPr>
        <w:pStyle w:val="ListBullet"/>
      </w:pPr>
      <w:r>
        <w:t>Balance sheet expansion muted: Total assets grew 2.7% YoY to RMB 5.93tn; loan growth slowed to 0.5% as the bank prioritizes quality over quantity</w:t>
      </w:r>
    </w:p>
    <w:p>
      <w:pPr>
        <w:pStyle w:val="ListBullet"/>
      </w:pPr>
      <w:r>
        <w:t>Valuation remains depressed: Trading at 0.48x P/B and 5.0x P/E with a ~6% dividend yield; downside appears limited but re-rating catalysts are lacking</w:t>
      </w:r>
    </w:p>
    <w:p/>
    <w:p>
      <w:pPr>
        <w:pStyle w:val="Heading2"/>
      </w:pPr>
      <w:r>
        <w:rPr>
          <w:b/>
          <w:color w:val="1F4E79"/>
        </w:rPr>
        <w:t>Results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Actual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Consensus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Beat/Miss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2"/>
              </w:rPr>
              <w:t>Revenue (RMB bn)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131.4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136.9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-4.0%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Net Profit (RMB bn)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42.6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43.9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-3.0%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NIM (%)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1.78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1.82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-4bps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NPL Ratio (%)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-1bp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</w:rPr>
        <w:t>Detailed Results Analysis</w:t>
      </w:r>
    </w:p>
    <w:p>
      <w:pPr>
        <w:pStyle w:val="Heading2"/>
      </w:pPr>
      <w:r>
        <w:rPr>
          <w:b/>
          <w:color w:val="1F4E79"/>
        </w:rPr>
        <w:t>Revenue: Double-Digit Decline on NIM Compression</w:t>
      </w:r>
    </w:p>
    <w:p>
      <w:r>
        <w:t xml:space="preserve">FY2025 operating revenue of RMB 131.4bn declined 10.4% YoY, a slight improvement from the 10.9% drop in FY2024 but still reflecting significant top-line pressure. </w:t>
      </w:r>
      <w:r>
        <w:rPr>
          <w:b/>
        </w:rPr>
        <w:t>The miss versus consensus (RMB 136.9bn) was driven primarily by weaker-than-expected net interest income.</w:t>
      </w:r>
    </w:p>
    <w:p/>
    <w:p>
      <w:pPr>
        <w:pStyle w:val="ListBullet"/>
      </w:pPr>
      <w:r>
        <w:t>Net interest income: RMB 88.0bn (-5.8% YoY), accounting for 67% of total revenue. NIM compressed 9bps to 1.78%, reflecting the industry-wide loan repricing cycle and LPR cuts.</w:t>
      </w:r>
    </w:p>
    <w:p>
      <w:pPr>
        <w:pStyle w:val="ListBullet"/>
      </w:pPr>
      <w:r>
        <w:t>Non-interest income: RMB 43.4bn (-18.5% YoY), weighed by weak wealth management fees and reduced credit card commissions. However, bond trading gains provided partial offset.</w:t>
      </w:r>
    </w:p>
    <w:p>
      <w:pPr>
        <w:pStyle w:val="ListBullet"/>
      </w:pPr>
      <w:r>
        <w:t>Quarterly trajectory: Q4 revenue of RMB 30.8bn was the weakest quarter, down 12.4% YoY, suggesting no clear inflection yet on the top line.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7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revenue_pro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  <w:color w:val="1F4E79"/>
        </w:rPr>
        <w:t>Profitability: Cost Cuts and Provision Release Offset Revenue Weakness</w:t>
      </w:r>
    </w:p>
    <w:p>
      <w:r>
        <w:t xml:space="preserve">Net profit of RMB 42.6bn declined 4.2% YoY, matching the FY2024 pace. While disappointing versus consensus (RMB 43.9bn), the bank demonstrated disciplined cost and risk management. </w:t>
      </w:r>
    </w:p>
    <w:p>
      <w:pPr>
        <w:pStyle w:val="ListBullet"/>
      </w:pPr>
      <w:r>
        <w:t>Cost-to-income ratio: Rose modestly to 29.06% (+1.4pp YoY), as the bank invested in technology and streamlined operations while revenue contracted faster.</w:t>
      </w:r>
    </w:p>
    <w:p>
      <w:pPr>
        <w:pStyle w:val="ListBullet"/>
      </w:pPr>
      <w:r>
        <w:t>Credit impairment: Dropped 17.9% YoY to RMB 40.6bn, releasing RMB 8.9bn of provisioning buffer. This was the single largest contributor to profit resilience.</w:t>
      </w:r>
    </w:p>
    <w:p>
      <w:pPr>
        <w:pStyle w:val="ListBullet"/>
      </w:pPr>
      <w:r>
        <w:t>ROE: Estimated ~9.2%, down from prior years but still respectable within the sector. ROA held at 0.76%.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6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beat_mi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Asset Quality and Balance Sheet</w:t>
      </w:r>
    </w:p>
    <w:p>
      <w:pPr>
        <w:pStyle w:val="Heading2"/>
      </w:pPr>
      <w:r>
        <w:rPr>
          <w:b/>
          <w:color w:val="1F4E79"/>
        </w:rPr>
        <w:t>Asset Quality: Stabilizing but Not Out of the Woods</w:t>
      </w:r>
    </w:p>
    <w:p>
      <w:r>
        <w:t>Asset quality was a relative bright spot. The NPL ratio improved 1bp YoY to 1.05%, while the provision coverage ratio declined 29.8pp to 220.9% as the bank released excess reserves.</w:t>
      </w:r>
    </w:p>
    <w:p>
      <w:pPr>
        <w:pStyle w:val="ListBullet"/>
      </w:pPr>
      <w:r>
        <w:t>Retail loans: Personal loan NPL ratio improved to 1.32% (-7bps YoY), with mortgage NPL at a low 0.41%. Credit card NPL remained elevated at 2.40% but stable.</w:t>
      </w:r>
    </w:p>
    <w:p>
      <w:pPr>
        <w:pStyle w:val="ListBullet"/>
      </w:pPr>
      <w:r>
        <w:t>Corporate loans: Corporate NPL ticked up slightly; real estate-related exposures remain a key watch item given sector stress.</w:t>
      </w:r>
    </w:p>
    <w:p>
      <w:pPr>
        <w:pStyle w:val="ListBullet"/>
      </w:pPr>
      <w:r>
        <w:t>Write-offs: The bank wrote off RMB 170.7bn of NPLs in FY2025 and recovered RMB 9.4bn of distressed assets, with cash recovery at 97.3%.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7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nim_np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7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5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pro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Segment Analysis</w:t>
      </w:r>
    </w:p>
    <w:p>
      <w:pPr>
        <w:pStyle w:val="Heading2"/>
      </w:pPr>
      <w:r>
        <w:rPr>
          <w:b/>
          <w:color w:val="1F4E79"/>
        </w:rPr>
        <w:t>Retail: Shrinking but Higher Quality</w:t>
      </w:r>
    </w:p>
    <w:p>
      <w:r>
        <w:t xml:space="preserve">Retail loans declined 2.3% YoY to RMB 1.73tn as the bank deliberately scaled back high-risk unsecured lending. </w:t>
      </w:r>
      <w:r>
        <w:t>The share of secured loans (mortgage and auto-backed) rose to 62.9%, improving overall portfolio risk.</w:t>
      </w:r>
    </w:p>
    <w:p>
      <w:pPr>
        <w:pStyle w:val="ListBullet"/>
      </w:pPr>
      <w:r>
        <w:t>AUM: Retail AUM grew 1.1% YoY to RMB 4.24tn. Private banking clients increased 9.1% to 105,600 households, a positive signal for fee income potential.</w:t>
      </w:r>
    </w:p>
    <w:p>
      <w:pPr>
        <w:pStyle w:val="ListBullet"/>
      </w:pPr>
      <w:r>
        <w:t>Deposits: Personal deposits grew with demand CASA up 12.9%, driving the retail deposit cost down 36bps to 1.82%.</w:t>
      </w:r>
    </w:p>
    <w:p>
      <w:pPr>
        <w:pStyle w:val="Heading2"/>
      </w:pPr>
      <w:r>
        <w:rPr>
          <w:b/>
          <w:color w:val="1F4E79"/>
        </w:rPr>
        <w:t>Corporate: Steady Growth in Target Sectors</w:t>
      </w:r>
    </w:p>
    <w:p>
      <w:r>
        <w:t>Corporate loans grew 3.5% YoY to RMB 1.68tn, with focused deployment into manufacturing, technology, and green finance.</w:t>
      </w:r>
    </w:p>
    <w:p>
      <w:pPr>
        <w:pStyle w:val="ListBullet"/>
      </w:pPr>
      <w:r>
        <w:t>Green finance: Green loan balance reached RMB 247.1bn (+4.0% YoY), aligned with national policy priorities.</w:t>
      </w:r>
    </w:p>
    <w:p>
      <w:pPr>
        <w:pStyle w:val="ListBullet"/>
      </w:pPr>
      <w:r>
        <w:t>Manufacturing: Medium- and long-term manufacturing loans rose 6.0%, reflecting the bank's strategic pivot toward real economy lending.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Guidance and Forward Outlook</w:t>
      </w:r>
    </w:p>
    <w:p>
      <w:pPr>
        <w:pStyle w:val="Heading2"/>
      </w:pPr>
      <w:r>
        <w:rPr>
          <w:b/>
          <w:color w:val="1F4E79"/>
        </w:rPr>
        <w:t>Management Guidance</w:t>
      </w:r>
    </w:p>
    <w:p>
      <w:pPr>
        <w:pStyle w:val="ListBullet"/>
      </w:pPr>
      <w:r>
        <w:t>No explicit quantitative FY2026 guidance was provided, but management signaled continued focus on "quality over quantity" and structural optimization.</w:t>
      </w:r>
    </w:p>
    <w:p>
      <w:pPr>
        <w:pStyle w:val="ListBullet"/>
      </w:pPr>
      <w:r>
        <w:t>NIM pressure expected to persist but moderate as deposit repricing catches up with loan repricing.</w:t>
      </w:r>
    </w:p>
    <w:p>
      <w:pPr>
        <w:pStyle w:val="ListBullet"/>
      </w:pPr>
      <w:r>
        <w:t>Asset quality: Management expects retail NPLs to continue improving as the high-risk book runs off.</w:t>
      </w:r>
    </w:p>
    <w:p>
      <w:pPr>
        <w:pStyle w:val="Heading2"/>
      </w:pPr>
      <w:r>
        <w:rPr>
          <w:b/>
          <w:color w:val="1F4E79"/>
        </w:rPr>
        <w:t>Analyst Estimates Revisions</w:t>
      </w:r>
    </w:p>
    <w:p>
      <w:r>
        <w:t xml:space="preserve">Following the FY2025 results, we expect modest downward revisions to FY2026 earnings estimates. </w:t>
      </w:r>
      <w:r>
        <w:t>Current street estimates likely embed a revenue recovery to ~RMB 132-135bn and net profit of RMB 41-43bn for FY2026.</w:t>
      </w:r>
    </w:p>
    <w:p>
      <w:pPr>
        <w:pStyle w:val="ListBullet"/>
      </w:pPr>
      <w:r>
        <w:t>Key variables: (1) Pace of NIM stabilization; (2) Credit cost normalization; (3) Wealth management fee recovery tied to capital markets sentiment.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Investment Thesis Update</w:t>
      </w:r>
    </w:p>
    <w:p>
      <w:pPr>
        <w:pStyle w:val="Heading2"/>
      </w:pPr>
      <w:r>
        <w:rPr>
          <w:b/>
          <w:color w:val="1F4E79"/>
        </w:rPr>
        <w:t>What Has Changed</w:t>
      </w:r>
    </w:p>
    <w:p>
      <w:pPr>
        <w:pStyle w:val="ListBullet"/>
      </w:pPr>
      <w:r>
        <w:t>Negative: Revenue decline persists with no clear inflection point. Q4 weakness suggests the bottom may not yet be in.</w:t>
      </w:r>
    </w:p>
    <w:p>
      <w:pPr>
        <w:pStyle w:val="ListBullet"/>
      </w:pPr>
      <w:r>
        <w:t>Negative: Provision release is not sustainable indefinitely; credit costs may normalize upward in FY2026.</w:t>
      </w:r>
    </w:p>
    <w:p>
      <w:pPr>
        <w:pStyle w:val="ListBullet"/>
      </w:pPr>
      <w:r>
        <w:t>Positive: Retail risk detox is progressing; secured lending mix improvement should support long-term asset quality.</w:t>
      </w:r>
    </w:p>
    <w:p>
      <w:pPr>
        <w:pStyle w:val="ListBullet"/>
      </w:pPr>
      <w:r>
        <w:t>Positive: Liability cost management is effective, with deposit costs falling meaningfully.</w:t>
      </w:r>
    </w:p>
    <w:p>
      <w:pPr>
        <w:pStyle w:val="Heading2"/>
      </w:pPr>
      <w:r>
        <w:rPr>
          <w:b/>
          <w:color w:val="1F4E79"/>
        </w:rPr>
        <w:t>Key Risks</w:t>
      </w:r>
    </w:p>
    <w:p>
      <w:pPr>
        <w:pStyle w:val="ListBullet"/>
      </w:pPr>
      <w:r>
        <w:t>Macro: Further LPR cuts or property sector stress could deepen NIM compression and credit losses.</w:t>
      </w:r>
    </w:p>
    <w:p>
      <w:pPr>
        <w:pStyle w:val="ListBullet"/>
      </w:pPr>
      <w:r>
        <w:t>Structural: Revenue growth engine unclear; wealth management recovery is contingent on market conditions.</w:t>
      </w:r>
    </w:p>
    <w:p>
      <w:pPr>
        <w:pStyle w:val="ListBullet"/>
      </w:pPr>
      <w:r>
        <w:t>Execution: Balancing "quality" growth with shareholder returns may prove difficult if top line remains weak.</w:t>
      </w:r>
    </w:p>
    <w:p>
      <w:pPr>
        <w:pStyle w:val="Heading2"/>
      </w:pPr>
      <w:r>
        <w:rPr>
          <w:b/>
          <w:color w:val="1F4E79"/>
        </w:rPr>
        <w:t>Key Catalysts</w:t>
      </w:r>
    </w:p>
    <w:p>
      <w:pPr>
        <w:pStyle w:val="ListBullet"/>
      </w:pPr>
      <w:r>
        <w:t>NIM stabilization or sequential improvement in quarterly revenue growth.</w:t>
      </w:r>
    </w:p>
    <w:p>
      <w:pPr>
        <w:pStyle w:val="ListBullet"/>
      </w:pPr>
      <w:r>
        <w:t>Capital markets recovery driving AUM and fee income rebound.</w:t>
      </w:r>
    </w:p>
    <w:p>
      <w:pPr>
        <w:pStyle w:val="ListBullet"/>
      </w:pPr>
      <w:r>
        <w:t>Potential dividend policy enhancement given low payout ratio relative to peers.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Valuation and Price Target</w:t>
      </w:r>
    </w:p>
    <w:p>
      <w:r>
        <w:t xml:space="preserve">Ping An Bank trades at 0.48x P/B and 5.0x P/E (TTM), near historic lows. </w:t>
      </w:r>
      <w:r>
        <w:rPr>
          <w:b/>
        </w:rPr>
        <w:t>The valuation appears to price in a prolonged earnings decline, offering downside protection but limited near-term upside catalysts.</w:t>
      </w:r>
    </w:p>
    <w:p>
      <w:pPr>
        <w:pStyle w:val="Heading2"/>
      </w:pPr>
      <w:r>
        <w:rPr>
          <w:b/>
          <w:color w:val="1F4E79"/>
        </w:rPr>
        <w:t>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Sector Avg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2"/>
              </w:rPr>
              <w:t>P/B (MRQ)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0.48x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~0.55x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P/E (TTM)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5.0x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~5.5x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Dividend Yield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~6.0%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~5.5%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ROE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~9.2%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~10.0%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NIM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1.78%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~1.85%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Price Target Derivation</w:t>
      </w:r>
    </w:p>
    <w:p>
      <w:r>
        <w:t xml:space="preserve">Our price target of RMB 12.50 is based on 0.55x FY2026E P/B, implying a slight discount to sector average to reflect below-peer ROE and growth prospects. </w:t>
      </w:r>
      <w:r>
        <w:t>Upside to our target is 15%, while downside risk is limited by the ~6% dividend yield and 0.48x P/B floor.</w:t>
      </w:r>
    </w:p>
    <w:p>
      <w:pPr>
        <w:pStyle w:val="ListBullet"/>
      </w:pPr>
      <w:r>
        <w:t>Bull case (RMB 15.00): NIM bottoms in H1 2026; wealth management fees rebound strongly; P/B re-rates to 0.65x.</w:t>
      </w:r>
    </w:p>
    <w:p>
      <w:pPr>
        <w:pStyle w:val="ListBullet"/>
      </w:pPr>
      <w:r>
        <w:t>Base case (RMB 12.50): Gradual stabilization; modest profit decline continues; P/B at 0.55x.</w:t>
      </w:r>
    </w:p>
    <w:p>
      <w:pPr>
        <w:pStyle w:val="ListBullet"/>
      </w:pPr>
      <w:r>
        <w:t>Bear case (RMB 9.50): NIM falls below 1.60%; credit costs spike; P/B compresses to 0.40x.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Quarterly Progression</w:t>
      </w:r>
    </w:p>
    <w:p>
      <w:r>
        <w:t>The quarterly trajectory in FY2025 shows a decelerating top line with Q4 the weakest quarter. Profit was front-loaded, with Q4 net profit dropping to RMB 4.3bn, the lowest in recent years.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7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quarter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Q1: Revenue RMB 33.7bn (-13.1% YoY), Net Profit RMB 14.1bn (-5.6% YoY)</w:t>
      </w:r>
    </w:p>
    <w:p>
      <w:pPr>
        <w:pStyle w:val="ListBullet"/>
      </w:pPr>
      <w:r>
        <w:t>Q2: Revenue RMB 34.5bn (-10.2% YoY), Net Profit RMB 10.9bn (-7.8% YoY)</w:t>
      </w:r>
    </w:p>
    <w:p>
      <w:pPr>
        <w:pStyle w:val="ListBullet"/>
      </w:pPr>
      <w:r>
        <w:t>Q3: Revenue RMB 32.5bn (-10.6% YoY), Net Profit RMB 13.3bn (+3.0% YoY)</w:t>
      </w:r>
    </w:p>
    <w:p>
      <w:pPr>
        <w:pStyle w:val="ListBullet"/>
      </w:pPr>
      <w:r>
        <w:t>Q4: Revenue RMB 30.8bn (-12.4% YoY), Net Profit RMB 4.3bn (-10.1% YoY)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Sources</w:t>
      </w:r>
    </w:p>
    <w:p>
      <w:pPr>
        <w:pStyle w:val="ListBullet"/>
      </w:pPr>
      <w:r>
        <w:t>Ping An Bank FY2025 Annual Report (March 20, 2026)</w:t>
      </w:r>
    </w:p>
    <w:p>
      <w:pPr>
        <w:pStyle w:val="ListBullet"/>
      </w:pPr>
      <w:r>
        <w:t>Ping An Bank FY2025 Earnings Release (March 20, 2026)</w:t>
      </w:r>
    </w:p>
    <w:p>
      <w:pPr>
        <w:pStyle w:val="ListBullet"/>
      </w:pPr>
      <w:r>
        <w:t>Wind/Hexin iFind Financial Database (As of April 22, 2026)</w:t>
      </w:r>
    </w:p>
    <w:p>
      <w:pPr>
        <w:pStyle w:val="ListBullet"/>
      </w:pPr>
      <w:r>
        <w:t>Analyst Consensus Estimates (23 institutions) (As of March 2026)</w:t>
      </w:r>
    </w:p>
    <w:p>
      <w:pPr>
        <w:pStyle w:val="ListBullet"/>
      </w:pPr>
      <w:r>
        <w:t>Sina Finance Research Report: "平安银行(000001)2024年报点评" (March 16, 2025)</w:t>
      </w:r>
    </w:p>
    <w:p>
      <w:pPr>
        <w:pStyle w:val="ListBullet"/>
      </w:pPr>
      <w:r>
        <w:t>Sohu News: "平安银行2025年报深读" (March 23, 2026)</w:t>
      </w:r>
    </w:p>
    <w:p>
      <w:pPr>
        <w:pStyle w:val="ListBullet"/>
      </w:pPr>
      <w:r>
        <w:t>Xueqiu: "营收两连降，但这次不一样了？" (April 13, 2026)</w:t>
      </w:r>
    </w:p>
    <w:p/>
    <w:p>
      <w:pPr>
        <w:pStyle w:val="Heading2"/>
      </w:pPr>
      <w:r>
        <w:rPr>
          <w:b/>
          <w:color w:val="1F4E79"/>
        </w:rPr>
        <w:t>Disclaimer</w:t>
      </w:r>
    </w:p>
    <w:p>
      <w:r>
        <w:rPr>
          <w:sz w:val="18"/>
        </w:rPr>
        <w:t xml:space="preserve">This report is for informational purposes only and does not constitute investment advice. </w:t>
      </w:r>
      <w:r>
        <w:rPr>
          <w:sz w:val="18"/>
        </w:rPr>
        <w:t>Past performance is not indicative of future results. Investors should conduct their own due diligence before making investment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