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8F07C" w14:textId="360AE8D0" w:rsidR="00FF40DF" w:rsidRPr="009F4D7D" w:rsidRDefault="00000000">
      <w:pPr>
        <w:pStyle w:val="Title"/>
        <w:rPr>
          <w:rFonts w:ascii="Arial" w:hAnsi="Arial" w:cs="Arial"/>
          <w:color w:val="auto"/>
          <w:sz w:val="24"/>
          <w:szCs w:val="24"/>
          <w:lang w:val="pt-BR"/>
        </w:rPr>
      </w:pPr>
      <w:r w:rsidRPr="009F4D7D">
        <w:rPr>
          <w:rFonts w:ascii="Arial" w:hAnsi="Arial" w:cs="Arial"/>
          <w:color w:val="auto"/>
          <w:sz w:val="24"/>
          <w:szCs w:val="24"/>
          <w:lang w:val="pt-BR"/>
        </w:rPr>
        <w:t>Empresas de</w:t>
      </w:r>
      <w:r w:rsidR="009F4D7D">
        <w:rPr>
          <w:rFonts w:ascii="Arial" w:hAnsi="Arial" w:cs="Arial"/>
          <w:color w:val="auto"/>
          <w:sz w:val="24"/>
          <w:szCs w:val="24"/>
          <w:lang w:val="pt-BR"/>
        </w:rPr>
        <w:t xml:space="preserve"> </w:t>
      </w:r>
      <w:r w:rsidRPr="009F4D7D">
        <w:rPr>
          <w:rFonts w:ascii="Arial" w:hAnsi="Arial" w:cs="Arial"/>
          <w:color w:val="auto"/>
          <w:sz w:val="24"/>
          <w:szCs w:val="24"/>
          <w:lang w:val="pt-BR"/>
        </w:rPr>
        <w:t>Pequeno Porte nos Modelos CMMI e MPS-BR</w:t>
      </w:r>
    </w:p>
    <w:p w14:paraId="7A7E7F7D" w14:textId="77777777" w:rsidR="00FF40DF" w:rsidRPr="009F4D7D" w:rsidRDefault="00000000">
      <w:pPr>
        <w:pStyle w:val="Heading1"/>
        <w:rPr>
          <w:rFonts w:ascii="Arial" w:hAnsi="Arial" w:cs="Arial"/>
          <w:color w:val="auto"/>
          <w:sz w:val="24"/>
          <w:szCs w:val="24"/>
          <w:lang w:val="pt-BR"/>
        </w:rPr>
      </w:pPr>
      <w:r w:rsidRPr="009F4D7D">
        <w:rPr>
          <w:rFonts w:ascii="Arial" w:hAnsi="Arial" w:cs="Arial"/>
          <w:color w:val="auto"/>
          <w:sz w:val="24"/>
          <w:szCs w:val="24"/>
          <w:lang w:val="pt-BR"/>
        </w:rPr>
        <w:t>1. Introdução</w:t>
      </w:r>
    </w:p>
    <w:p w14:paraId="61EDD253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A Qualidade de Software é um fator essencial para o sucesso de qualquer empresa desenvolvedora de sistemas, independentemente do seu porte. Em empresas de pequeno porte, no entanto, a aplicação sistemática de práticas de qualidade enfrenta desafios significativos, como a escassez de recursos humanos, técnicos e financeiros. Apesar dessas limitações, é possível e necessário buscar alternativas viáveis para garantir a entrega de produtos mais confiáveis, sustentáveis e competitivos no mercado.</w:t>
      </w:r>
    </w:p>
    <w:p w14:paraId="7BAA93FD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Este relatório tem como objetivo analisar a importância da Qualidade de Software em pequenas empresas, explorar formas de aplicar os modelos de melhoria de processos CMMI e MPS-BR nesse contexto e indicar práticas de testes adaptadas à realidade dessas organizações.</w:t>
      </w:r>
    </w:p>
    <w:p w14:paraId="59FC48F2" w14:textId="77777777" w:rsidR="00FF40DF" w:rsidRPr="009F4D7D" w:rsidRDefault="00000000">
      <w:pPr>
        <w:pStyle w:val="Heading1"/>
        <w:rPr>
          <w:rFonts w:ascii="Arial" w:hAnsi="Arial" w:cs="Arial"/>
          <w:color w:val="auto"/>
          <w:sz w:val="24"/>
          <w:szCs w:val="24"/>
          <w:lang w:val="pt-BR"/>
        </w:rPr>
      </w:pPr>
      <w:r w:rsidRPr="009F4D7D">
        <w:rPr>
          <w:rFonts w:ascii="Arial" w:hAnsi="Arial" w:cs="Arial"/>
          <w:color w:val="auto"/>
          <w:sz w:val="24"/>
          <w:szCs w:val="24"/>
          <w:lang w:val="pt-BR"/>
        </w:rPr>
        <w:t>2. Importância da Implantação dos Processos de Qualidade de Software em Pequenas Empresas</w:t>
      </w:r>
    </w:p>
    <w:p w14:paraId="3E874574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Empresas de pequeno porte costumam operar com equipes reduzidas e processos informais. Isso, embora permita certa agilidade, também aumenta o risco de erros, retrabalho e insatisfação do cliente. A implantação de processos de Qualidade de Software visa:</w:t>
      </w:r>
    </w:p>
    <w:p w14:paraId="66804F4D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- Aumentar a previsibilidade e confiabilidade das entregas.</w:t>
      </w:r>
    </w:p>
    <w:p w14:paraId="636F26D8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- Reduzir custos a longo prazo por meio da prevenção de falhas.</w:t>
      </w:r>
    </w:p>
    <w:p w14:paraId="3A321F8F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- Fortalecer a reputação da empresa no mercado.</w:t>
      </w:r>
    </w:p>
    <w:p w14:paraId="2FF18ACA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- Organizar processos internos e otimizar a gestão do conhecimento.</w:t>
      </w:r>
    </w:p>
    <w:p w14:paraId="6066390E" w14:textId="77777777" w:rsidR="00FF40DF" w:rsidRPr="009F4D7D" w:rsidRDefault="00000000">
      <w:pPr>
        <w:pStyle w:val="Heading1"/>
        <w:rPr>
          <w:rFonts w:ascii="Arial" w:hAnsi="Arial" w:cs="Arial"/>
          <w:color w:val="auto"/>
          <w:sz w:val="24"/>
          <w:szCs w:val="24"/>
          <w:lang w:val="pt-BR"/>
        </w:rPr>
      </w:pPr>
      <w:r w:rsidRPr="009F4D7D">
        <w:rPr>
          <w:rFonts w:ascii="Arial" w:hAnsi="Arial" w:cs="Arial"/>
          <w:color w:val="auto"/>
          <w:sz w:val="24"/>
          <w:szCs w:val="24"/>
          <w:lang w:val="pt-BR"/>
        </w:rPr>
        <w:t>3. Adoção Parcial de Processos de Qualidade: O Que é Essencial?</w:t>
      </w:r>
    </w:p>
    <w:p w14:paraId="4CA7A77A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Quando não for possível implantar um modelo completo de qualidade, é recomendável adotar elementos mínimos que garantam a rastreabilidade e o controle do ciclo de desenvolvimento. Os pontos essenciais incluem:</w:t>
      </w:r>
    </w:p>
    <w:p w14:paraId="56D0C18B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- Definição de processos claros de desenvolvimento e testes.</w:t>
      </w:r>
    </w:p>
    <w:p w14:paraId="219DE39D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- Criação de casos de testes manuais ou automatizados.</w:t>
      </w:r>
    </w:p>
    <w:p w14:paraId="4131CA03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- Controle de versão e documentação mínima de requisitos.</w:t>
      </w:r>
    </w:p>
    <w:p w14:paraId="2E1FB5F9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lastRenderedPageBreak/>
        <w:t>- Revisões de código e validações com o cliente.</w:t>
      </w:r>
    </w:p>
    <w:p w14:paraId="1194E5FB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- Registro e análise de defeitos encontrados.</w:t>
      </w:r>
    </w:p>
    <w:p w14:paraId="18477D77" w14:textId="77777777" w:rsidR="00FF40DF" w:rsidRPr="009F4D7D" w:rsidRDefault="00000000">
      <w:pPr>
        <w:pStyle w:val="Heading1"/>
        <w:rPr>
          <w:rFonts w:ascii="Arial" w:hAnsi="Arial" w:cs="Arial"/>
          <w:color w:val="auto"/>
          <w:sz w:val="24"/>
          <w:szCs w:val="24"/>
          <w:lang w:val="pt-BR"/>
        </w:rPr>
      </w:pPr>
      <w:r w:rsidRPr="009F4D7D">
        <w:rPr>
          <w:rFonts w:ascii="Arial" w:hAnsi="Arial" w:cs="Arial"/>
          <w:color w:val="auto"/>
          <w:sz w:val="24"/>
          <w:szCs w:val="24"/>
          <w:lang w:val="pt-BR"/>
        </w:rPr>
        <w:t>4. Modelos de Maturidade: CMMI e MPS-BR</w:t>
      </w:r>
    </w:p>
    <w:p w14:paraId="09A50950" w14:textId="77777777" w:rsidR="00FF40DF" w:rsidRPr="009F4D7D" w:rsidRDefault="00000000">
      <w:pPr>
        <w:rPr>
          <w:rFonts w:ascii="Arial" w:hAnsi="Arial" w:cs="Arial"/>
          <w:sz w:val="24"/>
          <w:szCs w:val="24"/>
        </w:rPr>
      </w:pPr>
      <w:r w:rsidRPr="009F4D7D">
        <w:rPr>
          <w:rFonts w:ascii="Arial" w:hAnsi="Arial" w:cs="Arial"/>
          <w:sz w:val="24"/>
          <w:szCs w:val="24"/>
        </w:rPr>
        <w:t>4.1. CMMI (Capability Maturity Model Integration)</w:t>
      </w:r>
    </w:p>
    <w:p w14:paraId="1B62F5B1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O CMMI é um modelo internacional que propõe uma estrutura para melhoria de processos de desenvolvimento. Ele é dividido em cinco níveis de maturidade:</w:t>
      </w:r>
    </w:p>
    <w:p w14:paraId="3E78408C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1. Inicial</w:t>
      </w:r>
    </w:p>
    <w:p w14:paraId="26510C02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2. Gerenciado</w:t>
      </w:r>
    </w:p>
    <w:p w14:paraId="0E4677B4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3. Definido</w:t>
      </w:r>
    </w:p>
    <w:p w14:paraId="406AF91A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4. Quantitativamente Gerenciado</w:t>
      </w:r>
    </w:p>
    <w:p w14:paraId="62E32393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5. Em Otimização</w:t>
      </w:r>
    </w:p>
    <w:p w14:paraId="3ED8A308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Empresas de pequeno porte, geralmente, podem se beneficiar do nível 2 (Gerenciado), que foca em estabelecer políticas de gerenciamento de projetos, controle de requisitos e acompanhamento das atividades.</w:t>
      </w:r>
    </w:p>
    <w:p w14:paraId="17F34193" w14:textId="77777777" w:rsidR="00FF40DF" w:rsidRPr="009F4D7D" w:rsidRDefault="00FF40DF">
      <w:pPr>
        <w:rPr>
          <w:rFonts w:ascii="Arial" w:hAnsi="Arial" w:cs="Arial"/>
          <w:sz w:val="24"/>
          <w:szCs w:val="24"/>
          <w:lang w:val="pt-BR"/>
        </w:rPr>
      </w:pPr>
    </w:p>
    <w:p w14:paraId="6A276BCF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4.2. MPS-BR (Melhoria de Processo do Software Brasileiro)</w:t>
      </w:r>
    </w:p>
    <w:p w14:paraId="055FC203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Desenvolvido no Brasil, o MPS-BR é mais flexível e adaptável a pequenas e médias empresas. Seus níveis de maturidade são:</w:t>
      </w:r>
    </w:p>
    <w:p w14:paraId="45A2B073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- G (Parcialmente Gerenciado)</w:t>
      </w:r>
    </w:p>
    <w:p w14:paraId="0D5810EF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- F (Gerenciado)</w:t>
      </w:r>
    </w:p>
    <w:p w14:paraId="068E5C8C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- E (Parcialmente Definido)</w:t>
      </w:r>
    </w:p>
    <w:p w14:paraId="1E81116C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- D (Largamente Definido)</w:t>
      </w:r>
    </w:p>
    <w:p w14:paraId="5886164D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- C, B, A (níveis mais avançados)</w:t>
      </w:r>
    </w:p>
    <w:p w14:paraId="2B127F69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Para uma empresa de pequeno porte, os níveis G e F são os mais recomendados para início da adoção, pois incluem:</w:t>
      </w:r>
    </w:p>
    <w:p w14:paraId="7FAEA726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- Planejamento de projetos</w:t>
      </w:r>
    </w:p>
    <w:p w14:paraId="6A4F4BFF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- Gerência de requisitos</w:t>
      </w:r>
    </w:p>
    <w:p w14:paraId="7F2364C0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lastRenderedPageBreak/>
        <w:t>- Garantia da qualidade</w:t>
      </w:r>
    </w:p>
    <w:p w14:paraId="0BDD2844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- Medição e análise</w:t>
      </w:r>
    </w:p>
    <w:p w14:paraId="3E5E7EC3" w14:textId="77777777" w:rsidR="00FF40DF" w:rsidRPr="009F4D7D" w:rsidRDefault="00000000">
      <w:pPr>
        <w:pStyle w:val="Heading1"/>
        <w:rPr>
          <w:rFonts w:ascii="Arial" w:hAnsi="Arial" w:cs="Arial"/>
          <w:color w:val="auto"/>
          <w:sz w:val="24"/>
          <w:szCs w:val="24"/>
          <w:lang w:val="pt-BR"/>
        </w:rPr>
      </w:pPr>
      <w:r w:rsidRPr="009F4D7D">
        <w:rPr>
          <w:rFonts w:ascii="Arial" w:hAnsi="Arial" w:cs="Arial"/>
          <w:color w:val="auto"/>
          <w:sz w:val="24"/>
          <w:szCs w:val="24"/>
          <w:lang w:val="pt-BR"/>
        </w:rPr>
        <w:t>5. Boas Práticas de Testes Adaptáveis a Pequenas Empresas</w:t>
      </w:r>
    </w:p>
    <w:p w14:paraId="4A31D24F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- Testes de Unidade Automatizados: uso de ferramentas como JUnit, NUnit, ou PyTest.</w:t>
      </w:r>
    </w:p>
    <w:p w14:paraId="745E07DF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- Testes de Integração e de Sistema: focar em fluxos principais do sistema.</w:t>
      </w:r>
    </w:p>
    <w:p w14:paraId="5660FAC9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- Testes de Regressão Automatizados: com ferramentas como Selenium ou Cypress.</w:t>
      </w:r>
    </w:p>
    <w:p w14:paraId="6181C5C3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- Registro de bugs e controle de versão: uso de Git, GitHub Issues, Trello, ou Jira.</w:t>
      </w:r>
    </w:p>
    <w:p w14:paraId="4A8CB463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- Pequenas baterias de testes manuais baseadas em requisitos.</w:t>
      </w:r>
    </w:p>
    <w:p w14:paraId="12F11F0C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- Testes exploratórios para cobrir áreas não previstas.</w:t>
      </w:r>
    </w:p>
    <w:p w14:paraId="1B491BAA" w14:textId="790ECC1B" w:rsidR="00FF40DF" w:rsidRDefault="00000000" w:rsidP="009F4D7D">
      <w:pPr>
        <w:pStyle w:val="Heading1"/>
        <w:rPr>
          <w:rFonts w:ascii="Arial" w:hAnsi="Arial" w:cs="Arial"/>
          <w:color w:val="auto"/>
          <w:sz w:val="24"/>
          <w:szCs w:val="24"/>
          <w:lang w:val="pt-BR"/>
        </w:rPr>
      </w:pPr>
      <w:r w:rsidRPr="009F4D7D">
        <w:rPr>
          <w:rFonts w:ascii="Arial" w:hAnsi="Arial" w:cs="Arial"/>
          <w:color w:val="auto"/>
          <w:sz w:val="24"/>
          <w:szCs w:val="24"/>
          <w:lang w:val="pt-BR"/>
        </w:rPr>
        <w:t>6. Comparativo dos Níveis de Maturidade do MPS-BR (com foco em aplicabilidade prática)</w:t>
      </w:r>
    </w:p>
    <w:p w14:paraId="2197B700" w14:textId="77777777" w:rsidR="009F4D7D" w:rsidRPr="009F4D7D" w:rsidRDefault="009F4D7D" w:rsidP="009F4D7D">
      <w:pPr>
        <w:rPr>
          <w:lang w:val="pt-BR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0"/>
        <w:gridCol w:w="3953"/>
        <w:gridCol w:w="4419"/>
      </w:tblGrid>
      <w:tr w:rsidR="009F4D7D" w14:paraId="2B1CD94E" w14:textId="77777777" w:rsidTr="009F4D7D">
        <w:tc>
          <w:tcPr>
            <w:tcW w:w="950" w:type="dxa"/>
          </w:tcPr>
          <w:p w14:paraId="1D8A9E60" w14:textId="2EEE2F69" w:rsidR="009F4D7D" w:rsidRDefault="009F4D7D" w:rsidP="009F4D7D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F4D7D">
              <w:rPr>
                <w:rFonts w:ascii="Arial" w:hAnsi="Arial" w:cs="Arial"/>
                <w:sz w:val="24"/>
                <w:szCs w:val="24"/>
                <w:lang w:val="pt-BR"/>
              </w:rPr>
              <w:t>Nível</w:t>
            </w:r>
          </w:p>
        </w:tc>
        <w:tc>
          <w:tcPr>
            <w:tcW w:w="3953" w:type="dxa"/>
          </w:tcPr>
          <w:p w14:paraId="69EA97EC" w14:textId="545435BE" w:rsidR="009F4D7D" w:rsidRDefault="009F4D7D" w:rsidP="009F4D7D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F4D7D">
              <w:rPr>
                <w:rFonts w:ascii="Arial" w:hAnsi="Arial" w:cs="Arial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419" w:type="dxa"/>
          </w:tcPr>
          <w:p w14:paraId="67D32AC6" w14:textId="5EE6CE99" w:rsidR="009F4D7D" w:rsidRDefault="009F4D7D" w:rsidP="009F4D7D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F4D7D">
              <w:rPr>
                <w:rFonts w:ascii="Arial" w:hAnsi="Arial" w:cs="Arial"/>
                <w:sz w:val="24"/>
                <w:szCs w:val="24"/>
                <w:lang w:val="pt-BR"/>
              </w:rPr>
              <w:t xml:space="preserve">Aplicabilidade </w:t>
            </w:r>
          </w:p>
        </w:tc>
      </w:tr>
      <w:tr w:rsidR="009F4D7D" w14:paraId="4AEFB030" w14:textId="77777777" w:rsidTr="009F4D7D">
        <w:tc>
          <w:tcPr>
            <w:tcW w:w="950" w:type="dxa"/>
          </w:tcPr>
          <w:p w14:paraId="66DFE92D" w14:textId="67C4E90B" w:rsidR="009F4D7D" w:rsidRPr="009F4D7D" w:rsidRDefault="009F4D7D" w:rsidP="009F4D7D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G</w:t>
            </w:r>
          </w:p>
        </w:tc>
        <w:tc>
          <w:tcPr>
            <w:tcW w:w="3953" w:type="dxa"/>
          </w:tcPr>
          <w:p w14:paraId="37015C48" w14:textId="48270ECF" w:rsidR="009F4D7D" w:rsidRPr="009F4D7D" w:rsidRDefault="009F4D7D" w:rsidP="009F4D7D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F4D7D">
              <w:rPr>
                <w:rFonts w:ascii="Arial" w:hAnsi="Arial" w:cs="Arial"/>
                <w:sz w:val="24"/>
                <w:szCs w:val="24"/>
                <w:lang w:val="pt-BR"/>
              </w:rPr>
              <w:t>Processos parcialmente gerenciado</w:t>
            </w:r>
          </w:p>
        </w:tc>
        <w:tc>
          <w:tcPr>
            <w:tcW w:w="4419" w:type="dxa"/>
          </w:tcPr>
          <w:p w14:paraId="4A3E1670" w14:textId="44F101B0" w:rsidR="009F4D7D" w:rsidRPr="009F4D7D" w:rsidRDefault="009F4D7D" w:rsidP="009F4D7D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F4D7D">
              <w:rPr>
                <w:rFonts w:ascii="Arial" w:hAnsi="Arial" w:cs="Arial"/>
                <w:sz w:val="24"/>
                <w:szCs w:val="24"/>
                <w:lang w:val="pt-BR"/>
              </w:rPr>
              <w:t>Entrada acessível para estruturar qualidade.</w:t>
            </w:r>
          </w:p>
        </w:tc>
      </w:tr>
      <w:tr w:rsidR="009F4D7D" w14:paraId="1C6E2E69" w14:textId="77777777" w:rsidTr="009F4D7D">
        <w:tc>
          <w:tcPr>
            <w:tcW w:w="950" w:type="dxa"/>
          </w:tcPr>
          <w:p w14:paraId="1D3C8209" w14:textId="082D2C08" w:rsidR="009F4D7D" w:rsidRPr="009F4D7D" w:rsidRDefault="009F4D7D" w:rsidP="009F4D7D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F</w:t>
            </w:r>
          </w:p>
        </w:tc>
        <w:tc>
          <w:tcPr>
            <w:tcW w:w="3953" w:type="dxa"/>
          </w:tcPr>
          <w:p w14:paraId="3555556F" w14:textId="3D9EA373" w:rsidR="009F4D7D" w:rsidRPr="009F4D7D" w:rsidRDefault="009F4D7D" w:rsidP="009F4D7D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F4D7D">
              <w:rPr>
                <w:rFonts w:ascii="Arial" w:hAnsi="Arial" w:cs="Arial"/>
                <w:sz w:val="24"/>
                <w:szCs w:val="24"/>
                <w:lang w:val="pt-BR"/>
              </w:rPr>
              <w:t>Processos gerenciados</w:t>
            </w:r>
          </w:p>
        </w:tc>
        <w:tc>
          <w:tcPr>
            <w:tcW w:w="4419" w:type="dxa"/>
          </w:tcPr>
          <w:p w14:paraId="25BB45B6" w14:textId="4FA7D93E" w:rsidR="009F4D7D" w:rsidRPr="009F4D7D" w:rsidRDefault="009F4D7D" w:rsidP="009F4D7D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F4D7D">
              <w:rPr>
                <w:rFonts w:ascii="Arial" w:hAnsi="Arial" w:cs="Arial"/>
                <w:sz w:val="24"/>
                <w:szCs w:val="24"/>
                <w:lang w:val="pt-BR"/>
              </w:rPr>
              <w:t>Reforça planejamento, medição e controle de qualidade.</w:t>
            </w:r>
          </w:p>
        </w:tc>
      </w:tr>
      <w:tr w:rsidR="009F4D7D" w14:paraId="6F80D531" w14:textId="77777777" w:rsidTr="009F4D7D">
        <w:tc>
          <w:tcPr>
            <w:tcW w:w="950" w:type="dxa"/>
          </w:tcPr>
          <w:p w14:paraId="5BC03F2C" w14:textId="47FEEB00" w:rsidR="009F4D7D" w:rsidRPr="009F4D7D" w:rsidRDefault="009F4D7D" w:rsidP="009F4D7D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E</w:t>
            </w:r>
          </w:p>
        </w:tc>
        <w:tc>
          <w:tcPr>
            <w:tcW w:w="3953" w:type="dxa"/>
          </w:tcPr>
          <w:p w14:paraId="79445100" w14:textId="07A06E5D" w:rsidR="009F4D7D" w:rsidRPr="009F4D7D" w:rsidRDefault="009F4D7D" w:rsidP="009F4D7D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F4D7D">
              <w:rPr>
                <w:rFonts w:ascii="Arial" w:hAnsi="Arial" w:cs="Arial"/>
                <w:sz w:val="24"/>
                <w:szCs w:val="24"/>
                <w:lang w:val="pt-BR"/>
              </w:rPr>
              <w:t>Processos parcialmente definido</w:t>
            </w:r>
          </w:p>
        </w:tc>
        <w:tc>
          <w:tcPr>
            <w:tcW w:w="4419" w:type="dxa"/>
          </w:tcPr>
          <w:p w14:paraId="4CE45AEB" w14:textId="7507A2AA" w:rsidR="009F4D7D" w:rsidRPr="009F4D7D" w:rsidRDefault="009F4D7D" w:rsidP="009F4D7D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F4D7D">
              <w:rPr>
                <w:rFonts w:ascii="Arial" w:hAnsi="Arial" w:cs="Arial"/>
                <w:sz w:val="24"/>
                <w:szCs w:val="24"/>
                <w:lang w:val="pt-BR"/>
              </w:rPr>
              <w:t>Requer mais formalização, possível com maior maturidade.</w:t>
            </w:r>
          </w:p>
        </w:tc>
      </w:tr>
      <w:tr w:rsidR="009F4D7D" w14:paraId="6C3C7E44" w14:textId="77777777" w:rsidTr="009F4D7D">
        <w:tc>
          <w:tcPr>
            <w:tcW w:w="950" w:type="dxa"/>
          </w:tcPr>
          <w:p w14:paraId="1C152420" w14:textId="791F8FF8" w:rsidR="009F4D7D" w:rsidRPr="009F4D7D" w:rsidRDefault="009F4D7D" w:rsidP="009F4D7D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D a A</w:t>
            </w:r>
          </w:p>
        </w:tc>
        <w:tc>
          <w:tcPr>
            <w:tcW w:w="3953" w:type="dxa"/>
          </w:tcPr>
          <w:p w14:paraId="7217AFF2" w14:textId="793DBDB6" w:rsidR="009F4D7D" w:rsidRPr="009F4D7D" w:rsidRDefault="009F4D7D" w:rsidP="009F4D7D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F4D7D">
              <w:rPr>
                <w:rFonts w:ascii="Arial" w:hAnsi="Arial" w:cs="Arial"/>
                <w:sz w:val="24"/>
                <w:szCs w:val="24"/>
                <w:lang w:val="pt-BR"/>
              </w:rPr>
              <w:t>Altamente definidos e otimizados</w:t>
            </w:r>
          </w:p>
        </w:tc>
        <w:tc>
          <w:tcPr>
            <w:tcW w:w="4419" w:type="dxa"/>
          </w:tcPr>
          <w:p w14:paraId="11C5CC54" w14:textId="1E6BB562" w:rsidR="009F4D7D" w:rsidRPr="009F4D7D" w:rsidRDefault="009F4D7D" w:rsidP="009F4D7D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F4D7D">
              <w:rPr>
                <w:rFonts w:ascii="Arial" w:hAnsi="Arial" w:cs="Arial"/>
                <w:sz w:val="24"/>
                <w:szCs w:val="24"/>
                <w:lang w:val="pt-BR"/>
              </w:rPr>
              <w:t>Pouco viável sem equipe especializada e recursos disponíveis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</w:tbl>
    <w:p w14:paraId="0BB35158" w14:textId="77777777" w:rsidR="009F4D7D" w:rsidRPr="009F4D7D" w:rsidRDefault="009F4D7D">
      <w:pPr>
        <w:rPr>
          <w:rFonts w:ascii="Arial" w:hAnsi="Arial" w:cs="Arial"/>
          <w:sz w:val="24"/>
          <w:szCs w:val="24"/>
          <w:lang w:val="pt-BR"/>
        </w:rPr>
      </w:pPr>
    </w:p>
    <w:p w14:paraId="5EB6FEEE" w14:textId="77777777" w:rsidR="00FF40DF" w:rsidRPr="009F4D7D" w:rsidRDefault="00000000">
      <w:pPr>
        <w:pStyle w:val="Heading1"/>
        <w:rPr>
          <w:rFonts w:ascii="Arial" w:hAnsi="Arial" w:cs="Arial"/>
          <w:color w:val="auto"/>
          <w:sz w:val="24"/>
          <w:szCs w:val="24"/>
          <w:lang w:val="pt-BR"/>
        </w:rPr>
      </w:pPr>
      <w:r w:rsidRPr="009F4D7D">
        <w:rPr>
          <w:rFonts w:ascii="Arial" w:hAnsi="Arial" w:cs="Arial"/>
          <w:color w:val="auto"/>
          <w:sz w:val="24"/>
          <w:szCs w:val="24"/>
          <w:lang w:val="pt-BR"/>
        </w:rPr>
        <w:t>7. Uso de Inteligência Artificial na Pesquisa</w:t>
      </w:r>
    </w:p>
    <w:p w14:paraId="2D5ED6D0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Ferramentas de IA como ChatGPT, Bing Copilot e Gemini foram utilizadas para sintetizar e estruturar as informações apresentadas neste relatório. As contribuições principais foram:</w:t>
      </w:r>
    </w:p>
    <w:p w14:paraId="2A63C80C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- Resumo conceitual dos modelos CMMI e MPS-BR.</w:t>
      </w:r>
    </w:p>
    <w:p w14:paraId="50FE5012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- Sugestão de boas práticas adaptadas ao porte da empresa.</w:t>
      </w:r>
    </w:p>
    <w:p w14:paraId="4752A8F7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lastRenderedPageBreak/>
        <w:t>- Estruturação de tópicos em formato de relatório.</w:t>
      </w:r>
    </w:p>
    <w:p w14:paraId="4928F12F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As informações foram complementadas e validadas com fontes confiáveis, como:</w:t>
      </w:r>
    </w:p>
    <w:p w14:paraId="42B96FAA" w14:textId="77777777" w:rsidR="00FF40DF" w:rsidRPr="009F4D7D" w:rsidRDefault="00000000">
      <w:pPr>
        <w:rPr>
          <w:rFonts w:ascii="Arial" w:hAnsi="Arial" w:cs="Arial"/>
          <w:sz w:val="24"/>
          <w:szCs w:val="24"/>
        </w:rPr>
      </w:pPr>
      <w:r w:rsidRPr="009F4D7D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9F4D7D">
        <w:rPr>
          <w:rFonts w:ascii="Arial" w:hAnsi="Arial" w:cs="Arial"/>
          <w:sz w:val="24"/>
          <w:szCs w:val="24"/>
        </w:rPr>
        <w:t>Softex</w:t>
      </w:r>
      <w:proofErr w:type="spellEnd"/>
      <w:r w:rsidRPr="009F4D7D">
        <w:rPr>
          <w:rFonts w:ascii="Arial" w:hAnsi="Arial" w:cs="Arial"/>
          <w:sz w:val="24"/>
          <w:szCs w:val="24"/>
        </w:rPr>
        <w:t xml:space="preserve"> - www.softex.br/mpsbr/</w:t>
      </w:r>
    </w:p>
    <w:p w14:paraId="5EFDB38F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- CMMI Institute - www.cmmiinstitute.com</w:t>
      </w:r>
    </w:p>
    <w:p w14:paraId="45DE56E1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- Livro: Engenharia de Software – Sommerville</w:t>
      </w:r>
    </w:p>
    <w:p w14:paraId="7DB7DF16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- Artigos científicos e materiais acadêmicos.</w:t>
      </w:r>
    </w:p>
    <w:p w14:paraId="11F637AC" w14:textId="77777777" w:rsidR="00FF40DF" w:rsidRPr="009F4D7D" w:rsidRDefault="00000000">
      <w:pPr>
        <w:pStyle w:val="Heading1"/>
        <w:rPr>
          <w:rFonts w:ascii="Arial" w:hAnsi="Arial" w:cs="Arial"/>
          <w:color w:val="auto"/>
          <w:sz w:val="24"/>
          <w:szCs w:val="24"/>
          <w:lang w:val="pt-BR"/>
        </w:rPr>
      </w:pPr>
      <w:r w:rsidRPr="009F4D7D">
        <w:rPr>
          <w:rFonts w:ascii="Arial" w:hAnsi="Arial" w:cs="Arial"/>
          <w:color w:val="auto"/>
          <w:sz w:val="24"/>
          <w:szCs w:val="24"/>
          <w:lang w:val="pt-BR"/>
        </w:rPr>
        <w:t>8. Conclusão</w:t>
      </w:r>
    </w:p>
    <w:p w14:paraId="2DC26B85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A busca pela Qualidade de Software é um diferencial competitivo importante, mesmo (e especialmente) para empresas de pequeno porte. A adoção de modelos como o MPS-BR, com foco nos níveis G e F, permite uma implementação gradual, de acordo com a realidade e os recursos disponíveis. O uso de ferramentas de IA pode acelerar o aprendizado, sugerir boas práticas e oferecer apoio na construção de processos mais organizados e eficazes.</w:t>
      </w:r>
    </w:p>
    <w:p w14:paraId="16A3A356" w14:textId="77777777" w:rsidR="00FF40DF" w:rsidRPr="009F4D7D" w:rsidRDefault="00000000">
      <w:pPr>
        <w:pStyle w:val="Heading1"/>
        <w:rPr>
          <w:rFonts w:ascii="Arial" w:hAnsi="Arial" w:cs="Arial"/>
          <w:color w:val="auto"/>
          <w:sz w:val="24"/>
          <w:szCs w:val="24"/>
          <w:lang w:val="pt-BR"/>
        </w:rPr>
      </w:pPr>
      <w:r w:rsidRPr="009F4D7D">
        <w:rPr>
          <w:rFonts w:ascii="Arial" w:hAnsi="Arial" w:cs="Arial"/>
          <w:color w:val="auto"/>
          <w:sz w:val="24"/>
          <w:szCs w:val="24"/>
          <w:lang w:val="pt-BR"/>
        </w:rPr>
        <w:t>9. Referências</w:t>
      </w:r>
    </w:p>
    <w:p w14:paraId="1EBDE1CD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  <w:lang w:val="pt-BR"/>
        </w:rPr>
        <w:t>- SOFTEX. Modelo MPS-BR. Disponível em: https://softex.br/mpsbr/</w:t>
      </w:r>
    </w:p>
    <w:p w14:paraId="758C3ADA" w14:textId="77777777" w:rsidR="00FF40DF" w:rsidRPr="009F4D7D" w:rsidRDefault="00000000">
      <w:pPr>
        <w:rPr>
          <w:rFonts w:ascii="Arial" w:hAnsi="Arial" w:cs="Arial"/>
          <w:sz w:val="24"/>
          <w:szCs w:val="24"/>
          <w:lang w:val="pt-BR"/>
        </w:rPr>
      </w:pPr>
      <w:r w:rsidRPr="009F4D7D">
        <w:rPr>
          <w:rFonts w:ascii="Arial" w:hAnsi="Arial" w:cs="Arial"/>
          <w:sz w:val="24"/>
          <w:szCs w:val="24"/>
        </w:rPr>
        <w:t xml:space="preserve">- CMMI Institute. CMMI for Development. </w:t>
      </w:r>
      <w:r w:rsidRPr="009F4D7D">
        <w:rPr>
          <w:rFonts w:ascii="Arial" w:hAnsi="Arial" w:cs="Arial"/>
          <w:sz w:val="24"/>
          <w:szCs w:val="24"/>
          <w:lang w:val="pt-BR"/>
        </w:rPr>
        <w:t>Disponível em: https://cmmiinstitute.com/cmmi</w:t>
      </w:r>
    </w:p>
    <w:p w14:paraId="1FBAC50B" w14:textId="77777777" w:rsidR="00FF40DF" w:rsidRPr="009F4D7D" w:rsidRDefault="00000000">
      <w:pPr>
        <w:rPr>
          <w:rFonts w:ascii="Arial" w:hAnsi="Arial" w:cs="Arial"/>
          <w:sz w:val="24"/>
          <w:szCs w:val="24"/>
        </w:rPr>
      </w:pPr>
      <w:r w:rsidRPr="009F4D7D">
        <w:rPr>
          <w:rFonts w:ascii="Arial" w:hAnsi="Arial" w:cs="Arial"/>
          <w:sz w:val="24"/>
          <w:szCs w:val="24"/>
        </w:rPr>
        <w:t>- SOMMERVILLE, Ian. Engenharia de Software. 10ª ed. Pearson, 2019.</w:t>
      </w:r>
    </w:p>
    <w:p w14:paraId="5B25F69C" w14:textId="77777777" w:rsidR="00FF40DF" w:rsidRPr="009F4D7D" w:rsidRDefault="00000000">
      <w:pPr>
        <w:rPr>
          <w:rFonts w:ascii="Arial" w:hAnsi="Arial" w:cs="Arial"/>
          <w:sz w:val="24"/>
          <w:szCs w:val="24"/>
        </w:rPr>
      </w:pPr>
      <w:r w:rsidRPr="009F4D7D">
        <w:rPr>
          <w:rFonts w:ascii="Arial" w:hAnsi="Arial" w:cs="Arial"/>
          <w:sz w:val="24"/>
          <w:szCs w:val="24"/>
          <w:lang w:val="pt-BR"/>
        </w:rPr>
        <w:t xml:space="preserve">- Pressman, R. S. Engenharia de Software. </w:t>
      </w:r>
      <w:r w:rsidRPr="009F4D7D">
        <w:rPr>
          <w:rFonts w:ascii="Arial" w:hAnsi="Arial" w:cs="Arial"/>
          <w:sz w:val="24"/>
          <w:szCs w:val="24"/>
        </w:rPr>
        <w:t>McGraw-Hill.</w:t>
      </w:r>
    </w:p>
    <w:p w14:paraId="5A72A0AD" w14:textId="77777777" w:rsidR="00FF40DF" w:rsidRPr="009F4D7D" w:rsidRDefault="00000000">
      <w:pPr>
        <w:rPr>
          <w:rFonts w:ascii="Arial" w:hAnsi="Arial" w:cs="Arial"/>
          <w:sz w:val="24"/>
          <w:szCs w:val="24"/>
        </w:rPr>
      </w:pPr>
      <w:r w:rsidRPr="009F4D7D">
        <w:rPr>
          <w:rFonts w:ascii="Arial" w:hAnsi="Arial" w:cs="Arial"/>
          <w:sz w:val="24"/>
          <w:szCs w:val="24"/>
        </w:rPr>
        <w:t>- Artigos da Scielo, Google Scholar e IEEE Xplore.</w:t>
      </w:r>
    </w:p>
    <w:sectPr w:rsidR="00FF40DF" w:rsidRPr="009F4D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4304233">
    <w:abstractNumId w:val="8"/>
  </w:num>
  <w:num w:numId="2" w16cid:durableId="2000499295">
    <w:abstractNumId w:val="6"/>
  </w:num>
  <w:num w:numId="3" w16cid:durableId="657148895">
    <w:abstractNumId w:val="5"/>
  </w:num>
  <w:num w:numId="4" w16cid:durableId="941062500">
    <w:abstractNumId w:val="4"/>
  </w:num>
  <w:num w:numId="5" w16cid:durableId="311641181">
    <w:abstractNumId w:val="7"/>
  </w:num>
  <w:num w:numId="6" w16cid:durableId="2088770619">
    <w:abstractNumId w:val="3"/>
  </w:num>
  <w:num w:numId="7" w16cid:durableId="1869563069">
    <w:abstractNumId w:val="2"/>
  </w:num>
  <w:num w:numId="8" w16cid:durableId="2052610396">
    <w:abstractNumId w:val="1"/>
  </w:num>
  <w:num w:numId="9" w16cid:durableId="1855262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4D7D"/>
    <w:rsid w:val="00AA1D8D"/>
    <w:rsid w:val="00B47730"/>
    <w:rsid w:val="00CB0664"/>
    <w:rsid w:val="00F86932"/>
    <w:rsid w:val="00FC693F"/>
    <w:rsid w:val="00FF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07B469"/>
  <w14:defaultImageDpi w14:val="300"/>
  <w15:docId w15:val="{37FE2BB2-A6B0-4409-B7BF-9E2B3CA6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843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brock</cp:lastModifiedBy>
  <cp:revision>2</cp:revision>
  <dcterms:created xsi:type="dcterms:W3CDTF">2013-12-23T23:15:00Z</dcterms:created>
  <dcterms:modified xsi:type="dcterms:W3CDTF">2025-04-05T12:56:00Z</dcterms:modified>
  <cp:category/>
</cp:coreProperties>
</file>