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Quattrocento Sans" w:cs="Quattrocento Sans" w:eastAsia="Quattrocento Sans" w:hAnsi="Quattrocento Sans"/>
          <w:b w:val="1"/>
          <w:sz w:val="40"/>
          <w:szCs w:val="4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40"/>
          <w:szCs w:val="40"/>
          <w:rtl w:val="0"/>
        </w:rPr>
        <w:t xml:space="preserve">Name: Nakshtra Chavan</w:t>
      </w:r>
    </w:p>
    <w:p w:rsidR="00000000" w:rsidDel="00000000" w:rsidP="00000000" w:rsidRDefault="00000000" w:rsidRPr="00000000" w14:paraId="00000002">
      <w:pPr>
        <w:jc w:val="left"/>
        <w:rPr>
          <w:rFonts w:ascii="Quattrocento Sans" w:cs="Quattrocento Sans" w:eastAsia="Quattrocento Sans" w:hAnsi="Quattrocento Sans"/>
          <w:b w:val="1"/>
          <w:sz w:val="40"/>
          <w:szCs w:val="4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40"/>
          <w:szCs w:val="40"/>
          <w:rtl w:val="0"/>
        </w:rPr>
        <w:t xml:space="preserve">  Roll:L011</w:t>
      </w:r>
    </w:p>
    <w:p w:rsidR="00000000" w:rsidDel="00000000" w:rsidP="00000000" w:rsidRDefault="00000000" w:rsidRPr="00000000" w14:paraId="00000003">
      <w:pPr>
        <w:jc w:val="left"/>
        <w:rPr>
          <w:rFonts w:ascii="Quattrocento Sans" w:cs="Quattrocento Sans" w:eastAsia="Quattrocento Sans" w:hAnsi="Quattrocento Sans"/>
          <w:b w:val="1"/>
          <w:sz w:val="40"/>
          <w:szCs w:val="4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40"/>
          <w:szCs w:val="40"/>
          <w:rtl w:val="0"/>
        </w:rPr>
        <w:t xml:space="preserve">  Aap:40778230014</w:t>
      </w:r>
    </w:p>
    <w:p w:rsidR="00000000" w:rsidDel="00000000" w:rsidP="00000000" w:rsidRDefault="00000000" w:rsidRPr="00000000" w14:paraId="00000004">
      <w:pPr>
        <w:jc w:val="center"/>
        <w:rPr>
          <w:rFonts w:ascii="Quattrocento Sans" w:cs="Quattrocento Sans" w:eastAsia="Quattrocento Sans" w:hAnsi="Quattrocento Sans"/>
          <w:b w:val="1"/>
          <w:sz w:val="40"/>
          <w:szCs w:val="4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40"/>
          <w:szCs w:val="40"/>
          <w:rtl w:val="0"/>
        </w:rPr>
        <w:t xml:space="preserve"> ADBMS Practical </w:t>
      </w:r>
    </w:p>
    <w:p w:rsidR="00000000" w:rsidDel="00000000" w:rsidP="00000000" w:rsidRDefault="00000000" w:rsidRPr="00000000" w14:paraId="00000005">
      <w:pPr>
        <w:jc w:val="center"/>
        <w:rPr>
          <w:rFonts w:ascii="Quattrocento Sans" w:cs="Quattrocento Sans" w:eastAsia="Quattrocento Sans" w:hAnsi="Quattrocento Sans"/>
          <w:sz w:val="40"/>
          <w:szCs w:val="40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40"/>
          <w:szCs w:val="40"/>
          <w:rtl w:val="0"/>
        </w:rPr>
        <w:t xml:space="preserve"> Practical 8: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40"/>
          <w:szCs w:val="40"/>
          <w:highlight w:val="white"/>
          <w:rtl w:val="0"/>
        </w:rPr>
        <w:t xml:space="preserve"> Database backup and restore</w:t>
      </w:r>
      <w:r w:rsidDel="00000000" w:rsidR="00000000" w:rsidRPr="00000000">
        <w:rPr>
          <w:rFonts w:ascii="Quattrocento Sans" w:cs="Quattrocento Sans" w:eastAsia="Quattrocento Sans" w:hAnsi="Quattrocento Sans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06">
      <w:pPr>
        <w:jc w:val="center"/>
        <w:rPr>
          <w:rFonts w:ascii="Quattrocento Sans" w:cs="Quattrocento Sans" w:eastAsia="Quattrocento Sans" w:hAnsi="Quattrocento Sans"/>
          <w:sz w:val="40"/>
          <w:szCs w:val="40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40"/>
          <w:szCs w:val="40"/>
          <w:rtl w:val="0"/>
        </w:rPr>
        <w:t xml:space="preserve">Using Workbench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1.Backup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947410" cy="3421380"/>
            <wp:effectExtent b="0" l="0" r="0" t="0"/>
            <wp:docPr descr="Screenshot (73).png" id="4" name="image1.png"/>
            <a:graphic>
              <a:graphicData uri="http://schemas.openxmlformats.org/drawingml/2006/picture">
                <pic:pic>
                  <pic:nvPicPr>
                    <pic:cNvPr descr="Screenshot (73).png" id="0" name="image1.png"/>
                    <pic:cNvPicPr preferRelativeResize="0"/>
                  </pic:nvPicPr>
                  <pic:blipFill>
                    <a:blip r:embed="rId7"/>
                    <a:srcRect b="507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421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Go to the Administration tab, on the Navigation panel (on the left by default)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Select Data Export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From the Data Export tab in the Tables To Export section, select the databases and tables that will be added to the backup file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From the Export Option section, select the format for the exported data. Either each table will be exported to a separate .sql file, or one common .sql file will be created.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Press the Export button to create a backup file.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8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  <w:drawing>
          <wp:inline distB="0" distT="0" distL="0" distR="0">
            <wp:extent cx="5947410" cy="1874520"/>
            <wp:effectExtent b="0" l="0" r="0" t="0"/>
            <wp:docPr descr="Screenshot (74).png" id="6" name="image3.png"/>
            <a:graphic>
              <a:graphicData uri="http://schemas.openxmlformats.org/drawingml/2006/picture">
                <pic:pic>
                  <pic:nvPicPr>
                    <pic:cNvPr descr="Screenshot (74).png" id="0" name="image3.png"/>
                    <pic:cNvPicPr preferRelativeResize="0"/>
                  </pic:nvPicPr>
                  <pic:blipFill>
                    <a:blip r:embed="rId8"/>
                    <a:srcRect b="4396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1874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8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8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When you click the Export button, a log of the export execution will be displayed, in which there will be a mysqldump command with the parameters specified in the interface.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8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2.Restore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947410" cy="3467100"/>
            <wp:effectExtent b="0" l="0" r="0" t="0"/>
            <wp:docPr descr="Screenshot (76).png" id="5" name="image2.png"/>
            <a:graphic>
              <a:graphicData uri="http://schemas.openxmlformats.org/drawingml/2006/picture">
                <pic:pic>
                  <pic:nvPicPr>
                    <pic:cNvPr descr="Screenshot (76).png" id="0" name="image2.png"/>
                    <pic:cNvPicPr preferRelativeResize="0"/>
                  </pic:nvPicPr>
                  <pic:blipFill>
                    <a:blip r:embed="rId9"/>
                    <a:srcRect b="614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Go to the Administration tab, on the Navigation panel (on the left by default)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Select Data Import\Restore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Select the source of the recovery Dump Project Folder or Self-Contained File, depending on what you selected at the backup stage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If you used a Dump Project Folder, then you can select the databases and tables that need to be restored.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If you use a Self-Contained File, then before restoring, you must select the schema into which you want to restore the dump. If you restore a dump to a server where the required schema does not exist, you can create it by clicking the New button.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Press the Start Import button.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br w:type="textWrapping"/>
      </w:r>
    </w:p>
    <w:sectPr>
      <w:headerReference r:id="rId10" w:type="default"/>
      <w:footerReference r:id="rId11" w:type="default"/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keepNext w:val="0"/>
      <w:keepLines w:val="0"/>
      <w:widowControl w:val="1"/>
      <w:pBdr>
        <w:top w:color="d9d9d9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|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7f7f7f"/>
        <w:sz w:val="22"/>
        <w:szCs w:val="22"/>
        <w:u w:val="none"/>
        <w:shd w:fill="auto" w:val="clear"/>
        <w:vertAlign w:val="baseline"/>
        <w:rtl w:val="0"/>
      </w:rPr>
      <w:t xml:space="preserve">Page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5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CKTHiUegns50hbZUn2ABiSA7D/Q==">CgMxLjA4AHIhMUdKZjFHT1JId2JyQWFraVNpdXhZVktjNzhHNDFQNmlt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