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79141F" w:rsidRDefault="005640A5" w:rsidP="005640A5">
      <w:pPr>
        <w:pStyle w:val="CoverTitle"/>
      </w:pPr>
      <w:bookmarkStart w:id="0" w:name="_Ref377999710"/>
      <w:bookmarkStart w:id="1" w:name="_Toc393873980"/>
      <w:r w:rsidRPr="0079141F">
        <w:t xml:space="preserve">NONMEM </w:t>
      </w:r>
      <w:r w:rsidR="00D42F1A" w:rsidRPr="0079141F">
        <w:t xml:space="preserve">Simulation </w:t>
      </w:r>
      <w:r w:rsidRPr="0079141F">
        <w:t xml:space="preserve">Dataset </w:t>
      </w:r>
    </w:p>
    <w:p w:rsidR="005640A5" w:rsidRPr="00AB3611" w:rsidRDefault="0084348D" w:rsidP="00AB3611">
      <w:pPr>
        <w:pStyle w:val="CoverTextList"/>
        <w:tabs>
          <w:tab w:val="left" w:pos="1350"/>
        </w:tabs>
        <w:ind w:left="1350" w:hanging="1350"/>
        <w:rPr>
          <w:b w:val="0"/>
        </w:rPr>
      </w:pPr>
      <w:r w:rsidRPr="0079141F">
        <w:t xml:space="preserve">Article </w:t>
      </w:r>
      <w:r w:rsidR="005640A5" w:rsidRPr="0079141F">
        <w:t>Title:</w:t>
      </w:r>
      <w:r w:rsidR="00E16385" w:rsidRPr="0079141F">
        <w:t xml:space="preserve"> </w:t>
      </w:r>
      <w:r w:rsidR="00C57255" w:rsidRPr="00C57255">
        <w:rPr>
          <w:b w:val="0"/>
        </w:rPr>
        <w:t xml:space="preserve">Population pharmacokinetics of </w:t>
      </w:r>
      <w:proofErr w:type="spellStart"/>
      <w:r w:rsidR="00C57255" w:rsidRPr="00C57255">
        <w:rPr>
          <w:b w:val="0"/>
        </w:rPr>
        <w:t>ramosetron</w:t>
      </w:r>
      <w:proofErr w:type="spellEnd"/>
    </w:p>
    <w:p w:rsidR="00BC3639" w:rsidRDefault="005640A5" w:rsidP="00BC3639">
      <w:pPr>
        <w:pStyle w:val="CoverTextList"/>
        <w:ind w:left="1350" w:hanging="1350"/>
        <w:rPr>
          <w:b w:val="0"/>
        </w:rPr>
      </w:pPr>
      <w:proofErr w:type="spellStart"/>
      <w:r w:rsidRPr="0079141F">
        <w:t>Analyte</w:t>
      </w:r>
      <w:proofErr w:type="spellEnd"/>
      <w:r w:rsidRPr="0079141F">
        <w:t>(s):</w:t>
      </w:r>
      <w:r w:rsidR="00E16385" w:rsidRPr="0079141F">
        <w:t xml:space="preserve"> </w:t>
      </w:r>
      <w:r w:rsidR="00BC3639">
        <w:t xml:space="preserve">  </w:t>
      </w:r>
      <w:proofErr w:type="spellStart"/>
      <w:r w:rsidR="00C57255" w:rsidRPr="00C57255">
        <w:rPr>
          <w:b w:val="0"/>
        </w:rPr>
        <w:t>ramosetron</w:t>
      </w:r>
      <w:proofErr w:type="spellEnd"/>
    </w:p>
    <w:p w:rsidR="005640A5" w:rsidRPr="0079141F" w:rsidRDefault="00BC3639" w:rsidP="0079141F">
      <w:pPr>
        <w:pStyle w:val="CoverTextList"/>
      </w:pPr>
      <w:r>
        <w:t xml:space="preserve">Model:          </w:t>
      </w:r>
      <w:r w:rsidR="00C57255" w:rsidRPr="00C57255">
        <w:rPr>
          <w:b w:val="0"/>
        </w:rPr>
        <w:t>3 CMT IVB Linear</w:t>
      </w:r>
      <w:r w:rsidR="00C57255">
        <w:rPr>
          <w:b w:val="0"/>
        </w:rPr>
        <w:t xml:space="preserve"> </w:t>
      </w:r>
      <w:r>
        <w:rPr>
          <w:b w:val="0"/>
        </w:rPr>
        <w:t>Elimination</w:t>
      </w:r>
      <w:r w:rsidR="005640A5" w:rsidRPr="0079141F">
        <w:tab/>
      </w:r>
      <w:r w:rsidR="005640A5" w:rsidRPr="0079141F">
        <w:tab/>
        <w:t xml:space="preserve"> </w:t>
      </w:r>
    </w:p>
    <w:p w:rsidR="00F900CF" w:rsidRPr="00185CF2" w:rsidRDefault="009E6D0D" w:rsidP="00185CF2">
      <w:pPr>
        <w:pStyle w:val="CoverTextList"/>
        <w:rPr>
          <w:b w:val="0"/>
        </w:rPr>
      </w:pPr>
      <w:r>
        <w:t>Citation</w:t>
      </w:r>
      <w:r w:rsidR="00E16385" w:rsidRPr="0079141F">
        <w:t>:</w:t>
      </w:r>
      <w:r w:rsidR="00196D88">
        <w:t xml:space="preserve">       </w:t>
      </w:r>
      <w:r w:rsidR="00C57255" w:rsidRPr="00C57255">
        <w:rPr>
          <w:b w:val="0"/>
        </w:rPr>
        <w:t xml:space="preserve">J </w:t>
      </w:r>
      <w:proofErr w:type="spellStart"/>
      <w:r w:rsidR="00C57255" w:rsidRPr="00C57255">
        <w:rPr>
          <w:b w:val="0"/>
        </w:rPr>
        <w:t>Pharmacokinet</w:t>
      </w:r>
      <w:proofErr w:type="spellEnd"/>
      <w:r w:rsidR="00C57255" w:rsidRPr="00C57255">
        <w:rPr>
          <w:b w:val="0"/>
        </w:rPr>
        <w:t xml:space="preserve"> </w:t>
      </w:r>
      <w:proofErr w:type="spellStart"/>
      <w:r w:rsidR="00C57255" w:rsidRPr="00C57255">
        <w:rPr>
          <w:b w:val="0"/>
        </w:rPr>
        <w:t>Pharmacodyn</w:t>
      </w:r>
      <w:proofErr w:type="spellEnd"/>
      <w:r w:rsidR="00C57255" w:rsidRPr="00C57255">
        <w:rPr>
          <w:b w:val="0"/>
        </w:rPr>
        <w:t>. 2016 Feb</w:t>
      </w:r>
      <w:proofErr w:type="gramStart"/>
      <w:r w:rsidR="00C57255" w:rsidRPr="00C57255">
        <w:rPr>
          <w:b w:val="0"/>
        </w:rPr>
        <w:t>;43</w:t>
      </w:r>
      <w:proofErr w:type="gramEnd"/>
      <w:r w:rsidR="00C57255" w:rsidRPr="00C57255">
        <w:rPr>
          <w:b w:val="0"/>
        </w:rPr>
        <w:t>(1):73-83.</w:t>
      </w:r>
    </w:p>
    <w:p w:rsidR="005640A5" w:rsidRPr="0079141F" w:rsidRDefault="005640A5" w:rsidP="005640A5">
      <w:pPr>
        <w:pStyle w:val="CoverTextList"/>
        <w:spacing w:after="0"/>
        <w:ind w:firstLine="0"/>
      </w:pPr>
    </w:p>
    <w:p w:rsidR="005640A5" w:rsidRPr="0079141F" w:rsidRDefault="005640A5" w:rsidP="002A2FE3">
      <w:pPr>
        <w:pStyle w:val="Heading1"/>
        <w:sectPr w:rsidR="005640A5" w:rsidRPr="0079141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79141F" w:rsidRDefault="002A2FE3" w:rsidP="00CB2DF3"/>
    <w:p w:rsidR="00CB2DF3" w:rsidRPr="0079141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79141F">
        <w:t>NONMEM Dataset Variables and Descriptions</w:t>
      </w:r>
      <w:bookmarkEnd w:id="0"/>
      <w:bookmarkEnd w:id="1"/>
      <w:bookmarkEnd w:id="2"/>
    </w:p>
    <w:p w:rsidR="006C12D1" w:rsidRPr="0079141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2156"/>
        <w:gridCol w:w="1797"/>
        <w:gridCol w:w="942"/>
        <w:gridCol w:w="981"/>
        <w:gridCol w:w="6800"/>
      </w:tblGrid>
      <w:tr w:rsidR="00185CF2" w:rsidRPr="0079141F" w:rsidTr="00651D60">
        <w:trPr>
          <w:trHeight w:val="897"/>
          <w:tblHeader/>
        </w:trPr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2156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Description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Format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Sig Digit Display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Units</w:t>
            </w:r>
          </w:p>
        </w:tc>
        <w:tc>
          <w:tcPr>
            <w:tcW w:w="680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Notes</w:t>
            </w:r>
          </w:p>
        </w:tc>
      </w:tr>
      <w:tr w:rsidR="00185CF2" w:rsidRPr="0079141F" w:rsidTr="00651D60">
        <w:trPr>
          <w:trHeight w:val="582"/>
        </w:trPr>
        <w:tc>
          <w:tcPr>
            <w:tcW w:w="974" w:type="dxa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Patient Identification Number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E5546" w:rsidRPr="0079141F" w:rsidRDefault="00DE5546" w:rsidP="00A617FA">
            <w:pPr>
              <w:jc w:val="center"/>
            </w:pPr>
            <w:r w:rsidRPr="0079141F">
              <w:t>(Numerical Integer)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DE5546" w:rsidRPr="0079141F" w:rsidRDefault="00DE5546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Each subject has a unique ID value</w:t>
            </w:r>
          </w:p>
          <w:p w:rsidR="00DE5546" w:rsidRPr="0079141F" w:rsidRDefault="00DE5546" w:rsidP="00DE5546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ID should be sequential starting from 1 to n subjects throughout the dataset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NTIM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Nominal</w:t>
            </w:r>
            <w:r w:rsidRPr="0079141F">
              <w:t xml:space="preserve"> Time from First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</w:t>
            </w:r>
            <w:r>
              <w:t>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1 to 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</w:t>
            </w:r>
            <w:r w:rsidRPr="0079141F">
              <w:t>TAD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Numerical Time from First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TAD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DOSE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IV Dosage</w:t>
            </w:r>
            <w:r w:rsidRPr="0079141F" w:rsidDel="004A2495">
              <w:t xml:space="preserve"> </w:t>
            </w:r>
            <w:r w:rsidRPr="0079141F">
              <w:t>Administered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79141F">
              <w:t>This variable is identical to AMT, but should be propagated forward for each record from the most recent dosing record (for each treatment/PK Visit).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AMT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</w:t>
            </w:r>
            <w:r>
              <w:t>V</w:t>
            </w:r>
            <w:r w:rsidRPr="0079141F">
              <w:t xml:space="preserve"> Dosage Amount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a value is entered into the AMT variable, the DV variables for that record should be set to 0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Values should be positive and only located on the “dosing” records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A617FA" w:rsidRPr="0079141F" w:rsidTr="00651D60">
        <w:tc>
          <w:tcPr>
            <w:tcW w:w="974" w:type="dxa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EVID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Event Identification Data Item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617FA" w:rsidRPr="0079141F" w:rsidRDefault="00A617FA" w:rsidP="00A617FA">
            <w:pPr>
              <w:ind w:left="324" w:hanging="324"/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pStyle w:val="BodyTextIndent"/>
              <w:jc w:val="center"/>
            </w:pPr>
            <w:r w:rsidRPr="0079141F">
              <w:t>1 = Dosing Event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EVID = 1, DV must = </w:t>
            </w:r>
            <w:r>
              <w:t>0.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lastRenderedPageBreak/>
              <w:t>MDV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Missing Dependent Variable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jc w:val="center"/>
            </w:pPr>
            <w:r w:rsidRPr="0079141F">
              <w:t>1 = Missing DV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If there is an observation value defined in the DV data item,  the MDV variable should be set to 0</w:t>
            </w:r>
          </w:p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there is NOT an observation in the DV data item, the MDV variable should be set to 1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Compartment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For dosing records, model compartment that dose was administered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For observation records, model compartment that observation was taken</w:t>
            </w: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AGE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Age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proofErr w:type="spellStart"/>
            <w:r>
              <w:t>yr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Subject </w:t>
            </w:r>
            <w:r>
              <w:t>age</w:t>
            </w:r>
            <w:r w:rsidRPr="0079141F">
              <w:t xml:space="preserve"> at time of initial dose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2377F7" w:rsidRDefault="002377F7" w:rsidP="002377F7">
            <w:pPr>
              <w:numPr>
                <w:ilvl w:val="0"/>
                <w:numId w:val="5"/>
              </w:numPr>
            </w:pPr>
            <w:r w:rsidRPr="0079141F">
              <w:t xml:space="preserve">Simulated from a normal distribution with mean: </w:t>
            </w:r>
            <w:r>
              <w:t xml:space="preserve">60 </w:t>
            </w:r>
            <w:r w:rsidRPr="0079141F">
              <w:t>and SD:</w:t>
            </w:r>
            <w:r>
              <w:t xml:space="preserve"> 8</w:t>
            </w: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WTKG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Body Weight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ind w:left="324" w:hanging="324"/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kg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Subject body </w:t>
            </w:r>
            <w:r>
              <w:t>weight</w:t>
            </w:r>
            <w:r w:rsidRPr="0079141F">
              <w:t xml:space="preserve"> at time of initial dose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</w:t>
            </w:r>
            <w:r>
              <w:t xml:space="preserve">58.5 </w:t>
            </w:r>
            <w:r w:rsidRPr="0079141F">
              <w:t>and SD:</w:t>
            </w:r>
            <w:r>
              <w:t xml:space="preserve"> 6.67</w:t>
            </w: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>Empirical Bayesian Estimate of the individual’s clearance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2377F7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V</w:t>
            </w:r>
            <w: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Central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Empirical Bayesian Estimate of the individual’s central volume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2377F7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V</w:t>
            </w:r>
            <w: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Peripheral</w:t>
            </w:r>
            <w:r w:rsidRPr="0079141F">
              <w:t xml:space="preserve">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 xml:space="preserve">Empirical Bayesian Estimate of the individual’s </w:t>
            </w:r>
            <w:r>
              <w:t>peripheral</w:t>
            </w:r>
            <w:r w:rsidRPr="0079141F">
              <w:t xml:space="preserve"> volume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2377F7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V</w:t>
            </w:r>
            <w: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Deep Peripheral</w:t>
            </w:r>
            <w:r w:rsidRPr="0079141F">
              <w:t xml:space="preserve">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 xml:space="preserve">Empirical Bayesian Estimate of the individual’s </w:t>
            </w:r>
            <w:r>
              <w:t>deep peripheral</w:t>
            </w:r>
            <w:r w:rsidRPr="0079141F">
              <w:t xml:space="preserve"> volume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2377F7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lastRenderedPageBreak/>
              <w:t>Q2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Inter-compartmental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 xml:space="preserve">Empirical Bayesian Estimate of the </w:t>
            </w:r>
            <w:r w:rsidRPr="00EA62C3">
              <w:t>individual’s inter-compartmental</w:t>
            </w:r>
            <w:r>
              <w:t xml:space="preserve"> clearance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2377F7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Q3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Deep inter-compartmental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 xml:space="preserve">Empirical Bayesian Estimate of the </w:t>
            </w:r>
            <w:r w:rsidRPr="00EA62C3">
              <w:t xml:space="preserve">individual’s </w:t>
            </w:r>
            <w:r>
              <w:t xml:space="preserve">deep </w:t>
            </w:r>
            <w:r w:rsidRPr="00EA62C3">
              <w:t>inter-compartmental</w:t>
            </w:r>
            <w:r>
              <w:t xml:space="preserve"> clearance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2377F7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ETA1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Measurement of BSV for CL</w:t>
            </w:r>
          </w:p>
          <w:p w:rsidR="002377F7" w:rsidRPr="0079141F" w:rsidRDefault="002377F7" w:rsidP="002377F7">
            <w:pPr>
              <w:jc w:val="center"/>
            </w:pPr>
          </w:p>
        </w:tc>
      </w:tr>
      <w:tr w:rsidR="002377F7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ETA2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Measurement of BSV for V3</w:t>
            </w:r>
          </w:p>
          <w:p w:rsidR="002377F7" w:rsidRPr="0079141F" w:rsidRDefault="002377F7" w:rsidP="002377F7">
            <w:pPr>
              <w:jc w:val="center"/>
            </w:pPr>
          </w:p>
        </w:tc>
      </w:tr>
      <w:tr w:rsidR="002377F7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ETA3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Measurement of BSV for Q2</w:t>
            </w:r>
          </w:p>
          <w:p w:rsidR="002377F7" w:rsidRPr="0079141F" w:rsidRDefault="002377F7" w:rsidP="002377F7">
            <w:pPr>
              <w:jc w:val="center"/>
            </w:pPr>
          </w:p>
        </w:tc>
      </w:tr>
      <w:tr w:rsidR="002377F7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ETA4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Measurement of BSV for Q3</w:t>
            </w:r>
          </w:p>
          <w:p w:rsidR="002377F7" w:rsidRPr="0079141F" w:rsidRDefault="002377F7" w:rsidP="002377F7">
            <w:pPr>
              <w:jc w:val="center"/>
            </w:pP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651D60">
              <w:t>THALF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Terminal Half-life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>Calculated as log(2) / (CL/V)</w:t>
            </w: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651D60">
              <w:t>MRT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Mean Residence 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>Calculated as 1 / (CL/V)</w:t>
            </w: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651D60">
              <w:t>AREA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Area Under the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>
              <w:t>*</w:t>
            </w:r>
            <w:proofErr w:type="spellStart"/>
            <w:r>
              <w:t>hr</w:t>
            </w:r>
            <w:proofErr w:type="spellEnd"/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>Calculated as DOSE / CL</w:t>
            </w:r>
          </w:p>
        </w:tc>
      </w:tr>
      <w:tr w:rsidR="002377F7" w:rsidRPr="0079141F" w:rsidTr="00081D2F">
        <w:trPr>
          <w:trHeight w:val="467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651D60">
              <w:t>AUMC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Area Under the First Moment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DB33F8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>
              <w:t>*hr</w:t>
            </w:r>
            <w:r w:rsidRPr="007A5573">
              <w:rPr>
                <w:vertAlign w:val="superscript"/>
              </w:rPr>
              <w:t>2</w:t>
            </w:r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2377F7" w:rsidRDefault="002377F7" w:rsidP="002377F7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  <w:bookmarkStart w:id="3" w:name="_GoBack"/>
            <w:bookmarkEnd w:id="3"/>
          </w:p>
        </w:tc>
      </w:tr>
      <w:tr w:rsidR="002377F7" w:rsidRPr="0079141F" w:rsidTr="00081D2F">
        <w:trPr>
          <w:trHeight w:val="36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VSS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Volume Distribution at Steady State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>
              <w:t>Calculated as</w:t>
            </w:r>
            <w:r w:rsidRPr="0079141F">
              <w:t xml:space="preserve"> V</w:t>
            </w:r>
            <w:r w:rsidR="00D54CDC">
              <w:t>1 + V2 + V3 for a 3</w:t>
            </w:r>
            <w:r w:rsidRPr="0079141F">
              <w:t xml:space="preserve"> CMT model</w:t>
            </w:r>
          </w:p>
          <w:p w:rsidR="002377F7" w:rsidRPr="0079141F" w:rsidRDefault="002377F7" w:rsidP="002377F7">
            <w:pPr>
              <w:jc w:val="center"/>
            </w:pPr>
          </w:p>
        </w:tc>
      </w:tr>
      <w:tr w:rsidR="002377F7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IRES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Individual Residual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7F7" w:rsidRPr="0079141F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 w:rsidRPr="009827F2"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average observation of the population, including residual variability</w:t>
            </w:r>
          </w:p>
        </w:tc>
      </w:tr>
      <w:tr w:rsidR="002377F7" w:rsidRPr="0079141F" w:rsidTr="00651D60">
        <w:trPr>
          <w:trHeight w:val="945"/>
        </w:trPr>
        <w:tc>
          <w:tcPr>
            <w:tcW w:w="974" w:type="dxa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lastRenderedPageBreak/>
              <w:t>IPRE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Individual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 w:rsidRPr="009827F2">
              <w:t>/L</w:t>
            </w:r>
          </w:p>
        </w:tc>
        <w:tc>
          <w:tcPr>
            <w:tcW w:w="6800" w:type="dxa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If a value is entered into the IPRE variable, the AMT variable for that record should be set to 0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Simulated plasma level for a patient including inter-individual variability</w:t>
            </w:r>
          </w:p>
        </w:tc>
      </w:tr>
      <w:tr w:rsidR="002377F7" w:rsidRPr="0079141F" w:rsidTr="00651D60">
        <w:trPr>
          <w:trHeight w:val="945"/>
        </w:trPr>
        <w:tc>
          <w:tcPr>
            <w:tcW w:w="974" w:type="dxa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DV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Dependent Variable Data Items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 w:rsidRPr="009827F2">
              <w:t>/L</w:t>
            </w:r>
          </w:p>
        </w:tc>
        <w:tc>
          <w:tcPr>
            <w:tcW w:w="6800" w:type="dxa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Simulated plasma level for a patient, including inter- and intra-individual variability</w:t>
            </w:r>
          </w:p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If a value is entered into the DV variable, the AMT variable for that record should be set to 0</w:t>
            </w:r>
          </w:p>
          <w:p w:rsidR="002377F7" w:rsidRPr="0079141F" w:rsidRDefault="002377F7" w:rsidP="002377F7">
            <w:pPr>
              <w:numPr>
                <w:ilvl w:val="0"/>
                <w:numId w:val="4"/>
              </w:numPr>
            </w:pPr>
            <w:r w:rsidRPr="0079141F">
              <w:t xml:space="preserve">Each time point at which DV variables are measured should be entered as a new record </w:t>
            </w:r>
          </w:p>
        </w:tc>
      </w:tr>
      <w:tr w:rsidR="002377F7" w:rsidRPr="0079141F" w:rsidTr="00651D60">
        <w:trPr>
          <w:trHeight w:val="945"/>
        </w:trPr>
        <w:tc>
          <w:tcPr>
            <w:tcW w:w="974" w:type="dxa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PRED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Population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 w:rsidRPr="009827F2">
              <w:t>/L</w:t>
            </w:r>
          </w:p>
        </w:tc>
        <w:tc>
          <w:tcPr>
            <w:tcW w:w="6800" w:type="dxa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 xml:space="preserve">Simulated population plasma level </w:t>
            </w:r>
          </w:p>
        </w:tc>
      </w:tr>
      <w:tr w:rsidR="002377F7" w:rsidRPr="0079141F" w:rsidTr="00081D2F">
        <w:trPr>
          <w:trHeight w:val="287"/>
        </w:trPr>
        <w:tc>
          <w:tcPr>
            <w:tcW w:w="974" w:type="dxa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RES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 w:rsidRPr="0079141F">
              <w:t>Residual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2377F7" w:rsidRPr="0079141F" w:rsidRDefault="002377F7" w:rsidP="002377F7">
            <w:pPr>
              <w:jc w:val="center"/>
            </w:pPr>
            <w:proofErr w:type="spellStart"/>
            <w:r>
              <w:t>ug</w:t>
            </w:r>
            <w:proofErr w:type="spellEnd"/>
            <w:r w:rsidRPr="009827F2">
              <w:t>/L</w:t>
            </w:r>
          </w:p>
        </w:tc>
        <w:tc>
          <w:tcPr>
            <w:tcW w:w="6800" w:type="dxa"/>
          </w:tcPr>
          <w:p w:rsidR="002377F7" w:rsidRPr="0079141F" w:rsidRDefault="002377F7" w:rsidP="002377F7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population level observation</w:t>
            </w:r>
          </w:p>
        </w:tc>
      </w:tr>
    </w:tbl>
    <w:p w:rsidR="00023222" w:rsidRPr="0079141F" w:rsidRDefault="00023222" w:rsidP="00185CF2">
      <w:pPr>
        <w:rPr>
          <w:b/>
          <w:sz w:val="26"/>
        </w:rPr>
      </w:pPr>
    </w:p>
    <w:sectPr w:rsidR="00023222" w:rsidRPr="0079141F" w:rsidSect="0018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C57255">
          <w:rPr>
            <w:noProof/>
          </w:rPr>
          <w:t>January 25,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D54CDC">
          <w:rPr>
            <w:b/>
            <w:bCs/>
            <w:noProof/>
          </w:rPr>
          <w:t>3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D54CDC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60ED"/>
    <w:rsid w:val="00027152"/>
    <w:rsid w:val="00044F6D"/>
    <w:rsid w:val="0006401F"/>
    <w:rsid w:val="00074F9F"/>
    <w:rsid w:val="00081D2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85CF2"/>
    <w:rsid w:val="00196D88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068FF"/>
    <w:rsid w:val="002118EA"/>
    <w:rsid w:val="00230B5E"/>
    <w:rsid w:val="00234B26"/>
    <w:rsid w:val="002377F7"/>
    <w:rsid w:val="00261FD6"/>
    <w:rsid w:val="00292F09"/>
    <w:rsid w:val="00294283"/>
    <w:rsid w:val="002A2FE3"/>
    <w:rsid w:val="002A5C9B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B5969"/>
    <w:rsid w:val="004C219C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36F43"/>
    <w:rsid w:val="00645475"/>
    <w:rsid w:val="00651D60"/>
    <w:rsid w:val="00661FCE"/>
    <w:rsid w:val="006A2C18"/>
    <w:rsid w:val="006C12D1"/>
    <w:rsid w:val="006D7F37"/>
    <w:rsid w:val="0075154D"/>
    <w:rsid w:val="00783468"/>
    <w:rsid w:val="0079141F"/>
    <w:rsid w:val="007A5573"/>
    <w:rsid w:val="007B4670"/>
    <w:rsid w:val="007C03DE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2578"/>
    <w:rsid w:val="008879DF"/>
    <w:rsid w:val="008A1721"/>
    <w:rsid w:val="008A7D12"/>
    <w:rsid w:val="008B15B0"/>
    <w:rsid w:val="008D04D0"/>
    <w:rsid w:val="008D6271"/>
    <w:rsid w:val="008D63A0"/>
    <w:rsid w:val="008E0343"/>
    <w:rsid w:val="00900966"/>
    <w:rsid w:val="00905A2A"/>
    <w:rsid w:val="009169CE"/>
    <w:rsid w:val="0092698A"/>
    <w:rsid w:val="00937579"/>
    <w:rsid w:val="00953191"/>
    <w:rsid w:val="00974788"/>
    <w:rsid w:val="00980878"/>
    <w:rsid w:val="009827F2"/>
    <w:rsid w:val="00987501"/>
    <w:rsid w:val="0099171B"/>
    <w:rsid w:val="00997AD6"/>
    <w:rsid w:val="009A7929"/>
    <w:rsid w:val="009B16B9"/>
    <w:rsid w:val="009E15BF"/>
    <w:rsid w:val="009E6D0D"/>
    <w:rsid w:val="009F5134"/>
    <w:rsid w:val="00A173E7"/>
    <w:rsid w:val="00A31548"/>
    <w:rsid w:val="00A42397"/>
    <w:rsid w:val="00A4699E"/>
    <w:rsid w:val="00A55E47"/>
    <w:rsid w:val="00A617FA"/>
    <w:rsid w:val="00A8483B"/>
    <w:rsid w:val="00A8648A"/>
    <w:rsid w:val="00AB32BB"/>
    <w:rsid w:val="00AB3611"/>
    <w:rsid w:val="00AE2824"/>
    <w:rsid w:val="00AF2473"/>
    <w:rsid w:val="00B027C4"/>
    <w:rsid w:val="00B211DE"/>
    <w:rsid w:val="00B3693A"/>
    <w:rsid w:val="00B43855"/>
    <w:rsid w:val="00B54C7D"/>
    <w:rsid w:val="00B5567B"/>
    <w:rsid w:val="00B72DA3"/>
    <w:rsid w:val="00BA2D42"/>
    <w:rsid w:val="00BC1B79"/>
    <w:rsid w:val="00BC2067"/>
    <w:rsid w:val="00BC3639"/>
    <w:rsid w:val="00BD2F64"/>
    <w:rsid w:val="00BF23A8"/>
    <w:rsid w:val="00BF2E5E"/>
    <w:rsid w:val="00C10D50"/>
    <w:rsid w:val="00C3752E"/>
    <w:rsid w:val="00C40326"/>
    <w:rsid w:val="00C54392"/>
    <w:rsid w:val="00C57255"/>
    <w:rsid w:val="00C63897"/>
    <w:rsid w:val="00C64CF2"/>
    <w:rsid w:val="00C75553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208F0"/>
    <w:rsid w:val="00D42F1A"/>
    <w:rsid w:val="00D54CDC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5546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2CB6"/>
    <w:rsid w:val="00E83154"/>
    <w:rsid w:val="00E91B49"/>
    <w:rsid w:val="00E94635"/>
    <w:rsid w:val="00EA32FE"/>
    <w:rsid w:val="00EA5C9C"/>
    <w:rsid w:val="00EA62C3"/>
    <w:rsid w:val="00EB5B3E"/>
    <w:rsid w:val="00EC627B"/>
    <w:rsid w:val="00ED74A4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74E45-64C0-4D3C-AFCD-1D0079D9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Brian Maas</cp:lastModifiedBy>
  <cp:revision>28</cp:revision>
  <cp:lastPrinted>2015-06-17T12:18:00Z</cp:lastPrinted>
  <dcterms:created xsi:type="dcterms:W3CDTF">2017-01-12T16:40:00Z</dcterms:created>
  <dcterms:modified xsi:type="dcterms:W3CDTF">2017-01-25T21:30:00Z</dcterms:modified>
</cp:coreProperties>
</file>