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86F" w:rsidRPr="00EE2789" w:rsidRDefault="009C386F" w:rsidP="009C386F">
      <w:pPr>
        <w:spacing w:after="240" w:line="480" w:lineRule="auto"/>
        <w:jc w:val="center"/>
        <w:rPr>
          <w:b/>
        </w:rPr>
      </w:pPr>
      <w:r w:rsidRPr="00EE2789">
        <w:rPr>
          <w:b/>
        </w:rPr>
        <w:t>Supplemental Material</w:t>
      </w:r>
    </w:p>
    <w:p w:rsidR="009C386F" w:rsidRDefault="009C386F" w:rsidP="009C386F">
      <w:pPr>
        <w:spacing w:after="240" w:line="480" w:lineRule="auto"/>
      </w:pPr>
    </w:p>
    <w:p w:rsidR="009C386F" w:rsidRPr="00A579AB" w:rsidRDefault="009C386F" w:rsidP="009C386F">
      <w:pPr>
        <w:spacing w:after="240" w:line="480" w:lineRule="auto"/>
      </w:pPr>
      <w:proofErr w:type="gramStart"/>
      <w:r w:rsidRPr="00A579AB">
        <w:t xml:space="preserve">Supplemental Table </w:t>
      </w:r>
      <w:r>
        <w:t>1</w:t>
      </w:r>
      <w:r w:rsidRPr="00A579AB">
        <w:t>.</w:t>
      </w:r>
      <w:proofErr w:type="gramEnd"/>
      <w:r w:rsidRPr="00A579AB">
        <w:t xml:space="preserve"> Summary of </w:t>
      </w:r>
      <w:r>
        <w:t xml:space="preserve">clinical trials included in the </w:t>
      </w:r>
      <w:proofErr w:type="spellStart"/>
      <w:r>
        <w:t>PopPK</w:t>
      </w:r>
      <w:proofErr w:type="spellEnd"/>
      <w:r>
        <w:t xml:space="preserve"> analysis</w:t>
      </w:r>
    </w:p>
    <w:tbl>
      <w:tblPr>
        <w:tblW w:w="87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"/>
        <w:gridCol w:w="975"/>
        <w:gridCol w:w="619"/>
        <w:gridCol w:w="1415"/>
        <w:gridCol w:w="4789"/>
      </w:tblGrid>
      <w:tr w:rsidR="009C386F" w:rsidRPr="00353A6A" w:rsidTr="00E77176">
        <w:trPr>
          <w:cantSplit/>
          <w:trHeight w:val="776"/>
          <w:tblHeader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  <w:rPr>
                <w:b/>
                <w:bCs/>
              </w:rPr>
            </w:pPr>
            <w:r w:rsidRPr="00353A6A">
              <w:rPr>
                <w:b/>
                <w:bCs/>
              </w:rPr>
              <w:t>Study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  <w:rPr>
                <w:b/>
                <w:bCs/>
              </w:rPr>
            </w:pPr>
            <w:r w:rsidRPr="00353A6A">
              <w:rPr>
                <w:b/>
                <w:bCs/>
              </w:rPr>
              <w:t>Enrolled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  <w:rPr>
                <w:b/>
                <w:bCs/>
              </w:rPr>
            </w:pPr>
            <w:r w:rsidRPr="00353A6A">
              <w:rPr>
                <w:b/>
                <w:bCs/>
              </w:rPr>
              <w:t>N*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  <w:rPr>
                <w:b/>
                <w:bCs/>
              </w:rPr>
            </w:pPr>
            <w:r w:rsidRPr="00353A6A">
              <w:rPr>
                <w:b/>
                <w:bCs/>
              </w:rPr>
              <w:t>Population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  <w:rPr>
                <w:b/>
                <w:bCs/>
              </w:rPr>
            </w:pPr>
            <w:r w:rsidRPr="00353A6A">
              <w:rPr>
                <w:b/>
                <w:bCs/>
              </w:rPr>
              <w:t>Treatment</w:t>
            </w:r>
          </w:p>
        </w:tc>
      </w:tr>
      <w:tr w:rsidR="009C386F" w:rsidRPr="00353A6A" w:rsidTr="00E77176">
        <w:trPr>
          <w:cantSplit/>
          <w:trHeight w:val="529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</w:pPr>
            <w:r w:rsidRPr="00353A6A">
              <w:t>101-01</w:t>
            </w:r>
          </w:p>
          <w:p w:rsidR="009C386F" w:rsidRPr="00353A6A" w:rsidRDefault="009C386F" w:rsidP="00E77176">
            <w:pPr>
              <w:widowControl w:val="0"/>
              <w:spacing w:before="20" w:after="20"/>
              <w:contextualSpacing/>
            </w:pPr>
            <w:r w:rsidRPr="00353A6A">
              <w:t>Phase I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r w:rsidRPr="00353A6A">
              <w:t>64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r w:rsidRPr="00353A6A">
              <w:t>48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</w:pPr>
            <w:proofErr w:type="spellStart"/>
            <w:r w:rsidRPr="00353A6A">
              <w:t>HV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GS-1101 single dose: 17, 50, 125, 250, 400 mg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rPr>
                <w:rFonts w:ascii="TimesNewRoman" w:hAnsi="TimesNewRoman" w:cs="TimesNewRoman"/>
              </w:rPr>
              <w:t>GS-1101 multiple dose (7 days): 50, 100, 200 mg BID</w:t>
            </w:r>
          </w:p>
        </w:tc>
      </w:tr>
      <w:tr w:rsidR="009C386F" w:rsidRPr="00353A6A" w:rsidTr="00E77176">
        <w:trPr>
          <w:cantSplit/>
          <w:trHeight w:val="688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101-02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Phase I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r w:rsidRPr="00353A6A">
              <w:t>19</w:t>
            </w:r>
            <w: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jc w:val="center"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189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Hematologic</w:t>
            </w:r>
          </w:p>
          <w:p w:rsidR="009C386F" w:rsidRPr="00353A6A" w:rsidRDefault="009C386F" w:rsidP="00E77176">
            <w:pPr>
              <w:widowControl w:val="0"/>
              <w:spacing w:before="20" w:after="20"/>
              <w:contextualSpacing/>
            </w:pPr>
            <w:r w:rsidRPr="00353A6A">
              <w:rPr>
                <w:rFonts w:ascii="TimesNewRoman" w:hAnsi="TimesNewRoman" w:cs="TimesNewRoman"/>
              </w:rPr>
              <w:t>Malignancies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 xml:space="preserve">GS-1101 x 28 days: 50, 100, 150, 200, 350 mg BID; 150, 300 mg </w:t>
            </w:r>
            <w:proofErr w:type="spellStart"/>
            <w:r w:rsidRPr="00353A6A">
              <w:rPr>
                <w:rFonts w:ascii="TimesNewRoman" w:hAnsi="TimesNewRoman" w:cs="TimesNewRoman"/>
              </w:rPr>
              <w:t>QD</w:t>
            </w:r>
            <w:proofErr w:type="spellEnd"/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bCs/>
              </w:rPr>
            </w:pPr>
            <w:r w:rsidRPr="00353A6A">
              <w:rPr>
                <w:rFonts w:ascii="TimesNewRoman" w:hAnsi="TimesNewRoman" w:cs="TimesNewRoman"/>
              </w:rPr>
              <w:t xml:space="preserve">GS-1101 x 21 days/7 days off: 150 mg </w:t>
            </w:r>
            <w:proofErr w:type="spellStart"/>
            <w:r w:rsidRPr="00353A6A">
              <w:rPr>
                <w:rFonts w:ascii="TimesNewRoman" w:hAnsi="TimesNewRoman" w:cs="TimesNewRoman"/>
              </w:rPr>
              <w:t>BID</w:t>
            </w:r>
            <w:r w:rsidRPr="00353A6A">
              <w:rPr>
                <w:rFonts w:ascii="TimesNewRoman" w:hAnsi="TimesNewRoman" w:cs="TimesNewRoman"/>
                <w:vertAlign w:val="superscript"/>
              </w:rPr>
              <w:t>a</w:t>
            </w:r>
            <w:proofErr w:type="spellEnd"/>
          </w:p>
        </w:tc>
      </w:tr>
      <w:tr w:rsidR="009C386F" w:rsidRPr="00353A6A" w:rsidTr="00E77176">
        <w:trPr>
          <w:cantSplit/>
          <w:trHeight w:val="500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101-04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Phase I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r w:rsidRPr="00353A6A">
              <w:t>41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39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</w:pPr>
            <w:r w:rsidRPr="00353A6A">
              <w:rPr>
                <w:rFonts w:ascii="TimesNewRoman" w:hAnsi="TimesNewRoman" w:cs="TimesNewRoman"/>
              </w:rPr>
              <w:t>Allergic rhinitis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lang w:val="fr-FR"/>
              </w:rPr>
            </w:pPr>
            <w:r w:rsidRPr="00353A6A">
              <w:rPr>
                <w:rFonts w:ascii="TimesNewRoman" w:hAnsi="TimesNewRoman" w:cs="TimesNewRoman"/>
              </w:rPr>
              <w:t>GS-1101 100 mg BID over 7 days</w:t>
            </w:r>
          </w:p>
        </w:tc>
      </w:tr>
      <w:tr w:rsidR="009C386F" w:rsidRPr="00353A6A" w:rsidTr="00E77176">
        <w:trPr>
          <w:cantSplit/>
          <w:trHeight w:val="500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</w:pPr>
            <w:r w:rsidRPr="00353A6A">
              <w:t>101-05</w:t>
            </w:r>
          </w:p>
          <w:p w:rsidR="009C386F" w:rsidRPr="00353A6A" w:rsidRDefault="009C386F" w:rsidP="00E77176">
            <w:pPr>
              <w:widowControl w:val="0"/>
              <w:spacing w:before="20" w:after="20"/>
              <w:contextualSpacing/>
            </w:pPr>
            <w:r w:rsidRPr="00353A6A">
              <w:t>Phase I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r w:rsidRPr="00353A6A">
              <w:t>12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r w:rsidRPr="00353A6A">
              <w:t>12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</w:pPr>
            <w:proofErr w:type="spellStart"/>
            <w:r w:rsidRPr="00353A6A">
              <w:t>HV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GS-1101 400 mg single dose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lang w:val="fr-FR"/>
              </w:rPr>
            </w:pPr>
            <w:r w:rsidRPr="00353A6A">
              <w:rPr>
                <w:rFonts w:ascii="TimesNewRoman" w:hAnsi="TimesNewRoman" w:cs="TimesNewRoman"/>
              </w:rPr>
              <w:t xml:space="preserve">GS-1101 10 </w:t>
            </w:r>
            <w:proofErr w:type="spellStart"/>
            <w:r w:rsidRPr="00353A6A">
              <w:rPr>
                <w:rFonts w:ascii="TimesNewRoman" w:hAnsi="TimesNewRoman" w:cs="TimesNewRoman"/>
              </w:rPr>
              <w:t>μg</w:t>
            </w:r>
            <w:proofErr w:type="spellEnd"/>
            <w:r w:rsidRPr="00353A6A">
              <w:rPr>
                <w:rFonts w:ascii="TimesNewRoman" w:hAnsi="TimesNewRoman" w:cs="TimesNewRoman"/>
              </w:rPr>
              <w:t xml:space="preserve"> + 100 </w:t>
            </w:r>
            <w:proofErr w:type="spellStart"/>
            <w:r w:rsidRPr="00353A6A">
              <w:rPr>
                <w:rFonts w:ascii="TimesNewRoman" w:hAnsi="TimesNewRoman" w:cs="TimesNewRoman"/>
              </w:rPr>
              <w:t>nCi</w:t>
            </w:r>
            <w:proofErr w:type="spellEnd"/>
            <w:r w:rsidRPr="00353A6A">
              <w:rPr>
                <w:rFonts w:ascii="TimesNewRoman" w:hAnsi="TimesNewRoman" w:cs="TimesNewRoman"/>
              </w:rPr>
              <w:t xml:space="preserve"> [</w:t>
            </w:r>
            <w:proofErr w:type="spellStart"/>
            <w:r w:rsidRPr="00353A6A">
              <w:rPr>
                <w:rFonts w:ascii="TimesNewRoman" w:hAnsi="TimesNewRoman" w:cs="TimesNewRoman"/>
                <w:vertAlign w:val="superscript"/>
              </w:rPr>
              <w:t>14</w:t>
            </w:r>
            <w:r w:rsidRPr="00353A6A">
              <w:rPr>
                <w:rFonts w:ascii="TimesNewRoman" w:hAnsi="TimesNewRoman" w:cs="TimesNewRoman"/>
              </w:rPr>
              <w:t>C</w:t>
            </w:r>
            <w:proofErr w:type="spellEnd"/>
            <w:r w:rsidRPr="00353A6A">
              <w:rPr>
                <w:rFonts w:ascii="TimesNewRoman" w:hAnsi="TimesNewRoman" w:cs="TimesNewRoman"/>
              </w:rPr>
              <w:t>]GS-1101 single dose</w:t>
            </w:r>
          </w:p>
        </w:tc>
      </w:tr>
      <w:tr w:rsidR="009C386F" w:rsidRPr="00353A6A" w:rsidTr="00E77176">
        <w:trPr>
          <w:cantSplit/>
          <w:trHeight w:val="500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</w:pPr>
            <w:r w:rsidRPr="00353A6A">
              <w:t>101-06</w:t>
            </w:r>
          </w:p>
          <w:p w:rsidR="009C386F" w:rsidRPr="00353A6A" w:rsidRDefault="009C386F" w:rsidP="00E77176">
            <w:pPr>
              <w:widowControl w:val="0"/>
              <w:spacing w:before="20" w:after="20"/>
              <w:contextualSpacing/>
            </w:pPr>
            <w:r w:rsidRPr="00353A6A">
              <w:t>Phase I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r w:rsidRPr="00353A6A">
              <w:t>15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r w:rsidRPr="00353A6A">
              <w:t>15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</w:pPr>
            <w:proofErr w:type="spellStart"/>
            <w:r w:rsidRPr="00353A6A">
              <w:t>HV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rPr>
                <w:lang w:val="fr-FR"/>
              </w:rPr>
            </w:pPr>
            <w:r w:rsidRPr="00353A6A">
              <w:rPr>
                <w:rFonts w:ascii="TimesNewRoman" w:hAnsi="TimesNewRoman" w:cs="TimesNewRoman"/>
              </w:rPr>
              <w:t>GS-1101 100 mg single dose</w:t>
            </w:r>
          </w:p>
        </w:tc>
      </w:tr>
      <w:tr w:rsidR="009C386F" w:rsidRPr="00353A6A" w:rsidTr="00E77176">
        <w:trPr>
          <w:cantSplit/>
          <w:trHeight w:val="500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101-07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Phase I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proofErr w:type="spellStart"/>
            <w:r w:rsidRPr="00353A6A">
              <w:t>2</w:t>
            </w:r>
            <w:r>
              <w:t>2</w:t>
            </w:r>
            <w:r w:rsidRPr="00353A6A">
              <w:t>6</w:t>
            </w:r>
            <w:r w:rsidRPr="00353A6A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jc w:val="center"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197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Relapsed or refractory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proofErr w:type="spellStart"/>
            <w:r w:rsidRPr="00353A6A">
              <w:rPr>
                <w:rFonts w:ascii="TimesNewRoman" w:hAnsi="TimesNewRoman" w:cs="TimesNewRoman"/>
              </w:rPr>
              <w:t>iNHL</w:t>
            </w:r>
            <w:proofErr w:type="spellEnd"/>
            <w:r w:rsidRPr="00353A6A">
              <w:rPr>
                <w:rFonts w:ascii="TimesNewRoman" w:hAnsi="TimesNewRoman" w:cs="TimesNewRoman"/>
              </w:rPr>
              <w:t xml:space="preserve"> or </w:t>
            </w:r>
            <w:proofErr w:type="spellStart"/>
            <w:r w:rsidRPr="00353A6A">
              <w:rPr>
                <w:rFonts w:ascii="TimesNewRoman" w:hAnsi="TimesNewRoman" w:cs="TimesNewRoman"/>
              </w:rPr>
              <w:t>CLL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 xml:space="preserve">GS-1101: 100 or 150 mg BID PO </w:t>
            </w:r>
            <w:proofErr w:type="spellStart"/>
            <w:r w:rsidRPr="00353A6A">
              <w:rPr>
                <w:rFonts w:ascii="TimesNewRoman" w:hAnsi="TimesNewRoman" w:cs="TimesNewRoman"/>
              </w:rPr>
              <w:t>continuously</w:t>
            </w:r>
            <w:r w:rsidRPr="00353A6A">
              <w:rPr>
                <w:rFonts w:ascii="TimesNewRoman" w:hAnsi="TimesNewRoman" w:cs="TimesNewRoman"/>
                <w:vertAlign w:val="superscript"/>
              </w:rPr>
              <w:t>a</w:t>
            </w:r>
            <w:proofErr w:type="spellEnd"/>
            <w:r w:rsidRPr="00353A6A">
              <w:rPr>
                <w:rFonts w:ascii="TimesNewRoman" w:hAnsi="TimesNewRoman" w:cs="TimesNewRoman"/>
              </w:rPr>
              <w:t xml:space="preserve"> given in combination with:</w:t>
            </w:r>
          </w:p>
          <w:p w:rsidR="009C386F" w:rsidRPr="00353A6A" w:rsidRDefault="009C386F" w:rsidP="009C386F">
            <w:pPr>
              <w:pStyle w:val="ListParagraph"/>
              <w:keepNext w:val="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76" w:lineRule="auto"/>
              <w:contextualSpacing/>
              <w:rPr>
                <w:rFonts w:ascii="TimesNewRoman" w:hAnsi="TimesNewRoman" w:cs="TimesNewRoman"/>
                <w:szCs w:val="22"/>
                <w:lang w:eastAsia="zh-CN"/>
              </w:rPr>
            </w:pPr>
            <w:proofErr w:type="spellStart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Rituximab</w:t>
            </w:r>
            <w:proofErr w:type="spellEnd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: 375 mg/</w:t>
            </w:r>
            <w:proofErr w:type="spellStart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m</w:t>
            </w:r>
            <w:r w:rsidRPr="00353A6A">
              <w:rPr>
                <w:rFonts w:ascii="TimesNewRoman" w:hAnsi="TimesNewRoman" w:cs="TimesNewRoman"/>
                <w:sz w:val="22"/>
                <w:szCs w:val="22"/>
                <w:vertAlign w:val="superscript"/>
                <w:lang w:eastAsia="zh-CN"/>
              </w:rPr>
              <w:t>2</w:t>
            </w:r>
            <w:proofErr w:type="spellEnd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 xml:space="preserve"> IV weekly x 8 weeks</w:t>
            </w:r>
          </w:p>
          <w:p w:rsidR="009C386F" w:rsidRPr="00353A6A" w:rsidRDefault="009C386F" w:rsidP="009C386F">
            <w:pPr>
              <w:pStyle w:val="ListParagraph"/>
              <w:keepNext w:val="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76" w:lineRule="auto"/>
              <w:contextualSpacing/>
              <w:rPr>
                <w:rFonts w:ascii="TimesNewRoman" w:hAnsi="TimesNewRoman" w:cs="TimesNewRoman"/>
                <w:szCs w:val="22"/>
                <w:lang w:eastAsia="zh-CN"/>
              </w:rPr>
            </w:pPr>
            <w:proofErr w:type="spellStart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Bendamustine</w:t>
            </w:r>
            <w:proofErr w:type="spellEnd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: 70 or 90 mg/</w:t>
            </w:r>
            <w:proofErr w:type="spellStart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m</w:t>
            </w:r>
            <w:r w:rsidRPr="00353A6A">
              <w:rPr>
                <w:rFonts w:ascii="TimesNewRoman" w:hAnsi="TimesNewRoman" w:cs="TimesNewRoman"/>
                <w:sz w:val="22"/>
                <w:szCs w:val="22"/>
                <w:vertAlign w:val="superscript"/>
                <w:lang w:eastAsia="zh-CN"/>
              </w:rPr>
              <w:t>2</w:t>
            </w:r>
            <w:proofErr w:type="spellEnd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 xml:space="preserve"> IV Days 1 and 2 every 4 weeks x 24 weeks</w:t>
            </w:r>
          </w:p>
          <w:p w:rsidR="009C386F" w:rsidRPr="00353A6A" w:rsidRDefault="009C386F" w:rsidP="009C386F">
            <w:pPr>
              <w:pStyle w:val="ListParagraph"/>
              <w:keepNext w:val="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76" w:lineRule="auto"/>
              <w:contextualSpacing/>
              <w:rPr>
                <w:rFonts w:ascii="TimesNewRoman" w:hAnsi="TimesNewRoman" w:cs="TimesNewRoman"/>
                <w:szCs w:val="22"/>
                <w:lang w:eastAsia="zh-CN"/>
              </w:rPr>
            </w:pPr>
            <w:proofErr w:type="spellStart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Rituximab-Bendamustine</w:t>
            </w:r>
            <w:proofErr w:type="spellEnd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 xml:space="preserve">:  </w:t>
            </w:r>
            <w:proofErr w:type="spellStart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Rituximab</w:t>
            </w:r>
            <w:proofErr w:type="spellEnd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 xml:space="preserve"> 375 mg/</w:t>
            </w:r>
            <w:proofErr w:type="spellStart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m</w:t>
            </w:r>
            <w:r w:rsidRPr="00353A6A">
              <w:rPr>
                <w:rFonts w:ascii="TimesNewRoman" w:hAnsi="TimesNewRoman" w:cs="TimesNewRoman"/>
                <w:sz w:val="22"/>
                <w:szCs w:val="22"/>
                <w:vertAlign w:val="superscript"/>
                <w:lang w:eastAsia="zh-CN"/>
              </w:rPr>
              <w:t>2</w:t>
            </w:r>
            <w:proofErr w:type="spellEnd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 xml:space="preserve"> IV every 4 weeks x 24 weeks, and </w:t>
            </w:r>
            <w:proofErr w:type="spellStart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Bendamustine</w:t>
            </w:r>
            <w:proofErr w:type="spellEnd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 xml:space="preserve"> 70 or 90 mg/</w:t>
            </w:r>
            <w:proofErr w:type="spellStart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m</w:t>
            </w:r>
            <w:r w:rsidRPr="00353A6A">
              <w:rPr>
                <w:rFonts w:ascii="TimesNewRoman" w:hAnsi="TimesNewRoman" w:cs="TimesNewRoman"/>
                <w:sz w:val="22"/>
                <w:szCs w:val="22"/>
                <w:vertAlign w:val="superscript"/>
                <w:lang w:eastAsia="zh-CN"/>
              </w:rPr>
              <w:t>2</w:t>
            </w:r>
            <w:proofErr w:type="spellEnd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 xml:space="preserve"> Days 1 and 2 every 4 weeks x 24 or 48 weeks</w:t>
            </w:r>
          </w:p>
          <w:p w:rsidR="009C386F" w:rsidRPr="00353A6A" w:rsidRDefault="009C386F" w:rsidP="009C386F">
            <w:pPr>
              <w:pStyle w:val="ListParagraph"/>
              <w:keepNext w:val="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76" w:lineRule="auto"/>
              <w:contextualSpacing/>
              <w:rPr>
                <w:rFonts w:ascii="TimesNewRoman" w:hAnsi="TimesNewRoman" w:cs="TimesNewRoman"/>
                <w:szCs w:val="22"/>
                <w:lang w:eastAsia="zh-CN"/>
              </w:rPr>
            </w:pPr>
            <w:proofErr w:type="spellStart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Ofatumumab</w:t>
            </w:r>
            <w:proofErr w:type="spellEnd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: 300 mg IV Day 1 or 2, then 1000 mg</w:t>
            </w:r>
          </w:p>
          <w:p w:rsidR="009C386F" w:rsidRPr="00353A6A" w:rsidRDefault="009C386F" w:rsidP="009C386F">
            <w:pPr>
              <w:pStyle w:val="ListParagraph"/>
              <w:keepNext w:val="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76" w:lineRule="auto"/>
              <w:contextualSpacing/>
              <w:rPr>
                <w:rFonts w:ascii="TimesNewRoman" w:hAnsi="TimesNewRoman" w:cs="TimesNewRoman"/>
                <w:szCs w:val="22"/>
                <w:lang w:eastAsia="zh-CN"/>
              </w:rPr>
            </w:pPr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weekly for Weeks 2-8, followed by 1000 mg every 4 weeks for 4 doses during Weeks 9-12</w:t>
            </w:r>
          </w:p>
          <w:p w:rsidR="009C386F" w:rsidRPr="00353A6A" w:rsidRDefault="009C386F" w:rsidP="009C386F">
            <w:pPr>
              <w:pStyle w:val="ListParagraph"/>
              <w:keepNext w:val="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76" w:lineRule="auto"/>
              <w:contextualSpacing/>
              <w:rPr>
                <w:rFonts w:ascii="TimesNewRoman" w:hAnsi="TimesNewRoman" w:cs="TimesNewRoman"/>
                <w:szCs w:val="22"/>
                <w:lang w:eastAsia="zh-CN"/>
              </w:rPr>
            </w:pPr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Fludarabine: 40 mg/</w:t>
            </w:r>
            <w:proofErr w:type="spellStart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m</w:t>
            </w:r>
            <w:r w:rsidRPr="00353A6A">
              <w:rPr>
                <w:rFonts w:ascii="TimesNewRoman" w:hAnsi="TimesNewRoman" w:cs="TimesNewRoman"/>
                <w:sz w:val="22"/>
                <w:szCs w:val="22"/>
                <w:vertAlign w:val="superscript"/>
                <w:lang w:eastAsia="zh-CN"/>
              </w:rPr>
              <w:t>2</w:t>
            </w:r>
            <w:proofErr w:type="spellEnd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 xml:space="preserve"> PO Days 1-5 every 4 weeks x 24 weeks</w:t>
            </w:r>
          </w:p>
          <w:p w:rsidR="009C386F" w:rsidRPr="00353A6A" w:rsidRDefault="009C386F" w:rsidP="009C386F">
            <w:pPr>
              <w:pStyle w:val="ListParagraph"/>
              <w:keepNext w:val="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76" w:lineRule="auto"/>
              <w:contextualSpacing/>
              <w:rPr>
                <w:rFonts w:ascii="TimesNewRoman" w:hAnsi="TimesNewRoman" w:cs="TimesNewRoman"/>
                <w:szCs w:val="22"/>
                <w:lang w:eastAsia="zh-CN"/>
              </w:rPr>
            </w:pPr>
            <w:proofErr w:type="spellStart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Everolimus</w:t>
            </w:r>
            <w:proofErr w:type="spellEnd"/>
            <w:r w:rsidRPr="00353A6A">
              <w:rPr>
                <w:rFonts w:ascii="TimesNewRoman" w:hAnsi="TimesNewRoman" w:cs="TimesNewRoman"/>
                <w:sz w:val="22"/>
                <w:szCs w:val="22"/>
                <w:lang w:eastAsia="zh-CN"/>
              </w:rPr>
              <w:t>: 10 mg PO Days 1-28 of every 4-week cycle</w:t>
            </w:r>
          </w:p>
        </w:tc>
      </w:tr>
      <w:tr w:rsidR="009C386F" w:rsidRPr="00353A6A" w:rsidTr="00E77176">
        <w:trPr>
          <w:cantSplit/>
          <w:trHeight w:val="500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101-08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Phase II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proofErr w:type="spellStart"/>
            <w:r w:rsidRPr="00353A6A">
              <w:t>64</w:t>
            </w:r>
            <w:r w:rsidRPr="00353A6A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jc w:val="center"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64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 xml:space="preserve">Untreated </w:t>
            </w:r>
            <w:proofErr w:type="spellStart"/>
            <w:r w:rsidRPr="00353A6A">
              <w:rPr>
                <w:rFonts w:ascii="TimesNewRoman" w:hAnsi="TimesNewRoman" w:cs="TimesNewRoman"/>
              </w:rPr>
              <w:t>CLL</w:t>
            </w:r>
            <w:proofErr w:type="spellEnd"/>
            <w:r w:rsidRPr="00353A6A">
              <w:rPr>
                <w:rFonts w:ascii="TimesNewRoman" w:hAnsi="TimesNewRoman" w:cs="TimesNewRoman"/>
              </w:rPr>
              <w:t xml:space="preserve"> or </w:t>
            </w:r>
            <w:proofErr w:type="spellStart"/>
            <w:r w:rsidRPr="00353A6A">
              <w:rPr>
                <w:rFonts w:ascii="TimesNewRoman" w:hAnsi="TimesNewRoman" w:cs="TimesNewRoman"/>
              </w:rPr>
              <w:t>SLL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GS-1101: 100 or 150 mg BID PO x 48 weeks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proofErr w:type="spellStart"/>
            <w:r w:rsidRPr="00353A6A">
              <w:rPr>
                <w:rFonts w:ascii="TimesNewRoman" w:hAnsi="TimesNewRoman" w:cs="TimesNewRoman"/>
              </w:rPr>
              <w:t>Rituximab</w:t>
            </w:r>
            <w:proofErr w:type="spellEnd"/>
            <w:r w:rsidRPr="00353A6A">
              <w:rPr>
                <w:rFonts w:ascii="TimesNewRoman" w:hAnsi="TimesNewRoman" w:cs="TimesNewRoman"/>
              </w:rPr>
              <w:t>: 375 mg/</w:t>
            </w:r>
            <w:proofErr w:type="spellStart"/>
            <w:r w:rsidRPr="00353A6A">
              <w:rPr>
                <w:rFonts w:ascii="TimesNewRoman" w:hAnsi="TimesNewRoman" w:cs="TimesNewRoman"/>
              </w:rPr>
              <w:t>m2</w:t>
            </w:r>
            <w:proofErr w:type="spellEnd"/>
            <w:r w:rsidRPr="00353A6A">
              <w:rPr>
                <w:rFonts w:ascii="TimesNewRoman" w:hAnsi="TimesNewRoman" w:cs="TimesNewRoman"/>
              </w:rPr>
              <w:t xml:space="preserve"> IV weekly x 8 weeks</w:t>
            </w:r>
          </w:p>
        </w:tc>
      </w:tr>
      <w:tr w:rsidR="009C386F" w:rsidRPr="00353A6A" w:rsidTr="00E77176">
        <w:trPr>
          <w:cantSplit/>
          <w:trHeight w:val="500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lastRenderedPageBreak/>
              <w:t>101-09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Phase II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r w:rsidRPr="00353A6A">
              <w:t>125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jc w:val="center"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124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proofErr w:type="spellStart"/>
            <w:r w:rsidRPr="00353A6A">
              <w:rPr>
                <w:rFonts w:ascii="TimesNewRoman" w:hAnsi="TimesNewRoman" w:cs="TimesNewRoman"/>
              </w:rPr>
              <w:t>iNHL</w:t>
            </w:r>
            <w:proofErr w:type="spellEnd"/>
            <w:r w:rsidRPr="00353A6A">
              <w:rPr>
                <w:rFonts w:ascii="TimesNewRoman" w:hAnsi="TimesNewRoman" w:cs="TimesNewRoman"/>
              </w:rPr>
              <w:t xml:space="preserve"> refractory to both </w:t>
            </w:r>
            <w:proofErr w:type="spellStart"/>
            <w:r w:rsidRPr="00353A6A">
              <w:rPr>
                <w:rFonts w:ascii="TimesNewRoman" w:hAnsi="TimesNewRoman" w:cs="TimesNewRoman"/>
              </w:rPr>
              <w:t>rituximab</w:t>
            </w:r>
            <w:proofErr w:type="spellEnd"/>
            <w:r w:rsidRPr="00353A6A">
              <w:rPr>
                <w:rFonts w:ascii="TimesNewRoman" w:hAnsi="TimesNewRoman" w:cs="TimesNewRoman"/>
              </w:rPr>
              <w:t xml:space="preserve"> and alkylating agents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 xml:space="preserve">GS-1101 150 mg BID </w:t>
            </w:r>
            <w:proofErr w:type="spellStart"/>
            <w:r w:rsidRPr="00353A6A">
              <w:rPr>
                <w:rFonts w:ascii="TimesNewRoman" w:hAnsi="TimesNewRoman" w:cs="TimesNewRoman"/>
              </w:rPr>
              <w:t>continuously</w:t>
            </w:r>
            <w:r w:rsidRPr="00353A6A">
              <w:rPr>
                <w:rFonts w:ascii="TimesNewRoman" w:hAnsi="TimesNewRoman" w:cs="TimesNewRoman"/>
                <w:vertAlign w:val="superscript"/>
              </w:rPr>
              <w:t>b</w:t>
            </w:r>
            <w:proofErr w:type="spellEnd"/>
          </w:p>
        </w:tc>
      </w:tr>
      <w:tr w:rsidR="009C386F" w:rsidRPr="00353A6A" w:rsidTr="00E77176">
        <w:trPr>
          <w:cantSplit/>
          <w:trHeight w:val="500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101-11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Phase II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r w:rsidRPr="00353A6A">
              <w:t>25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jc w:val="center"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25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Relapsed or refractory HL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 xml:space="preserve">GS-1101 150 mg BID </w:t>
            </w:r>
            <w:proofErr w:type="spellStart"/>
            <w:r w:rsidRPr="00353A6A">
              <w:rPr>
                <w:rFonts w:ascii="TimesNewRoman" w:hAnsi="TimesNewRoman" w:cs="TimesNewRoman"/>
              </w:rPr>
              <w:t>continuously</w:t>
            </w:r>
            <w:r w:rsidRPr="00353A6A">
              <w:rPr>
                <w:rFonts w:ascii="TimesNewRoman" w:hAnsi="TimesNewRoman" w:cs="TimesNewRoman"/>
                <w:vertAlign w:val="superscript"/>
              </w:rPr>
              <w:t>b</w:t>
            </w:r>
            <w:proofErr w:type="spellEnd"/>
          </w:p>
        </w:tc>
      </w:tr>
      <w:tr w:rsidR="009C386F" w:rsidRPr="00353A6A" w:rsidTr="00E77176">
        <w:trPr>
          <w:cantSplit/>
          <w:trHeight w:val="500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339-0101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</w:pPr>
            <w:r w:rsidRPr="00353A6A">
              <w:t>Phase I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spacing w:before="20" w:after="20"/>
              <w:contextualSpacing/>
              <w:jc w:val="center"/>
            </w:pPr>
            <w:proofErr w:type="spellStart"/>
            <w:r w:rsidRPr="00353A6A">
              <w:t>24</w:t>
            </w:r>
            <w:r w:rsidRPr="00353A6A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jc w:val="center"/>
            </w:pPr>
            <w:r w:rsidRPr="00353A6A">
              <w:t>23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proofErr w:type="spellStart"/>
            <w:r w:rsidRPr="00353A6A">
              <w:t>HV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GS-9973 (day 1-4): 200 or 600 mg BID PO under fed condition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GS-1101 (day 15-18): 100 or 150 mg BID PO under fed condition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spacing w:before="20" w:after="20"/>
              <w:contextualSpacing/>
              <w:rPr>
                <w:rFonts w:ascii="TimesNewRoman" w:hAnsi="TimesNewRoman" w:cs="TimesNewRoman"/>
              </w:rPr>
            </w:pPr>
            <w:r w:rsidRPr="00353A6A">
              <w:rPr>
                <w:rFonts w:ascii="TimesNewRoman" w:hAnsi="TimesNewRoman" w:cs="TimesNewRoman"/>
              </w:rPr>
              <w:t>GS-</w:t>
            </w:r>
            <w:proofErr w:type="spellStart"/>
            <w:r w:rsidRPr="00353A6A">
              <w:rPr>
                <w:rFonts w:ascii="TimesNewRoman" w:hAnsi="TimesNewRoman" w:cs="TimesNewRoman"/>
              </w:rPr>
              <w:t>1101+GS9973</w:t>
            </w:r>
            <w:proofErr w:type="spellEnd"/>
            <w:r w:rsidRPr="00353A6A">
              <w:rPr>
                <w:rFonts w:ascii="TimesNewRoman" w:hAnsi="TimesNewRoman" w:cs="TimesNewRoman"/>
              </w:rPr>
              <w:t xml:space="preserve"> (day 29-32) under fed condition</w:t>
            </w:r>
          </w:p>
          <w:p w:rsidR="009C386F" w:rsidRPr="00353A6A" w:rsidRDefault="009C386F" w:rsidP="009C386F">
            <w:pPr>
              <w:pStyle w:val="CharCharChar"/>
              <w:widowControl w:val="0"/>
              <w:numPr>
                <w:ilvl w:val="0"/>
                <w:numId w:val="2"/>
              </w:numPr>
              <w:spacing w:before="20" w:after="20" w:line="276" w:lineRule="auto"/>
              <w:contextualSpacing/>
              <w:rPr>
                <w:sz w:val="22"/>
                <w:szCs w:val="22"/>
              </w:rPr>
            </w:pPr>
            <w:r w:rsidRPr="00353A6A">
              <w:rPr>
                <w:bCs/>
                <w:sz w:val="22"/>
                <w:szCs w:val="22"/>
              </w:rPr>
              <w:t>Cohort 1:</w:t>
            </w:r>
            <w:r w:rsidRPr="00353A6A">
              <w:rPr>
                <w:sz w:val="22"/>
                <w:szCs w:val="22"/>
              </w:rPr>
              <w:t xml:space="preserve"> GS-9973 200 mg, GS-1101 100 mg</w:t>
            </w:r>
          </w:p>
          <w:p w:rsidR="009C386F" w:rsidRPr="00353A6A" w:rsidRDefault="009C386F" w:rsidP="009C386F">
            <w:pPr>
              <w:pStyle w:val="CharCharChar"/>
              <w:widowControl w:val="0"/>
              <w:numPr>
                <w:ilvl w:val="0"/>
                <w:numId w:val="2"/>
              </w:numPr>
              <w:spacing w:before="20" w:after="20" w:line="276" w:lineRule="auto"/>
              <w:contextualSpacing/>
              <w:rPr>
                <w:sz w:val="22"/>
                <w:szCs w:val="22"/>
              </w:rPr>
            </w:pPr>
            <w:r w:rsidRPr="00353A6A">
              <w:rPr>
                <w:bCs/>
                <w:sz w:val="22"/>
                <w:szCs w:val="22"/>
              </w:rPr>
              <w:t>Cohort 2:</w:t>
            </w:r>
            <w:r w:rsidRPr="00353A6A">
              <w:rPr>
                <w:sz w:val="22"/>
                <w:szCs w:val="22"/>
              </w:rPr>
              <w:t xml:space="preserve"> GS-9973 600 mg, GS-1101 100 mg</w:t>
            </w:r>
          </w:p>
          <w:p w:rsidR="009C386F" w:rsidRPr="00353A6A" w:rsidRDefault="009C386F" w:rsidP="009C386F">
            <w:pPr>
              <w:pStyle w:val="CharCharChar"/>
              <w:widowControl w:val="0"/>
              <w:numPr>
                <w:ilvl w:val="0"/>
                <w:numId w:val="2"/>
              </w:numPr>
              <w:spacing w:before="20" w:after="20" w:line="276" w:lineRule="auto"/>
              <w:contextualSpacing/>
              <w:rPr>
                <w:rFonts w:ascii="TimesNewRoman" w:hAnsi="TimesNewRoman" w:cs="TimesNewRoman"/>
                <w:sz w:val="22"/>
                <w:szCs w:val="22"/>
              </w:rPr>
            </w:pPr>
            <w:r w:rsidRPr="00353A6A">
              <w:rPr>
                <w:bCs/>
                <w:sz w:val="22"/>
                <w:szCs w:val="22"/>
              </w:rPr>
              <w:t>Cohort 3:</w:t>
            </w:r>
            <w:r w:rsidRPr="00353A6A">
              <w:rPr>
                <w:sz w:val="22"/>
                <w:szCs w:val="22"/>
              </w:rPr>
              <w:t xml:space="preserve"> GS-9973 600 mg, GS-1101 150 mg</w:t>
            </w:r>
          </w:p>
        </w:tc>
      </w:tr>
      <w:tr w:rsidR="009C386F" w:rsidRPr="00353A6A" w:rsidTr="00E77176">
        <w:trPr>
          <w:cantSplit/>
          <w:trHeight w:val="500"/>
        </w:trPr>
        <w:tc>
          <w:tcPr>
            <w:tcW w:w="8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</w:pPr>
            <w:r w:rsidRPr="00353A6A">
              <w:t xml:space="preserve">BID=twice daily; </w:t>
            </w:r>
            <w:proofErr w:type="spellStart"/>
            <w:r w:rsidRPr="00353A6A">
              <w:t>CLL</w:t>
            </w:r>
            <w:proofErr w:type="spellEnd"/>
            <w:r w:rsidRPr="00353A6A">
              <w:t xml:space="preserve">= chronic lymphocytic </w:t>
            </w:r>
            <w:proofErr w:type="spellStart"/>
            <w:r w:rsidRPr="00353A6A">
              <w:t>leukemia</w:t>
            </w:r>
            <w:proofErr w:type="spellEnd"/>
            <w:r w:rsidRPr="00353A6A">
              <w:t xml:space="preserve">; HL = Hodgkin lymphoma, </w:t>
            </w:r>
            <w:proofErr w:type="spellStart"/>
            <w:r w:rsidRPr="00353A6A">
              <w:t>iNHL</w:t>
            </w:r>
            <w:proofErr w:type="spellEnd"/>
            <w:r w:rsidRPr="00353A6A">
              <w:t xml:space="preserve"> = indolent non-Hodgkin Lymphoma; </w:t>
            </w:r>
            <w:proofErr w:type="spellStart"/>
            <w:r w:rsidRPr="00353A6A">
              <w:t>HV</w:t>
            </w:r>
            <w:proofErr w:type="spellEnd"/>
            <w:r w:rsidRPr="00353A6A">
              <w:t xml:space="preserve">=healthy volunteer; IV= intravenous; PO = orally; </w:t>
            </w:r>
            <w:proofErr w:type="spellStart"/>
            <w:r w:rsidRPr="00353A6A">
              <w:t>QD</w:t>
            </w:r>
            <w:proofErr w:type="spellEnd"/>
            <w:r w:rsidRPr="00353A6A">
              <w:t xml:space="preserve">=once daily; </w:t>
            </w:r>
            <w:proofErr w:type="spellStart"/>
            <w:r w:rsidRPr="00353A6A">
              <w:t>SLL</w:t>
            </w:r>
            <w:proofErr w:type="spellEnd"/>
            <w:r w:rsidRPr="00353A6A">
              <w:t>=small lymphocytic lymphoma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</w:pPr>
            <w:proofErr w:type="gramStart"/>
            <w:r w:rsidRPr="00353A6A">
              <w:rPr>
                <w:vertAlign w:val="superscript"/>
              </w:rPr>
              <w:t>a</w:t>
            </w:r>
            <w:proofErr w:type="gramEnd"/>
            <w:r w:rsidRPr="00353A6A">
              <w:t xml:space="preserve"> Administered until earliest occurrence of disease progression, intolerable toxicity, or completion of 12 cycles of therapy.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</w:pPr>
            <w:proofErr w:type="gramStart"/>
            <w:r w:rsidRPr="00353A6A">
              <w:rPr>
                <w:vertAlign w:val="superscript"/>
              </w:rPr>
              <w:t>b</w:t>
            </w:r>
            <w:proofErr w:type="gramEnd"/>
            <w:r w:rsidRPr="00353A6A">
              <w:t xml:space="preserve"> Administered until earliest occurrence of disease progression, intolerable toxicity, or no clinical benefit in </w:t>
            </w:r>
            <w:r>
              <w:t xml:space="preserve">the </w:t>
            </w:r>
            <w:r w:rsidRPr="00353A6A">
              <w:t xml:space="preserve">opinion of </w:t>
            </w:r>
            <w:r>
              <w:t xml:space="preserve">the </w:t>
            </w:r>
            <w:r w:rsidRPr="00353A6A">
              <w:t>investigator.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</w:pPr>
            <w:r w:rsidRPr="00353A6A">
              <w:rPr>
                <w:vertAlign w:val="superscript"/>
              </w:rPr>
              <w:t>c</w:t>
            </w:r>
            <w:r>
              <w:t xml:space="preserve"> O</w:t>
            </w:r>
            <w:r w:rsidRPr="00353A6A">
              <w:t xml:space="preserve">nly data from </w:t>
            </w:r>
            <w:r>
              <w:t xml:space="preserve">the </w:t>
            </w:r>
            <w:r w:rsidRPr="00353A6A">
              <w:t>GS-1101</w:t>
            </w:r>
            <w:r>
              <w:t xml:space="preserve"> </w:t>
            </w:r>
            <w:r w:rsidRPr="00353A6A">
              <w:t xml:space="preserve">dose group </w:t>
            </w:r>
            <w:r>
              <w:t>were</w:t>
            </w:r>
            <w:r w:rsidRPr="00353A6A">
              <w:t xml:space="preserve"> included</w:t>
            </w:r>
          </w:p>
          <w:p w:rsidR="009C386F" w:rsidRPr="00353A6A" w:rsidRDefault="009C386F" w:rsidP="00E77176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353A6A">
              <w:rPr>
                <w:rFonts w:ascii="TimesNewRomanPSMT" w:hAnsi="TimesNewRomanPSMT" w:cs="TimesNewRomanPSMT"/>
              </w:rPr>
              <w:t xml:space="preserve">* Number of subjects included in the </w:t>
            </w:r>
            <w:proofErr w:type="spellStart"/>
            <w:r w:rsidRPr="00353A6A">
              <w:rPr>
                <w:rFonts w:ascii="TimesNewRomanPSMT" w:hAnsi="TimesNewRomanPSMT" w:cs="TimesNewRomanPSMT"/>
              </w:rPr>
              <w:t>PopPK</w:t>
            </w:r>
            <w:proofErr w:type="spellEnd"/>
            <w:r w:rsidRPr="00353A6A">
              <w:rPr>
                <w:rFonts w:ascii="TimesNewRomanPSMT" w:hAnsi="TimesNewRomanPSMT" w:cs="TimesNewRomanPSMT"/>
              </w:rPr>
              <w:t xml:space="preserve"> model dataset</w:t>
            </w:r>
          </w:p>
        </w:tc>
      </w:tr>
    </w:tbl>
    <w:p w:rsidR="009C386F" w:rsidRDefault="009C386F" w:rsidP="009C386F">
      <w:r>
        <w:br w:type="page"/>
      </w:r>
    </w:p>
    <w:p w:rsidR="009C386F" w:rsidRPr="009907BB" w:rsidRDefault="009C386F" w:rsidP="009C386F">
      <w:pPr>
        <w:spacing w:after="240" w:line="480" w:lineRule="auto"/>
        <w:jc w:val="center"/>
        <w:rPr>
          <w:b/>
        </w:rPr>
      </w:pPr>
      <w:r w:rsidRPr="009907BB">
        <w:rPr>
          <w:b/>
        </w:rPr>
        <w:lastRenderedPageBreak/>
        <w:t>Supplemental Material</w:t>
      </w:r>
    </w:p>
    <w:p w:rsidR="009C386F" w:rsidRDefault="009C386F" w:rsidP="009C386F">
      <w:pPr>
        <w:spacing w:after="240" w:line="480" w:lineRule="auto"/>
      </w:pPr>
    </w:p>
    <w:p w:rsidR="009C386F" w:rsidRPr="00A579AB" w:rsidRDefault="009C386F" w:rsidP="009C386F">
      <w:pPr>
        <w:spacing w:after="240" w:line="480" w:lineRule="auto"/>
      </w:pPr>
      <w:proofErr w:type="gramStart"/>
      <w:r w:rsidRPr="00A579AB">
        <w:t xml:space="preserve">Supplemental Table </w:t>
      </w:r>
      <w:r>
        <w:t>2</w:t>
      </w:r>
      <w:r w:rsidRPr="00A579AB">
        <w:t>.</w:t>
      </w:r>
      <w:proofErr w:type="gramEnd"/>
      <w:r w:rsidRPr="00A579AB">
        <w:t xml:space="preserve"> Summary of numeric predictive check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4665"/>
        <w:gridCol w:w="4191"/>
      </w:tblGrid>
      <w:tr w:rsidR="009C386F" w:rsidRPr="00353A6A" w:rsidTr="00E77176">
        <w:trPr>
          <w:trHeight w:val="458"/>
        </w:trPr>
        <w:tc>
          <w:tcPr>
            <w:tcW w:w="263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53A6A" w:rsidRDefault="009C386F" w:rsidP="00E77176">
            <w:pPr>
              <w:pStyle w:val="Table-Heading"/>
              <w:spacing w:before="30" w:after="30"/>
              <w:jc w:val="left"/>
              <w:rPr>
                <w:spacing w:val="-2"/>
                <w:kern w:val="28"/>
                <w:szCs w:val="24"/>
                <w:lang w:val="en-GB"/>
              </w:rPr>
            </w:pPr>
            <w:r w:rsidRPr="00353A6A">
              <w:t>Range</w:t>
            </w:r>
          </w:p>
        </w:tc>
        <w:tc>
          <w:tcPr>
            <w:tcW w:w="23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53A6A" w:rsidRDefault="009C386F" w:rsidP="00E77176">
            <w:pPr>
              <w:pStyle w:val="Table-Heading"/>
              <w:spacing w:before="30" w:after="30"/>
              <w:rPr>
                <w:spacing w:val="-2"/>
                <w:kern w:val="28"/>
                <w:szCs w:val="24"/>
                <w:lang w:val="en-GB"/>
              </w:rPr>
            </w:pPr>
            <w:r w:rsidRPr="00353A6A">
              <w:rPr>
                <w:szCs w:val="22"/>
              </w:rPr>
              <w:t>Observation (%)</w:t>
            </w:r>
          </w:p>
        </w:tc>
      </w:tr>
      <w:tr w:rsidR="009C386F" w:rsidRPr="00353A6A" w:rsidTr="00E77176">
        <w:trPr>
          <w:trHeight w:val="291"/>
        </w:trPr>
        <w:tc>
          <w:tcPr>
            <w:tcW w:w="263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C386F" w:rsidRPr="00353A6A" w:rsidRDefault="009C386F" w:rsidP="00E77176">
            <w:pPr>
              <w:pStyle w:val="TableLeft"/>
              <w:spacing w:before="30" w:after="30"/>
              <w:rPr>
                <w:b/>
                <w:spacing w:val="-2"/>
                <w:kern w:val="28"/>
                <w:lang w:val="en-GB"/>
              </w:rPr>
            </w:pPr>
            <w:r w:rsidRPr="00353A6A">
              <w:t>Above 95</w:t>
            </w:r>
            <w:r w:rsidRPr="00353A6A">
              <w:rPr>
                <w:vertAlign w:val="superscript"/>
              </w:rPr>
              <w:t xml:space="preserve">th </w:t>
            </w:r>
            <w:r w:rsidRPr="00353A6A">
              <w:t>%</w:t>
            </w:r>
            <w:proofErr w:type="spellStart"/>
            <w:r w:rsidRPr="00353A6A">
              <w:t>ile</w:t>
            </w:r>
            <w:proofErr w:type="spellEnd"/>
          </w:p>
        </w:tc>
        <w:tc>
          <w:tcPr>
            <w:tcW w:w="236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C386F" w:rsidRPr="009F198A" w:rsidRDefault="009C386F" w:rsidP="00E77176">
            <w:pPr>
              <w:pStyle w:val="TableCenter"/>
              <w:spacing w:before="30" w:after="30"/>
              <w:rPr>
                <w:rFonts w:ascii="TimesNewRoman" w:hAnsi="TimesNewRoman"/>
              </w:rPr>
            </w:pPr>
            <w:r w:rsidRPr="009F198A">
              <w:rPr>
                <w:rFonts w:ascii="TimesNewRoman" w:hAnsi="TimesNewRoman"/>
              </w:rPr>
              <w:t>4.2</w:t>
            </w:r>
          </w:p>
        </w:tc>
      </w:tr>
      <w:tr w:rsidR="009C386F" w:rsidRPr="00353A6A" w:rsidTr="00E77176">
        <w:trPr>
          <w:trHeight w:val="291"/>
        </w:trPr>
        <w:tc>
          <w:tcPr>
            <w:tcW w:w="2634" w:type="pct"/>
            <w:shd w:val="clear" w:color="auto" w:fill="auto"/>
            <w:vAlign w:val="center"/>
          </w:tcPr>
          <w:p w:rsidR="009C386F" w:rsidRPr="00353A6A" w:rsidRDefault="009C386F" w:rsidP="00E77176">
            <w:pPr>
              <w:pStyle w:val="TableLeft"/>
              <w:spacing w:before="30" w:after="30"/>
              <w:rPr>
                <w:b/>
                <w:spacing w:val="-2"/>
                <w:kern w:val="28"/>
                <w:lang w:val="en-GB"/>
              </w:rPr>
            </w:pPr>
            <w:r w:rsidRPr="00353A6A">
              <w:t>Above 75</w:t>
            </w:r>
            <w:r w:rsidRPr="00353A6A">
              <w:rPr>
                <w:vertAlign w:val="superscript"/>
              </w:rPr>
              <w:t xml:space="preserve">th </w:t>
            </w:r>
            <w:r w:rsidRPr="00353A6A">
              <w:t>%</w:t>
            </w:r>
            <w:proofErr w:type="spellStart"/>
            <w:r w:rsidRPr="00353A6A">
              <w:t>ile</w:t>
            </w:r>
            <w:proofErr w:type="spellEnd"/>
          </w:p>
        </w:tc>
        <w:tc>
          <w:tcPr>
            <w:tcW w:w="2366" w:type="pct"/>
            <w:shd w:val="clear" w:color="auto" w:fill="auto"/>
            <w:vAlign w:val="center"/>
          </w:tcPr>
          <w:p w:rsidR="009C386F" w:rsidRPr="009F198A" w:rsidRDefault="009C386F" w:rsidP="00E77176">
            <w:pPr>
              <w:pStyle w:val="TableCenter"/>
              <w:spacing w:before="30" w:after="30"/>
              <w:rPr>
                <w:rFonts w:ascii="TimesNewRoman" w:hAnsi="TimesNewRoman"/>
              </w:rPr>
            </w:pPr>
            <w:r w:rsidRPr="009F198A">
              <w:rPr>
                <w:rFonts w:ascii="TimesNewRoman" w:hAnsi="TimesNewRoman"/>
              </w:rPr>
              <w:t>19.8</w:t>
            </w:r>
          </w:p>
        </w:tc>
      </w:tr>
      <w:tr w:rsidR="009C386F" w:rsidRPr="00353A6A" w:rsidTr="00E77176">
        <w:trPr>
          <w:trHeight w:val="291"/>
        </w:trPr>
        <w:tc>
          <w:tcPr>
            <w:tcW w:w="2634" w:type="pct"/>
            <w:shd w:val="clear" w:color="auto" w:fill="auto"/>
            <w:vAlign w:val="center"/>
          </w:tcPr>
          <w:p w:rsidR="009C386F" w:rsidRPr="00353A6A" w:rsidRDefault="009C386F" w:rsidP="00E77176">
            <w:pPr>
              <w:pStyle w:val="TableLeft"/>
              <w:spacing w:before="30" w:after="30"/>
              <w:rPr>
                <w:b/>
                <w:spacing w:val="-2"/>
                <w:kern w:val="28"/>
                <w:lang w:val="en-GB"/>
              </w:rPr>
            </w:pPr>
            <w:r w:rsidRPr="00353A6A">
              <w:t>Above 50</w:t>
            </w:r>
            <w:r w:rsidRPr="00353A6A">
              <w:rPr>
                <w:vertAlign w:val="superscript"/>
              </w:rPr>
              <w:t xml:space="preserve">th </w:t>
            </w:r>
            <w:r w:rsidRPr="00353A6A">
              <w:t>%</w:t>
            </w:r>
            <w:proofErr w:type="spellStart"/>
            <w:r w:rsidRPr="00353A6A">
              <w:t>ile</w:t>
            </w:r>
            <w:proofErr w:type="spellEnd"/>
          </w:p>
        </w:tc>
        <w:tc>
          <w:tcPr>
            <w:tcW w:w="2366" w:type="pct"/>
            <w:shd w:val="clear" w:color="auto" w:fill="auto"/>
            <w:vAlign w:val="center"/>
          </w:tcPr>
          <w:p w:rsidR="009C386F" w:rsidRPr="009F198A" w:rsidRDefault="009C386F" w:rsidP="00E77176">
            <w:pPr>
              <w:pStyle w:val="TableCenter"/>
              <w:spacing w:before="30" w:after="30"/>
              <w:rPr>
                <w:rFonts w:ascii="TimesNewRoman" w:hAnsi="TimesNewRoman"/>
              </w:rPr>
            </w:pPr>
            <w:r w:rsidRPr="009F198A">
              <w:rPr>
                <w:rFonts w:ascii="TimesNewRoman" w:hAnsi="TimesNewRoman"/>
              </w:rPr>
              <w:t>45.1</w:t>
            </w:r>
          </w:p>
        </w:tc>
      </w:tr>
      <w:tr w:rsidR="009C386F" w:rsidRPr="00353A6A" w:rsidTr="00E77176">
        <w:trPr>
          <w:trHeight w:val="291"/>
        </w:trPr>
        <w:tc>
          <w:tcPr>
            <w:tcW w:w="2634" w:type="pct"/>
            <w:shd w:val="clear" w:color="auto" w:fill="auto"/>
            <w:vAlign w:val="center"/>
          </w:tcPr>
          <w:p w:rsidR="009C386F" w:rsidRPr="00353A6A" w:rsidRDefault="009C386F" w:rsidP="00E77176">
            <w:pPr>
              <w:pStyle w:val="TableLeft"/>
              <w:spacing w:before="30" w:after="30"/>
              <w:rPr>
                <w:b/>
                <w:spacing w:val="-2"/>
                <w:kern w:val="28"/>
                <w:lang w:val="en-GB"/>
              </w:rPr>
            </w:pPr>
            <w:r w:rsidRPr="00353A6A">
              <w:t>Below 50</w:t>
            </w:r>
            <w:r w:rsidRPr="00353A6A">
              <w:rPr>
                <w:vertAlign w:val="superscript"/>
              </w:rPr>
              <w:t xml:space="preserve">th </w:t>
            </w:r>
            <w:r w:rsidRPr="00353A6A">
              <w:t>%</w:t>
            </w:r>
            <w:proofErr w:type="spellStart"/>
            <w:r w:rsidRPr="00353A6A">
              <w:t>ile</w:t>
            </w:r>
            <w:proofErr w:type="spellEnd"/>
          </w:p>
        </w:tc>
        <w:tc>
          <w:tcPr>
            <w:tcW w:w="2366" w:type="pct"/>
            <w:shd w:val="clear" w:color="auto" w:fill="auto"/>
            <w:vAlign w:val="center"/>
          </w:tcPr>
          <w:p w:rsidR="009C386F" w:rsidRPr="009F198A" w:rsidRDefault="009C386F" w:rsidP="00E77176">
            <w:pPr>
              <w:pStyle w:val="TableCenter"/>
              <w:spacing w:before="30" w:after="30"/>
              <w:rPr>
                <w:rFonts w:ascii="TimesNewRoman" w:hAnsi="TimesNewRoman"/>
              </w:rPr>
            </w:pPr>
            <w:r w:rsidRPr="009F198A">
              <w:rPr>
                <w:rFonts w:ascii="TimesNewRoman" w:hAnsi="TimesNewRoman"/>
              </w:rPr>
              <w:t>54.9</w:t>
            </w:r>
          </w:p>
        </w:tc>
      </w:tr>
      <w:tr w:rsidR="009C386F" w:rsidRPr="00353A6A" w:rsidTr="00E77176">
        <w:trPr>
          <w:trHeight w:val="291"/>
        </w:trPr>
        <w:tc>
          <w:tcPr>
            <w:tcW w:w="2634" w:type="pct"/>
            <w:shd w:val="clear" w:color="auto" w:fill="auto"/>
            <w:vAlign w:val="center"/>
          </w:tcPr>
          <w:p w:rsidR="009C386F" w:rsidRPr="00353A6A" w:rsidRDefault="009C386F" w:rsidP="00E77176">
            <w:pPr>
              <w:pStyle w:val="TableLeft"/>
              <w:spacing w:before="30" w:after="30"/>
              <w:rPr>
                <w:b/>
                <w:spacing w:val="-2"/>
                <w:kern w:val="28"/>
                <w:lang w:val="en-GB"/>
              </w:rPr>
            </w:pPr>
            <w:r w:rsidRPr="00353A6A">
              <w:t>Below 25</w:t>
            </w:r>
            <w:r w:rsidRPr="00353A6A">
              <w:rPr>
                <w:vertAlign w:val="superscript"/>
              </w:rPr>
              <w:t xml:space="preserve">th </w:t>
            </w:r>
            <w:r w:rsidRPr="00353A6A">
              <w:t>%</w:t>
            </w:r>
            <w:proofErr w:type="spellStart"/>
            <w:r w:rsidRPr="00353A6A">
              <w:t>ile</w:t>
            </w:r>
            <w:proofErr w:type="spellEnd"/>
          </w:p>
        </w:tc>
        <w:tc>
          <w:tcPr>
            <w:tcW w:w="2366" w:type="pct"/>
            <w:shd w:val="clear" w:color="auto" w:fill="auto"/>
            <w:vAlign w:val="center"/>
          </w:tcPr>
          <w:p w:rsidR="009C386F" w:rsidRPr="009F198A" w:rsidRDefault="009C386F" w:rsidP="00E77176">
            <w:pPr>
              <w:pStyle w:val="TableCenter"/>
              <w:spacing w:before="30" w:after="30"/>
              <w:rPr>
                <w:rFonts w:ascii="TimesNewRoman" w:hAnsi="TimesNewRoman"/>
              </w:rPr>
            </w:pPr>
            <w:r w:rsidRPr="009F198A">
              <w:rPr>
                <w:rFonts w:ascii="TimesNewRoman" w:hAnsi="TimesNewRoman"/>
              </w:rPr>
              <w:t>23.9</w:t>
            </w:r>
          </w:p>
        </w:tc>
      </w:tr>
      <w:tr w:rsidR="009C386F" w:rsidRPr="00353A6A" w:rsidTr="00E77176">
        <w:trPr>
          <w:trHeight w:val="291"/>
        </w:trPr>
        <w:tc>
          <w:tcPr>
            <w:tcW w:w="2634" w:type="pct"/>
            <w:shd w:val="clear" w:color="auto" w:fill="auto"/>
            <w:vAlign w:val="center"/>
          </w:tcPr>
          <w:p w:rsidR="009C386F" w:rsidRPr="00353A6A" w:rsidRDefault="009C386F" w:rsidP="00E77176">
            <w:pPr>
              <w:pStyle w:val="TableLeft"/>
              <w:spacing w:before="30" w:after="30"/>
            </w:pPr>
            <w:r w:rsidRPr="00353A6A">
              <w:t>Below 5</w:t>
            </w:r>
            <w:r w:rsidRPr="00353A6A">
              <w:rPr>
                <w:vertAlign w:val="superscript"/>
              </w:rPr>
              <w:t xml:space="preserve">th </w:t>
            </w:r>
            <w:r w:rsidRPr="00353A6A">
              <w:t>%</w:t>
            </w:r>
            <w:proofErr w:type="spellStart"/>
            <w:r w:rsidRPr="00353A6A">
              <w:t>ile</w:t>
            </w:r>
            <w:proofErr w:type="spellEnd"/>
          </w:p>
        </w:tc>
        <w:tc>
          <w:tcPr>
            <w:tcW w:w="2366" w:type="pct"/>
            <w:shd w:val="clear" w:color="auto" w:fill="auto"/>
            <w:vAlign w:val="center"/>
          </w:tcPr>
          <w:p w:rsidR="009C386F" w:rsidRPr="009F198A" w:rsidRDefault="009C386F" w:rsidP="00E77176">
            <w:pPr>
              <w:pStyle w:val="TableCenter"/>
              <w:spacing w:before="30" w:after="30"/>
              <w:rPr>
                <w:rFonts w:ascii="TimesNewRoman" w:hAnsi="TimesNewRoman"/>
              </w:rPr>
            </w:pPr>
            <w:r w:rsidRPr="009F198A">
              <w:rPr>
                <w:rFonts w:ascii="TimesNewRoman" w:hAnsi="TimesNewRoman"/>
              </w:rPr>
              <w:t>3.3</w:t>
            </w:r>
          </w:p>
        </w:tc>
      </w:tr>
    </w:tbl>
    <w:p w:rsidR="009C386F" w:rsidRDefault="009C386F" w:rsidP="009C386F">
      <w:pPr>
        <w:spacing w:after="240" w:line="480" w:lineRule="auto"/>
      </w:pPr>
    </w:p>
    <w:p w:rsidR="009C386F" w:rsidRDefault="009C386F" w:rsidP="009C386F">
      <w:r>
        <w:br w:type="page"/>
      </w:r>
    </w:p>
    <w:p w:rsidR="009C386F" w:rsidRPr="009907BB" w:rsidRDefault="009C386F" w:rsidP="009C386F">
      <w:pPr>
        <w:spacing w:after="240" w:line="480" w:lineRule="auto"/>
        <w:jc w:val="center"/>
        <w:rPr>
          <w:b/>
        </w:rPr>
      </w:pPr>
      <w:r w:rsidRPr="009907BB">
        <w:rPr>
          <w:b/>
        </w:rPr>
        <w:lastRenderedPageBreak/>
        <w:t>Supplemental Material</w:t>
      </w:r>
    </w:p>
    <w:p w:rsidR="009C386F" w:rsidRDefault="009C386F" w:rsidP="009C386F"/>
    <w:p w:rsidR="009C386F" w:rsidRPr="003F1C32" w:rsidRDefault="009C386F" w:rsidP="009C386F">
      <w:proofErr w:type="gramStart"/>
      <w:r w:rsidRPr="00A579AB">
        <w:t xml:space="preserve">Supplemental </w:t>
      </w:r>
      <w:r w:rsidRPr="003F1C32">
        <w:t xml:space="preserve">Table </w:t>
      </w:r>
      <w:r>
        <w:t>3</w:t>
      </w:r>
      <w:r w:rsidRPr="003F1C32">
        <w:t>.</w:t>
      </w:r>
      <w:proofErr w:type="gramEnd"/>
      <w:r w:rsidRPr="003F1C32">
        <w:t xml:space="preserve">  Impact of Covariates on </w:t>
      </w:r>
      <w:proofErr w:type="spellStart"/>
      <w:r w:rsidRPr="003F1C32">
        <w:t>Idelalisib</w:t>
      </w:r>
      <w:proofErr w:type="spellEnd"/>
      <w:r w:rsidRPr="003F1C32">
        <w:t xml:space="preserve"> Exposures in Cancer Patients</w:t>
      </w:r>
    </w:p>
    <w:p w:rsidR="009C386F" w:rsidRPr="003F1C32" w:rsidRDefault="009C386F" w:rsidP="009C386F"/>
    <w:tbl>
      <w:tblPr>
        <w:tblW w:w="4963" w:type="pct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081"/>
        <w:gridCol w:w="2261"/>
        <w:gridCol w:w="2261"/>
        <w:gridCol w:w="2187"/>
      </w:tblGrid>
      <w:tr w:rsidR="009C386F" w:rsidRPr="003F1C32" w:rsidTr="00E77176">
        <w:trPr>
          <w:trHeight w:val="346"/>
        </w:trPr>
        <w:tc>
          <w:tcPr>
            <w:tcW w:w="1184" w:type="pct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jc w:val="left"/>
              <w:rPr>
                <w:lang w:val="en-GB"/>
              </w:rPr>
            </w:pPr>
            <w:r w:rsidRPr="003F1C32">
              <w:t>Characteristics</w:t>
            </w:r>
          </w:p>
        </w:tc>
        <w:tc>
          <w:tcPr>
            <w:tcW w:w="3816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Body Weight (kg)</w:t>
            </w:r>
          </w:p>
        </w:tc>
      </w:tr>
      <w:tr w:rsidR="009C386F" w:rsidRPr="003F1C32" w:rsidTr="00E77176">
        <w:trPr>
          <w:trHeight w:val="142"/>
        </w:trPr>
        <w:tc>
          <w:tcPr>
            <w:tcW w:w="1184" w:type="pct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&lt;68</w:t>
            </w: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68-90</w:t>
            </w:r>
          </w:p>
        </w:tc>
        <w:tc>
          <w:tcPr>
            <w:tcW w:w="1244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&gt;90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r w:rsidRPr="003F1C32">
              <w:rPr>
                <w:lang w:val="en-GB"/>
              </w:rPr>
              <w:t>No. of patients (%)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159 (26.54)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276 (46.08)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164 (27.38)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AUC</w:t>
            </w:r>
            <w:proofErr w:type="spellEnd"/>
            <w:r w:rsidRPr="003F1C32">
              <w:rPr>
                <w:lang w:val="en-GB"/>
              </w:rPr>
              <w:t xml:space="preserve"> (hr*ng/mL)*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11567 (6332, 18281)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10232 (5730, 16685)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10267 (5595, 16005)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max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2175 (1077, 3488)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1853 (903, 2881)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1758 (909, 2726)</w:t>
            </w:r>
          </w:p>
        </w:tc>
      </w:tr>
      <w:tr w:rsidR="009C386F" w:rsidRPr="003F1C32" w:rsidTr="00E77176">
        <w:trPr>
          <w:trHeight w:val="358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trough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390 (138, 776)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345 (100, 696)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368 (121, 711)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jc w:val="left"/>
              <w:rPr>
                <w:lang w:val="en-GB"/>
              </w:rPr>
            </w:pPr>
            <w:r w:rsidRPr="003F1C32">
              <w:t>Characteristics</w:t>
            </w:r>
          </w:p>
        </w:tc>
        <w:tc>
          <w:tcPr>
            <w:tcW w:w="3816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Age (year)</w:t>
            </w:r>
          </w:p>
        </w:tc>
      </w:tr>
      <w:tr w:rsidR="009C386F" w:rsidRPr="003F1C32" w:rsidTr="00E77176">
        <w:trPr>
          <w:trHeight w:val="142"/>
        </w:trPr>
        <w:tc>
          <w:tcPr>
            <w:tcW w:w="1184" w:type="pct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&lt;65</w:t>
            </w: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65-75</w:t>
            </w:r>
          </w:p>
        </w:tc>
        <w:tc>
          <w:tcPr>
            <w:tcW w:w="1244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&gt;75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r w:rsidRPr="003F1C32">
              <w:rPr>
                <w:lang w:val="en-GB"/>
              </w:rPr>
              <w:t>No. of patients (%)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212 (35.39)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258 (43.07)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129 (21.54)</w:t>
            </w:r>
          </w:p>
        </w:tc>
      </w:tr>
      <w:tr w:rsidR="009C386F" w:rsidRPr="003F1C32" w:rsidTr="00E77176">
        <w:trPr>
          <w:trHeight w:val="358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AUC</w:t>
            </w:r>
            <w:proofErr w:type="spellEnd"/>
            <w:r w:rsidRPr="003F1C32">
              <w:rPr>
                <w:lang w:val="en-GB"/>
              </w:rPr>
              <w:t xml:space="preserve"> (hr*ng/mL)*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10392 (5663,17527)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10413 (5841,16647)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11298 (6188,17226)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max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1861 (862, 2871)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1910 (999, 2975)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2003 (953, 3462)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trough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357 (115, 731)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349 (104, 702)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403 (163, 773)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jc w:val="left"/>
              <w:rPr>
                <w:lang w:val="en-GB"/>
              </w:rPr>
            </w:pPr>
            <w:r w:rsidRPr="003F1C32">
              <w:t>Characteristics</w:t>
            </w:r>
          </w:p>
        </w:tc>
        <w:tc>
          <w:tcPr>
            <w:tcW w:w="3816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Race</w:t>
            </w:r>
          </w:p>
        </w:tc>
      </w:tr>
      <w:tr w:rsidR="009C386F" w:rsidRPr="003F1C32" w:rsidTr="00E77176">
        <w:trPr>
          <w:trHeight w:val="142"/>
        </w:trPr>
        <w:tc>
          <w:tcPr>
            <w:tcW w:w="1184" w:type="pct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Caucasian</w:t>
            </w: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Non-Caucasian</w:t>
            </w:r>
          </w:p>
        </w:tc>
        <w:tc>
          <w:tcPr>
            <w:tcW w:w="1244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r w:rsidRPr="003F1C32">
              <w:rPr>
                <w:lang w:val="en-GB"/>
              </w:rPr>
              <w:t>No. of patients (%)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520 (86.81)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79 (13.19)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AUC</w:t>
            </w:r>
            <w:proofErr w:type="spellEnd"/>
            <w:r w:rsidRPr="003F1C32">
              <w:rPr>
                <w:lang w:val="en-GB"/>
              </w:rPr>
              <w:t xml:space="preserve"> (hr*ng/mL)*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10575 (5877, 16807)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10737 (5114, 17919)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max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1905 (918, 2953)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1960 (1158, 3038)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trough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363 (117, 710)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364 (97, 746)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58"/>
        </w:trPr>
        <w:tc>
          <w:tcPr>
            <w:tcW w:w="1184" w:type="pct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jc w:val="left"/>
              <w:rPr>
                <w:lang w:val="en-GB"/>
              </w:rPr>
            </w:pPr>
            <w:r w:rsidRPr="003F1C32">
              <w:t>Characteristics</w:t>
            </w:r>
          </w:p>
        </w:tc>
        <w:tc>
          <w:tcPr>
            <w:tcW w:w="3816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Gender</w:t>
            </w:r>
          </w:p>
        </w:tc>
      </w:tr>
      <w:tr w:rsidR="009C386F" w:rsidRPr="003F1C32" w:rsidTr="00E77176">
        <w:trPr>
          <w:trHeight w:val="142"/>
        </w:trPr>
        <w:tc>
          <w:tcPr>
            <w:tcW w:w="1184" w:type="pct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Male</w:t>
            </w: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Female</w:t>
            </w:r>
          </w:p>
        </w:tc>
        <w:tc>
          <w:tcPr>
            <w:tcW w:w="1244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r w:rsidRPr="003F1C32">
              <w:rPr>
                <w:lang w:val="en-GB"/>
              </w:rPr>
              <w:t>No. of patients (%)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404 (67.45)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195 (32.55)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58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AUC</w:t>
            </w:r>
            <w:proofErr w:type="spellEnd"/>
            <w:r w:rsidRPr="003F1C32">
              <w:rPr>
                <w:lang w:val="en-GB"/>
              </w:rPr>
              <w:t xml:space="preserve"> (hr*ng/mL)*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10292 (5595, 16340)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11226 (6270, 18109)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max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1819 (899, 2858)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2107 (1092, 3420)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trough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356 (101, 717)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379 (142, 736)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jc w:val="left"/>
              <w:rPr>
                <w:lang w:val="en-GB"/>
              </w:rPr>
            </w:pPr>
            <w:r w:rsidRPr="003F1C32">
              <w:t>Characteristics</w:t>
            </w:r>
          </w:p>
        </w:tc>
        <w:tc>
          <w:tcPr>
            <w:tcW w:w="3816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Cancer Type</w:t>
            </w:r>
          </w:p>
        </w:tc>
      </w:tr>
      <w:tr w:rsidR="009C386F" w:rsidRPr="003F1C32" w:rsidTr="00E77176">
        <w:trPr>
          <w:trHeight w:val="142"/>
        </w:trPr>
        <w:tc>
          <w:tcPr>
            <w:tcW w:w="1184" w:type="pct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CLL</w:t>
            </w:r>
            <w:proofErr w:type="spellEnd"/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iNHL</w:t>
            </w:r>
            <w:proofErr w:type="spellEnd"/>
          </w:p>
        </w:tc>
        <w:tc>
          <w:tcPr>
            <w:tcW w:w="1244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Other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r w:rsidRPr="003F1C32">
              <w:rPr>
                <w:lang w:val="en-GB"/>
              </w:rPr>
              <w:t>No. of patients (%)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212 (35.39)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258 (43.07)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129 (21.54)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AUC</w:t>
            </w:r>
            <w:proofErr w:type="spellEnd"/>
            <w:r w:rsidRPr="003F1C32">
              <w:rPr>
                <w:lang w:val="en-GB"/>
              </w:rPr>
              <w:t xml:space="preserve"> (hr*ng/mL)*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10392 (5663,17527)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10413 (5841,16647)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11298 (6188,17226)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lastRenderedPageBreak/>
              <w:t>C</w:t>
            </w:r>
            <w:r w:rsidRPr="003F1C32">
              <w:rPr>
                <w:vertAlign w:val="subscript"/>
                <w:lang w:val="en-GB"/>
              </w:rPr>
              <w:t>max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1861 (862, 2871)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1910 (999, 2975)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2003 (953, 3462)</w:t>
            </w:r>
          </w:p>
        </w:tc>
      </w:tr>
      <w:tr w:rsidR="009C386F" w:rsidRPr="003F1C32" w:rsidTr="00E77176">
        <w:trPr>
          <w:trHeight w:val="358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trough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357 (115, 731)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349 (104, 702)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403 (163, 773)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jc w:val="left"/>
              <w:rPr>
                <w:lang w:val="en-GB"/>
              </w:rPr>
            </w:pPr>
            <w:r w:rsidRPr="003F1C32">
              <w:t>Characteristics</w:t>
            </w:r>
          </w:p>
        </w:tc>
        <w:tc>
          <w:tcPr>
            <w:tcW w:w="3816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Rituximab</w:t>
            </w:r>
            <w:proofErr w:type="spellEnd"/>
            <w:r w:rsidRPr="003F1C32">
              <w:rPr>
                <w:lang w:val="en-GB"/>
              </w:rPr>
              <w:t xml:space="preserve"> Usage</w:t>
            </w:r>
          </w:p>
        </w:tc>
      </w:tr>
      <w:tr w:rsidR="009C386F" w:rsidRPr="003F1C32" w:rsidTr="00E77176">
        <w:trPr>
          <w:trHeight w:val="142"/>
        </w:trPr>
        <w:tc>
          <w:tcPr>
            <w:tcW w:w="1184" w:type="pct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No</w:t>
            </w: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Yes</w:t>
            </w:r>
          </w:p>
        </w:tc>
        <w:tc>
          <w:tcPr>
            <w:tcW w:w="1244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r w:rsidRPr="003F1C32">
              <w:rPr>
                <w:lang w:val="en-GB"/>
              </w:rPr>
              <w:t>No. of patients (%)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486 (81.14)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113 (18.86)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AUC</w:t>
            </w:r>
            <w:proofErr w:type="spellEnd"/>
            <w:r w:rsidRPr="003F1C32">
              <w:rPr>
                <w:lang w:val="en-GB"/>
              </w:rPr>
              <w:t xml:space="preserve"> (hr*ng/mL)*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10683 (5774, 17175)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10220 (5887, 16359)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max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1947 (939, 3069)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1764 (867, 2669)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trough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365 (116, 717)</w:t>
            </w:r>
          </w:p>
        </w:tc>
        <w:tc>
          <w:tcPr>
            <w:tcW w:w="1286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  <w:r w:rsidRPr="003F1C32">
              <w:t>355 (118, 737)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</w:tbl>
    <w:p w:rsidR="009C386F" w:rsidRPr="003F1C32" w:rsidRDefault="009C386F" w:rsidP="009C386F">
      <w:pPr>
        <w:rPr>
          <w:b/>
        </w:rPr>
      </w:pPr>
    </w:p>
    <w:p w:rsidR="009C386F" w:rsidRPr="003F1C32" w:rsidRDefault="009C386F" w:rsidP="009C386F">
      <w:pPr>
        <w:rPr>
          <w:b/>
        </w:rPr>
      </w:pPr>
      <w:r w:rsidRPr="003F1C32">
        <w:rPr>
          <w:b/>
        </w:rPr>
        <w:br w:type="page"/>
      </w:r>
    </w:p>
    <w:p w:rsidR="009C386F" w:rsidRPr="009907BB" w:rsidRDefault="009C386F" w:rsidP="009C386F">
      <w:pPr>
        <w:spacing w:after="240" w:line="480" w:lineRule="auto"/>
        <w:jc w:val="center"/>
        <w:rPr>
          <w:b/>
        </w:rPr>
      </w:pPr>
      <w:r w:rsidRPr="009907BB">
        <w:rPr>
          <w:b/>
        </w:rPr>
        <w:lastRenderedPageBreak/>
        <w:t>Supplemental Material</w:t>
      </w:r>
    </w:p>
    <w:p w:rsidR="009C386F" w:rsidRDefault="009C386F" w:rsidP="009C386F"/>
    <w:p w:rsidR="009C386F" w:rsidRPr="003F1C32" w:rsidRDefault="009C386F" w:rsidP="009C386F">
      <w:proofErr w:type="gramStart"/>
      <w:r w:rsidRPr="00A579AB">
        <w:t xml:space="preserve">Supplemental </w:t>
      </w:r>
      <w:r w:rsidRPr="003F1C32">
        <w:t xml:space="preserve">Table </w:t>
      </w:r>
      <w:r>
        <w:t>4</w:t>
      </w:r>
      <w:r w:rsidRPr="003F1C32">
        <w:t>.</w:t>
      </w:r>
      <w:proofErr w:type="gramEnd"/>
      <w:r w:rsidRPr="003F1C32">
        <w:t xml:space="preserve">  Impact of Covariates on GS-563117 Exposures in Cancer Patients</w:t>
      </w:r>
    </w:p>
    <w:p w:rsidR="009C386F" w:rsidRPr="003F1C32" w:rsidRDefault="009C386F" w:rsidP="009C386F">
      <w:pPr>
        <w:rPr>
          <w:b/>
        </w:rPr>
      </w:pPr>
    </w:p>
    <w:tbl>
      <w:tblPr>
        <w:tblW w:w="4963" w:type="pct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081"/>
        <w:gridCol w:w="2261"/>
        <w:gridCol w:w="2261"/>
        <w:gridCol w:w="2187"/>
      </w:tblGrid>
      <w:tr w:rsidR="009C386F" w:rsidRPr="003F1C32" w:rsidTr="00E77176">
        <w:trPr>
          <w:trHeight w:val="346"/>
        </w:trPr>
        <w:tc>
          <w:tcPr>
            <w:tcW w:w="1184" w:type="pct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jc w:val="left"/>
              <w:rPr>
                <w:lang w:val="en-GB"/>
              </w:rPr>
            </w:pPr>
            <w:r w:rsidRPr="003F1C32">
              <w:t>Characteristics</w:t>
            </w:r>
          </w:p>
        </w:tc>
        <w:tc>
          <w:tcPr>
            <w:tcW w:w="3816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Body Weight (kg)</w:t>
            </w:r>
          </w:p>
        </w:tc>
      </w:tr>
      <w:tr w:rsidR="009C386F" w:rsidRPr="003F1C32" w:rsidTr="00E77176">
        <w:trPr>
          <w:trHeight w:val="142"/>
        </w:trPr>
        <w:tc>
          <w:tcPr>
            <w:tcW w:w="1184" w:type="pct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&lt;65</w:t>
            </w: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65-88</w:t>
            </w:r>
          </w:p>
        </w:tc>
        <w:tc>
          <w:tcPr>
            <w:tcW w:w="1244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&gt;88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r w:rsidRPr="003F1C32">
              <w:rPr>
                <w:lang w:val="en-GB"/>
              </w:rPr>
              <w:t>No. of patients (%)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58 (23.2)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121 (48.4)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71 (28.4)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AUC</w:t>
            </w:r>
            <w:proofErr w:type="spellEnd"/>
            <w:r w:rsidRPr="003F1C32">
              <w:rPr>
                <w:lang w:val="en-GB"/>
              </w:rPr>
              <w:t xml:space="preserve"> (hr*ng/mL)*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50372 (18277, 99425)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35721 (14475, 65003)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35362 (18748, 63112)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max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5011 (2109, 9571)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3604 (1655, 6589)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3564 (1824, 6507)</w:t>
            </w:r>
          </w:p>
        </w:tc>
      </w:tr>
      <w:tr w:rsidR="009C386F" w:rsidRPr="003F1C32" w:rsidTr="00E77176">
        <w:trPr>
          <w:trHeight w:val="358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trough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3260 (928, 6676)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2264 (703, 4256)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2245 (1126, 4257)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jc w:val="left"/>
              <w:rPr>
                <w:lang w:val="en-GB"/>
              </w:rPr>
            </w:pPr>
            <w:r w:rsidRPr="003F1C32">
              <w:t>Characteristics</w:t>
            </w:r>
          </w:p>
        </w:tc>
        <w:tc>
          <w:tcPr>
            <w:tcW w:w="3816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Age (year)</w:t>
            </w:r>
          </w:p>
        </w:tc>
      </w:tr>
      <w:tr w:rsidR="009C386F" w:rsidRPr="003F1C32" w:rsidTr="00E77176">
        <w:trPr>
          <w:trHeight w:val="142"/>
        </w:trPr>
        <w:tc>
          <w:tcPr>
            <w:tcW w:w="1184" w:type="pct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&lt;65</w:t>
            </w: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65-75</w:t>
            </w:r>
          </w:p>
        </w:tc>
        <w:tc>
          <w:tcPr>
            <w:tcW w:w="1244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&gt;75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r w:rsidRPr="003F1C32">
              <w:rPr>
                <w:lang w:val="en-GB"/>
              </w:rPr>
              <w:t>No. of patients (%)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105 (42.0)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107 (42.8)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38 (15.2)</w:t>
            </w:r>
          </w:p>
        </w:tc>
      </w:tr>
      <w:tr w:rsidR="009C386F" w:rsidRPr="003F1C32" w:rsidTr="00E77176">
        <w:trPr>
          <w:trHeight w:val="358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AUC</w:t>
            </w:r>
            <w:proofErr w:type="spellEnd"/>
            <w:r w:rsidRPr="003F1C32">
              <w:rPr>
                <w:lang w:val="en-GB"/>
              </w:rPr>
              <w:t xml:space="preserve"> (hr*ng/mL)*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40473 (16969, 72935)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35564 (14165, 67877)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44723 (18221, 95704)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max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4088 (1882, 7365)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3597 (1665, 6560)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4358 (1791, 8950)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trough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2565 (943, 4557)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2245 (616, 4369)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2968 (1129, 6384)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jc w:val="left"/>
              <w:rPr>
                <w:lang w:val="en-GB"/>
              </w:rPr>
            </w:pPr>
            <w:r w:rsidRPr="003F1C32">
              <w:t>Characteristics</w:t>
            </w:r>
          </w:p>
        </w:tc>
        <w:tc>
          <w:tcPr>
            <w:tcW w:w="3816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Race</w:t>
            </w:r>
          </w:p>
        </w:tc>
      </w:tr>
      <w:tr w:rsidR="009C386F" w:rsidRPr="003F1C32" w:rsidTr="00E77176">
        <w:trPr>
          <w:trHeight w:val="142"/>
        </w:trPr>
        <w:tc>
          <w:tcPr>
            <w:tcW w:w="1184" w:type="pct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Caucasian</w:t>
            </w: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Non-Caucasian</w:t>
            </w:r>
          </w:p>
        </w:tc>
        <w:tc>
          <w:tcPr>
            <w:tcW w:w="1244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r w:rsidRPr="003F1C32">
              <w:rPr>
                <w:lang w:val="en-GB"/>
              </w:rPr>
              <w:t>No. of patients (%)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225 (90)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25 (10)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AUC</w:t>
            </w:r>
            <w:proofErr w:type="spellEnd"/>
            <w:r w:rsidRPr="003F1C32">
              <w:rPr>
                <w:lang w:val="en-GB"/>
              </w:rPr>
              <w:t xml:space="preserve"> (hr*ng/mL)*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38746 (16961, 72951)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41466 (13525, 90968)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max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3902 (1811, 7221)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4067 (1577, 8897)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trough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2463 (899, 4642)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2731 (556, 5985)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58"/>
        </w:trPr>
        <w:tc>
          <w:tcPr>
            <w:tcW w:w="1184" w:type="pct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jc w:val="left"/>
              <w:rPr>
                <w:lang w:val="en-GB"/>
              </w:rPr>
            </w:pPr>
            <w:r w:rsidRPr="003F1C32">
              <w:t>Characteristics</w:t>
            </w:r>
          </w:p>
        </w:tc>
        <w:tc>
          <w:tcPr>
            <w:tcW w:w="3816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Gender</w:t>
            </w:r>
          </w:p>
        </w:tc>
      </w:tr>
      <w:tr w:rsidR="009C386F" w:rsidRPr="003F1C32" w:rsidTr="00E77176">
        <w:trPr>
          <w:trHeight w:val="142"/>
        </w:trPr>
        <w:tc>
          <w:tcPr>
            <w:tcW w:w="1184" w:type="pct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Male</w:t>
            </w: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Female</w:t>
            </w:r>
          </w:p>
        </w:tc>
        <w:tc>
          <w:tcPr>
            <w:tcW w:w="1244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r w:rsidRPr="003F1C32">
              <w:rPr>
                <w:lang w:val="en-GB"/>
              </w:rPr>
              <w:t>No. of patients (%)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160 (64)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90 (36)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58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AUC</w:t>
            </w:r>
            <w:proofErr w:type="spellEnd"/>
            <w:r w:rsidRPr="003F1C32">
              <w:rPr>
                <w:lang w:val="en-GB"/>
              </w:rPr>
              <w:t xml:space="preserve"> (hr*ng/mL)*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38123 (16710, 74792)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40610 (16931, 72178)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max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3796 (1729, 7592)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4137 (1935, 7174)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trough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2458 (913, 4681)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2546 (749, 4848)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jc w:val="left"/>
              <w:rPr>
                <w:lang w:val="en-GB"/>
              </w:rPr>
            </w:pPr>
            <w:r w:rsidRPr="003F1C32">
              <w:t>Characteristics</w:t>
            </w:r>
          </w:p>
        </w:tc>
        <w:tc>
          <w:tcPr>
            <w:tcW w:w="3816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Cancer Type</w:t>
            </w:r>
          </w:p>
        </w:tc>
      </w:tr>
      <w:tr w:rsidR="009C386F" w:rsidRPr="003F1C32" w:rsidTr="00E77176">
        <w:trPr>
          <w:trHeight w:val="142"/>
        </w:trPr>
        <w:tc>
          <w:tcPr>
            <w:tcW w:w="1184" w:type="pct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CLL</w:t>
            </w:r>
            <w:proofErr w:type="spellEnd"/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iNHL</w:t>
            </w:r>
            <w:proofErr w:type="spellEnd"/>
          </w:p>
        </w:tc>
        <w:tc>
          <w:tcPr>
            <w:tcW w:w="1244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Other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r w:rsidRPr="003F1C32">
              <w:rPr>
                <w:lang w:val="en-GB"/>
              </w:rPr>
              <w:t>No. of patients (%)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71 (28.4)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137 (54.8)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42 (16.8)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AUC</w:t>
            </w:r>
            <w:proofErr w:type="spellEnd"/>
            <w:r w:rsidRPr="003F1C32">
              <w:rPr>
                <w:lang w:val="en-GB"/>
              </w:rPr>
              <w:t xml:space="preserve"> (hr*ng/mL)*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33684 (13447, 65608)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39307 (17108, 72397)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47093 (20604, 78556)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lastRenderedPageBreak/>
              <w:t>C</w:t>
            </w:r>
            <w:r w:rsidRPr="003F1C32">
              <w:rPr>
                <w:vertAlign w:val="subscript"/>
                <w:lang w:val="en-GB"/>
              </w:rPr>
              <w:t>max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3348 (1516, 6540)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3970 (1956, 7209)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4719 (2138, 8163)</w:t>
            </w:r>
          </w:p>
        </w:tc>
      </w:tr>
      <w:tr w:rsidR="009C386F" w:rsidRPr="003F1C32" w:rsidTr="00E77176">
        <w:trPr>
          <w:trHeight w:val="358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trough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2194 (554, 4293)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2479 (947, 4649)</w:t>
            </w:r>
          </w:p>
        </w:tc>
        <w:tc>
          <w:tcPr>
            <w:tcW w:w="1244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3022 (1153, 5201)</w:t>
            </w: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jc w:val="left"/>
              <w:rPr>
                <w:lang w:val="en-GB"/>
              </w:rPr>
            </w:pPr>
            <w:r w:rsidRPr="003F1C32">
              <w:t>Characteristics</w:t>
            </w:r>
          </w:p>
        </w:tc>
        <w:tc>
          <w:tcPr>
            <w:tcW w:w="3816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Rituximab</w:t>
            </w:r>
            <w:proofErr w:type="spellEnd"/>
            <w:r w:rsidRPr="003F1C32">
              <w:rPr>
                <w:lang w:val="en-GB"/>
              </w:rPr>
              <w:t xml:space="preserve"> Usage</w:t>
            </w:r>
          </w:p>
        </w:tc>
      </w:tr>
      <w:tr w:rsidR="009C386F" w:rsidRPr="003F1C32" w:rsidTr="00E77176">
        <w:trPr>
          <w:trHeight w:val="142"/>
        </w:trPr>
        <w:tc>
          <w:tcPr>
            <w:tcW w:w="1184" w:type="pct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No</w:t>
            </w:r>
          </w:p>
        </w:tc>
        <w:tc>
          <w:tcPr>
            <w:tcW w:w="1286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  <w:r w:rsidRPr="003F1C32">
              <w:rPr>
                <w:lang w:val="en-GB"/>
              </w:rPr>
              <w:t>Yes</w:t>
            </w:r>
          </w:p>
        </w:tc>
        <w:tc>
          <w:tcPr>
            <w:tcW w:w="1244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C386F" w:rsidRPr="003F1C32" w:rsidRDefault="009C386F" w:rsidP="00E77176">
            <w:pPr>
              <w:pStyle w:val="Table-Heading"/>
              <w:rPr>
                <w:lang w:val="en-GB"/>
              </w:rPr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r w:rsidRPr="003F1C32">
              <w:rPr>
                <w:lang w:val="en-GB"/>
              </w:rPr>
              <w:t>No. of patients (%)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186 (74.4)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64 (25.6)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AUC</w:t>
            </w:r>
            <w:proofErr w:type="spellEnd"/>
            <w:r w:rsidRPr="003F1C32">
              <w:rPr>
                <w:lang w:val="en-GB"/>
              </w:rPr>
              <w:t xml:space="preserve"> (hr*ng/mL)*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41298 (17537, 74115)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32393 (13428, 63900)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max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4139 (1912, 7545)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3280 (1493, 6362)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  <w:tr w:rsidR="009C386F" w:rsidRPr="003F1C32" w:rsidTr="00E77176">
        <w:trPr>
          <w:trHeight w:val="346"/>
        </w:trPr>
        <w:tc>
          <w:tcPr>
            <w:tcW w:w="118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Left"/>
              <w:rPr>
                <w:lang w:val="en-GB"/>
              </w:rPr>
            </w:pPr>
            <w:proofErr w:type="spellStart"/>
            <w:r w:rsidRPr="003F1C32">
              <w:rPr>
                <w:lang w:val="en-GB"/>
              </w:rPr>
              <w:t>C</w:t>
            </w:r>
            <w:r w:rsidRPr="003F1C32">
              <w:rPr>
                <w:vertAlign w:val="subscript"/>
                <w:lang w:val="en-GB"/>
              </w:rPr>
              <w:t>trough</w:t>
            </w:r>
            <w:proofErr w:type="spellEnd"/>
            <w:r w:rsidRPr="003F1C32">
              <w:rPr>
                <w:lang w:val="en-GB"/>
              </w:rPr>
              <w:t xml:space="preserve"> (ng/mL)*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2642 (952, 5047)</w:t>
            </w:r>
          </w:p>
        </w:tc>
        <w:tc>
          <w:tcPr>
            <w:tcW w:w="1286" w:type="pct"/>
            <w:shd w:val="clear" w:color="auto" w:fill="auto"/>
            <w:vAlign w:val="bottom"/>
          </w:tcPr>
          <w:p w:rsidR="009C386F" w:rsidRPr="003F1C32" w:rsidRDefault="009C386F" w:rsidP="00E77176">
            <w:pPr>
              <w:pStyle w:val="TableCenter"/>
            </w:pPr>
            <w:r w:rsidRPr="003F1C32">
              <w:t>2046 (512, 4242)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9C386F" w:rsidRPr="003F1C32" w:rsidRDefault="009C386F" w:rsidP="00E77176">
            <w:pPr>
              <w:pStyle w:val="TableCenter"/>
            </w:pPr>
          </w:p>
        </w:tc>
      </w:tr>
    </w:tbl>
    <w:p w:rsidR="009C386F" w:rsidRDefault="009C386F" w:rsidP="009C386F">
      <w:pPr>
        <w:spacing w:after="240" w:line="480" w:lineRule="auto"/>
      </w:pPr>
      <w:r>
        <w:br w:type="page"/>
      </w:r>
    </w:p>
    <w:p w:rsidR="009C386F" w:rsidRPr="009907BB" w:rsidRDefault="009C386F" w:rsidP="009C386F">
      <w:pPr>
        <w:spacing w:after="240" w:line="480" w:lineRule="auto"/>
        <w:jc w:val="center"/>
        <w:rPr>
          <w:b/>
        </w:rPr>
      </w:pPr>
      <w:r w:rsidRPr="009907BB">
        <w:rPr>
          <w:b/>
        </w:rPr>
        <w:lastRenderedPageBreak/>
        <w:t>Supplemental Material</w:t>
      </w:r>
    </w:p>
    <w:p w:rsidR="009C386F" w:rsidRDefault="009C386F" w:rsidP="009C386F"/>
    <w:p w:rsidR="009C386F" w:rsidRDefault="009C386F" w:rsidP="009C386F">
      <w:r>
        <w:t xml:space="preserve">Supplement Figure 1. </w:t>
      </w:r>
      <w:proofErr w:type="spellStart"/>
      <w:r>
        <w:t>Idelalisib</w:t>
      </w:r>
      <w:proofErr w:type="spellEnd"/>
      <w:r>
        <w:t xml:space="preserve"> chemical structure</w:t>
      </w:r>
      <w:r w:rsidRPr="003F1C32">
        <w:t xml:space="preserve"> </w:t>
      </w:r>
    </w:p>
    <w:p w:rsidR="009C386F" w:rsidRDefault="009C386F" w:rsidP="009C386F"/>
    <w:p w:rsidR="009C386F" w:rsidRDefault="009C386F" w:rsidP="009C386F">
      <w:r w:rsidRPr="00B12D0C">
        <w:rPr>
          <w:lang w:eastAsia="en-IN"/>
        </w:rPr>
        <w:drawing>
          <wp:inline distT="0" distB="0" distL="0" distR="0">
            <wp:extent cx="2416628" cy="2537173"/>
            <wp:effectExtent l="0" t="0" r="3175" b="0"/>
            <wp:docPr id="4" name="Picture 2" descr="C:\Users\fjin\AppData\Local\Microsoft\Windows\Temporary Internet Files\Content.Outlook\OIKUQH5E\Fig 1 (2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fjin\AppData\Local\Microsoft\Windows\Temporary Internet Files\Content.Outlook\OIKUQH5E\Fig 1 (2)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67" cy="25372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C386F" w:rsidRDefault="009C386F" w:rsidP="009C386F">
      <w:r>
        <w:br w:type="page"/>
      </w:r>
    </w:p>
    <w:p w:rsidR="009C386F" w:rsidRPr="009907BB" w:rsidRDefault="009C386F" w:rsidP="009C386F">
      <w:pPr>
        <w:spacing w:after="240" w:line="480" w:lineRule="auto"/>
        <w:jc w:val="center"/>
        <w:rPr>
          <w:b/>
        </w:rPr>
      </w:pPr>
      <w:r w:rsidRPr="009907BB">
        <w:rPr>
          <w:b/>
        </w:rPr>
        <w:lastRenderedPageBreak/>
        <w:t>Supplemental Material</w:t>
      </w:r>
    </w:p>
    <w:p w:rsidR="009C386F" w:rsidRDefault="009C386F" w:rsidP="009C386F"/>
    <w:p w:rsidR="009C386F" w:rsidRDefault="009C386F" w:rsidP="009C386F">
      <w:r>
        <w:t xml:space="preserve">Supplement Figure 2. </w:t>
      </w:r>
      <w:proofErr w:type="spellStart"/>
      <w:r>
        <w:t>Idelalisib</w:t>
      </w:r>
      <w:proofErr w:type="spellEnd"/>
      <w:r>
        <w:t xml:space="preserve"> s</w:t>
      </w:r>
      <w:r w:rsidRPr="003F1C32">
        <w:t xml:space="preserve">tructural </w:t>
      </w:r>
      <w:proofErr w:type="spellStart"/>
      <w:r w:rsidRPr="003F1C32">
        <w:t>PopPK</w:t>
      </w:r>
      <w:proofErr w:type="spellEnd"/>
      <w:r w:rsidRPr="003F1C32">
        <w:t xml:space="preserve"> model</w:t>
      </w:r>
    </w:p>
    <w:p w:rsidR="009C386F" w:rsidRDefault="009C386F" w:rsidP="009C386F"/>
    <w:p w:rsidR="009C386F" w:rsidRDefault="009C386F" w:rsidP="009C386F">
      <w:r>
        <w:rPr>
          <w:lang w:eastAsia="en-IN"/>
        </w:rPr>
        <w:drawing>
          <wp:inline distT="0" distB="0" distL="0" distR="0">
            <wp:extent cx="5563870" cy="2244725"/>
            <wp:effectExtent l="0" t="0" r="0" b="0"/>
            <wp:docPr id="5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2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C386F" w:rsidRPr="009907BB" w:rsidRDefault="009C386F" w:rsidP="009C386F">
      <w:pPr>
        <w:spacing w:after="240" w:line="480" w:lineRule="auto"/>
        <w:jc w:val="center"/>
        <w:rPr>
          <w:b/>
        </w:rPr>
      </w:pPr>
      <w:r w:rsidRPr="009907BB">
        <w:rPr>
          <w:b/>
        </w:rPr>
        <w:lastRenderedPageBreak/>
        <w:t>Supplemental Material</w:t>
      </w:r>
    </w:p>
    <w:p w:rsidR="009C386F" w:rsidRDefault="009C386F" w:rsidP="009C386F"/>
    <w:p w:rsidR="009C386F" w:rsidRDefault="009C386F" w:rsidP="009C386F">
      <w:r>
        <w:t>Supplement Figure 3.</w:t>
      </w:r>
      <w:r w:rsidRPr="006A688F">
        <w:t xml:space="preserve"> </w:t>
      </w:r>
      <w:r>
        <w:t>GS-563117 p</w:t>
      </w:r>
      <w:r w:rsidRPr="006A688F">
        <w:t xml:space="preserve">redicted versus observed goodness-of-fit plots </w:t>
      </w:r>
    </w:p>
    <w:p w:rsidR="009C386F" w:rsidRDefault="009C386F" w:rsidP="009C386F"/>
    <w:p w:rsidR="009C386F" w:rsidRDefault="009C386F" w:rsidP="009C386F">
      <w:r w:rsidRPr="00B12D0C">
        <w:t xml:space="preserve"> </w:t>
      </w:r>
      <w:r w:rsidRPr="00BE707F">
        <w:rPr>
          <w:lang w:eastAsia="en-IN"/>
        </w:rPr>
        <w:drawing>
          <wp:inline distT="0" distB="0" distL="0" distR="0">
            <wp:extent cx="3786692" cy="2926080"/>
            <wp:effectExtent l="0" t="0" r="0" b="0"/>
            <wp:docPr id="7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92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6F" w:rsidRDefault="009C386F" w:rsidP="009C386F">
      <w:r>
        <w:br w:type="page"/>
      </w:r>
    </w:p>
    <w:p w:rsidR="009C386F" w:rsidRPr="009907BB" w:rsidRDefault="009C386F" w:rsidP="009C386F">
      <w:pPr>
        <w:spacing w:after="240" w:line="480" w:lineRule="auto"/>
        <w:jc w:val="center"/>
        <w:rPr>
          <w:b/>
        </w:rPr>
      </w:pPr>
      <w:r w:rsidRPr="009907BB">
        <w:rPr>
          <w:b/>
        </w:rPr>
        <w:lastRenderedPageBreak/>
        <w:t>Supplemental Material</w:t>
      </w:r>
    </w:p>
    <w:p w:rsidR="009C386F" w:rsidRDefault="009C386F" w:rsidP="009C386F"/>
    <w:p w:rsidR="009C386F" w:rsidRDefault="009C386F" w:rsidP="009C386F">
      <w:r>
        <w:t>Supplement Figure 4. GS-563117 r</w:t>
      </w:r>
      <w:r w:rsidRPr="006A688F">
        <w:t xml:space="preserve">esidual goodness-of-fit plots </w:t>
      </w:r>
    </w:p>
    <w:p w:rsidR="009C386F" w:rsidRDefault="009C386F" w:rsidP="009C386F">
      <w:r w:rsidRPr="00BE707F">
        <w:rPr>
          <w:lang w:eastAsia="en-IN"/>
        </w:rPr>
        <w:drawing>
          <wp:inline distT="0" distB="0" distL="0" distR="0">
            <wp:extent cx="3786692" cy="2926080"/>
            <wp:effectExtent l="0" t="0" r="0" b="0"/>
            <wp:docPr id="8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92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C386F" w:rsidRPr="009907BB" w:rsidRDefault="009C386F" w:rsidP="009C386F">
      <w:pPr>
        <w:spacing w:after="240" w:line="480" w:lineRule="auto"/>
        <w:jc w:val="center"/>
        <w:rPr>
          <w:b/>
        </w:rPr>
      </w:pPr>
      <w:r w:rsidRPr="009907BB">
        <w:rPr>
          <w:b/>
        </w:rPr>
        <w:lastRenderedPageBreak/>
        <w:t>Supplemental Material</w:t>
      </w:r>
    </w:p>
    <w:p w:rsidR="009C386F" w:rsidRDefault="009C386F" w:rsidP="009C386F"/>
    <w:p w:rsidR="009C386F" w:rsidRDefault="009C386F" w:rsidP="009C386F">
      <w:r>
        <w:t xml:space="preserve">Supplement Figure 5. </w:t>
      </w:r>
      <w:proofErr w:type="spellStart"/>
      <w:r w:rsidRPr="006A688F">
        <w:t>VPC</w:t>
      </w:r>
      <w:proofErr w:type="spellEnd"/>
      <w:r w:rsidRPr="006A688F">
        <w:t xml:space="preserve"> of </w:t>
      </w:r>
      <w:proofErr w:type="spellStart"/>
      <w:r>
        <w:t>idelalisib</w:t>
      </w:r>
      <w:proofErr w:type="spellEnd"/>
      <w:r>
        <w:t xml:space="preserve"> </w:t>
      </w:r>
      <w:r w:rsidRPr="006A688F">
        <w:t xml:space="preserve">plasma concentration-time profiles for single dose of </w:t>
      </w:r>
      <w:proofErr w:type="spellStart"/>
      <w:r>
        <w:t>idelalisib</w:t>
      </w:r>
      <w:proofErr w:type="spellEnd"/>
      <w:r w:rsidRPr="006A688F">
        <w:t xml:space="preserve"> stratified by treatment group</w:t>
      </w:r>
    </w:p>
    <w:p w:rsidR="009C386F" w:rsidRDefault="009C386F" w:rsidP="009C386F"/>
    <w:p w:rsidR="009C386F" w:rsidRDefault="009C386F" w:rsidP="009C386F">
      <w:r>
        <w:rPr>
          <w:lang w:eastAsia="en-IN"/>
        </w:rPr>
        <w:drawing>
          <wp:inline distT="0" distB="0" distL="0" distR="0">
            <wp:extent cx="5492115" cy="424561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6F" w:rsidRDefault="009C386F" w:rsidP="009C386F">
      <w:r>
        <w:br w:type="page"/>
      </w:r>
    </w:p>
    <w:p w:rsidR="009C386F" w:rsidRPr="009907BB" w:rsidRDefault="009C386F" w:rsidP="009C386F">
      <w:pPr>
        <w:spacing w:after="240" w:line="480" w:lineRule="auto"/>
        <w:jc w:val="center"/>
        <w:rPr>
          <w:b/>
        </w:rPr>
      </w:pPr>
      <w:r w:rsidRPr="009907BB">
        <w:rPr>
          <w:b/>
        </w:rPr>
        <w:lastRenderedPageBreak/>
        <w:t>Supplemental Material</w:t>
      </w:r>
    </w:p>
    <w:p w:rsidR="009C386F" w:rsidRDefault="009C386F" w:rsidP="009C386F"/>
    <w:p w:rsidR="009C386F" w:rsidRDefault="009C386F" w:rsidP="009C386F">
      <w:r>
        <w:t xml:space="preserve">Supplement Figure 6. </w:t>
      </w:r>
      <w:proofErr w:type="spellStart"/>
      <w:r w:rsidRPr="006A688F">
        <w:t>VPC</w:t>
      </w:r>
      <w:proofErr w:type="spellEnd"/>
      <w:r w:rsidRPr="006A688F">
        <w:t xml:space="preserve"> of </w:t>
      </w:r>
      <w:proofErr w:type="spellStart"/>
      <w:r>
        <w:t>idelalisib</w:t>
      </w:r>
      <w:proofErr w:type="spellEnd"/>
      <w:r w:rsidRPr="006A688F">
        <w:t xml:space="preserve"> plasma concentration-time profiles for once daily of </w:t>
      </w:r>
      <w:proofErr w:type="spellStart"/>
      <w:r>
        <w:t>idelalisib</w:t>
      </w:r>
      <w:proofErr w:type="spellEnd"/>
      <w:r w:rsidRPr="006A688F">
        <w:t xml:space="preserve"> stratified by treatment group</w:t>
      </w:r>
    </w:p>
    <w:p w:rsidR="009C386F" w:rsidRDefault="009C386F" w:rsidP="009C386F"/>
    <w:p w:rsidR="009C386F" w:rsidRDefault="009C386F" w:rsidP="009C386F">
      <w:r>
        <w:rPr>
          <w:lang w:eastAsia="en-IN"/>
        </w:rPr>
        <w:drawing>
          <wp:inline distT="0" distB="0" distL="0" distR="0">
            <wp:extent cx="5486400" cy="423926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6F" w:rsidRDefault="009C386F" w:rsidP="009C386F">
      <w:r>
        <w:br w:type="page"/>
      </w:r>
    </w:p>
    <w:p w:rsidR="009C386F" w:rsidRPr="009907BB" w:rsidRDefault="009C386F" w:rsidP="009C386F">
      <w:pPr>
        <w:spacing w:after="240" w:line="480" w:lineRule="auto"/>
        <w:jc w:val="center"/>
        <w:rPr>
          <w:b/>
        </w:rPr>
      </w:pPr>
      <w:r w:rsidRPr="009907BB">
        <w:rPr>
          <w:b/>
        </w:rPr>
        <w:lastRenderedPageBreak/>
        <w:t>Supplemental Material</w:t>
      </w:r>
    </w:p>
    <w:p w:rsidR="009C386F" w:rsidRDefault="009C386F" w:rsidP="009C386F"/>
    <w:p w:rsidR="009C386F" w:rsidRDefault="009C386F" w:rsidP="009C386F">
      <w:r>
        <w:t xml:space="preserve">Supplement Figure 7. </w:t>
      </w:r>
      <w:proofErr w:type="spellStart"/>
      <w:r w:rsidRPr="006A688F">
        <w:t>VPC</w:t>
      </w:r>
      <w:proofErr w:type="spellEnd"/>
      <w:r w:rsidRPr="006A688F">
        <w:t xml:space="preserve"> of </w:t>
      </w:r>
      <w:proofErr w:type="spellStart"/>
      <w:r>
        <w:t>idelalisib</w:t>
      </w:r>
      <w:proofErr w:type="spellEnd"/>
      <w:r w:rsidRPr="006A688F">
        <w:t xml:space="preserve"> plasma concentration-time profiles for twice daily of </w:t>
      </w:r>
      <w:proofErr w:type="spellStart"/>
      <w:r>
        <w:t>idelalisib</w:t>
      </w:r>
      <w:proofErr w:type="spellEnd"/>
      <w:r w:rsidRPr="006A688F">
        <w:t xml:space="preserve"> stratified by treatment group</w:t>
      </w:r>
    </w:p>
    <w:p w:rsidR="009C386F" w:rsidRDefault="009C386F" w:rsidP="009C386F"/>
    <w:p w:rsidR="009C386F" w:rsidRDefault="009C386F" w:rsidP="009C386F">
      <w:r>
        <w:rPr>
          <w:lang w:eastAsia="en-IN"/>
        </w:rPr>
        <w:drawing>
          <wp:inline distT="0" distB="0" distL="0" distR="0">
            <wp:extent cx="5486400" cy="4239260"/>
            <wp:effectExtent l="0" t="0" r="0" b="889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6F" w:rsidRDefault="009C386F" w:rsidP="009C386F"/>
    <w:p w:rsidR="009C386F" w:rsidRDefault="009C386F" w:rsidP="009C386F">
      <w:r>
        <w:br w:type="page"/>
      </w:r>
    </w:p>
    <w:p w:rsidR="009C386F" w:rsidRPr="009907BB" w:rsidRDefault="009C386F" w:rsidP="009C386F">
      <w:pPr>
        <w:spacing w:after="240" w:line="480" w:lineRule="auto"/>
        <w:jc w:val="center"/>
        <w:rPr>
          <w:b/>
        </w:rPr>
      </w:pPr>
      <w:r w:rsidRPr="009907BB">
        <w:rPr>
          <w:b/>
        </w:rPr>
        <w:lastRenderedPageBreak/>
        <w:t>Supplemental Material</w:t>
      </w:r>
    </w:p>
    <w:p w:rsidR="009C386F" w:rsidRDefault="009C386F" w:rsidP="009C386F">
      <w:bookmarkStart w:id="0" w:name="_GoBack"/>
      <w:bookmarkEnd w:id="0"/>
    </w:p>
    <w:p w:rsidR="009C386F" w:rsidRDefault="009C386F" w:rsidP="009C386F">
      <w:r>
        <w:t xml:space="preserve">Control Stream of Final </w:t>
      </w:r>
      <w:proofErr w:type="spellStart"/>
      <w:r>
        <w:t>Idelalisib</w:t>
      </w:r>
      <w:proofErr w:type="spellEnd"/>
      <w:r>
        <w:t xml:space="preserve"> Model </w:t>
      </w:r>
    </w:p>
    <w:p w:rsidR="009C386F" w:rsidRDefault="009C386F" w:rsidP="009C386F"/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>;##############################################################################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;Project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Name: GS-1101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PopPK</w:t>
      </w:r>
      <w:proofErr w:type="spellEnd"/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;Project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ID: pop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PK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analysis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NONMEM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VII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;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Kineticist</w:t>
      </w:r>
      <w:proofErr w:type="spellEnd"/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: Christine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Yuying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Gao  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;Model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Description: 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;      2-COMP LINEAR MODEL,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LNCN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w additive ERR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>;##############################################################################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$PROB Population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PK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Analysis for GS-1101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$INPUT C ID STUDY </w:t>
      </w:r>
      <w:proofErr w:type="spellStart"/>
      <w:r>
        <w:rPr>
          <w:rFonts w:ascii="Courier New" w:hAnsi="Courier New" w:cs="Courier New"/>
          <w:sz w:val="18"/>
          <w:szCs w:val="18"/>
          <w:lang w:val="en-GB"/>
        </w:rPr>
        <w:t>SUJID</w:t>
      </w:r>
      <w:proofErr w:type="spellEnd"/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SID DROP HOUR TIME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NTIME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AMT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ADDL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II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EVID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CONC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MDV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DROP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DROP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TSLD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DV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AGE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SEXF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RACE PAT DIS WT BMI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BSA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CLCR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FORM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BACKTX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DROP FAST DOSE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REGIM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DROP AST ALT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ROWC</w:t>
      </w:r>
      <w:proofErr w:type="spellEnd"/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$DATA pkinput1101.csv 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 IGNORE=C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$SUBROUTINE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ADVAN4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TRANS4</w:t>
      </w:r>
      <w:proofErr w:type="spellEnd"/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>$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PK</w:t>
      </w:r>
      <w:proofErr w:type="spellEnd"/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; 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covariate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relationship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; PAT: 1=patient; 2=heathy subject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CLT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THETA(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1)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IF (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PAT.EQ.2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)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CLT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THETA(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8)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QT=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THETA(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3)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IF (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PAT.EQ.2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) QT=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THETA(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9)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FWT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=WT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IF (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ID.EQ.161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)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FWT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=75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IF (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ID.EQ.211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)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FWT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=75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IF (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ID.EQ.421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)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FWT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=75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IF (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ID.EQ.434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)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FWT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=75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IF (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ID.EQ.480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)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FWT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=75</w:t>
      </w:r>
    </w:p>
    <w:p w:rsidR="009C386F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SWT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THETA(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10)*LOG(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FWT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/75)</w:t>
      </w:r>
    </w:p>
    <w:p w:rsidR="009C386F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; </w:t>
      </w:r>
      <w:proofErr w:type="spellStart"/>
      <w:r>
        <w:rPr>
          <w:rFonts w:ascii="Courier New" w:hAnsi="Courier New" w:cs="Courier New"/>
          <w:sz w:val="18"/>
          <w:szCs w:val="18"/>
          <w:lang w:val="en-GB"/>
        </w:rPr>
        <w:t>PK</w:t>
      </w:r>
      <w:proofErr w:type="spellEnd"/>
      <w:r>
        <w:rPr>
          <w:rFonts w:ascii="Courier New" w:hAnsi="Courier New" w:cs="Courier New"/>
          <w:sz w:val="18"/>
          <w:szCs w:val="18"/>
          <w:lang w:val="en-GB"/>
        </w:rPr>
        <w:t xml:space="preserve"> parameters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CL=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EXP(</w:t>
      </w:r>
      <w:proofErr w:type="spellStart"/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CLT+SWT+ETA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(1))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V2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EXP(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THETA(2)+ETA(2))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Q=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EXP(</w:t>
      </w:r>
      <w:proofErr w:type="spellStart"/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QT+ETA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(3))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V3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EXP(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THETA(4)+ETA(4))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KA=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EXP(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THETA(5)+ETA(5))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ALAG1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EXP(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THETA(6)+ETA(6))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F1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EXP(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THETA(7)*LOG(DOSE/150))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K=CL/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V2</w:t>
      </w:r>
      <w:proofErr w:type="spellEnd"/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K23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=Q/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V2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ab/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K32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=Q/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V3</w:t>
      </w:r>
      <w:proofErr w:type="spellEnd"/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S2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V2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/1000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>$ERROR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IPRED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=F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IF(</w:t>
      </w:r>
      <w:proofErr w:type="spellStart"/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F.GT.0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) THEN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IPRED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LOG(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F)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 ELSE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IPRED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=0 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ENDIF</w:t>
      </w:r>
      <w:proofErr w:type="spellEnd"/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 Y=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IPRED+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EPS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1)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 IRES=DV-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IPRED</w:t>
      </w:r>
      <w:proofErr w:type="spellEnd"/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$THETA 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(1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,2.7,4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)       ; CL (L/hr)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(1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,3.12,4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)      ;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V2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(L)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(1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,2.46,4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)      ; Q  (L/hr)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(3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,4.21,6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)      ;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V3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(L)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(-3,-.733,-.1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)  ;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KA (1/hr)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(-3,-1.4,-.1)   ; LAG (hr)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(-.5,-.262,-.1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) ;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DOSE ON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F1</w:t>
      </w:r>
      <w:proofErr w:type="spellEnd"/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(2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,2.98,4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(1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,2.06,3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)</w:t>
      </w:r>
    </w:p>
    <w:p w:rsidR="009C386F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(0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,.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>249,1)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$OMEGA 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BLOCK(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2) </w:t>
      </w:r>
    </w:p>
    <w:p w:rsidR="009C386F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.146 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>.114 .72</w:t>
      </w:r>
    </w:p>
    <w:p w:rsidR="009C386F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$OMEGA </w:t>
      </w:r>
      <w:proofErr w:type="gramStart"/>
      <w:r w:rsidRPr="00353A6A">
        <w:rPr>
          <w:rFonts w:ascii="Courier New" w:hAnsi="Courier New" w:cs="Courier New"/>
          <w:sz w:val="18"/>
          <w:szCs w:val="18"/>
          <w:lang w:val="en-GB"/>
        </w:rPr>
        <w:t>BLOCK(</w:t>
      </w:r>
      <w:proofErr w:type="gram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2) </w:t>
      </w:r>
    </w:p>
    <w:p w:rsidR="009C386F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.15 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>.234 .55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>$OMEGA .147 .206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>$SIGMA .283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$EST METHOD=1 INTER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POSTHOC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MAXEVAL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=9999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NOABORT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PRINT=20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NSIG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=3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SIGL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>=9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>$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COV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MATRIX=R UNCONDITIONAL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$TABLE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ROWC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STUDY DOSE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REGIM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SUJID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SID ID TIME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NTIME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TSLD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CONC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IPRED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IRES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CWRES</w:t>
      </w:r>
      <w:proofErr w:type="spellEnd"/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      AGE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SEXF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RACE PAT DIS WT BMI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BSA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CLCR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FORM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BACKTX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FAST </w:t>
      </w:r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      AST ALT CL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V2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Q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V3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KA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ALAG1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F1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ETA1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ETA2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ETA3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ETA4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ETA5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ETA5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ETA6</w:t>
      </w:r>
      <w:proofErr w:type="spellEnd"/>
    </w:p>
    <w:p w:rsidR="009C386F" w:rsidRPr="00353A6A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NOPRINT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ONEHEADER</w:t>
      </w:r>
      <w:proofErr w:type="spellEnd"/>
      <w:r w:rsidRPr="00353A6A">
        <w:rPr>
          <w:rFonts w:ascii="Courier New" w:hAnsi="Courier New" w:cs="Courier New"/>
          <w:sz w:val="18"/>
          <w:szCs w:val="18"/>
          <w:lang w:val="en-GB"/>
        </w:rPr>
        <w:t xml:space="preserve"> FILE=</w:t>
      </w:r>
      <w:proofErr w:type="spellStart"/>
      <w:r w:rsidRPr="00353A6A">
        <w:rPr>
          <w:rFonts w:ascii="Courier New" w:hAnsi="Courier New" w:cs="Courier New"/>
          <w:sz w:val="18"/>
          <w:szCs w:val="18"/>
          <w:lang w:val="en-GB"/>
        </w:rPr>
        <w:t>RES52</w:t>
      </w:r>
      <w:proofErr w:type="spellEnd"/>
    </w:p>
    <w:p w:rsidR="009C386F" w:rsidRDefault="009C386F" w:rsidP="009C386F"/>
    <w:p w:rsidR="009C386F" w:rsidRDefault="009C386F" w:rsidP="009C386F"/>
    <w:p w:rsidR="009C386F" w:rsidRDefault="009C386F" w:rsidP="009C386F"/>
    <w:p w:rsidR="009C386F" w:rsidRDefault="009C386F" w:rsidP="009C386F"/>
    <w:p w:rsidR="009C386F" w:rsidRDefault="009C386F" w:rsidP="009C386F">
      <w:r>
        <w:br w:type="page"/>
      </w:r>
    </w:p>
    <w:p w:rsidR="009C386F" w:rsidRDefault="009C386F" w:rsidP="009C386F">
      <w:r>
        <w:lastRenderedPageBreak/>
        <w:t xml:space="preserve">Control Stream of Final GS-563117 </w:t>
      </w:r>
      <w:proofErr w:type="spellStart"/>
      <w:r>
        <w:t>PopPK</w:t>
      </w:r>
      <w:proofErr w:type="spellEnd"/>
      <w:r>
        <w:t xml:space="preserve"> Model</w:t>
      </w:r>
    </w:p>
    <w:p w:rsidR="009C386F" w:rsidRDefault="009C386F" w:rsidP="009C386F"/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;###############################################</w:t>
      </w:r>
      <w:r>
        <w:rPr>
          <w:rFonts w:ascii="Courier New" w:hAnsi="Courier New" w:cs="Courier New"/>
          <w:sz w:val="18"/>
          <w:szCs w:val="18"/>
          <w:lang w:val="en-GB"/>
        </w:rPr>
        <w:t>###############################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;Project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Name: GS-563117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PopPK</w:t>
      </w:r>
      <w:proofErr w:type="spellEnd"/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;Project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ID: pop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PK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analysis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NONMEM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VII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;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Kineticist</w:t>
      </w:r>
      <w:proofErr w:type="spellEnd"/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: Christine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Yuying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Gao  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;Model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Description: 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;      2-COMP LINEAR MODEL,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LNCN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w additive ERR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;###############################################</w:t>
      </w:r>
      <w:r>
        <w:rPr>
          <w:rFonts w:ascii="Courier New" w:hAnsi="Courier New" w:cs="Courier New"/>
          <w:sz w:val="18"/>
          <w:szCs w:val="18"/>
          <w:lang w:val="en-GB"/>
        </w:rPr>
        <w:t>###############################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$PROB Population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PK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Analysis for GS-563117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$INPUT C ID STUDY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SUJID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ab/>
        <w:t xml:space="preserve">SID DROP HOUR TIME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NTIME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AMT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ADDL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II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EVID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CONC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MDV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DROP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DROP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TSLD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DV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AGE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SEXF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RACE PAT DIS WT BMI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BSA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CLCR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FORM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BACKTX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DROP FAST DOSE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REGIM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BLOQ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AST ALT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ROWC</w:t>
      </w:r>
      <w:proofErr w:type="spellEnd"/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$DATA pkinput563117.csv 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 IGNORE=C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$SUBROUTINE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ADVAN4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TRANS4</w:t>
      </w:r>
      <w:proofErr w:type="spellEnd"/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$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PK</w:t>
      </w:r>
      <w:proofErr w:type="spellEnd"/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; 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covariate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relationship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; PAT: 1=patient; 2=heathy subject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SPAT=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THETA(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8)*(PAT-1)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; </w:t>
      </w:r>
      <w:proofErr w:type="spellStart"/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pk</w:t>
      </w:r>
      <w:proofErr w:type="spellEnd"/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parameters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CL=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EXP(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THETA(1)+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SPAT+ETA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(1))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V2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EXP(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THETA(2)+ETA(2))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Q=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EXP(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THETA(3)+ETA(3))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V3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EXP(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THETA(4)+ETA(4))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KA=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EXP(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THETA(5)+ETA(5))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ALAG1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EXP(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THETA(6)+ETA(6))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F1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EXP(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THETA(7)*LOG(DOSE/150))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K=CL/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V2</w:t>
      </w:r>
      <w:proofErr w:type="spellEnd"/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K23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=Q/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V2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ab/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K32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=Q/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V3</w:t>
      </w:r>
      <w:proofErr w:type="spellEnd"/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S2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=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V2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/1000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$ERROR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IPRED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=F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IF(</w:t>
      </w:r>
      <w:proofErr w:type="spellStart"/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F.GT.0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) THEN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IPRED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LOG(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F)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 ELSE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IPRED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=0 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ENDIF</w:t>
      </w:r>
      <w:proofErr w:type="spellEnd"/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 Y=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IPRED+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EPS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1)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 IRES=DV-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IPRED</w:t>
      </w:r>
      <w:proofErr w:type="spellEnd"/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$THETA 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(-1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,1.52,5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)     ;CL (L/hr) 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(.1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,1.99,6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)     ;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V2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(L) 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(.1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,.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352,5)     ;Q  (L/hr) 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(.1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,2.84,6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)     ;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V3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(L)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(-5,-2.53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,1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)    ;KA (1/hr)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(-5,-.754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,1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)    ;LAG (hr)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(-1,-.443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,1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)    ;DOSE ON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F1</w:t>
      </w:r>
      <w:proofErr w:type="spellEnd"/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(0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,.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413,1)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$OMEGA 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BLOCK(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2) .25 .09 .156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$OMEGA </w:t>
      </w:r>
      <w:proofErr w:type="gramStart"/>
      <w:r w:rsidRPr="00E279A6">
        <w:rPr>
          <w:rFonts w:ascii="Courier New" w:hAnsi="Courier New" w:cs="Courier New"/>
          <w:sz w:val="18"/>
          <w:szCs w:val="18"/>
          <w:lang w:val="en-GB"/>
        </w:rPr>
        <w:t>BLOCK(</w:t>
      </w:r>
      <w:proofErr w:type="gramEnd"/>
      <w:r w:rsidRPr="00E279A6">
        <w:rPr>
          <w:rFonts w:ascii="Courier New" w:hAnsi="Courier New" w:cs="Courier New"/>
          <w:sz w:val="18"/>
          <w:szCs w:val="18"/>
          <w:lang w:val="en-GB"/>
        </w:rPr>
        <w:t>2) .1 .0482 .134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$OMEGA .55 .143 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$SIGMA .122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$EST METHOD=1 INTER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POSTHOC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MAXEVAL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=9999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NOABORT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PRINT=20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NSIG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=3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SIGL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>=9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>$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COV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MATRIX=R UNCONDITIONAL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$TABLE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ROWC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STUDY DOSE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REGIM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SUJID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SID ID TIME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NTIME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TSLD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CONC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IPRED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IRES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CWRES</w:t>
      </w:r>
      <w:proofErr w:type="spellEnd"/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      AGE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SEXF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RACE PAT DIS WT BMI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BSA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CLCR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FORM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BACKTX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BLOQ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FAST</w:t>
      </w:r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      AST ALT CL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V2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Q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V3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KA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ALAG1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F1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ETA1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ETA2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ETA3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ETA4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ETA5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ETA6</w:t>
      </w:r>
      <w:proofErr w:type="spellEnd"/>
    </w:p>
    <w:p w:rsidR="009C386F" w:rsidRPr="00E279A6" w:rsidRDefault="009C386F" w:rsidP="009C3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NOPRINT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ONEHEADER</w:t>
      </w:r>
      <w:proofErr w:type="spellEnd"/>
      <w:r w:rsidRPr="00E279A6">
        <w:rPr>
          <w:rFonts w:ascii="Courier New" w:hAnsi="Courier New" w:cs="Courier New"/>
          <w:sz w:val="18"/>
          <w:szCs w:val="18"/>
          <w:lang w:val="en-GB"/>
        </w:rPr>
        <w:t xml:space="preserve"> FILE=</w:t>
      </w:r>
      <w:proofErr w:type="spellStart"/>
      <w:r w:rsidRPr="00E279A6">
        <w:rPr>
          <w:rFonts w:ascii="Courier New" w:hAnsi="Courier New" w:cs="Courier New"/>
          <w:sz w:val="18"/>
          <w:szCs w:val="18"/>
          <w:lang w:val="en-GB"/>
        </w:rPr>
        <w:t>RES25</w:t>
      </w:r>
      <w:proofErr w:type="spellEnd"/>
    </w:p>
    <w:p w:rsidR="009C386F" w:rsidRDefault="009C386F" w:rsidP="009C386F"/>
    <w:p w:rsidR="009C386F" w:rsidRDefault="009C386F" w:rsidP="009C386F"/>
    <w:p w:rsidR="00420F36" w:rsidRDefault="00420F36"/>
    <w:sectPr w:rsidR="00420F36" w:rsidSect="00061F31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2A" w:rsidRDefault="009C386F" w:rsidP="00061F31">
    <w:pPr>
      <w:pStyle w:val="Footer"/>
      <w:framePr w:wrap="around" w:vAnchor="text" w:hAnchor="margin" w:xAlign="right" w:y="1"/>
      <w:rPr>
        <w:rStyle w:val="PageNumber"/>
        <w:rFonts w:eastAsia="Arial Unicode MS"/>
      </w:rPr>
    </w:pPr>
    <w:r>
      <w:rPr>
        <w:rStyle w:val="PageNumber"/>
        <w:rFonts w:eastAsia="Arial Unicode MS"/>
      </w:rPr>
      <w:fldChar w:fldCharType="begin"/>
    </w:r>
    <w:r>
      <w:rPr>
        <w:rStyle w:val="PageNumber"/>
        <w:rFonts w:eastAsia="Arial Unicode MS"/>
      </w:rPr>
      <w:instrText xml:space="preserve">PAGE  </w:instrText>
    </w:r>
    <w:r>
      <w:rPr>
        <w:rStyle w:val="PageNumber"/>
        <w:rFonts w:eastAsia="Arial Unicode MS"/>
      </w:rPr>
      <w:fldChar w:fldCharType="end"/>
    </w:r>
  </w:p>
  <w:p w:rsidR="00F5492A" w:rsidRDefault="009C386F" w:rsidP="00061F3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2A" w:rsidRDefault="009C386F" w:rsidP="00061F31">
    <w:pPr>
      <w:pStyle w:val="Footer"/>
      <w:framePr w:wrap="around" w:vAnchor="text" w:hAnchor="margin" w:xAlign="right" w:y="1"/>
      <w:rPr>
        <w:rStyle w:val="PageNumber"/>
        <w:rFonts w:eastAsia="Arial Unicode MS"/>
      </w:rPr>
    </w:pPr>
    <w:r>
      <w:rPr>
        <w:rStyle w:val="PageNumber"/>
        <w:rFonts w:eastAsia="Arial Unicode MS"/>
      </w:rPr>
      <w:fldChar w:fldCharType="begin"/>
    </w:r>
    <w:r>
      <w:rPr>
        <w:rStyle w:val="PageNumber"/>
        <w:rFonts w:eastAsia="Arial Unicode MS"/>
      </w:rPr>
      <w:instrText xml:space="preserve">PAGE  </w:instrText>
    </w:r>
    <w:r>
      <w:rPr>
        <w:rStyle w:val="PageNumber"/>
        <w:rFonts w:eastAsia="Arial Unicode MS"/>
      </w:rPr>
      <w:fldChar w:fldCharType="separate"/>
    </w:r>
    <w:r>
      <w:rPr>
        <w:rStyle w:val="PageNumber"/>
        <w:rFonts w:eastAsia="Arial Unicode MS"/>
        <w:noProof/>
      </w:rPr>
      <w:t>14</w:t>
    </w:r>
    <w:r>
      <w:rPr>
        <w:rStyle w:val="PageNumber"/>
        <w:rFonts w:eastAsia="Arial Unicode MS"/>
      </w:rPr>
      <w:fldChar w:fldCharType="end"/>
    </w:r>
  </w:p>
  <w:p w:rsidR="00F5492A" w:rsidRDefault="009C386F" w:rsidP="0067465D"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94014"/>
    <w:multiLevelType w:val="hybridMultilevel"/>
    <w:tmpl w:val="18E08A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192260D"/>
    <w:multiLevelType w:val="hybridMultilevel"/>
    <w:tmpl w:val="E4C27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C386F"/>
    <w:rsid w:val="00013DF7"/>
    <w:rsid w:val="00016FFF"/>
    <w:rsid w:val="001B67E6"/>
    <w:rsid w:val="001C57F2"/>
    <w:rsid w:val="00205064"/>
    <w:rsid w:val="00211C9B"/>
    <w:rsid w:val="002F3D6C"/>
    <w:rsid w:val="003240D3"/>
    <w:rsid w:val="00352EC8"/>
    <w:rsid w:val="00367603"/>
    <w:rsid w:val="00381B62"/>
    <w:rsid w:val="003E7490"/>
    <w:rsid w:val="00420F36"/>
    <w:rsid w:val="00437ECA"/>
    <w:rsid w:val="00452F4C"/>
    <w:rsid w:val="00462094"/>
    <w:rsid w:val="004C3623"/>
    <w:rsid w:val="00530F71"/>
    <w:rsid w:val="00537638"/>
    <w:rsid w:val="005456AB"/>
    <w:rsid w:val="00567DCD"/>
    <w:rsid w:val="005C1D2D"/>
    <w:rsid w:val="005D06A2"/>
    <w:rsid w:val="006544D0"/>
    <w:rsid w:val="006957DA"/>
    <w:rsid w:val="006B1F5D"/>
    <w:rsid w:val="006C5D4A"/>
    <w:rsid w:val="007B1174"/>
    <w:rsid w:val="00882ECA"/>
    <w:rsid w:val="008C7D17"/>
    <w:rsid w:val="008E00D8"/>
    <w:rsid w:val="00963141"/>
    <w:rsid w:val="009765DC"/>
    <w:rsid w:val="009C386F"/>
    <w:rsid w:val="009D1580"/>
    <w:rsid w:val="009F202A"/>
    <w:rsid w:val="00A2304B"/>
    <w:rsid w:val="00A6643A"/>
    <w:rsid w:val="00AB49C1"/>
    <w:rsid w:val="00AE17C3"/>
    <w:rsid w:val="00AF0925"/>
    <w:rsid w:val="00B439A7"/>
    <w:rsid w:val="00B50978"/>
    <w:rsid w:val="00B50AF0"/>
    <w:rsid w:val="00C33EA2"/>
    <w:rsid w:val="00C63C4C"/>
    <w:rsid w:val="00C94992"/>
    <w:rsid w:val="00CD03AB"/>
    <w:rsid w:val="00D60F43"/>
    <w:rsid w:val="00D96031"/>
    <w:rsid w:val="00DC400A"/>
    <w:rsid w:val="00DD49C4"/>
    <w:rsid w:val="00E20693"/>
    <w:rsid w:val="00E662EE"/>
    <w:rsid w:val="00EB32FA"/>
    <w:rsid w:val="00F5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C386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9C386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9C386F"/>
  </w:style>
  <w:style w:type="paragraph" w:customStyle="1" w:styleId="Table-Heading">
    <w:name w:val="Table-Heading"/>
    <w:basedOn w:val="Normal"/>
    <w:next w:val="Normal"/>
    <w:link w:val="Table-HeadingChar"/>
    <w:rsid w:val="009C386F"/>
    <w:pPr>
      <w:keepNext/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TableCenter">
    <w:name w:val="Table Center"/>
    <w:link w:val="TableCenterChar"/>
    <w:rsid w:val="009C386F"/>
    <w:pPr>
      <w:spacing w:before="60" w:after="60" w:line="240" w:lineRule="auto"/>
      <w:jc w:val="center"/>
    </w:pPr>
    <w:rPr>
      <w:rFonts w:ascii="Times New Roman" w:eastAsia="Arial Unicode MS" w:hAnsi="Times New Roman" w:cs="Times New Roman"/>
      <w:sz w:val="20"/>
      <w:szCs w:val="24"/>
      <w:lang w:val="en-US"/>
    </w:rPr>
  </w:style>
  <w:style w:type="paragraph" w:customStyle="1" w:styleId="TableLeft">
    <w:name w:val="Table Left"/>
    <w:basedOn w:val="Normal"/>
    <w:link w:val="TableLeftChar"/>
    <w:rsid w:val="009C386F"/>
    <w:pPr>
      <w:tabs>
        <w:tab w:val="left" w:pos="432"/>
      </w:tabs>
      <w:spacing w:before="60" w:after="60" w:line="240" w:lineRule="auto"/>
    </w:pPr>
    <w:rPr>
      <w:rFonts w:ascii="Times New Roman" w:eastAsia="Arial Unicode MS" w:hAnsi="Times New Roman" w:cs="Times New Roman"/>
      <w:sz w:val="20"/>
      <w:szCs w:val="24"/>
      <w:lang w:val="en-US"/>
    </w:rPr>
  </w:style>
  <w:style w:type="character" w:customStyle="1" w:styleId="TableLeftChar">
    <w:name w:val="Table Left Char"/>
    <w:link w:val="TableLeft"/>
    <w:rsid w:val="009C386F"/>
    <w:rPr>
      <w:rFonts w:ascii="Times New Roman" w:eastAsia="Arial Unicode MS" w:hAnsi="Times New Roman" w:cs="Times New Roman"/>
      <w:sz w:val="20"/>
      <w:szCs w:val="24"/>
      <w:lang w:val="en-US"/>
    </w:rPr>
  </w:style>
  <w:style w:type="character" w:customStyle="1" w:styleId="TableCenterChar">
    <w:name w:val="Table Center Char"/>
    <w:link w:val="TableCenter"/>
    <w:rsid w:val="009C386F"/>
    <w:rPr>
      <w:rFonts w:ascii="Times New Roman" w:eastAsia="Arial Unicode MS" w:hAnsi="Times New Roman" w:cs="Times New Roman"/>
      <w:sz w:val="20"/>
      <w:szCs w:val="24"/>
      <w:lang w:val="en-US"/>
    </w:rPr>
  </w:style>
  <w:style w:type="character" w:customStyle="1" w:styleId="Table-HeadingChar">
    <w:name w:val="Table-Heading Char"/>
    <w:link w:val="Table-Heading"/>
    <w:rsid w:val="009C386F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next w:val="Normal"/>
    <w:link w:val="ListParagraphChar"/>
    <w:uiPriority w:val="99"/>
    <w:qFormat/>
    <w:rsid w:val="009C386F"/>
    <w:pPr>
      <w:keepNext/>
      <w:spacing w:after="120" w:line="360" w:lineRule="exact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9C386F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harCharChar">
    <w:name w:val="Char Char Char"/>
    <w:basedOn w:val="Normal"/>
    <w:next w:val="Normal"/>
    <w:uiPriority w:val="99"/>
    <w:rsid w:val="009C386F"/>
    <w:pPr>
      <w:tabs>
        <w:tab w:val="num" w:pos="360"/>
      </w:tabs>
      <w:spacing w:after="0" w:line="240" w:lineRule="auto"/>
      <w:ind w:left="360" w:hanging="360"/>
    </w:pPr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wmf"/><Relationship Id="rId5" Type="http://schemas.openxmlformats.org/officeDocument/2006/relationships/image" Target="media/image1.tiff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1640</Words>
  <Characters>9351</Characters>
  <Application>Microsoft Office Word</Application>
  <DocSecurity>0</DocSecurity>
  <Lines>77</Lines>
  <Paragraphs>21</Paragraphs>
  <ScaleCrop>false</ScaleCrop>
  <Company>Microsoft</Company>
  <LinksUpToDate>false</LinksUpToDate>
  <CharactersWithSpaces>10970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0003937</dc:creator>
  <cp:lastModifiedBy>0003937</cp:lastModifiedBy>
  <cp:revision>1</cp:revision>
  <dcterms:created xsi:type="dcterms:W3CDTF">2015-11-07T05:53:00Z</dcterms:created>
  <dcterms:modified xsi:type="dcterms:W3CDTF">2015-11-07T05:53:00Z</dcterms:modified>
</cp:coreProperties>
</file>