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A9957" w14:textId="4E599704" w:rsidR="00CA0861" w:rsidRDefault="00CA0861" w:rsidP="0F0065F9">
      <w:pPr>
        <w:pStyle w:val="Heading1"/>
        <w:rPr>
          <w:b/>
        </w:rPr>
      </w:pPr>
      <w:r>
        <w:rPr>
          <w:b/>
        </w:rPr>
        <w:t>CF-NetCDF</w:t>
      </w:r>
    </w:p>
    <w:p w14:paraId="2C078E63" w14:textId="578D5820" w:rsidR="007B1F21" w:rsidRPr="00CA0861" w:rsidRDefault="00CA0861" w:rsidP="0F0065F9">
      <w:pPr>
        <w:pStyle w:val="Heading1"/>
        <w:rPr>
          <w:b/>
        </w:rPr>
      </w:pPr>
      <w:r>
        <w:rPr>
          <w:b/>
        </w:rPr>
        <w:t xml:space="preserve">Proposed </w:t>
      </w:r>
      <w:r w:rsidR="4C318784" w:rsidRPr="00CA0861">
        <w:rPr>
          <w:b/>
        </w:rPr>
        <w:t xml:space="preserve">grid mapping </w:t>
      </w:r>
      <w:r>
        <w:rPr>
          <w:b/>
        </w:rPr>
        <w:t xml:space="preserve">for radar and lidar observations </w:t>
      </w:r>
      <w:r w:rsidR="4C318784" w:rsidRPr="00CA0861">
        <w:rPr>
          <w:b/>
        </w:rPr>
        <w:t>(Appendix F):</w:t>
      </w:r>
    </w:p>
    <w:p w14:paraId="4AB120F2" w14:textId="4E8BB969" w:rsidR="0F0065F9" w:rsidRDefault="0F0065F9" w:rsidP="0F0065F9"/>
    <w:p w14:paraId="3C409F88" w14:textId="02334B39" w:rsidR="0F0065F9" w:rsidRPr="00CA0861" w:rsidRDefault="0F0065F9" w:rsidP="0F0065F9">
      <w:pPr>
        <w:pStyle w:val="Heading2"/>
        <w:rPr>
          <w:b/>
        </w:rPr>
      </w:pPr>
      <w:r w:rsidRPr="00CA0861">
        <w:rPr>
          <w:b/>
        </w:rPr>
        <w:t>Radar/Lidar Radial Scan</w:t>
      </w:r>
    </w:p>
    <w:p w14:paraId="648433EB" w14:textId="77777777" w:rsidR="002C4A9A" w:rsidRPr="002C4A9A" w:rsidRDefault="002C4A9A" w:rsidP="002C4A9A"/>
    <w:p w14:paraId="4591FE5E" w14:textId="78464364" w:rsidR="0F0065F9" w:rsidRDefault="1D15C233" w:rsidP="0F0065F9">
      <w:proofErr w:type="spellStart"/>
      <w:r w:rsidRPr="1D15C233">
        <w:rPr>
          <w:rFonts w:ascii="Courier New" w:eastAsia="Courier New" w:hAnsi="Courier New" w:cs="Courier New"/>
        </w:rPr>
        <w:t>grid_mapping_name</w:t>
      </w:r>
      <w:proofErr w:type="spellEnd"/>
      <w:r w:rsidRPr="1D15C233">
        <w:rPr>
          <w:rFonts w:ascii="Courier New" w:eastAsia="Courier New" w:hAnsi="Courier New" w:cs="Courier New"/>
        </w:rPr>
        <w:t xml:space="preserve"> = </w:t>
      </w:r>
      <w:proofErr w:type="spellStart"/>
      <w:r w:rsidRPr="1D15C233">
        <w:rPr>
          <w:rFonts w:ascii="Courier New" w:eastAsia="Courier New" w:hAnsi="Courier New" w:cs="Courier New"/>
        </w:rPr>
        <w:t>radar_lidar_radial_scan</w:t>
      </w:r>
      <w:proofErr w:type="spellEnd"/>
    </w:p>
    <w:p w14:paraId="5EE308E5" w14:textId="4DABF175" w:rsidR="0F0065F9" w:rsidRDefault="1D15C233" w:rsidP="0F0065F9">
      <w:r w:rsidRPr="1D15C233">
        <w:rPr>
          <w:b/>
          <w:bCs/>
        </w:rPr>
        <w:t>Map parameters:</w:t>
      </w:r>
    </w:p>
    <w:p w14:paraId="484AF505" w14:textId="4C563CA5" w:rsidR="0F0065F9" w:rsidRDefault="002C4A9A" w:rsidP="1D15C233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eastAsia="Courier New" w:hAnsi="Courier New" w:cs="Courier New"/>
          <w:b/>
          <w:bCs/>
        </w:rPr>
        <w:t>latitu</w:t>
      </w:r>
      <w:r w:rsidR="00D45EBC">
        <w:rPr>
          <w:rFonts w:ascii="Courier New" w:eastAsia="Courier New" w:hAnsi="Courier New" w:cs="Courier New"/>
          <w:b/>
          <w:bCs/>
        </w:rPr>
        <w:t>de_of_projection_origin</w:t>
      </w:r>
      <w:proofErr w:type="spellEnd"/>
    </w:p>
    <w:p w14:paraId="4D2071DC" w14:textId="1565CD66" w:rsidR="0F0065F9" w:rsidRDefault="00D45EBC" w:rsidP="1D15C233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eastAsia="Courier New" w:hAnsi="Courier New" w:cs="Courier New"/>
          <w:b/>
          <w:bCs/>
        </w:rPr>
        <w:t>longitude_of_projection_origin</w:t>
      </w:r>
      <w:proofErr w:type="spellEnd"/>
    </w:p>
    <w:p w14:paraId="4295D160" w14:textId="43EA6FB0" w:rsidR="0F0065F9" w:rsidRDefault="00D45EBC" w:rsidP="1D15C233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eastAsia="Courier New" w:hAnsi="Courier New" w:cs="Courier New"/>
          <w:b/>
          <w:bCs/>
        </w:rPr>
        <w:t>observation_point_height</w:t>
      </w:r>
      <w:proofErr w:type="spellEnd"/>
    </w:p>
    <w:p w14:paraId="6C9E1203" w14:textId="36F43504" w:rsidR="0F0065F9" w:rsidRDefault="1D15C233" w:rsidP="1D15C233">
      <w:pPr>
        <w:rPr>
          <w:b/>
          <w:bCs/>
        </w:rPr>
      </w:pPr>
      <w:r w:rsidRPr="1D15C233">
        <w:rPr>
          <w:b/>
          <w:bCs/>
        </w:rPr>
        <w:t>Map coordinates:</w:t>
      </w:r>
    </w:p>
    <w:p w14:paraId="7987F98B" w14:textId="28DA43D9" w:rsidR="0F0065F9" w:rsidRDefault="1D15C233" w:rsidP="1D15C233">
      <w:pPr>
        <w:rPr>
          <w:b/>
          <w:bCs/>
        </w:rPr>
      </w:pPr>
      <w:r w:rsidRPr="1D15C233">
        <w:t xml:space="preserve">The line-of-sight </w:t>
      </w:r>
      <w:r w:rsidRPr="002C4A9A">
        <w:rPr>
          <w:b/>
        </w:rPr>
        <w:t>range</w:t>
      </w:r>
      <w:r w:rsidR="003C1820">
        <w:rPr>
          <w:b/>
        </w:rPr>
        <w:t xml:space="preserve"> </w:t>
      </w:r>
      <w:r w:rsidR="003C1820" w:rsidRPr="003C1820">
        <w:t>(slant range)</w:t>
      </w:r>
      <w:r w:rsidRPr="003C1820">
        <w:t>,</w:t>
      </w:r>
      <w:r w:rsidRPr="1D15C233">
        <w:t xml:space="preserve"> </w:t>
      </w:r>
      <w:r w:rsidRPr="002C4A9A">
        <w:rPr>
          <w:b/>
        </w:rPr>
        <w:t>azimuth</w:t>
      </w:r>
      <w:r w:rsidRPr="1D15C233">
        <w:t xml:space="preserve"> and </w:t>
      </w:r>
      <w:r w:rsidRPr="002C4A9A">
        <w:rPr>
          <w:b/>
        </w:rPr>
        <w:t>elevation</w:t>
      </w:r>
      <w:r w:rsidRPr="1D15C233">
        <w:t xml:space="preserve"> coordinates are identified by the </w:t>
      </w:r>
      <w:r w:rsidRPr="1D15C233">
        <w:rPr>
          <w:rFonts w:ascii="Courier New" w:eastAsia="Courier New" w:hAnsi="Courier New" w:cs="Courier New"/>
        </w:rPr>
        <w:t>standard_name</w:t>
      </w:r>
      <w:r w:rsidR="002C4A9A">
        <w:t xml:space="preserve"> attribute value</w:t>
      </w:r>
      <w:r w:rsidRPr="1D15C233">
        <w:t xml:space="preserve">s </w:t>
      </w:r>
      <w:proofErr w:type="spellStart"/>
      <w:r w:rsidRPr="1D15C233">
        <w:rPr>
          <w:rFonts w:ascii="Courier New" w:eastAsia="Courier New" w:hAnsi="Courier New" w:cs="Courier New"/>
        </w:rPr>
        <w:t>line_of_sight_distance_from_instrument</w:t>
      </w:r>
      <w:proofErr w:type="spellEnd"/>
      <w:r w:rsidRPr="1D15C233">
        <w:t xml:space="preserve">, </w:t>
      </w:r>
      <w:proofErr w:type="spellStart"/>
      <w:r w:rsidRPr="1D15C233">
        <w:rPr>
          <w:rFonts w:ascii="Courier New" w:eastAsia="Courier New" w:hAnsi="Courier New" w:cs="Courier New"/>
        </w:rPr>
        <w:t>sensor_to_target_azimuth_angle</w:t>
      </w:r>
      <w:proofErr w:type="spellEnd"/>
      <w:r w:rsidRPr="1D15C233">
        <w:t xml:space="preserve"> and </w:t>
      </w:r>
      <w:proofErr w:type="spellStart"/>
      <w:r w:rsidRPr="1D15C233">
        <w:rPr>
          <w:rFonts w:ascii="Courier New" w:eastAsia="Courier New" w:hAnsi="Courier New" w:cs="Courier New"/>
        </w:rPr>
        <w:t>sensor_to_target_elevation_angl</w:t>
      </w:r>
      <w:r w:rsidRPr="1D15C233">
        <w:t>e</w:t>
      </w:r>
      <w:proofErr w:type="spellEnd"/>
      <w:r w:rsidRPr="1D15C233">
        <w:t xml:space="preserve"> respectively.</w:t>
      </w:r>
      <w:r w:rsidR="002C4A9A">
        <w:t xml:space="preserve"> (These standard nam</w:t>
      </w:r>
      <w:r w:rsidR="006C339F">
        <w:t xml:space="preserve">es have been requested </w:t>
      </w:r>
      <w:r w:rsidR="002C4A9A">
        <w:t>for approval from the CF standard names committee).</w:t>
      </w:r>
    </w:p>
    <w:p w14:paraId="74E85188" w14:textId="50A61715" w:rsidR="0F0065F9" w:rsidRDefault="1D15C233" w:rsidP="0F0065F9">
      <w:r w:rsidRPr="1D15C233">
        <w:rPr>
          <w:b/>
          <w:bCs/>
        </w:rPr>
        <w:t>Notes:</w:t>
      </w:r>
    </w:p>
    <w:p w14:paraId="55D97C84" w14:textId="3B52F200" w:rsidR="0F0065F9" w:rsidRDefault="1D15C233" w:rsidP="1D15C233">
      <w:pPr>
        <w:rPr>
          <w:b/>
          <w:bCs/>
        </w:rPr>
      </w:pPr>
      <w:r w:rsidRPr="1D15C233">
        <w:t>A general description of radar projecti</w:t>
      </w:r>
      <w:r w:rsidR="00CA0861">
        <w:t>on is given in [</w:t>
      </w:r>
      <w:proofErr w:type="spellStart"/>
      <w:r w:rsidR="00CA0861">
        <w:t>Doviak</w:t>
      </w:r>
      <w:proofErr w:type="spellEnd"/>
      <w:r w:rsidR="00CA0861">
        <w:t>], page 21</w:t>
      </w:r>
      <w:r w:rsidRPr="1D15C233">
        <w:t>, equation 2.28b. There is no corresponding projection in PROJ.4.</w:t>
      </w:r>
    </w:p>
    <w:p w14:paraId="10B35855" w14:textId="58FA89C2" w:rsidR="0F0065F9" w:rsidRDefault="1D15C233" w:rsidP="0F0065F9">
      <w:r w:rsidRPr="1D15C233">
        <w:t>The projection coordinates (</w:t>
      </w:r>
      <w:r w:rsidRPr="006C339F">
        <w:rPr>
          <w:b/>
        </w:rPr>
        <w:t>range</w:t>
      </w:r>
      <w:r w:rsidRPr="1D15C233">
        <w:t xml:space="preserve">, </w:t>
      </w:r>
      <w:r w:rsidRPr="006C339F">
        <w:rPr>
          <w:b/>
        </w:rPr>
        <w:t>azimuth</w:t>
      </w:r>
      <w:r w:rsidRPr="1D15C233">
        <w:t xml:space="preserve"> and </w:t>
      </w:r>
      <w:r w:rsidRPr="006C339F">
        <w:rPr>
          <w:b/>
        </w:rPr>
        <w:t>elevation</w:t>
      </w:r>
      <w:r w:rsidRPr="1D15C233">
        <w:t>) may be stored as either coordinate variables or auxiliary coordinate variables.  It is common for radar/lidar data to be sored in a 2D variable with range and time dimensions.  In this situation the azimuth and elevation coordinate</w:t>
      </w:r>
      <w:r w:rsidR="006335CF">
        <w:t xml:space="preserve"> variable</w:t>
      </w:r>
      <w:r w:rsidRPr="1D15C233">
        <w:t>s should be provided as auxiliary coordinates on the time dimension.</w:t>
      </w:r>
    </w:p>
    <w:p w14:paraId="49859882" w14:textId="4E39A8A2" w:rsidR="1D15C233" w:rsidRPr="00CA0861" w:rsidRDefault="00CA0861" w:rsidP="4C318784">
      <w:pPr>
        <w:pStyle w:val="Heading2"/>
        <w:rPr>
          <w:b/>
        </w:rPr>
      </w:pPr>
      <w:r>
        <w:rPr>
          <w:b/>
        </w:rPr>
        <w:t xml:space="preserve">Addition to  </w:t>
      </w:r>
      <w:r w:rsidR="4C318784" w:rsidRPr="00CA0861">
        <w:rPr>
          <w:b/>
        </w:rPr>
        <w:t>Table F.1. Grid Mapping Attributes:</w:t>
      </w:r>
    </w:p>
    <w:tbl>
      <w:tblPr>
        <w:tblStyle w:val="GridTable1LightAccent1"/>
        <w:tblW w:w="0" w:type="auto"/>
        <w:tblLayout w:type="fixed"/>
        <w:tblLook w:val="06A0" w:firstRow="1" w:lastRow="0" w:firstColumn="1" w:lastColumn="0" w:noHBand="1" w:noVBand="1"/>
      </w:tblPr>
      <w:tblGrid>
        <w:gridCol w:w="2790"/>
        <w:gridCol w:w="828"/>
        <w:gridCol w:w="5742"/>
      </w:tblGrid>
      <w:tr w:rsidR="4C318784" w14:paraId="02F70B88" w14:textId="77777777" w:rsidTr="00633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69B48D01" w14:textId="1BFB7D8B" w:rsidR="4C318784" w:rsidRDefault="4C318784" w:rsidP="4C31878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Attribute</w:t>
            </w:r>
          </w:p>
        </w:tc>
        <w:tc>
          <w:tcPr>
            <w:tcW w:w="828" w:type="dxa"/>
          </w:tcPr>
          <w:p w14:paraId="79FA3251" w14:textId="78A39B97" w:rsidR="4C318784" w:rsidRDefault="4C318784" w:rsidP="4C31878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5742" w:type="dxa"/>
          </w:tcPr>
          <w:p w14:paraId="10E8FCDB" w14:textId="50C050F8" w:rsidR="4C318784" w:rsidRDefault="4C318784" w:rsidP="4C318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Description</w:t>
            </w:r>
          </w:p>
        </w:tc>
      </w:tr>
      <w:tr w:rsidR="4C318784" w14:paraId="77D46181" w14:textId="77777777" w:rsidTr="00633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52B5572" w14:textId="44C79D2D" w:rsidR="4C318784" w:rsidRPr="006C339F" w:rsidRDefault="00D45EBC" w:rsidP="4C318784">
            <w:pPr>
              <w:rPr>
                <w:bCs w:val="0"/>
              </w:rPr>
            </w:pPr>
            <w:proofErr w:type="spellStart"/>
            <w:r w:rsidRPr="006C339F">
              <w:rPr>
                <w:bCs w:val="0"/>
              </w:rPr>
              <w:t>observation_point_height</w:t>
            </w:r>
            <w:proofErr w:type="spellEnd"/>
          </w:p>
        </w:tc>
        <w:tc>
          <w:tcPr>
            <w:tcW w:w="828" w:type="dxa"/>
          </w:tcPr>
          <w:p w14:paraId="6F0A0EF9" w14:textId="5383F01A" w:rsidR="4C318784" w:rsidRDefault="4C318784" w:rsidP="4C318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742" w:type="dxa"/>
          </w:tcPr>
          <w:p w14:paraId="26031074" w14:textId="2A218A92" w:rsidR="4C318784" w:rsidRDefault="4C318784" w:rsidP="4C318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Records the height, in meters, of</w:t>
            </w:r>
            <w:r w:rsidR="002C4A9A">
              <w:t xml:space="preserve"> the instrument</w:t>
            </w:r>
            <w:r>
              <w:t xml:space="preserve"> above the ellipsoid (or sphere).  Used by </w:t>
            </w:r>
            <w:proofErr w:type="spellStart"/>
            <w:r>
              <w:t>radial</w:t>
            </w:r>
            <w:r w:rsidR="00D45EBC">
              <w:t>_lidar_radial_scan</w:t>
            </w:r>
            <w:proofErr w:type="spellEnd"/>
            <w:r w:rsidR="00D45EBC">
              <w:t xml:space="preserve"> </w:t>
            </w:r>
            <w:r>
              <w:t>projections to indicate the altitude of the s</w:t>
            </w:r>
            <w:r w:rsidR="002C4A9A">
              <w:t>ensor to which the polar coordi</w:t>
            </w:r>
            <w:r>
              <w:t>n</w:t>
            </w:r>
            <w:r w:rsidR="002C4A9A">
              <w:t>a</w:t>
            </w:r>
            <w:r>
              <w:t>te system is referenced.</w:t>
            </w:r>
          </w:p>
        </w:tc>
      </w:tr>
    </w:tbl>
    <w:p w14:paraId="07BF5C7C" w14:textId="315CCD6F" w:rsidR="4C318784" w:rsidRDefault="4C318784" w:rsidP="4C318784"/>
    <w:p w14:paraId="5B6081DF" w14:textId="78F75DFD" w:rsidR="00B00CF3" w:rsidRPr="00B00CF3" w:rsidRDefault="00B00CF3" w:rsidP="00B00CF3">
      <w:r>
        <w:t xml:space="preserve">For a ground-based radar, the beam generally travels straight along a great circle, but bends in height as it is affected by refractive index changes in the atmosphere. The standard correction for refraction is to use a curvature of 4/3 the earth’s radius, bending downwards away from the line of straight propagation. The correction from slant range to </w:t>
      </w:r>
      <w:r w:rsidR="006335CF">
        <w:t xml:space="preserve">surface range </w:t>
      </w:r>
      <w:r>
        <w:t>is computed using the cosine of the elevation angle. In (</w:t>
      </w:r>
      <w:proofErr w:type="spellStart"/>
      <w:r>
        <w:t>x,y</w:t>
      </w:r>
      <w:proofErr w:type="spellEnd"/>
      <w:r>
        <w:t xml:space="preserve">), since the beams follow great circles, the nominal mapping projection, after </w:t>
      </w:r>
      <w:r w:rsidR="003C1820">
        <w:lastRenderedPageBreak/>
        <w:t>correcting for slant range</w:t>
      </w:r>
      <w:r>
        <w:t xml:space="preserve">, is the </w:t>
      </w:r>
      <w:r w:rsidR="006335CF" w:rsidRPr="006335CF">
        <w:rPr>
          <w:b/>
        </w:rPr>
        <w:t>Azimuthal Equidistant Projection</w:t>
      </w:r>
      <w:r w:rsidR="006335CF">
        <w:t xml:space="preserve"> with the origi</w:t>
      </w:r>
      <w:bookmarkStart w:id="0" w:name="_GoBack"/>
      <w:bookmarkEnd w:id="0"/>
      <w:r w:rsidR="006335CF">
        <w:t>n at the instrument location.</w:t>
      </w:r>
    </w:p>
    <w:p w14:paraId="0A86B296" w14:textId="44CA9D03" w:rsidR="1D15C233" w:rsidRPr="00CA0861" w:rsidRDefault="4C318784" w:rsidP="4C318784">
      <w:pPr>
        <w:pStyle w:val="Heading2"/>
        <w:rPr>
          <w:b/>
          <w:bCs/>
        </w:rPr>
      </w:pPr>
      <w:r w:rsidRPr="00CA0861">
        <w:rPr>
          <w:b/>
        </w:rPr>
        <w:t>Reference</w:t>
      </w:r>
      <w:r w:rsidR="004838D0" w:rsidRPr="00CA0861">
        <w:rPr>
          <w:b/>
        </w:rPr>
        <w:t>s</w:t>
      </w:r>
      <w:r w:rsidRPr="00CA0861">
        <w:rPr>
          <w:b/>
        </w:rPr>
        <w:t xml:space="preserve"> for radar propagation equation:</w:t>
      </w:r>
    </w:p>
    <w:p w14:paraId="22695D7C" w14:textId="1E6CC052" w:rsidR="1D15C233" w:rsidRDefault="1D15C233" w:rsidP="1D15C233">
      <w:proofErr w:type="spellStart"/>
      <w:r w:rsidRPr="1D15C233">
        <w:t>Doviak</w:t>
      </w:r>
      <w:proofErr w:type="spellEnd"/>
      <w:r w:rsidRPr="1D15C233">
        <w:t xml:space="preserve">, R.J., and D.S. Zrnic, Doppler Radar and Weather Observations, </w:t>
      </w:r>
      <w:r w:rsidR="00061EDE">
        <w:t>pages 14-28, Second edition, 1993, Academic Press, 562</w:t>
      </w:r>
      <w:r w:rsidRPr="1D15C233">
        <w:t>pp.</w:t>
      </w:r>
      <w:r w:rsidR="00061EDE">
        <w:br/>
      </w:r>
      <w:proofErr w:type="spellStart"/>
      <w:r w:rsidR="00061EDE">
        <w:t>Rauber</w:t>
      </w:r>
      <w:proofErr w:type="spellEnd"/>
      <w:r w:rsidR="00061EDE">
        <w:t>, R.M., and S.W. Nesbitt, Radar Meteorology A First Course, pages 66-74. 2018. Wiley Blackwell.</w:t>
      </w:r>
    </w:p>
    <w:p w14:paraId="780951D2" w14:textId="139E7F97" w:rsidR="00061EDE" w:rsidRDefault="00B00CF3" w:rsidP="1D15C233">
      <w:r>
        <w:t xml:space="preserve">Wikipedia: </w:t>
      </w:r>
      <w:hyperlink r:id="rId6" w:history="1">
        <w:r w:rsidRPr="00CE6819">
          <w:rPr>
            <w:rStyle w:val="Hyperlink"/>
          </w:rPr>
          <w:t>https://en.wikipedia.org/wiki/Radar_horizon</w:t>
        </w:r>
      </w:hyperlink>
    </w:p>
    <w:p w14:paraId="63034DDC" w14:textId="77777777" w:rsidR="00B00CF3" w:rsidRDefault="00B00CF3" w:rsidP="1D15C233"/>
    <w:sectPr w:rsidR="00B00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14184"/>
    <w:multiLevelType w:val="hybridMultilevel"/>
    <w:tmpl w:val="50A09040"/>
    <w:lvl w:ilvl="0" w:tplc="5830A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AAC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6C5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66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4C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327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C8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5E3D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AEC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009BC"/>
    <w:multiLevelType w:val="hybridMultilevel"/>
    <w:tmpl w:val="62C21922"/>
    <w:lvl w:ilvl="0" w:tplc="72CC5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08A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A342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81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B60F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0D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E2B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A450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54E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470373"/>
    <w:rsid w:val="00061EDE"/>
    <w:rsid w:val="002C4A9A"/>
    <w:rsid w:val="003C1820"/>
    <w:rsid w:val="004838D0"/>
    <w:rsid w:val="0059373B"/>
    <w:rsid w:val="006335CF"/>
    <w:rsid w:val="006C339F"/>
    <w:rsid w:val="007B1F21"/>
    <w:rsid w:val="00B00CF3"/>
    <w:rsid w:val="00CA0861"/>
    <w:rsid w:val="00D45EBC"/>
    <w:rsid w:val="0F0065F9"/>
    <w:rsid w:val="1D15C233"/>
    <w:rsid w:val="4C318784"/>
    <w:rsid w:val="5147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03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adar_horiz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Curtis</dc:creator>
  <cp:lastModifiedBy>Mike Dixon</cp:lastModifiedBy>
  <cp:revision>8</cp:revision>
  <cp:lastPrinted>2018-06-12T23:16:00Z</cp:lastPrinted>
  <dcterms:created xsi:type="dcterms:W3CDTF">2018-06-12T22:33:00Z</dcterms:created>
  <dcterms:modified xsi:type="dcterms:W3CDTF">2018-06-12T23:24:00Z</dcterms:modified>
</cp:coreProperties>
</file>