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jc w:val="center"/>
        <w:rPr>
          <w:b w:val="1"/>
        </w:rPr>
      </w:pPr>
      <w:bookmarkStart w:colFirst="0" w:colLast="0" w:name="_luv7k1h1c3rf" w:id="0"/>
      <w:bookmarkEnd w:id="0"/>
      <w:r w:rsidDel="00000000" w:rsidR="00000000" w:rsidRPr="00000000">
        <w:rPr>
          <w:b w:val="1"/>
          <w:rtl w:val="0"/>
        </w:rPr>
        <w:t xml:space="preserve">CF Standard Names for RADAR and LIDAR</w:t>
        <w:br w:type="textWrapping"/>
        <w:t xml:space="preserve">data in CfRadial</w:t>
      </w:r>
    </w:p>
    <w:p w:rsidR="00000000" w:rsidDel="00000000" w:rsidP="00000000" w:rsidRDefault="00000000" w:rsidRPr="00000000">
      <w:pPr>
        <w:pBdr/>
        <w:contextualSpacing w:val="0"/>
        <w:jc w:val="center"/>
        <w:rPr>
          <w:b w:val="1"/>
          <w:sz w:val="36"/>
          <w:szCs w:val="36"/>
        </w:rPr>
      </w:pPr>
      <w:r w:rsidDel="00000000" w:rsidR="00000000" w:rsidRPr="00000000">
        <w:rPr>
          <w:rtl w:val="0"/>
        </w:rPr>
      </w:r>
    </w:p>
    <w:p w:rsidR="00000000" w:rsidDel="00000000" w:rsidP="00000000" w:rsidRDefault="00000000" w:rsidRPr="00000000">
      <w:pPr>
        <w:pStyle w:val="Heading2"/>
        <w:pBdr/>
        <w:contextualSpacing w:val="0"/>
        <w:rPr>
          <w:b w:val="1"/>
        </w:rPr>
      </w:pPr>
      <w:bookmarkStart w:colFirst="0" w:colLast="0" w:name="_obu48qsxwk9" w:id="1"/>
      <w:bookmarkEnd w:id="1"/>
      <w:r w:rsidDel="00000000" w:rsidR="00000000" w:rsidRPr="00000000">
        <w:rPr>
          <w:b w:val="1"/>
          <w:rtl w:val="0"/>
        </w:rPr>
        <w:t xml:space="preserve">Introduction</w:t>
      </w:r>
    </w:p>
    <w:p w:rsidR="00000000" w:rsidDel="00000000" w:rsidP="00000000" w:rsidRDefault="00000000" w:rsidRPr="00000000">
      <w:pPr>
        <w:pBdr/>
        <w:contextualSpacing w:val="0"/>
        <w:rPr/>
      </w:pPr>
      <w:r w:rsidDel="00000000" w:rsidR="00000000" w:rsidRPr="00000000">
        <w:rPr>
          <w:rtl w:val="0"/>
        </w:rPr>
        <w:t xml:space="preserve">In order to have the CfRadial format formally recognized by the Cf community, we need to agree upon a list of standard names for RADAR and LIDAR. Thus far, only reflectivity and radial velocity are in the list of standard names.</w:t>
      </w:r>
    </w:p>
    <w:p w:rsidR="00000000" w:rsidDel="00000000" w:rsidP="00000000" w:rsidRDefault="00000000" w:rsidRPr="00000000">
      <w:pPr>
        <w:pStyle w:val="Heading2"/>
        <w:pBdr/>
        <w:contextualSpacing w:val="0"/>
        <w:rPr>
          <w:b w:val="1"/>
        </w:rPr>
      </w:pPr>
      <w:bookmarkStart w:colFirst="0" w:colLast="0" w:name="_ysu1r3mnrl9e" w:id="2"/>
      <w:bookmarkEnd w:id="2"/>
      <w:r w:rsidDel="00000000" w:rsidR="00000000" w:rsidRPr="00000000">
        <w:rPr>
          <w:b w:val="1"/>
          <w:rtl w:val="0"/>
        </w:rPr>
        <w:t xml:space="preserve">Links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CF conventions page 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hyperlink r:id="rId5">
        <w:r w:rsidDel="00000000" w:rsidR="00000000" w:rsidRPr="00000000">
          <w:rPr>
            <w:color w:val="1155cc"/>
            <w:u w:val="single"/>
            <w:rtl w:val="0"/>
          </w:rPr>
          <w:t xml:space="preserve">http://cfconventions.org/latest.html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guidelines for standard names are provided here: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hyperlink r:id="rId6">
        <w:r w:rsidDel="00000000" w:rsidR="00000000" w:rsidRPr="00000000">
          <w:rPr>
            <w:color w:val="1155cc"/>
            <w:u w:val="single"/>
            <w:rtl w:val="0"/>
          </w:rPr>
          <w:t xml:space="preserve">http://cfconventions.org/Data/cf-standard-names/docs/guidelines.html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CF FAQ is here:</w:t>
      </w:r>
    </w:p>
    <w:p w:rsidR="00000000" w:rsidDel="00000000" w:rsidP="00000000" w:rsidRDefault="00000000" w:rsidRPr="00000000">
      <w:pPr>
        <w:pBdr/>
        <w:contextualSpacing w:val="0"/>
        <w:rPr/>
      </w:pPr>
      <w:r w:rsidDel="00000000" w:rsidR="00000000" w:rsidRPr="00000000">
        <w:rPr>
          <w:rtl w:val="0"/>
        </w:rPr>
        <w:t xml:space="preserve">  </w:t>
      </w:r>
      <w:hyperlink r:id="rId7">
        <w:r w:rsidDel="00000000" w:rsidR="00000000" w:rsidRPr="00000000">
          <w:rPr>
            <w:color w:val="1155cc"/>
            <w:u w:val="single"/>
            <w:rtl w:val="0"/>
          </w:rPr>
          <w:t xml:space="preserve">http://cfconventions.org/faq.html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b w:val="1"/>
        </w:rPr>
      </w:pPr>
      <w:bookmarkStart w:colFirst="0" w:colLast="0" w:name="_c4wb9rq3z027" w:id="3"/>
      <w:bookmarkEnd w:id="3"/>
      <w:r w:rsidDel="00000000" w:rsidR="00000000" w:rsidRPr="00000000">
        <w:rPr>
          <w:b w:val="1"/>
          <w:rtl w:val="0"/>
        </w:rPr>
        <w:t xml:space="preserve">Standard names for radar moments variables</w:t>
      </w:r>
    </w:p>
    <w:p w:rsidR="00000000" w:rsidDel="00000000" w:rsidP="00000000" w:rsidRDefault="00000000" w:rsidRPr="00000000">
      <w:pPr>
        <w:pBdr/>
        <w:spacing w:before="120"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
        <w:bidiVisual w:val="0"/>
        <w:tblW w:w="136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475"/>
        <w:gridCol w:w="6585"/>
        <w:gridCol w:w="1590"/>
        <w:tblGridChange w:id="0">
          <w:tblGrid>
            <w:gridCol w:w="5475"/>
            <w:gridCol w:w="6585"/>
            <w:gridCol w:w="1590"/>
          </w:tblGrid>
        </w:tblGridChange>
      </w:tblGrid>
      <w:tr>
        <w:tc>
          <w:tcPr>
            <w:tcBorders>
              <w:top w:color="000000" w:space="0" w:sz="8" w:val="single"/>
              <w:left w:color="000000" w:space="0" w:sz="8" w:val="single"/>
              <w:bottom w:color="000000" w:space="0" w:sz="8" w:val="single"/>
            </w:tcBorders>
          </w:tcPr>
          <w:p w:rsidR="00000000" w:rsidDel="00000000" w:rsidP="00000000" w:rsidRDefault="00000000" w:rsidRPr="00000000">
            <w:pPr>
              <w:keepNext w:val="1"/>
              <w:pBdr/>
              <w:spacing w:after="40" w:before="4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1"/>
              <w:pBdr/>
              <w:spacing w:after="40" w:before="4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8" w:val="single"/>
              <w:left w:color="000000" w:space="0" w:sz="8" w:val="single"/>
              <w:bottom w:color="000000" w:space="0" w:sz="8" w:val="single"/>
            </w:tcBorders>
          </w:tcPr>
          <w:p w:rsidR="00000000" w:rsidDel="00000000" w:rsidP="00000000" w:rsidRDefault="00000000" w:rsidRPr="00000000">
            <w:pPr>
              <w:keepNext w:val="1"/>
              <w:pBdr/>
              <w:spacing w:after="40" w:before="4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Units</w:t>
            </w:r>
          </w:p>
        </w:tc>
      </w:tr>
      <w:tr>
        <w:tc>
          <w:tcPr>
            <w:tcBorders>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equivalent_reflectivity_factor</w:t>
            </w:r>
          </w:p>
        </w:tc>
        <w:tc>
          <w:tcPr>
            <w:tcBorders>
              <w:left w:color="000000" w:space="0" w:sz="8" w:val="single"/>
              <w:bottom w:color="000000" w:space="0" w:sz="8" w:val="single"/>
              <w:right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measure of backscattered power corrected for range, radar wavelength, operating characteristics and assuming liquid drops</w:t>
            </w:r>
            <w:r w:rsidDel="00000000" w:rsidR="00000000" w:rsidRPr="00000000">
              <w:rPr>
                <w:rtl w:val="0"/>
              </w:rPr>
            </w:r>
          </w:p>
        </w:tc>
        <w:tc>
          <w:tcPr>
            <w:tcBorders>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dBZ</w:t>
            </w:r>
          </w:p>
        </w:tc>
      </w:tr>
      <w:tr>
        <w:tc>
          <w:tcPr>
            <w:tcBorders>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linear_equivalent_reflectivity_factor</w:t>
            </w:r>
          </w:p>
        </w:tc>
        <w:tc>
          <w:tcPr>
            <w:tcBorders>
              <w:left w:color="000000" w:space="0" w:sz="8" w:val="single"/>
              <w:bottom w:color="000000" w:space="0" w:sz="8" w:val="single"/>
              <w:right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measure of backscattered power corrected for range, radar wavelength, operating characteristics and assuming liquid drops</w:t>
            </w:r>
            <w:r w:rsidDel="00000000" w:rsidR="00000000" w:rsidRPr="00000000">
              <w:rPr>
                <w:rtl w:val="0"/>
              </w:rPr>
            </w:r>
          </w:p>
        </w:tc>
        <w:tc>
          <w:tcPr>
            <w:tcBorders>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tl w:val="0"/>
              </w:rPr>
            </w:r>
          </w:p>
        </w:tc>
      </w:tr>
      <w:tr>
        <w:tc>
          <w:tcPr>
            <w:tcBorders>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radial_velocity_of_scatterers_away_from_instrument</w:t>
            </w:r>
          </w:p>
        </w:tc>
        <w:tc>
          <w:tcPr>
            <w:tcBorders>
              <w:left w:color="000000" w:space="0" w:sz="8" w:val="single"/>
              <w:bottom w:color="000000" w:space="0" w:sz="8" w:val="single"/>
              <w:right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velocity along radar radial</w:t>
            </w:r>
            <w:r w:rsidDel="00000000" w:rsidR="00000000" w:rsidRPr="00000000">
              <w:rPr>
                <w:rtl w:val="0"/>
              </w:rPr>
            </w:r>
          </w:p>
        </w:tc>
        <w:tc>
          <w:tcPr>
            <w:tcBorders>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doppler_spectrum_width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Radial velocity dispersion within resolution volume</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log_differential_reflectivity_hv</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ratio of horizontal (H) to vertical (V) polarization reflectivity values </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log_linear_depolarization_ratio_hv</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log_linear_depolarization_ratio_h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ratio of received V power to H power for a H transmitted pulse</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log_linear_depolarization_ratio_v</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ratio of received H power to V power for a V transmitted pulse</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differential_phase_hv</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 in the phase shift of H and V transmitted pulses due to propagation</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degrees</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specific_differential_phase_hv</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 in the phase shift of H and V transmitted pulses due to propagation over 1 km</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degrees/km</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cross_correlation_ratio_hv</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complex correlation between H and V pulses that comprise radar bins</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log_power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log_power_co_polar_h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 received power from a H transmitted pulse</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log_power_cross_polar_h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 received power from a H transmitted pulse</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log_power_co_polar_v</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 received power from a V transmitted pulse</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log_power_cross_polar_v</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 received power from a V transmitted pulse</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linear_power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linear_power_co_polar_h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 received power from a H transmitted pulse</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linear_power_cross_polar_h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 received power from a H transmitted pulse</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linear_power_co_polar_v</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 received power from a V transmitted pulse</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linear_power_cross_polar_v</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 received power from a V transmitted pulse</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signal_to_noise_ratio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signal_to_noise_ratio_co_polar_h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ratio of the H received power from a H transmitted pulse to the system noise in H</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signal_to_noise_ratio_cross_polar_h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ratio of the V received power from a H transmitted pulse to the system noise in H</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signal_to_noise_ratio_co_polar_v</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ratio of the V received power from a V transmitted pulse to the system noise in V</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signal_to_noise_ratio_cross_polar_v</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ratio of the H received power from a V transmitted pulse to the system noise in V</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normalized_coherent_power</w:t>
              <w:br w:type="textWrapping"/>
              <w:t xml:space="preserve">(Note: this is also known as signal-quality-index)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corrected_equivalent_reflectivity_factor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dBZ</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corrected_radial_velocity_of_scatterers_</w:t>
              <w:br w:type="textWrapping"/>
              <w:t xml:space="preserve">away_from_instrument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corrected_log_differential_reflectivity_hv</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radar_estimated_rain_rate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mm/hr</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rain_rate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kg/m2/s</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radar_echo_classification</w:t>
              <w:br w:type="textWrapping"/>
              <w:t xml:space="preserve">(should be used for PID, HCA, HID etc)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Inferred dominant particle type</w:t>
            </w: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legend</w:t>
            </w:r>
          </w:p>
        </w:tc>
      </w:tr>
    </w:tbl>
    <w:p w:rsidR="00000000" w:rsidDel="00000000" w:rsidP="00000000" w:rsidRDefault="00000000" w:rsidRPr="00000000">
      <w:pPr>
        <w:pBdr/>
        <w:spacing w:before="12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20" w:line="240" w:lineRule="auto"/>
        <w:contextualSpacing w:val="0"/>
        <w:rPr>
          <w:rFonts w:ascii="Times New Roman" w:cs="Times New Roman" w:eastAsia="Times New Roman" w:hAnsi="Times New Roman"/>
          <w:sz w:val="24"/>
          <w:szCs w:val="24"/>
        </w:rPr>
      </w:pPr>
      <w:bookmarkStart w:colFirst="0" w:colLast="0" w:name="_2dlolyb" w:id="4"/>
      <w:bookmarkEnd w:id="4"/>
      <w:r w:rsidDel="00000000" w:rsidR="00000000" w:rsidRPr="00000000">
        <w:rPr>
          <w:rtl w:val="0"/>
        </w:rPr>
      </w:r>
    </w:p>
    <w:p w:rsidR="00000000" w:rsidDel="00000000" w:rsidP="00000000" w:rsidRDefault="00000000" w:rsidRPr="00000000">
      <w:pPr>
        <w:pStyle w:val="Heading2"/>
        <w:pBdr/>
        <w:contextualSpacing w:val="0"/>
        <w:rPr>
          <w:b w:val="1"/>
        </w:rPr>
      </w:pPr>
      <w:bookmarkStart w:colFirst="0" w:colLast="0" w:name="_wwy8z68i19kv" w:id="5"/>
      <w:bookmarkEnd w:id="5"/>
      <w:r w:rsidDel="00000000" w:rsidR="00000000" w:rsidRPr="00000000">
        <w:rPr>
          <w:b w:val="1"/>
          <w:rtl w:val="0"/>
        </w:rPr>
        <w:t xml:space="preserve">Standard names for covariance variables</w:t>
      </w:r>
    </w:p>
    <w:p w:rsidR="00000000" w:rsidDel="00000000" w:rsidP="00000000" w:rsidRDefault="00000000" w:rsidRPr="00000000">
      <w:pPr>
        <w:widowControl w:val="0"/>
        <w:pBdr/>
        <w:spacing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lists the proposed standard names for radar covariance variables, derived from the I/Q time series.</w:t>
      </w:r>
    </w:p>
    <w:p w:rsidR="00000000" w:rsidDel="00000000" w:rsidP="00000000" w:rsidRDefault="00000000" w:rsidRPr="00000000">
      <w:pPr>
        <w:widowControl w:val="0"/>
        <w:pBdr/>
        <w:spacing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fundamental quantities from which many of the radar moments are computed.</w:t>
      </w:r>
    </w:p>
    <w:p w:rsidR="00000000" w:rsidDel="00000000" w:rsidP="00000000" w:rsidRDefault="00000000" w:rsidRPr="00000000">
      <w:pPr>
        <w:widowControl w:val="0"/>
        <w:pBdr/>
        <w:spacing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Lag0 covariances for a single channel (e.g. horizontal co-polar to horizontal co-polar) are real.</w:t>
      </w:r>
    </w:p>
    <w:p w:rsidR="00000000" w:rsidDel="00000000" w:rsidP="00000000" w:rsidRDefault="00000000" w:rsidRPr="00000000">
      <w:pPr>
        <w:widowControl w:val="0"/>
        <w:pBdr/>
        <w:spacing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other covariances are complex. These must be stored either as (real, imaginary) parts, or as (power, phase) pairs.</w:t>
      </w:r>
    </w:p>
    <w:p w:rsidR="00000000" w:rsidDel="00000000" w:rsidP="00000000" w:rsidRDefault="00000000" w:rsidRPr="00000000">
      <w:pPr>
        <w:widowControl w:val="0"/>
        <w:pBdr/>
        <w:spacing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standard, we choose (log-power, phase) as the best way to store these complex variables.</w:t>
      </w:r>
    </w:p>
    <w:p w:rsidR="00000000" w:rsidDel="00000000" w:rsidP="00000000" w:rsidRDefault="00000000" w:rsidRPr="00000000">
      <w:pPr>
        <w:widowControl w:val="0"/>
        <w:pBdr/>
        <w:spacing w:before="120"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2"/>
        <w:bidiVisual w:val="0"/>
        <w:tblW w:w="140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205"/>
        <w:gridCol w:w="6735"/>
        <w:gridCol w:w="2070"/>
        <w:tblGridChange w:id="0">
          <w:tblGrid>
            <w:gridCol w:w="5205"/>
            <w:gridCol w:w="6735"/>
            <w:gridCol w:w="2070"/>
          </w:tblGrid>
        </w:tblGridChange>
      </w:tblGrid>
      <w:tr>
        <w:tc>
          <w:tcPr>
            <w:tcBorders>
              <w:top w:color="000000" w:space="0" w:sz="8" w:val="single"/>
              <w:left w:color="000000" w:space="0" w:sz="8" w:val="single"/>
              <w:bottom w:color="000000" w:space="0" w:sz="8" w:val="single"/>
            </w:tcBorders>
          </w:tcPr>
          <w:p w:rsidR="00000000" w:rsidDel="00000000" w:rsidP="00000000" w:rsidRDefault="00000000" w:rsidRPr="00000000">
            <w:pPr>
              <w:keepNext w:val="1"/>
              <w:widowControl w:val="0"/>
              <w:pBdr/>
              <w:spacing w:after="40" w:before="4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standard 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1"/>
              <w:widowControl w:val="0"/>
              <w:pBdr/>
              <w:spacing w:after="40" w:before="4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8" w:val="single"/>
              <w:left w:color="000000" w:space="0" w:sz="8" w:val="single"/>
              <w:bottom w:color="000000" w:space="0" w:sz="8" w:val="single"/>
            </w:tcBorders>
          </w:tcPr>
          <w:p w:rsidR="00000000" w:rsidDel="00000000" w:rsidP="00000000" w:rsidRDefault="00000000" w:rsidRPr="00000000">
            <w:pPr>
              <w:keepNext w:val="1"/>
              <w:widowControl w:val="0"/>
              <w:pBdr/>
              <w:spacing w:after="40" w:before="4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Units</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rPr>
          <w:trHeight w:val="240" w:hRule="atLeast"/>
        </w:trPr>
        <w:tc>
          <w:tcPr>
            <w:gridSpan w:val="3"/>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Lag-0 powers</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covariance_lag0_hc_hc_db</w:t>
            </w: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Lag-0 covariance for horizontal co-polar channel.</w:t>
              <w:br w:type="textWrapping"/>
              <w:t xml:space="preserve">This is effectively un-calibrated power for Hc. </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covariance_lag0_vc_vc_db</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Lag-0 covariance for vertical co-polar channel.</w:t>
              <w:br w:type="textWrapping"/>
              <w:t xml:space="preserve">This is effectively un-calibrated power for Vc. </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covariance_lag0_hx_hx_db</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Lag-0 covariance for horizontal cross-polar channel.</w:t>
              <w:br w:type="textWrapping"/>
              <w:t xml:space="preserve">This is effectively un-calibrated power for Hx. </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covariance_lag0_vx_vx_db</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Lag-0 covariance for vertical cross-polar channel.</w:t>
              <w:br w:type="textWrapping"/>
              <w:t xml:space="preserve">This is effectively un-calibrated power for Vx. </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covariance_lag0_hc_vx_db</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Lag-0 covariance horizontal co-polar to vertical cross-polar channel, power</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covariance_lag0_hc_vx_phase</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Lag-0 covariance horizontal co-polar to vertical cross-polar channel, phase</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covariance_lag0_vc_hx_db</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Lag-0 covariance vertical co-polar to horizontal cross-polar channel, power</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covariance_lag0_vc_hx_phase</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Lag-0 covariance vertical co-polar to horizontal cross-polar channel, phase</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rPr>
          <w:trHeight w:val="240" w:hRule="atLeast"/>
        </w:trPr>
        <w:tc>
          <w:tcPr>
            <w:gridSpan w:val="3"/>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Lag-1 complex values, stored as log-power and phase</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covariance_lag1_hc_hc_db</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horizontal co-polar channel, power</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covariance_lag1_hc_hc_phase</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horizontal co-polar channel, phase</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covariance_lag1_vc_vc_db</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vertical co-polar channel, power</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covariance_lag1_vc_vc_phase</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vertical co-polar channel, phase</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covariance_lag1_hc_vc_db</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horizontal to vertical co-polar channels, power</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covariance_lag1_hc_vc_phase</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horizontal to vertical co-polar channels, phase</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covariance_lag1_vc_hc_db</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vertical to horizontal co-polar channels, power</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covariance_lag1_vc_hc_phase</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vertical to horizontal co-polar channels, phase</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covariance_lag1_hx_vx_db</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horizontal to vertical cross-polar channels, power</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covariance_lag1_hx_vx_phase</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horizontal to vertical cross-polar channels, phase</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covariance_lag1_vx_hx_db</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vertical to horizontal cross-polar channels, power</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covariance_lag1_vx_hx_phase</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vertical to horizontal cross-polar channels, phase</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covariance_lag1_hc_vx_db</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horizontal co-polar to vertical cross-polar channel, power</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covariance_lag1_hc_vx_phase</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horizontal co-polar to vertical cross-polar channel, phase</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covariance_lag1_vx_hc_db</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vertical cross-polar to horizontal co-polar channel, power</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covariance_lag1_vx_hc_phase</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vertical cross-polar to horizontal co-polar channel, phase</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covariance_lag1_vc_hx_db</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vertical co-polar to horizontal cross-polar channel, power</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covariance_lag1_vc_hx_phase</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vertical co-polar to horizontal cross-polar channel, phase</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covariance_lag1_hx_vc_db</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horizontal cross-polar to vertical co-polar channel, power</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covariance_lag1_hx_vc_phase</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horizontal cross-polar to vertical co-polar channel, phase</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rPr>
          <w:trHeight w:val="240" w:hRule="atLeast"/>
        </w:trPr>
        <w:tc>
          <w:tcPr>
            <w:gridSpan w:val="3"/>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Lag-2 complex values, stored as log-power and phase</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covariance_lag2_hc_hc_db</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Lag-2 covariance for horizontal co-polar channel, power</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covariance_lag2_hc_hc_phase</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Lag-2 covariance for horizontal co-polar channel, phase</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covariance_lag2_vc_vc_db</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Lag-2 covariance for vertical co-polar channel, power</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covariance_lag2_vc_vc_phase</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Lag-2 covariance for vertical co-polar channel, phase</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rPr>
          <w:trHeight w:val="240" w:hRule="atLeast"/>
        </w:trPr>
        <w:tc>
          <w:tcPr>
            <w:gridSpan w:val="3"/>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Lag-3 complex values, stored as log-power and phase</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covariance_lag3_hc_hc_db</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Lag-3 covariance for horizontal co-polar channel, power</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covariance_lag3_hc_hc_phase</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Lag-3 covariance for horizontal co-polar channel, phase</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covariance_lag3_vc_vc_db</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Lag-3 covariance for vertical co-polar channel, power</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covariance_lag3_vc_vc_phase</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Lag-3 covariance for vertical co-polar channel, phase</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rPr>
          <w:trHeight w:val="240" w:hRule="atLeast"/>
        </w:trPr>
        <w:tc>
          <w:tcPr>
            <w:gridSpan w:val="3"/>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Lag-0 powers for staggered PRT</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covariance_lag0_hc_hc_short_db</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Lag-0 covariance for horizontal co-polar channel for short PRT.</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covariance_lag0_vc_vc_short_db</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Lag-0 covariance for vertical co-polar channel for short PRT.</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covariance_lag0_hx_hx_long_db</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Lag-0 covariance for horizontal co-polar channel for long PRT.</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covariance_lag0_vx_vx_long_db</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Lag-0 covariance for vertical co-polar channel for long PRT.</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rPr>
          <w:trHeight w:val="240" w:hRule="atLeast"/>
        </w:trPr>
        <w:tc>
          <w:tcPr>
            <w:gridSpan w:val="3"/>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Lag-1 complex values for staggered PRT, stored as log-power and phase</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covariance_lag1_hc_hc_short_db</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horizontal co-polar channel for short PRT, power</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covariance_lag1_hc_hc_short_phase</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horizontal co-polar channel for short PRT, phase</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covariance_lag1_vc_vc_short_db</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vertical co-polar channel for short PRT, power</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covariance_lag1_vc_vc_short_phase</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vertical co-polar channel for short PRT, phase</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covariance_lag1_hc_hc_long_db</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horizontal co-polar channel for long PRT, power</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covariance_lag1_hc_hc_long_phase</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horizontal co-polar channel for long PRT, phase</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covariance_lag1_vc_vc_long_db</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vertical co-polar channel for long PRT, power</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covariance_lag1_vc_vc_long_phase</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vertical co-polar channel for long PRT, phase</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covariance_lag1_hc_hc_short_to_long_db</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horizontal co-polar channel for short_to_long PRT, power</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covariance_lag1_hc_hc_short_to_long_phase</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horizontal co-polar channel for short_to_long PRT, phase</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covariance_lag1_vc_vc_short_to_long_db</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vertical co-polar channel for short_to_long PRT, power</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covariance_lag1_vc_vc_short_to_long_phase</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vertical co-polar channel for short_to_long PRT, phase</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covariance_lag1_hc_hc_long_to_short_db</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horizontal co-polar channel for long_to_short PRT, power</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covariance_lag1_hc_hc_long_to_short_phase</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horizontal co-polar channel for long_to_short PRT, phase</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covariance_lag1_vc_vc_long_to_short_db</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vertical co-polar channel for long_to_short PRT, power</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covariance_lag1_vc_vc_long_to_short_phase</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Lag-1 covariance for vertical co-polar channel for long_to_short PRT, phase</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widowControl w:val="0"/>
        <w:pBdr/>
        <w:spacing w:before="120" w:line="240" w:lineRule="auto"/>
        <w:contextualSpacing w:val="0"/>
        <w:rPr>
          <w:rFonts w:ascii="Times New Roman" w:cs="Times New Roman" w:eastAsia="Times New Roman" w:hAnsi="Times New Roman"/>
          <w:sz w:val="24"/>
          <w:szCs w:val="24"/>
        </w:rPr>
      </w:pPr>
      <w:bookmarkStart w:colFirst="0" w:colLast="0" w:name="_25b2l0r" w:id="6"/>
      <w:bookmarkEnd w:id="6"/>
      <w:r w:rsidDel="00000000" w:rsidR="00000000" w:rsidRPr="00000000">
        <w:rPr>
          <w:rtl w:val="0"/>
        </w:rPr>
      </w:r>
    </w:p>
    <w:p w:rsidR="00000000" w:rsidDel="00000000" w:rsidP="00000000" w:rsidRDefault="00000000" w:rsidRPr="00000000">
      <w:pPr>
        <w:pStyle w:val="Heading2"/>
        <w:pBdr/>
        <w:ind w:left="0" w:firstLine="0"/>
        <w:contextualSpacing w:val="0"/>
        <w:rPr>
          <w:b w:val="1"/>
        </w:rPr>
      </w:pPr>
      <w:r w:rsidDel="00000000" w:rsidR="00000000" w:rsidRPr="00000000">
        <w:rPr>
          <w:b w:val="1"/>
          <w:rtl w:val="0"/>
        </w:rPr>
        <w:t xml:space="preserve">Standard names for SPECTRA variables</w:t>
      </w:r>
    </w:p>
    <w:p w:rsidR="00000000" w:rsidDel="00000000" w:rsidP="00000000" w:rsidRDefault="00000000" w:rsidRPr="00000000">
      <w:pPr>
        <w:widowControl w:val="0"/>
        <w:pBdr/>
        <w:spacing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lists the proposed standard names for spectra field variables. After assuming reciprocity there are 6 unique elements of the covariance matrix and the following names reflect those combinations. In the short name, the notation due to Bringi and Chandrasekar where SVH refers to the backscattering element where horizontal polarization is transmitted, but vertical polarization is received. The * denotes complex conjugate.</w:t>
      </w:r>
    </w:p>
    <w:p w:rsidR="00000000" w:rsidDel="00000000" w:rsidP="00000000" w:rsidRDefault="00000000" w:rsidRPr="00000000">
      <w:pPr>
        <w:widowControl w:val="0"/>
        <w:pBdr/>
        <w:spacing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covariance matrix elements are given as</w:t>
      </w:r>
    </w:p>
    <w:p w:rsidR="00000000" w:rsidDel="00000000" w:rsidP="00000000" w:rsidRDefault="00000000" w:rsidRPr="00000000">
      <w:pPr>
        <w:widowControl w:val="0"/>
        <w:pBdr/>
        <w:spacing w:before="12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before="120" w:line="240" w:lineRule="auto"/>
        <w:contextualSpacing w:val="0"/>
        <w:jc w:val="center"/>
        <w:rPr>
          <w:rFonts w:ascii="Times New Roman" w:cs="Times New Roman" w:eastAsia="Times New Roman" w:hAnsi="Times New Roman"/>
          <w:sz w:val="24"/>
          <w:szCs w:val="24"/>
        </w:rPr>
      </w:pPr>
      <w:r w:rsidDel="00000000" w:rsidR="00000000" w:rsidRPr="00000000">
        <w:drawing>
          <wp:inline distB="0" distT="0" distL="114300" distR="114300">
            <wp:extent cx="2552700" cy="66230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52700" cy="66230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before="12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before="12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before="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Elements below the diagonal are conjugate symmetric to elements above the diagonal. </w:t>
      </w:r>
    </w:p>
    <w:p w:rsidR="00000000" w:rsidDel="00000000" w:rsidP="00000000" w:rsidRDefault="00000000" w:rsidRPr="00000000">
      <w:pPr>
        <w:widowControl w:val="0"/>
        <w:pBdr/>
        <w:spacing w:before="120"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3"/>
        <w:bidiVisual w:val="0"/>
        <w:tblW w:w="134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505"/>
        <w:gridCol w:w="6075"/>
        <w:gridCol w:w="1830"/>
        <w:tblGridChange w:id="0">
          <w:tblGrid>
            <w:gridCol w:w="5505"/>
            <w:gridCol w:w="6075"/>
            <w:gridCol w:w="1830"/>
          </w:tblGrid>
        </w:tblGridChange>
      </w:tblGrid>
      <w:tr>
        <w:tc>
          <w:tcPr>
            <w:tcBorders>
              <w:top w:color="000000" w:space="0" w:sz="8" w:val="single"/>
              <w:left w:color="000000" w:space="0" w:sz="8" w:val="single"/>
              <w:bottom w:color="000000" w:space="0" w:sz="8" w:val="single"/>
            </w:tcBorders>
          </w:tcPr>
          <w:p w:rsidR="00000000" w:rsidDel="00000000" w:rsidP="00000000" w:rsidRDefault="00000000" w:rsidRPr="00000000">
            <w:pPr>
              <w:keepNext w:val="1"/>
              <w:widowControl w:val="0"/>
              <w:pBdr/>
              <w:spacing w:after="40" w:before="4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1"/>
              <w:widowControl w:val="0"/>
              <w:pBdr/>
              <w:spacing w:after="40" w:before="4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8" w:val="single"/>
              <w:left w:color="000000" w:space="0" w:sz="8" w:val="single"/>
              <w:bottom w:color="000000" w:space="0" w:sz="8" w:val="single"/>
            </w:tcBorders>
          </w:tcPr>
          <w:p w:rsidR="00000000" w:rsidDel="00000000" w:rsidP="00000000" w:rsidRDefault="00000000" w:rsidRPr="00000000">
            <w:pPr>
              <w:keepNext w:val="1"/>
              <w:widowControl w:val="0"/>
              <w:pBdr/>
              <w:spacing w:after="40" w:before="4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Units</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spectrum_of_copolar_horizontal_to_copolar_horizontal</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spectrum_of_copolar_horizontal_to_crosspolar_vertical</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spectrum_of_copolar_horizontal_to_copolar_vertical</w:t>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spectrum_of_crosspolar_vertical_to_crosspolar_vertical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spectrum_of_crosspolar_vertical_to_copolar_vertical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spectrum_of_copolar_vertical_to_copolar_vertical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widowControl w:val="0"/>
        <w:pBdr/>
        <w:spacing w:before="120" w:line="240" w:lineRule="auto"/>
        <w:contextualSpacing w:val="0"/>
        <w:rPr>
          <w:rFonts w:ascii="Times New Roman" w:cs="Times New Roman" w:eastAsia="Times New Roman" w:hAnsi="Times New Roman"/>
          <w:sz w:val="24"/>
          <w:szCs w:val="24"/>
        </w:rPr>
      </w:pPr>
      <w:bookmarkStart w:colFirst="0" w:colLast="0" w:name="_25b2l0r" w:id="6"/>
      <w:bookmarkEnd w:id="6"/>
      <w:r w:rsidDel="00000000" w:rsidR="00000000" w:rsidRPr="00000000">
        <w:rPr>
          <w:rtl w:val="0"/>
        </w:rPr>
      </w:r>
    </w:p>
    <w:p w:rsidR="00000000" w:rsidDel="00000000" w:rsidP="00000000" w:rsidRDefault="00000000" w:rsidRPr="00000000">
      <w:pPr>
        <w:pStyle w:val="Heading2"/>
        <w:pBdr/>
        <w:contextualSpacing w:val="0"/>
        <w:rPr>
          <w:b w:val="1"/>
        </w:rPr>
      </w:pPr>
      <w:bookmarkStart w:colFirst="0" w:colLast="0" w:name="_l3bt328fq10d" w:id="7"/>
      <w:bookmarkEnd w:id="7"/>
      <w:r w:rsidDel="00000000" w:rsidR="00000000" w:rsidRPr="00000000">
        <w:rPr>
          <w:b w:val="1"/>
          <w:rtl w:val="0"/>
        </w:rPr>
        <w:t xml:space="preserve">Standard names for LIDAR field variables</w:t>
      </w:r>
    </w:p>
    <w:p w:rsidR="00000000" w:rsidDel="00000000" w:rsidP="00000000" w:rsidRDefault="00000000" w:rsidRPr="00000000">
      <w:pPr>
        <w:widowControl w:val="0"/>
        <w:pBdr/>
        <w:spacing w:before="120"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4"/>
        <w:bidiVisual w:val="0"/>
        <w:tblW w:w="134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505"/>
        <w:gridCol w:w="6075"/>
        <w:gridCol w:w="1830"/>
        <w:tblGridChange w:id="0">
          <w:tblGrid>
            <w:gridCol w:w="5505"/>
            <w:gridCol w:w="6075"/>
            <w:gridCol w:w="1830"/>
          </w:tblGrid>
        </w:tblGridChange>
      </w:tblGrid>
      <w:tr>
        <w:tc>
          <w:tcPr>
            <w:tcBorders>
              <w:top w:color="000000" w:space="0" w:sz="8" w:val="single"/>
              <w:left w:color="000000" w:space="0" w:sz="8" w:val="single"/>
              <w:bottom w:color="000000" w:space="0" w:sz="8" w:val="single"/>
            </w:tcBorders>
          </w:tcPr>
          <w:p w:rsidR="00000000" w:rsidDel="00000000" w:rsidP="00000000" w:rsidRDefault="00000000" w:rsidRPr="00000000">
            <w:pPr>
              <w:keepNext w:val="1"/>
              <w:widowControl w:val="0"/>
              <w:pBdr/>
              <w:spacing w:after="40" w:before="4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keepNext w:val="1"/>
              <w:widowControl w:val="0"/>
              <w:pBdr/>
              <w:spacing w:after="40" w:before="4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8" w:val="single"/>
              <w:left w:color="000000" w:space="0" w:sz="8" w:val="single"/>
              <w:bottom w:color="000000" w:space="0" w:sz="8" w:val="single"/>
            </w:tcBorders>
          </w:tcPr>
          <w:p w:rsidR="00000000" w:rsidDel="00000000" w:rsidP="00000000" w:rsidRDefault="00000000" w:rsidRPr="00000000">
            <w:pPr>
              <w:keepNext w:val="1"/>
              <w:widowControl w:val="0"/>
              <w:pBdr/>
              <w:spacing w:after="40" w:before="4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Units</w:t>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Atmospheric temperature profile (e.g., imported from sonde</w:t>
            </w:r>
            <w:r w:rsidDel="00000000" w:rsidR="00000000" w:rsidRPr="00000000">
              <w:rPr>
                <w:rFonts w:ascii="Times New Roman" w:cs="Times New Roman" w:eastAsia="Times New Roman" w:hAnsi="Times New Roman"/>
                <w:sz w:val="24"/>
                <w:szCs w:val="24"/>
                <w:rtl w:val="0"/>
              </w:rPr>
              <w:t xml:space="preserve">)</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Atmospheric pressure profile (e.g.,imported from sonde)</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color w:val="222222"/>
                <w:sz w:val="19"/>
                <w:szCs w:val="19"/>
                <w:highlight w:val="white"/>
                <w:rtl w:val="0"/>
              </w:rPr>
              <w:t xml:space="preserve">od</w:t>
            </w: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Optical depth</w:t>
            </w:r>
          </w:p>
        </w:tc>
        <w:tc>
          <w:tcPr>
            <w:tcBorders>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color w:val="222222"/>
                <w:sz w:val="19"/>
                <w:szCs w:val="19"/>
                <w:highlight w:val="white"/>
                <w:rtl w:val="0"/>
              </w:rPr>
              <w:t xml:space="preserve">extinction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derived extinction</w:t>
            </w:r>
          </w:p>
        </w:tc>
        <w:tc>
          <w:tcPr>
            <w:tcBorders>
              <w:top w:color="000000" w:space="0" w:sz="8" w:val="single"/>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color w:val="222222"/>
                <w:sz w:val="19"/>
                <w:szCs w:val="19"/>
                <w:highlight w:val="white"/>
                <w:rtl w:val="0"/>
              </w:rPr>
              <w:t xml:space="preserve">od_aerosol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Aerosol optical depth</w:t>
            </w:r>
          </w:p>
        </w:tc>
        <w:tc>
          <w:tcPr>
            <w:tcBorders>
              <w:top w:color="000000" w:space="0" w:sz="8" w:val="single"/>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color w:val="222222"/>
                <w:sz w:val="19"/>
                <w:szCs w:val="19"/>
                <w:highlight w:val="white"/>
                <w:rtl w:val="0"/>
              </w:rPr>
              <w:t xml:space="preserve">extinction_aerosol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Aerosol or cloud extinction</w:t>
            </w:r>
          </w:p>
        </w:tc>
        <w:tc>
          <w:tcPr>
            <w:tcBorders>
              <w:top w:color="000000" w:space="0" w:sz="8" w:val="single"/>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color w:val="222222"/>
                <w:sz w:val="19"/>
                <w:szCs w:val="19"/>
                <w:highlight w:val="white"/>
                <w:rtl w:val="0"/>
              </w:rPr>
              <w:t xml:space="preserve">llinear_depolarization_aerosol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color w:val="222222"/>
                <w:sz w:val="19"/>
                <w:szCs w:val="19"/>
                <w:highlight w:val="white"/>
                <w:rtl w:val="0"/>
              </w:rPr>
              <w:t xml:space="preserve">backscatter_coefficent_aerosol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Aerosol backscatter coefficient</w:t>
            </w:r>
          </w:p>
        </w:tc>
        <w:tc>
          <w:tcPr>
            <w:tcBorders>
              <w:top w:color="000000" w:space="0" w:sz="8" w:val="single"/>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 sr^-1</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color w:val="222222"/>
                <w:sz w:val="19"/>
                <w:szCs w:val="19"/>
                <w:highlight w:val="white"/>
                <w:rtl w:val="0"/>
              </w:rPr>
              <w:t xml:space="preserve">backscatter_coefficent_aerosol_std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Uncertainty in aerosol backscatter coefficient due to shot noise</w:t>
            </w:r>
          </w:p>
        </w:tc>
        <w:tc>
          <w:tcPr>
            <w:tcBorders>
              <w:top w:color="000000" w:space="0" w:sz="8" w:val="single"/>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m^-1 sr^-1</w:t>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tcBorders>
              <w:top w:color="000000" w:space="0" w:sz="8" w:val="single"/>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range/altitude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tcBorders>
          </w:tcPr>
          <w:p w:rsidR="00000000" w:rsidDel="00000000" w:rsidP="00000000" w:rsidRDefault="00000000" w:rsidRPr="00000000">
            <w:pPr>
              <w:widowControl w:val="0"/>
              <w:pBdr/>
              <w:spacing w:after="40" w:before="4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r>
    </w:tbl>
    <w:p w:rsidR="00000000" w:rsidDel="00000000" w:rsidP="00000000" w:rsidRDefault="00000000" w:rsidRPr="00000000">
      <w:pPr>
        <w:widowControl w:val="0"/>
        <w:pBdr/>
        <w:spacing w:before="120" w:line="240" w:lineRule="auto"/>
        <w:contextualSpacing w:val="0"/>
        <w:rPr>
          <w:rFonts w:ascii="Times New Roman" w:cs="Times New Roman" w:eastAsia="Times New Roman" w:hAnsi="Times New Roman"/>
          <w:sz w:val="24"/>
          <w:szCs w:val="24"/>
        </w:rPr>
      </w:pPr>
      <w:bookmarkStart w:colFirst="0" w:colLast="0" w:name="_25b2l0r" w:id="6"/>
      <w:bookmarkEnd w:id="6"/>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1906" w:w="16838"/>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cfconventions.org/latest.html" TargetMode="External"/><Relationship Id="rId6" Type="http://schemas.openxmlformats.org/officeDocument/2006/relationships/hyperlink" Target="http://cfconventions.org/Data/cf-standard-names/docs/guidelines.html" TargetMode="External"/><Relationship Id="rId7" Type="http://schemas.openxmlformats.org/officeDocument/2006/relationships/hyperlink" Target="http://cfconventions.org/faq.html" TargetMode="External"/><Relationship Id="rId8" Type="http://schemas.openxmlformats.org/officeDocument/2006/relationships/image" Target="media/image2.png"/></Relationships>
</file>