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215F" w:rsidRPr="0035215F" w:rsidRDefault="0035215F" w:rsidP="0035215F">
      <w:pPr>
        <w:spacing w:after="60"/>
        <w:rPr>
          <w:rFonts w:ascii="Times New Roman" w:eastAsia="Times New Roman" w:hAnsi="Times New Roman" w:cs="Times New Roman"/>
        </w:rPr>
      </w:pPr>
      <w:r w:rsidRPr="0035215F">
        <w:rPr>
          <w:rFonts w:ascii="Arial" w:eastAsia="Times New Roman" w:hAnsi="Arial" w:cs="Arial"/>
          <w:color w:val="000000"/>
          <w:sz w:val="52"/>
          <w:szCs w:val="52"/>
        </w:rPr>
        <w:t>Biomarkers of Acute Myeloid Leukemia From RNA-</w:t>
      </w:r>
      <w:proofErr w:type="spellStart"/>
      <w:r w:rsidRPr="0035215F">
        <w:rPr>
          <w:rFonts w:ascii="Arial" w:eastAsia="Times New Roman" w:hAnsi="Arial" w:cs="Arial"/>
          <w:color w:val="000000"/>
          <w:sz w:val="52"/>
          <w:szCs w:val="52"/>
        </w:rPr>
        <w:t>seq</w:t>
      </w:r>
      <w:proofErr w:type="spellEnd"/>
      <w:r w:rsidRPr="0035215F">
        <w:rPr>
          <w:rFonts w:ascii="Arial" w:eastAsia="Times New Roman" w:hAnsi="Arial" w:cs="Arial"/>
          <w:color w:val="000000"/>
          <w:sz w:val="52"/>
          <w:szCs w:val="52"/>
        </w:rPr>
        <w:t xml:space="preserve"> Expression and Feature Selection with Machine Learning</w:t>
      </w:r>
    </w:p>
    <w:p w:rsidR="0035215F" w:rsidRPr="0035215F" w:rsidRDefault="0035215F" w:rsidP="0035215F">
      <w:pPr>
        <w:spacing w:after="240"/>
        <w:rPr>
          <w:rFonts w:ascii="Times New Roman" w:eastAsia="Times New Roman" w:hAnsi="Times New Roman" w:cs="Times New Roman"/>
        </w:rPr>
      </w:pPr>
      <w:r w:rsidRPr="0035215F">
        <w:rPr>
          <w:rFonts w:ascii="Times New Roman" w:eastAsia="Times New Roman" w:hAnsi="Times New Roman" w:cs="Times New Roman"/>
        </w:rPr>
        <w:br/>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Sean </w:t>
      </w:r>
      <w:proofErr w:type="spellStart"/>
      <w:r w:rsidRPr="0035215F">
        <w:rPr>
          <w:rFonts w:ascii="Arial" w:eastAsia="Times New Roman" w:hAnsi="Arial" w:cs="Arial"/>
          <w:color w:val="000000"/>
          <w:sz w:val="22"/>
          <w:szCs w:val="22"/>
        </w:rPr>
        <w:t>Maden</w:t>
      </w:r>
      <w:proofErr w:type="spellEnd"/>
    </w:p>
    <w:p w:rsidR="0035215F" w:rsidRPr="0035215F" w:rsidRDefault="0035215F" w:rsidP="0035215F">
      <w:pPr>
        <w:rPr>
          <w:rFonts w:ascii="Times New Roman" w:eastAsia="Times New Roman" w:hAnsi="Times New Roman" w:cs="Times New Roman"/>
        </w:rPr>
      </w:pPr>
      <w:hyperlink r:id="rId5" w:history="1">
        <w:r w:rsidRPr="0035215F">
          <w:rPr>
            <w:rFonts w:ascii="Arial" w:eastAsia="Times New Roman" w:hAnsi="Arial" w:cs="Arial"/>
            <w:color w:val="1155CC"/>
            <w:sz w:val="22"/>
            <w:szCs w:val="22"/>
            <w:u w:val="single"/>
          </w:rPr>
          <w:t>maden@ohsu.edu</w:t>
        </w:r>
      </w:hyperlink>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Ph.D. Candidate,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Computational Biology program</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Dept. of Biomedical Engineering</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Oregon Health and Science University,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David Lee</w:t>
      </w:r>
    </w:p>
    <w:p w:rsidR="0035215F" w:rsidRPr="0035215F" w:rsidRDefault="0035215F" w:rsidP="0035215F">
      <w:pPr>
        <w:rPr>
          <w:rFonts w:ascii="Times New Roman" w:eastAsia="Times New Roman" w:hAnsi="Times New Roman" w:cs="Times New Roman"/>
        </w:rPr>
      </w:pPr>
      <w:hyperlink r:id="rId6" w:history="1">
        <w:r w:rsidRPr="0035215F">
          <w:rPr>
            <w:rFonts w:ascii="Arial" w:eastAsia="Times New Roman" w:hAnsi="Arial" w:cs="Arial"/>
            <w:color w:val="1155CC"/>
            <w:sz w:val="22"/>
            <w:szCs w:val="22"/>
            <w:u w:val="single"/>
          </w:rPr>
          <w:t>davidlee327@gmail.com</w:t>
        </w:r>
      </w:hyperlink>
      <w:r w:rsidRPr="0035215F">
        <w:rPr>
          <w:rFonts w:ascii="Arial" w:eastAsia="Times New Roman" w:hAnsi="Arial" w:cs="Arial"/>
          <w:color w:val="000000"/>
          <w:sz w:val="22"/>
          <w:szCs w:val="22"/>
        </w:rPr>
        <w:t xml:space="preserve"> </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Jenny L. Smith </w:t>
      </w:r>
    </w:p>
    <w:p w:rsidR="0035215F" w:rsidRPr="0035215F" w:rsidRDefault="0035215F" w:rsidP="0035215F">
      <w:pPr>
        <w:rPr>
          <w:rFonts w:ascii="Times New Roman" w:eastAsia="Times New Roman" w:hAnsi="Times New Roman" w:cs="Times New Roman"/>
        </w:rPr>
      </w:pPr>
      <w:hyperlink r:id="rId7" w:history="1">
        <w:r w:rsidRPr="0035215F">
          <w:rPr>
            <w:rFonts w:ascii="Arial" w:eastAsia="Times New Roman" w:hAnsi="Arial" w:cs="Arial"/>
            <w:color w:val="1155CC"/>
            <w:sz w:val="22"/>
            <w:szCs w:val="22"/>
            <w:u w:val="single"/>
          </w:rPr>
          <w:t>jlsmith3@fredhutch.org</w:t>
        </w:r>
      </w:hyperlink>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Research Bioinformatician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Clinical Research Division - </w:t>
      </w:r>
      <w:proofErr w:type="spellStart"/>
      <w:r w:rsidRPr="0035215F">
        <w:rPr>
          <w:rFonts w:ascii="Arial" w:eastAsia="Times New Roman" w:hAnsi="Arial" w:cs="Arial"/>
          <w:color w:val="000000"/>
          <w:sz w:val="22"/>
          <w:szCs w:val="22"/>
        </w:rPr>
        <w:t>Meshinchi</w:t>
      </w:r>
      <w:proofErr w:type="spellEnd"/>
      <w:r w:rsidRPr="0035215F">
        <w:rPr>
          <w:rFonts w:ascii="Arial" w:eastAsia="Times New Roman" w:hAnsi="Arial" w:cs="Arial"/>
          <w:color w:val="000000"/>
          <w:sz w:val="22"/>
          <w:szCs w:val="22"/>
        </w:rPr>
        <w:t xml:space="preserve"> Lab</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Ronald </w:t>
      </w:r>
      <w:proofErr w:type="spellStart"/>
      <w:r w:rsidRPr="0035215F">
        <w:rPr>
          <w:rFonts w:ascii="Arial" w:eastAsia="Times New Roman" w:hAnsi="Arial" w:cs="Arial"/>
          <w:color w:val="000000"/>
          <w:sz w:val="22"/>
          <w:szCs w:val="22"/>
        </w:rPr>
        <w:t>Buie</w:t>
      </w:r>
      <w:proofErr w:type="spellEnd"/>
    </w:p>
    <w:p w:rsidR="0035215F" w:rsidRPr="0035215F" w:rsidRDefault="0035215F" w:rsidP="0035215F">
      <w:pPr>
        <w:rPr>
          <w:rFonts w:ascii="Times New Roman" w:eastAsia="Times New Roman" w:hAnsi="Times New Roman" w:cs="Times New Roman"/>
        </w:rPr>
      </w:pPr>
      <w:hyperlink r:id="rId8" w:history="1">
        <w:r w:rsidRPr="0035215F">
          <w:rPr>
            <w:rFonts w:ascii="Arial" w:eastAsia="Times New Roman" w:hAnsi="Arial" w:cs="Arial"/>
            <w:color w:val="1155CC"/>
            <w:sz w:val="22"/>
            <w:szCs w:val="22"/>
            <w:u w:val="single"/>
          </w:rPr>
          <w:t>buierw@uw.edu</w:t>
        </w:r>
      </w:hyperlink>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Assistant Director, NNLM Evaluation Office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PhD Candidate, University of Washington, Biomedical and Health Informatics</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proofErr w:type="spellStart"/>
      <w:r w:rsidRPr="0035215F">
        <w:rPr>
          <w:rFonts w:ascii="Arial" w:eastAsia="Times New Roman" w:hAnsi="Arial" w:cs="Arial"/>
          <w:color w:val="000000"/>
          <w:sz w:val="22"/>
          <w:szCs w:val="22"/>
        </w:rPr>
        <w:t>Vikas</w:t>
      </w:r>
      <w:proofErr w:type="spellEnd"/>
      <w:r w:rsidRPr="0035215F">
        <w:rPr>
          <w:rFonts w:ascii="Arial" w:eastAsia="Times New Roman" w:hAnsi="Arial" w:cs="Arial"/>
          <w:color w:val="000000"/>
          <w:sz w:val="22"/>
          <w:szCs w:val="22"/>
        </w:rPr>
        <w:t xml:space="preserve"> </w:t>
      </w:r>
      <w:proofErr w:type="spellStart"/>
      <w:r w:rsidRPr="0035215F">
        <w:rPr>
          <w:rFonts w:ascii="Arial" w:eastAsia="Times New Roman" w:hAnsi="Arial" w:cs="Arial"/>
          <w:color w:val="000000"/>
          <w:sz w:val="22"/>
          <w:szCs w:val="22"/>
        </w:rPr>
        <w:t>Peddu</w:t>
      </w:r>
      <w:proofErr w:type="spellEnd"/>
      <w:r w:rsidRPr="0035215F">
        <w:rPr>
          <w:rFonts w:ascii="Arial" w:eastAsia="Times New Roman" w:hAnsi="Arial" w:cs="Arial"/>
          <w:color w:val="000000"/>
          <w:sz w:val="22"/>
          <w:szCs w:val="22"/>
        </w:rPr>
        <w:t xml:space="preserve"> </w:t>
      </w:r>
    </w:p>
    <w:p w:rsidR="0035215F" w:rsidRPr="0035215F" w:rsidRDefault="0035215F" w:rsidP="0035215F">
      <w:pPr>
        <w:rPr>
          <w:rFonts w:ascii="Times New Roman" w:eastAsia="Times New Roman" w:hAnsi="Times New Roman" w:cs="Times New Roman"/>
        </w:rPr>
      </w:pPr>
      <w:hyperlink r:id="rId9" w:history="1">
        <w:r w:rsidRPr="0035215F">
          <w:rPr>
            <w:rFonts w:ascii="Arial" w:eastAsia="Times New Roman" w:hAnsi="Arial" w:cs="Arial"/>
            <w:color w:val="1155CC"/>
            <w:sz w:val="22"/>
            <w:szCs w:val="22"/>
            <w:u w:val="single"/>
          </w:rPr>
          <w:t>Vpeddu@uw.edu</w:t>
        </w:r>
      </w:hyperlink>
      <w:r w:rsidRPr="0035215F">
        <w:rPr>
          <w:rFonts w:ascii="Arial" w:eastAsia="Times New Roman" w:hAnsi="Arial" w:cs="Arial"/>
          <w:color w:val="000000"/>
          <w:sz w:val="22"/>
          <w:szCs w:val="22"/>
        </w:rPr>
        <w:t xml:space="preserve">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M.S. Candidate,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University of Washington Department of Laboratory Medicine, Virology</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Ryan </w:t>
      </w:r>
      <w:proofErr w:type="spellStart"/>
      <w:r w:rsidRPr="0035215F">
        <w:rPr>
          <w:rFonts w:ascii="Arial" w:eastAsia="Times New Roman" w:hAnsi="Arial" w:cs="Arial"/>
          <w:color w:val="000000"/>
          <w:sz w:val="22"/>
          <w:szCs w:val="22"/>
        </w:rPr>
        <w:t>Shean</w:t>
      </w:r>
      <w:proofErr w:type="spellEnd"/>
    </w:p>
    <w:p w:rsidR="0035215F" w:rsidRPr="0035215F" w:rsidRDefault="0035215F" w:rsidP="0035215F">
      <w:pPr>
        <w:rPr>
          <w:rFonts w:ascii="Times New Roman" w:eastAsia="Times New Roman" w:hAnsi="Times New Roman" w:cs="Times New Roman"/>
        </w:rPr>
      </w:pPr>
      <w:hyperlink r:id="rId10" w:history="1">
        <w:r w:rsidRPr="0035215F">
          <w:rPr>
            <w:rFonts w:ascii="Arial" w:eastAsia="Times New Roman" w:hAnsi="Arial" w:cs="Arial"/>
            <w:color w:val="1155CC"/>
            <w:sz w:val="22"/>
            <w:szCs w:val="22"/>
            <w:u w:val="single"/>
          </w:rPr>
          <w:t>rcs333@uw.edu</w:t>
        </w:r>
      </w:hyperlink>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University of Washington Virology</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1616 Eastlake Ave E, Seattle, WA 98105</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Abstract</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22"/>
          <w:szCs w:val="22"/>
        </w:rPr>
        <w:t xml:space="preserve">Acute myeloid leukemia (AML) is a cancer of the blood and bone marrow myeloid stem cells that poses substantial population burden, especially for pediatric populations. AML is a highly heterogeneous cancer. Prior literature has characterized dozens of molecular subtypes based primarily on cytogenetics, sequence variants, structural variants, and aberrant gene expression. This body of prior work represents substantial time, energy, and resources, and we were interested in the utility of automated feature selection methods for molecular characterization of </w:t>
      </w:r>
      <w:r w:rsidRPr="0035215F">
        <w:rPr>
          <w:rFonts w:ascii="Arial" w:eastAsia="Times New Roman" w:hAnsi="Arial" w:cs="Arial"/>
          <w:color w:val="000000"/>
          <w:kern w:val="36"/>
          <w:sz w:val="22"/>
          <w:szCs w:val="22"/>
        </w:rPr>
        <w:lastRenderedPageBreak/>
        <w:t>AML. We used an ensemble machine learning approach, wherein we evaluated top important features across models fitted using AML RNA-</w:t>
      </w:r>
      <w:proofErr w:type="spellStart"/>
      <w:r w:rsidRPr="0035215F">
        <w:rPr>
          <w:rFonts w:ascii="Arial" w:eastAsia="Times New Roman" w:hAnsi="Arial" w:cs="Arial"/>
          <w:color w:val="000000"/>
          <w:kern w:val="36"/>
          <w:sz w:val="22"/>
          <w:szCs w:val="22"/>
        </w:rPr>
        <w:t>seq</w:t>
      </w:r>
      <w:proofErr w:type="spellEnd"/>
      <w:r w:rsidRPr="0035215F">
        <w:rPr>
          <w:rFonts w:ascii="Arial" w:eastAsia="Times New Roman" w:hAnsi="Arial" w:cs="Arial"/>
          <w:color w:val="000000"/>
          <w:kern w:val="36"/>
          <w:sz w:val="22"/>
          <w:szCs w:val="22"/>
        </w:rPr>
        <w:t xml:space="preserve"> data and a variety of different algorithm types. We assessed consensus of feature selection results across fitted models, and whether prior literature validates these genes’ functional roles in AML development, risk, and progression.</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Keywords</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Pediatric, leukemia, myeloid, RNA-</w:t>
      </w:r>
      <w:proofErr w:type="spellStart"/>
      <w:r w:rsidRPr="0035215F">
        <w:rPr>
          <w:rFonts w:ascii="Arial" w:eastAsia="Times New Roman" w:hAnsi="Arial" w:cs="Arial"/>
          <w:color w:val="000000"/>
          <w:sz w:val="22"/>
          <w:szCs w:val="22"/>
        </w:rPr>
        <w:t>seq</w:t>
      </w:r>
      <w:proofErr w:type="spellEnd"/>
      <w:r w:rsidRPr="0035215F">
        <w:rPr>
          <w:rFonts w:ascii="Arial" w:eastAsia="Times New Roman" w:hAnsi="Arial" w:cs="Arial"/>
          <w:color w:val="000000"/>
          <w:sz w:val="22"/>
          <w:szCs w:val="22"/>
        </w:rPr>
        <w:t>, computation, machine learning</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Introduction</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Leukemia is a cancer of the blood arising in white blood cells of the bone marrow. It poses a substantial population burden as the most common pediatric cancer (</w:t>
      </w:r>
      <w:r w:rsidRPr="0035215F">
        <w:rPr>
          <w:rFonts w:ascii="Arial" w:eastAsia="Times New Roman" w:hAnsi="Arial" w:cs="Arial"/>
          <w:color w:val="000000"/>
          <w:sz w:val="13"/>
          <w:szCs w:val="13"/>
          <w:vertAlign w:val="superscript"/>
        </w:rPr>
        <w:t>1,2</w:t>
      </w:r>
      <w:r w:rsidRPr="0035215F">
        <w:rPr>
          <w:rFonts w:ascii="Arial" w:eastAsia="Times New Roman" w:hAnsi="Arial" w:cs="Arial"/>
          <w:color w:val="000000"/>
          <w:sz w:val="22"/>
          <w:szCs w:val="22"/>
        </w:rPr>
        <w:t xml:space="preserve">). Leukemia can show aggressive progression if untreated at an early stage, and depending on whether it manifests as acute or chronic. </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Acute Myelogenous Leukemia (AML) is a type of leukemia impacting the myeloblast stem cells. It arises at a current rate of approximately 20,000 cases per year with 27.4% 5-year survival </w:t>
      </w:r>
      <w:r w:rsidRPr="0035215F">
        <w:rPr>
          <w:rFonts w:ascii="Arial" w:eastAsia="Times New Roman" w:hAnsi="Arial" w:cs="Arial"/>
          <w:color w:val="000000"/>
          <w:sz w:val="13"/>
          <w:szCs w:val="13"/>
          <w:vertAlign w:val="superscript"/>
        </w:rPr>
        <w:t>2</w:t>
      </w:r>
      <w:r w:rsidRPr="0035215F">
        <w:rPr>
          <w:rFonts w:ascii="Arial" w:eastAsia="Times New Roman" w:hAnsi="Arial" w:cs="Arial"/>
          <w:color w:val="000000"/>
          <w:sz w:val="22"/>
          <w:szCs w:val="22"/>
        </w:rPr>
        <w:t xml:space="preserve">. AML shows high molecular heterogeneity, with several clinically relevant subtypes, including </w:t>
      </w:r>
      <w:proofErr w:type="gramStart"/>
      <w:r w:rsidRPr="0035215F">
        <w:rPr>
          <w:rFonts w:ascii="Arial" w:eastAsia="Times New Roman" w:hAnsi="Arial" w:cs="Arial"/>
          <w:color w:val="000000"/>
          <w:sz w:val="22"/>
          <w:szCs w:val="22"/>
        </w:rPr>
        <w:t>the  Acute</w:t>
      </w:r>
      <w:proofErr w:type="gramEnd"/>
      <w:r w:rsidRPr="0035215F">
        <w:rPr>
          <w:rFonts w:ascii="Arial" w:eastAsia="Times New Roman" w:hAnsi="Arial" w:cs="Arial"/>
          <w:color w:val="000000"/>
          <w:sz w:val="22"/>
          <w:szCs w:val="22"/>
        </w:rPr>
        <w:t xml:space="preserve"> promyelocytic leukemia (APL) subtype caused by a gene fusion event, and perhaps dozens of subtypes defined by various factors ranging from cell differentiation state to cytogenic and sequencing assays (</w:t>
      </w:r>
      <w:r w:rsidRPr="0035215F">
        <w:rPr>
          <w:rFonts w:ascii="Arial" w:eastAsia="Times New Roman" w:hAnsi="Arial" w:cs="Arial"/>
          <w:color w:val="000000"/>
          <w:sz w:val="13"/>
          <w:szCs w:val="13"/>
          <w:vertAlign w:val="superscript"/>
        </w:rPr>
        <w:t>2–4</w:t>
      </w:r>
      <w:r w:rsidRPr="0035215F">
        <w:rPr>
          <w:rFonts w:ascii="Arial" w:eastAsia="Times New Roman" w:hAnsi="Arial" w:cs="Arial"/>
          <w:color w:val="000000"/>
          <w:sz w:val="22"/>
          <w:szCs w:val="22"/>
        </w:rPr>
        <w:t>). Pediatric AML is characterized at a molecular level by rare somatic mutations, absence of common adult AML mutations, and relatively frequent structural variants (</w:t>
      </w:r>
      <w:r w:rsidRPr="0035215F">
        <w:rPr>
          <w:rFonts w:ascii="Arial" w:eastAsia="Times New Roman" w:hAnsi="Arial" w:cs="Arial"/>
          <w:color w:val="000000"/>
          <w:sz w:val="13"/>
          <w:szCs w:val="13"/>
          <w:vertAlign w:val="superscript"/>
        </w:rPr>
        <w:t>5</w:t>
      </w:r>
      <w:r w:rsidRPr="0035215F">
        <w:rPr>
          <w:rFonts w:ascii="Arial" w:eastAsia="Times New Roman" w:hAnsi="Arial" w:cs="Arial"/>
          <w:color w:val="000000"/>
          <w:sz w:val="22"/>
          <w:szCs w:val="22"/>
        </w:rPr>
        <w:t>). These findings indicate the importance of age-based targeted therapies and the utility of molecular assays in enabling a better understanding of clinically relevant molecular variation underlying AML cases.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Here, we apply several machine learning approaches for feature selection of RNA-</w:t>
      </w:r>
      <w:proofErr w:type="spellStart"/>
      <w:r w:rsidRPr="0035215F">
        <w:rPr>
          <w:rFonts w:ascii="Arial" w:eastAsia="Times New Roman" w:hAnsi="Arial" w:cs="Arial"/>
          <w:color w:val="000000"/>
          <w:sz w:val="22"/>
          <w:szCs w:val="22"/>
        </w:rPr>
        <w:t>seq</w:t>
      </w:r>
      <w:proofErr w:type="spellEnd"/>
      <w:r w:rsidRPr="0035215F">
        <w:rPr>
          <w:rFonts w:ascii="Arial" w:eastAsia="Times New Roman" w:hAnsi="Arial" w:cs="Arial"/>
          <w:color w:val="000000"/>
          <w:sz w:val="22"/>
          <w:szCs w:val="22"/>
        </w:rPr>
        <w:t xml:space="preserve"> data from both pediatric and adult AML cases. This investigation aimed to help illuminate gene expression-based heterogeneity underlying AML cases, as well as age-related and -unrelated dysregulation patterns. We used clinical and assay data from pediatric cancer patients from the Therapeutically Applicable Research </w:t>
      </w:r>
      <w:proofErr w:type="gramStart"/>
      <w:r w:rsidRPr="0035215F">
        <w:rPr>
          <w:rFonts w:ascii="Arial" w:eastAsia="Times New Roman" w:hAnsi="Arial" w:cs="Arial"/>
          <w:color w:val="000000"/>
          <w:sz w:val="22"/>
          <w:szCs w:val="22"/>
        </w:rPr>
        <w:t>To</w:t>
      </w:r>
      <w:proofErr w:type="gramEnd"/>
      <w:r w:rsidRPr="0035215F">
        <w:rPr>
          <w:rFonts w:ascii="Arial" w:eastAsia="Times New Roman" w:hAnsi="Arial" w:cs="Arial"/>
          <w:color w:val="000000"/>
          <w:sz w:val="22"/>
          <w:szCs w:val="22"/>
        </w:rPr>
        <w:t xml:space="preserve"> Generate Effective Treatments (TARGET) initiative (</w:t>
      </w:r>
      <w:hyperlink r:id="rId11" w:history="1">
        <w:r w:rsidRPr="0035215F">
          <w:rPr>
            <w:rFonts w:ascii="Arial" w:eastAsia="Times New Roman" w:hAnsi="Arial" w:cs="Arial"/>
            <w:color w:val="000000"/>
            <w:sz w:val="22"/>
            <w:szCs w:val="22"/>
            <w:u w:val="single"/>
          </w:rPr>
          <w:t>https://ocg.cancer.gov/programs/target/</w:t>
        </w:r>
      </w:hyperlink>
      <w:r w:rsidRPr="0035215F">
        <w:rPr>
          <w:rFonts w:ascii="Arial" w:eastAsia="Times New Roman" w:hAnsi="Arial" w:cs="Arial"/>
          <w:color w:val="000000"/>
          <w:sz w:val="22"/>
          <w:szCs w:val="22"/>
        </w:rPr>
        <w:t>).</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In exploring the potential for machine learning to aid in molecular characterization of pediatric AML, we were interested in demonstrating the potential and efficacy of automated feature selection. Extensive prior analyses have identified and characterized molecular subtypes in AML, but these efforts require considerable time and expertise. In the era of big data science, we were interested in the potential for machine learning to reduce barriers to insight of cancer molecular subtypes.</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Methods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We accessed TARGET pediatric cancer assay and clinical data, and TCGA adult cancer case data, through the project website and Genomic Data Commons (</w:t>
      </w:r>
      <w:hyperlink r:id="rId12" w:history="1">
        <w:r w:rsidRPr="0035215F">
          <w:rPr>
            <w:rFonts w:ascii="Arial" w:eastAsia="Times New Roman" w:hAnsi="Arial" w:cs="Arial"/>
            <w:color w:val="1155CC"/>
            <w:sz w:val="22"/>
            <w:szCs w:val="22"/>
            <w:u w:val="single"/>
          </w:rPr>
          <w:t>https://gdc.cancer.gov/</w:t>
        </w:r>
      </w:hyperlink>
      <w:r w:rsidRPr="0035215F">
        <w:rPr>
          <w:rFonts w:ascii="Arial" w:eastAsia="Times New Roman" w:hAnsi="Arial" w:cs="Arial"/>
          <w:color w:val="000000"/>
          <w:sz w:val="22"/>
          <w:szCs w:val="22"/>
        </w:rPr>
        <w:t xml:space="preserve">) on February 4th, 2018. Information on patient enrollment, assay collection, and other related </w:t>
      </w:r>
      <w:r w:rsidRPr="0035215F">
        <w:rPr>
          <w:rFonts w:ascii="Arial" w:eastAsia="Times New Roman" w:hAnsi="Arial" w:cs="Arial"/>
          <w:color w:val="000000"/>
          <w:sz w:val="22"/>
          <w:szCs w:val="22"/>
        </w:rPr>
        <w:lastRenderedPageBreak/>
        <w:t>protocols are available in the online methods at the consortia websites (</w:t>
      </w:r>
      <w:hyperlink r:id="rId13" w:history="1">
        <w:r w:rsidRPr="0035215F">
          <w:rPr>
            <w:rFonts w:ascii="Arial" w:eastAsia="Times New Roman" w:hAnsi="Arial" w:cs="Arial"/>
            <w:color w:val="000000"/>
            <w:sz w:val="13"/>
            <w:szCs w:val="13"/>
            <w:u w:val="single"/>
            <w:vertAlign w:val="superscript"/>
          </w:rPr>
          <w:t>6</w:t>
        </w:r>
      </w:hyperlink>
      <w:r w:rsidRPr="0035215F">
        <w:rPr>
          <w:rFonts w:ascii="Arial" w:eastAsia="Times New Roman" w:hAnsi="Arial" w:cs="Arial"/>
          <w:color w:val="000000"/>
          <w:sz w:val="22"/>
          <w:szCs w:val="22"/>
        </w:rPr>
        <w:t xml:space="preserve">; </w:t>
      </w:r>
      <w:hyperlink r:id="rId14" w:history="1">
        <w:r w:rsidRPr="0035215F">
          <w:rPr>
            <w:rFonts w:ascii="Arial" w:eastAsia="Times New Roman" w:hAnsi="Arial" w:cs="Arial"/>
            <w:color w:val="1155CC"/>
            <w:sz w:val="22"/>
            <w:szCs w:val="22"/>
            <w:u w:val="single"/>
          </w:rPr>
          <w:t>https://cancergenome.nih.gov/</w:t>
        </w:r>
      </w:hyperlink>
      <w:r w:rsidRPr="0035215F">
        <w:rPr>
          <w:rFonts w:ascii="Arial" w:eastAsia="Times New Roman" w:hAnsi="Arial" w:cs="Arial"/>
          <w:color w:val="000000"/>
          <w:sz w:val="22"/>
          <w:szCs w:val="22"/>
        </w:rPr>
        <w:t>).</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fldChar w:fldCharType="begin"/>
      </w:r>
      <w:r w:rsidRPr="0035215F">
        <w:rPr>
          <w:rFonts w:ascii="Arial" w:eastAsia="Times New Roman" w:hAnsi="Arial" w:cs="Arial"/>
          <w:color w:val="000000"/>
          <w:sz w:val="22"/>
          <w:szCs w:val="22"/>
        </w:rPr>
        <w:instrText xml:space="preserve"> INCLUDEPICTURE "https://lh5.googleusercontent.com/J_I_a-poQRINy5AmNAXqjEVCAdtbpPGRvNoxiIURaz6V0CGhUwR8srsD2V4i-H1BE1--2SiU9MpdpO-AL0PIqg5iiTJUqG9_VFMUVep7IArj3MeYrxdX-SPro6qhavgxv5NY-DPV" \* MERGEFORMATINET </w:instrText>
      </w:r>
      <w:r w:rsidRPr="0035215F">
        <w:rPr>
          <w:rFonts w:ascii="Arial" w:eastAsia="Times New Roman" w:hAnsi="Arial" w:cs="Arial"/>
          <w:color w:val="000000"/>
          <w:sz w:val="22"/>
          <w:szCs w:val="22"/>
        </w:rPr>
        <w:fldChar w:fldCharType="separate"/>
      </w:r>
      <w:r w:rsidRPr="0035215F">
        <w:rPr>
          <w:rFonts w:ascii="Arial" w:eastAsia="Times New Roman" w:hAnsi="Arial" w:cs="Arial"/>
          <w:noProof/>
          <w:color w:val="000000"/>
          <w:sz w:val="22"/>
          <w:szCs w:val="22"/>
        </w:rPr>
        <w:drawing>
          <wp:inline distT="0" distB="0" distL="0" distR="0">
            <wp:extent cx="5943600" cy="3347720"/>
            <wp:effectExtent l="0" t="0" r="0" b="5080"/>
            <wp:docPr id="8" name="Picture 8" descr="https://lh5.googleusercontent.com/J_I_a-poQRINy5AmNAXqjEVCAdtbpPGRvNoxiIURaz6V0CGhUwR8srsD2V4i-H1BE1--2SiU9MpdpO-AL0PIqg5iiTJUqG9_VFMUVep7IArj3MeYrxdX-SPro6qhavgxv5NY-D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_I_a-poQRINy5AmNAXqjEVCAdtbpPGRvNoxiIURaz6V0CGhUwR8srsD2V4i-H1BE1--2SiU9MpdpO-AL0PIqg5iiTJUqG9_VFMUVep7IArj3MeYrxdX-SPro6qhavgxv5NY-DP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r w:rsidRPr="0035215F">
        <w:rPr>
          <w:rFonts w:ascii="Arial" w:eastAsia="Times New Roman" w:hAnsi="Arial" w:cs="Arial"/>
          <w:color w:val="000000"/>
          <w:sz w:val="22"/>
          <w:szCs w:val="22"/>
        </w:rPr>
        <w:fldChar w:fldCharType="end"/>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The TARGET pediatric AML cohort consists of samples from N = 156 patients, with tissues including primary peripheral blood (N = 26 samples), recurrent bone marrow samples (40 samples), primary bone marrow (119 samples), and recurrent peripheral blood (2 samples). For the following analyses, we combined primary blood and bone tissues from 145 patients. TARGET clinical data includes a risk group variable that reflects patient risk of disease progression, based on an aggregate of histological and molecular evidence. We recoded risk group to be Low (0) or Not-low (1), where the latter category included standard and </w:t>
      </w:r>
      <w:proofErr w:type="gramStart"/>
      <w:r w:rsidRPr="0035215F">
        <w:rPr>
          <w:rFonts w:ascii="Arial" w:eastAsia="Times New Roman" w:hAnsi="Arial" w:cs="Arial"/>
          <w:color w:val="000000"/>
          <w:sz w:val="22"/>
          <w:szCs w:val="22"/>
        </w:rPr>
        <w:t>high risk</w:t>
      </w:r>
      <w:proofErr w:type="gramEnd"/>
      <w:r w:rsidRPr="0035215F">
        <w:rPr>
          <w:rFonts w:ascii="Arial" w:eastAsia="Times New Roman" w:hAnsi="Arial" w:cs="Arial"/>
          <w:color w:val="000000"/>
          <w:sz w:val="22"/>
          <w:szCs w:val="22"/>
        </w:rPr>
        <w:t xml:space="preserve"> group samples. We excluded samples of unknown risk. Primary pediatric AML samples were then randomly divided in training and validation subsets at a 1:1 sample size ratio, preserving frequencies of classifier categories across the data subsets. </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The first iteration of feature selection involved choosing features based on variance. For both the Low-Risk and Not-Low-Risk group, 1000 features with the most variance were selected from both groups and used to fit and test a Random Forest, </w:t>
      </w:r>
      <w:proofErr w:type="spellStart"/>
      <w:r w:rsidRPr="0035215F">
        <w:rPr>
          <w:rFonts w:ascii="Arial" w:eastAsia="Times New Roman" w:hAnsi="Arial" w:cs="Arial"/>
          <w:color w:val="000000"/>
          <w:sz w:val="22"/>
          <w:szCs w:val="22"/>
        </w:rPr>
        <w:t>XGBoost</w:t>
      </w:r>
      <w:proofErr w:type="spellEnd"/>
      <w:r w:rsidRPr="0035215F">
        <w:rPr>
          <w:rFonts w:ascii="Arial" w:eastAsia="Times New Roman" w:hAnsi="Arial" w:cs="Arial"/>
          <w:color w:val="000000"/>
          <w:sz w:val="22"/>
          <w:szCs w:val="22"/>
        </w:rPr>
        <w:t xml:space="preserve">, and Gradient Boosting model. The step was repeated selecting features with the least variance. Both methods of feature selection outperformed randomly choosing 2000 features. </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The second iteration of modeling involved using all possible features. A logistic regression with Lasso regularization was fit on all features, reducing the number of important features to 3212.  A Random Forest and </w:t>
      </w:r>
      <w:proofErr w:type="spellStart"/>
      <w:r w:rsidRPr="0035215F">
        <w:rPr>
          <w:rFonts w:ascii="Arial" w:eastAsia="Times New Roman" w:hAnsi="Arial" w:cs="Arial"/>
          <w:color w:val="000000"/>
          <w:sz w:val="22"/>
          <w:szCs w:val="22"/>
        </w:rPr>
        <w:t>XGBoost</w:t>
      </w:r>
      <w:proofErr w:type="spellEnd"/>
      <w:r w:rsidRPr="0035215F">
        <w:rPr>
          <w:rFonts w:ascii="Arial" w:eastAsia="Times New Roman" w:hAnsi="Arial" w:cs="Arial"/>
          <w:color w:val="000000"/>
          <w:sz w:val="22"/>
          <w:szCs w:val="22"/>
        </w:rPr>
        <w:t xml:space="preserve"> model were also fit and tested on all possible features, resulting in 1147 and 332 important features, respectively. The intersection of these features was then analyzed.</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lastRenderedPageBreak/>
        <w:t xml:space="preserve">A second logistic regression with Lasso regularization was fit until complete convergence, resulting in a reduction to 174 features. The intersection of these 174 features and the 332 features of the </w:t>
      </w:r>
      <w:proofErr w:type="spellStart"/>
      <w:r w:rsidRPr="0035215F">
        <w:rPr>
          <w:rFonts w:ascii="Arial" w:eastAsia="Times New Roman" w:hAnsi="Arial" w:cs="Arial"/>
          <w:color w:val="000000"/>
          <w:sz w:val="22"/>
          <w:szCs w:val="22"/>
        </w:rPr>
        <w:t>XBoost</w:t>
      </w:r>
      <w:proofErr w:type="spellEnd"/>
      <w:r w:rsidRPr="0035215F">
        <w:rPr>
          <w:rFonts w:ascii="Arial" w:eastAsia="Times New Roman" w:hAnsi="Arial" w:cs="Arial"/>
          <w:color w:val="000000"/>
          <w:sz w:val="22"/>
          <w:szCs w:val="22"/>
        </w:rPr>
        <w:t xml:space="preserve"> model were then analyzed.</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Logistic regressions were also performed using the R Bioconductor packages </w:t>
      </w:r>
      <w:proofErr w:type="spellStart"/>
      <w:r w:rsidRPr="0035215F">
        <w:rPr>
          <w:rFonts w:ascii="Arial" w:eastAsia="Times New Roman" w:hAnsi="Arial" w:cs="Arial"/>
          <w:color w:val="000000"/>
          <w:sz w:val="22"/>
          <w:szCs w:val="22"/>
        </w:rPr>
        <w:t>MLseq</w:t>
      </w:r>
      <w:proofErr w:type="spellEnd"/>
      <w:r w:rsidRPr="0035215F">
        <w:rPr>
          <w:rFonts w:ascii="Arial" w:eastAsia="Times New Roman" w:hAnsi="Arial" w:cs="Arial"/>
          <w:color w:val="000000"/>
          <w:sz w:val="22"/>
          <w:szCs w:val="22"/>
        </w:rPr>
        <w:t xml:space="preserve"> and DEseq2. Data were randomly </w:t>
      </w:r>
      <w:proofErr w:type="spellStart"/>
      <w:r w:rsidRPr="0035215F">
        <w:rPr>
          <w:rFonts w:ascii="Arial" w:eastAsia="Times New Roman" w:hAnsi="Arial" w:cs="Arial"/>
          <w:color w:val="000000"/>
          <w:sz w:val="22"/>
          <w:szCs w:val="22"/>
        </w:rPr>
        <w:t>subsetted</w:t>
      </w:r>
      <w:proofErr w:type="spellEnd"/>
      <w:r w:rsidRPr="0035215F">
        <w:rPr>
          <w:rFonts w:ascii="Arial" w:eastAsia="Times New Roman" w:hAnsi="Arial" w:cs="Arial"/>
          <w:color w:val="000000"/>
          <w:sz w:val="22"/>
          <w:szCs w:val="22"/>
        </w:rPr>
        <w:t xml:space="preserve"> with 30% used for testing and 70% used for model training. Features were selected as either low risk group, or </w:t>
      </w:r>
      <w:proofErr w:type="gramStart"/>
      <w:r w:rsidRPr="0035215F">
        <w:rPr>
          <w:rFonts w:ascii="Arial" w:eastAsia="Times New Roman" w:hAnsi="Arial" w:cs="Arial"/>
          <w:color w:val="000000"/>
          <w:sz w:val="22"/>
          <w:szCs w:val="22"/>
        </w:rPr>
        <w:t>high risk</w:t>
      </w:r>
      <w:proofErr w:type="gramEnd"/>
      <w:r w:rsidRPr="0035215F">
        <w:rPr>
          <w:rFonts w:ascii="Arial" w:eastAsia="Times New Roman" w:hAnsi="Arial" w:cs="Arial"/>
          <w:color w:val="000000"/>
          <w:sz w:val="22"/>
          <w:szCs w:val="22"/>
        </w:rPr>
        <w:t xml:space="preserve"> group. The models trained and fitted in this manner were </w:t>
      </w:r>
      <w:proofErr w:type="spellStart"/>
      <w:r w:rsidRPr="0035215F">
        <w:rPr>
          <w:rFonts w:ascii="Arial" w:eastAsia="Times New Roman" w:hAnsi="Arial" w:cs="Arial"/>
          <w:color w:val="000000"/>
          <w:sz w:val="22"/>
          <w:szCs w:val="22"/>
        </w:rPr>
        <w:t>VoomNSC</w:t>
      </w:r>
      <w:proofErr w:type="spellEnd"/>
      <w:r w:rsidRPr="0035215F">
        <w:rPr>
          <w:rFonts w:ascii="Arial" w:eastAsia="Times New Roman" w:hAnsi="Arial" w:cs="Arial"/>
          <w:color w:val="000000"/>
          <w:sz w:val="22"/>
          <w:szCs w:val="22"/>
        </w:rPr>
        <w:t xml:space="preserve">, </w:t>
      </w:r>
      <w:proofErr w:type="spellStart"/>
      <w:r w:rsidRPr="0035215F">
        <w:rPr>
          <w:rFonts w:ascii="Arial" w:eastAsia="Times New Roman" w:hAnsi="Arial" w:cs="Arial"/>
          <w:color w:val="000000"/>
          <w:sz w:val="22"/>
          <w:szCs w:val="22"/>
        </w:rPr>
        <w:t>voomDLDA</w:t>
      </w:r>
      <w:proofErr w:type="spellEnd"/>
      <w:r w:rsidRPr="0035215F">
        <w:rPr>
          <w:rFonts w:ascii="Arial" w:eastAsia="Times New Roman" w:hAnsi="Arial" w:cs="Arial"/>
          <w:color w:val="000000"/>
          <w:sz w:val="22"/>
          <w:szCs w:val="22"/>
        </w:rPr>
        <w:t xml:space="preserve">, PLDA, PLDA2, and </w:t>
      </w:r>
      <w:proofErr w:type="spellStart"/>
      <w:r w:rsidRPr="0035215F">
        <w:rPr>
          <w:rFonts w:ascii="Arial" w:eastAsia="Times New Roman" w:hAnsi="Arial" w:cs="Arial"/>
          <w:color w:val="000000"/>
          <w:sz w:val="22"/>
          <w:szCs w:val="22"/>
        </w:rPr>
        <w:t>nblda</w:t>
      </w:r>
      <w:proofErr w:type="spellEnd"/>
      <w:r w:rsidRPr="0035215F">
        <w:rPr>
          <w:rFonts w:ascii="Arial" w:eastAsia="Times New Roman" w:hAnsi="Arial" w:cs="Arial"/>
          <w:color w:val="000000"/>
          <w:sz w:val="22"/>
          <w:szCs w:val="22"/>
        </w:rPr>
        <w:t xml:space="preserve">. </w:t>
      </w:r>
    </w:p>
    <w:p w:rsidR="0035215F" w:rsidRPr="0035215F" w:rsidRDefault="0035215F" w:rsidP="0035215F">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7487"/>
        <w:gridCol w:w="1873"/>
      </w:tblGrid>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r w:rsidRPr="0035215F">
              <w:rPr>
                <w:rFonts w:ascii="Arial" w:eastAsia="Times New Roman" w:hAnsi="Arial" w:cs="Arial"/>
                <w:b/>
                <w:bCs/>
                <w:color w:val="000000"/>
                <w:sz w:val="22"/>
                <w:szCs w:val="22"/>
              </w:rPr>
              <w:t>Algorithm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r w:rsidRPr="0035215F">
              <w:rPr>
                <w:rFonts w:ascii="Arial" w:eastAsia="Times New Roman" w:hAnsi="Arial" w:cs="Arial"/>
                <w:b/>
                <w:bCs/>
                <w:color w:val="000000"/>
                <w:sz w:val="22"/>
                <w:szCs w:val="22"/>
              </w:rPr>
              <w:t>Resource Name</w:t>
            </w: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r w:rsidRPr="0035215F">
              <w:rPr>
                <w:rFonts w:ascii="Arial" w:eastAsia="Times New Roman" w:hAnsi="Arial" w:cs="Arial"/>
                <w:color w:val="000000"/>
                <w:sz w:val="22"/>
                <w:szCs w:val="22"/>
              </w:rPr>
              <w:t>Support vector machines (SVM)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r w:rsidRPr="0035215F">
              <w:rPr>
                <w:rFonts w:ascii="Arial" w:eastAsia="Times New Roman" w:hAnsi="Arial" w:cs="Arial"/>
                <w:color w:val="000000"/>
                <w:sz w:val="22"/>
                <w:szCs w:val="22"/>
              </w:rPr>
              <w:t>e1071</w:t>
            </w: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r w:rsidRPr="0035215F">
              <w:rPr>
                <w:rFonts w:ascii="Arial" w:eastAsia="Times New Roman" w:hAnsi="Arial" w:cs="Arial"/>
                <w:color w:val="000000"/>
                <w:sz w:val="22"/>
                <w:szCs w:val="22"/>
              </w:rPr>
              <w:t xml:space="preserve">Random Forest, Gradient Boosting, </w:t>
            </w:r>
            <w:proofErr w:type="spellStart"/>
            <w:r w:rsidRPr="0035215F">
              <w:rPr>
                <w:rFonts w:ascii="Arial" w:eastAsia="Times New Roman" w:hAnsi="Arial" w:cs="Arial"/>
                <w:color w:val="000000"/>
                <w:sz w:val="22"/>
                <w:szCs w:val="22"/>
              </w:rPr>
              <w:t>XGBoost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proofErr w:type="spellStart"/>
            <w:r w:rsidRPr="0035215F">
              <w:rPr>
                <w:rFonts w:ascii="Arial" w:eastAsia="Times New Roman" w:hAnsi="Arial" w:cs="Arial"/>
                <w:color w:val="000000"/>
                <w:sz w:val="22"/>
                <w:szCs w:val="22"/>
              </w:rPr>
              <w:t>XGboost</w:t>
            </w:r>
            <w:proofErr w:type="spellEnd"/>
            <w:r w:rsidRPr="0035215F">
              <w:rPr>
                <w:rFonts w:ascii="Arial" w:eastAsia="Times New Roman" w:hAnsi="Arial" w:cs="Arial"/>
                <w:color w:val="000000"/>
                <w:sz w:val="22"/>
                <w:szCs w:val="22"/>
              </w:rPr>
              <w:t xml:space="preserve">; </w:t>
            </w:r>
            <w:proofErr w:type="spellStart"/>
            <w:r w:rsidRPr="0035215F">
              <w:rPr>
                <w:rFonts w:ascii="Arial" w:eastAsia="Times New Roman" w:hAnsi="Arial" w:cs="Arial"/>
                <w:color w:val="000000"/>
                <w:sz w:val="22"/>
                <w:szCs w:val="22"/>
              </w:rPr>
              <w:t>sklearn</w:t>
            </w:r>
            <w:proofErr w:type="spellEnd"/>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r w:rsidRPr="0035215F">
              <w:rPr>
                <w:rFonts w:ascii="Arial" w:eastAsia="Times New Roman" w:hAnsi="Arial" w:cs="Arial"/>
                <w:color w:val="000000"/>
                <w:sz w:val="22"/>
                <w:szCs w:val="22"/>
              </w:rPr>
              <w:t>Lasso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proofErr w:type="spellStart"/>
            <w:r w:rsidRPr="0035215F">
              <w:rPr>
                <w:rFonts w:ascii="Arial" w:eastAsia="Times New Roman" w:hAnsi="Arial" w:cs="Arial"/>
                <w:color w:val="000000"/>
                <w:sz w:val="22"/>
                <w:szCs w:val="22"/>
              </w:rPr>
              <w:t>sklearn</w:t>
            </w:r>
            <w:proofErr w:type="spellEnd"/>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proofErr w:type="spellStart"/>
            <w:r w:rsidRPr="0035215F">
              <w:rPr>
                <w:rFonts w:ascii="Arial" w:eastAsia="Times New Roman" w:hAnsi="Arial" w:cs="Arial"/>
                <w:color w:val="000000"/>
                <w:sz w:val="22"/>
                <w:szCs w:val="22"/>
              </w:rPr>
              <w:t>glmboost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proofErr w:type="spellStart"/>
            <w:r w:rsidRPr="0035215F">
              <w:rPr>
                <w:rFonts w:ascii="Arial" w:eastAsia="Times New Roman" w:hAnsi="Arial" w:cs="Arial"/>
                <w:color w:val="000000"/>
                <w:sz w:val="22"/>
                <w:szCs w:val="22"/>
              </w:rPr>
              <w:t>mlr</w:t>
            </w:r>
            <w:proofErr w:type="spellEnd"/>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proofErr w:type="spellStart"/>
            <w:r w:rsidRPr="0035215F">
              <w:rPr>
                <w:rFonts w:ascii="Arial" w:eastAsia="Times New Roman" w:hAnsi="Arial" w:cs="Arial"/>
                <w:color w:val="000000"/>
                <w:sz w:val="22"/>
                <w:szCs w:val="22"/>
              </w:rPr>
              <w:t>voomNSC</w:t>
            </w:r>
            <w:proofErr w:type="spellEnd"/>
            <w:r w:rsidRPr="0035215F">
              <w:rPr>
                <w:rFonts w:ascii="Arial" w:eastAsia="Times New Roman" w:hAnsi="Arial" w:cs="Arial"/>
                <w:color w:val="000000"/>
                <w:sz w:val="22"/>
                <w:szCs w:val="22"/>
              </w:rPr>
              <w:t xml:space="preserve">, </w:t>
            </w:r>
            <w:proofErr w:type="spellStart"/>
            <w:r w:rsidRPr="0035215F">
              <w:rPr>
                <w:rFonts w:ascii="Arial" w:eastAsia="Times New Roman" w:hAnsi="Arial" w:cs="Arial"/>
                <w:color w:val="000000"/>
                <w:sz w:val="22"/>
                <w:szCs w:val="22"/>
              </w:rPr>
              <w:t>voomDLDA</w:t>
            </w:r>
            <w:proofErr w:type="spellEnd"/>
            <w:r w:rsidRPr="0035215F">
              <w:rPr>
                <w:rFonts w:ascii="Arial" w:eastAsia="Times New Roman" w:hAnsi="Arial" w:cs="Arial"/>
                <w:color w:val="000000"/>
                <w:sz w:val="22"/>
                <w:szCs w:val="22"/>
              </w:rPr>
              <w:t xml:space="preserve">, PLDA, PLDA2, </w:t>
            </w:r>
            <w:proofErr w:type="spellStart"/>
            <w:r w:rsidRPr="0035215F">
              <w:rPr>
                <w:rFonts w:ascii="Arial" w:eastAsia="Times New Roman" w:hAnsi="Arial" w:cs="Arial"/>
                <w:color w:val="000000"/>
                <w:sz w:val="22"/>
                <w:szCs w:val="22"/>
              </w:rPr>
              <w:t>nblda</w:t>
            </w:r>
            <w:proofErr w:type="spellEnd"/>
            <w:r w:rsidRPr="0035215F">
              <w:rPr>
                <w:rFonts w:ascii="Arial" w:eastAsia="Times New Roman" w:hAnsi="Arial" w:cs="Arial"/>
                <w:color w:val="000000"/>
                <w:sz w:val="22"/>
                <w:szCs w:val="22"/>
              </w:rPr>
              <w:t xml:space="preserve">, </w:t>
            </w:r>
            <w:proofErr w:type="spellStart"/>
            <w:r w:rsidRPr="0035215F">
              <w:rPr>
                <w:rFonts w:ascii="Arial" w:eastAsia="Times New Roman" w:hAnsi="Arial" w:cs="Arial"/>
                <w:color w:val="000000"/>
                <w:sz w:val="22"/>
                <w:szCs w:val="22"/>
              </w:rPr>
              <w:t>deepboost</w:t>
            </w:r>
            <w:proofErr w:type="spellEnd"/>
            <w:r w:rsidRPr="0035215F">
              <w:rPr>
                <w:rFonts w:ascii="Arial" w:eastAsia="Times New Roman" w:hAnsi="Arial" w:cs="Arial"/>
                <w:color w:val="000000"/>
                <w:sz w:val="22"/>
                <w:szCs w:val="22"/>
              </w:rPr>
              <w:t xml:space="preserve">, </w:t>
            </w:r>
            <w:proofErr w:type="spellStart"/>
            <w:r w:rsidRPr="0035215F">
              <w:rPr>
                <w:rFonts w:ascii="Arial" w:eastAsia="Times New Roman" w:hAnsi="Arial" w:cs="Arial"/>
                <w:color w:val="000000"/>
                <w:sz w:val="22"/>
                <w:szCs w:val="22"/>
              </w:rPr>
              <w:t>blackboost</w:t>
            </w:r>
            <w:proofErr w:type="spellEnd"/>
            <w:r w:rsidRPr="0035215F">
              <w:rPr>
                <w:rFonts w:ascii="Arial" w:eastAsia="Times New Roman" w:hAnsi="Arial" w:cs="Arial"/>
                <w:color w:val="000000"/>
                <w:sz w:val="22"/>
                <w:szCs w:val="22"/>
              </w:rPr>
              <w:t xml:space="preserve">, </w:t>
            </w:r>
            <w:proofErr w:type="spellStart"/>
            <w:r w:rsidRPr="0035215F">
              <w:rPr>
                <w:rFonts w:ascii="Arial" w:eastAsia="Times New Roman" w:hAnsi="Arial" w:cs="Arial"/>
                <w:color w:val="000000"/>
                <w:sz w:val="22"/>
                <w:szCs w:val="22"/>
              </w:rPr>
              <w:t>logitboost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jc w:val="center"/>
              <w:rPr>
                <w:rFonts w:ascii="Times New Roman" w:eastAsia="Times New Roman" w:hAnsi="Times New Roman" w:cs="Times New Roman"/>
              </w:rPr>
            </w:pPr>
            <w:proofErr w:type="gramStart"/>
            <w:r w:rsidRPr="0035215F">
              <w:rPr>
                <w:rFonts w:ascii="Arial" w:eastAsia="Times New Roman" w:hAnsi="Arial" w:cs="Arial"/>
                <w:color w:val="000000"/>
                <w:sz w:val="22"/>
                <w:szCs w:val="22"/>
              </w:rPr>
              <w:t>MLseq;DEseq</w:t>
            </w:r>
            <w:proofErr w:type="gramEnd"/>
            <w:r w:rsidRPr="0035215F">
              <w:rPr>
                <w:rFonts w:ascii="Arial" w:eastAsia="Times New Roman" w:hAnsi="Arial" w:cs="Arial"/>
                <w:color w:val="000000"/>
                <w:sz w:val="22"/>
                <w:szCs w:val="22"/>
              </w:rPr>
              <w:t>2</w:t>
            </w: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r>
    </w:tbl>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proofErr w:type="gramStart"/>
      <w:r w:rsidRPr="0035215F">
        <w:rPr>
          <w:rFonts w:ascii="Arial" w:eastAsia="Times New Roman" w:hAnsi="Arial" w:cs="Arial"/>
          <w:b/>
          <w:bCs/>
          <w:color w:val="000000"/>
          <w:sz w:val="22"/>
          <w:szCs w:val="22"/>
          <w:shd w:val="clear" w:color="auto" w:fill="FFFF00"/>
        </w:rPr>
        <w:t>Moreover</w:t>
      </w:r>
      <w:proofErr w:type="gramEnd"/>
      <w:r w:rsidRPr="0035215F">
        <w:rPr>
          <w:rFonts w:ascii="Arial" w:eastAsia="Times New Roman" w:hAnsi="Arial" w:cs="Arial"/>
          <w:b/>
          <w:bCs/>
          <w:color w:val="000000"/>
          <w:sz w:val="22"/>
          <w:szCs w:val="22"/>
          <w:shd w:val="clear" w:color="auto" w:fill="FFFF00"/>
        </w:rPr>
        <w:t xml:space="preserve"> we are </w:t>
      </w:r>
      <w:proofErr w:type="spellStart"/>
      <w:r w:rsidRPr="0035215F">
        <w:rPr>
          <w:rFonts w:ascii="Arial" w:eastAsia="Times New Roman" w:hAnsi="Arial" w:cs="Arial"/>
          <w:b/>
          <w:bCs/>
          <w:color w:val="000000"/>
          <w:sz w:val="22"/>
          <w:szCs w:val="22"/>
          <w:shd w:val="clear" w:color="auto" w:fill="FFFF00"/>
        </w:rPr>
        <w:t>badasses</w:t>
      </w:r>
      <w:proofErr w:type="spellEnd"/>
      <w:r w:rsidRPr="0035215F">
        <w:rPr>
          <w:rFonts w:ascii="Arial" w:eastAsia="Times New Roman" w:hAnsi="Arial" w:cs="Arial"/>
          <w:b/>
          <w:bCs/>
          <w:color w:val="000000"/>
          <w:sz w:val="22"/>
          <w:szCs w:val="22"/>
          <w:shd w:val="clear" w:color="auto" w:fill="FFFF00"/>
        </w:rPr>
        <w:t xml:space="preserve"> and therefore have come up with a novel </w:t>
      </w:r>
      <w:proofErr w:type="spellStart"/>
      <w:r w:rsidRPr="0035215F">
        <w:rPr>
          <w:rFonts w:ascii="Arial" w:eastAsia="Times New Roman" w:hAnsi="Arial" w:cs="Arial"/>
          <w:b/>
          <w:bCs/>
          <w:color w:val="000000"/>
          <w:sz w:val="22"/>
          <w:szCs w:val="22"/>
          <w:shd w:val="clear" w:color="auto" w:fill="FFFF00"/>
        </w:rPr>
        <w:t>ensembl</w:t>
      </w:r>
      <w:proofErr w:type="spellEnd"/>
      <w:r w:rsidRPr="0035215F">
        <w:rPr>
          <w:rFonts w:ascii="Arial" w:eastAsia="Times New Roman" w:hAnsi="Arial" w:cs="Arial"/>
          <w:b/>
          <w:bCs/>
          <w:color w:val="000000"/>
          <w:sz w:val="22"/>
          <w:szCs w:val="22"/>
          <w:shd w:val="clear" w:color="auto" w:fill="FFFF00"/>
        </w:rPr>
        <w:t xml:space="preserve"> clustering algorithm that is the best thing ever.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We used a variety of methods for feature selection, including…</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(show methods table)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Experiment Design Table</w:t>
      </w:r>
    </w:p>
    <w:p w:rsidR="0035215F" w:rsidRPr="0035215F" w:rsidRDefault="0035215F" w:rsidP="0035215F">
      <w:pPr>
        <w:rPr>
          <w:rFonts w:ascii="Times New Roman" w:eastAsia="Times New Roman" w:hAnsi="Times New Roman" w:cs="Times New Roman"/>
        </w:rPr>
      </w:pPr>
      <w:proofErr w:type="spellStart"/>
      <w:r w:rsidRPr="0035215F">
        <w:rPr>
          <w:rFonts w:ascii="Arial" w:eastAsia="Times New Roman" w:hAnsi="Arial" w:cs="Arial"/>
          <w:b/>
          <w:bCs/>
          <w:color w:val="000000"/>
          <w:sz w:val="22"/>
          <w:szCs w:val="22"/>
          <w:shd w:val="clear" w:color="auto" w:fill="FFFF00"/>
        </w:rPr>
        <w:t>Deliveables</w:t>
      </w:r>
      <w:proofErr w:type="spellEnd"/>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We obtained RNA-</w:t>
      </w:r>
      <w:proofErr w:type="spellStart"/>
      <w:r w:rsidRPr="0035215F">
        <w:rPr>
          <w:rFonts w:ascii="Arial" w:eastAsia="Times New Roman" w:hAnsi="Arial" w:cs="Arial"/>
          <w:b/>
          <w:bCs/>
          <w:color w:val="000000"/>
          <w:sz w:val="22"/>
          <w:szCs w:val="22"/>
          <w:shd w:val="clear" w:color="auto" w:fill="FFFF00"/>
        </w:rPr>
        <w:t>seq</w:t>
      </w:r>
      <w:proofErr w:type="spellEnd"/>
      <w:r w:rsidRPr="0035215F">
        <w:rPr>
          <w:rFonts w:ascii="Arial" w:eastAsia="Times New Roman" w:hAnsi="Arial" w:cs="Arial"/>
          <w:b/>
          <w:bCs/>
          <w:color w:val="000000"/>
          <w:sz w:val="22"/>
          <w:szCs w:val="22"/>
          <w:shd w:val="clear" w:color="auto" w:fill="FFFF00"/>
        </w:rPr>
        <w:t xml:space="preserve"> gene expression data, and preprocessed with TMM</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We then identified top differentially expressed genes between low and not-low risk groups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We trained and validated N algorithms of various classes, including...</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Any file with more than 2 sample IDs associated with it was filtered out. </w:t>
      </w:r>
    </w:p>
    <w:p w:rsidR="0035215F" w:rsidRPr="0035215F" w:rsidRDefault="0035215F" w:rsidP="0035215F">
      <w:pPr>
        <w:spacing w:after="240"/>
        <w:rPr>
          <w:rFonts w:ascii="Times New Roman" w:eastAsia="Times New Roman" w:hAnsi="Times New Roman" w:cs="Times New Roman"/>
        </w:rPr>
      </w:pPr>
    </w:p>
    <w:p w:rsidR="0035215F" w:rsidRPr="0035215F" w:rsidRDefault="0035215F" w:rsidP="0035215F">
      <w:pPr>
        <w:spacing w:before="360" w:after="120"/>
        <w:outlineLvl w:val="1"/>
        <w:rPr>
          <w:rFonts w:ascii="Times New Roman" w:eastAsia="Times New Roman" w:hAnsi="Times New Roman" w:cs="Times New Roman"/>
          <w:b/>
          <w:bCs/>
          <w:sz w:val="36"/>
          <w:szCs w:val="36"/>
        </w:rPr>
      </w:pPr>
      <w:r w:rsidRPr="0035215F">
        <w:rPr>
          <w:rFonts w:ascii="Arial" w:eastAsia="Times New Roman" w:hAnsi="Arial" w:cs="Arial"/>
          <w:color w:val="000000"/>
          <w:sz w:val="32"/>
          <w:szCs w:val="32"/>
        </w:rPr>
        <w:t>Implementation</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shd w:val="clear" w:color="auto" w:fill="FFFF00"/>
        </w:rPr>
        <w:t>This section describes how the tool works and relevant technical details for implementation.</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We cleaned lots of data and then did machine learning.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We compiled TARGET data as R objects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 xml:space="preserve">We logged our analysis steps and code in </w:t>
      </w:r>
      <w:proofErr w:type="spellStart"/>
      <w:r w:rsidRPr="0035215F">
        <w:rPr>
          <w:rFonts w:ascii="Arial" w:eastAsia="Times New Roman" w:hAnsi="Arial" w:cs="Arial"/>
          <w:b/>
          <w:bCs/>
          <w:color w:val="000000"/>
          <w:sz w:val="22"/>
          <w:szCs w:val="22"/>
          <w:shd w:val="clear" w:color="auto" w:fill="FFFF00"/>
        </w:rPr>
        <w:t>Jupyter</w:t>
      </w:r>
      <w:proofErr w:type="spellEnd"/>
      <w:r w:rsidRPr="0035215F">
        <w:rPr>
          <w:rFonts w:ascii="Arial" w:eastAsia="Times New Roman" w:hAnsi="Arial" w:cs="Arial"/>
          <w:b/>
          <w:bCs/>
          <w:color w:val="000000"/>
          <w:sz w:val="22"/>
          <w:szCs w:val="22"/>
          <w:shd w:val="clear" w:color="auto" w:fill="FFFF00"/>
        </w:rPr>
        <w:t xml:space="preserve"> and R notebooks</w:t>
      </w:r>
    </w:p>
    <w:p w:rsidR="0035215F" w:rsidRPr="0035215F" w:rsidRDefault="0035215F" w:rsidP="0035215F">
      <w:pPr>
        <w:rPr>
          <w:rFonts w:ascii="Times New Roman" w:eastAsia="Times New Roman" w:hAnsi="Times New Roman" w:cs="Times New Roman"/>
        </w:rPr>
      </w:pPr>
    </w:p>
    <w:p w:rsidR="0035215F" w:rsidRPr="0035215F" w:rsidRDefault="0035215F" w:rsidP="0035215F">
      <w:pPr>
        <w:spacing w:before="360" w:after="120"/>
        <w:outlineLvl w:val="1"/>
        <w:rPr>
          <w:rFonts w:ascii="Times New Roman" w:eastAsia="Times New Roman" w:hAnsi="Times New Roman" w:cs="Times New Roman"/>
          <w:b/>
          <w:bCs/>
          <w:sz w:val="36"/>
          <w:szCs w:val="36"/>
        </w:rPr>
      </w:pPr>
      <w:r w:rsidRPr="0035215F">
        <w:rPr>
          <w:rFonts w:ascii="Arial" w:eastAsia="Times New Roman" w:hAnsi="Arial" w:cs="Arial"/>
          <w:color w:val="000000"/>
          <w:sz w:val="32"/>
          <w:szCs w:val="32"/>
        </w:rPr>
        <w:t>Operation</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shd w:val="clear" w:color="auto" w:fill="FFFF00"/>
        </w:rPr>
        <w:lastRenderedPageBreak/>
        <w:t>This section should include the minimal system requirements needed to run the software and an overview of the workflow</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Run it on the cloud</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shd w:val="clear" w:color="auto" w:fill="FFFF00"/>
        </w:rPr>
        <w:t xml:space="preserve">Run it on various </w:t>
      </w:r>
      <w:proofErr w:type="spellStart"/>
      <w:r w:rsidRPr="0035215F">
        <w:rPr>
          <w:rFonts w:ascii="Arial" w:eastAsia="Times New Roman" w:hAnsi="Arial" w:cs="Arial"/>
          <w:b/>
          <w:bCs/>
          <w:color w:val="000000"/>
          <w:sz w:val="22"/>
          <w:szCs w:val="22"/>
          <w:shd w:val="clear" w:color="auto" w:fill="FFFF00"/>
        </w:rPr>
        <w:t>linux</w:t>
      </w:r>
      <w:proofErr w:type="spellEnd"/>
      <w:r w:rsidRPr="0035215F">
        <w:rPr>
          <w:rFonts w:ascii="Arial" w:eastAsia="Times New Roman" w:hAnsi="Arial" w:cs="Arial"/>
          <w:b/>
          <w:bCs/>
          <w:color w:val="000000"/>
          <w:sz w:val="22"/>
          <w:szCs w:val="22"/>
          <w:shd w:val="clear" w:color="auto" w:fill="FFFF00"/>
        </w:rPr>
        <w:t xml:space="preserve"> iterations</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Results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To reduce noise and false positive rate, we opted to exclude genes with low expression contrast between the classifier groups for patient risk. With this pre-filter, we identified N = 1,998 (9.33% retained) differentially expressed genes (DEGs) showing substantial mean differences between risk groups (t-test adj. p-value &lt; 0.05). This increased the mean of expression differences (means) from 0.50 to 1.71 (median increase from 0.32 to 1.51). Mean of variance differences also increased from 0.76 to 2.19 (median increase from 0.31 to 2.19).</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We next fitted models to predict AML risk group using the filtered expression data. In total we used </w:t>
      </w:r>
      <w:r w:rsidRPr="0035215F">
        <w:rPr>
          <w:rFonts w:ascii="Arial" w:eastAsia="Times New Roman" w:hAnsi="Arial" w:cs="Arial"/>
          <w:color w:val="000000"/>
          <w:sz w:val="22"/>
          <w:szCs w:val="22"/>
          <w:shd w:val="clear" w:color="auto" w:fill="FFFF00"/>
        </w:rPr>
        <w:t>N</w:t>
      </w:r>
      <w:r w:rsidRPr="0035215F">
        <w:rPr>
          <w:rFonts w:ascii="Arial" w:eastAsia="Times New Roman" w:hAnsi="Arial" w:cs="Arial"/>
          <w:color w:val="000000"/>
          <w:sz w:val="22"/>
          <w:szCs w:val="22"/>
        </w:rPr>
        <w:t xml:space="preserve"> algorithms. To determine whether a model showed acceptable predictive performance, we compared sensitivity, specificity, recall, false positive rate, loss, accuracy, and various other measures.  </w:t>
      </w:r>
    </w:p>
    <w:p w:rsidR="0035215F" w:rsidRPr="0035215F" w:rsidRDefault="0035215F" w:rsidP="0035215F">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644"/>
        <w:gridCol w:w="2265"/>
        <w:gridCol w:w="2314"/>
        <w:gridCol w:w="2137"/>
      </w:tblGrid>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rPr>
              <w:t>Gene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rPr>
              <w:t>Gene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rPr>
              <w:t>AML Context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rPr>
              <w:t>Algorithms Selected</w:t>
            </w: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ENS#### (gene </w:t>
            </w:r>
            <w:proofErr w:type="spellStart"/>
            <w:r w:rsidRPr="0035215F">
              <w:rPr>
                <w:rFonts w:ascii="Arial" w:eastAsia="Times New Roman" w:hAnsi="Arial" w:cs="Arial"/>
                <w:color w:val="000000"/>
                <w:sz w:val="22"/>
                <w:szCs w:val="22"/>
              </w:rPr>
              <w:t>ensembl</w:t>
            </w:r>
            <w:proofErr w:type="spellEnd"/>
            <w:r w:rsidRPr="0035215F">
              <w:rPr>
                <w:rFonts w:ascii="Arial" w:eastAsia="Times New Roman" w:hAnsi="Arial" w:cs="Arial"/>
                <w:color w:val="000000"/>
                <w:sz w:val="22"/>
                <w:szCs w:val="22"/>
              </w:rPr>
              <w:t xml:space="preserv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roofErr w:type="spellStart"/>
            <w:r w:rsidRPr="0035215F">
              <w:rPr>
                <w:rFonts w:ascii="Arial" w:eastAsia="Times New Roman" w:hAnsi="Arial" w:cs="Arial"/>
                <w:color w:val="000000"/>
                <w:sz w:val="22"/>
                <w:szCs w:val="22"/>
              </w:rPr>
              <w:t>GeneA</w:t>
            </w:r>
            <w:proofErr w:type="spellEnd"/>
            <w:r w:rsidRPr="0035215F">
              <w:rPr>
                <w:rFonts w:ascii="Arial" w:eastAsia="Times New Roman" w:hAnsi="Arial" w:cs="Arial"/>
                <w:color w:val="000000"/>
                <w:sz w:val="22"/>
                <w:szCs w:val="22"/>
              </w:rPr>
              <w:t xml:space="preserve"> (common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(relevant lit if applicable)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(which </w:t>
            </w:r>
            <w:proofErr w:type="spellStart"/>
            <w:r w:rsidRPr="0035215F">
              <w:rPr>
                <w:rFonts w:ascii="Arial" w:eastAsia="Times New Roman" w:hAnsi="Arial" w:cs="Arial"/>
                <w:color w:val="000000"/>
                <w:sz w:val="22"/>
                <w:szCs w:val="22"/>
              </w:rPr>
              <w:t>algos</w:t>
            </w:r>
            <w:proofErr w:type="spellEnd"/>
            <w:r w:rsidRPr="0035215F">
              <w:rPr>
                <w:rFonts w:ascii="Arial" w:eastAsia="Times New Roman" w:hAnsi="Arial" w:cs="Arial"/>
                <w:color w:val="000000"/>
                <w:sz w:val="22"/>
                <w:szCs w:val="22"/>
              </w:rPr>
              <w:t>)</w:t>
            </w: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r>
    </w:tbl>
    <w:p w:rsidR="0035215F" w:rsidRPr="0035215F" w:rsidRDefault="0035215F" w:rsidP="0035215F">
      <w:pPr>
        <w:spacing w:after="240"/>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fldChar w:fldCharType="begin"/>
      </w:r>
      <w:r w:rsidRPr="0035215F">
        <w:rPr>
          <w:rFonts w:ascii="Arial" w:eastAsia="Times New Roman" w:hAnsi="Arial" w:cs="Arial"/>
          <w:color w:val="000000"/>
          <w:sz w:val="22"/>
          <w:szCs w:val="22"/>
        </w:rPr>
        <w:instrText xml:space="preserve"> INCLUDEPICTURE "https://lh6.googleusercontent.com/CJYR6zonxH8ROqah4DnM38jLNJoOlSsLYB3JCRgFi3Hr-cEyw1b1Kktr2ekbAsIdOWHwoXWF6Xt1eEGywghZi7jrfCBHKRetVLB92ZLbiD2XqJ5mt44OYlLOmVrhMLFPCTsBrtuj" \* MERGEFORMATINET </w:instrText>
      </w:r>
      <w:r w:rsidRPr="0035215F">
        <w:rPr>
          <w:rFonts w:ascii="Arial" w:eastAsia="Times New Roman" w:hAnsi="Arial" w:cs="Arial"/>
          <w:color w:val="000000"/>
          <w:sz w:val="22"/>
          <w:szCs w:val="22"/>
        </w:rPr>
        <w:fldChar w:fldCharType="separate"/>
      </w:r>
      <w:r w:rsidRPr="0035215F">
        <w:rPr>
          <w:rFonts w:ascii="Arial" w:eastAsia="Times New Roman" w:hAnsi="Arial" w:cs="Arial"/>
          <w:noProof/>
          <w:color w:val="000000"/>
          <w:sz w:val="22"/>
          <w:szCs w:val="22"/>
        </w:rPr>
        <w:drawing>
          <wp:inline distT="0" distB="0" distL="0" distR="0">
            <wp:extent cx="5943600" cy="2670175"/>
            <wp:effectExtent l="0" t="0" r="0" b="0"/>
            <wp:docPr id="7" name="Picture 7" descr="https://lh6.googleusercontent.com/CJYR6zonxH8ROqah4DnM38jLNJoOlSsLYB3JCRgFi3Hr-cEyw1b1Kktr2ekbAsIdOWHwoXWF6Xt1eEGywghZi7jrfCBHKRetVLB92ZLbiD2XqJ5mt44OYlLOmVrhMLFPCTsBrt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CJYR6zonxH8ROqah4DnM38jLNJoOlSsLYB3JCRgFi3Hr-cEyw1b1Kktr2ekbAsIdOWHwoXWF6Xt1eEGywghZi7jrfCBHKRetVLB92ZLbiD2XqJ5mt44OYlLOmVrhMLFPCTsBrtuj"/>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r w:rsidRPr="0035215F">
        <w:rPr>
          <w:rFonts w:ascii="Arial" w:eastAsia="Times New Roman" w:hAnsi="Arial" w:cs="Arial"/>
          <w:color w:val="000000"/>
          <w:sz w:val="22"/>
          <w:szCs w:val="22"/>
        </w:rPr>
        <w:fldChar w:fldCharType="end"/>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lastRenderedPageBreak/>
        <w:t xml:space="preserve">Figure X: Three models were trained and tested on all possible features. The Lasso, Random Forest, and </w:t>
      </w:r>
      <w:proofErr w:type="spellStart"/>
      <w:r w:rsidRPr="0035215F">
        <w:rPr>
          <w:rFonts w:ascii="Arial" w:eastAsia="Times New Roman" w:hAnsi="Arial" w:cs="Arial"/>
          <w:color w:val="000000"/>
          <w:sz w:val="22"/>
          <w:szCs w:val="22"/>
        </w:rPr>
        <w:t>XGBoost</w:t>
      </w:r>
      <w:proofErr w:type="spellEnd"/>
      <w:r w:rsidRPr="0035215F">
        <w:rPr>
          <w:rFonts w:ascii="Arial" w:eastAsia="Times New Roman" w:hAnsi="Arial" w:cs="Arial"/>
          <w:color w:val="000000"/>
          <w:sz w:val="22"/>
          <w:szCs w:val="22"/>
        </w:rPr>
        <w:t xml:space="preserve"> model deemed 3212, 1147 and 332 features important, respectively. Eleven features were deemed important by all three.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fldChar w:fldCharType="begin"/>
      </w:r>
      <w:r w:rsidRPr="0035215F">
        <w:rPr>
          <w:rFonts w:ascii="Arial" w:eastAsia="Times New Roman" w:hAnsi="Arial" w:cs="Arial"/>
          <w:color w:val="000000"/>
          <w:sz w:val="22"/>
          <w:szCs w:val="22"/>
        </w:rPr>
        <w:instrText xml:space="preserve"> INCLUDEPICTURE "https://lh4.googleusercontent.com/HkhuHJursSENOIy3XAO0cloYj4odKawpYx-PWA5BV-6K7KCffJs-CAs3mXGX7FGLFmukLod6GTUky3EHlwwOzRS_fHfywqvrWb3yxkouLPwDjwl49O4sXCpA9Biiqko4wDYHX7P1" \* MERGEFORMATINET </w:instrText>
      </w:r>
      <w:r w:rsidRPr="0035215F">
        <w:rPr>
          <w:rFonts w:ascii="Arial" w:eastAsia="Times New Roman" w:hAnsi="Arial" w:cs="Arial"/>
          <w:color w:val="000000"/>
          <w:sz w:val="22"/>
          <w:szCs w:val="22"/>
        </w:rPr>
        <w:fldChar w:fldCharType="separate"/>
      </w:r>
      <w:r w:rsidRPr="0035215F">
        <w:rPr>
          <w:rFonts w:ascii="Arial" w:eastAsia="Times New Roman" w:hAnsi="Arial" w:cs="Arial"/>
          <w:noProof/>
          <w:color w:val="000000"/>
          <w:sz w:val="22"/>
          <w:szCs w:val="22"/>
        </w:rPr>
        <w:drawing>
          <wp:inline distT="0" distB="0" distL="0" distR="0">
            <wp:extent cx="5943600" cy="2620645"/>
            <wp:effectExtent l="0" t="0" r="0" b="0"/>
            <wp:docPr id="6" name="Picture 6" descr="https://lh4.googleusercontent.com/HkhuHJursSENOIy3XAO0cloYj4odKawpYx-PWA5BV-6K7KCffJs-CAs3mXGX7FGLFmukLod6GTUky3EHlwwOzRS_fHfywqvrWb3yxkouLPwDjwl49O4sXCpA9Biiqko4wDYHX7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khuHJursSENOIy3XAO0cloYj4odKawpYx-PWA5BV-6K7KCffJs-CAs3mXGX7FGLFmukLod6GTUky3EHlwwOzRS_fHfywqvrWb3yxkouLPwDjwl49O4sXCpA9Biiqko4wDYHX7P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20645"/>
                    </a:xfrm>
                    <a:prstGeom prst="rect">
                      <a:avLst/>
                    </a:prstGeom>
                    <a:noFill/>
                    <a:ln>
                      <a:noFill/>
                    </a:ln>
                  </pic:spPr>
                </pic:pic>
              </a:graphicData>
            </a:graphic>
          </wp:inline>
        </w:drawing>
      </w:r>
      <w:r w:rsidRPr="0035215F">
        <w:rPr>
          <w:rFonts w:ascii="Arial" w:eastAsia="Times New Roman" w:hAnsi="Arial" w:cs="Arial"/>
          <w:color w:val="000000"/>
          <w:sz w:val="22"/>
          <w:szCs w:val="22"/>
        </w:rPr>
        <w:fldChar w:fldCharType="end"/>
      </w:r>
      <w:r w:rsidRPr="0035215F">
        <w:rPr>
          <w:rFonts w:ascii="Times New Roman" w:eastAsia="Times New Roman" w:hAnsi="Times New Roman" w:cs="Times New Roman"/>
        </w:rPr>
        <w:fldChar w:fldCharType="begin"/>
      </w:r>
      <w:r w:rsidRPr="0035215F">
        <w:rPr>
          <w:rFonts w:ascii="Times New Roman" w:eastAsia="Times New Roman" w:hAnsi="Times New Roman" w:cs="Times New Roman"/>
        </w:rPr>
        <w:instrText xml:space="preserve"> INCLUDEPICTURE "https://lh6.googleusercontent.com/0RGlo5Cn4xDJCwTJm1eNy8hXofZdbkUFEvoK8cUUaJ3XayQfxy5LfRiDiTj5jwFRCZ8UNU577ZUbBxVfffYFaIHWKaEqpSIa_FwbgLuL23Hx5p3pTUqyXBF93iSLEVdSVulJMElr" \* MERGEFORMATINET </w:instrText>
      </w:r>
      <w:r w:rsidRPr="0035215F">
        <w:rPr>
          <w:rFonts w:ascii="Times New Roman" w:eastAsia="Times New Roman" w:hAnsi="Times New Roman" w:cs="Times New Roman"/>
        </w:rPr>
        <w:fldChar w:fldCharType="separate"/>
      </w:r>
      <w:r w:rsidRPr="0035215F">
        <w:rPr>
          <w:rFonts w:ascii="Times New Roman" w:eastAsia="Times New Roman" w:hAnsi="Times New Roman" w:cs="Times New Roman"/>
          <w:noProof/>
        </w:rPr>
        <w:drawing>
          <wp:inline distT="0" distB="0" distL="0" distR="0">
            <wp:extent cx="4702810" cy="3994785"/>
            <wp:effectExtent l="0" t="0" r="0" b="5715"/>
            <wp:docPr id="5" name="Picture 5" descr="https://lh6.googleusercontent.com/0RGlo5Cn4xDJCwTJm1eNy8hXofZdbkUFEvoK8cUUaJ3XayQfxy5LfRiDiTj5jwFRCZ8UNU577ZUbBxVfffYFaIHWKaEqpSIa_FwbgLuL23Hx5p3pTUqyXBF93iSLEVdSVulJME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0RGlo5Cn4xDJCwTJm1eNy8hXofZdbkUFEvoK8cUUaJ3XayQfxy5LfRiDiTj5jwFRCZ8UNU577ZUbBxVfffYFaIHWKaEqpSIa_FwbgLuL23Hx5p3pTUqyXBF93iSLEVdSVulJMEl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2810" cy="3994785"/>
                    </a:xfrm>
                    <a:prstGeom prst="rect">
                      <a:avLst/>
                    </a:prstGeom>
                    <a:noFill/>
                    <a:ln>
                      <a:noFill/>
                    </a:ln>
                  </pic:spPr>
                </pic:pic>
              </a:graphicData>
            </a:graphic>
          </wp:inline>
        </w:drawing>
      </w:r>
      <w:r w:rsidRPr="0035215F">
        <w:rPr>
          <w:rFonts w:ascii="Times New Roman" w:eastAsia="Times New Roman" w:hAnsi="Times New Roman" w:cs="Times New Roman"/>
        </w:rPr>
        <w:fldChar w:fldCharType="end"/>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Figure X: The Lasso model was refit until convergence. The second Lasso model now deemed 174 model important. The </w:t>
      </w:r>
      <w:proofErr w:type="spellStart"/>
      <w:r w:rsidRPr="0035215F">
        <w:rPr>
          <w:rFonts w:ascii="Arial" w:eastAsia="Times New Roman" w:hAnsi="Arial" w:cs="Arial"/>
          <w:color w:val="000000"/>
          <w:sz w:val="22"/>
          <w:szCs w:val="22"/>
        </w:rPr>
        <w:t>XGBoost</w:t>
      </w:r>
      <w:proofErr w:type="spellEnd"/>
      <w:r w:rsidRPr="0035215F">
        <w:rPr>
          <w:rFonts w:ascii="Arial" w:eastAsia="Times New Roman" w:hAnsi="Arial" w:cs="Arial"/>
          <w:color w:val="000000"/>
          <w:sz w:val="22"/>
          <w:szCs w:val="22"/>
        </w:rPr>
        <w:t xml:space="preserve"> and Lasso model shared 15 features. Of those 15, six were in the original 11 above.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lastRenderedPageBreak/>
        <w:fldChar w:fldCharType="begin"/>
      </w:r>
      <w:r w:rsidRPr="0035215F">
        <w:rPr>
          <w:rFonts w:ascii="Arial" w:eastAsia="Times New Roman" w:hAnsi="Arial" w:cs="Arial"/>
          <w:color w:val="000000"/>
          <w:sz w:val="22"/>
          <w:szCs w:val="22"/>
        </w:rPr>
        <w:instrText xml:space="preserve"> INCLUDEPICTURE "https://lh4.googleusercontent.com/KHnhv9b9ZRMRcJtUgDvBd8AObW0KPYf5SEcv3tbusOwBhqmH0ZZNuD33dUzGJqlC6B1JJ12oc45XpIshBBXA26dnIGKSzGTujoEX2C5_IPzFBIzPtg01Hh-Udbn1nXWqTTkAa3gO" \* MERGEFORMATINET </w:instrText>
      </w:r>
      <w:r w:rsidRPr="0035215F">
        <w:rPr>
          <w:rFonts w:ascii="Arial" w:eastAsia="Times New Roman" w:hAnsi="Arial" w:cs="Arial"/>
          <w:color w:val="000000"/>
          <w:sz w:val="22"/>
          <w:szCs w:val="22"/>
        </w:rPr>
        <w:fldChar w:fldCharType="separate"/>
      </w:r>
      <w:r w:rsidRPr="0035215F">
        <w:rPr>
          <w:rFonts w:ascii="Arial" w:eastAsia="Times New Roman" w:hAnsi="Arial" w:cs="Arial"/>
          <w:noProof/>
          <w:color w:val="000000"/>
          <w:sz w:val="22"/>
          <w:szCs w:val="22"/>
        </w:rPr>
        <w:drawing>
          <wp:inline distT="0" distB="0" distL="0" distR="0">
            <wp:extent cx="5488940" cy="8229600"/>
            <wp:effectExtent l="0" t="0" r="0" b="0"/>
            <wp:docPr id="4" name="Picture 4" descr="https://lh4.googleusercontent.com/KHnhv9b9ZRMRcJtUgDvBd8AObW0KPYf5SEcv3tbusOwBhqmH0ZZNuD33dUzGJqlC6B1JJ12oc45XpIshBBXA26dnIGKSzGTujoEX2C5_IPzFBIzPtg01Hh-Udbn1nXWqTTkAa3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Hnhv9b9ZRMRcJtUgDvBd8AObW0KPYf5SEcv3tbusOwBhqmH0ZZNuD33dUzGJqlC6B1JJ12oc45XpIshBBXA26dnIGKSzGTujoEX2C5_IPzFBIzPtg01Hh-Udbn1nXWqTTkAa3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8940" cy="8229600"/>
                    </a:xfrm>
                    <a:prstGeom prst="rect">
                      <a:avLst/>
                    </a:prstGeom>
                    <a:noFill/>
                    <a:ln>
                      <a:noFill/>
                    </a:ln>
                  </pic:spPr>
                </pic:pic>
              </a:graphicData>
            </a:graphic>
          </wp:inline>
        </w:drawing>
      </w:r>
      <w:r w:rsidRPr="0035215F">
        <w:rPr>
          <w:rFonts w:ascii="Arial" w:eastAsia="Times New Roman" w:hAnsi="Arial" w:cs="Arial"/>
          <w:color w:val="000000"/>
          <w:sz w:val="22"/>
          <w:szCs w:val="22"/>
        </w:rPr>
        <w:fldChar w:fldCharType="end"/>
      </w:r>
    </w:p>
    <w:p w:rsidR="0035215F" w:rsidRPr="0035215F" w:rsidRDefault="0035215F" w:rsidP="0035215F">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171"/>
        <w:gridCol w:w="3019"/>
        <w:gridCol w:w="3170"/>
      </w:tblGrid>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Condition Positive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Condition Negative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32</w:t>
            </w: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Predicted Positive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True positive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False positive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15</w:t>
            </w:r>
          </w:p>
        </w:tc>
      </w:tr>
      <w:tr w:rsidR="0035215F" w:rsidRPr="0035215F" w:rsidTr="003521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Predicted Negative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False Negative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True Negative</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17</w:t>
            </w:r>
          </w:p>
        </w:tc>
      </w:tr>
    </w:tbl>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TPR = 31/34 = 91%</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Precision = 31/46 = 67%</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Specificity = 17/32 = 53%</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False Discovery Rate = 32%</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rPr>
        <w:t>Logistic Regression with High/Standard Risk Patients</w:t>
      </w:r>
    </w:p>
    <w:p w:rsidR="0035215F" w:rsidRPr="0035215F" w:rsidRDefault="0035215F" w:rsidP="0035215F">
      <w:pPr>
        <w:ind w:firstLine="720"/>
        <w:rPr>
          <w:rFonts w:ascii="Times New Roman" w:eastAsia="Times New Roman" w:hAnsi="Times New Roman" w:cs="Times New Roman"/>
        </w:rPr>
      </w:pPr>
      <w:r w:rsidRPr="0035215F">
        <w:rPr>
          <w:rFonts w:ascii="Arial" w:eastAsia="Times New Roman" w:hAnsi="Arial" w:cs="Arial"/>
          <w:color w:val="000000"/>
          <w:sz w:val="22"/>
          <w:szCs w:val="22"/>
        </w:rPr>
        <w:t>The TARGET AML RNA-</w:t>
      </w:r>
      <w:proofErr w:type="spellStart"/>
      <w:r w:rsidRPr="0035215F">
        <w:rPr>
          <w:rFonts w:ascii="Arial" w:eastAsia="Times New Roman" w:hAnsi="Arial" w:cs="Arial"/>
          <w:color w:val="000000"/>
          <w:sz w:val="22"/>
          <w:szCs w:val="22"/>
        </w:rPr>
        <w:t>seq</w:t>
      </w:r>
      <w:proofErr w:type="spellEnd"/>
      <w:r w:rsidRPr="0035215F">
        <w:rPr>
          <w:rFonts w:ascii="Arial" w:eastAsia="Times New Roman" w:hAnsi="Arial" w:cs="Arial"/>
          <w:color w:val="000000"/>
          <w:sz w:val="22"/>
          <w:szCs w:val="22"/>
        </w:rPr>
        <w:t xml:space="preserve"> dataset was split into training set (N=96) and test set (N=49) by randomly sampling the patient identifiers.  High and Standard </w:t>
      </w:r>
      <w:proofErr w:type="gramStart"/>
      <w:r w:rsidRPr="0035215F">
        <w:rPr>
          <w:rFonts w:ascii="Arial" w:eastAsia="Times New Roman" w:hAnsi="Arial" w:cs="Arial"/>
          <w:color w:val="000000"/>
          <w:sz w:val="22"/>
          <w:szCs w:val="22"/>
        </w:rPr>
        <w:t>risk  AML</w:t>
      </w:r>
      <w:proofErr w:type="gramEnd"/>
      <w:r w:rsidRPr="0035215F">
        <w:rPr>
          <w:rFonts w:ascii="Arial" w:eastAsia="Times New Roman" w:hAnsi="Arial" w:cs="Arial"/>
          <w:color w:val="000000"/>
          <w:sz w:val="22"/>
          <w:szCs w:val="22"/>
        </w:rPr>
        <w:t xml:space="preserve"> patients (N=55) defined by classic cytogenetic and molecular mutations were compared to low-risk AML (N=38)  in the training dataset using differential expression analysis. Patients without risk classification were removed prior to analysis. There were 1,998 differentially expressed genes (absolute log2 FC &gt; 1, adjusted p-value &lt; 0.05), which then employed in logistic regression with the LASSO feature selection algorithm (</w:t>
      </w:r>
      <w:r w:rsidRPr="0035215F">
        <w:rPr>
          <w:rFonts w:ascii="Arial" w:eastAsia="Times New Roman" w:hAnsi="Arial" w:cs="Arial"/>
          <w:b/>
          <w:bCs/>
          <w:color w:val="000000"/>
          <w:sz w:val="22"/>
          <w:szCs w:val="22"/>
        </w:rPr>
        <w:t xml:space="preserve">Fig2 </w:t>
      </w:r>
      <w:proofErr w:type="gramStart"/>
      <w:r w:rsidRPr="0035215F">
        <w:rPr>
          <w:rFonts w:ascii="Arial" w:eastAsia="Times New Roman" w:hAnsi="Arial" w:cs="Arial"/>
          <w:b/>
          <w:bCs/>
          <w:color w:val="000000"/>
          <w:sz w:val="22"/>
          <w:szCs w:val="22"/>
        </w:rPr>
        <w:t>A,B</w:t>
      </w:r>
      <w:proofErr w:type="gramEnd"/>
      <w:r w:rsidRPr="0035215F">
        <w:rPr>
          <w:rFonts w:ascii="Arial" w:eastAsia="Times New Roman" w:hAnsi="Arial" w:cs="Arial"/>
          <w:color w:val="000000"/>
          <w:sz w:val="22"/>
          <w:szCs w:val="22"/>
        </w:rPr>
        <w:t>). This resulted in 13 genes which were found to be associated with high/standard risk, including HOXA9, SLTRK5 and ITGB3 (</w:t>
      </w:r>
      <w:r w:rsidRPr="0035215F">
        <w:rPr>
          <w:rFonts w:ascii="Arial" w:eastAsia="Times New Roman" w:hAnsi="Arial" w:cs="Arial"/>
          <w:b/>
          <w:bCs/>
          <w:color w:val="000000"/>
          <w:sz w:val="22"/>
          <w:szCs w:val="22"/>
        </w:rPr>
        <w:t>Table 2</w:t>
      </w:r>
      <w:r w:rsidRPr="0035215F">
        <w:rPr>
          <w:rFonts w:ascii="Arial" w:eastAsia="Times New Roman" w:hAnsi="Arial" w:cs="Arial"/>
          <w:color w:val="000000"/>
          <w:sz w:val="22"/>
          <w:szCs w:val="22"/>
        </w:rPr>
        <w:t xml:space="preserve">). HOXA9 has been implicated in MLL (KMT2A)-rearranged AMLs and MLL-HOXA9 fusion has been shown to induce </w:t>
      </w:r>
      <w:proofErr w:type="spellStart"/>
      <w:r w:rsidRPr="0035215F">
        <w:rPr>
          <w:rFonts w:ascii="Arial" w:eastAsia="Times New Roman" w:hAnsi="Arial" w:cs="Arial"/>
          <w:color w:val="000000"/>
          <w:sz w:val="22"/>
          <w:szCs w:val="22"/>
        </w:rPr>
        <w:t>leukemogenesis</w:t>
      </w:r>
      <w:proofErr w:type="spellEnd"/>
      <w:r w:rsidRPr="0035215F">
        <w:rPr>
          <w:rFonts w:ascii="Arial" w:eastAsia="Times New Roman" w:hAnsi="Arial" w:cs="Arial"/>
          <w:color w:val="000000"/>
          <w:sz w:val="22"/>
          <w:szCs w:val="22"/>
        </w:rPr>
        <w:t xml:space="preserve"> in </w:t>
      </w:r>
      <w:proofErr w:type="spellStart"/>
      <w:r w:rsidRPr="0035215F">
        <w:rPr>
          <w:rFonts w:ascii="Arial" w:eastAsia="Times New Roman" w:hAnsi="Arial" w:cs="Arial"/>
          <w:color w:val="000000"/>
          <w:sz w:val="22"/>
          <w:szCs w:val="22"/>
        </w:rPr>
        <w:t>xenograph</w:t>
      </w:r>
      <w:proofErr w:type="spellEnd"/>
      <w:r w:rsidRPr="0035215F">
        <w:rPr>
          <w:rFonts w:ascii="Arial" w:eastAsia="Times New Roman" w:hAnsi="Arial" w:cs="Arial"/>
          <w:color w:val="000000"/>
          <w:sz w:val="22"/>
          <w:szCs w:val="22"/>
        </w:rPr>
        <w:t xml:space="preserve"> and mouse models </w:t>
      </w:r>
      <w:r w:rsidRPr="0035215F">
        <w:rPr>
          <w:rFonts w:ascii="Arial" w:eastAsia="Times New Roman" w:hAnsi="Arial" w:cs="Arial"/>
          <w:color w:val="000000"/>
          <w:sz w:val="22"/>
          <w:szCs w:val="22"/>
          <w:shd w:val="clear" w:color="auto" w:fill="FFFF00"/>
        </w:rPr>
        <w:t xml:space="preserve">(CITATION). </w:t>
      </w:r>
      <w:r w:rsidRPr="0035215F">
        <w:rPr>
          <w:rFonts w:ascii="Arial" w:eastAsia="Times New Roman" w:hAnsi="Arial" w:cs="Arial"/>
          <w:color w:val="000000"/>
          <w:sz w:val="22"/>
          <w:szCs w:val="22"/>
          <w:shd w:val="clear" w:color="auto" w:fill="FFFFFF"/>
        </w:rPr>
        <w:t xml:space="preserve">However, the identification of SLTRK5 and ITGB3 </w:t>
      </w:r>
      <w:proofErr w:type="gramStart"/>
      <w:r w:rsidRPr="0035215F">
        <w:rPr>
          <w:rFonts w:ascii="Arial" w:eastAsia="Times New Roman" w:hAnsi="Arial" w:cs="Arial"/>
          <w:color w:val="000000"/>
          <w:sz w:val="22"/>
          <w:szCs w:val="22"/>
          <w:shd w:val="clear" w:color="auto" w:fill="FFFFFF"/>
        </w:rPr>
        <w:t>provide  powerful</w:t>
      </w:r>
      <w:proofErr w:type="gramEnd"/>
      <w:r w:rsidRPr="0035215F">
        <w:rPr>
          <w:rFonts w:ascii="Arial" w:eastAsia="Times New Roman" w:hAnsi="Arial" w:cs="Arial"/>
          <w:color w:val="000000"/>
          <w:sz w:val="22"/>
          <w:szCs w:val="22"/>
          <w:shd w:val="clear" w:color="auto" w:fill="FFFFFF"/>
        </w:rPr>
        <w:t xml:space="preserve">  opportunities for targeted therapy as both are highly and aberrantly expressed on the cell-surface, allowing potential for antibody targeting or even CAR-T cell therapy technology. SLTRK5 has been shown to be aberrantly expressed in nearly 80% of AML and coincides with high/standard risk clinical features, allowing one the </w:t>
      </w:r>
      <w:proofErr w:type="gramStart"/>
      <w:r w:rsidRPr="0035215F">
        <w:rPr>
          <w:rFonts w:ascii="Arial" w:eastAsia="Times New Roman" w:hAnsi="Arial" w:cs="Arial"/>
          <w:color w:val="000000"/>
          <w:sz w:val="22"/>
          <w:szCs w:val="22"/>
          <w:shd w:val="clear" w:color="auto" w:fill="FFFFFF"/>
        </w:rPr>
        <w:t>potential  to</w:t>
      </w:r>
      <w:proofErr w:type="gramEnd"/>
      <w:r w:rsidRPr="0035215F">
        <w:rPr>
          <w:rFonts w:ascii="Arial" w:eastAsia="Times New Roman" w:hAnsi="Arial" w:cs="Arial"/>
          <w:color w:val="000000"/>
          <w:sz w:val="22"/>
          <w:szCs w:val="22"/>
          <w:shd w:val="clear" w:color="auto" w:fill="FFFFFF"/>
        </w:rPr>
        <w:t xml:space="preserve"> improve outcomes for poor prognosis AML. </w:t>
      </w:r>
      <w:r w:rsidRPr="0035215F">
        <w:rPr>
          <w:rFonts w:ascii="Arial" w:eastAsia="Times New Roman" w:hAnsi="Arial" w:cs="Arial"/>
          <w:color w:val="000000"/>
          <w:sz w:val="22"/>
          <w:szCs w:val="22"/>
        </w:rPr>
        <w:t xml:space="preserve"> The model performed well in predicting the risk classification of the test set with 6% error rate, and XX true positive rate and accuracy/specificity, suggesting these genes can also be used for the prediction of risk quickly using only diagnostic biological specimens, but will need to be further examined in a validation dataset. </w:t>
      </w:r>
    </w:p>
    <w:p w:rsidR="0035215F" w:rsidRPr="0035215F" w:rsidRDefault="0035215F" w:rsidP="0035215F">
      <w:pPr>
        <w:rPr>
          <w:rFonts w:ascii="Times New Roman" w:eastAsia="Times New Roman" w:hAnsi="Times New Roman" w:cs="Times New Roman"/>
        </w:rPr>
      </w:pPr>
      <w:r w:rsidRPr="0035215F">
        <w:rPr>
          <w:rFonts w:ascii="Times New Roman" w:eastAsia="Times New Roman" w:hAnsi="Times New Roman" w:cs="Times New Roman"/>
        </w:rPr>
        <w:br/>
      </w:r>
      <w:r w:rsidRPr="0035215F">
        <w:rPr>
          <w:rFonts w:ascii="Times New Roman" w:eastAsia="Times New Roman" w:hAnsi="Times New Roman" w:cs="Times New Roman"/>
        </w:rPr>
        <w:br/>
      </w:r>
      <w:r w:rsidRPr="0035215F">
        <w:rPr>
          <w:rFonts w:ascii="Times New Roman" w:eastAsia="Times New Roman" w:hAnsi="Times New Roman" w:cs="Times New Roman"/>
        </w:rPr>
        <w:br/>
      </w:r>
      <w:r w:rsidRPr="0035215F">
        <w:rPr>
          <w:rFonts w:ascii="Times New Roman" w:eastAsia="Times New Roman" w:hAnsi="Times New Roman" w:cs="Times New Roman"/>
        </w:rPr>
        <w:br/>
      </w:r>
      <w:r w:rsidRPr="0035215F">
        <w:rPr>
          <w:rFonts w:ascii="Times New Roman" w:eastAsia="Times New Roman" w:hAnsi="Times New Roman" w:cs="Times New Roman"/>
        </w:rPr>
        <w:br/>
      </w:r>
      <w:r w:rsidRPr="0035215F">
        <w:rPr>
          <w:rFonts w:ascii="Times New Roman" w:eastAsia="Times New Roman" w:hAnsi="Times New Roman" w:cs="Times New Roman"/>
        </w:rPr>
        <w:br/>
      </w:r>
      <w:r w:rsidRPr="0035215F">
        <w:rPr>
          <w:rFonts w:ascii="Times New Roman" w:eastAsia="Times New Roman" w:hAnsi="Times New Roman" w:cs="Times New Roman"/>
        </w:rPr>
        <w:br/>
      </w:r>
      <w:r w:rsidRPr="0035215F">
        <w:rPr>
          <w:rFonts w:ascii="Times New Roman" w:eastAsia="Times New Roman" w:hAnsi="Times New Roman" w:cs="Times New Roman"/>
        </w:rPr>
        <w:br/>
      </w:r>
      <w:r w:rsidRPr="0035215F">
        <w:rPr>
          <w:rFonts w:ascii="Times New Roman" w:eastAsia="Times New Roman" w:hAnsi="Times New Roman" w:cs="Times New Roman"/>
        </w:rPr>
        <w:br/>
      </w:r>
      <w:r w:rsidRPr="0035215F">
        <w:rPr>
          <w:rFonts w:ascii="Times New Roman" w:eastAsia="Times New Roman" w:hAnsi="Times New Roman" w:cs="Times New Roman"/>
        </w:rPr>
        <w:br/>
      </w:r>
      <w:r w:rsidRPr="0035215F">
        <w:rPr>
          <w:rFonts w:ascii="Times New Roman" w:eastAsia="Times New Roman" w:hAnsi="Times New Roman" w:cs="Times New Roman"/>
        </w:rPr>
        <w:lastRenderedPageBreak/>
        <w:br/>
      </w:r>
      <w:r w:rsidRPr="0035215F">
        <w:rPr>
          <w:rFonts w:ascii="Times New Roman" w:eastAsia="Times New Roman" w:hAnsi="Times New Roman" w:cs="Times New Roman"/>
        </w:rPr>
        <w:fldChar w:fldCharType="begin"/>
      </w:r>
      <w:r w:rsidRPr="0035215F">
        <w:rPr>
          <w:rFonts w:ascii="Times New Roman" w:eastAsia="Times New Roman" w:hAnsi="Times New Roman" w:cs="Times New Roman"/>
        </w:rPr>
        <w:instrText xml:space="preserve"> INCLUDEPICTURE "https://lh4.googleusercontent.com/SGoBtHqxwGG_BIzcvW9oVja3ckiNZos8hA4jK0Yfb1Ra_-qz8P0Cy7uRtq162kRwz00VQwv_KHNUchQnYRT6csyJ43cm7-8F4Mwk94Ysi6LZZzWiZgrGdD2Pv9IF3z7vJ9AJ4fyV" \* MERGEFORMATINET </w:instrText>
      </w:r>
      <w:r w:rsidRPr="0035215F">
        <w:rPr>
          <w:rFonts w:ascii="Times New Roman" w:eastAsia="Times New Roman" w:hAnsi="Times New Roman" w:cs="Times New Roman"/>
        </w:rPr>
        <w:fldChar w:fldCharType="separate"/>
      </w:r>
      <w:r w:rsidRPr="0035215F">
        <w:rPr>
          <w:rFonts w:ascii="Times New Roman" w:eastAsia="Times New Roman" w:hAnsi="Times New Roman" w:cs="Times New Roman"/>
          <w:noProof/>
        </w:rPr>
        <w:drawing>
          <wp:inline distT="0" distB="0" distL="0" distR="0">
            <wp:extent cx="5943600" cy="3982085"/>
            <wp:effectExtent l="0" t="0" r="0" b="5715"/>
            <wp:docPr id="3" name="Picture 3" descr="https://lh4.googleusercontent.com/SGoBtHqxwGG_BIzcvW9oVja3ckiNZos8hA4jK0Yfb1Ra_-qz8P0Cy7uRtq162kRwz00VQwv_KHNUchQnYRT6csyJ43cm7-8F4Mwk94Ysi6LZZzWiZgrGdD2Pv9IF3z7vJ9AJ4f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GoBtHqxwGG_BIzcvW9oVja3ckiNZos8hA4jK0Yfb1Ra_-qz8P0Cy7uRtq162kRwz00VQwv_KHNUchQnYRT6csyJ43cm7-8F4Mwk94Ysi6LZZzWiZgrGdD2Pv9IF3z7vJ9AJ4fyV"/>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r w:rsidRPr="0035215F">
        <w:rPr>
          <w:rFonts w:ascii="Times New Roman" w:eastAsia="Times New Roman" w:hAnsi="Times New Roman" w:cs="Times New Roman"/>
        </w:rPr>
        <w:fldChar w:fldCharType="end"/>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Table 2. Genes associated with High/Standard molecular risk-groups. </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 </w:t>
      </w:r>
      <w:r w:rsidRPr="0035215F">
        <w:rPr>
          <w:rFonts w:ascii="Arial" w:eastAsia="Times New Roman" w:hAnsi="Arial" w:cs="Arial"/>
          <w:color w:val="000000"/>
          <w:sz w:val="22"/>
          <w:szCs w:val="22"/>
        </w:rPr>
        <w:tab/>
        <w:t xml:space="preserve"> </w:t>
      </w:r>
      <w:r w:rsidRPr="0035215F">
        <w:rPr>
          <w:rFonts w:ascii="Arial" w:eastAsia="Times New Roman" w:hAnsi="Arial" w:cs="Arial"/>
          <w:color w:val="000000"/>
          <w:sz w:val="22"/>
          <w:szCs w:val="22"/>
        </w:rPr>
        <w:tab/>
        <w:t xml:space="preserve"> </w:t>
      </w:r>
      <w:r w:rsidRPr="0035215F">
        <w:rPr>
          <w:rFonts w:ascii="Arial" w:eastAsia="Times New Roman" w:hAnsi="Arial" w:cs="Arial"/>
          <w:color w:val="000000"/>
          <w:sz w:val="22"/>
          <w:szCs w:val="22"/>
        </w:rPr>
        <w:tab/>
      </w:r>
    </w:p>
    <w:tbl>
      <w:tblPr>
        <w:tblW w:w="0" w:type="auto"/>
        <w:tblCellMar>
          <w:top w:w="15" w:type="dxa"/>
          <w:left w:w="15" w:type="dxa"/>
          <w:bottom w:w="15" w:type="dxa"/>
          <w:right w:w="15" w:type="dxa"/>
        </w:tblCellMar>
        <w:tblLook w:val="04A0" w:firstRow="1" w:lastRow="0" w:firstColumn="1" w:lastColumn="0" w:noHBand="0" w:noVBand="1"/>
      </w:tblPr>
      <w:tblGrid>
        <w:gridCol w:w="1991"/>
        <w:gridCol w:w="1313"/>
        <w:gridCol w:w="1546"/>
      </w:tblGrid>
      <w:tr w:rsidR="0035215F" w:rsidRPr="0035215F" w:rsidTr="0035215F">
        <w:trPr>
          <w:trHeight w:val="4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proofErr w:type="spellStart"/>
            <w:r w:rsidRPr="0035215F">
              <w:rPr>
                <w:rFonts w:ascii="Arial" w:eastAsia="Times New Roman" w:hAnsi="Arial" w:cs="Arial"/>
                <w:color w:val="000000"/>
                <w:sz w:val="20"/>
                <w:szCs w:val="20"/>
              </w:rPr>
              <w:t>Gene_ID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Gene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Coefficient</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ENSG00000078399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HOXA9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0.2184967372</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ENSG00000101333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PLCB4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0.0931645222</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ENSG00000188626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GOLGA8M</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0.0868262987</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ENSG00000259207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ITGB3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0.0757604883</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ENSG00000165300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SLITRK5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0.0546755323</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ENSG00000198722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UNC13B</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0.0280847887</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ENSG00000164659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KIAA1324L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0.0002750672</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lastRenderedPageBreak/>
              <w:t>ENSG00000226321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CROCC2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-0.0257766559</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ENSG00000267453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LINC01835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-0.0365784818</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ENSG00000132514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CLEC10A</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-0.0430241193</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ENSG00000132975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GPR12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-0.0742916453</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ENSG00000250696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AC111000.4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-0.085920489</w:t>
            </w:r>
          </w:p>
        </w:tc>
      </w:tr>
      <w:tr w:rsidR="0035215F" w:rsidRPr="0035215F" w:rsidTr="0035215F">
        <w:trPr>
          <w:trHeight w:val="4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ENSG00000260182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AC120498.2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0"/>
                <w:szCs w:val="20"/>
              </w:rPr>
              <w:t>-0.0956569772</w:t>
            </w:r>
          </w:p>
        </w:tc>
      </w:tr>
    </w:tbl>
    <w:p w:rsidR="0035215F" w:rsidRPr="0035215F" w:rsidRDefault="0035215F" w:rsidP="0035215F">
      <w:pPr>
        <w:spacing w:after="240"/>
        <w:rPr>
          <w:rFonts w:ascii="Times New Roman" w:eastAsia="Times New Roman" w:hAnsi="Times New Roman" w:cs="Times New Roman"/>
        </w:rPr>
      </w:pPr>
      <w:r w:rsidRPr="0035215F">
        <w:rPr>
          <w:rFonts w:ascii="Times New Roman" w:eastAsia="Times New Roman" w:hAnsi="Times New Roman" w:cs="Times New Roman"/>
        </w:rPr>
        <w:br/>
      </w:r>
      <w:r w:rsidRPr="0035215F">
        <w:rPr>
          <w:rFonts w:ascii="Times New Roman" w:eastAsia="Times New Roman" w:hAnsi="Times New Roman" w:cs="Times New Roman"/>
        </w:rPr>
        <w:br/>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40"/>
          <w:szCs w:val="40"/>
        </w:rPr>
        <w:t>Conclusion and next steps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shd w:val="clear" w:color="auto" w:fill="FFFF00"/>
        </w:rPr>
        <w:t>This section should include a brief discussion of allowances made (if any) for controlling bias or unwanted sources of variability, and the limitations of any novel datasets. Also include any next steps for future development (whether your group actually plans to do this or these steps are just included a guidance for potential future development).</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Our results indicate the potential for automation of feature selection to characterize subtypes of cancers showing molecular heterogeneity. Owing to these promising findings, we propose to extend this analysis to a pan-cancer experiment comparing comparable cancers from pediatric and adult samples in the TARGET and TCGA consortia, respectively. We were interested in comparing our aggregated results with various algorithms to automated meta machine learning packages. </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For this investigation we focused primarily on RNA-</w:t>
      </w:r>
      <w:proofErr w:type="spellStart"/>
      <w:r w:rsidRPr="0035215F">
        <w:rPr>
          <w:rFonts w:ascii="Arial" w:eastAsia="Times New Roman" w:hAnsi="Arial" w:cs="Arial"/>
          <w:color w:val="000000"/>
          <w:sz w:val="22"/>
          <w:szCs w:val="22"/>
        </w:rPr>
        <w:t>seq</w:t>
      </w:r>
      <w:proofErr w:type="spellEnd"/>
      <w:r w:rsidRPr="0035215F">
        <w:rPr>
          <w:rFonts w:ascii="Arial" w:eastAsia="Times New Roman" w:hAnsi="Arial" w:cs="Arial"/>
          <w:color w:val="000000"/>
          <w:sz w:val="22"/>
          <w:szCs w:val="22"/>
        </w:rPr>
        <w:t xml:space="preserve"> data, but the data handling workflow described could be readily extended to numerous other assay types. Complementary data such as copy number variation could be further leveraged for quality control improvements to our analyses of expression data. This integration of additional data types would further increase confidence in our results with the potential to further illuminate the functional roles and dynamics that explain gene dysregulation that is predictive for AML risk group.</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Data and software availability</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Code, including data tables, R and Python scripts and notebooks, is available at the GitHub repository (</w:t>
      </w:r>
      <w:hyperlink r:id="rId21" w:history="1">
        <w:r w:rsidRPr="0035215F">
          <w:rPr>
            <w:rFonts w:ascii="Arial" w:eastAsia="Times New Roman" w:hAnsi="Arial" w:cs="Arial"/>
            <w:color w:val="1155CC"/>
            <w:sz w:val="22"/>
            <w:szCs w:val="22"/>
            <w:u w:val="single"/>
          </w:rPr>
          <w:t>https://github.com/NCBI-Hackathons/RNAseq_Cancer_Biomarkers</w:t>
        </w:r>
      </w:hyperlink>
      <w:r w:rsidRPr="0035215F">
        <w:rPr>
          <w:rFonts w:ascii="Arial" w:eastAsia="Times New Roman" w:hAnsi="Arial" w:cs="Arial"/>
          <w:color w:val="000000"/>
          <w:sz w:val="22"/>
          <w:szCs w:val="22"/>
        </w:rPr>
        <w:t xml:space="preserve">). All data, code and analysis </w:t>
      </w:r>
      <w:proofErr w:type="gramStart"/>
      <w:r w:rsidRPr="0035215F">
        <w:rPr>
          <w:rFonts w:ascii="Arial" w:eastAsia="Times New Roman" w:hAnsi="Arial" w:cs="Arial"/>
          <w:color w:val="000000"/>
          <w:sz w:val="22"/>
          <w:szCs w:val="22"/>
        </w:rPr>
        <w:t>is</w:t>
      </w:r>
      <w:proofErr w:type="gramEnd"/>
      <w:r w:rsidRPr="0035215F">
        <w:rPr>
          <w:rFonts w:ascii="Arial" w:eastAsia="Times New Roman" w:hAnsi="Arial" w:cs="Arial"/>
          <w:color w:val="000000"/>
          <w:sz w:val="22"/>
          <w:szCs w:val="22"/>
        </w:rPr>
        <w:t xml:space="preserve"> provided under the MIT license.</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b/>
          <w:bCs/>
          <w:color w:val="000000"/>
          <w:kern w:val="36"/>
          <w:sz w:val="40"/>
          <w:szCs w:val="40"/>
        </w:rPr>
        <w:t>Suggested Reviewers</w:t>
      </w:r>
    </w:p>
    <w:p w:rsidR="0035215F" w:rsidRPr="0035215F" w:rsidRDefault="0035215F" w:rsidP="0035215F">
      <w:pPr>
        <w:rPr>
          <w:rFonts w:ascii="Times New Roman" w:eastAsia="Times New Roman" w:hAnsi="Times New Roman" w:cs="Times New Roman"/>
        </w:rPr>
      </w:pPr>
    </w:p>
    <w:p w:rsidR="0035215F" w:rsidRPr="0035215F" w:rsidRDefault="0035215F" w:rsidP="0035215F">
      <w:pPr>
        <w:numPr>
          <w:ilvl w:val="0"/>
          <w:numId w:val="1"/>
        </w:numPr>
        <w:textAlignment w:val="baseline"/>
        <w:rPr>
          <w:rFonts w:ascii="Arial" w:eastAsia="Times New Roman" w:hAnsi="Arial" w:cs="Arial"/>
          <w:b/>
          <w:bCs/>
          <w:color w:val="000000"/>
          <w:sz w:val="22"/>
          <w:szCs w:val="22"/>
        </w:rPr>
      </w:pPr>
      <w:r w:rsidRPr="0035215F">
        <w:rPr>
          <w:rFonts w:ascii="Arial" w:eastAsia="Times New Roman" w:hAnsi="Arial" w:cs="Arial"/>
          <w:b/>
          <w:bCs/>
          <w:color w:val="000000"/>
          <w:sz w:val="22"/>
          <w:szCs w:val="22"/>
        </w:rPr>
        <w:t xml:space="preserve">Hamid </w:t>
      </w:r>
      <w:proofErr w:type="spellStart"/>
      <w:r w:rsidRPr="0035215F">
        <w:rPr>
          <w:rFonts w:ascii="Arial" w:eastAsia="Times New Roman" w:hAnsi="Arial" w:cs="Arial"/>
          <w:b/>
          <w:bCs/>
          <w:color w:val="000000"/>
          <w:sz w:val="22"/>
          <w:szCs w:val="22"/>
        </w:rPr>
        <w:t>Bolouri</w:t>
      </w:r>
      <w:proofErr w:type="spellEnd"/>
    </w:p>
    <w:p w:rsidR="0035215F" w:rsidRPr="0035215F" w:rsidRDefault="0035215F" w:rsidP="0035215F">
      <w:pPr>
        <w:numPr>
          <w:ilvl w:val="0"/>
          <w:numId w:val="1"/>
        </w:numPr>
        <w:textAlignment w:val="baseline"/>
        <w:rPr>
          <w:rFonts w:ascii="Arial" w:eastAsia="Times New Roman" w:hAnsi="Arial" w:cs="Arial"/>
          <w:b/>
          <w:bCs/>
          <w:color w:val="000000"/>
          <w:sz w:val="22"/>
          <w:szCs w:val="22"/>
        </w:rPr>
      </w:pPr>
      <w:r w:rsidRPr="0035215F">
        <w:rPr>
          <w:rFonts w:ascii="Arial" w:eastAsia="Times New Roman" w:hAnsi="Arial" w:cs="Arial"/>
          <w:b/>
          <w:bCs/>
          <w:color w:val="000000"/>
          <w:sz w:val="22"/>
          <w:szCs w:val="22"/>
        </w:rPr>
        <w:t xml:space="preserve">Timothy </w:t>
      </w:r>
      <w:proofErr w:type="spellStart"/>
      <w:r w:rsidRPr="0035215F">
        <w:rPr>
          <w:rFonts w:ascii="Arial" w:eastAsia="Times New Roman" w:hAnsi="Arial" w:cs="Arial"/>
          <w:b/>
          <w:bCs/>
          <w:color w:val="000000"/>
          <w:sz w:val="22"/>
          <w:szCs w:val="22"/>
        </w:rPr>
        <w:t>Triche</w:t>
      </w:r>
      <w:proofErr w:type="spellEnd"/>
      <w:r w:rsidRPr="0035215F">
        <w:rPr>
          <w:rFonts w:ascii="Arial" w:eastAsia="Times New Roman" w:hAnsi="Arial" w:cs="Arial"/>
          <w:b/>
          <w:bCs/>
          <w:color w:val="000000"/>
          <w:sz w:val="22"/>
          <w:szCs w:val="22"/>
        </w:rPr>
        <w:t xml:space="preserve"> Jr.</w:t>
      </w:r>
    </w:p>
    <w:p w:rsidR="0035215F" w:rsidRPr="0035215F" w:rsidRDefault="0035215F" w:rsidP="0035215F">
      <w:pPr>
        <w:numPr>
          <w:ilvl w:val="0"/>
          <w:numId w:val="1"/>
        </w:numPr>
        <w:textAlignment w:val="baseline"/>
        <w:rPr>
          <w:rFonts w:ascii="Arial" w:eastAsia="Times New Roman" w:hAnsi="Arial" w:cs="Arial"/>
          <w:b/>
          <w:bCs/>
          <w:color w:val="000000"/>
          <w:sz w:val="22"/>
          <w:szCs w:val="22"/>
        </w:rPr>
      </w:pPr>
      <w:r w:rsidRPr="0035215F">
        <w:rPr>
          <w:rFonts w:ascii="Arial" w:eastAsia="Times New Roman" w:hAnsi="Arial" w:cs="Arial"/>
          <w:b/>
          <w:bCs/>
          <w:color w:val="000000"/>
          <w:sz w:val="22"/>
          <w:szCs w:val="22"/>
        </w:rPr>
        <w:t xml:space="preserve">Soheil </w:t>
      </w:r>
      <w:proofErr w:type="spellStart"/>
      <w:r w:rsidRPr="0035215F">
        <w:rPr>
          <w:rFonts w:ascii="Arial" w:eastAsia="Times New Roman" w:hAnsi="Arial" w:cs="Arial"/>
          <w:b/>
          <w:bCs/>
          <w:color w:val="000000"/>
          <w:sz w:val="22"/>
          <w:szCs w:val="22"/>
        </w:rPr>
        <w:t>meshinchi</w:t>
      </w:r>
      <w:proofErr w:type="spellEnd"/>
    </w:p>
    <w:p w:rsidR="0035215F" w:rsidRPr="0035215F" w:rsidRDefault="0035215F" w:rsidP="0035215F">
      <w:pPr>
        <w:numPr>
          <w:ilvl w:val="0"/>
          <w:numId w:val="1"/>
        </w:numPr>
        <w:textAlignment w:val="baseline"/>
        <w:rPr>
          <w:rFonts w:ascii="Arial" w:eastAsia="Times New Roman" w:hAnsi="Arial" w:cs="Arial"/>
          <w:b/>
          <w:bCs/>
          <w:color w:val="000000"/>
          <w:sz w:val="22"/>
          <w:szCs w:val="22"/>
        </w:rPr>
      </w:pPr>
      <w:r w:rsidRPr="0035215F">
        <w:rPr>
          <w:rFonts w:ascii="Arial" w:eastAsia="Times New Roman" w:hAnsi="Arial" w:cs="Arial"/>
          <w:b/>
          <w:bCs/>
          <w:color w:val="000000"/>
          <w:sz w:val="22"/>
          <w:szCs w:val="22"/>
        </w:rPr>
        <w:t>Sean Davis</w:t>
      </w:r>
    </w:p>
    <w:p w:rsidR="0035215F" w:rsidRPr="0035215F" w:rsidRDefault="0035215F" w:rsidP="0035215F">
      <w:pPr>
        <w:rPr>
          <w:rFonts w:ascii="Times New Roman" w:eastAsia="Times New Roman" w:hAnsi="Times New Roman" w:cs="Times New Roman"/>
        </w:rPr>
      </w:pP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Author contributions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Sean </w:t>
      </w:r>
      <w:proofErr w:type="spellStart"/>
      <w:r w:rsidRPr="0035215F">
        <w:rPr>
          <w:rFonts w:ascii="Arial" w:eastAsia="Times New Roman" w:hAnsi="Arial" w:cs="Arial"/>
          <w:color w:val="000000"/>
          <w:sz w:val="22"/>
          <w:szCs w:val="22"/>
        </w:rPr>
        <w:t>Maden</w:t>
      </w:r>
      <w:proofErr w:type="spellEnd"/>
      <w:r w:rsidRPr="0035215F">
        <w:rPr>
          <w:rFonts w:ascii="Arial" w:eastAsia="Times New Roman" w:hAnsi="Arial" w:cs="Arial"/>
          <w:color w:val="000000"/>
          <w:sz w:val="22"/>
          <w:szCs w:val="22"/>
        </w:rPr>
        <w:t>: Conceptualization, Methodology, Investigation, Visualization, Writing - Original Draft Preparation</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David Lee: Methods, Results</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Competing interests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No competing interests were disclosed.</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Grant information</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NCBI/NIH hackathons grant money</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Other grant contributions</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Acknowledgements</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22"/>
          <w:szCs w:val="22"/>
        </w:rPr>
        <w:t xml:space="preserve">The authors would like to acknowledge the support of Amazon Web Services for provision of compute time and resources, the national center for biotechnology information (NCBI) and NCBI hackathons program, and Fred Hutch for hosting the hackathon where much of this work was produced. </w:t>
      </w: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References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shd w:val="clear" w:color="auto" w:fill="FFFF00"/>
        </w:rPr>
        <w:t xml:space="preserve">Instructions on using the F1000R Google docs plug in for reference management: </w:t>
      </w:r>
      <w:hyperlink r:id="rId22" w:history="1">
        <w:r w:rsidRPr="0035215F">
          <w:rPr>
            <w:rFonts w:ascii="Arial" w:eastAsia="Times New Roman" w:hAnsi="Arial" w:cs="Arial"/>
            <w:color w:val="1155CC"/>
            <w:sz w:val="22"/>
            <w:szCs w:val="22"/>
            <w:u w:val="single"/>
            <w:shd w:val="clear" w:color="auto" w:fill="FFFF00"/>
          </w:rPr>
          <w:t>http://f1000.com/work/faq/google-docs-add-on/1</w:t>
        </w:r>
      </w:hyperlink>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shd w:val="clear" w:color="auto" w:fill="FFFF00"/>
        </w:rPr>
        <w:t xml:space="preserve">Instructions on using the F1000R Word plug in for reference management: </w:t>
      </w:r>
      <w:hyperlink r:id="rId23" w:history="1">
        <w:r w:rsidRPr="0035215F">
          <w:rPr>
            <w:rFonts w:ascii="Arial" w:eastAsia="Times New Roman" w:hAnsi="Arial" w:cs="Arial"/>
            <w:color w:val="1155CC"/>
            <w:sz w:val="22"/>
            <w:szCs w:val="22"/>
            <w:u w:val="single"/>
            <w:shd w:val="clear" w:color="auto" w:fill="FFFF00"/>
          </w:rPr>
          <w:t>http://f1000.com/work/faq/word-plugin</w:t>
        </w:r>
      </w:hyperlink>
      <w:r w:rsidRPr="0035215F">
        <w:rPr>
          <w:rFonts w:ascii="Arial" w:eastAsia="Times New Roman" w:hAnsi="Arial" w:cs="Arial"/>
          <w:color w:val="000000"/>
          <w:sz w:val="22"/>
          <w:szCs w:val="22"/>
          <w:shd w:val="clear" w:color="auto" w:fill="FFFF00"/>
        </w:rPr>
        <w:t xml:space="preserve"> </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1.     </w:t>
      </w:r>
      <w:r w:rsidRPr="0035215F">
        <w:rPr>
          <w:rFonts w:ascii="Arial" w:eastAsia="Times New Roman" w:hAnsi="Arial" w:cs="Arial"/>
          <w:color w:val="000000"/>
          <w:sz w:val="22"/>
          <w:szCs w:val="22"/>
        </w:rPr>
        <w:tab/>
      </w:r>
      <w:proofErr w:type="spellStart"/>
      <w:r w:rsidRPr="0035215F">
        <w:rPr>
          <w:rFonts w:ascii="Arial" w:eastAsia="Times New Roman" w:hAnsi="Arial" w:cs="Arial"/>
          <w:color w:val="000000"/>
          <w:sz w:val="22"/>
          <w:szCs w:val="22"/>
        </w:rPr>
        <w:t>Steliarova-Foucher</w:t>
      </w:r>
      <w:proofErr w:type="spellEnd"/>
      <w:r w:rsidRPr="0035215F">
        <w:rPr>
          <w:rFonts w:ascii="Arial" w:eastAsia="Times New Roman" w:hAnsi="Arial" w:cs="Arial"/>
          <w:color w:val="000000"/>
          <w:sz w:val="22"/>
          <w:szCs w:val="22"/>
        </w:rPr>
        <w:t xml:space="preserve">, E. </w:t>
      </w:r>
      <w:r w:rsidRPr="0035215F">
        <w:rPr>
          <w:rFonts w:ascii="Arial" w:eastAsia="Times New Roman" w:hAnsi="Arial" w:cs="Arial"/>
          <w:i/>
          <w:iCs/>
          <w:color w:val="000000"/>
          <w:sz w:val="22"/>
          <w:szCs w:val="22"/>
        </w:rPr>
        <w:t>et al.</w:t>
      </w:r>
      <w:r w:rsidRPr="0035215F">
        <w:rPr>
          <w:rFonts w:ascii="Arial" w:eastAsia="Times New Roman" w:hAnsi="Arial" w:cs="Arial"/>
          <w:color w:val="000000"/>
          <w:sz w:val="22"/>
          <w:szCs w:val="22"/>
        </w:rPr>
        <w:t xml:space="preserve"> International incidence of childhood cancer, 2001-10: a population-based registry study. </w:t>
      </w:r>
      <w:r w:rsidRPr="0035215F">
        <w:rPr>
          <w:rFonts w:ascii="Arial" w:eastAsia="Times New Roman" w:hAnsi="Arial" w:cs="Arial"/>
          <w:i/>
          <w:iCs/>
          <w:color w:val="000000"/>
          <w:sz w:val="22"/>
          <w:szCs w:val="22"/>
        </w:rPr>
        <w:t>Lancet Oncol.</w:t>
      </w:r>
      <w:r w:rsidRPr="0035215F">
        <w:rPr>
          <w:rFonts w:ascii="Arial" w:eastAsia="Times New Roman" w:hAnsi="Arial" w:cs="Arial"/>
          <w:color w:val="000000"/>
          <w:sz w:val="22"/>
          <w:szCs w:val="22"/>
        </w:rPr>
        <w:t xml:space="preserve"> </w:t>
      </w:r>
      <w:r w:rsidRPr="0035215F">
        <w:rPr>
          <w:rFonts w:ascii="Arial" w:eastAsia="Times New Roman" w:hAnsi="Arial" w:cs="Arial"/>
          <w:b/>
          <w:bCs/>
          <w:color w:val="000000"/>
          <w:sz w:val="22"/>
          <w:szCs w:val="22"/>
        </w:rPr>
        <w:t>18</w:t>
      </w:r>
      <w:r w:rsidRPr="0035215F">
        <w:rPr>
          <w:rFonts w:ascii="Arial" w:eastAsia="Times New Roman" w:hAnsi="Arial" w:cs="Arial"/>
          <w:color w:val="000000"/>
          <w:sz w:val="22"/>
          <w:szCs w:val="22"/>
        </w:rPr>
        <w:t>, 719–731 (2017).</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2.     </w:t>
      </w:r>
      <w:r w:rsidRPr="0035215F">
        <w:rPr>
          <w:rFonts w:ascii="Arial" w:eastAsia="Times New Roman" w:hAnsi="Arial" w:cs="Arial"/>
          <w:color w:val="000000"/>
          <w:sz w:val="22"/>
          <w:szCs w:val="22"/>
        </w:rPr>
        <w:tab/>
        <w:t xml:space="preserve">Acute Myeloid Leukemia - Cancer Stat Facts. </w:t>
      </w:r>
      <w:r w:rsidRPr="0035215F">
        <w:rPr>
          <w:rFonts w:ascii="Arial" w:eastAsia="Times New Roman" w:hAnsi="Arial" w:cs="Arial"/>
          <w:i/>
          <w:iCs/>
          <w:color w:val="000000"/>
          <w:sz w:val="22"/>
          <w:szCs w:val="22"/>
        </w:rPr>
        <w:t>SEER</w:t>
      </w:r>
      <w:r w:rsidRPr="0035215F">
        <w:rPr>
          <w:rFonts w:ascii="Arial" w:eastAsia="Times New Roman" w:hAnsi="Arial" w:cs="Arial"/>
          <w:color w:val="000000"/>
          <w:sz w:val="22"/>
          <w:szCs w:val="22"/>
        </w:rPr>
        <w:t xml:space="preserve"> Available at: https://seer.cancer.gov/statfacts/html/amyl.html. (Accessed: 5th February 2019)</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3.     </w:t>
      </w:r>
      <w:r w:rsidRPr="0035215F">
        <w:rPr>
          <w:rFonts w:ascii="Arial" w:eastAsia="Times New Roman" w:hAnsi="Arial" w:cs="Arial"/>
          <w:color w:val="000000"/>
          <w:sz w:val="22"/>
          <w:szCs w:val="22"/>
        </w:rPr>
        <w:tab/>
        <w:t xml:space="preserve">Yi, G. </w:t>
      </w:r>
      <w:r w:rsidRPr="0035215F">
        <w:rPr>
          <w:rFonts w:ascii="Arial" w:eastAsia="Times New Roman" w:hAnsi="Arial" w:cs="Arial"/>
          <w:i/>
          <w:iCs/>
          <w:color w:val="000000"/>
          <w:sz w:val="22"/>
          <w:szCs w:val="22"/>
        </w:rPr>
        <w:t>et al.</w:t>
      </w:r>
      <w:r w:rsidRPr="0035215F">
        <w:rPr>
          <w:rFonts w:ascii="Arial" w:eastAsia="Times New Roman" w:hAnsi="Arial" w:cs="Arial"/>
          <w:color w:val="000000"/>
          <w:sz w:val="22"/>
          <w:szCs w:val="22"/>
        </w:rPr>
        <w:t xml:space="preserve"> Chromatin-Based Classification of Genetically Heterogeneous AMLs into Two Distinct Subtypes with Diverse Stemness Phenotypes. </w:t>
      </w:r>
      <w:r w:rsidRPr="0035215F">
        <w:rPr>
          <w:rFonts w:ascii="Arial" w:eastAsia="Times New Roman" w:hAnsi="Arial" w:cs="Arial"/>
          <w:i/>
          <w:iCs/>
          <w:color w:val="000000"/>
          <w:sz w:val="22"/>
          <w:szCs w:val="22"/>
        </w:rPr>
        <w:t>Cell Rep.</w:t>
      </w:r>
      <w:r w:rsidRPr="0035215F">
        <w:rPr>
          <w:rFonts w:ascii="Arial" w:eastAsia="Times New Roman" w:hAnsi="Arial" w:cs="Arial"/>
          <w:color w:val="000000"/>
          <w:sz w:val="22"/>
          <w:szCs w:val="22"/>
        </w:rPr>
        <w:t xml:space="preserve"> </w:t>
      </w:r>
      <w:r w:rsidRPr="0035215F">
        <w:rPr>
          <w:rFonts w:ascii="Arial" w:eastAsia="Times New Roman" w:hAnsi="Arial" w:cs="Arial"/>
          <w:b/>
          <w:bCs/>
          <w:color w:val="000000"/>
          <w:sz w:val="22"/>
          <w:szCs w:val="22"/>
        </w:rPr>
        <w:t>26</w:t>
      </w:r>
      <w:r w:rsidRPr="0035215F">
        <w:rPr>
          <w:rFonts w:ascii="Arial" w:eastAsia="Times New Roman" w:hAnsi="Arial" w:cs="Arial"/>
          <w:color w:val="000000"/>
          <w:sz w:val="22"/>
          <w:szCs w:val="22"/>
        </w:rPr>
        <w:t>, 1059-1069.e6 (2019).</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lastRenderedPageBreak/>
        <w:t>4.     </w:t>
      </w:r>
      <w:r w:rsidRPr="0035215F">
        <w:rPr>
          <w:rFonts w:ascii="Arial" w:eastAsia="Times New Roman" w:hAnsi="Arial" w:cs="Arial"/>
          <w:color w:val="000000"/>
          <w:sz w:val="22"/>
          <w:szCs w:val="22"/>
        </w:rPr>
        <w:tab/>
        <w:t xml:space="preserve">Tyner, J. W. </w:t>
      </w:r>
      <w:r w:rsidRPr="0035215F">
        <w:rPr>
          <w:rFonts w:ascii="Arial" w:eastAsia="Times New Roman" w:hAnsi="Arial" w:cs="Arial"/>
          <w:i/>
          <w:iCs/>
          <w:color w:val="000000"/>
          <w:sz w:val="22"/>
          <w:szCs w:val="22"/>
        </w:rPr>
        <w:t>et al.</w:t>
      </w:r>
      <w:r w:rsidRPr="0035215F">
        <w:rPr>
          <w:rFonts w:ascii="Arial" w:eastAsia="Times New Roman" w:hAnsi="Arial" w:cs="Arial"/>
          <w:color w:val="000000"/>
          <w:sz w:val="22"/>
          <w:szCs w:val="22"/>
        </w:rPr>
        <w:t xml:space="preserve"> Functional genomic landscape of acute myeloid </w:t>
      </w:r>
      <w:proofErr w:type="spellStart"/>
      <w:r w:rsidRPr="0035215F">
        <w:rPr>
          <w:rFonts w:ascii="Arial" w:eastAsia="Times New Roman" w:hAnsi="Arial" w:cs="Arial"/>
          <w:color w:val="000000"/>
          <w:sz w:val="22"/>
          <w:szCs w:val="22"/>
        </w:rPr>
        <w:t>leukaemia</w:t>
      </w:r>
      <w:proofErr w:type="spellEnd"/>
      <w:r w:rsidRPr="0035215F">
        <w:rPr>
          <w:rFonts w:ascii="Arial" w:eastAsia="Times New Roman" w:hAnsi="Arial" w:cs="Arial"/>
          <w:color w:val="000000"/>
          <w:sz w:val="22"/>
          <w:szCs w:val="22"/>
        </w:rPr>
        <w:t xml:space="preserve">. </w:t>
      </w:r>
      <w:r w:rsidRPr="0035215F">
        <w:rPr>
          <w:rFonts w:ascii="Arial" w:eastAsia="Times New Roman" w:hAnsi="Arial" w:cs="Arial"/>
          <w:i/>
          <w:iCs/>
          <w:color w:val="000000"/>
          <w:sz w:val="22"/>
          <w:szCs w:val="22"/>
        </w:rPr>
        <w:t>Nature</w:t>
      </w:r>
      <w:r w:rsidRPr="0035215F">
        <w:rPr>
          <w:rFonts w:ascii="Arial" w:eastAsia="Times New Roman" w:hAnsi="Arial" w:cs="Arial"/>
          <w:color w:val="000000"/>
          <w:sz w:val="22"/>
          <w:szCs w:val="22"/>
        </w:rPr>
        <w:t xml:space="preserve"> </w:t>
      </w:r>
      <w:r w:rsidRPr="0035215F">
        <w:rPr>
          <w:rFonts w:ascii="Arial" w:eastAsia="Times New Roman" w:hAnsi="Arial" w:cs="Arial"/>
          <w:b/>
          <w:bCs/>
          <w:color w:val="000000"/>
          <w:sz w:val="22"/>
          <w:szCs w:val="22"/>
        </w:rPr>
        <w:t>562</w:t>
      </w:r>
      <w:r w:rsidRPr="0035215F">
        <w:rPr>
          <w:rFonts w:ascii="Arial" w:eastAsia="Times New Roman" w:hAnsi="Arial" w:cs="Arial"/>
          <w:color w:val="000000"/>
          <w:sz w:val="22"/>
          <w:szCs w:val="22"/>
        </w:rPr>
        <w:t>, 526 (2018).</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5.     </w:t>
      </w:r>
      <w:r w:rsidRPr="0035215F">
        <w:rPr>
          <w:rFonts w:ascii="Arial" w:eastAsia="Times New Roman" w:hAnsi="Arial" w:cs="Arial"/>
          <w:color w:val="000000"/>
          <w:sz w:val="22"/>
          <w:szCs w:val="22"/>
        </w:rPr>
        <w:tab/>
      </w:r>
      <w:proofErr w:type="spellStart"/>
      <w:r w:rsidRPr="0035215F">
        <w:rPr>
          <w:rFonts w:ascii="Arial" w:eastAsia="Times New Roman" w:hAnsi="Arial" w:cs="Arial"/>
          <w:color w:val="000000"/>
          <w:sz w:val="22"/>
          <w:szCs w:val="22"/>
        </w:rPr>
        <w:t>Bolouri</w:t>
      </w:r>
      <w:proofErr w:type="spellEnd"/>
      <w:r w:rsidRPr="0035215F">
        <w:rPr>
          <w:rFonts w:ascii="Arial" w:eastAsia="Times New Roman" w:hAnsi="Arial" w:cs="Arial"/>
          <w:color w:val="000000"/>
          <w:sz w:val="22"/>
          <w:szCs w:val="22"/>
        </w:rPr>
        <w:t xml:space="preserve">, H. </w:t>
      </w:r>
      <w:r w:rsidRPr="0035215F">
        <w:rPr>
          <w:rFonts w:ascii="Arial" w:eastAsia="Times New Roman" w:hAnsi="Arial" w:cs="Arial"/>
          <w:i/>
          <w:iCs/>
          <w:color w:val="000000"/>
          <w:sz w:val="22"/>
          <w:szCs w:val="22"/>
        </w:rPr>
        <w:t>et al.</w:t>
      </w:r>
      <w:r w:rsidRPr="0035215F">
        <w:rPr>
          <w:rFonts w:ascii="Arial" w:eastAsia="Times New Roman" w:hAnsi="Arial" w:cs="Arial"/>
          <w:color w:val="000000"/>
          <w:sz w:val="22"/>
          <w:szCs w:val="22"/>
        </w:rPr>
        <w:t xml:space="preserve"> The molecular landscape of pediatric acute myeloid leukemia reveals recurrent structural alterations and age-specific mutational interactions. </w:t>
      </w:r>
      <w:r w:rsidRPr="0035215F">
        <w:rPr>
          <w:rFonts w:ascii="Arial" w:eastAsia="Times New Roman" w:hAnsi="Arial" w:cs="Arial"/>
          <w:i/>
          <w:iCs/>
          <w:color w:val="000000"/>
          <w:sz w:val="22"/>
          <w:szCs w:val="22"/>
        </w:rPr>
        <w:t>Nat. Med.</w:t>
      </w:r>
      <w:r w:rsidRPr="0035215F">
        <w:rPr>
          <w:rFonts w:ascii="Arial" w:eastAsia="Times New Roman" w:hAnsi="Arial" w:cs="Arial"/>
          <w:color w:val="000000"/>
          <w:sz w:val="22"/>
          <w:szCs w:val="22"/>
        </w:rPr>
        <w:t xml:space="preserve"> </w:t>
      </w:r>
      <w:r w:rsidRPr="0035215F">
        <w:rPr>
          <w:rFonts w:ascii="Arial" w:eastAsia="Times New Roman" w:hAnsi="Arial" w:cs="Arial"/>
          <w:b/>
          <w:bCs/>
          <w:color w:val="000000"/>
          <w:sz w:val="22"/>
          <w:szCs w:val="22"/>
        </w:rPr>
        <w:t>24</w:t>
      </w:r>
      <w:r w:rsidRPr="0035215F">
        <w:rPr>
          <w:rFonts w:ascii="Arial" w:eastAsia="Times New Roman" w:hAnsi="Arial" w:cs="Arial"/>
          <w:color w:val="000000"/>
          <w:sz w:val="22"/>
          <w:szCs w:val="22"/>
        </w:rPr>
        <w:t>, 103–112 (2018).</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6.     </w:t>
      </w:r>
      <w:r w:rsidRPr="0035215F">
        <w:rPr>
          <w:rFonts w:ascii="Arial" w:eastAsia="Times New Roman" w:hAnsi="Arial" w:cs="Arial"/>
          <w:color w:val="000000"/>
          <w:sz w:val="22"/>
          <w:szCs w:val="22"/>
        </w:rPr>
        <w:tab/>
        <w:t xml:space="preserve">Cancer Genome Atlas Research Network </w:t>
      </w:r>
      <w:r w:rsidRPr="0035215F">
        <w:rPr>
          <w:rFonts w:ascii="Arial" w:eastAsia="Times New Roman" w:hAnsi="Arial" w:cs="Arial"/>
          <w:i/>
          <w:iCs/>
          <w:color w:val="000000"/>
          <w:sz w:val="22"/>
          <w:szCs w:val="22"/>
        </w:rPr>
        <w:t>et al.</w:t>
      </w:r>
      <w:r w:rsidRPr="0035215F">
        <w:rPr>
          <w:rFonts w:ascii="Arial" w:eastAsia="Times New Roman" w:hAnsi="Arial" w:cs="Arial"/>
          <w:color w:val="000000"/>
          <w:sz w:val="22"/>
          <w:szCs w:val="22"/>
        </w:rPr>
        <w:t xml:space="preserve"> Genomic and epigenomic landscapes of adult de novo acute myeloid leukemia. </w:t>
      </w:r>
      <w:r w:rsidRPr="0035215F">
        <w:rPr>
          <w:rFonts w:ascii="Arial" w:eastAsia="Times New Roman" w:hAnsi="Arial" w:cs="Arial"/>
          <w:i/>
          <w:iCs/>
          <w:color w:val="000000"/>
          <w:sz w:val="22"/>
          <w:szCs w:val="22"/>
        </w:rPr>
        <w:t>N. Engl. J. Med.</w:t>
      </w:r>
      <w:r w:rsidRPr="0035215F">
        <w:rPr>
          <w:rFonts w:ascii="Arial" w:eastAsia="Times New Roman" w:hAnsi="Arial" w:cs="Arial"/>
          <w:color w:val="000000"/>
          <w:sz w:val="22"/>
          <w:szCs w:val="22"/>
        </w:rPr>
        <w:t xml:space="preserve"> </w:t>
      </w:r>
      <w:r w:rsidRPr="0035215F">
        <w:rPr>
          <w:rFonts w:ascii="Arial" w:eastAsia="Times New Roman" w:hAnsi="Arial" w:cs="Arial"/>
          <w:b/>
          <w:bCs/>
          <w:color w:val="000000"/>
          <w:sz w:val="22"/>
          <w:szCs w:val="22"/>
        </w:rPr>
        <w:t>368</w:t>
      </w:r>
      <w:r w:rsidRPr="0035215F">
        <w:rPr>
          <w:rFonts w:ascii="Arial" w:eastAsia="Times New Roman" w:hAnsi="Arial" w:cs="Arial"/>
          <w:color w:val="000000"/>
          <w:sz w:val="22"/>
          <w:szCs w:val="22"/>
        </w:rPr>
        <w:t>, 2059–2074 (2013).</w:t>
      </w:r>
    </w:p>
    <w:p w:rsidR="0035215F" w:rsidRPr="0035215F" w:rsidRDefault="0035215F" w:rsidP="0035215F">
      <w:pPr>
        <w:rPr>
          <w:rFonts w:ascii="Times New Roman" w:eastAsia="Times New Roman" w:hAnsi="Times New Roman" w:cs="Times New Roman"/>
        </w:rPr>
      </w:pPr>
    </w:p>
    <w:p w:rsidR="0035215F" w:rsidRPr="0035215F" w:rsidRDefault="0035215F" w:rsidP="0035215F">
      <w:pPr>
        <w:spacing w:before="400" w:after="120"/>
        <w:outlineLvl w:val="0"/>
        <w:rPr>
          <w:rFonts w:ascii="Times New Roman" w:eastAsia="Times New Roman" w:hAnsi="Times New Roman" w:cs="Times New Roman"/>
          <w:b/>
          <w:bCs/>
          <w:kern w:val="36"/>
          <w:sz w:val="48"/>
          <w:szCs w:val="48"/>
        </w:rPr>
      </w:pPr>
      <w:r w:rsidRPr="0035215F">
        <w:rPr>
          <w:rFonts w:ascii="Arial" w:eastAsia="Times New Roman" w:hAnsi="Arial" w:cs="Arial"/>
          <w:color w:val="000000"/>
          <w:kern w:val="36"/>
          <w:sz w:val="40"/>
          <w:szCs w:val="40"/>
        </w:rPr>
        <w:t>Figures and Tables</w:t>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rPr>
        <w:t xml:space="preserve">Figure 1. </w:t>
      </w:r>
      <w:r w:rsidRPr="0035215F">
        <w:rPr>
          <w:rFonts w:ascii="Arial" w:eastAsia="Times New Roman" w:hAnsi="Arial" w:cs="Arial"/>
          <w:color w:val="000000"/>
          <w:sz w:val="22"/>
          <w:szCs w:val="22"/>
        </w:rPr>
        <w:t xml:space="preserve">Workflow and methods for discovery of AML biomarkers. </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rPr>
        <w:t xml:space="preserve">Table 1. </w:t>
      </w:r>
      <w:r w:rsidRPr="0035215F">
        <w:rPr>
          <w:rFonts w:ascii="Arial" w:eastAsia="Times New Roman" w:hAnsi="Arial" w:cs="Arial"/>
          <w:color w:val="000000"/>
          <w:sz w:val="22"/>
          <w:szCs w:val="22"/>
        </w:rPr>
        <w:t>Machine learning algorithms applied for biomarker discovery.</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rPr>
        <w:t>Table 2.</w:t>
      </w:r>
      <w:r w:rsidRPr="0035215F">
        <w:rPr>
          <w:rFonts w:ascii="Arial" w:eastAsia="Times New Roman" w:hAnsi="Arial" w:cs="Arial"/>
          <w:color w:val="000000"/>
          <w:sz w:val="22"/>
          <w:szCs w:val="22"/>
        </w:rPr>
        <w:t xml:space="preserve"> Genes associated with High/Standard molecular risk-groups. </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b/>
          <w:bCs/>
          <w:color w:val="000000"/>
          <w:sz w:val="22"/>
          <w:szCs w:val="22"/>
        </w:rPr>
        <w:t xml:space="preserve">Figure 2. </w:t>
      </w:r>
      <w:r w:rsidRPr="0035215F">
        <w:rPr>
          <w:rFonts w:ascii="Arial" w:eastAsia="Times New Roman" w:hAnsi="Arial" w:cs="Arial"/>
          <w:color w:val="000000"/>
          <w:sz w:val="22"/>
          <w:szCs w:val="22"/>
        </w:rPr>
        <w:t>Scatter plots of gene expression contrasts in test (top) and training (bottom) AML data subsets. X-axis is difference in expression means between dichotomized risk groups, y-axis is difference in expression variances between these groups. Green dots are differentially expressed genes (DEGs, N = 1,998 loci), red circles are all genes (N = 21,407 loci).</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Figure X: Three models were trained and tested on all possible features. The Lasso, Random Forest, and </w:t>
      </w:r>
      <w:proofErr w:type="spellStart"/>
      <w:r w:rsidRPr="0035215F">
        <w:rPr>
          <w:rFonts w:ascii="Arial" w:eastAsia="Times New Roman" w:hAnsi="Arial" w:cs="Arial"/>
          <w:color w:val="000000"/>
          <w:sz w:val="22"/>
          <w:szCs w:val="22"/>
        </w:rPr>
        <w:t>XGBoost</w:t>
      </w:r>
      <w:proofErr w:type="spellEnd"/>
      <w:r w:rsidRPr="0035215F">
        <w:rPr>
          <w:rFonts w:ascii="Arial" w:eastAsia="Times New Roman" w:hAnsi="Arial" w:cs="Arial"/>
          <w:color w:val="000000"/>
          <w:sz w:val="22"/>
          <w:szCs w:val="22"/>
        </w:rPr>
        <w:t xml:space="preserve"> model deemed 3212, 1147 and 332 features important, respectively. Eleven features were deemed important by all three.</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t xml:space="preserve">Figure X: The Lasso model was refit until convergence. The second Lasso model now deemed 174 model important. The </w:t>
      </w:r>
      <w:proofErr w:type="spellStart"/>
      <w:r w:rsidRPr="0035215F">
        <w:rPr>
          <w:rFonts w:ascii="Arial" w:eastAsia="Times New Roman" w:hAnsi="Arial" w:cs="Arial"/>
          <w:color w:val="000000"/>
          <w:sz w:val="22"/>
          <w:szCs w:val="22"/>
        </w:rPr>
        <w:t>XGBoost</w:t>
      </w:r>
      <w:proofErr w:type="spellEnd"/>
      <w:r w:rsidRPr="0035215F">
        <w:rPr>
          <w:rFonts w:ascii="Arial" w:eastAsia="Times New Roman" w:hAnsi="Arial" w:cs="Arial"/>
          <w:color w:val="000000"/>
          <w:sz w:val="22"/>
          <w:szCs w:val="22"/>
        </w:rPr>
        <w:t xml:space="preserve"> and Lasso model shared 15 features. Of those 15, six were in the original 11 above. </w:t>
      </w:r>
    </w:p>
    <w:p w:rsidR="0035215F" w:rsidRPr="0035215F" w:rsidRDefault="0035215F" w:rsidP="0035215F">
      <w:pPr>
        <w:spacing w:after="240"/>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40"/>
          <w:szCs w:val="40"/>
        </w:rPr>
        <w:t>Supplemental Figures and Tables</w:t>
      </w:r>
    </w:p>
    <w:p w:rsidR="0035215F" w:rsidRPr="0035215F" w:rsidRDefault="0035215F" w:rsidP="0035215F">
      <w:pPr>
        <w:rPr>
          <w:rFonts w:ascii="Times New Roman" w:eastAsia="Times New Roman" w:hAnsi="Times New Roman" w:cs="Times New Roman"/>
        </w:rPr>
      </w:pP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lastRenderedPageBreak/>
        <w:fldChar w:fldCharType="begin"/>
      </w:r>
      <w:r w:rsidRPr="0035215F">
        <w:rPr>
          <w:rFonts w:ascii="Arial" w:eastAsia="Times New Roman" w:hAnsi="Arial" w:cs="Arial"/>
          <w:color w:val="000000"/>
          <w:sz w:val="22"/>
          <w:szCs w:val="22"/>
        </w:rPr>
        <w:instrText xml:space="preserve"> INCLUDEPICTURE "https://lh6.googleusercontent.com/CJpW-zeTM8Si9lFl4epqgctJ_roov8qgUjddqQrlnjw61OrvDeeaIxZMbV_hwjfGKUyOLsmJgrN5L8IzmHbYY0QVGye0ToYvbOugaBx9WHYy3xOnF8Op0DqQOwdCHn_E9TnUIsKv" \* MERGEFORMATINET </w:instrText>
      </w:r>
      <w:r w:rsidRPr="0035215F">
        <w:rPr>
          <w:rFonts w:ascii="Arial" w:eastAsia="Times New Roman" w:hAnsi="Arial" w:cs="Arial"/>
          <w:color w:val="000000"/>
          <w:sz w:val="22"/>
          <w:szCs w:val="22"/>
        </w:rPr>
        <w:fldChar w:fldCharType="separate"/>
      </w:r>
      <w:r w:rsidRPr="0035215F">
        <w:rPr>
          <w:rFonts w:ascii="Arial" w:eastAsia="Times New Roman" w:hAnsi="Arial" w:cs="Arial"/>
          <w:noProof/>
          <w:color w:val="000000"/>
          <w:sz w:val="22"/>
          <w:szCs w:val="22"/>
        </w:rPr>
        <w:drawing>
          <wp:inline distT="0" distB="0" distL="0" distR="0">
            <wp:extent cx="5442585" cy="4332605"/>
            <wp:effectExtent l="0" t="0" r="5715" b="0"/>
            <wp:docPr id="2" name="Picture 2" descr="https://lh6.googleusercontent.com/CJpW-zeTM8Si9lFl4epqgctJ_roov8qgUjddqQrlnjw61OrvDeeaIxZMbV_hwjfGKUyOLsmJgrN5L8IzmHbYY0QVGye0ToYvbOugaBx9WHYy3xOnF8Op0DqQOwdCHn_E9TnUIs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JpW-zeTM8Si9lFl4epqgctJ_roov8qgUjddqQrlnjw61OrvDeeaIxZMbV_hwjfGKUyOLsmJgrN5L8IzmHbYY0QVGye0ToYvbOugaBx9WHYy3xOnF8Op0DqQOwdCHn_E9TnUIsKv"/>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2585" cy="4332605"/>
                    </a:xfrm>
                    <a:prstGeom prst="rect">
                      <a:avLst/>
                    </a:prstGeom>
                    <a:noFill/>
                    <a:ln>
                      <a:noFill/>
                    </a:ln>
                  </pic:spPr>
                </pic:pic>
              </a:graphicData>
            </a:graphic>
          </wp:inline>
        </w:drawing>
      </w:r>
      <w:r w:rsidRPr="0035215F">
        <w:rPr>
          <w:rFonts w:ascii="Arial" w:eastAsia="Times New Roman" w:hAnsi="Arial" w:cs="Arial"/>
          <w:color w:val="000000"/>
          <w:sz w:val="22"/>
          <w:szCs w:val="22"/>
        </w:rPr>
        <w:fldChar w:fldCharType="end"/>
      </w:r>
    </w:p>
    <w:p w:rsidR="0035215F" w:rsidRPr="0035215F" w:rsidRDefault="0035215F" w:rsidP="0035215F">
      <w:pPr>
        <w:rPr>
          <w:rFonts w:ascii="Times New Roman" w:eastAsia="Times New Roman" w:hAnsi="Times New Roman" w:cs="Times New Roman"/>
        </w:rPr>
      </w:pPr>
      <w:r w:rsidRPr="0035215F">
        <w:rPr>
          <w:rFonts w:ascii="Arial" w:eastAsia="Times New Roman" w:hAnsi="Arial" w:cs="Arial"/>
          <w:color w:val="000000"/>
          <w:sz w:val="22"/>
          <w:szCs w:val="22"/>
        </w:rPr>
        <w:lastRenderedPageBreak/>
        <w:fldChar w:fldCharType="begin"/>
      </w:r>
      <w:r w:rsidRPr="0035215F">
        <w:rPr>
          <w:rFonts w:ascii="Arial" w:eastAsia="Times New Roman" w:hAnsi="Arial" w:cs="Arial"/>
          <w:color w:val="000000"/>
          <w:sz w:val="22"/>
          <w:szCs w:val="22"/>
        </w:rPr>
        <w:instrText xml:space="preserve"> INCLUDEPICTURE "https://lh6.googleusercontent.com/YXbjVL0ahw67B6FSt7a7KWZrmpdbmrZ5SMJNayOhP0QdiBinXjGF9V3hKSOt6-g6XhF6thlIZPnwEhankby5ZINU9wH9vz8oC2ThZo8eA_KBgN4XfA-9H89fsFqdPMYs1JuTpZ0b" \* MERGEFORMATINET </w:instrText>
      </w:r>
      <w:r w:rsidRPr="0035215F">
        <w:rPr>
          <w:rFonts w:ascii="Arial" w:eastAsia="Times New Roman" w:hAnsi="Arial" w:cs="Arial"/>
          <w:color w:val="000000"/>
          <w:sz w:val="22"/>
          <w:szCs w:val="22"/>
        </w:rPr>
        <w:fldChar w:fldCharType="separate"/>
      </w:r>
      <w:r w:rsidRPr="0035215F">
        <w:rPr>
          <w:rFonts w:ascii="Arial" w:eastAsia="Times New Roman" w:hAnsi="Arial" w:cs="Arial"/>
          <w:noProof/>
          <w:color w:val="000000"/>
          <w:sz w:val="22"/>
          <w:szCs w:val="22"/>
        </w:rPr>
        <w:drawing>
          <wp:inline distT="0" distB="0" distL="0" distR="0">
            <wp:extent cx="5203190" cy="4136390"/>
            <wp:effectExtent l="0" t="0" r="3810" b="3810"/>
            <wp:docPr id="1" name="Picture 1" descr="https://lh6.googleusercontent.com/YXbjVL0ahw67B6FSt7a7KWZrmpdbmrZ5SMJNayOhP0QdiBinXjGF9V3hKSOt6-g6XhF6thlIZPnwEhankby5ZINU9wH9vz8oC2ThZo8eA_KBgN4XfA-9H89fsFqdPMYs1JuTpZ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YXbjVL0ahw67B6FSt7a7KWZrmpdbmrZ5SMJNayOhP0QdiBinXjGF9V3hKSOt6-g6XhF6thlIZPnwEhankby5ZINU9wH9vz8oC2ThZo8eA_KBgN4XfA-9H89fsFqdPMYs1JuTpZ0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3190" cy="4136390"/>
                    </a:xfrm>
                    <a:prstGeom prst="rect">
                      <a:avLst/>
                    </a:prstGeom>
                    <a:noFill/>
                    <a:ln>
                      <a:noFill/>
                    </a:ln>
                  </pic:spPr>
                </pic:pic>
              </a:graphicData>
            </a:graphic>
          </wp:inline>
        </w:drawing>
      </w:r>
      <w:r w:rsidRPr="0035215F">
        <w:rPr>
          <w:rFonts w:ascii="Arial" w:eastAsia="Times New Roman" w:hAnsi="Arial" w:cs="Arial"/>
          <w:color w:val="000000"/>
          <w:sz w:val="22"/>
          <w:szCs w:val="22"/>
        </w:rPr>
        <w:fldChar w:fldCharType="end"/>
      </w:r>
    </w:p>
    <w:p w:rsidR="0035215F" w:rsidRPr="0035215F" w:rsidRDefault="0035215F" w:rsidP="0035215F">
      <w:pPr>
        <w:rPr>
          <w:rFonts w:ascii="Times New Roman" w:eastAsia="Times New Roman" w:hAnsi="Times New Roman" w:cs="Times New Roman"/>
        </w:rPr>
      </w:pPr>
    </w:p>
    <w:p w:rsidR="00F670A8" w:rsidRDefault="0035215F">
      <w:bookmarkStart w:id="0" w:name="_GoBack"/>
      <w:bookmarkEnd w:id="0"/>
    </w:p>
    <w:sectPr w:rsidR="00F670A8" w:rsidSect="00333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B0E91"/>
    <w:multiLevelType w:val="multilevel"/>
    <w:tmpl w:val="F6A48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15F"/>
    <w:rsid w:val="00333336"/>
    <w:rsid w:val="0035215F"/>
    <w:rsid w:val="00C11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201FD66D-2F63-BC42-AF97-17ECF97C1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5215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5215F"/>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1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5215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5215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5215F"/>
    <w:rPr>
      <w:color w:val="0000FF"/>
      <w:u w:val="single"/>
    </w:rPr>
  </w:style>
  <w:style w:type="character" w:customStyle="1" w:styleId="apple-tab-span">
    <w:name w:val="apple-tab-span"/>
    <w:basedOn w:val="DefaultParagraphFont"/>
    <w:rsid w:val="00352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63028">
      <w:bodyDiv w:val="1"/>
      <w:marLeft w:val="0"/>
      <w:marRight w:val="0"/>
      <w:marTop w:val="0"/>
      <w:marBottom w:val="0"/>
      <w:divBdr>
        <w:top w:val="none" w:sz="0" w:space="0" w:color="auto"/>
        <w:left w:val="none" w:sz="0" w:space="0" w:color="auto"/>
        <w:bottom w:val="none" w:sz="0" w:space="0" w:color="auto"/>
        <w:right w:val="none" w:sz="0" w:space="0" w:color="auto"/>
      </w:divBdr>
      <w:divsChild>
        <w:div w:id="2008551461">
          <w:marLeft w:val="0"/>
          <w:marRight w:val="0"/>
          <w:marTop w:val="0"/>
          <w:marBottom w:val="0"/>
          <w:divBdr>
            <w:top w:val="none" w:sz="0" w:space="0" w:color="auto"/>
            <w:left w:val="none" w:sz="0" w:space="0" w:color="auto"/>
            <w:bottom w:val="none" w:sz="0" w:space="0" w:color="auto"/>
            <w:right w:val="none" w:sz="0" w:space="0" w:color="auto"/>
          </w:divBdr>
        </w:div>
        <w:div w:id="53551980">
          <w:marLeft w:val="0"/>
          <w:marRight w:val="0"/>
          <w:marTop w:val="0"/>
          <w:marBottom w:val="0"/>
          <w:divBdr>
            <w:top w:val="none" w:sz="0" w:space="0" w:color="auto"/>
            <w:left w:val="none" w:sz="0" w:space="0" w:color="auto"/>
            <w:bottom w:val="none" w:sz="0" w:space="0" w:color="auto"/>
            <w:right w:val="none" w:sz="0" w:space="0" w:color="auto"/>
          </w:divBdr>
        </w:div>
        <w:div w:id="425468542">
          <w:marLeft w:val="0"/>
          <w:marRight w:val="0"/>
          <w:marTop w:val="0"/>
          <w:marBottom w:val="0"/>
          <w:divBdr>
            <w:top w:val="none" w:sz="0" w:space="0" w:color="auto"/>
            <w:left w:val="none" w:sz="0" w:space="0" w:color="auto"/>
            <w:bottom w:val="none" w:sz="0" w:space="0" w:color="auto"/>
            <w:right w:val="none" w:sz="0" w:space="0" w:color="auto"/>
          </w:divBdr>
        </w:div>
        <w:div w:id="98985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uierw@uw.edu" TargetMode="External"/><Relationship Id="rId13" Type="http://schemas.openxmlformats.org/officeDocument/2006/relationships/hyperlink" Target="https://ocg.cancer.gov/programs/target/target-methods"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NCBI-Hackathons/RNAseq_Cancer_Biomarkers" TargetMode="External"/><Relationship Id="rId7" Type="http://schemas.openxmlformats.org/officeDocument/2006/relationships/hyperlink" Target="mailto:jlsmith3@fredhutch.org" TargetMode="External"/><Relationship Id="rId12" Type="http://schemas.openxmlformats.org/officeDocument/2006/relationships/hyperlink" Target="https://gdc.cancer.gov/"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mailto:davidlee327@gmail.com" TargetMode="External"/><Relationship Id="rId11" Type="http://schemas.openxmlformats.org/officeDocument/2006/relationships/hyperlink" Target="https://ocg.cancer.gov/programs/target/" TargetMode="External"/><Relationship Id="rId24" Type="http://schemas.openxmlformats.org/officeDocument/2006/relationships/image" Target="media/image7.png"/><Relationship Id="rId5" Type="http://schemas.openxmlformats.org/officeDocument/2006/relationships/hyperlink" Target="mailto:maden@ohsu.edu" TargetMode="External"/><Relationship Id="rId15" Type="http://schemas.openxmlformats.org/officeDocument/2006/relationships/image" Target="media/image1.png"/><Relationship Id="rId23" Type="http://schemas.openxmlformats.org/officeDocument/2006/relationships/hyperlink" Target="http://f1000.com/work/faq/word-plugin" TargetMode="External"/><Relationship Id="rId10" Type="http://schemas.openxmlformats.org/officeDocument/2006/relationships/hyperlink" Target="mailto:rcs333@uw.edu"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Vpeddu@uw.edu" TargetMode="External"/><Relationship Id="rId14" Type="http://schemas.openxmlformats.org/officeDocument/2006/relationships/hyperlink" Target="https://cancergenome.nih.gov/" TargetMode="External"/><Relationship Id="rId22" Type="http://schemas.openxmlformats.org/officeDocument/2006/relationships/hyperlink" Target="http://f1000.com/work/faq/google-docs-add-on/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2820</Words>
  <Characters>16079</Characters>
  <Application>Microsoft Office Word</Application>
  <DocSecurity>0</DocSecurity>
  <Lines>133</Lines>
  <Paragraphs>37</Paragraphs>
  <ScaleCrop>false</ScaleCrop>
  <Company/>
  <LinksUpToDate>false</LinksUpToDate>
  <CharactersWithSpaces>18862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2019-03-01T19:25:00Z</dcterms:created>
  <dcterms:modified xsi:type="dcterms:W3CDTF">2019-03-01T19:26:00Z</dcterms:modified>
</cp:coreProperties>
</file>