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0F40"/>
          <w:sz w:val="36"/>
          <w:szCs w:val="36"/>
        </w:rPr>
        <w:t xml:space="preserve">Brahmarsive Weekly Pipeline &amp; MQL Health</w:t>
      </w:r>
    </w:p>
    <w:p>
      <w:pPr>
        <w:spacing w:after="60"/>
      </w:pPr>
      <w:r>
        <w:rPr>
          <w:color w:val="666666"/>
          <w:sz w:val="24"/>
          <w:szCs w:val="24"/>
        </w:rPr>
        <w:t xml:space="preserve">Week ending 7 July 2026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Scope: B2B contacts only (customer_type = B2B). Generated 2026-07-07 from HubSpot.</w:t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Pipeline health check completed this week. Sales Qualified Lead (SQL) count dropped from 325 to 115 — this is a deliberate data-integrity correction (stale-lead recycling, MQL re-baselining, and two workflow fixes that were auto-promoting contacts to SQL off a single sales email), not a change in sales activity or a loss of pipeline.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On the MQL/SQL weighting: SQL no longer needs to be smaller than MQL to be considered healthy. Sales can now correctly escalate a contact straight from Lead to SQL through direct outreach, independent of marketing qualification — so SQL and MQL are two different entry paths into the same pool, not a strict narrowing funnel. The current ratio (5.2, down from 14.1 pre-correction) is a far more honest number than last week's, and will keep settling as this week's fixes take hold.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Two items need attention: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RGUHS — $1.14M, idle 35 days. The single largest stalled deal in the pipeline.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 SQLs sales made real contact on have gone quiet 30+ days (14 with Theo, 1 with Biju) — a new follow-up list, not auto-recycled, worth a look before they go cold.</w:t>
      </w:r>
    </w:p>
    <w:p>
      <w:pPr>
        <w:spacing w:after="120"/>
      </w:pPr>
      <w:r>
        <w:rPr>
          <w:b w:val="false"/>
          <w:bCs w:val="false"/>
          <w:i/>
          <w:iCs/>
          <w:color w:val="666666"/>
        </w:rPr>
        <w:t xml:space="preserve">Note on the missing-value flag below: 2 of the 5 deals flagged as missing a USD value are known pilots (Klamath Community College, UC San Diego Health) — pilots are $0 by convention and not a data-quality issue. The 3 genuine gaps are Univ Miami Bascom Eye Institute and two Peru deals.</w:t>
      </w:r>
    </w:p>
    <w:p>
      <w:pPr>
        <w:pStyle w:val="Heading1"/>
        <w:spacing w:after="150" w:before="300"/>
      </w:pPr>
      <w:r>
        <w:t xml:space="preserve">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Qualified-to-Buy deals idle 14+ days: 7 — biggest is RGUHS $1.14M (35d idle), Mopec $90K (32d idle); the rest are $0 pilots.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Engaged SQLs gone quiet (30+ days): 15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Miscategorised leads: 1 (unchanged week-on-week)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Funnel inversion: SQL (115) &gt; MQL (22) — see Executive Summary for context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deals (excluding known pilots) missing a USD value — flagged, not coerced from raw amount</w:t>
      </w:r>
    </w:p>
    <w:p>
      <w:pPr>
        <w:pStyle w:val="Heading2"/>
        <w:spacing w:after="100" w:before="250"/>
      </w:pPr>
      <w:r>
        <w:t xml:space="preserve">"Qualified to Buy" deals idle 14+ days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200"/>
        <w:gridCol w:w="1800"/>
        <w:gridCol w:w="1200"/>
        <w:gridCol w:w="1800"/>
      </w:tblGrid>
      <w:tr>
        <w:trPr>
          <w:cantSplit/>
        </w:trPr>
        <w:tc>
          <w:tcPr>
            <w:tcW w:type="dxa" w:w="42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Deal</w:t>
            </w:r>
          </w:p>
        </w:tc>
        <w:tc>
          <w:tcPr>
            <w:tcW w:type="dxa" w:w="18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 activity</w:t>
            </w:r>
          </w:p>
        </w:tc>
        <w:tc>
          <w:tcPr>
            <w:tcW w:type="dxa" w:w="12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 idle</w:t>
            </w:r>
          </w:p>
        </w:tc>
        <w:tc>
          <w:tcPr>
            <w:tcW w:type="dxa" w:w="18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USD value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Rajiv Gandhi University of Health Sciences (RGUHS)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2026-06-01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$1,136,363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Mopec – Custom VR Product SIM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2026-06-04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$90,000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(Pilot HAPS) University of Mississippi – Ole Miss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2026-06-09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(Pilot HAPS) University of Detroit Mercy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2026-06-09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(Pilot HAPS) Vincennes University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2026-06-09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(Pilot HAPS) Bluegrass Community &amp; Technical College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2026-06-09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(Pilot HAPS) UTSA – University of Texas at San Antonio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2026-06-09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</w:tbl>
    <w:p>
      <w:pPr>
        <w:pStyle w:val="Heading1"/>
        <w:spacing w:after="150" w:before="300"/>
      </w:pPr>
      <w:r>
        <w:t xml:space="preserve">Funnel — B2B contacts per lifecycle stage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000"/>
        <w:gridCol w:w="2500"/>
        <w:gridCol w:w="2500"/>
      </w:tblGrid>
      <w:tr>
        <w:trPr>
          <w:cantSplit/>
        </w:trPr>
        <w:tc>
          <w:tcPr>
            <w:tcW w:type="dxa" w:w="40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Lifecycle stage</w:t>
            </w:r>
          </w:p>
        </w:tc>
        <w:tc>
          <w:tcPr>
            <w:tcW w:type="dxa" w:w="25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Contacts</w:t>
            </w:r>
          </w:p>
        </w:tc>
        <w:tc>
          <w:tcPr>
            <w:tcW w:type="dxa" w:w="25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WoW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Contact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-15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3,097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+224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 Qualified Lead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Qualified Lead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-210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3,476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color w:val="666666"/>
        </w:rPr>
        <w:t xml:space="preserve">MQL: 22 (-1)  ·  SQL: 115 (-210)  ·  SQL:MQL ratio: 5.23  ·  Funnel inversion: Yes (see Executive Summary for why this is now expected, not a red flag)</w:t>
      </w:r>
    </w:p>
    <w:p>
      <w:pPr>
        <w:pStyle w:val="Heading1"/>
        <w:spacing w:after="150" w:before="300"/>
      </w:pPr>
      <w:r>
        <w:t xml:space="preserve">Deals — count and value by stage (USD)</w:t>
      </w:r>
    </w:p>
    <w:p>
      <w:pPr>
        <w:spacing w:after="120"/>
      </w:pPr>
      <w:r>
        <w:rPr>
          <w:b w:val="false"/>
          <w:bCs w:val="false"/>
          <w:i/>
          <w:iCs/>
          <w:color w:val="666666"/>
        </w:rPr>
        <w:t xml:space="preserve">Values use amount_in_home_currency (HubSpot's USD conversion); raw amounts are never summed across currencies.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500"/>
        <w:gridCol w:w="2000"/>
        <w:gridCol w:w="3500"/>
      </w:tblGrid>
      <w:tr>
        <w:trPr>
          <w:cantSplit/>
        </w:trPr>
        <w:tc>
          <w:tcPr>
            <w:tcW w:type="dxa" w:w="35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Deal stage</w:t>
            </w:r>
          </w:p>
        </w:tc>
        <w:tc>
          <w:tcPr>
            <w:tcW w:type="dxa" w:w="20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Deals</w:t>
            </w:r>
          </w:p>
        </w:tc>
        <w:tc>
          <w:tcPr>
            <w:tcW w:type="dxa" w:w="35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value (USD)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Qualified to Buy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$1,251,463 (incl. 1 pilot, $0)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 Lost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$557,900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 Sent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$155,457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Engagement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$108,545 (incl. 2 gaps, flagged)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Discovery &amp; Trial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$61,464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 Won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$32,000 (incl. 2 pilots, $0)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Commitment to Buy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$18,000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$2,184,828</w:t>
            </w:r>
          </w:p>
        </w:tc>
      </w:tr>
    </w:tbl>
    <w:p>
      <w:pPr>
        <w:pStyle w:val="Heading2"/>
        <w:spacing w:after="100" w:before="250"/>
      </w:pPr>
      <w:r>
        <w:t xml:space="preserve">Deals with missing USD value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500"/>
        <w:gridCol w:w="2500"/>
        <w:gridCol w:w="2000"/>
      </w:tblGrid>
      <w:tr>
        <w:trPr>
          <w:cantSplit/>
        </w:trPr>
        <w:tc>
          <w:tcPr>
            <w:tcW w:type="dxa" w:w="45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Deal</w:t>
            </w:r>
          </w:p>
        </w:tc>
        <w:tc>
          <w:tcPr>
            <w:tcW w:type="dxa" w:w="25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Klamath Community College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 Won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Known pilot — $0 expected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 San Diego Health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 Won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Known pilot — $0 expected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Univ Miami Bascom Eye Institute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Qualified to Buy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Genuine gap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Deal – Universidad de Piura, Peru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Engagement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Genuine gap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Deal – Universidad Tecnológica del Perú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Engagement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Genuine gap</w:t>
            </w:r>
          </w:p>
        </w:tc>
      </w:tr>
    </w:tbl>
    <w:p>
      <w:pPr>
        <w:pStyle w:val="Heading1"/>
        <w:spacing w:after="150" w:before="300"/>
      </w:pPr>
      <w:r>
        <w:t xml:space="preserve">Follow-up / Review: Engaged SQLs Gone Quiet (15)</w:t>
      </w:r>
    </w:p>
    <w:p>
      <w:pPr>
        <w:spacing w:after="120"/>
      </w:pPr>
      <w:r>
        <w:rPr>
          <w:b w:val="false"/>
          <w:bCs w:val="false"/>
          <w:i/>
          <w:iCs/>
          <w:color w:val="666666"/>
        </w:rPr>
        <w:t xml:space="preserve">Sales has already made real contact on these — this is a follow-up/review list, NOT an auto-recycle. Distinct from the "Attempted to Contact" cases the stale-lead recycler handles automatically. Sorted most-stalled first.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500"/>
        <w:gridCol w:w="2500"/>
        <w:gridCol w:w="2000"/>
      </w:tblGrid>
      <w:tr>
        <w:trPr>
          <w:cantSplit/>
        </w:trPr>
        <w:tc>
          <w:tcPr>
            <w:tcW w:type="dxa" w:w="45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Record</w:t>
            </w:r>
          </w:p>
        </w:tc>
        <w:tc>
          <w:tcPr>
            <w:tcW w:type="dxa" w:w="25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 idle</w:t>
            </w:r>
          </w:p>
        </w:tc>
        <w:tc>
          <w:tcPr>
            <w:tcW w:type="dxa" w:w="20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Munesh Pal Khamuani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Zirogiannis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Ursula Tierney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Zirogiannis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Tina Gallup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Zirogiannis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Paula Hopper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Zirogiannis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Christina Bell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Zirogiannis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Dr. Virendra Kumar NIM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Anup Ghoshal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Richard Roy Mendonce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Anup Ghoshal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Kathirvelu Balachandar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Zirogiannis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Jeff Duerr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Zirogiannis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Travis Clamon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Zirogiannis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Zsolt Turi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Zirogiannis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Christos Galanis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Zirogiannis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Cristina Alvarado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Zirogiannis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Amy Gard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Zirogiannis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Sri Aurobindo College of Nursing (company)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activity logged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Biju Rajesh</w:t>
            </w:r>
          </w:p>
        </w:tc>
      </w:tr>
    </w:tbl>
    <w:p>
      <w:pPr>
        <w:pStyle w:val="Heading1"/>
        <w:spacing w:after="150" w:before="300"/>
      </w:pPr>
      <w:r>
        <w:t xml:space="preserve">Miscategorised Leads (1)</w:t>
      </w:r>
    </w:p>
    <w:p>
      <w:pPr>
        <w:spacing w:after="120"/>
      </w:pPr>
      <w:r>
        <w:rPr>
          <w:b w:val="false"/>
          <w:bCs w:val="false"/>
          <w:i/>
          <w:iCs/>
          <w:color w:val="666666"/>
        </w:rPr>
        <w:t xml:space="preserve">Sales is working this contact but their lifecycle stage is still only Lead / MQL.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Lead status</w:t>
            </w:r>
          </w:p>
        </w:tc>
        <w:tc>
          <w:tcPr>
            <w:tcW w:type="dxa" w:w="3000"/>
            <w:shd w:fill="1A0F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Lifecycle stage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danish anwer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Attempted to Contact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 Qualified Lead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Snapshot: snapshots/2026-07-07.json  ·  Report: reports/2026-07-07.md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2026-07-07T16:36:35.663Z</dcterms:created>
  <dcterms:modified xsi:type="dcterms:W3CDTF">2026-07-07T16:36:35.663Z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