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1A381" w14:textId="77777777" w:rsidR="00320C93" w:rsidRPr="00413003" w:rsidRDefault="00320C93" w:rsidP="00320C93">
      <w:pPr>
        <w:pStyle w:val="Default"/>
        <w:tabs>
          <w:tab w:val="left" w:pos="873"/>
          <w:tab w:val="left" w:pos="945"/>
        </w:tabs>
        <w:spacing w:after="40"/>
        <w:rPr>
          <w:rFonts w:ascii="Arial Narrow" w:hAnsi="Arial Narrow"/>
          <w:b/>
          <w:color w:val="auto"/>
          <w:sz w:val="32"/>
          <w:szCs w:val="32"/>
        </w:rPr>
      </w:pPr>
      <w:bookmarkStart w:id="0" w:name="_Toc452466627"/>
      <w:bookmarkStart w:id="1" w:name="_Toc498701348"/>
      <w:r w:rsidRPr="00413003">
        <w:rPr>
          <w:noProof/>
          <w:color w:val="auto"/>
        </w:rPr>
        <w:drawing>
          <wp:anchor distT="0" distB="0" distL="114300" distR="114300" simplePos="0" relativeHeight="251660288" behindDoc="0" locked="0" layoutInCell="1" allowOverlap="1" wp14:anchorId="01857192" wp14:editId="7762A51C">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3003">
        <w:rPr>
          <w:rFonts w:ascii="Arial Narrow" w:hAnsi="Arial Narrow"/>
          <w:b/>
          <w:color w:val="auto"/>
          <w:sz w:val="32"/>
          <w:szCs w:val="32"/>
        </w:rPr>
        <w:tab/>
      </w:r>
      <w:r w:rsidRPr="00413003">
        <w:rPr>
          <w:rFonts w:ascii="Arial Narrow" w:hAnsi="Arial Narrow"/>
          <w:b/>
          <w:color w:val="auto"/>
          <w:sz w:val="32"/>
          <w:szCs w:val="32"/>
        </w:rPr>
        <w:tab/>
        <w:t>National Council on Disability</w:t>
      </w:r>
    </w:p>
    <w:p w14:paraId="615A706A" w14:textId="77777777" w:rsidR="00320C93" w:rsidRPr="00413003" w:rsidRDefault="00320C93" w:rsidP="00320C93">
      <w:pPr>
        <w:pStyle w:val="Default"/>
        <w:rPr>
          <w:color w:val="auto"/>
        </w:rPr>
      </w:pPr>
      <w:r w:rsidRPr="00413003">
        <w:rPr>
          <w:noProof/>
          <w:color w:val="auto"/>
        </w:rPr>
        <mc:AlternateContent>
          <mc:Choice Requires="wps">
            <w:drawing>
              <wp:anchor distT="0" distB="0" distL="114300" distR="114300" simplePos="0" relativeHeight="251659264" behindDoc="0" locked="0" layoutInCell="1" allowOverlap="1" wp14:anchorId="1E65106C" wp14:editId="2633B7CF">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65978991" w14:textId="77777777" w:rsidR="00320C93" w:rsidRPr="00413003" w:rsidRDefault="00320C93" w:rsidP="00320C93">
      <w:pPr>
        <w:shd w:val="solid" w:color="FFFFFF" w:fill="auto"/>
        <w:tabs>
          <w:tab w:val="right" w:pos="4781"/>
        </w:tabs>
        <w:spacing w:after="200"/>
        <w:rPr>
          <w:rFonts w:ascii="Arial" w:eastAsiaTheme="minorEastAsia" w:hAnsi="Arial" w:cs="Arial"/>
          <w:sz w:val="21"/>
          <w:szCs w:val="21"/>
        </w:rPr>
      </w:pPr>
      <w:proofErr w:type="gramStart"/>
      <w:r w:rsidRPr="00413003">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roofErr w:type="gramEnd"/>
    </w:p>
    <w:p w14:paraId="7D49F1A9" w14:textId="77777777" w:rsidR="00A93ED2" w:rsidRPr="00413003" w:rsidRDefault="00A93ED2" w:rsidP="00FC0E68">
      <w:pPr>
        <w:pStyle w:val="Heading1"/>
      </w:pPr>
      <w:bookmarkStart w:id="2" w:name="_Toc499197493"/>
      <w:bookmarkStart w:id="3" w:name="_Toc499202013"/>
      <w:bookmarkStart w:id="4" w:name="_Toc499204849"/>
      <w:bookmarkStart w:id="5" w:name="_Toc499206108"/>
      <w:bookmarkStart w:id="6" w:name="_Toc500433927"/>
      <w:r w:rsidRPr="00413003">
        <w:t>Letter of Transmittal</w:t>
      </w:r>
      <w:bookmarkEnd w:id="0"/>
      <w:bookmarkEnd w:id="1"/>
      <w:bookmarkEnd w:id="2"/>
      <w:bookmarkEnd w:id="3"/>
      <w:bookmarkEnd w:id="4"/>
      <w:bookmarkEnd w:id="5"/>
      <w:bookmarkEnd w:id="6"/>
    </w:p>
    <w:p w14:paraId="18C8D25D" w14:textId="61EFE780" w:rsidR="00A93ED2" w:rsidRPr="00413003" w:rsidRDefault="00865EA8" w:rsidP="00A93ED2">
      <w:pPr>
        <w:rPr>
          <w:rFonts w:ascii="Arial" w:hAnsi="Arial" w:cs="Arial"/>
          <w:sz w:val="24"/>
          <w:szCs w:val="24"/>
        </w:rPr>
      </w:pPr>
      <w:r w:rsidRPr="00D61E9B">
        <w:rPr>
          <w:rFonts w:ascii="Arial" w:hAnsi="Arial" w:cs="Arial"/>
          <w:sz w:val="24"/>
          <w:szCs w:val="24"/>
        </w:rPr>
        <w:t>February 7, 2018</w:t>
      </w:r>
    </w:p>
    <w:p w14:paraId="6B3AF7E6" w14:textId="77777777" w:rsidR="00A93ED2" w:rsidRPr="00413003" w:rsidRDefault="00A93ED2" w:rsidP="00031F5B">
      <w:pPr>
        <w:spacing w:before="280"/>
        <w:rPr>
          <w:rFonts w:ascii="Arial" w:hAnsi="Arial" w:cs="Arial"/>
          <w:sz w:val="24"/>
          <w:szCs w:val="24"/>
        </w:rPr>
      </w:pPr>
      <w:r w:rsidRPr="00413003">
        <w:rPr>
          <w:rFonts w:ascii="Arial" w:hAnsi="Arial" w:cs="Arial"/>
          <w:sz w:val="24"/>
          <w:szCs w:val="24"/>
        </w:rPr>
        <w:t>President Donald J. Trump</w:t>
      </w:r>
    </w:p>
    <w:p w14:paraId="504522A6" w14:textId="77777777" w:rsidR="00A93ED2" w:rsidRPr="00413003" w:rsidRDefault="00A93ED2" w:rsidP="00A93ED2">
      <w:pPr>
        <w:rPr>
          <w:rFonts w:ascii="Arial" w:hAnsi="Arial" w:cs="Arial"/>
          <w:sz w:val="24"/>
          <w:szCs w:val="24"/>
        </w:rPr>
      </w:pPr>
      <w:r w:rsidRPr="00413003">
        <w:rPr>
          <w:rFonts w:ascii="Arial" w:hAnsi="Arial" w:cs="Arial"/>
          <w:sz w:val="24"/>
          <w:szCs w:val="24"/>
        </w:rPr>
        <w:t>The White House</w:t>
      </w:r>
    </w:p>
    <w:p w14:paraId="074F09F5" w14:textId="77777777" w:rsidR="00A93ED2" w:rsidRPr="00413003" w:rsidRDefault="00A93ED2" w:rsidP="00A93ED2">
      <w:pPr>
        <w:rPr>
          <w:rFonts w:ascii="Arial" w:hAnsi="Arial" w:cs="Arial"/>
          <w:sz w:val="24"/>
          <w:szCs w:val="24"/>
        </w:rPr>
      </w:pPr>
      <w:r w:rsidRPr="00413003">
        <w:rPr>
          <w:rFonts w:ascii="Arial" w:hAnsi="Arial" w:cs="Arial"/>
          <w:sz w:val="24"/>
          <w:szCs w:val="24"/>
        </w:rPr>
        <w:t>1600 Pennsylvania Avenue NW</w:t>
      </w:r>
    </w:p>
    <w:p w14:paraId="7E3DB2B3" w14:textId="77777777" w:rsidR="00A93ED2" w:rsidRPr="00413003" w:rsidRDefault="00A93ED2" w:rsidP="00A93ED2">
      <w:pPr>
        <w:rPr>
          <w:rFonts w:ascii="Arial" w:hAnsi="Arial" w:cs="Arial"/>
          <w:sz w:val="24"/>
          <w:szCs w:val="24"/>
        </w:rPr>
      </w:pPr>
      <w:r w:rsidRPr="00413003">
        <w:rPr>
          <w:rFonts w:ascii="Arial" w:hAnsi="Arial" w:cs="Arial"/>
          <w:sz w:val="24"/>
          <w:szCs w:val="24"/>
        </w:rPr>
        <w:t>Washington, DC 20500</w:t>
      </w:r>
    </w:p>
    <w:p w14:paraId="51EE7101" w14:textId="77777777" w:rsidR="00F35EAE" w:rsidRPr="00413003" w:rsidRDefault="00F35EAE" w:rsidP="00031F5B">
      <w:pPr>
        <w:spacing w:before="280"/>
        <w:rPr>
          <w:rFonts w:ascii="Arial" w:hAnsi="Arial" w:cs="Arial"/>
          <w:sz w:val="24"/>
          <w:szCs w:val="24"/>
        </w:rPr>
      </w:pPr>
      <w:r w:rsidRPr="00413003">
        <w:rPr>
          <w:rFonts w:ascii="Arial" w:hAnsi="Arial" w:cs="Arial"/>
          <w:sz w:val="24"/>
          <w:szCs w:val="24"/>
        </w:rPr>
        <w:t>Dear Mr. President:</w:t>
      </w:r>
    </w:p>
    <w:p w14:paraId="43720C01" w14:textId="77777777" w:rsidR="00F35EAE" w:rsidRPr="00413003" w:rsidRDefault="00F35EAE" w:rsidP="00031F5B">
      <w:pPr>
        <w:spacing w:before="280"/>
        <w:rPr>
          <w:rFonts w:ascii="Arial" w:hAnsi="Arial" w:cs="Arial"/>
          <w:sz w:val="24"/>
          <w:szCs w:val="24"/>
        </w:rPr>
      </w:pPr>
      <w:r w:rsidRPr="00413003">
        <w:rPr>
          <w:rFonts w:ascii="Arial" w:hAnsi="Arial" w:cs="Arial"/>
          <w:sz w:val="24"/>
          <w:szCs w:val="24"/>
        </w:rPr>
        <w:t xml:space="preserve">On behalf of the National Council on Disability (NCD), I am pleased to submit this report titled </w:t>
      </w:r>
      <w:r w:rsidRPr="00413003">
        <w:rPr>
          <w:rFonts w:ascii="Arial" w:hAnsi="Arial" w:cs="Arial"/>
          <w:i/>
          <w:sz w:val="24"/>
          <w:szCs w:val="24"/>
        </w:rPr>
        <w:t>The Segregation of Students with Disabilities</w:t>
      </w:r>
      <w:r w:rsidRPr="00413003">
        <w:rPr>
          <w:rFonts w:ascii="Arial" w:hAnsi="Arial" w:cs="Arial"/>
          <w:sz w:val="24"/>
          <w:szCs w:val="24"/>
        </w:rPr>
        <w:t>. This report is part of a five-report series on the Individuals with Disabilities Education Act (IDEA) that describes the legal and scientific basis for an inclusive versus segregated education, summarizes national patterns for educating students with disabilities in general education classes, examines federal and state guidance, and state compliance with federal mandates, describes effective educational practices for reducing segregation, and provides findings and recommendations for improvement.</w:t>
      </w:r>
    </w:p>
    <w:p w14:paraId="094357A3" w14:textId="77777777" w:rsidR="00F35EAE" w:rsidRPr="00413003" w:rsidRDefault="00F35EAE" w:rsidP="00031F5B">
      <w:pPr>
        <w:spacing w:before="280"/>
        <w:rPr>
          <w:rFonts w:ascii="Arial" w:hAnsi="Arial" w:cs="Arial"/>
          <w:sz w:val="24"/>
          <w:szCs w:val="24"/>
        </w:rPr>
      </w:pPr>
      <w:r w:rsidRPr="00413003">
        <w:rPr>
          <w:rFonts w:ascii="Arial" w:hAnsi="Arial" w:cs="Arial"/>
          <w:sz w:val="24"/>
          <w:szCs w:val="24"/>
        </w:rPr>
        <w:t>As you know, the right of students with disabilities to receive a free and appropriate public education in the least restrictive environment is solidly rooted in the guarantee of equal protection under the law granted to all citizens under the Constitution. In enacting IDEA, Congress sought to end the long history of segregation and exclusion of children with disabilities from the American public school system. IDEA requires that students with disabilities be educated to the maximum extent possible with students without disabilities. However, many students with disabilities remain segregated in self-contained classrooms or in separate schools, with limited or no opportunities to participate academically and socially in general education classrooms and school activities. Many do not have access to the same academic and extracurricular activities and services provided to other students. Frequently, these students leave school unprepared for adult life in the community.</w:t>
      </w:r>
    </w:p>
    <w:p w14:paraId="75269A6B" w14:textId="30095CAA" w:rsidR="00B91642" w:rsidRPr="00413003" w:rsidRDefault="00F35EAE" w:rsidP="00031F5B">
      <w:pPr>
        <w:spacing w:before="280"/>
        <w:rPr>
          <w:rFonts w:ascii="Arial" w:hAnsi="Arial" w:cs="Arial"/>
          <w:sz w:val="24"/>
          <w:szCs w:val="24"/>
        </w:rPr>
      </w:pPr>
      <w:r w:rsidRPr="00413003">
        <w:rPr>
          <w:rFonts w:ascii="Arial" w:hAnsi="Arial" w:cs="Arial"/>
          <w:sz w:val="24"/>
          <w:szCs w:val="24"/>
        </w:rPr>
        <w:t>NCD stands ready to assist the Administration in ensuring the right to a free and appropriate public education for students with disabilities as set forth in IDEA.</w:t>
      </w:r>
    </w:p>
    <w:p w14:paraId="51637FE7" w14:textId="77777777" w:rsidR="00F35EAE" w:rsidRPr="00413003" w:rsidRDefault="00F35EAE">
      <w:pPr>
        <w:rPr>
          <w:rFonts w:ascii="Arial" w:hAnsi="Arial" w:cs="Arial"/>
          <w:sz w:val="24"/>
          <w:szCs w:val="24"/>
        </w:rPr>
      </w:pPr>
      <w:r w:rsidRPr="00413003">
        <w:rPr>
          <w:rFonts w:ascii="Arial" w:hAnsi="Arial" w:cs="Arial"/>
          <w:sz w:val="24"/>
          <w:szCs w:val="24"/>
        </w:rPr>
        <w:br w:type="page"/>
      </w:r>
    </w:p>
    <w:p w14:paraId="00F53FFE" w14:textId="07688FDB" w:rsidR="00A93ED2" w:rsidRPr="00413003" w:rsidRDefault="00A93ED2" w:rsidP="00A93ED2">
      <w:pPr>
        <w:rPr>
          <w:rFonts w:ascii="Arial" w:hAnsi="Arial" w:cs="Arial"/>
          <w:sz w:val="24"/>
          <w:szCs w:val="24"/>
        </w:rPr>
      </w:pPr>
      <w:r w:rsidRPr="00413003">
        <w:rPr>
          <w:rFonts w:ascii="Arial" w:hAnsi="Arial" w:cs="Arial"/>
          <w:sz w:val="24"/>
          <w:szCs w:val="24"/>
        </w:rPr>
        <w:lastRenderedPageBreak/>
        <w:t>Respectfully,</w:t>
      </w:r>
    </w:p>
    <w:p w14:paraId="20C57229" w14:textId="51B9637D" w:rsidR="00320C93" w:rsidRPr="00413003" w:rsidRDefault="00320C93" w:rsidP="00A93ED2">
      <w:pPr>
        <w:rPr>
          <w:rFonts w:ascii="Arial" w:hAnsi="Arial" w:cs="Arial"/>
          <w:sz w:val="24"/>
          <w:szCs w:val="24"/>
        </w:rPr>
      </w:pPr>
      <w:r w:rsidRPr="00413003">
        <w:rPr>
          <w:rFonts w:ascii="Arial" w:hAnsi="Arial" w:cs="Arial"/>
          <w:noProof/>
        </w:rPr>
        <w:drawing>
          <wp:inline distT="0" distB="0" distL="0" distR="0" wp14:anchorId="51A36E50" wp14:editId="05CBD958">
            <wp:extent cx="1682496" cy="786384"/>
            <wp:effectExtent l="0" t="0" r="0" b="0"/>
            <wp:docPr id="5" name="Picture 5" descr="Clyde E. Terr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496" cy="786384"/>
                    </a:xfrm>
                    <a:prstGeom prst="rect">
                      <a:avLst/>
                    </a:prstGeom>
                    <a:noFill/>
                    <a:ln>
                      <a:noFill/>
                    </a:ln>
                  </pic:spPr>
                </pic:pic>
              </a:graphicData>
            </a:graphic>
          </wp:inline>
        </w:drawing>
      </w:r>
    </w:p>
    <w:p w14:paraId="5BA49272" w14:textId="77777777" w:rsidR="00A93ED2" w:rsidRPr="00413003" w:rsidRDefault="00A93ED2" w:rsidP="00A93ED2">
      <w:pPr>
        <w:rPr>
          <w:rFonts w:ascii="Arial" w:hAnsi="Arial" w:cs="Arial"/>
          <w:sz w:val="24"/>
          <w:szCs w:val="24"/>
        </w:rPr>
      </w:pPr>
      <w:r w:rsidRPr="00413003">
        <w:rPr>
          <w:rFonts w:ascii="Arial" w:hAnsi="Arial" w:cs="Arial"/>
          <w:sz w:val="24"/>
          <w:szCs w:val="24"/>
        </w:rPr>
        <w:t>Clyde E. Terry</w:t>
      </w:r>
    </w:p>
    <w:p w14:paraId="5392F3F8" w14:textId="77777777" w:rsidR="00A93ED2" w:rsidRPr="00413003" w:rsidRDefault="00A93ED2" w:rsidP="00A93ED2">
      <w:pPr>
        <w:tabs>
          <w:tab w:val="left" w:pos="3510"/>
        </w:tabs>
        <w:rPr>
          <w:rFonts w:ascii="Arial" w:hAnsi="Arial" w:cs="Arial"/>
          <w:sz w:val="24"/>
          <w:szCs w:val="24"/>
        </w:rPr>
      </w:pPr>
      <w:r w:rsidRPr="00413003">
        <w:rPr>
          <w:rFonts w:ascii="Arial" w:hAnsi="Arial" w:cs="Arial"/>
          <w:sz w:val="24"/>
          <w:szCs w:val="24"/>
        </w:rPr>
        <w:t>Chairperson</w:t>
      </w:r>
    </w:p>
    <w:p w14:paraId="50E90C41" w14:textId="3343196D" w:rsidR="00A93ED2" w:rsidRPr="00413003" w:rsidRDefault="00387808" w:rsidP="008933AD">
      <w:pPr>
        <w:pStyle w:val="LetterofTransmittalBodyText"/>
        <w:spacing w:before="9600" w:after="0"/>
      </w:pPr>
      <w:r w:rsidRPr="00413003">
        <w:rPr>
          <w:shd w:val="clear" w:color="auto" w:fill="FFFFFF"/>
        </w:rPr>
        <w:t>(The same letter of transmittal was sent to the President Pro Tempore of the U.S. Senate and the Speaker of the U.S. House of Representatives.)</w:t>
      </w:r>
    </w:p>
    <w:p w14:paraId="4E265BD5" w14:textId="77777777" w:rsidR="009056E4" w:rsidRDefault="009056E4">
      <w:pPr>
        <w:rPr>
          <w:rFonts w:ascii="Arial" w:hAnsi="Arial" w:cs="Arial"/>
          <w:b/>
          <w:sz w:val="36"/>
          <w:szCs w:val="32"/>
        </w:rPr>
      </w:pPr>
      <w:r>
        <w:br w:type="page"/>
      </w:r>
    </w:p>
    <w:p w14:paraId="33AF819D" w14:textId="77777777" w:rsidR="009056E4" w:rsidRDefault="009056E4" w:rsidP="009056E4">
      <w:pPr>
        <w:pStyle w:val="NCDNationalCouncilStaff"/>
      </w:pPr>
      <w:bookmarkStart w:id="7" w:name="_Toc500423730"/>
      <w:bookmarkStart w:id="8" w:name="_Toc500433928"/>
      <w:r>
        <w:lastRenderedPageBreak/>
        <w:t>National Council on Disability Members and Staff</w:t>
      </w:r>
      <w:bookmarkEnd w:id="7"/>
      <w:bookmarkEnd w:id="8"/>
    </w:p>
    <w:p w14:paraId="6F0C3BB3" w14:textId="77777777" w:rsidR="009056E4" w:rsidRDefault="009056E4" w:rsidP="009056E4">
      <w:pPr>
        <w:spacing w:before="240" w:after="200"/>
        <w:jc w:val="center"/>
        <w:rPr>
          <w:rFonts w:ascii="Arial" w:eastAsia="Times New Roman" w:hAnsi="Arial" w:cs="Arial"/>
          <w:b/>
          <w:szCs w:val="24"/>
          <w:lang w:bidi="en-US"/>
        </w:rPr>
      </w:pPr>
    </w:p>
    <w:p w14:paraId="435B2FCC" w14:textId="77777777" w:rsidR="009056E4" w:rsidRDefault="009056E4" w:rsidP="009056E4">
      <w:pPr>
        <w:pStyle w:val="NCDBodyText"/>
        <w:jc w:val="center"/>
        <w:rPr>
          <w:rFonts w:eastAsia="Calibri" w:cs="Calibri"/>
          <w:b/>
          <w:szCs w:val="24"/>
          <w:lang w:bidi="en-US"/>
        </w:rPr>
      </w:pPr>
      <w:r>
        <w:rPr>
          <w:b/>
          <w:lang w:bidi="en-US"/>
        </w:rPr>
        <w:t>Members</w:t>
      </w:r>
    </w:p>
    <w:p w14:paraId="1C4582FF" w14:textId="77777777" w:rsidR="009056E4" w:rsidRDefault="009056E4" w:rsidP="009056E4">
      <w:pPr>
        <w:pStyle w:val="NCDBodyText"/>
        <w:spacing w:after="0" w:line="240" w:lineRule="auto"/>
        <w:jc w:val="center"/>
        <w:rPr>
          <w:color w:val="000000" w:themeColor="text1"/>
        </w:rPr>
      </w:pPr>
      <w:r>
        <w:t xml:space="preserve">Clyde E. Terry, </w:t>
      </w:r>
      <w:r>
        <w:rPr>
          <w:i/>
        </w:rPr>
        <w:t>Chairperson</w:t>
      </w:r>
    </w:p>
    <w:p w14:paraId="31BF3AF7" w14:textId="77777777" w:rsidR="009056E4" w:rsidRDefault="009056E4" w:rsidP="009056E4">
      <w:pPr>
        <w:pStyle w:val="NCDBodyText"/>
        <w:spacing w:after="0" w:line="240" w:lineRule="auto"/>
        <w:jc w:val="center"/>
      </w:pPr>
      <w:proofErr w:type="spellStart"/>
      <w:r>
        <w:t>Benro</w:t>
      </w:r>
      <w:proofErr w:type="spellEnd"/>
      <w:r>
        <w:t xml:space="preserve"> T. </w:t>
      </w:r>
      <w:proofErr w:type="spellStart"/>
      <w:r>
        <w:t>Ogunyipe</w:t>
      </w:r>
      <w:proofErr w:type="spellEnd"/>
      <w:r>
        <w:t xml:space="preserve">, </w:t>
      </w:r>
      <w:r>
        <w:rPr>
          <w:i/>
        </w:rPr>
        <w:t>Vice Chairperson</w:t>
      </w:r>
    </w:p>
    <w:p w14:paraId="1045F6C4" w14:textId="77777777" w:rsidR="009056E4" w:rsidRDefault="009056E4" w:rsidP="009056E4">
      <w:pPr>
        <w:pStyle w:val="NCDBodyText"/>
        <w:spacing w:after="0" w:line="240" w:lineRule="auto"/>
        <w:jc w:val="center"/>
      </w:pPr>
      <w:r>
        <w:t xml:space="preserve">Billy W. </w:t>
      </w:r>
      <w:proofErr w:type="spellStart"/>
      <w:r>
        <w:t>Altom</w:t>
      </w:r>
      <w:proofErr w:type="spellEnd"/>
    </w:p>
    <w:p w14:paraId="6718794B" w14:textId="77777777" w:rsidR="009056E4" w:rsidRDefault="009056E4" w:rsidP="009056E4">
      <w:pPr>
        <w:pStyle w:val="NCDBodyText"/>
        <w:spacing w:after="0" w:line="240" w:lineRule="auto"/>
        <w:jc w:val="center"/>
      </w:pPr>
      <w:proofErr w:type="spellStart"/>
      <w:r>
        <w:t>Rabia</w:t>
      </w:r>
      <w:proofErr w:type="spellEnd"/>
      <w:r>
        <w:t xml:space="preserve"> Belt</w:t>
      </w:r>
    </w:p>
    <w:p w14:paraId="30F22603" w14:textId="77777777" w:rsidR="009056E4" w:rsidRDefault="009056E4" w:rsidP="009056E4">
      <w:pPr>
        <w:pStyle w:val="NCDBodyText"/>
        <w:spacing w:after="0" w:line="240" w:lineRule="auto"/>
        <w:jc w:val="center"/>
      </w:pPr>
      <w:r>
        <w:t>James T. Brett</w:t>
      </w:r>
    </w:p>
    <w:p w14:paraId="54A90CEB" w14:textId="77777777" w:rsidR="009056E4" w:rsidRDefault="009056E4" w:rsidP="009056E4">
      <w:pPr>
        <w:pStyle w:val="NCDBodyText"/>
        <w:spacing w:after="0" w:line="240" w:lineRule="auto"/>
        <w:jc w:val="center"/>
      </w:pPr>
      <w:r>
        <w:t>Bob Brown</w:t>
      </w:r>
    </w:p>
    <w:p w14:paraId="74616650" w14:textId="77777777" w:rsidR="009056E4" w:rsidRDefault="009056E4" w:rsidP="009056E4">
      <w:pPr>
        <w:pStyle w:val="NCDBodyText"/>
        <w:spacing w:after="0" w:line="240" w:lineRule="auto"/>
        <w:jc w:val="center"/>
      </w:pPr>
      <w:r>
        <w:t xml:space="preserve">Daniel M. </w:t>
      </w:r>
      <w:proofErr w:type="spellStart"/>
      <w:r>
        <w:t>Gade</w:t>
      </w:r>
      <w:proofErr w:type="spellEnd"/>
    </w:p>
    <w:p w14:paraId="579F0E30" w14:textId="77777777" w:rsidR="009056E4" w:rsidRDefault="009056E4" w:rsidP="009056E4">
      <w:pPr>
        <w:pStyle w:val="NCDBodyText"/>
        <w:spacing w:after="0" w:line="240" w:lineRule="auto"/>
        <w:jc w:val="center"/>
      </w:pPr>
      <w:r>
        <w:t xml:space="preserve">Wendy S. </w:t>
      </w:r>
      <w:proofErr w:type="spellStart"/>
      <w:r>
        <w:t>Harbour</w:t>
      </w:r>
      <w:proofErr w:type="spellEnd"/>
    </w:p>
    <w:p w14:paraId="0BF01C56" w14:textId="77777777" w:rsidR="009056E4" w:rsidRDefault="009056E4" w:rsidP="009056E4">
      <w:pPr>
        <w:pStyle w:val="NCDBodyText"/>
        <w:spacing w:after="0" w:line="240" w:lineRule="auto"/>
        <w:jc w:val="center"/>
      </w:pPr>
      <w:r>
        <w:t>Neil Romano</w:t>
      </w:r>
    </w:p>
    <w:p w14:paraId="157BBB01" w14:textId="77777777" w:rsidR="009056E4" w:rsidRDefault="009056E4" w:rsidP="009056E4">
      <w:pPr>
        <w:spacing w:before="240" w:after="200"/>
        <w:jc w:val="center"/>
        <w:rPr>
          <w:rFonts w:ascii="Arial" w:eastAsia="Times New Roman" w:hAnsi="Arial" w:cs="Arial"/>
          <w:b/>
          <w:szCs w:val="24"/>
          <w:lang w:bidi="en-US"/>
        </w:rPr>
      </w:pPr>
    </w:p>
    <w:p w14:paraId="46C1CBD6" w14:textId="77777777" w:rsidR="009056E4" w:rsidRDefault="009056E4" w:rsidP="009056E4">
      <w:pPr>
        <w:pStyle w:val="NCDBodyText"/>
        <w:jc w:val="center"/>
        <w:rPr>
          <w:rFonts w:eastAsia="Calibri" w:cs="Calibri"/>
          <w:b/>
          <w:szCs w:val="24"/>
          <w:lang w:bidi="en-US"/>
        </w:rPr>
      </w:pPr>
      <w:r>
        <w:rPr>
          <w:b/>
          <w:lang w:bidi="en-US"/>
        </w:rPr>
        <w:t>Staff</w:t>
      </w:r>
    </w:p>
    <w:p w14:paraId="13B5AC9B" w14:textId="77777777" w:rsidR="009056E4" w:rsidRDefault="009056E4" w:rsidP="009056E4">
      <w:pPr>
        <w:pStyle w:val="NCDBodyText"/>
        <w:spacing w:after="0" w:line="240" w:lineRule="auto"/>
        <w:jc w:val="center"/>
        <w:rPr>
          <w:iCs/>
          <w:color w:val="000000" w:themeColor="text1"/>
        </w:rPr>
      </w:pPr>
      <w:r>
        <w:rPr>
          <w:i/>
        </w:rPr>
        <w:t>Vacant</w:t>
      </w:r>
      <w:r>
        <w:t>, Executive Director</w:t>
      </w:r>
    </w:p>
    <w:p w14:paraId="3BAB844F" w14:textId="77777777" w:rsidR="009056E4" w:rsidRDefault="009056E4" w:rsidP="009056E4">
      <w:pPr>
        <w:pStyle w:val="NCDBodyText"/>
        <w:spacing w:after="0" w:line="240" w:lineRule="auto"/>
        <w:jc w:val="center"/>
        <w:rPr>
          <w:iCs/>
        </w:rPr>
      </w:pPr>
      <w:r>
        <w:t>Joan M. Durocher, General Counsel &amp; Director of Policy</w:t>
      </w:r>
    </w:p>
    <w:p w14:paraId="3DFFA7E9" w14:textId="77777777" w:rsidR="009056E4" w:rsidRDefault="009056E4" w:rsidP="009056E4">
      <w:pPr>
        <w:pStyle w:val="NCDBodyText"/>
        <w:spacing w:after="0" w:line="240" w:lineRule="auto"/>
        <w:jc w:val="center"/>
      </w:pPr>
      <w:r>
        <w:t>Amy Nicholas, Attorney Advisor</w:t>
      </w:r>
    </w:p>
    <w:p w14:paraId="13D96DFD" w14:textId="77777777" w:rsidR="009056E4" w:rsidRDefault="009056E4" w:rsidP="009056E4">
      <w:pPr>
        <w:pStyle w:val="NCDBodyText"/>
        <w:spacing w:after="0" w:line="240" w:lineRule="auto"/>
        <w:jc w:val="center"/>
        <w:rPr>
          <w:iCs/>
        </w:rPr>
      </w:pPr>
      <w:proofErr w:type="spellStart"/>
      <w:r>
        <w:t>Amged</w:t>
      </w:r>
      <w:proofErr w:type="spellEnd"/>
      <w:r>
        <w:t xml:space="preserve"> </w:t>
      </w:r>
      <w:proofErr w:type="spellStart"/>
      <w:r>
        <w:t>Soliman</w:t>
      </w:r>
      <w:proofErr w:type="spellEnd"/>
      <w:r>
        <w:t>, Attorney Advisor</w:t>
      </w:r>
    </w:p>
    <w:p w14:paraId="175D3C4F" w14:textId="77777777" w:rsidR="009056E4" w:rsidRDefault="009056E4" w:rsidP="009056E4">
      <w:pPr>
        <w:pStyle w:val="NCDBodyText"/>
        <w:spacing w:after="0" w:line="240" w:lineRule="auto"/>
        <w:jc w:val="center"/>
        <w:rPr>
          <w:iCs/>
        </w:rPr>
      </w:pPr>
      <w:r>
        <w:t>Ana Torres-Davis, Attorney Advisor</w:t>
      </w:r>
    </w:p>
    <w:p w14:paraId="6EDF5B6B" w14:textId="77777777" w:rsidR="009056E4" w:rsidRDefault="009056E4" w:rsidP="009056E4">
      <w:pPr>
        <w:pStyle w:val="NCDBodyText"/>
        <w:spacing w:after="0" w:line="240" w:lineRule="auto"/>
        <w:jc w:val="center"/>
        <w:rPr>
          <w:iCs/>
        </w:rPr>
      </w:pPr>
      <w:r>
        <w:t>Anne Sommers, Director of Legislative Affairs &amp; Outreach</w:t>
      </w:r>
    </w:p>
    <w:p w14:paraId="09C304F8" w14:textId="77777777" w:rsidR="009056E4" w:rsidRDefault="009056E4" w:rsidP="009056E4">
      <w:pPr>
        <w:pStyle w:val="NCDBodyText"/>
        <w:spacing w:after="0" w:line="240" w:lineRule="auto"/>
        <w:jc w:val="center"/>
        <w:rPr>
          <w:iCs/>
        </w:rPr>
      </w:pPr>
      <w:r>
        <w:t>Phoebe Ball, Legislative Affairs Specialist</w:t>
      </w:r>
    </w:p>
    <w:p w14:paraId="19A2638E" w14:textId="77777777" w:rsidR="009056E4" w:rsidRDefault="009056E4" w:rsidP="009056E4">
      <w:pPr>
        <w:pStyle w:val="NCDBodyText"/>
        <w:spacing w:after="0" w:line="240" w:lineRule="auto"/>
        <w:jc w:val="center"/>
        <w:rPr>
          <w:iCs/>
        </w:rPr>
      </w:pPr>
      <w:r>
        <w:t>Lisa Grubb, Director of Operations and Administration</w:t>
      </w:r>
    </w:p>
    <w:p w14:paraId="05D200AD" w14:textId="77777777" w:rsidR="009056E4" w:rsidRDefault="009056E4" w:rsidP="009056E4">
      <w:pPr>
        <w:pStyle w:val="NCDBodyText"/>
        <w:spacing w:after="0" w:line="240" w:lineRule="auto"/>
        <w:jc w:val="center"/>
      </w:pPr>
      <w:r>
        <w:t>Stacey S. Brown, Staff Assistant</w:t>
      </w:r>
    </w:p>
    <w:p w14:paraId="6470A844" w14:textId="77777777" w:rsidR="009056E4" w:rsidRDefault="009056E4" w:rsidP="009056E4">
      <w:pPr>
        <w:pStyle w:val="NCDBodyText"/>
        <w:spacing w:after="0" w:line="240" w:lineRule="auto"/>
        <w:jc w:val="center"/>
      </w:pPr>
      <w:r>
        <w:t>Keith Woods, Financial Management Analyst</w:t>
      </w:r>
    </w:p>
    <w:p w14:paraId="3095C905" w14:textId="77777777" w:rsidR="009056E4" w:rsidRDefault="009056E4">
      <w:pPr>
        <w:rPr>
          <w:rFonts w:ascii="Arial" w:hAnsi="Arial" w:cs="Arial"/>
          <w:b/>
          <w:sz w:val="36"/>
          <w:szCs w:val="32"/>
        </w:rPr>
      </w:pPr>
      <w:r>
        <w:br w:type="page"/>
      </w:r>
    </w:p>
    <w:p w14:paraId="22A1C92D" w14:textId="77777777" w:rsidR="009056E4" w:rsidRDefault="009056E4">
      <w:pPr>
        <w:rPr>
          <w:rFonts w:ascii="Arial" w:hAnsi="Arial" w:cs="Arial"/>
          <w:b/>
          <w:sz w:val="36"/>
          <w:szCs w:val="32"/>
        </w:rPr>
      </w:pPr>
      <w:r>
        <w:lastRenderedPageBreak/>
        <w:br w:type="page"/>
      </w:r>
    </w:p>
    <w:p w14:paraId="17880417" w14:textId="7D4D8986" w:rsidR="00A93ED2" w:rsidRPr="00413003" w:rsidRDefault="00A93ED2" w:rsidP="00FC0E68">
      <w:pPr>
        <w:pStyle w:val="Heading1"/>
      </w:pPr>
      <w:bookmarkStart w:id="9" w:name="_Toc500433929"/>
      <w:r w:rsidRPr="00413003">
        <w:lastRenderedPageBreak/>
        <w:t>Acknowledgments</w:t>
      </w:r>
      <w:bookmarkEnd w:id="9"/>
      <w:r w:rsidRPr="00413003">
        <w:t xml:space="preserve"> </w:t>
      </w:r>
    </w:p>
    <w:p w14:paraId="28C3C85B" w14:textId="1F327E47" w:rsidR="004A34AA" w:rsidRPr="008933AD" w:rsidRDefault="001D0E5D" w:rsidP="008933AD">
      <w:pPr>
        <w:spacing w:after="200" w:line="360" w:lineRule="auto"/>
        <w:rPr>
          <w:rFonts w:ascii="Arial" w:hAnsi="Arial" w:cs="Arial"/>
          <w:sz w:val="24"/>
          <w:szCs w:val="24"/>
        </w:rPr>
      </w:pPr>
      <w:r w:rsidRPr="00413003">
        <w:rPr>
          <w:rFonts w:ascii="Arial" w:hAnsi="Arial" w:cs="Arial"/>
          <w:sz w:val="24"/>
          <w:szCs w:val="24"/>
        </w:rPr>
        <w:t xml:space="preserve">The National Council on Disability thanks Selene </w:t>
      </w:r>
      <w:proofErr w:type="spellStart"/>
      <w:r w:rsidRPr="00413003">
        <w:rPr>
          <w:rFonts w:ascii="Arial" w:hAnsi="Arial" w:cs="Arial"/>
          <w:sz w:val="24"/>
          <w:szCs w:val="24"/>
        </w:rPr>
        <w:t>Almazan</w:t>
      </w:r>
      <w:proofErr w:type="spellEnd"/>
      <w:r w:rsidRPr="00413003">
        <w:rPr>
          <w:rFonts w:ascii="Arial" w:hAnsi="Arial" w:cs="Arial"/>
          <w:sz w:val="24"/>
          <w:szCs w:val="24"/>
        </w:rPr>
        <w:t xml:space="preserve">, Denise Marshall, and Melina </w:t>
      </w:r>
      <w:proofErr w:type="spellStart"/>
      <w:r w:rsidRPr="00413003">
        <w:rPr>
          <w:rFonts w:ascii="Arial" w:hAnsi="Arial" w:cs="Arial"/>
          <w:sz w:val="24"/>
          <w:szCs w:val="24"/>
        </w:rPr>
        <w:t>Latona</w:t>
      </w:r>
      <w:proofErr w:type="spellEnd"/>
      <w:r w:rsidRPr="00413003">
        <w:rPr>
          <w:rFonts w:ascii="Arial" w:hAnsi="Arial" w:cs="Arial"/>
          <w:sz w:val="24"/>
          <w:szCs w:val="24"/>
        </w:rPr>
        <w:t xml:space="preserve"> of the Council of Parent Attorneys and Advocates; and Carol Quirk of the Maryland Coalition for Inclusive Education, for the research conducted in developing this report.</w:t>
      </w:r>
    </w:p>
    <w:p w14:paraId="58119E1A" w14:textId="79EA1C8A" w:rsidR="00A93ED2" w:rsidRPr="00413003" w:rsidRDefault="00A93ED2" w:rsidP="004A34AA">
      <w:pPr>
        <w:pStyle w:val="NCDBodyText"/>
        <w:rPr>
          <w:color w:val="auto"/>
        </w:rPr>
      </w:pPr>
      <w:r w:rsidRPr="00413003">
        <w:rPr>
          <w:color w:val="auto"/>
        </w:rPr>
        <w:br w:type="page"/>
      </w:r>
    </w:p>
    <w:p w14:paraId="69D8349C" w14:textId="77777777" w:rsidR="004A34AA" w:rsidRPr="00413003" w:rsidRDefault="004A34AA">
      <w:pPr>
        <w:rPr>
          <w:rFonts w:ascii="Arial" w:hAnsi="Arial" w:cs="Arial"/>
          <w:b/>
          <w:sz w:val="36"/>
          <w:szCs w:val="32"/>
        </w:rPr>
      </w:pPr>
      <w:bookmarkStart w:id="10" w:name="_30j0zll" w:colFirst="0" w:colLast="0"/>
      <w:bookmarkStart w:id="11" w:name="_1fob9te" w:colFirst="0" w:colLast="0"/>
      <w:bookmarkStart w:id="12" w:name="_3znysh7" w:colFirst="0" w:colLast="0"/>
      <w:bookmarkEnd w:id="10"/>
      <w:bookmarkEnd w:id="11"/>
      <w:bookmarkEnd w:id="12"/>
      <w:r w:rsidRPr="00413003">
        <w:lastRenderedPageBreak/>
        <w:br w:type="page"/>
      </w:r>
    </w:p>
    <w:p w14:paraId="36EB2AAE" w14:textId="2555DBA6" w:rsidR="00A93ED2" w:rsidRPr="00413003" w:rsidRDefault="00A93ED2" w:rsidP="00FC0E68">
      <w:pPr>
        <w:pStyle w:val="Heading1"/>
      </w:pPr>
      <w:bookmarkStart w:id="13" w:name="_Toc500433930"/>
      <w:r w:rsidRPr="00413003">
        <w:lastRenderedPageBreak/>
        <w:t>Contents</w:t>
      </w:r>
      <w:bookmarkEnd w:id="13"/>
    </w:p>
    <w:sdt>
      <w:sdtPr>
        <w:rPr>
          <w:rFonts w:ascii="Arial" w:eastAsia="Arial" w:hAnsi="Arial" w:cs="Arial"/>
          <w:color w:val="000000"/>
        </w:rPr>
        <w:id w:val="-1231920377"/>
        <w:docPartObj>
          <w:docPartGallery w:val="Table of Contents"/>
          <w:docPartUnique/>
        </w:docPartObj>
      </w:sdtPr>
      <w:sdtEndPr/>
      <w:sdtContent>
        <w:p w14:paraId="0F3F71E4" w14:textId="3DAD9D75" w:rsidR="008E2237" w:rsidRPr="008E2237" w:rsidRDefault="00A93ED2">
          <w:pPr>
            <w:pStyle w:val="TOC1"/>
            <w:rPr>
              <w:rFonts w:ascii="Arial" w:eastAsiaTheme="minorEastAsia" w:hAnsi="Arial" w:cs="Arial"/>
              <w:noProof/>
              <w:sz w:val="24"/>
              <w:szCs w:val="24"/>
            </w:rPr>
          </w:pPr>
          <w:r w:rsidRPr="008E2237">
            <w:rPr>
              <w:rFonts w:ascii="Arial" w:hAnsi="Arial" w:cs="Arial"/>
              <w:noProof/>
              <w:sz w:val="24"/>
              <w:szCs w:val="24"/>
            </w:rPr>
            <w:fldChar w:fldCharType="begin"/>
          </w:r>
          <w:r w:rsidRPr="008E2237">
            <w:rPr>
              <w:rFonts w:ascii="Arial" w:hAnsi="Arial" w:cs="Arial"/>
              <w:sz w:val="24"/>
              <w:szCs w:val="24"/>
            </w:rPr>
            <w:instrText xml:space="preserve"> TOC \h \u \z </w:instrText>
          </w:r>
          <w:r w:rsidRPr="008E2237">
            <w:rPr>
              <w:rFonts w:ascii="Arial" w:hAnsi="Arial" w:cs="Arial"/>
              <w:noProof/>
              <w:sz w:val="24"/>
              <w:szCs w:val="24"/>
            </w:rPr>
            <w:fldChar w:fldCharType="separate"/>
          </w:r>
          <w:hyperlink w:anchor="_Toc500433929" w:history="1">
            <w:r w:rsidR="008E2237" w:rsidRPr="008E2237">
              <w:rPr>
                <w:rStyle w:val="Hyperlink"/>
                <w:rFonts w:ascii="Arial" w:hAnsi="Arial" w:cs="Arial"/>
                <w:noProof/>
                <w:sz w:val="24"/>
                <w:szCs w:val="24"/>
              </w:rPr>
              <w:t>Acknowledgments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_Toc500433929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w:t>
            </w:r>
            <w:r w:rsidR="008E2237" w:rsidRPr="008E2237">
              <w:rPr>
                <w:rFonts w:ascii="Arial" w:hAnsi="Arial" w:cs="Arial"/>
                <w:noProof/>
                <w:webHidden/>
                <w:sz w:val="24"/>
                <w:szCs w:val="24"/>
              </w:rPr>
              <w:fldChar w:fldCharType="end"/>
            </w:r>
          </w:hyperlink>
        </w:p>
        <w:p w14:paraId="1000EA1C" w14:textId="77777777" w:rsidR="008E2237" w:rsidRPr="008E2237" w:rsidRDefault="005B57E3">
          <w:pPr>
            <w:pStyle w:val="TOC1"/>
            <w:rPr>
              <w:rFonts w:ascii="Arial" w:eastAsiaTheme="minorEastAsia" w:hAnsi="Arial" w:cs="Arial"/>
              <w:noProof/>
              <w:sz w:val="24"/>
              <w:szCs w:val="24"/>
            </w:rPr>
          </w:pPr>
          <w:hyperlink w:anchor="_Toc500433930" w:history="1">
            <w:r w:rsidR="008E2237" w:rsidRPr="008E2237">
              <w:rPr>
                <w:rStyle w:val="Hyperlink"/>
                <w:rFonts w:ascii="Arial" w:hAnsi="Arial" w:cs="Arial"/>
                <w:noProof/>
                <w:sz w:val="24"/>
                <w:szCs w:val="24"/>
              </w:rPr>
              <w:t>Contents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_Toc500433930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7</w:t>
            </w:r>
            <w:r w:rsidR="008E2237" w:rsidRPr="008E2237">
              <w:rPr>
                <w:rFonts w:ascii="Arial" w:hAnsi="Arial" w:cs="Arial"/>
                <w:noProof/>
                <w:webHidden/>
                <w:sz w:val="24"/>
                <w:szCs w:val="24"/>
              </w:rPr>
              <w:fldChar w:fldCharType="end"/>
            </w:r>
          </w:hyperlink>
        </w:p>
        <w:p w14:paraId="0E21E315" w14:textId="77777777" w:rsidR="008E2237" w:rsidRPr="008E2237" w:rsidRDefault="005B57E3">
          <w:pPr>
            <w:pStyle w:val="TOC1"/>
            <w:rPr>
              <w:rFonts w:ascii="Arial" w:eastAsiaTheme="minorEastAsia" w:hAnsi="Arial" w:cs="Arial"/>
              <w:noProof/>
              <w:sz w:val="24"/>
              <w:szCs w:val="24"/>
            </w:rPr>
          </w:pPr>
          <w:hyperlink w:anchor="_Toc500433931" w:history="1">
            <w:r w:rsidR="008E2237" w:rsidRPr="008E2237">
              <w:rPr>
                <w:rStyle w:val="Hyperlink"/>
                <w:rFonts w:ascii="Arial" w:hAnsi="Arial" w:cs="Arial"/>
                <w:noProof/>
                <w:sz w:val="24"/>
                <w:szCs w:val="24"/>
              </w:rPr>
              <w:t>Executive Summary</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_Toc500433931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9</w:t>
            </w:r>
            <w:r w:rsidR="008E2237" w:rsidRPr="008E2237">
              <w:rPr>
                <w:rFonts w:ascii="Arial" w:hAnsi="Arial" w:cs="Arial"/>
                <w:noProof/>
                <w:webHidden/>
                <w:sz w:val="24"/>
                <w:szCs w:val="24"/>
              </w:rPr>
              <w:fldChar w:fldCharType="end"/>
            </w:r>
          </w:hyperlink>
        </w:p>
        <w:p w14:paraId="451144DE"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32" w:history="1">
            <w:r w:rsidR="008E2237" w:rsidRPr="008E2237">
              <w:rPr>
                <w:rStyle w:val="Hyperlink"/>
                <w:rFonts w:ascii="Arial" w:hAnsi="Arial" w:cs="Arial"/>
                <w:noProof/>
                <w:sz w:val="24"/>
                <w:szCs w:val="24"/>
              </w:rPr>
              <w:t>Key Findings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_Toc500433932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9</w:t>
            </w:r>
            <w:r w:rsidR="008E2237" w:rsidRPr="008E2237">
              <w:rPr>
                <w:rFonts w:ascii="Arial" w:hAnsi="Arial" w:cs="Arial"/>
                <w:noProof/>
                <w:webHidden/>
                <w:sz w:val="24"/>
                <w:szCs w:val="24"/>
              </w:rPr>
              <w:fldChar w:fldCharType="end"/>
            </w:r>
          </w:hyperlink>
        </w:p>
        <w:p w14:paraId="428BC0E1"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33" w:history="1">
            <w:r w:rsidR="008E2237" w:rsidRPr="008E2237">
              <w:rPr>
                <w:rStyle w:val="Hyperlink"/>
                <w:rFonts w:ascii="Arial" w:hAnsi="Arial" w:cs="Arial"/>
                <w:noProof/>
                <w:sz w:val="24"/>
                <w:szCs w:val="24"/>
              </w:rPr>
              <w:t>Key Recommendations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_Toc500433933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10</w:t>
            </w:r>
            <w:r w:rsidR="008E2237" w:rsidRPr="008E2237">
              <w:rPr>
                <w:rFonts w:ascii="Arial" w:hAnsi="Arial" w:cs="Arial"/>
                <w:noProof/>
                <w:webHidden/>
                <w:sz w:val="24"/>
                <w:szCs w:val="24"/>
              </w:rPr>
              <w:fldChar w:fldCharType="end"/>
            </w:r>
          </w:hyperlink>
        </w:p>
        <w:p w14:paraId="0673557A" w14:textId="77777777" w:rsidR="008E2237" w:rsidRPr="008E2237" w:rsidRDefault="005B57E3">
          <w:pPr>
            <w:pStyle w:val="TOC1"/>
            <w:rPr>
              <w:rFonts w:ascii="Arial" w:eastAsiaTheme="minorEastAsia" w:hAnsi="Arial" w:cs="Arial"/>
              <w:noProof/>
              <w:sz w:val="24"/>
              <w:szCs w:val="24"/>
            </w:rPr>
          </w:pPr>
          <w:hyperlink w:anchor="_Toc500433934" w:history="1">
            <w:r w:rsidR="008E2237" w:rsidRPr="008E2237">
              <w:rPr>
                <w:rStyle w:val="Hyperlink"/>
                <w:rFonts w:ascii="Arial" w:hAnsi="Arial" w:cs="Arial"/>
                <w:noProof/>
                <w:sz w:val="24"/>
                <w:szCs w:val="24"/>
              </w:rPr>
              <w:t>Acronym Glossary</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_Toc500433934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11</w:t>
            </w:r>
            <w:r w:rsidR="008E2237" w:rsidRPr="008E2237">
              <w:rPr>
                <w:rFonts w:ascii="Arial" w:hAnsi="Arial" w:cs="Arial"/>
                <w:noProof/>
                <w:webHidden/>
                <w:sz w:val="24"/>
                <w:szCs w:val="24"/>
              </w:rPr>
              <w:fldChar w:fldCharType="end"/>
            </w:r>
          </w:hyperlink>
        </w:p>
        <w:p w14:paraId="11A2E5B7" w14:textId="77777777" w:rsidR="008E2237" w:rsidRPr="008E2237" w:rsidRDefault="005B57E3">
          <w:pPr>
            <w:pStyle w:val="TOC1"/>
            <w:rPr>
              <w:rFonts w:ascii="Arial" w:eastAsiaTheme="minorEastAsia" w:hAnsi="Arial" w:cs="Arial"/>
              <w:noProof/>
              <w:sz w:val="24"/>
              <w:szCs w:val="24"/>
            </w:rPr>
          </w:pPr>
          <w:hyperlink w:anchor="_Toc500433935" w:history="1">
            <w:r w:rsidR="008E2237" w:rsidRPr="008E2237">
              <w:rPr>
                <w:rStyle w:val="Hyperlink"/>
                <w:rFonts w:ascii="Arial" w:hAnsi="Arial" w:cs="Arial"/>
                <w:noProof/>
                <w:sz w:val="24"/>
                <w:szCs w:val="24"/>
              </w:rPr>
              <w:t>Introduction</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_Toc500433935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13</w:t>
            </w:r>
            <w:r w:rsidR="008E2237" w:rsidRPr="008E2237">
              <w:rPr>
                <w:rFonts w:ascii="Arial" w:hAnsi="Arial" w:cs="Arial"/>
                <w:noProof/>
                <w:webHidden/>
                <w:sz w:val="24"/>
                <w:szCs w:val="24"/>
              </w:rPr>
              <w:fldChar w:fldCharType="end"/>
            </w:r>
          </w:hyperlink>
        </w:p>
        <w:p w14:paraId="31536065"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36" w:history="1">
            <w:r w:rsidR="008E2237" w:rsidRPr="008E2237">
              <w:rPr>
                <w:rStyle w:val="Hyperlink"/>
                <w:rFonts w:ascii="Arial" w:hAnsi="Arial" w:cs="Arial"/>
                <w:noProof/>
                <w:sz w:val="24"/>
                <w:szCs w:val="24"/>
              </w:rPr>
              <w:t>Research Methods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_Toc500433936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14</w:t>
            </w:r>
            <w:r w:rsidR="008E2237" w:rsidRPr="008E2237">
              <w:rPr>
                <w:rFonts w:ascii="Arial" w:hAnsi="Arial" w:cs="Arial"/>
                <w:noProof/>
                <w:webHidden/>
                <w:sz w:val="24"/>
                <w:szCs w:val="24"/>
              </w:rPr>
              <w:fldChar w:fldCharType="end"/>
            </w:r>
          </w:hyperlink>
        </w:p>
        <w:p w14:paraId="66A5BE08"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37" w:history="1">
            <w:r w:rsidR="008E2237" w:rsidRPr="008E2237">
              <w:rPr>
                <w:rStyle w:val="Hyperlink"/>
                <w:rFonts w:ascii="Arial" w:hAnsi="Arial" w:cs="Arial"/>
                <w:noProof/>
                <w:sz w:val="24"/>
                <w:szCs w:val="24"/>
              </w:rPr>
              <w:t>Qualitative Analysis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_Toc500433937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15</w:t>
            </w:r>
            <w:r w:rsidR="008E2237" w:rsidRPr="008E2237">
              <w:rPr>
                <w:rFonts w:ascii="Arial" w:hAnsi="Arial" w:cs="Arial"/>
                <w:noProof/>
                <w:webHidden/>
                <w:sz w:val="24"/>
                <w:szCs w:val="24"/>
              </w:rPr>
              <w:fldChar w:fldCharType="end"/>
            </w:r>
          </w:hyperlink>
        </w:p>
        <w:p w14:paraId="7F7833B6"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38" w:history="1">
            <w:r w:rsidR="008E2237" w:rsidRPr="008E2237">
              <w:rPr>
                <w:rStyle w:val="Hyperlink"/>
                <w:rFonts w:ascii="Arial" w:hAnsi="Arial" w:cs="Arial"/>
                <w:noProof/>
                <w:sz w:val="24"/>
                <w:szCs w:val="24"/>
              </w:rPr>
              <w:t>Policy Analysis and Literature Review</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_Toc500433938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16</w:t>
            </w:r>
            <w:r w:rsidR="008E2237" w:rsidRPr="008E2237">
              <w:rPr>
                <w:rFonts w:ascii="Arial" w:hAnsi="Arial" w:cs="Arial"/>
                <w:noProof/>
                <w:webHidden/>
                <w:sz w:val="24"/>
                <w:szCs w:val="24"/>
              </w:rPr>
              <w:fldChar w:fldCharType="end"/>
            </w:r>
          </w:hyperlink>
        </w:p>
        <w:p w14:paraId="4164C228"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39" w:history="1">
            <w:r w:rsidR="008E2237" w:rsidRPr="008E2237">
              <w:rPr>
                <w:rStyle w:val="Hyperlink"/>
                <w:rFonts w:ascii="Arial" w:hAnsi="Arial" w:cs="Arial"/>
                <w:noProof/>
                <w:sz w:val="24"/>
                <w:szCs w:val="24"/>
              </w:rPr>
              <w:t>Literature, Case Law, and Legislative Review</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_Toc500433939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16</w:t>
            </w:r>
            <w:r w:rsidR="008E2237" w:rsidRPr="008E2237">
              <w:rPr>
                <w:rFonts w:ascii="Arial" w:hAnsi="Arial" w:cs="Arial"/>
                <w:noProof/>
                <w:webHidden/>
                <w:sz w:val="24"/>
                <w:szCs w:val="24"/>
              </w:rPr>
              <w:fldChar w:fldCharType="end"/>
            </w:r>
          </w:hyperlink>
        </w:p>
        <w:p w14:paraId="517947BB"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40" w:history="1">
            <w:r w:rsidR="008E2237" w:rsidRPr="008E2237">
              <w:rPr>
                <w:rStyle w:val="Hyperlink"/>
                <w:rFonts w:ascii="Arial" w:hAnsi="Arial" w:cs="Arial"/>
                <w:noProof/>
                <w:sz w:val="24"/>
                <w:szCs w:val="24"/>
              </w:rPr>
              <w:t>Quantitative Data</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_Toc500433940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16</w:t>
            </w:r>
            <w:r w:rsidR="008E2237" w:rsidRPr="008E2237">
              <w:rPr>
                <w:rFonts w:ascii="Arial" w:hAnsi="Arial" w:cs="Arial"/>
                <w:noProof/>
                <w:webHidden/>
                <w:sz w:val="24"/>
                <w:szCs w:val="24"/>
              </w:rPr>
              <w:fldChar w:fldCharType="end"/>
            </w:r>
          </w:hyperlink>
        </w:p>
        <w:p w14:paraId="34C1AA8D" w14:textId="77777777" w:rsidR="008E2237" w:rsidRPr="008E2237" w:rsidRDefault="005B57E3">
          <w:pPr>
            <w:pStyle w:val="TOC3"/>
            <w:rPr>
              <w:rFonts w:ascii="Arial" w:eastAsiaTheme="minorEastAsia" w:hAnsi="Arial" w:cs="Arial"/>
              <w:noProof/>
              <w:sz w:val="24"/>
              <w:szCs w:val="24"/>
            </w:rPr>
          </w:pPr>
          <w:hyperlink w:anchor="_Toc500433941" w:history="1">
            <w:r w:rsidR="008E2237" w:rsidRPr="008E2237">
              <w:rPr>
                <w:rStyle w:val="Hyperlink"/>
                <w:rFonts w:ascii="Arial" w:hAnsi="Arial" w:cs="Arial"/>
                <w:noProof/>
                <w:sz w:val="24"/>
                <w:szCs w:val="24"/>
              </w:rPr>
              <w:t>National Data Review</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_Toc500433941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16</w:t>
            </w:r>
            <w:r w:rsidR="008E2237" w:rsidRPr="008E2237">
              <w:rPr>
                <w:rFonts w:ascii="Arial" w:hAnsi="Arial" w:cs="Arial"/>
                <w:noProof/>
                <w:webHidden/>
                <w:sz w:val="24"/>
                <w:szCs w:val="24"/>
              </w:rPr>
              <w:fldChar w:fldCharType="end"/>
            </w:r>
          </w:hyperlink>
        </w:p>
        <w:p w14:paraId="04B89FFE" w14:textId="77777777" w:rsidR="008E2237" w:rsidRPr="008E2237" w:rsidRDefault="005B57E3">
          <w:pPr>
            <w:pStyle w:val="TOC3"/>
            <w:rPr>
              <w:rFonts w:ascii="Arial" w:eastAsiaTheme="minorEastAsia" w:hAnsi="Arial" w:cs="Arial"/>
              <w:noProof/>
              <w:sz w:val="24"/>
              <w:szCs w:val="24"/>
            </w:rPr>
          </w:pPr>
          <w:hyperlink w:anchor="_Toc500433942" w:history="1">
            <w:r w:rsidR="008E2237" w:rsidRPr="008E2237">
              <w:rPr>
                <w:rStyle w:val="Hyperlink"/>
                <w:rFonts w:ascii="Arial" w:hAnsi="Arial" w:cs="Arial"/>
                <w:noProof/>
                <w:sz w:val="24"/>
                <w:szCs w:val="24"/>
              </w:rPr>
              <w:t>Limitations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_Toc500433942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17</w:t>
            </w:r>
            <w:r w:rsidR="008E2237" w:rsidRPr="008E2237">
              <w:rPr>
                <w:rFonts w:ascii="Arial" w:hAnsi="Arial" w:cs="Arial"/>
                <w:noProof/>
                <w:webHidden/>
                <w:sz w:val="24"/>
                <w:szCs w:val="24"/>
              </w:rPr>
              <w:fldChar w:fldCharType="end"/>
            </w:r>
          </w:hyperlink>
        </w:p>
        <w:p w14:paraId="39DE92AA" w14:textId="77777777" w:rsidR="008E2237" w:rsidRPr="008E2237" w:rsidRDefault="005B57E3">
          <w:pPr>
            <w:pStyle w:val="TOC1"/>
            <w:rPr>
              <w:rFonts w:ascii="Arial" w:eastAsiaTheme="minorEastAsia" w:hAnsi="Arial" w:cs="Arial"/>
              <w:noProof/>
              <w:sz w:val="24"/>
              <w:szCs w:val="24"/>
            </w:rPr>
          </w:pPr>
          <w:hyperlink w:anchor="_Toc500433943" w:history="1">
            <w:r w:rsidR="008E2237" w:rsidRPr="008E2237">
              <w:rPr>
                <w:rStyle w:val="Hyperlink"/>
                <w:rFonts w:ascii="Arial" w:hAnsi="Arial" w:cs="Arial"/>
                <w:noProof/>
                <w:sz w:val="24"/>
                <w:szCs w:val="24"/>
              </w:rPr>
              <w:t>Chapter 1: Legal Foundation for Inclusion</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_Toc500433943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19</w:t>
            </w:r>
            <w:r w:rsidR="008E2237" w:rsidRPr="008E2237">
              <w:rPr>
                <w:rFonts w:ascii="Arial" w:hAnsi="Arial" w:cs="Arial"/>
                <w:noProof/>
                <w:webHidden/>
                <w:sz w:val="24"/>
                <w:szCs w:val="24"/>
              </w:rPr>
              <w:fldChar w:fldCharType="end"/>
            </w:r>
          </w:hyperlink>
        </w:p>
        <w:p w14:paraId="2AAD50DC"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44" w:history="1">
            <w:r w:rsidR="008E2237" w:rsidRPr="008E2237">
              <w:rPr>
                <w:rStyle w:val="Hyperlink"/>
                <w:rFonts w:ascii="Arial" w:hAnsi="Arial" w:cs="Arial"/>
                <w:noProof/>
                <w:sz w:val="24"/>
                <w:szCs w:val="24"/>
              </w:rPr>
              <w:t>Early Litigation and Legislation</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_Toc500433944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19</w:t>
            </w:r>
            <w:r w:rsidR="008E2237" w:rsidRPr="008E2237">
              <w:rPr>
                <w:rFonts w:ascii="Arial" w:hAnsi="Arial" w:cs="Arial"/>
                <w:noProof/>
                <w:webHidden/>
                <w:sz w:val="24"/>
                <w:szCs w:val="24"/>
              </w:rPr>
              <w:fldChar w:fldCharType="end"/>
            </w:r>
          </w:hyperlink>
        </w:p>
        <w:p w14:paraId="5603DE3D"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45" w:history="1">
            <w:r w:rsidR="008E2237" w:rsidRPr="008E2237">
              <w:rPr>
                <w:rStyle w:val="Hyperlink"/>
                <w:rFonts w:ascii="Arial" w:hAnsi="Arial" w:cs="Arial"/>
                <w:noProof/>
                <w:sz w:val="24"/>
                <w:szCs w:val="24"/>
              </w:rPr>
              <w:t>The Right to a Public Education</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_Toc500433945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19</w:t>
            </w:r>
            <w:r w:rsidR="008E2237" w:rsidRPr="008E2237">
              <w:rPr>
                <w:rFonts w:ascii="Arial" w:hAnsi="Arial" w:cs="Arial"/>
                <w:noProof/>
                <w:webHidden/>
                <w:sz w:val="24"/>
                <w:szCs w:val="24"/>
              </w:rPr>
              <w:fldChar w:fldCharType="end"/>
            </w:r>
          </w:hyperlink>
        </w:p>
        <w:p w14:paraId="6D71AD96"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46" w:history="1">
            <w:r w:rsidR="008E2237" w:rsidRPr="008E2237">
              <w:rPr>
                <w:rStyle w:val="Hyperlink"/>
                <w:rFonts w:ascii="Arial" w:hAnsi="Arial" w:cs="Arial"/>
                <w:noProof/>
                <w:sz w:val="24"/>
                <w:szCs w:val="24"/>
              </w:rPr>
              <w:t>Individuals with Disabilities Education Act</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_Toc500433946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20</w:t>
            </w:r>
            <w:r w:rsidR="008E2237" w:rsidRPr="008E2237">
              <w:rPr>
                <w:rFonts w:ascii="Arial" w:hAnsi="Arial" w:cs="Arial"/>
                <w:noProof/>
                <w:webHidden/>
                <w:sz w:val="24"/>
                <w:szCs w:val="24"/>
              </w:rPr>
              <w:fldChar w:fldCharType="end"/>
            </w:r>
          </w:hyperlink>
        </w:p>
        <w:p w14:paraId="3D1D551E"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47" w:history="1">
            <w:r w:rsidR="008E2237" w:rsidRPr="008E2237">
              <w:rPr>
                <w:rStyle w:val="Hyperlink"/>
                <w:rFonts w:ascii="Arial" w:hAnsi="Arial" w:cs="Arial"/>
                <w:noProof/>
                <w:sz w:val="24"/>
                <w:szCs w:val="24"/>
              </w:rPr>
              <w:t>The LRE Requirement</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_Toc500433947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20</w:t>
            </w:r>
            <w:r w:rsidR="008E2237" w:rsidRPr="008E2237">
              <w:rPr>
                <w:rFonts w:ascii="Arial" w:hAnsi="Arial" w:cs="Arial"/>
                <w:noProof/>
                <w:webHidden/>
                <w:sz w:val="24"/>
                <w:szCs w:val="24"/>
              </w:rPr>
              <w:fldChar w:fldCharType="end"/>
            </w:r>
          </w:hyperlink>
        </w:p>
        <w:p w14:paraId="295742E1"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48" w:history="1">
            <w:r w:rsidR="008E2237" w:rsidRPr="008E2237">
              <w:rPr>
                <w:rStyle w:val="Hyperlink"/>
                <w:rFonts w:ascii="Arial" w:hAnsi="Arial" w:cs="Arial"/>
                <w:noProof/>
                <w:sz w:val="24"/>
                <w:szCs w:val="24"/>
              </w:rPr>
              <w:t>Placement Decisions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_Toc500433948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21</w:t>
            </w:r>
            <w:r w:rsidR="008E2237" w:rsidRPr="008E2237">
              <w:rPr>
                <w:rFonts w:ascii="Arial" w:hAnsi="Arial" w:cs="Arial"/>
                <w:noProof/>
                <w:webHidden/>
                <w:sz w:val="24"/>
                <w:szCs w:val="24"/>
              </w:rPr>
              <w:fldChar w:fldCharType="end"/>
            </w:r>
          </w:hyperlink>
        </w:p>
        <w:p w14:paraId="13AD898F"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49" w:history="1">
            <w:r w:rsidR="008E2237" w:rsidRPr="008E2237">
              <w:rPr>
                <w:rStyle w:val="Hyperlink"/>
                <w:rFonts w:ascii="Arial" w:hAnsi="Arial" w:cs="Arial"/>
                <w:noProof/>
                <w:sz w:val="24"/>
                <w:szCs w:val="24"/>
              </w:rPr>
              <w:t>Case Law</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_Toc500433949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22</w:t>
            </w:r>
            <w:r w:rsidR="008E2237" w:rsidRPr="008E2237">
              <w:rPr>
                <w:rFonts w:ascii="Arial" w:hAnsi="Arial" w:cs="Arial"/>
                <w:noProof/>
                <w:webHidden/>
                <w:sz w:val="24"/>
                <w:szCs w:val="24"/>
              </w:rPr>
              <w:fldChar w:fldCharType="end"/>
            </w:r>
          </w:hyperlink>
        </w:p>
        <w:p w14:paraId="0382E1EF" w14:textId="77777777" w:rsidR="008E2237" w:rsidRPr="008E2237" w:rsidRDefault="005B57E3">
          <w:pPr>
            <w:pStyle w:val="TOC1"/>
            <w:rPr>
              <w:rFonts w:ascii="Arial" w:eastAsiaTheme="minorEastAsia" w:hAnsi="Arial" w:cs="Arial"/>
              <w:noProof/>
              <w:sz w:val="24"/>
              <w:szCs w:val="24"/>
            </w:rPr>
          </w:pPr>
          <w:hyperlink w:anchor="_Toc500433950" w:history="1">
            <w:r w:rsidR="008E2237" w:rsidRPr="008E2237">
              <w:rPr>
                <w:rStyle w:val="Hyperlink"/>
                <w:rFonts w:ascii="Arial" w:hAnsi="Arial" w:cs="Arial"/>
                <w:noProof/>
                <w:sz w:val="24"/>
                <w:szCs w:val="24"/>
              </w:rPr>
              <w:t>Chapter 2: National Placement Data</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_Toc500433950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27</w:t>
            </w:r>
            <w:r w:rsidR="008E2237" w:rsidRPr="008E2237">
              <w:rPr>
                <w:rFonts w:ascii="Arial" w:hAnsi="Arial" w:cs="Arial"/>
                <w:noProof/>
                <w:webHidden/>
                <w:sz w:val="24"/>
                <w:szCs w:val="24"/>
              </w:rPr>
              <w:fldChar w:fldCharType="end"/>
            </w:r>
          </w:hyperlink>
        </w:p>
        <w:p w14:paraId="4F223D07"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51" w:history="1">
            <w:r w:rsidR="008E2237" w:rsidRPr="008E2237">
              <w:rPr>
                <w:rStyle w:val="Hyperlink"/>
                <w:rFonts w:ascii="Arial" w:hAnsi="Arial" w:cs="Arial"/>
                <w:noProof/>
                <w:sz w:val="24"/>
                <w:szCs w:val="24"/>
              </w:rPr>
              <w:t>Placement Practices across States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_Toc500433951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27</w:t>
            </w:r>
            <w:r w:rsidR="008E2237" w:rsidRPr="008E2237">
              <w:rPr>
                <w:rFonts w:ascii="Arial" w:hAnsi="Arial" w:cs="Arial"/>
                <w:noProof/>
                <w:webHidden/>
                <w:sz w:val="24"/>
                <w:szCs w:val="24"/>
              </w:rPr>
              <w:fldChar w:fldCharType="end"/>
            </w:r>
          </w:hyperlink>
        </w:p>
        <w:p w14:paraId="6F8C2003"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52" w:history="1">
            <w:r w:rsidR="008E2237" w:rsidRPr="008E2237">
              <w:rPr>
                <w:rStyle w:val="Hyperlink"/>
                <w:rFonts w:ascii="Arial" w:hAnsi="Arial" w:cs="Arial"/>
                <w:noProof/>
                <w:sz w:val="24"/>
                <w:szCs w:val="24"/>
              </w:rPr>
              <w:t>Disproportionate Placement Practices across Disability Labels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_Toc500433952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28</w:t>
            </w:r>
            <w:r w:rsidR="008E2237" w:rsidRPr="008E2237">
              <w:rPr>
                <w:rFonts w:ascii="Arial" w:hAnsi="Arial" w:cs="Arial"/>
                <w:noProof/>
                <w:webHidden/>
                <w:sz w:val="24"/>
                <w:szCs w:val="24"/>
              </w:rPr>
              <w:fldChar w:fldCharType="end"/>
            </w:r>
          </w:hyperlink>
        </w:p>
        <w:p w14:paraId="6DB51790"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53" w:history="1">
            <w:r w:rsidR="008E2237" w:rsidRPr="008E2237">
              <w:rPr>
                <w:rStyle w:val="Hyperlink"/>
                <w:rFonts w:ascii="Arial" w:hAnsi="Arial" w:cs="Arial"/>
                <w:noProof/>
                <w:sz w:val="24"/>
                <w:szCs w:val="24"/>
              </w:rPr>
              <w:t>Disproportionate Placement across Racial/Ethnic Groups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_Toc500433953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30</w:t>
            </w:r>
            <w:r w:rsidR="008E2237" w:rsidRPr="008E2237">
              <w:rPr>
                <w:rFonts w:ascii="Arial" w:hAnsi="Arial" w:cs="Arial"/>
                <w:noProof/>
                <w:webHidden/>
                <w:sz w:val="24"/>
                <w:szCs w:val="24"/>
              </w:rPr>
              <w:fldChar w:fldCharType="end"/>
            </w:r>
          </w:hyperlink>
        </w:p>
        <w:p w14:paraId="5755CE8C" w14:textId="77777777" w:rsidR="008E2237" w:rsidRPr="008E2237" w:rsidRDefault="005B57E3">
          <w:pPr>
            <w:pStyle w:val="TOC1"/>
            <w:rPr>
              <w:rFonts w:ascii="Arial" w:eastAsiaTheme="minorEastAsia" w:hAnsi="Arial" w:cs="Arial"/>
              <w:noProof/>
              <w:sz w:val="24"/>
              <w:szCs w:val="24"/>
            </w:rPr>
          </w:pPr>
          <w:hyperlink w:anchor="_Toc500433954" w:history="1">
            <w:r w:rsidR="008E2237" w:rsidRPr="008E2237">
              <w:rPr>
                <w:rStyle w:val="Hyperlink"/>
                <w:rFonts w:ascii="Arial" w:hAnsi="Arial" w:cs="Arial"/>
                <w:noProof/>
                <w:sz w:val="24"/>
                <w:szCs w:val="24"/>
              </w:rPr>
              <w:t>Chapter 3: Federal and State Response</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_Toc500433954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31</w:t>
            </w:r>
            <w:r w:rsidR="008E2237" w:rsidRPr="008E2237">
              <w:rPr>
                <w:rFonts w:ascii="Arial" w:hAnsi="Arial" w:cs="Arial"/>
                <w:noProof/>
                <w:webHidden/>
                <w:sz w:val="24"/>
                <w:szCs w:val="24"/>
              </w:rPr>
              <w:fldChar w:fldCharType="end"/>
            </w:r>
          </w:hyperlink>
        </w:p>
        <w:p w14:paraId="11E1A59B"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55" w:history="1">
            <w:r w:rsidR="008E2237" w:rsidRPr="008E2237">
              <w:rPr>
                <w:rStyle w:val="Hyperlink"/>
                <w:rFonts w:ascii="Arial" w:eastAsia="Calibri" w:hAnsi="Arial" w:cs="Arial"/>
                <w:noProof/>
                <w:sz w:val="24"/>
                <w:szCs w:val="24"/>
              </w:rPr>
              <w:t>Federal Policy Letters and Guidance</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_Toc500433955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31</w:t>
            </w:r>
            <w:r w:rsidR="008E2237" w:rsidRPr="008E2237">
              <w:rPr>
                <w:rFonts w:ascii="Arial" w:hAnsi="Arial" w:cs="Arial"/>
                <w:noProof/>
                <w:webHidden/>
                <w:sz w:val="24"/>
                <w:szCs w:val="24"/>
              </w:rPr>
              <w:fldChar w:fldCharType="end"/>
            </w:r>
          </w:hyperlink>
        </w:p>
        <w:p w14:paraId="189AEF7F"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56" w:history="1">
            <w:r w:rsidR="008E2237" w:rsidRPr="008E2237">
              <w:rPr>
                <w:rStyle w:val="Hyperlink"/>
                <w:rFonts w:ascii="Arial" w:eastAsia="Calibri" w:hAnsi="Arial" w:cs="Arial"/>
                <w:noProof/>
                <w:sz w:val="24"/>
                <w:szCs w:val="24"/>
              </w:rPr>
              <w:t>State Regulations and Guidance</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_Toc500433956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33</w:t>
            </w:r>
            <w:r w:rsidR="008E2237" w:rsidRPr="008E2237">
              <w:rPr>
                <w:rFonts w:ascii="Arial" w:hAnsi="Arial" w:cs="Arial"/>
                <w:noProof/>
                <w:webHidden/>
                <w:sz w:val="24"/>
                <w:szCs w:val="24"/>
              </w:rPr>
              <w:fldChar w:fldCharType="end"/>
            </w:r>
          </w:hyperlink>
        </w:p>
        <w:p w14:paraId="0AE299DB"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57" w:history="1">
            <w:r w:rsidR="008E2237" w:rsidRPr="008E2237">
              <w:rPr>
                <w:rStyle w:val="Hyperlink"/>
                <w:rFonts w:ascii="Arial" w:hAnsi="Arial" w:cs="Arial"/>
                <w:noProof/>
                <w:sz w:val="24"/>
                <w:szCs w:val="24"/>
              </w:rPr>
              <w:t>Monitoring and Technical Assistance</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_Toc500433957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37</w:t>
            </w:r>
            <w:r w:rsidR="008E2237" w:rsidRPr="008E2237">
              <w:rPr>
                <w:rFonts w:ascii="Arial" w:hAnsi="Arial" w:cs="Arial"/>
                <w:noProof/>
                <w:webHidden/>
                <w:sz w:val="24"/>
                <w:szCs w:val="24"/>
              </w:rPr>
              <w:fldChar w:fldCharType="end"/>
            </w:r>
          </w:hyperlink>
        </w:p>
        <w:p w14:paraId="4D40A42B" w14:textId="77777777" w:rsidR="008E2237" w:rsidRDefault="008E2237">
          <w:pPr>
            <w:rPr>
              <w:rStyle w:val="Hyperlink"/>
              <w:rFonts w:ascii="Arial" w:hAnsi="Arial" w:cs="Arial"/>
              <w:noProof/>
              <w:sz w:val="24"/>
              <w:szCs w:val="24"/>
            </w:rPr>
          </w:pPr>
          <w:r>
            <w:rPr>
              <w:rStyle w:val="Hyperlink"/>
              <w:rFonts w:ascii="Arial" w:hAnsi="Arial" w:cs="Arial"/>
              <w:noProof/>
              <w:sz w:val="24"/>
              <w:szCs w:val="24"/>
            </w:rPr>
            <w:br w:type="page"/>
          </w:r>
        </w:p>
        <w:p w14:paraId="32351B4F" w14:textId="2D9F244F" w:rsidR="008E2237" w:rsidRPr="008E2237" w:rsidRDefault="005B57E3">
          <w:pPr>
            <w:pStyle w:val="TOC1"/>
            <w:rPr>
              <w:rFonts w:ascii="Arial" w:eastAsiaTheme="minorEastAsia" w:hAnsi="Arial" w:cs="Arial"/>
              <w:noProof/>
              <w:sz w:val="24"/>
              <w:szCs w:val="24"/>
            </w:rPr>
          </w:pPr>
          <w:hyperlink w:anchor="_Toc500433958" w:history="1">
            <w:r w:rsidR="008E2237" w:rsidRPr="008E2237">
              <w:rPr>
                <w:rStyle w:val="Hyperlink"/>
                <w:rFonts w:ascii="Arial" w:hAnsi="Arial" w:cs="Arial"/>
                <w:noProof/>
                <w:sz w:val="24"/>
                <w:szCs w:val="24"/>
              </w:rPr>
              <w:t>Chapter 4: Challenges to Inclusive General Education Placement</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_Toc500433958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39</w:t>
            </w:r>
            <w:r w:rsidR="008E2237" w:rsidRPr="008E2237">
              <w:rPr>
                <w:rFonts w:ascii="Arial" w:hAnsi="Arial" w:cs="Arial"/>
                <w:noProof/>
                <w:webHidden/>
                <w:sz w:val="24"/>
                <w:szCs w:val="24"/>
              </w:rPr>
              <w:fldChar w:fldCharType="end"/>
            </w:r>
          </w:hyperlink>
        </w:p>
        <w:p w14:paraId="3A657ABE"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59" w:history="1">
            <w:r w:rsidR="008E2237" w:rsidRPr="008E2237">
              <w:rPr>
                <w:rStyle w:val="Hyperlink"/>
                <w:rFonts w:ascii="Arial" w:hAnsi="Arial" w:cs="Arial"/>
                <w:noProof/>
                <w:sz w:val="24"/>
                <w:szCs w:val="24"/>
              </w:rPr>
              <w:t>Continuum of Placements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_Toc500433959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39</w:t>
            </w:r>
            <w:r w:rsidR="008E2237" w:rsidRPr="008E2237">
              <w:rPr>
                <w:rFonts w:ascii="Arial" w:hAnsi="Arial" w:cs="Arial"/>
                <w:noProof/>
                <w:webHidden/>
                <w:sz w:val="24"/>
                <w:szCs w:val="24"/>
              </w:rPr>
              <w:fldChar w:fldCharType="end"/>
            </w:r>
          </w:hyperlink>
        </w:p>
        <w:p w14:paraId="6222AB14"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0" w:history="1">
            <w:r w:rsidR="008E2237" w:rsidRPr="008E2237">
              <w:rPr>
                <w:rStyle w:val="Hyperlink"/>
                <w:rFonts w:ascii="Arial" w:hAnsi="Arial" w:cs="Arial"/>
                <w:noProof/>
                <w:sz w:val="24"/>
                <w:szCs w:val="24"/>
              </w:rPr>
              <w:t>Attitudes and Beliefs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_Toc500433960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41</w:t>
            </w:r>
            <w:r w:rsidR="008E2237" w:rsidRPr="008E2237">
              <w:rPr>
                <w:rFonts w:ascii="Arial" w:hAnsi="Arial" w:cs="Arial"/>
                <w:noProof/>
                <w:webHidden/>
                <w:sz w:val="24"/>
                <w:szCs w:val="24"/>
              </w:rPr>
              <w:fldChar w:fldCharType="end"/>
            </w:r>
          </w:hyperlink>
        </w:p>
        <w:p w14:paraId="670A1939"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1" w:history="1">
            <w:r w:rsidR="008E2237" w:rsidRPr="008E2237">
              <w:rPr>
                <w:rStyle w:val="Hyperlink"/>
                <w:rFonts w:ascii="Arial" w:hAnsi="Arial" w:cs="Arial"/>
                <w:noProof/>
                <w:sz w:val="24"/>
                <w:szCs w:val="24"/>
              </w:rPr>
              <w:t>Organizational Traditions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_Toc500433961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41</w:t>
            </w:r>
            <w:r w:rsidR="008E2237" w:rsidRPr="008E2237">
              <w:rPr>
                <w:rFonts w:ascii="Arial" w:hAnsi="Arial" w:cs="Arial"/>
                <w:noProof/>
                <w:webHidden/>
                <w:sz w:val="24"/>
                <w:szCs w:val="24"/>
              </w:rPr>
              <w:fldChar w:fldCharType="end"/>
            </w:r>
          </w:hyperlink>
        </w:p>
        <w:p w14:paraId="09767C52"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2" w:history="1">
            <w:r w:rsidR="008E2237" w:rsidRPr="008E2237">
              <w:rPr>
                <w:rStyle w:val="Hyperlink"/>
                <w:rFonts w:ascii="Arial" w:hAnsi="Arial" w:cs="Arial"/>
                <w:noProof/>
                <w:sz w:val="24"/>
                <w:szCs w:val="24"/>
              </w:rPr>
              <w:t>Organizational and Workforce Capacity</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_Toc500433962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42</w:t>
            </w:r>
            <w:r w:rsidR="008E2237" w:rsidRPr="008E2237">
              <w:rPr>
                <w:rFonts w:ascii="Arial" w:hAnsi="Arial" w:cs="Arial"/>
                <w:noProof/>
                <w:webHidden/>
                <w:sz w:val="24"/>
                <w:szCs w:val="24"/>
              </w:rPr>
              <w:fldChar w:fldCharType="end"/>
            </w:r>
          </w:hyperlink>
        </w:p>
        <w:p w14:paraId="218C1CC0" w14:textId="3644B0FE" w:rsidR="008E2237" w:rsidRPr="008E2237" w:rsidRDefault="005B57E3">
          <w:pPr>
            <w:pStyle w:val="TOC1"/>
            <w:rPr>
              <w:rFonts w:ascii="Arial" w:eastAsiaTheme="minorEastAsia" w:hAnsi="Arial" w:cs="Arial"/>
              <w:noProof/>
              <w:sz w:val="24"/>
              <w:szCs w:val="24"/>
            </w:rPr>
          </w:pPr>
          <w:hyperlink w:anchor="_Toc500433963" w:history="1">
            <w:r w:rsidR="008E2237" w:rsidRPr="008E2237">
              <w:rPr>
                <w:rStyle w:val="Hyperlink"/>
                <w:rFonts w:ascii="Arial" w:hAnsi="Arial" w:cs="Arial"/>
                <w:noProof/>
                <w:sz w:val="24"/>
                <w:szCs w:val="24"/>
              </w:rPr>
              <w:t>Chapter 5: The Research Base: Why Include Students with Disabilities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_Toc500433963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45</w:t>
            </w:r>
            <w:r w:rsidR="008E2237" w:rsidRPr="008E2237">
              <w:rPr>
                <w:rFonts w:ascii="Arial" w:hAnsi="Arial" w:cs="Arial"/>
                <w:noProof/>
                <w:webHidden/>
                <w:sz w:val="24"/>
                <w:szCs w:val="24"/>
              </w:rPr>
              <w:fldChar w:fldCharType="end"/>
            </w:r>
          </w:hyperlink>
        </w:p>
        <w:p w14:paraId="1737A5C1"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4" w:history="1">
            <w:r w:rsidR="008E2237" w:rsidRPr="008E2237">
              <w:rPr>
                <w:rStyle w:val="Hyperlink"/>
                <w:rFonts w:ascii="Arial" w:hAnsi="Arial" w:cs="Arial"/>
                <w:noProof/>
                <w:sz w:val="24"/>
                <w:szCs w:val="24"/>
              </w:rPr>
              <w:t>Benefits to Students with Disabilities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_Toc500433964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45</w:t>
            </w:r>
            <w:r w:rsidR="008E2237" w:rsidRPr="008E2237">
              <w:rPr>
                <w:rFonts w:ascii="Arial" w:hAnsi="Arial" w:cs="Arial"/>
                <w:noProof/>
                <w:webHidden/>
                <w:sz w:val="24"/>
                <w:szCs w:val="24"/>
              </w:rPr>
              <w:fldChar w:fldCharType="end"/>
            </w:r>
          </w:hyperlink>
        </w:p>
        <w:p w14:paraId="4CDE92D6"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5" w:history="1">
            <w:r w:rsidR="008E2237" w:rsidRPr="008E2237">
              <w:rPr>
                <w:rStyle w:val="Hyperlink"/>
                <w:rFonts w:ascii="Arial" w:hAnsi="Arial" w:cs="Arial"/>
                <w:noProof/>
                <w:sz w:val="24"/>
                <w:szCs w:val="24"/>
              </w:rPr>
              <w:t>Benefits to Students without Disabilities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_Toc500433965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46</w:t>
            </w:r>
            <w:r w:rsidR="008E2237" w:rsidRPr="008E2237">
              <w:rPr>
                <w:rFonts w:ascii="Arial" w:hAnsi="Arial" w:cs="Arial"/>
                <w:noProof/>
                <w:webHidden/>
                <w:sz w:val="24"/>
                <w:szCs w:val="24"/>
              </w:rPr>
              <w:fldChar w:fldCharType="end"/>
            </w:r>
          </w:hyperlink>
        </w:p>
        <w:p w14:paraId="11B3FEA7"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6" w:history="1">
            <w:r w:rsidR="008E2237" w:rsidRPr="008E2237">
              <w:rPr>
                <w:rStyle w:val="Hyperlink"/>
                <w:rFonts w:ascii="Arial" w:hAnsi="Arial" w:cs="Arial"/>
                <w:noProof/>
                <w:sz w:val="24"/>
                <w:szCs w:val="24"/>
              </w:rPr>
              <w:t>Opportunity to Learn: Special Versus Regular Classes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_Toc500433966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47</w:t>
            </w:r>
            <w:r w:rsidR="008E2237" w:rsidRPr="008E2237">
              <w:rPr>
                <w:rFonts w:ascii="Arial" w:hAnsi="Arial" w:cs="Arial"/>
                <w:noProof/>
                <w:webHidden/>
                <w:sz w:val="24"/>
                <w:szCs w:val="24"/>
              </w:rPr>
              <w:fldChar w:fldCharType="end"/>
            </w:r>
          </w:hyperlink>
        </w:p>
        <w:p w14:paraId="413CF727" w14:textId="0DD7DF53" w:rsidR="008E2237" w:rsidRPr="008E2237" w:rsidRDefault="005B57E3">
          <w:pPr>
            <w:pStyle w:val="TOC1"/>
            <w:rPr>
              <w:rFonts w:ascii="Arial" w:eastAsiaTheme="minorEastAsia" w:hAnsi="Arial" w:cs="Arial"/>
              <w:noProof/>
              <w:sz w:val="24"/>
              <w:szCs w:val="24"/>
            </w:rPr>
          </w:pPr>
          <w:hyperlink w:anchor="_Toc500433967" w:history="1">
            <w:r w:rsidR="008E2237" w:rsidRPr="008E2237">
              <w:rPr>
                <w:rStyle w:val="Hyperlink"/>
                <w:rFonts w:ascii="Arial" w:hAnsi="Arial" w:cs="Arial"/>
                <w:noProof/>
                <w:sz w:val="24"/>
                <w:szCs w:val="24"/>
              </w:rPr>
              <w:t xml:space="preserve">Chapter 6: The Research Base: Strategies That Promote Effective </w:t>
            </w:r>
            <w:r w:rsidR="008E2237">
              <w:rPr>
                <w:rStyle w:val="Hyperlink"/>
                <w:rFonts w:ascii="Arial" w:hAnsi="Arial" w:cs="Arial"/>
                <w:noProof/>
                <w:sz w:val="24"/>
                <w:szCs w:val="24"/>
              </w:rPr>
              <w:br/>
            </w:r>
            <w:r w:rsidR="008E2237" w:rsidRPr="008E2237">
              <w:rPr>
                <w:rStyle w:val="Hyperlink"/>
                <w:rFonts w:ascii="Arial" w:hAnsi="Arial" w:cs="Arial"/>
                <w:noProof/>
                <w:sz w:val="24"/>
                <w:szCs w:val="24"/>
              </w:rPr>
              <w:t>Inclusive Education</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_Toc500433967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49</w:t>
            </w:r>
            <w:r w:rsidR="008E2237" w:rsidRPr="008E2237">
              <w:rPr>
                <w:rFonts w:ascii="Arial" w:hAnsi="Arial" w:cs="Arial"/>
                <w:noProof/>
                <w:webHidden/>
                <w:sz w:val="24"/>
                <w:szCs w:val="24"/>
              </w:rPr>
              <w:fldChar w:fldCharType="end"/>
            </w:r>
          </w:hyperlink>
        </w:p>
        <w:p w14:paraId="5AE26CA2"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8" w:history="1">
            <w:r w:rsidR="008E2237" w:rsidRPr="008E2237">
              <w:rPr>
                <w:rStyle w:val="Hyperlink"/>
                <w:rFonts w:ascii="Arial" w:hAnsi="Arial" w:cs="Arial"/>
                <w:noProof/>
                <w:sz w:val="24"/>
                <w:szCs w:val="24"/>
              </w:rPr>
              <w:t>Universal Design for Learning</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_Toc500433968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49</w:t>
            </w:r>
            <w:r w:rsidR="008E2237" w:rsidRPr="008E2237">
              <w:rPr>
                <w:rFonts w:ascii="Arial" w:hAnsi="Arial" w:cs="Arial"/>
                <w:noProof/>
                <w:webHidden/>
                <w:sz w:val="24"/>
                <w:szCs w:val="24"/>
              </w:rPr>
              <w:fldChar w:fldCharType="end"/>
            </w:r>
          </w:hyperlink>
        </w:p>
        <w:p w14:paraId="3B6E580C"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69" w:history="1">
            <w:r w:rsidR="008E2237" w:rsidRPr="008E2237">
              <w:rPr>
                <w:rStyle w:val="Hyperlink"/>
                <w:rFonts w:ascii="Arial" w:hAnsi="Arial" w:cs="Arial"/>
                <w:noProof/>
                <w:sz w:val="24"/>
                <w:szCs w:val="24"/>
              </w:rPr>
              <w:t>Cooperative Learning</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_Toc500433969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49</w:t>
            </w:r>
            <w:r w:rsidR="008E2237" w:rsidRPr="008E2237">
              <w:rPr>
                <w:rFonts w:ascii="Arial" w:hAnsi="Arial" w:cs="Arial"/>
                <w:noProof/>
                <w:webHidden/>
                <w:sz w:val="24"/>
                <w:szCs w:val="24"/>
              </w:rPr>
              <w:fldChar w:fldCharType="end"/>
            </w:r>
          </w:hyperlink>
        </w:p>
        <w:p w14:paraId="13348BFE"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70" w:history="1">
            <w:r w:rsidR="008E2237" w:rsidRPr="008E2237">
              <w:rPr>
                <w:rStyle w:val="Hyperlink"/>
                <w:rFonts w:ascii="Arial" w:hAnsi="Arial" w:cs="Arial"/>
                <w:noProof/>
                <w:sz w:val="24"/>
                <w:szCs w:val="24"/>
              </w:rPr>
              <w:t>Differentiated Instruction</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_Toc500433970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50</w:t>
            </w:r>
            <w:r w:rsidR="008E2237" w:rsidRPr="008E2237">
              <w:rPr>
                <w:rFonts w:ascii="Arial" w:hAnsi="Arial" w:cs="Arial"/>
                <w:noProof/>
                <w:webHidden/>
                <w:sz w:val="24"/>
                <w:szCs w:val="24"/>
              </w:rPr>
              <w:fldChar w:fldCharType="end"/>
            </w:r>
          </w:hyperlink>
        </w:p>
        <w:p w14:paraId="61EB5BA0"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71" w:history="1">
            <w:r w:rsidR="008E2237" w:rsidRPr="008E2237">
              <w:rPr>
                <w:rStyle w:val="Hyperlink"/>
                <w:rFonts w:ascii="Arial" w:hAnsi="Arial" w:cs="Arial"/>
                <w:noProof/>
                <w:sz w:val="24"/>
                <w:szCs w:val="24"/>
              </w:rPr>
              <w:t>Data-Based Instructional Decisions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_Toc500433971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50</w:t>
            </w:r>
            <w:r w:rsidR="008E2237" w:rsidRPr="008E2237">
              <w:rPr>
                <w:rFonts w:ascii="Arial" w:hAnsi="Arial" w:cs="Arial"/>
                <w:noProof/>
                <w:webHidden/>
                <w:sz w:val="24"/>
                <w:szCs w:val="24"/>
              </w:rPr>
              <w:fldChar w:fldCharType="end"/>
            </w:r>
          </w:hyperlink>
        </w:p>
        <w:p w14:paraId="1D26E67D"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72" w:history="1">
            <w:r w:rsidR="008E2237" w:rsidRPr="008E2237">
              <w:rPr>
                <w:rStyle w:val="Hyperlink"/>
                <w:rFonts w:ascii="Arial" w:hAnsi="Arial" w:cs="Arial"/>
                <w:noProof/>
                <w:sz w:val="24"/>
                <w:szCs w:val="24"/>
              </w:rPr>
              <w:t>Positive Behavior Interventions and Supports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_Toc500433972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51</w:t>
            </w:r>
            <w:r w:rsidR="008E2237" w:rsidRPr="008E2237">
              <w:rPr>
                <w:rFonts w:ascii="Arial" w:hAnsi="Arial" w:cs="Arial"/>
                <w:noProof/>
                <w:webHidden/>
                <w:sz w:val="24"/>
                <w:szCs w:val="24"/>
              </w:rPr>
              <w:fldChar w:fldCharType="end"/>
            </w:r>
          </w:hyperlink>
        </w:p>
        <w:p w14:paraId="78650952"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73" w:history="1">
            <w:r w:rsidR="008E2237" w:rsidRPr="008E2237">
              <w:rPr>
                <w:rStyle w:val="Hyperlink"/>
                <w:rFonts w:ascii="Arial" w:hAnsi="Arial" w:cs="Arial"/>
                <w:noProof/>
                <w:sz w:val="24"/>
                <w:szCs w:val="24"/>
              </w:rPr>
              <w:t>Peer-Assisted Learning</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_Toc500433973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51</w:t>
            </w:r>
            <w:r w:rsidR="008E2237" w:rsidRPr="008E2237">
              <w:rPr>
                <w:rFonts w:ascii="Arial" w:hAnsi="Arial" w:cs="Arial"/>
                <w:noProof/>
                <w:webHidden/>
                <w:sz w:val="24"/>
                <w:szCs w:val="24"/>
              </w:rPr>
              <w:fldChar w:fldCharType="end"/>
            </w:r>
          </w:hyperlink>
        </w:p>
        <w:p w14:paraId="57238CAB"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74" w:history="1">
            <w:r w:rsidR="008E2237" w:rsidRPr="008E2237">
              <w:rPr>
                <w:rStyle w:val="Hyperlink"/>
                <w:rFonts w:ascii="Arial" w:hAnsi="Arial" w:cs="Arial"/>
                <w:noProof/>
                <w:sz w:val="24"/>
                <w:szCs w:val="24"/>
              </w:rPr>
              <w:t>Culturally Responsive Teaching</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_Toc500433974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52</w:t>
            </w:r>
            <w:r w:rsidR="008E2237" w:rsidRPr="008E2237">
              <w:rPr>
                <w:rFonts w:ascii="Arial" w:hAnsi="Arial" w:cs="Arial"/>
                <w:noProof/>
                <w:webHidden/>
                <w:sz w:val="24"/>
                <w:szCs w:val="24"/>
              </w:rPr>
              <w:fldChar w:fldCharType="end"/>
            </w:r>
          </w:hyperlink>
        </w:p>
        <w:p w14:paraId="4C4C85B1"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76" w:history="1">
            <w:r w:rsidR="008E2237" w:rsidRPr="008E2237">
              <w:rPr>
                <w:rStyle w:val="Hyperlink"/>
                <w:rFonts w:ascii="Arial" w:hAnsi="Arial" w:cs="Arial"/>
                <w:noProof/>
                <w:sz w:val="24"/>
                <w:szCs w:val="24"/>
              </w:rPr>
              <w:t>Multi-Tiered System of Supports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_Toc500433976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52</w:t>
            </w:r>
            <w:r w:rsidR="008E2237" w:rsidRPr="008E2237">
              <w:rPr>
                <w:rFonts w:ascii="Arial" w:hAnsi="Arial" w:cs="Arial"/>
                <w:noProof/>
                <w:webHidden/>
                <w:sz w:val="24"/>
                <w:szCs w:val="24"/>
              </w:rPr>
              <w:fldChar w:fldCharType="end"/>
            </w:r>
          </w:hyperlink>
        </w:p>
        <w:p w14:paraId="2EB1C047" w14:textId="77777777" w:rsidR="008E2237" w:rsidRPr="008E2237" w:rsidRDefault="005B57E3">
          <w:pPr>
            <w:pStyle w:val="TOC1"/>
            <w:rPr>
              <w:rFonts w:ascii="Arial" w:eastAsiaTheme="minorEastAsia" w:hAnsi="Arial" w:cs="Arial"/>
              <w:noProof/>
              <w:sz w:val="24"/>
              <w:szCs w:val="24"/>
            </w:rPr>
          </w:pPr>
          <w:hyperlink w:anchor="_Toc500433977" w:history="1">
            <w:r w:rsidR="008E2237" w:rsidRPr="008E2237">
              <w:rPr>
                <w:rStyle w:val="Hyperlink"/>
                <w:rFonts w:ascii="Arial" w:hAnsi="Arial" w:cs="Arial"/>
                <w:noProof/>
                <w:sz w:val="24"/>
                <w:szCs w:val="24"/>
              </w:rPr>
              <w:t>Chapter 7: Findings and Recommendations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_Toc500433977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53</w:t>
            </w:r>
            <w:r w:rsidR="008E2237" w:rsidRPr="008E2237">
              <w:rPr>
                <w:rFonts w:ascii="Arial" w:hAnsi="Arial" w:cs="Arial"/>
                <w:noProof/>
                <w:webHidden/>
                <w:sz w:val="24"/>
                <w:szCs w:val="24"/>
              </w:rPr>
              <w:fldChar w:fldCharType="end"/>
            </w:r>
          </w:hyperlink>
        </w:p>
        <w:p w14:paraId="742A29A0"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78" w:history="1">
            <w:r w:rsidR="008E2237" w:rsidRPr="008E2237">
              <w:rPr>
                <w:rStyle w:val="Hyperlink"/>
                <w:rFonts w:ascii="Arial" w:hAnsi="Arial" w:cs="Arial"/>
                <w:noProof/>
                <w:sz w:val="24"/>
                <w:szCs w:val="24"/>
              </w:rPr>
              <w:t>Findings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_Toc500433978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53</w:t>
            </w:r>
            <w:r w:rsidR="008E2237" w:rsidRPr="008E2237">
              <w:rPr>
                <w:rFonts w:ascii="Arial" w:hAnsi="Arial" w:cs="Arial"/>
                <w:noProof/>
                <w:webHidden/>
                <w:sz w:val="24"/>
                <w:szCs w:val="24"/>
              </w:rPr>
              <w:fldChar w:fldCharType="end"/>
            </w:r>
          </w:hyperlink>
        </w:p>
        <w:p w14:paraId="108BC40E" w14:textId="77777777" w:rsidR="008E2237" w:rsidRPr="008E2237" w:rsidRDefault="005B57E3">
          <w:pPr>
            <w:pStyle w:val="TOC3"/>
            <w:rPr>
              <w:rFonts w:ascii="Arial" w:eastAsiaTheme="minorEastAsia" w:hAnsi="Arial" w:cs="Arial"/>
              <w:noProof/>
              <w:sz w:val="24"/>
              <w:szCs w:val="24"/>
            </w:rPr>
          </w:pPr>
          <w:hyperlink w:anchor="_Toc500433979" w:history="1">
            <w:r w:rsidR="008E2237" w:rsidRPr="008E2237">
              <w:rPr>
                <w:rStyle w:val="Hyperlink"/>
                <w:rFonts w:ascii="Arial" w:hAnsi="Arial" w:cs="Arial"/>
                <w:noProof/>
                <w:sz w:val="24"/>
                <w:szCs w:val="24"/>
              </w:rPr>
              <w:t>Policies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_Toc500433979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53</w:t>
            </w:r>
            <w:r w:rsidR="008E2237" w:rsidRPr="008E2237">
              <w:rPr>
                <w:rFonts w:ascii="Arial" w:hAnsi="Arial" w:cs="Arial"/>
                <w:noProof/>
                <w:webHidden/>
                <w:sz w:val="24"/>
                <w:szCs w:val="24"/>
              </w:rPr>
              <w:fldChar w:fldCharType="end"/>
            </w:r>
          </w:hyperlink>
        </w:p>
        <w:p w14:paraId="5CED1A56" w14:textId="77777777" w:rsidR="008E2237" w:rsidRPr="008E2237" w:rsidRDefault="005B57E3">
          <w:pPr>
            <w:pStyle w:val="TOC3"/>
            <w:rPr>
              <w:rFonts w:ascii="Arial" w:eastAsiaTheme="minorEastAsia" w:hAnsi="Arial" w:cs="Arial"/>
              <w:noProof/>
              <w:sz w:val="24"/>
              <w:szCs w:val="24"/>
            </w:rPr>
          </w:pPr>
          <w:hyperlink w:anchor="_Toc500433980" w:history="1">
            <w:r w:rsidR="008E2237" w:rsidRPr="008E2237">
              <w:rPr>
                <w:rStyle w:val="Hyperlink"/>
                <w:rFonts w:ascii="Arial" w:hAnsi="Arial" w:cs="Arial"/>
                <w:noProof/>
                <w:sz w:val="24"/>
                <w:szCs w:val="24"/>
              </w:rPr>
              <w:t>Effectiveness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_Toc500433980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53</w:t>
            </w:r>
            <w:r w:rsidR="008E2237" w:rsidRPr="008E2237">
              <w:rPr>
                <w:rFonts w:ascii="Arial" w:hAnsi="Arial" w:cs="Arial"/>
                <w:noProof/>
                <w:webHidden/>
                <w:sz w:val="24"/>
                <w:szCs w:val="24"/>
              </w:rPr>
              <w:fldChar w:fldCharType="end"/>
            </w:r>
          </w:hyperlink>
        </w:p>
        <w:p w14:paraId="0F183980" w14:textId="77777777" w:rsidR="008E2237" w:rsidRPr="008E2237" w:rsidRDefault="005B57E3">
          <w:pPr>
            <w:pStyle w:val="TOC3"/>
            <w:rPr>
              <w:rFonts w:ascii="Arial" w:eastAsiaTheme="minorEastAsia" w:hAnsi="Arial" w:cs="Arial"/>
              <w:noProof/>
              <w:sz w:val="24"/>
              <w:szCs w:val="24"/>
            </w:rPr>
          </w:pPr>
          <w:hyperlink w:anchor="_Toc500433981" w:history="1">
            <w:r w:rsidR="008E2237" w:rsidRPr="008E2237">
              <w:rPr>
                <w:rStyle w:val="Hyperlink"/>
                <w:rFonts w:ascii="Arial" w:hAnsi="Arial" w:cs="Arial"/>
                <w:noProof/>
                <w:sz w:val="24"/>
                <w:szCs w:val="24"/>
              </w:rPr>
              <w:t>Demographics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_Toc500433981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53</w:t>
            </w:r>
            <w:r w:rsidR="008E2237" w:rsidRPr="008E2237">
              <w:rPr>
                <w:rFonts w:ascii="Arial" w:hAnsi="Arial" w:cs="Arial"/>
                <w:noProof/>
                <w:webHidden/>
                <w:sz w:val="24"/>
                <w:szCs w:val="24"/>
              </w:rPr>
              <w:fldChar w:fldCharType="end"/>
            </w:r>
          </w:hyperlink>
        </w:p>
        <w:p w14:paraId="2F629853" w14:textId="77777777" w:rsidR="008E2237" w:rsidRPr="008E2237" w:rsidRDefault="005B57E3">
          <w:pPr>
            <w:pStyle w:val="TOC3"/>
            <w:rPr>
              <w:rFonts w:ascii="Arial" w:eastAsiaTheme="minorEastAsia" w:hAnsi="Arial" w:cs="Arial"/>
              <w:noProof/>
              <w:sz w:val="24"/>
              <w:szCs w:val="24"/>
            </w:rPr>
          </w:pPr>
          <w:hyperlink w:anchor="_Toc500433982" w:history="1">
            <w:r w:rsidR="008E2237" w:rsidRPr="008E2237">
              <w:rPr>
                <w:rStyle w:val="Hyperlink"/>
                <w:rFonts w:ascii="Arial" w:hAnsi="Arial" w:cs="Arial"/>
                <w:noProof/>
                <w:sz w:val="24"/>
                <w:szCs w:val="24"/>
              </w:rPr>
              <w:t>Disability</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_Toc500433982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53</w:t>
            </w:r>
            <w:r w:rsidR="008E2237" w:rsidRPr="008E2237">
              <w:rPr>
                <w:rFonts w:ascii="Arial" w:hAnsi="Arial" w:cs="Arial"/>
                <w:noProof/>
                <w:webHidden/>
                <w:sz w:val="24"/>
                <w:szCs w:val="24"/>
              </w:rPr>
              <w:fldChar w:fldCharType="end"/>
            </w:r>
          </w:hyperlink>
        </w:p>
        <w:p w14:paraId="747A8429" w14:textId="77777777" w:rsidR="008E2237" w:rsidRPr="008E2237" w:rsidRDefault="005B57E3">
          <w:pPr>
            <w:pStyle w:val="TOC3"/>
            <w:rPr>
              <w:rFonts w:ascii="Arial" w:eastAsiaTheme="minorEastAsia" w:hAnsi="Arial" w:cs="Arial"/>
              <w:noProof/>
              <w:sz w:val="24"/>
              <w:szCs w:val="24"/>
            </w:rPr>
          </w:pPr>
          <w:hyperlink w:anchor="_Toc500433983" w:history="1">
            <w:r w:rsidR="008E2237" w:rsidRPr="008E2237">
              <w:rPr>
                <w:rStyle w:val="Hyperlink"/>
                <w:rFonts w:ascii="Arial" w:hAnsi="Arial" w:cs="Arial"/>
                <w:noProof/>
                <w:sz w:val="24"/>
                <w:szCs w:val="24"/>
              </w:rPr>
              <w:t>Race</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_Toc500433983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54</w:t>
            </w:r>
            <w:r w:rsidR="008E2237" w:rsidRPr="008E2237">
              <w:rPr>
                <w:rFonts w:ascii="Arial" w:hAnsi="Arial" w:cs="Arial"/>
                <w:noProof/>
                <w:webHidden/>
                <w:sz w:val="24"/>
                <w:szCs w:val="24"/>
              </w:rPr>
              <w:fldChar w:fldCharType="end"/>
            </w:r>
          </w:hyperlink>
        </w:p>
        <w:p w14:paraId="1B2D1B33" w14:textId="77777777" w:rsidR="008E2237" w:rsidRPr="008E2237" w:rsidRDefault="005B57E3">
          <w:pPr>
            <w:pStyle w:val="TOC3"/>
            <w:rPr>
              <w:rFonts w:ascii="Arial" w:eastAsiaTheme="minorEastAsia" w:hAnsi="Arial" w:cs="Arial"/>
              <w:noProof/>
              <w:sz w:val="24"/>
              <w:szCs w:val="24"/>
            </w:rPr>
          </w:pPr>
          <w:hyperlink w:anchor="_Toc500433984" w:history="1">
            <w:r w:rsidR="008E2237" w:rsidRPr="008E2237">
              <w:rPr>
                <w:rStyle w:val="Hyperlink"/>
                <w:rFonts w:ascii="Arial" w:hAnsi="Arial" w:cs="Arial"/>
                <w:noProof/>
                <w:sz w:val="24"/>
                <w:szCs w:val="24"/>
              </w:rPr>
              <w:t>ED Response</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_Toc500433984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54</w:t>
            </w:r>
            <w:r w:rsidR="008E2237" w:rsidRPr="008E2237">
              <w:rPr>
                <w:rFonts w:ascii="Arial" w:hAnsi="Arial" w:cs="Arial"/>
                <w:noProof/>
                <w:webHidden/>
                <w:sz w:val="24"/>
                <w:szCs w:val="24"/>
              </w:rPr>
              <w:fldChar w:fldCharType="end"/>
            </w:r>
          </w:hyperlink>
        </w:p>
        <w:p w14:paraId="2C792236" w14:textId="77777777" w:rsidR="008E2237" w:rsidRPr="008E2237" w:rsidRDefault="005B57E3">
          <w:pPr>
            <w:pStyle w:val="TOC2"/>
            <w:tabs>
              <w:tab w:val="right" w:leader="dot" w:pos="9350"/>
            </w:tabs>
            <w:rPr>
              <w:rFonts w:ascii="Arial" w:eastAsiaTheme="minorEastAsia" w:hAnsi="Arial" w:cs="Arial"/>
              <w:noProof/>
              <w:sz w:val="24"/>
              <w:szCs w:val="24"/>
            </w:rPr>
          </w:pPr>
          <w:hyperlink w:anchor="_Toc500433985" w:history="1">
            <w:r w:rsidR="008E2237" w:rsidRPr="008E2237">
              <w:rPr>
                <w:rStyle w:val="Hyperlink"/>
                <w:rFonts w:ascii="Arial" w:hAnsi="Arial" w:cs="Arial"/>
                <w:noProof/>
                <w:sz w:val="24"/>
                <w:szCs w:val="24"/>
              </w:rPr>
              <w:t>Recommendations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_Toc500433985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55</w:t>
            </w:r>
            <w:r w:rsidR="008E2237" w:rsidRPr="008E2237">
              <w:rPr>
                <w:rFonts w:ascii="Arial" w:hAnsi="Arial" w:cs="Arial"/>
                <w:noProof/>
                <w:webHidden/>
                <w:sz w:val="24"/>
                <w:szCs w:val="24"/>
              </w:rPr>
              <w:fldChar w:fldCharType="end"/>
            </w:r>
          </w:hyperlink>
        </w:p>
        <w:p w14:paraId="3E222B50" w14:textId="77777777" w:rsidR="008E2237" w:rsidRPr="008E2237" w:rsidRDefault="005B57E3">
          <w:pPr>
            <w:pStyle w:val="TOC3"/>
            <w:rPr>
              <w:rFonts w:ascii="Arial" w:eastAsiaTheme="minorEastAsia" w:hAnsi="Arial" w:cs="Arial"/>
              <w:noProof/>
              <w:sz w:val="24"/>
              <w:szCs w:val="24"/>
            </w:rPr>
          </w:pPr>
          <w:hyperlink w:anchor="_Toc500433986" w:history="1">
            <w:r w:rsidR="008E2237" w:rsidRPr="008E2237">
              <w:rPr>
                <w:rStyle w:val="Hyperlink"/>
                <w:rFonts w:ascii="Arial" w:hAnsi="Arial" w:cs="Arial"/>
                <w:noProof/>
                <w:sz w:val="24"/>
                <w:szCs w:val="24"/>
              </w:rPr>
              <w:t>Recommendations for Congress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_Toc500433986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55</w:t>
            </w:r>
            <w:r w:rsidR="008E2237" w:rsidRPr="008E2237">
              <w:rPr>
                <w:rFonts w:ascii="Arial" w:hAnsi="Arial" w:cs="Arial"/>
                <w:noProof/>
                <w:webHidden/>
                <w:sz w:val="24"/>
                <w:szCs w:val="24"/>
              </w:rPr>
              <w:fldChar w:fldCharType="end"/>
            </w:r>
          </w:hyperlink>
        </w:p>
        <w:p w14:paraId="3FE470A8" w14:textId="77777777" w:rsidR="008E2237" w:rsidRPr="008E2237" w:rsidRDefault="005B57E3">
          <w:pPr>
            <w:pStyle w:val="TOC3"/>
            <w:rPr>
              <w:rFonts w:ascii="Arial" w:eastAsiaTheme="minorEastAsia" w:hAnsi="Arial" w:cs="Arial"/>
              <w:noProof/>
              <w:sz w:val="24"/>
              <w:szCs w:val="24"/>
            </w:rPr>
          </w:pPr>
          <w:hyperlink w:anchor="_Toc500433987" w:history="1">
            <w:r w:rsidR="008E2237" w:rsidRPr="008E2237">
              <w:rPr>
                <w:rStyle w:val="Hyperlink"/>
                <w:rFonts w:ascii="Arial" w:hAnsi="Arial" w:cs="Arial"/>
                <w:noProof/>
                <w:sz w:val="24"/>
                <w:szCs w:val="24"/>
              </w:rPr>
              <w:t>Recommendations for the U.S. Department of Education:</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_Toc500433987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56</w:t>
            </w:r>
            <w:r w:rsidR="008E2237" w:rsidRPr="008E2237">
              <w:rPr>
                <w:rFonts w:ascii="Arial" w:hAnsi="Arial" w:cs="Arial"/>
                <w:noProof/>
                <w:webHidden/>
                <w:sz w:val="24"/>
                <w:szCs w:val="24"/>
              </w:rPr>
              <w:fldChar w:fldCharType="end"/>
            </w:r>
          </w:hyperlink>
        </w:p>
        <w:p w14:paraId="39C2B9A5" w14:textId="40524CB7" w:rsidR="008E2237" w:rsidRPr="008E2237" w:rsidRDefault="005B57E3">
          <w:pPr>
            <w:pStyle w:val="TOC1"/>
            <w:rPr>
              <w:rFonts w:ascii="Arial" w:eastAsiaTheme="minorEastAsia" w:hAnsi="Arial" w:cs="Arial"/>
              <w:noProof/>
              <w:sz w:val="24"/>
              <w:szCs w:val="24"/>
            </w:rPr>
          </w:pPr>
          <w:hyperlink w:anchor="_Toc500433988" w:history="1">
            <w:r w:rsidR="008E2237" w:rsidRPr="008E2237">
              <w:rPr>
                <w:rStyle w:val="Hyperlink"/>
                <w:rFonts w:ascii="Arial" w:hAnsi="Arial" w:cs="Arial"/>
                <w:noProof/>
                <w:sz w:val="24"/>
                <w:szCs w:val="24"/>
              </w:rPr>
              <w:t>APPENDIX</w:t>
            </w:r>
            <w:r w:rsidR="00723E69">
              <w:rPr>
                <w:rStyle w:val="Hyperlink"/>
                <w:rFonts w:ascii="Arial" w:hAnsi="Arial" w:cs="Arial"/>
                <w:noProof/>
                <w:sz w:val="24"/>
                <w:szCs w:val="24"/>
              </w:rPr>
              <w:t>:</w:t>
            </w:r>
            <w:r w:rsidR="008E2237" w:rsidRPr="008E2237">
              <w:rPr>
                <w:rStyle w:val="Hyperlink"/>
                <w:rFonts w:ascii="Arial" w:hAnsi="Arial" w:cs="Arial"/>
                <w:noProof/>
                <w:sz w:val="24"/>
                <w:szCs w:val="24"/>
              </w:rPr>
              <w:t xml:space="preserve"> National and State Placement Practices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_Toc500433988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59</w:t>
            </w:r>
            <w:r w:rsidR="008E2237" w:rsidRPr="008E2237">
              <w:rPr>
                <w:rFonts w:ascii="Arial" w:hAnsi="Arial" w:cs="Arial"/>
                <w:noProof/>
                <w:webHidden/>
                <w:sz w:val="24"/>
                <w:szCs w:val="24"/>
              </w:rPr>
              <w:fldChar w:fldCharType="end"/>
            </w:r>
          </w:hyperlink>
        </w:p>
        <w:p w14:paraId="7E58B5E5" w14:textId="77777777" w:rsidR="008E2237" w:rsidRPr="008E2237" w:rsidRDefault="005B57E3">
          <w:pPr>
            <w:pStyle w:val="TOC1"/>
            <w:rPr>
              <w:rFonts w:ascii="Arial" w:eastAsiaTheme="minorEastAsia" w:hAnsi="Arial" w:cs="Arial"/>
              <w:noProof/>
              <w:sz w:val="24"/>
              <w:szCs w:val="24"/>
            </w:rPr>
          </w:pPr>
          <w:hyperlink w:anchor="_Toc500433989" w:history="1">
            <w:r w:rsidR="008E2237" w:rsidRPr="008E2237">
              <w:rPr>
                <w:rStyle w:val="Hyperlink"/>
                <w:rFonts w:ascii="Arial" w:hAnsi="Arial" w:cs="Arial"/>
                <w:noProof/>
                <w:sz w:val="24"/>
                <w:szCs w:val="24"/>
              </w:rPr>
              <w:t>Endnotes</w:t>
            </w:r>
            <w:r w:rsidR="008E2237" w:rsidRPr="008E2237">
              <w:rPr>
                <w:rFonts w:ascii="Arial" w:hAnsi="Arial" w:cs="Arial"/>
                <w:noProof/>
                <w:webHidden/>
                <w:sz w:val="24"/>
                <w:szCs w:val="24"/>
              </w:rPr>
              <w:tab/>
            </w:r>
            <w:r w:rsidR="008E2237" w:rsidRPr="008E2237">
              <w:rPr>
                <w:rFonts w:ascii="Arial" w:hAnsi="Arial" w:cs="Arial"/>
                <w:noProof/>
                <w:webHidden/>
                <w:sz w:val="24"/>
                <w:szCs w:val="24"/>
              </w:rPr>
              <w:fldChar w:fldCharType="begin"/>
            </w:r>
            <w:r w:rsidR="008E2237" w:rsidRPr="008E2237">
              <w:rPr>
                <w:rFonts w:ascii="Arial" w:hAnsi="Arial" w:cs="Arial"/>
                <w:noProof/>
                <w:webHidden/>
                <w:sz w:val="24"/>
                <w:szCs w:val="24"/>
              </w:rPr>
              <w:instrText xml:space="preserve"> PAGEREF _Toc500433989 \h </w:instrText>
            </w:r>
            <w:r w:rsidR="008E2237" w:rsidRPr="008E2237">
              <w:rPr>
                <w:rFonts w:ascii="Arial" w:hAnsi="Arial" w:cs="Arial"/>
                <w:noProof/>
                <w:webHidden/>
                <w:sz w:val="24"/>
                <w:szCs w:val="24"/>
              </w:rPr>
            </w:r>
            <w:r w:rsidR="008E2237" w:rsidRPr="008E2237">
              <w:rPr>
                <w:rFonts w:ascii="Arial" w:hAnsi="Arial" w:cs="Arial"/>
                <w:noProof/>
                <w:webHidden/>
                <w:sz w:val="24"/>
                <w:szCs w:val="24"/>
              </w:rPr>
              <w:fldChar w:fldCharType="separate"/>
            </w:r>
            <w:r w:rsidR="00EC3857">
              <w:rPr>
                <w:rFonts w:ascii="Arial" w:hAnsi="Arial" w:cs="Arial"/>
                <w:noProof/>
                <w:webHidden/>
                <w:sz w:val="24"/>
                <w:szCs w:val="24"/>
              </w:rPr>
              <w:t>65</w:t>
            </w:r>
            <w:r w:rsidR="008E2237" w:rsidRPr="008E2237">
              <w:rPr>
                <w:rFonts w:ascii="Arial" w:hAnsi="Arial" w:cs="Arial"/>
                <w:noProof/>
                <w:webHidden/>
                <w:sz w:val="24"/>
                <w:szCs w:val="24"/>
              </w:rPr>
              <w:fldChar w:fldCharType="end"/>
            </w:r>
          </w:hyperlink>
        </w:p>
        <w:p w14:paraId="35E54A8A" w14:textId="77777777" w:rsidR="00A93ED2" w:rsidRPr="00413003" w:rsidRDefault="00A93ED2" w:rsidP="00A93ED2">
          <w:pPr>
            <w:pStyle w:val="Normal1"/>
            <w:tabs>
              <w:tab w:val="right" w:pos="9360"/>
            </w:tabs>
            <w:spacing w:before="200" w:after="80" w:line="240" w:lineRule="auto"/>
            <w:rPr>
              <w:color w:val="auto"/>
            </w:rPr>
          </w:pPr>
          <w:r w:rsidRPr="008E2237">
            <w:rPr>
              <w:color w:val="auto"/>
              <w:sz w:val="24"/>
              <w:szCs w:val="24"/>
            </w:rPr>
            <w:fldChar w:fldCharType="end"/>
          </w:r>
          <w:r w:rsidRPr="00413003">
            <w:rPr>
              <w:color w:val="auto"/>
              <w:lang w:val="fr-FR"/>
            </w:rPr>
            <w:tab/>
          </w:r>
        </w:p>
      </w:sdtContent>
    </w:sdt>
    <w:p w14:paraId="4FD28E35" w14:textId="77777777" w:rsidR="00FC0E68" w:rsidRPr="00413003" w:rsidRDefault="00A93ED2" w:rsidP="00FC0E68">
      <w:pPr>
        <w:pStyle w:val="Heading1"/>
      </w:pPr>
      <w:r w:rsidRPr="00413003">
        <w:br w:type="page"/>
      </w:r>
      <w:bookmarkStart w:id="14" w:name="_Toc499116953"/>
      <w:bookmarkStart w:id="15" w:name="_Toc500433931"/>
      <w:bookmarkStart w:id="16" w:name="_Toc356942090"/>
      <w:r w:rsidR="00FC0E68" w:rsidRPr="00413003">
        <w:lastRenderedPageBreak/>
        <w:t>Executive Summary</w:t>
      </w:r>
      <w:bookmarkEnd w:id="14"/>
      <w:bookmarkEnd w:id="15"/>
    </w:p>
    <w:p w14:paraId="1B7709E8" w14:textId="77777777" w:rsidR="00FC0E68" w:rsidRPr="00413003" w:rsidRDefault="00FC0E68" w:rsidP="00FC0E68">
      <w:pPr>
        <w:pStyle w:val="NCDBodyText"/>
        <w:rPr>
          <w:color w:val="auto"/>
        </w:rPr>
      </w:pPr>
      <w:r w:rsidRPr="00413003">
        <w:rPr>
          <w:color w:val="auto"/>
        </w:rPr>
        <w:t xml:space="preserve">The legal and scientific basis for special education services points to the positive outcomes for students with disabilities when they receive an inclusive versus segregated education. Yet nationally, students with disabilities, in particular students of color and students in urban settings, as well as students with specific disability labels (such as autism or intellectual disability), continue to be removed from general education, instructional, and social opportunities and to be segregated disproportionately when compared to White students who live in suburban and rural areas and those who have less intensive academic support needs. </w:t>
      </w:r>
    </w:p>
    <w:p w14:paraId="33074F4D" w14:textId="77777777" w:rsidR="00FC0E68" w:rsidRPr="00413003" w:rsidRDefault="00FC0E68" w:rsidP="00FC0E68">
      <w:pPr>
        <w:pStyle w:val="Heading2"/>
      </w:pPr>
      <w:bookmarkStart w:id="17" w:name="_Toc499116954"/>
      <w:bookmarkStart w:id="18" w:name="_Toc500433932"/>
      <w:r w:rsidRPr="00413003">
        <w:t>Key Findings</w:t>
      </w:r>
      <w:bookmarkEnd w:id="17"/>
      <w:bookmarkEnd w:id="18"/>
    </w:p>
    <w:p w14:paraId="3A7A0B6C" w14:textId="77777777" w:rsidR="00FC0E68" w:rsidRPr="00723ABA" w:rsidRDefault="00FC0E68" w:rsidP="00FC0E68">
      <w:pPr>
        <w:pStyle w:val="NCDBodyText"/>
        <w:rPr>
          <w:b/>
          <w:color w:val="auto"/>
          <w:spacing w:val="4"/>
        </w:rPr>
      </w:pPr>
      <w:r w:rsidRPr="00723ABA">
        <w:rPr>
          <w:color w:val="auto"/>
          <w:spacing w:val="4"/>
        </w:rPr>
        <w:t xml:space="preserve">For this report, national student placement patterns, as well as federal and state policies, were reviewed to understand the state of special education service delivery and administrative guidance. This was supplemented by a review of research and input from families and educators about their experiences in educating students with disabilities. We found that, although states are required to first consider that a student with a disability should attend the school that they would attend if they did not have a disability and only if the student’s needs cannot be met, this consideration was not always present. States are expected to only remove the student to the extent needed to implement the student’s individual plan and meet individually designed goals. Further, research demonstrates that inclusive education results in the best learning outcomes; there is no research that supports the value of a segregated special education class and school. The emerging picture, however, is one in which the opportunity for students to participate in their neighborhood school alongside their peers without disabilities is influenced more by the zip code in which they live, their race, and disability label, than by meeting the federal law defining how student placements should be made. While there are states and examples of schools that are indeed meeting the learning needs of students—even those with extensive support needs—that is more the exception than the rule. While the Federal Government monitors and reviews state performance on a number of indicators, </w:t>
      </w:r>
      <w:r w:rsidRPr="00723ABA">
        <w:rPr>
          <w:color w:val="auto"/>
          <w:spacing w:val="4"/>
        </w:rPr>
        <w:lastRenderedPageBreak/>
        <w:t>including placement practices, there does not appear to be sanctions or strong guidance that directs states to attend to this concern.</w:t>
      </w:r>
    </w:p>
    <w:p w14:paraId="7DE926CD" w14:textId="77777777" w:rsidR="00FC0E68" w:rsidRPr="00413003" w:rsidRDefault="00FC0E68" w:rsidP="00FC0E68">
      <w:pPr>
        <w:pStyle w:val="Heading2"/>
      </w:pPr>
      <w:bookmarkStart w:id="19" w:name="_Toc499116955"/>
      <w:bookmarkStart w:id="20" w:name="_Toc500433933"/>
      <w:r w:rsidRPr="00413003">
        <w:t>Key Recommendations</w:t>
      </w:r>
      <w:bookmarkEnd w:id="19"/>
      <w:bookmarkEnd w:id="20"/>
    </w:p>
    <w:p w14:paraId="74828EEA" w14:textId="77777777" w:rsidR="00FC0E68" w:rsidRPr="00413003" w:rsidRDefault="00FC0E68" w:rsidP="00FC0E68">
      <w:pPr>
        <w:pStyle w:val="NCDBodyText"/>
        <w:rPr>
          <w:color w:val="auto"/>
        </w:rPr>
      </w:pPr>
      <w:r w:rsidRPr="00413003">
        <w:rPr>
          <w:color w:val="auto"/>
        </w:rPr>
        <w:t xml:space="preserve">It is recommended that Congress support full funding for special education, and that any funding authorized by Congress emphasize the delivery of special education services in general education settings. Further, discretionary grants for research and development should establish expectations for inclusive school practices, particularly those that address personnel development and organizational changes to sustain effective education services that address the needs of all students in an equitable manner to achieve equitable outcomes. This report also recommends that the U.S. Department of Education (ED) stand boldly in its support of inclusive education, and maintain data collection on the amount of time students spend in general education and the location of student placements. Funding opportunities for national centers and significant projects should ensure that recipients plan to: </w:t>
      </w:r>
    </w:p>
    <w:p w14:paraId="4FB19E5E" w14:textId="77777777" w:rsidR="00FC0E68" w:rsidRPr="00413003" w:rsidRDefault="00FC0E68" w:rsidP="00FC0E68">
      <w:pPr>
        <w:pStyle w:val="NCDBulletsLevel1"/>
        <w:rPr>
          <w:color w:val="auto"/>
        </w:rPr>
      </w:pPr>
      <w:r w:rsidRPr="00413003">
        <w:rPr>
          <w:color w:val="auto"/>
        </w:rPr>
        <w:t>prepare teachers, administrators, and related service providers to implement effective schoolwide, equity-based educational services; and</w:t>
      </w:r>
    </w:p>
    <w:p w14:paraId="6C15639F" w14:textId="77777777" w:rsidR="00FC0E68" w:rsidRPr="00413003" w:rsidRDefault="00FC0E68" w:rsidP="00FC0E68">
      <w:pPr>
        <w:pStyle w:val="NCDBulletsLevel1"/>
        <w:rPr>
          <w:color w:val="auto"/>
        </w:rPr>
      </w:pPr>
      <w:proofErr w:type="gramStart"/>
      <w:r w:rsidRPr="00413003">
        <w:rPr>
          <w:color w:val="auto"/>
        </w:rPr>
        <w:t>build</w:t>
      </w:r>
      <w:proofErr w:type="gramEnd"/>
      <w:r w:rsidRPr="00413003">
        <w:rPr>
          <w:color w:val="auto"/>
        </w:rPr>
        <w:t xml:space="preserve"> state and local capacity for sustainable inclusive education practices. States should be expected to carefully analyze their placement data, and consider it with respect to disproportionate placement practices for students by disability label and race, across their local jurisdictions. </w:t>
      </w:r>
    </w:p>
    <w:bookmarkEnd w:id="16"/>
    <w:p w14:paraId="0B9BC50C" w14:textId="77777777" w:rsidR="00FC0E68" w:rsidRPr="00413003" w:rsidRDefault="00FC0E68" w:rsidP="00FC0E68">
      <w:r w:rsidRPr="00413003">
        <w:br w:type="page"/>
      </w:r>
    </w:p>
    <w:p w14:paraId="71E3219E" w14:textId="77777777" w:rsidR="00FC0E68" w:rsidRPr="00413003" w:rsidRDefault="00FC0E68" w:rsidP="00FC0E68">
      <w:pPr>
        <w:pStyle w:val="Heading1"/>
      </w:pPr>
      <w:bookmarkStart w:id="21" w:name="_Toc499116956"/>
      <w:bookmarkStart w:id="22" w:name="_Toc500433934"/>
      <w:r w:rsidRPr="00413003">
        <w:lastRenderedPageBreak/>
        <w:t>Acronym Glossary</w:t>
      </w:r>
      <w:bookmarkEnd w:id="21"/>
      <w:bookmarkEnd w:id="22"/>
    </w:p>
    <w:p w14:paraId="1FD16A68" w14:textId="77777777" w:rsidR="00FC0E68" w:rsidRPr="00413003" w:rsidRDefault="00FC0E68" w:rsidP="00FC0E68">
      <w:pPr>
        <w:pStyle w:val="NCDBodyText"/>
        <w:rPr>
          <w:color w:val="auto"/>
        </w:rPr>
      </w:pPr>
      <w:r w:rsidRPr="00413003">
        <w:rPr>
          <w:color w:val="auto"/>
        </w:rPr>
        <w:t xml:space="preserve">APR </w:t>
      </w:r>
      <w:r w:rsidRPr="00413003">
        <w:rPr>
          <w:color w:val="auto"/>
        </w:rPr>
        <w:tab/>
      </w:r>
      <w:r w:rsidRPr="00413003">
        <w:rPr>
          <w:color w:val="auto"/>
        </w:rPr>
        <w:tab/>
        <w:t>annual performance report</w:t>
      </w:r>
    </w:p>
    <w:p w14:paraId="3FEBED33" w14:textId="77777777" w:rsidR="00FC0E68" w:rsidRPr="00413003" w:rsidRDefault="00FC0E68" w:rsidP="00FC0E68">
      <w:pPr>
        <w:pStyle w:val="NCDBodyText"/>
        <w:rPr>
          <w:color w:val="auto"/>
        </w:rPr>
      </w:pPr>
      <w:r w:rsidRPr="00413003">
        <w:rPr>
          <w:color w:val="auto"/>
        </w:rPr>
        <w:t>ASL</w:t>
      </w:r>
      <w:r w:rsidRPr="00413003">
        <w:rPr>
          <w:color w:val="auto"/>
        </w:rPr>
        <w:tab/>
      </w:r>
      <w:r w:rsidRPr="00413003">
        <w:rPr>
          <w:color w:val="auto"/>
        </w:rPr>
        <w:tab/>
        <w:t>American Sign Language</w:t>
      </w:r>
    </w:p>
    <w:p w14:paraId="58F79A10" w14:textId="77777777" w:rsidR="00FC0E68" w:rsidRPr="00413003" w:rsidRDefault="00FC0E68" w:rsidP="00FC0E68">
      <w:pPr>
        <w:pStyle w:val="NCDBodyText"/>
        <w:rPr>
          <w:color w:val="auto"/>
        </w:rPr>
      </w:pPr>
      <w:r w:rsidRPr="00413003">
        <w:rPr>
          <w:color w:val="auto"/>
        </w:rPr>
        <w:t>COPAA</w:t>
      </w:r>
      <w:r w:rsidRPr="00413003">
        <w:rPr>
          <w:color w:val="auto"/>
        </w:rPr>
        <w:tab/>
        <w:t>Council of Parent Attorneys and Advocates</w:t>
      </w:r>
    </w:p>
    <w:p w14:paraId="2DDE3E2A" w14:textId="77777777" w:rsidR="00FC0E68" w:rsidRPr="00413003" w:rsidRDefault="00FC0E68" w:rsidP="00FC0E68">
      <w:pPr>
        <w:pStyle w:val="NCDBodyText"/>
        <w:rPr>
          <w:rFonts w:eastAsia="Calibri"/>
          <w:color w:val="auto"/>
        </w:rPr>
      </w:pPr>
      <w:r w:rsidRPr="00413003">
        <w:rPr>
          <w:rFonts w:eastAsia="Calibri"/>
          <w:color w:val="auto"/>
        </w:rPr>
        <w:t>DCL</w:t>
      </w:r>
      <w:r w:rsidRPr="00413003">
        <w:rPr>
          <w:rFonts w:eastAsia="Calibri"/>
          <w:color w:val="auto"/>
        </w:rPr>
        <w:tab/>
      </w:r>
      <w:r w:rsidRPr="00413003">
        <w:rPr>
          <w:rFonts w:eastAsia="Calibri"/>
          <w:color w:val="auto"/>
        </w:rPr>
        <w:tab/>
        <w:t xml:space="preserve">Dear Colleague Letter </w:t>
      </w:r>
    </w:p>
    <w:p w14:paraId="4203AFBE" w14:textId="77777777" w:rsidR="00FC0E68" w:rsidRPr="00413003" w:rsidRDefault="00FC0E68" w:rsidP="00FC0E68">
      <w:pPr>
        <w:pStyle w:val="NCDBodyText"/>
        <w:rPr>
          <w:color w:val="auto"/>
        </w:rPr>
      </w:pPr>
      <w:r w:rsidRPr="00413003">
        <w:rPr>
          <w:color w:val="auto"/>
        </w:rPr>
        <w:t>DOJ</w:t>
      </w:r>
      <w:r w:rsidRPr="00413003">
        <w:rPr>
          <w:color w:val="auto"/>
        </w:rPr>
        <w:tab/>
      </w:r>
      <w:r w:rsidRPr="00413003">
        <w:rPr>
          <w:color w:val="auto"/>
        </w:rPr>
        <w:tab/>
        <w:t xml:space="preserve">US Department of Justice </w:t>
      </w:r>
    </w:p>
    <w:p w14:paraId="2279E7BD" w14:textId="77777777" w:rsidR="00FC0E68" w:rsidRPr="00413003" w:rsidRDefault="00FC0E68" w:rsidP="00FC0E68">
      <w:pPr>
        <w:pStyle w:val="NCDBodyText"/>
        <w:rPr>
          <w:color w:val="auto"/>
        </w:rPr>
      </w:pPr>
      <w:r w:rsidRPr="00413003">
        <w:rPr>
          <w:color w:val="auto"/>
        </w:rPr>
        <w:t>ED</w:t>
      </w:r>
      <w:r w:rsidRPr="00413003">
        <w:rPr>
          <w:color w:val="auto"/>
        </w:rPr>
        <w:tab/>
      </w:r>
      <w:r w:rsidRPr="00413003">
        <w:rPr>
          <w:color w:val="auto"/>
        </w:rPr>
        <w:tab/>
        <w:t xml:space="preserve">US Department of Education </w:t>
      </w:r>
    </w:p>
    <w:p w14:paraId="39BBFDB9" w14:textId="77777777" w:rsidR="00FC0E68" w:rsidRPr="00413003" w:rsidRDefault="00FC0E68" w:rsidP="00FC0E68">
      <w:pPr>
        <w:pStyle w:val="NCDBodyText"/>
        <w:rPr>
          <w:color w:val="auto"/>
        </w:rPr>
      </w:pPr>
      <w:r w:rsidRPr="00413003">
        <w:rPr>
          <w:color w:val="auto"/>
        </w:rPr>
        <w:t>EHA</w:t>
      </w:r>
      <w:r w:rsidRPr="00413003">
        <w:rPr>
          <w:color w:val="auto"/>
        </w:rPr>
        <w:tab/>
      </w:r>
      <w:r w:rsidRPr="00413003">
        <w:rPr>
          <w:color w:val="auto"/>
        </w:rPr>
        <w:tab/>
        <w:t>Education for All Handicapped Children Act</w:t>
      </w:r>
    </w:p>
    <w:p w14:paraId="7C0187A8" w14:textId="77777777" w:rsidR="00FC0E68" w:rsidRPr="00413003" w:rsidRDefault="00FC0E68" w:rsidP="00FC0E68">
      <w:pPr>
        <w:pStyle w:val="NCDBodyText"/>
        <w:rPr>
          <w:rStyle w:val="Heading3Char"/>
          <w:b w:val="0"/>
          <w:i w:val="0"/>
          <w:color w:val="auto"/>
        </w:rPr>
      </w:pPr>
      <w:r w:rsidRPr="00413003">
        <w:rPr>
          <w:color w:val="auto"/>
        </w:rPr>
        <w:t>FAPE</w:t>
      </w:r>
      <w:r w:rsidRPr="00413003">
        <w:rPr>
          <w:color w:val="auto"/>
        </w:rPr>
        <w:tab/>
      </w:r>
      <w:r w:rsidRPr="00413003">
        <w:rPr>
          <w:color w:val="auto"/>
        </w:rPr>
        <w:tab/>
      </w:r>
      <w:r w:rsidRPr="00413003">
        <w:rPr>
          <w:bCs/>
          <w:color w:val="auto"/>
        </w:rPr>
        <w:t>free appropriate public education</w:t>
      </w:r>
      <w:r w:rsidRPr="00413003">
        <w:rPr>
          <w:color w:val="auto"/>
        </w:rPr>
        <w:br/>
      </w:r>
      <w:r w:rsidRPr="00413003">
        <w:rPr>
          <w:rStyle w:val="Heading3Char"/>
          <w:b w:val="0"/>
          <w:i w:val="0"/>
          <w:color w:val="auto"/>
        </w:rPr>
        <w:t>HHS</w:t>
      </w:r>
      <w:r w:rsidRPr="00413003">
        <w:rPr>
          <w:rStyle w:val="Heading3Char"/>
          <w:b w:val="0"/>
          <w:i w:val="0"/>
          <w:color w:val="auto"/>
        </w:rPr>
        <w:tab/>
      </w:r>
      <w:r w:rsidRPr="00413003">
        <w:rPr>
          <w:rStyle w:val="Heading3Char"/>
          <w:b w:val="0"/>
          <w:i w:val="0"/>
          <w:color w:val="auto"/>
        </w:rPr>
        <w:tab/>
        <w:t>US Department of Health and Human Services</w:t>
      </w:r>
    </w:p>
    <w:p w14:paraId="61BE35FC" w14:textId="77777777" w:rsidR="00FC0E68" w:rsidRPr="00413003" w:rsidRDefault="00FC0E68" w:rsidP="00FC0E68">
      <w:pPr>
        <w:pStyle w:val="NCDBodyText"/>
        <w:rPr>
          <w:color w:val="auto"/>
        </w:rPr>
      </w:pPr>
      <w:r w:rsidRPr="00413003">
        <w:rPr>
          <w:color w:val="auto"/>
        </w:rPr>
        <w:t>IDEA</w:t>
      </w:r>
      <w:r w:rsidRPr="00413003">
        <w:rPr>
          <w:color w:val="auto"/>
        </w:rPr>
        <w:tab/>
      </w:r>
      <w:r w:rsidRPr="00413003">
        <w:rPr>
          <w:color w:val="auto"/>
        </w:rPr>
        <w:tab/>
        <w:t>Individuals with Disabilities Education Act</w:t>
      </w:r>
    </w:p>
    <w:p w14:paraId="5929EB6C" w14:textId="77777777" w:rsidR="00FC0E68" w:rsidRPr="00413003" w:rsidRDefault="00FC0E68" w:rsidP="00FC0E68">
      <w:pPr>
        <w:pStyle w:val="NCDBodyText"/>
        <w:rPr>
          <w:rFonts w:eastAsia="Calibri"/>
          <w:color w:val="auto"/>
        </w:rPr>
      </w:pPr>
      <w:r w:rsidRPr="00413003">
        <w:rPr>
          <w:rFonts w:eastAsia="Calibri"/>
          <w:color w:val="auto"/>
        </w:rPr>
        <w:t>IEP</w:t>
      </w:r>
      <w:r w:rsidRPr="00413003">
        <w:rPr>
          <w:rFonts w:eastAsia="Calibri"/>
          <w:color w:val="auto"/>
        </w:rPr>
        <w:tab/>
      </w:r>
      <w:r w:rsidRPr="00413003">
        <w:rPr>
          <w:rFonts w:eastAsia="Calibri"/>
          <w:color w:val="auto"/>
        </w:rPr>
        <w:tab/>
        <w:t>individualized education program</w:t>
      </w:r>
    </w:p>
    <w:p w14:paraId="38397723" w14:textId="77777777" w:rsidR="00FC0E68" w:rsidRPr="00413003" w:rsidRDefault="00FC0E68" w:rsidP="00FC0E68">
      <w:pPr>
        <w:pStyle w:val="NCDBodyText"/>
        <w:rPr>
          <w:rFonts w:eastAsia="Calibri"/>
          <w:color w:val="auto"/>
        </w:rPr>
      </w:pPr>
      <w:r w:rsidRPr="00413003">
        <w:rPr>
          <w:rFonts w:eastAsia="Calibri"/>
          <w:color w:val="auto"/>
        </w:rPr>
        <w:t>IES</w:t>
      </w:r>
      <w:r w:rsidRPr="00413003">
        <w:rPr>
          <w:rFonts w:eastAsia="Calibri"/>
          <w:color w:val="auto"/>
        </w:rPr>
        <w:tab/>
      </w:r>
      <w:r w:rsidRPr="00413003">
        <w:rPr>
          <w:rFonts w:eastAsia="Calibri"/>
          <w:color w:val="auto"/>
        </w:rPr>
        <w:tab/>
      </w:r>
      <w:r w:rsidRPr="00413003">
        <w:rPr>
          <w:color w:val="auto"/>
        </w:rPr>
        <w:t>Institute for Educational Sciences</w:t>
      </w:r>
      <w:r w:rsidRPr="00413003">
        <w:rPr>
          <w:rFonts w:eastAsia="Calibri"/>
          <w:color w:val="auto"/>
        </w:rPr>
        <w:t xml:space="preserve"> </w:t>
      </w:r>
    </w:p>
    <w:p w14:paraId="0F9C3895" w14:textId="77777777" w:rsidR="00FC0E68" w:rsidRPr="00413003" w:rsidRDefault="00FC0E68" w:rsidP="00FC0E68">
      <w:pPr>
        <w:pStyle w:val="NCDBodyText"/>
        <w:rPr>
          <w:color w:val="auto"/>
        </w:rPr>
      </w:pPr>
      <w:r w:rsidRPr="00413003">
        <w:rPr>
          <w:color w:val="auto"/>
        </w:rPr>
        <w:t>LEA</w:t>
      </w:r>
      <w:r w:rsidRPr="00413003">
        <w:rPr>
          <w:color w:val="auto"/>
        </w:rPr>
        <w:tab/>
      </w:r>
      <w:r w:rsidRPr="00413003">
        <w:rPr>
          <w:color w:val="auto"/>
        </w:rPr>
        <w:tab/>
        <w:t>local education agency</w:t>
      </w:r>
    </w:p>
    <w:p w14:paraId="77336ED0" w14:textId="77777777" w:rsidR="00FC0E68" w:rsidRPr="00413003" w:rsidRDefault="00FC0E68" w:rsidP="00FC0E68">
      <w:pPr>
        <w:pStyle w:val="NCDBodyText"/>
        <w:rPr>
          <w:color w:val="auto"/>
        </w:rPr>
      </w:pPr>
      <w:r w:rsidRPr="00413003">
        <w:rPr>
          <w:color w:val="auto"/>
        </w:rPr>
        <w:t>LRE</w:t>
      </w:r>
      <w:r w:rsidRPr="00413003">
        <w:rPr>
          <w:color w:val="auto"/>
        </w:rPr>
        <w:tab/>
      </w:r>
      <w:r w:rsidRPr="00413003">
        <w:rPr>
          <w:color w:val="auto"/>
        </w:rPr>
        <w:tab/>
        <w:t xml:space="preserve">least restrictive environment </w:t>
      </w:r>
    </w:p>
    <w:p w14:paraId="0B2F14BB" w14:textId="77777777" w:rsidR="00FC0E68" w:rsidRPr="00413003" w:rsidRDefault="00FC0E68" w:rsidP="00FC0E68">
      <w:pPr>
        <w:pStyle w:val="NCDBodyText"/>
        <w:rPr>
          <w:color w:val="auto"/>
        </w:rPr>
      </w:pPr>
      <w:r w:rsidRPr="00413003">
        <w:rPr>
          <w:color w:val="auto"/>
        </w:rPr>
        <w:t>MTSS</w:t>
      </w:r>
      <w:r w:rsidRPr="00413003">
        <w:rPr>
          <w:color w:val="auto"/>
        </w:rPr>
        <w:tab/>
      </w:r>
      <w:r w:rsidRPr="00413003">
        <w:rPr>
          <w:color w:val="auto"/>
        </w:rPr>
        <w:tab/>
        <w:t>multi-tiered system of supports</w:t>
      </w:r>
    </w:p>
    <w:p w14:paraId="283B0474" w14:textId="77777777" w:rsidR="00FC0E68" w:rsidRPr="00413003" w:rsidRDefault="00FC0E68" w:rsidP="00FC0E68">
      <w:pPr>
        <w:pStyle w:val="NCDBodyText"/>
        <w:rPr>
          <w:color w:val="auto"/>
        </w:rPr>
      </w:pPr>
      <w:r w:rsidRPr="00413003">
        <w:rPr>
          <w:color w:val="auto"/>
        </w:rPr>
        <w:t>NCD</w:t>
      </w:r>
      <w:r w:rsidRPr="00413003">
        <w:rPr>
          <w:color w:val="auto"/>
        </w:rPr>
        <w:tab/>
      </w:r>
      <w:r w:rsidRPr="00413003">
        <w:rPr>
          <w:color w:val="auto"/>
        </w:rPr>
        <w:tab/>
        <w:t xml:space="preserve">National Council on Disability </w:t>
      </w:r>
    </w:p>
    <w:p w14:paraId="7B26AAA8" w14:textId="77777777" w:rsidR="00FC0E68" w:rsidRPr="00413003" w:rsidRDefault="00FC0E68" w:rsidP="00FC0E68">
      <w:pPr>
        <w:pStyle w:val="NCDBodyText"/>
        <w:rPr>
          <w:color w:val="auto"/>
        </w:rPr>
      </w:pPr>
      <w:r w:rsidRPr="00413003">
        <w:rPr>
          <w:color w:val="auto"/>
        </w:rPr>
        <w:t>OCR</w:t>
      </w:r>
      <w:r w:rsidRPr="00413003">
        <w:rPr>
          <w:color w:val="auto"/>
        </w:rPr>
        <w:tab/>
      </w:r>
      <w:r w:rsidRPr="00413003">
        <w:rPr>
          <w:color w:val="auto"/>
        </w:rPr>
        <w:tab/>
        <w:t>Office for Civil Rights</w:t>
      </w:r>
    </w:p>
    <w:p w14:paraId="156DEB0A" w14:textId="77777777" w:rsidR="00FC0E68" w:rsidRPr="00413003" w:rsidRDefault="00FC0E68" w:rsidP="00FC0E68">
      <w:pPr>
        <w:pStyle w:val="NCDBodyText"/>
        <w:rPr>
          <w:color w:val="auto"/>
        </w:rPr>
      </w:pPr>
      <w:r w:rsidRPr="00413003">
        <w:rPr>
          <w:color w:val="auto"/>
        </w:rPr>
        <w:t>OSEP</w:t>
      </w:r>
      <w:r w:rsidRPr="00413003">
        <w:rPr>
          <w:color w:val="auto"/>
        </w:rPr>
        <w:tab/>
      </w:r>
      <w:r w:rsidRPr="00413003">
        <w:rPr>
          <w:color w:val="auto"/>
        </w:rPr>
        <w:tab/>
        <w:t xml:space="preserve">Office of Special Education Programs </w:t>
      </w:r>
    </w:p>
    <w:p w14:paraId="34DEA9C9" w14:textId="77777777" w:rsidR="00FC0E68" w:rsidRPr="00413003" w:rsidRDefault="00FC0E68" w:rsidP="00FC0E68">
      <w:pPr>
        <w:pStyle w:val="NCDBodyText"/>
        <w:rPr>
          <w:color w:val="auto"/>
        </w:rPr>
      </w:pPr>
      <w:r w:rsidRPr="00413003">
        <w:rPr>
          <w:color w:val="auto"/>
        </w:rPr>
        <w:t>OSERS</w:t>
      </w:r>
      <w:r w:rsidRPr="00413003">
        <w:rPr>
          <w:color w:val="auto"/>
        </w:rPr>
        <w:tab/>
        <w:t xml:space="preserve">Office of Special Education and Rehabilitative Services </w:t>
      </w:r>
    </w:p>
    <w:p w14:paraId="5D2464FA" w14:textId="77777777" w:rsidR="00FC0E68" w:rsidRPr="00413003" w:rsidRDefault="00FC0E68" w:rsidP="00FC0E68">
      <w:pPr>
        <w:pStyle w:val="NCDBodyText"/>
        <w:rPr>
          <w:color w:val="auto"/>
        </w:rPr>
      </w:pPr>
      <w:r w:rsidRPr="00413003">
        <w:rPr>
          <w:color w:val="auto"/>
        </w:rPr>
        <w:t>PAL</w:t>
      </w:r>
      <w:r w:rsidRPr="00413003">
        <w:rPr>
          <w:color w:val="auto"/>
        </w:rPr>
        <w:tab/>
      </w:r>
      <w:r w:rsidRPr="00413003">
        <w:rPr>
          <w:color w:val="auto"/>
        </w:rPr>
        <w:tab/>
        <w:t>peer-assisted learning</w:t>
      </w:r>
    </w:p>
    <w:p w14:paraId="5842A64E" w14:textId="77777777" w:rsidR="00FC0E68" w:rsidRPr="00413003" w:rsidRDefault="00FC0E68" w:rsidP="00FC0E68">
      <w:pPr>
        <w:pStyle w:val="NCDBodyText"/>
        <w:rPr>
          <w:color w:val="auto"/>
        </w:rPr>
      </w:pPr>
      <w:r w:rsidRPr="00413003">
        <w:rPr>
          <w:color w:val="auto"/>
        </w:rPr>
        <w:lastRenderedPageBreak/>
        <w:t>PBIS</w:t>
      </w:r>
      <w:r w:rsidRPr="00413003">
        <w:rPr>
          <w:color w:val="auto"/>
        </w:rPr>
        <w:tab/>
      </w:r>
      <w:r w:rsidRPr="00413003">
        <w:rPr>
          <w:color w:val="auto"/>
        </w:rPr>
        <w:tab/>
        <w:t xml:space="preserve">positive behavior interventions and supports </w:t>
      </w:r>
    </w:p>
    <w:p w14:paraId="0FF2F639" w14:textId="77777777" w:rsidR="00FC0E68" w:rsidRPr="00413003" w:rsidRDefault="00FC0E68" w:rsidP="00FC0E68">
      <w:pPr>
        <w:pStyle w:val="NCDBodyText"/>
        <w:rPr>
          <w:color w:val="auto"/>
        </w:rPr>
      </w:pPr>
      <w:r w:rsidRPr="00413003">
        <w:rPr>
          <w:color w:val="auto"/>
        </w:rPr>
        <w:t>RJ</w:t>
      </w:r>
      <w:r w:rsidRPr="00413003">
        <w:rPr>
          <w:color w:val="auto"/>
        </w:rPr>
        <w:tab/>
      </w:r>
      <w:r w:rsidRPr="00413003">
        <w:rPr>
          <w:color w:val="auto"/>
        </w:rPr>
        <w:tab/>
        <w:t>restorative justice</w:t>
      </w:r>
    </w:p>
    <w:p w14:paraId="76DCB428" w14:textId="77777777" w:rsidR="00FC0E68" w:rsidRPr="00413003" w:rsidRDefault="00FC0E68" w:rsidP="00FC0E68">
      <w:pPr>
        <w:pStyle w:val="NCDBodyText"/>
        <w:rPr>
          <w:color w:val="auto"/>
        </w:rPr>
      </w:pPr>
      <w:r w:rsidRPr="00413003">
        <w:rPr>
          <w:color w:val="auto"/>
        </w:rPr>
        <w:t>RP</w:t>
      </w:r>
      <w:r w:rsidRPr="00413003">
        <w:rPr>
          <w:color w:val="auto"/>
        </w:rPr>
        <w:tab/>
      </w:r>
      <w:r w:rsidRPr="00413003">
        <w:rPr>
          <w:color w:val="auto"/>
        </w:rPr>
        <w:tab/>
        <w:t xml:space="preserve">restorative practices </w:t>
      </w:r>
    </w:p>
    <w:p w14:paraId="0BF85F5E" w14:textId="77777777" w:rsidR="00FC0E68" w:rsidRPr="00413003" w:rsidRDefault="00FC0E68" w:rsidP="00FC0E68">
      <w:pPr>
        <w:pStyle w:val="NCDBodyText"/>
        <w:rPr>
          <w:color w:val="auto"/>
        </w:rPr>
      </w:pPr>
      <w:r w:rsidRPr="00413003">
        <w:rPr>
          <w:color w:val="auto"/>
        </w:rPr>
        <w:t>RTI</w:t>
      </w:r>
      <w:r w:rsidRPr="00413003">
        <w:rPr>
          <w:color w:val="auto"/>
        </w:rPr>
        <w:tab/>
      </w:r>
      <w:r w:rsidRPr="00413003">
        <w:rPr>
          <w:color w:val="auto"/>
        </w:rPr>
        <w:tab/>
        <w:t>response to intervention</w:t>
      </w:r>
    </w:p>
    <w:p w14:paraId="10A24168" w14:textId="6F232B5A" w:rsidR="00FC0E68" w:rsidRPr="008933AD" w:rsidRDefault="00FC0E68" w:rsidP="008933AD">
      <w:pPr>
        <w:pStyle w:val="NCDBodyText"/>
        <w:rPr>
          <w:color w:val="auto"/>
        </w:rPr>
      </w:pPr>
      <w:r w:rsidRPr="00413003">
        <w:rPr>
          <w:color w:val="auto"/>
        </w:rPr>
        <w:t>UDL</w:t>
      </w:r>
      <w:r w:rsidRPr="00413003">
        <w:rPr>
          <w:color w:val="auto"/>
        </w:rPr>
        <w:tab/>
      </w:r>
      <w:r w:rsidRPr="00413003">
        <w:rPr>
          <w:color w:val="auto"/>
        </w:rPr>
        <w:tab/>
        <w:t>universal design for learning</w:t>
      </w:r>
    </w:p>
    <w:p w14:paraId="58336766" w14:textId="77777777" w:rsidR="00FC0E68" w:rsidRPr="00413003" w:rsidRDefault="00FC0E68">
      <w:pPr>
        <w:rPr>
          <w:rFonts w:ascii="Arial" w:hAnsi="Arial" w:cs="Arial"/>
          <w:b/>
          <w:sz w:val="36"/>
          <w:szCs w:val="32"/>
        </w:rPr>
      </w:pPr>
      <w:bookmarkStart w:id="23" w:name="_Toc499116957"/>
      <w:r w:rsidRPr="00413003">
        <w:br w:type="page"/>
      </w:r>
    </w:p>
    <w:p w14:paraId="3BB3F026" w14:textId="3E5EDC3A" w:rsidR="00FC0E68" w:rsidRPr="00413003" w:rsidRDefault="00FC0E68" w:rsidP="00FC0E68">
      <w:pPr>
        <w:pStyle w:val="Heading1"/>
      </w:pPr>
      <w:bookmarkStart w:id="24" w:name="_Toc500433935"/>
      <w:r w:rsidRPr="00413003">
        <w:lastRenderedPageBreak/>
        <w:t>Introduction</w:t>
      </w:r>
      <w:bookmarkEnd w:id="23"/>
      <w:bookmarkEnd w:id="24"/>
    </w:p>
    <w:p w14:paraId="0110B295" w14:textId="77777777" w:rsidR="00FC0E68" w:rsidRPr="00413003" w:rsidRDefault="00FC0E68" w:rsidP="00FC0E68">
      <w:pPr>
        <w:pStyle w:val="NCDBodyText"/>
        <w:rPr>
          <w:color w:val="auto"/>
        </w:rPr>
      </w:pPr>
      <w:r w:rsidRPr="00413003">
        <w:rPr>
          <w:color w:val="auto"/>
        </w:rPr>
        <w:t>Education is universally accepted as a human right and the means to transform lives, especially for children who are marginalized by mainstream society. Education is critical for closing the opportunity gap for disenfranchised children, particularly children living in poverty or remote areas with limited resources, children with disabilities, and children from diverse cultures and racial backgrounds.</w:t>
      </w:r>
      <w:r w:rsidRPr="00413003">
        <w:rPr>
          <w:rStyle w:val="EndnoteReference"/>
          <w:color w:val="auto"/>
        </w:rPr>
        <w:endnoteReference w:id="1"/>
      </w:r>
      <w:r w:rsidRPr="00413003">
        <w:rPr>
          <w:color w:val="auto"/>
        </w:rPr>
        <w:t xml:space="preserve"> </w:t>
      </w:r>
    </w:p>
    <w:p w14:paraId="2053A5A8" w14:textId="77777777" w:rsidR="00FC0E68" w:rsidRPr="00413003" w:rsidRDefault="00FC0E68" w:rsidP="00FC0E68">
      <w:pPr>
        <w:pStyle w:val="NCDBodyText"/>
        <w:rPr>
          <w:rFonts w:cstheme="minorHAnsi"/>
          <w:color w:val="auto"/>
        </w:rPr>
      </w:pPr>
      <w:r w:rsidRPr="00413003">
        <w:rPr>
          <w:color w:val="auto"/>
        </w:rPr>
        <w:t xml:space="preserve">Children and youth with disabilities and their parents have long fought for equal access to education. As late as the 1960s, it was standard for students with disabilities to be completely excluded from the public education system. In the 1960s and 1970s, parents began successfully asserting that their children </w:t>
      </w:r>
      <w:r w:rsidRPr="00413003">
        <w:rPr>
          <w:i/>
          <w:color w:val="auto"/>
        </w:rPr>
        <w:t>could learn</w:t>
      </w:r>
      <w:r w:rsidRPr="00413003">
        <w:rPr>
          <w:color w:val="auto"/>
        </w:rPr>
        <w:t xml:space="preserve"> and demanded that their children’s right to an education be codified into law</w:t>
      </w:r>
      <w:r w:rsidRPr="00413003">
        <w:rPr>
          <w:noProof/>
          <w:color w:val="auto"/>
        </w:rPr>
        <w:t xml:space="preserve">. As a result, </w:t>
      </w:r>
      <w:r w:rsidRPr="00413003">
        <w:rPr>
          <w:rFonts w:eastAsia="Times New Roman"/>
          <w:color w:val="auto"/>
          <w:shd w:val="clear" w:color="auto" w:fill="FFFFFF"/>
        </w:rPr>
        <w:t xml:space="preserve">Congress </w:t>
      </w:r>
      <w:r w:rsidRPr="00413003">
        <w:rPr>
          <w:color w:val="auto"/>
        </w:rPr>
        <w:t>sought “to end the long history of segregation and exclusion of children with disabilities from the American public education system,”</w:t>
      </w:r>
      <w:r w:rsidRPr="00413003">
        <w:rPr>
          <w:rStyle w:val="EndnoteReference"/>
          <w:color w:val="auto"/>
        </w:rPr>
        <w:endnoteReference w:id="2"/>
      </w:r>
      <w:r w:rsidRPr="00413003">
        <w:rPr>
          <w:color w:val="auto"/>
        </w:rPr>
        <w:t xml:space="preserve"> and made a promise that every eligible child, </w:t>
      </w:r>
      <w:r w:rsidRPr="00413003">
        <w:rPr>
          <w:color w:val="auto"/>
          <w:shd w:val="clear" w:color="auto" w:fill="FFFFFF"/>
        </w:rPr>
        <w:t>regardless of the nature or severity of the child’s disability,</w:t>
      </w:r>
      <w:r w:rsidRPr="00413003">
        <w:rPr>
          <w:color w:val="auto"/>
        </w:rPr>
        <w:t xml:space="preserve"> could go to school and learn alongside their peers. In 1975, th</w:t>
      </w:r>
      <w:r w:rsidRPr="00413003">
        <w:rPr>
          <w:rFonts w:eastAsia="Times New Roman"/>
          <w:color w:val="auto"/>
          <w:shd w:val="clear" w:color="auto" w:fill="FFFFFF"/>
        </w:rPr>
        <w:t>e</w:t>
      </w:r>
      <w:r w:rsidRPr="00413003">
        <w:rPr>
          <w:color w:val="auto"/>
        </w:rPr>
        <w:t xml:space="preserve"> Education for All Handicapped Children Act (EHA)</w:t>
      </w:r>
      <w:r w:rsidRPr="00413003">
        <w:rPr>
          <w:rStyle w:val="EndnoteReference"/>
          <w:color w:val="auto"/>
        </w:rPr>
        <w:endnoteReference w:id="3"/>
      </w:r>
      <w:r w:rsidRPr="00413003">
        <w:rPr>
          <w:i/>
          <w:color w:val="auto"/>
        </w:rPr>
        <w:t xml:space="preserve"> </w:t>
      </w:r>
      <w:r w:rsidRPr="00413003">
        <w:rPr>
          <w:color w:val="auto"/>
        </w:rPr>
        <w:t>was passed, which opened school house doors and mandated free and appropriate public education for children with disabilities, and the provision of special education and related services designed to meet their unique needs and prepare them for further education, employment, and independent living.</w:t>
      </w:r>
      <w:r w:rsidRPr="00413003">
        <w:rPr>
          <w:rFonts w:cstheme="minorHAnsi"/>
          <w:color w:val="auto"/>
        </w:rPr>
        <w:t xml:space="preserve"> </w:t>
      </w:r>
    </w:p>
    <w:p w14:paraId="5951C3D7" w14:textId="77777777" w:rsidR="00FC0E68" w:rsidRPr="00413003" w:rsidRDefault="00FC0E68" w:rsidP="00FC0E68">
      <w:pPr>
        <w:pStyle w:val="NCDBodyText"/>
        <w:rPr>
          <w:color w:val="auto"/>
        </w:rPr>
      </w:pPr>
      <w:r w:rsidRPr="00413003">
        <w:rPr>
          <w:color w:val="auto"/>
        </w:rPr>
        <w:t>When EHA was amended as the Individuals with Disabilities Education Act (IDEA) in 1997 and 2004, each amendment required states that accepted IDEA funding to ensure that all students with disabilities receive a free and appropriate public education, and that they do so in the least restrictive environment (LRE).</w:t>
      </w:r>
      <w:r w:rsidRPr="00413003">
        <w:rPr>
          <w:rStyle w:val="EndnoteReference"/>
          <w:color w:val="auto"/>
        </w:rPr>
        <w:endnoteReference w:id="4"/>
      </w:r>
      <w:r w:rsidRPr="00413003">
        <w:rPr>
          <w:color w:val="auto"/>
        </w:rPr>
        <w:t xml:space="preserve"> To ensure these standards are met, the U.S. Department of Education (ED) obliges each state to submit an annual performance report (APR) that details the extent to which their local education agencies (LEAs) comply with federal requirements and demonstrate results for children with disabilities, including placement, academic, and behavioral data for all students and across various subgroups.</w:t>
      </w:r>
      <w:r w:rsidRPr="00413003">
        <w:rPr>
          <w:rStyle w:val="EndnoteReference"/>
          <w:color w:val="auto"/>
        </w:rPr>
        <w:endnoteReference w:id="5"/>
      </w:r>
      <w:r w:rsidRPr="00413003">
        <w:rPr>
          <w:color w:val="auto"/>
        </w:rPr>
        <w:t xml:space="preserve"> Among the data collected is the extent to which preschool and school-age students with disabilities are educated alongside peers without </w:t>
      </w:r>
      <w:r w:rsidRPr="00413003">
        <w:rPr>
          <w:color w:val="auto"/>
        </w:rPr>
        <w:lastRenderedPageBreak/>
        <w:t xml:space="preserve">disabilities in “regular” (i.e., general education) classes versus the amount of time they are taught in segregated settings and groups only for students with disabilities. </w:t>
      </w:r>
    </w:p>
    <w:p w14:paraId="26BDD7E6" w14:textId="77777777" w:rsidR="00FC0E68" w:rsidRPr="00413003" w:rsidRDefault="00FC0E68" w:rsidP="00FC0E68">
      <w:pPr>
        <w:pStyle w:val="NCDBodyText"/>
        <w:rPr>
          <w:color w:val="auto"/>
        </w:rPr>
      </w:pPr>
      <w:r w:rsidRPr="00413003">
        <w:rPr>
          <w:color w:val="auto"/>
        </w:rPr>
        <w:t xml:space="preserve">In addition to a legal base for educating students with disabilities alongside peers without disabilities, researchers and practitioners have sought to identify the most effective practices for teaching students with disabilities and demonstrate their impact. Using scientific methods as well as documenting practices, a body of literature points to instructional methodology that is most effective in teaching students with a variety of educational needs. With an interest in promoting effective strategies, ED funds demonstration projects, research, technical assistance centers, personnel preparation projects, and parent centers to promote the most successful and equitable practices. </w:t>
      </w:r>
    </w:p>
    <w:p w14:paraId="78DCA13F" w14:textId="77777777" w:rsidR="00FC0E68" w:rsidRPr="00413003" w:rsidRDefault="00FC0E68" w:rsidP="00FC0E68">
      <w:pPr>
        <w:pStyle w:val="NCDBodyText"/>
        <w:rPr>
          <w:color w:val="auto"/>
        </w:rPr>
      </w:pPr>
      <w:r w:rsidRPr="00413003">
        <w:rPr>
          <w:color w:val="auto"/>
        </w:rPr>
        <w:t xml:space="preserve">This report describes the legal and scientific basis for an inclusive versus segregated education, summarizes national patterns for educating students with disabilities in general education classes, examines federal and state guidance and state compliance with federal mandates, and describes effective educational practices for reducing segregation. Input from stakeholders was collected to provide an accurate and current picture of what is experienced by educators, families, and children with disabilities. </w:t>
      </w:r>
      <w:bookmarkStart w:id="25" w:name="_Toc356942097"/>
      <w:r w:rsidRPr="00413003">
        <w:rPr>
          <w:color w:val="auto"/>
        </w:rPr>
        <w:t>As part of the research, the following global research questions</w:t>
      </w:r>
      <w:bookmarkEnd w:id="25"/>
      <w:r w:rsidRPr="00413003">
        <w:rPr>
          <w:color w:val="auto"/>
        </w:rPr>
        <w:t xml:space="preserve"> were explored:</w:t>
      </w:r>
    </w:p>
    <w:p w14:paraId="4322DE81" w14:textId="77777777" w:rsidR="00FC0E68" w:rsidRPr="00413003" w:rsidRDefault="00FC0E68" w:rsidP="00FC0E68">
      <w:pPr>
        <w:pStyle w:val="NCDNumberedLevel1"/>
        <w:rPr>
          <w:color w:val="auto"/>
        </w:rPr>
      </w:pPr>
      <w:r w:rsidRPr="00413003">
        <w:rPr>
          <w:color w:val="auto"/>
        </w:rPr>
        <w:t>To what extent are students with disabilities participating in, and being removed from, general education opportunities with peers without disabilities?</w:t>
      </w:r>
    </w:p>
    <w:p w14:paraId="2BBED501" w14:textId="77777777" w:rsidR="00FC0E68" w:rsidRPr="00413003" w:rsidRDefault="00FC0E68" w:rsidP="00FC0E68">
      <w:pPr>
        <w:pStyle w:val="NCDNumberedLevel1"/>
        <w:rPr>
          <w:color w:val="auto"/>
        </w:rPr>
      </w:pPr>
      <w:r w:rsidRPr="00413003">
        <w:rPr>
          <w:color w:val="auto"/>
        </w:rPr>
        <w:t xml:space="preserve">What is the Federal Government response to states that are segregating students with disabilities? </w:t>
      </w:r>
    </w:p>
    <w:p w14:paraId="52FE4E8B" w14:textId="77777777" w:rsidR="00FC0E68" w:rsidRPr="00413003" w:rsidRDefault="00FC0E68" w:rsidP="00FC0E68">
      <w:pPr>
        <w:pStyle w:val="NCDNumberedLevel1"/>
        <w:rPr>
          <w:color w:val="auto"/>
        </w:rPr>
      </w:pPr>
      <w:r w:rsidRPr="00413003">
        <w:rPr>
          <w:color w:val="auto"/>
        </w:rPr>
        <w:t>What are the evidence-based practices that schools, districts, and states should implement to include students with disabilities in general education and minimize unnecessary removal?</w:t>
      </w:r>
    </w:p>
    <w:p w14:paraId="09B7BF22" w14:textId="77777777" w:rsidR="00FC0E68" w:rsidRPr="00413003" w:rsidRDefault="00FC0E68" w:rsidP="00FC0E68">
      <w:pPr>
        <w:pStyle w:val="Heading2"/>
      </w:pPr>
      <w:bookmarkStart w:id="26" w:name="_3rdcrjn" w:colFirst="0" w:colLast="0"/>
      <w:bookmarkStart w:id="27" w:name="_Toc361909869"/>
      <w:bookmarkStart w:id="28" w:name="_Toc499116958"/>
      <w:bookmarkStart w:id="29" w:name="_Toc500433936"/>
      <w:bookmarkStart w:id="30" w:name="_Toc356942098"/>
      <w:bookmarkEnd w:id="26"/>
      <w:r w:rsidRPr="00413003">
        <w:t>Research Methods</w:t>
      </w:r>
      <w:bookmarkEnd w:id="27"/>
      <w:bookmarkEnd w:id="28"/>
      <w:bookmarkEnd w:id="29"/>
    </w:p>
    <w:p w14:paraId="5DD84A97" w14:textId="77777777" w:rsidR="00FC0E68" w:rsidRPr="00413003" w:rsidRDefault="00FC0E68" w:rsidP="00FC0E68">
      <w:pPr>
        <w:pStyle w:val="NCDBodyText"/>
        <w:rPr>
          <w:color w:val="auto"/>
        </w:rPr>
      </w:pPr>
      <w:r w:rsidRPr="00413003">
        <w:rPr>
          <w:color w:val="auto"/>
        </w:rPr>
        <w:t xml:space="preserve">To address these questions, the National Council on Disability (NCD) research team conducted a mixed-methods study gathering stakeholder perspectives, as well as policy and quantitative information. With this information, we describe experiences for these </w:t>
      </w:r>
      <w:r w:rsidRPr="00413003">
        <w:rPr>
          <w:color w:val="auto"/>
        </w:rPr>
        <w:lastRenderedPageBreak/>
        <w:t xml:space="preserve">populations of students, identify any potential gaps in services, policy, and research, and make recommendations particularly as they relate to the placement and participation of students with disabilities in general education. </w:t>
      </w:r>
    </w:p>
    <w:p w14:paraId="4DB25E1E" w14:textId="77777777" w:rsidR="00FC0E68" w:rsidRPr="00413003" w:rsidRDefault="00FC0E68" w:rsidP="00FC0E68">
      <w:pPr>
        <w:pStyle w:val="Heading2"/>
      </w:pPr>
      <w:bookmarkStart w:id="31" w:name="_Toc361909870"/>
      <w:bookmarkStart w:id="32" w:name="_Toc499116959"/>
      <w:bookmarkStart w:id="33" w:name="_Toc500433937"/>
      <w:r w:rsidRPr="00413003">
        <w:t>Qualitative Analysis</w:t>
      </w:r>
      <w:bookmarkEnd w:id="31"/>
      <w:bookmarkEnd w:id="32"/>
      <w:bookmarkEnd w:id="33"/>
    </w:p>
    <w:p w14:paraId="57569A8E" w14:textId="77777777" w:rsidR="00FC0E68" w:rsidRPr="00413003" w:rsidRDefault="00FC0E68" w:rsidP="00FC0E68">
      <w:pPr>
        <w:pStyle w:val="NCDBodyText"/>
        <w:rPr>
          <w:color w:val="auto"/>
        </w:rPr>
      </w:pPr>
      <w:r w:rsidRPr="00413003">
        <w:rPr>
          <w:color w:val="auto"/>
        </w:rPr>
        <w:t xml:space="preserve">To gather stakeholder perspectives, the NCD research team conducted interviews, and held four regional forums and one national forum. Specifically, we conducted </w:t>
      </w:r>
      <w:proofErr w:type="spellStart"/>
      <w:r w:rsidRPr="00413003">
        <w:rPr>
          <w:color w:val="auto"/>
        </w:rPr>
        <w:t>semistructured</w:t>
      </w:r>
      <w:proofErr w:type="spellEnd"/>
      <w:r w:rsidRPr="00413003">
        <w:rPr>
          <w:color w:val="auto"/>
        </w:rPr>
        <w:t xml:space="preserve"> interviews with state and local educators, parents, students or adults with disabilities, attorneys, and educational advocates to determine current challenges to the placement and participation of students with disabilities in general education. </w:t>
      </w:r>
    </w:p>
    <w:p w14:paraId="6F6D9607" w14:textId="77777777" w:rsidR="00FC0E68" w:rsidRPr="00413003" w:rsidRDefault="00FC0E68" w:rsidP="00FC0E68">
      <w:pPr>
        <w:pStyle w:val="NCDBodyText"/>
        <w:rPr>
          <w:color w:val="auto"/>
        </w:rPr>
      </w:pPr>
      <w:r w:rsidRPr="00413003">
        <w:rPr>
          <w:color w:val="auto"/>
        </w:rPr>
        <w:t xml:space="preserve">In the second phase of research, we gathered perspectives from parents and students through four regional forums in California, Illinois, Texas, and Virginia. NCD recruited participants through the Council of Parent Attorneys and Advocates (COPAA)’s member network, local parent networks, and state and national partners in the forum locations. In total, 72 people participated in the regional forums. Thirty percent of regional forum participants were COPAA members and 70 percent were non-COPAA members. Of the 72 participants in the regional forum, 38 percent were parents or students of color. </w:t>
      </w:r>
    </w:p>
    <w:p w14:paraId="5092F8A3" w14:textId="77777777" w:rsidR="00FC0E68" w:rsidRPr="00413003" w:rsidRDefault="00FC0E68" w:rsidP="00FC0E68">
      <w:pPr>
        <w:pStyle w:val="NCDBodyText"/>
        <w:rPr>
          <w:color w:val="auto"/>
        </w:rPr>
      </w:pPr>
      <w:r w:rsidRPr="00413003">
        <w:rPr>
          <w:color w:val="auto"/>
        </w:rPr>
        <w:t xml:space="preserve">Forum input was supplemented with individual interviews with seven individuals from Maryland, Texas, Louisiana, Pennsylvania, and Florida about their experiences with student placement practices and the factors that influence the segregation and inclusion of students with disabilities. Of these respondents, three were parents (two of </w:t>
      </w:r>
      <w:proofErr w:type="gramStart"/>
      <w:r w:rsidRPr="00413003">
        <w:rPr>
          <w:color w:val="auto"/>
        </w:rPr>
        <w:t>whom</w:t>
      </w:r>
      <w:proofErr w:type="gramEnd"/>
      <w:r w:rsidRPr="00413003">
        <w:rPr>
          <w:color w:val="auto"/>
        </w:rPr>
        <w:t xml:space="preserve"> actively advocated for their own as well as other children with disabilities), one was a recent high school graduate with a disability, one was a lawyer and educational advocate, and two were educators for more than 20 years. A structured questionnaire was used to ask each interviewee similar questions, and gave them the opportunity to expand based on their experience and knowledge of the educational system. Responses were recorded verbatim in writing.</w:t>
      </w:r>
    </w:p>
    <w:p w14:paraId="4E7AB86B" w14:textId="2C00165A" w:rsidR="00FC0E68" w:rsidRPr="00413003" w:rsidRDefault="00FC0E68" w:rsidP="00FC0E68">
      <w:pPr>
        <w:pStyle w:val="NCDBodyText"/>
        <w:rPr>
          <w:color w:val="auto"/>
        </w:rPr>
      </w:pPr>
      <w:r w:rsidRPr="00413003">
        <w:rPr>
          <w:color w:val="auto"/>
        </w:rPr>
        <w:t>The third phase of data collection was an online forum at COPAA’s national conference.</w:t>
      </w:r>
      <w:r w:rsidR="008842E1">
        <w:rPr>
          <w:color w:val="auto"/>
        </w:rPr>
        <w:t xml:space="preserve"> </w:t>
      </w:r>
      <w:r w:rsidRPr="00413003">
        <w:rPr>
          <w:color w:val="auto"/>
        </w:rPr>
        <w:t>In total, 58 people participated in the forum. Twenty-three percent were people of color. An additional 23 people responded through an email address.</w:t>
      </w:r>
      <w:r w:rsidRPr="00413003">
        <w:rPr>
          <w:rStyle w:val="EndnoteReference"/>
          <w:color w:val="auto"/>
        </w:rPr>
        <w:endnoteReference w:id="6"/>
      </w:r>
      <w:r w:rsidRPr="00413003">
        <w:rPr>
          <w:color w:val="auto"/>
        </w:rPr>
        <w:t xml:space="preserve"> </w:t>
      </w:r>
    </w:p>
    <w:p w14:paraId="3FE8B855" w14:textId="77777777" w:rsidR="00FC0E68" w:rsidRPr="00413003" w:rsidRDefault="00FC0E68" w:rsidP="00FC0E68">
      <w:pPr>
        <w:pStyle w:val="NCDBodyText"/>
        <w:rPr>
          <w:color w:val="auto"/>
        </w:rPr>
      </w:pPr>
      <w:r w:rsidRPr="00413003">
        <w:rPr>
          <w:color w:val="auto"/>
        </w:rPr>
        <w:lastRenderedPageBreak/>
        <w:t xml:space="preserve">In all settings, NCD used a </w:t>
      </w:r>
      <w:proofErr w:type="spellStart"/>
      <w:r w:rsidRPr="00413003">
        <w:rPr>
          <w:color w:val="auto"/>
        </w:rPr>
        <w:t>semistructured</w:t>
      </w:r>
      <w:proofErr w:type="spellEnd"/>
      <w:r w:rsidRPr="00413003">
        <w:rPr>
          <w:color w:val="auto"/>
        </w:rPr>
        <w:t xml:space="preserve"> question protocol to gain perspectives about parent and child experiences with IDEA. Data were recorded and transcribed to identify themes among the experiences (see Appendix for protocols). </w:t>
      </w:r>
    </w:p>
    <w:p w14:paraId="02545C88" w14:textId="77777777" w:rsidR="00FC0E68" w:rsidRPr="00413003" w:rsidRDefault="00FC0E68" w:rsidP="00FC0E68">
      <w:pPr>
        <w:pStyle w:val="Heading2"/>
      </w:pPr>
      <w:bookmarkStart w:id="34" w:name="_Toc361909871"/>
      <w:bookmarkStart w:id="35" w:name="_Toc499116960"/>
      <w:bookmarkStart w:id="36" w:name="_Toc500433938"/>
      <w:r w:rsidRPr="00413003">
        <w:t>Policy Analysis and Literature Review</w:t>
      </w:r>
      <w:bookmarkEnd w:id="34"/>
      <w:bookmarkEnd w:id="35"/>
      <w:bookmarkEnd w:id="36"/>
    </w:p>
    <w:p w14:paraId="796E8A18" w14:textId="77777777" w:rsidR="00FC0E68" w:rsidRPr="00413003" w:rsidRDefault="00FC0E68" w:rsidP="00FC0E68">
      <w:pPr>
        <w:pStyle w:val="NCDBodyText"/>
        <w:rPr>
          <w:color w:val="auto"/>
        </w:rPr>
      </w:pPr>
      <w:r w:rsidRPr="00413003">
        <w:rPr>
          <w:color w:val="auto"/>
        </w:rPr>
        <w:t>Federal law is interpreted by federal agencies in regulations, policy letters, and other guidance documents. In addition, ED issues individual letters to states regarding their compliance and the results for children with disabilities, and compiles these outcomes into a publicly available report.</w:t>
      </w:r>
      <w:r w:rsidRPr="00413003">
        <w:rPr>
          <w:rStyle w:val="EndnoteReference"/>
          <w:color w:val="auto"/>
        </w:rPr>
        <w:endnoteReference w:id="7"/>
      </w:r>
      <w:r w:rsidRPr="00413003">
        <w:rPr>
          <w:color w:val="auto"/>
        </w:rPr>
        <w:t xml:space="preserve"> The analysis of IDEA state regulations and compliance, and a sample of state determinations were reviewed and viewed with respect to their placement data and trends over time. In addition, publicly available statues, policies, and guidance from a sample of states were reviewed with respect to the kind of direction offered to local school districts, particularly as it relates to the placement and participation of students with disabilities in general education.</w:t>
      </w:r>
    </w:p>
    <w:p w14:paraId="51318FDF" w14:textId="77777777" w:rsidR="00FC0E68" w:rsidRPr="00413003" w:rsidRDefault="00FC0E68" w:rsidP="00FC0E68">
      <w:pPr>
        <w:pStyle w:val="Heading2"/>
      </w:pPr>
      <w:bookmarkStart w:id="37" w:name="_Toc499116961"/>
      <w:bookmarkStart w:id="38" w:name="_Toc500433939"/>
      <w:r w:rsidRPr="00413003">
        <w:t>Literature, Case Law, and Legislative Review</w:t>
      </w:r>
      <w:bookmarkEnd w:id="37"/>
      <w:bookmarkEnd w:id="38"/>
      <w:r w:rsidRPr="00413003">
        <w:t xml:space="preserve"> </w:t>
      </w:r>
    </w:p>
    <w:p w14:paraId="75695140" w14:textId="77777777" w:rsidR="00FC0E68" w:rsidRPr="00413003" w:rsidRDefault="00FC0E68" w:rsidP="00FC0E68">
      <w:pPr>
        <w:pStyle w:val="NCDBodyText"/>
        <w:rPr>
          <w:color w:val="auto"/>
        </w:rPr>
      </w:pPr>
      <w:r w:rsidRPr="00413003">
        <w:rPr>
          <w:color w:val="auto"/>
        </w:rPr>
        <w:t xml:space="preserve">Litigation and legislation related to placement requirements and interpretation of the law were reviewed and summarized, as well as peer-reviewed research and descriptions of policies and practices affecting the education of students as published in a variety of professional journals. Articles related to methods, influences, and </w:t>
      </w:r>
      <w:proofErr w:type="gramStart"/>
      <w:r w:rsidRPr="00413003">
        <w:rPr>
          <w:color w:val="auto"/>
        </w:rPr>
        <w:t>impact of inclusive versus segregated placements are</w:t>
      </w:r>
      <w:proofErr w:type="gramEnd"/>
      <w:r w:rsidRPr="00413003">
        <w:rPr>
          <w:color w:val="auto"/>
        </w:rPr>
        <w:t xml:space="preserve"> summarized.</w:t>
      </w:r>
    </w:p>
    <w:p w14:paraId="2891920D" w14:textId="77777777" w:rsidR="00FC0E68" w:rsidRPr="00413003" w:rsidRDefault="00FC0E68" w:rsidP="00FC0E68">
      <w:pPr>
        <w:pStyle w:val="Heading2"/>
      </w:pPr>
      <w:bookmarkStart w:id="39" w:name="_Toc361909872"/>
      <w:bookmarkStart w:id="40" w:name="_Toc499116962"/>
      <w:bookmarkStart w:id="41" w:name="_Toc500433940"/>
      <w:r w:rsidRPr="00413003">
        <w:t>Quantitative Data</w:t>
      </w:r>
      <w:bookmarkEnd w:id="39"/>
      <w:bookmarkEnd w:id="40"/>
      <w:bookmarkEnd w:id="41"/>
    </w:p>
    <w:p w14:paraId="5E3739A7" w14:textId="77777777" w:rsidR="00FC0E68" w:rsidRPr="00413003" w:rsidRDefault="00FC0E68" w:rsidP="00FC0E68">
      <w:pPr>
        <w:pStyle w:val="Heading3"/>
        <w:rPr>
          <w:color w:val="auto"/>
        </w:rPr>
      </w:pPr>
      <w:bookmarkStart w:id="42" w:name="_Toc499116963"/>
      <w:bookmarkStart w:id="43" w:name="_Toc500433941"/>
      <w:r w:rsidRPr="00413003">
        <w:rPr>
          <w:color w:val="auto"/>
        </w:rPr>
        <w:t>National Data Review</w:t>
      </w:r>
      <w:bookmarkEnd w:id="42"/>
      <w:bookmarkEnd w:id="43"/>
    </w:p>
    <w:p w14:paraId="759965F7" w14:textId="77777777" w:rsidR="004415AE" w:rsidRDefault="00FC0E68" w:rsidP="00FC0E68">
      <w:pPr>
        <w:pStyle w:val="NCDBodyText"/>
        <w:rPr>
          <w:color w:val="auto"/>
        </w:rPr>
      </w:pPr>
      <w:r w:rsidRPr="00413003">
        <w:rPr>
          <w:color w:val="auto"/>
        </w:rPr>
        <w:t>In addition to annual Reports to Congress, the U.S. Department of Education Office of Special Education Programs (OSEP) regularly provides data on students with disabilities through a data website.</w:t>
      </w:r>
      <w:r w:rsidRPr="00413003">
        <w:rPr>
          <w:rStyle w:val="EndnoteReference"/>
          <w:color w:val="auto"/>
        </w:rPr>
        <w:endnoteReference w:id="8"/>
      </w:r>
      <w:r w:rsidRPr="00413003">
        <w:rPr>
          <w:color w:val="auto"/>
        </w:rPr>
        <w:t xml:space="preserve"> The most recent placement data available, quantified by amount of time in and removed from general </w:t>
      </w:r>
      <w:proofErr w:type="gramStart"/>
      <w:r w:rsidRPr="00413003">
        <w:rPr>
          <w:color w:val="auto"/>
        </w:rPr>
        <w:t>education,</w:t>
      </w:r>
      <w:proofErr w:type="gramEnd"/>
      <w:r w:rsidRPr="00413003">
        <w:rPr>
          <w:color w:val="auto"/>
        </w:rPr>
        <w:t xml:space="preserve"> was reviewed for all states for the 2015–2016 school year. Further analysis of placement by disability label and by race was reviewed and compared to data from the 2005–2006 school </w:t>
      </w:r>
      <w:proofErr w:type="gramStart"/>
      <w:r w:rsidRPr="00413003">
        <w:rPr>
          <w:color w:val="auto"/>
        </w:rPr>
        <w:t>year</w:t>
      </w:r>
      <w:proofErr w:type="gramEnd"/>
      <w:r w:rsidRPr="00413003">
        <w:rPr>
          <w:color w:val="auto"/>
        </w:rPr>
        <w:t xml:space="preserve">. </w:t>
      </w:r>
    </w:p>
    <w:p w14:paraId="07ABAB64" w14:textId="18E99B4F" w:rsidR="00FC0E68" w:rsidRPr="00413003" w:rsidRDefault="00FC0E68" w:rsidP="00FC0E68">
      <w:pPr>
        <w:pStyle w:val="NCDBodyText"/>
        <w:rPr>
          <w:color w:val="auto"/>
        </w:rPr>
      </w:pPr>
      <w:r w:rsidRPr="00413003">
        <w:rPr>
          <w:color w:val="auto"/>
        </w:rPr>
        <w:lastRenderedPageBreak/>
        <w:t>We provide narrative descriptions on placement patterns in the report, and the actual data is provided in tables in the Appendix.</w:t>
      </w:r>
    </w:p>
    <w:p w14:paraId="673CB204" w14:textId="77777777" w:rsidR="00FC0E68" w:rsidRPr="00413003" w:rsidRDefault="00FC0E68" w:rsidP="00FC0E68">
      <w:pPr>
        <w:pStyle w:val="Heading3"/>
        <w:rPr>
          <w:color w:val="auto"/>
        </w:rPr>
      </w:pPr>
      <w:bookmarkStart w:id="44" w:name="_Toc361909873"/>
      <w:bookmarkStart w:id="45" w:name="_Toc499116964"/>
      <w:bookmarkStart w:id="46" w:name="_Toc500433942"/>
      <w:r w:rsidRPr="00413003">
        <w:rPr>
          <w:color w:val="auto"/>
        </w:rPr>
        <w:t>Limitations</w:t>
      </w:r>
      <w:bookmarkEnd w:id="44"/>
      <w:bookmarkEnd w:id="45"/>
      <w:bookmarkEnd w:id="46"/>
    </w:p>
    <w:p w14:paraId="1E863259" w14:textId="77777777" w:rsidR="00FC0E68" w:rsidRPr="00413003" w:rsidRDefault="00FC0E68" w:rsidP="00FC0E68">
      <w:pPr>
        <w:pStyle w:val="NCDBodyText"/>
        <w:rPr>
          <w:b/>
          <w:color w:val="auto"/>
        </w:rPr>
      </w:pPr>
      <w:r w:rsidRPr="00413003">
        <w:rPr>
          <w:color w:val="auto"/>
        </w:rPr>
        <w:t>In this study, NCD recruited participants through COPAA’s member network, local parent networks, and state and national partners in the forum locations, and purposefully selected interview participants based on location and position. Therefore, the qualitative data identified in the report should not be viewed as generalizable, but rather as perspectives of individuals within those positions. The qualitative data offers individual first-person perspectives to complement the quantitative aspects of this report. The national data regarding student placement is based on the interpretation of “removal” from general education settings by individual members of school teams, and might not accurately reflect the intent of the Federal Government in its efforts to determine if students are participating in general education. It is, however, the only quantifiable measure that exists related to teaching students with disabilities across various setting configurations.</w:t>
      </w:r>
    </w:p>
    <w:p w14:paraId="1D465394" w14:textId="77777777" w:rsidR="00FC0E68" w:rsidRPr="00413003" w:rsidRDefault="00FC0E68" w:rsidP="00FC0E68">
      <w:pPr>
        <w:rPr>
          <w:rFonts w:eastAsiaTheme="majorEastAsia" w:cs="Arial"/>
        </w:rPr>
      </w:pPr>
      <w:bookmarkStart w:id="47" w:name="_26in1rg" w:colFirst="0" w:colLast="0"/>
      <w:bookmarkEnd w:id="30"/>
      <w:bookmarkEnd w:id="47"/>
      <w:r w:rsidRPr="00413003">
        <w:rPr>
          <w:rFonts w:cs="Arial"/>
        </w:rPr>
        <w:br w:type="page"/>
      </w:r>
    </w:p>
    <w:p w14:paraId="472A78CA" w14:textId="77777777" w:rsidR="004415AE" w:rsidRDefault="004415AE">
      <w:pPr>
        <w:rPr>
          <w:rFonts w:ascii="Arial" w:hAnsi="Arial" w:cs="Arial"/>
          <w:b/>
          <w:sz w:val="36"/>
          <w:szCs w:val="32"/>
        </w:rPr>
      </w:pPr>
      <w:bookmarkStart w:id="48" w:name="_Toc499116965"/>
      <w:r>
        <w:lastRenderedPageBreak/>
        <w:br w:type="page"/>
      </w:r>
    </w:p>
    <w:p w14:paraId="2E01270A" w14:textId="61CD105E" w:rsidR="00FC0E68" w:rsidRPr="00413003" w:rsidRDefault="00FC0E68" w:rsidP="00FC0E68">
      <w:pPr>
        <w:pStyle w:val="Heading1"/>
      </w:pPr>
      <w:bookmarkStart w:id="49" w:name="_Toc500433943"/>
      <w:r w:rsidRPr="00413003">
        <w:lastRenderedPageBreak/>
        <w:t>Chapter 1</w:t>
      </w:r>
      <w:r w:rsidR="00C60BE6">
        <w:t>:</w:t>
      </w:r>
      <w:r w:rsidRPr="00413003">
        <w:t xml:space="preserve"> Legal Foundation for Inclusion</w:t>
      </w:r>
      <w:bookmarkEnd w:id="48"/>
      <w:bookmarkEnd w:id="49"/>
    </w:p>
    <w:p w14:paraId="1F07CC9E" w14:textId="77777777" w:rsidR="00FC0E68" w:rsidRPr="00413003" w:rsidRDefault="00FC0E68" w:rsidP="00FC0E68">
      <w:pPr>
        <w:pStyle w:val="Heading2"/>
        <w:rPr>
          <w:rFonts w:cs="Arial"/>
        </w:rPr>
      </w:pPr>
      <w:bookmarkStart w:id="50" w:name="_Toc499116966"/>
      <w:bookmarkStart w:id="51" w:name="_Toc500433944"/>
      <w:r w:rsidRPr="00413003">
        <w:rPr>
          <w:rFonts w:eastAsiaTheme="minorHAnsi"/>
        </w:rPr>
        <w:t>Early Litigation and Legislation</w:t>
      </w:r>
      <w:bookmarkEnd w:id="50"/>
      <w:bookmarkEnd w:id="51"/>
    </w:p>
    <w:p w14:paraId="09419827" w14:textId="77777777" w:rsidR="00FC0E68" w:rsidRPr="00413003" w:rsidRDefault="00FC0E68" w:rsidP="00FC0E68">
      <w:pPr>
        <w:pStyle w:val="NCDBodyText"/>
        <w:rPr>
          <w:color w:val="auto"/>
        </w:rPr>
      </w:pPr>
      <w:r w:rsidRPr="00413003">
        <w:rPr>
          <w:color w:val="auto"/>
        </w:rPr>
        <w:t xml:space="preserve">In 1954, </w:t>
      </w:r>
      <w:r w:rsidRPr="00413003">
        <w:rPr>
          <w:color w:val="auto"/>
          <w:shd w:val="clear" w:color="auto" w:fill="FFFFFF"/>
        </w:rPr>
        <w:t xml:space="preserve">the Supreme Court ruled </w:t>
      </w:r>
      <w:r w:rsidRPr="00413003">
        <w:rPr>
          <w:color w:val="auto"/>
        </w:rPr>
        <w:t xml:space="preserve">in </w:t>
      </w:r>
      <w:r w:rsidRPr="00413003">
        <w:rPr>
          <w:i/>
          <w:color w:val="auto"/>
        </w:rPr>
        <w:t>Brown v. Board of Education</w:t>
      </w:r>
      <w:r w:rsidRPr="00413003">
        <w:rPr>
          <w:color w:val="auto"/>
        </w:rPr>
        <w:t xml:space="preserve"> </w:t>
      </w:r>
      <w:r w:rsidRPr="00413003">
        <w:rPr>
          <w:color w:val="auto"/>
          <w:shd w:val="clear" w:color="auto" w:fill="FFFFFF"/>
        </w:rPr>
        <w:t>that separate schooling for African American children was not an equal education because separate educational facilities were inherently unequal.</w:t>
      </w:r>
      <w:r w:rsidRPr="00413003">
        <w:rPr>
          <w:rStyle w:val="EndnoteReference"/>
          <w:rFonts w:eastAsia="Times New Roman"/>
          <w:color w:val="auto"/>
          <w:shd w:val="clear" w:color="auto" w:fill="FFFFFF"/>
        </w:rPr>
        <w:endnoteReference w:id="9"/>
      </w:r>
      <w:r w:rsidRPr="00413003">
        <w:rPr>
          <w:color w:val="auto"/>
          <w:shd w:val="clear" w:color="auto" w:fill="FFFFFF"/>
        </w:rPr>
        <w:t xml:space="preserve"> Ten years later, </w:t>
      </w:r>
      <w:r w:rsidRPr="00413003">
        <w:rPr>
          <w:color w:val="auto"/>
        </w:rPr>
        <w:t>S</w:t>
      </w:r>
      <w:r w:rsidRPr="00413003">
        <w:rPr>
          <w:color w:val="auto"/>
          <w:spacing w:val="-1"/>
        </w:rPr>
        <w:t>ec</w:t>
      </w:r>
      <w:r w:rsidRPr="00413003">
        <w:rPr>
          <w:color w:val="auto"/>
        </w:rPr>
        <w:t>tion 601 of</w:t>
      </w:r>
      <w:r w:rsidRPr="00413003">
        <w:rPr>
          <w:color w:val="auto"/>
          <w:spacing w:val="-1"/>
        </w:rPr>
        <w:t xml:space="preserve"> </w:t>
      </w:r>
      <w:r w:rsidRPr="00413003">
        <w:rPr>
          <w:color w:val="auto"/>
        </w:rPr>
        <w:t>the</w:t>
      </w:r>
      <w:r w:rsidRPr="00413003">
        <w:rPr>
          <w:color w:val="auto"/>
          <w:spacing w:val="-1"/>
        </w:rPr>
        <w:t xml:space="preserve"> </w:t>
      </w:r>
      <w:r w:rsidRPr="00413003">
        <w:rPr>
          <w:i/>
          <w:color w:val="auto"/>
        </w:rPr>
        <w:t>Ci</w:t>
      </w:r>
      <w:r w:rsidRPr="00413003">
        <w:rPr>
          <w:i/>
          <w:color w:val="auto"/>
          <w:spacing w:val="-1"/>
        </w:rPr>
        <w:t>v</w:t>
      </w:r>
      <w:r w:rsidRPr="00413003">
        <w:rPr>
          <w:i/>
          <w:color w:val="auto"/>
        </w:rPr>
        <w:t xml:space="preserve">il </w:t>
      </w:r>
      <w:r w:rsidRPr="00413003">
        <w:rPr>
          <w:i/>
          <w:color w:val="auto"/>
          <w:spacing w:val="-1"/>
        </w:rPr>
        <w:t>R</w:t>
      </w:r>
      <w:r w:rsidRPr="00413003">
        <w:rPr>
          <w:i/>
          <w:color w:val="auto"/>
        </w:rPr>
        <w:t xml:space="preserve">ights </w:t>
      </w:r>
      <w:r w:rsidRPr="00413003">
        <w:rPr>
          <w:i/>
          <w:color w:val="auto"/>
          <w:spacing w:val="-1"/>
        </w:rPr>
        <w:t>Ac</w:t>
      </w:r>
      <w:r w:rsidRPr="00413003">
        <w:rPr>
          <w:i/>
          <w:color w:val="auto"/>
        </w:rPr>
        <w:t xml:space="preserve">t of 1964 </w:t>
      </w:r>
      <w:r w:rsidRPr="00413003">
        <w:rPr>
          <w:color w:val="auto"/>
        </w:rPr>
        <w:t xml:space="preserve">was passed, holding that </w:t>
      </w:r>
      <w:r w:rsidRPr="00413003">
        <w:rPr>
          <w:color w:val="auto"/>
          <w:spacing w:val="-1"/>
        </w:rPr>
        <w:t>“[n]</w:t>
      </w:r>
      <w:r w:rsidRPr="00413003">
        <w:rPr>
          <w:color w:val="auto"/>
        </w:rPr>
        <w:t>o p</w:t>
      </w:r>
      <w:r w:rsidRPr="00413003">
        <w:rPr>
          <w:color w:val="auto"/>
          <w:spacing w:val="-1"/>
        </w:rPr>
        <w:t>er</w:t>
      </w:r>
      <w:r w:rsidRPr="00413003">
        <w:rPr>
          <w:color w:val="auto"/>
        </w:rPr>
        <w:t>son in the</w:t>
      </w:r>
      <w:r w:rsidRPr="00413003">
        <w:rPr>
          <w:color w:val="auto"/>
          <w:spacing w:val="-1"/>
        </w:rPr>
        <w:t xml:space="preserve"> U</w:t>
      </w:r>
      <w:r w:rsidRPr="00413003">
        <w:rPr>
          <w:color w:val="auto"/>
        </w:rPr>
        <w:t>nit</w:t>
      </w:r>
      <w:r w:rsidRPr="00413003">
        <w:rPr>
          <w:color w:val="auto"/>
          <w:spacing w:val="1"/>
        </w:rPr>
        <w:t>e</w:t>
      </w:r>
      <w:r w:rsidRPr="00413003">
        <w:rPr>
          <w:color w:val="auto"/>
        </w:rPr>
        <w:t>d St</w:t>
      </w:r>
      <w:r w:rsidRPr="00413003">
        <w:rPr>
          <w:color w:val="auto"/>
          <w:spacing w:val="-1"/>
        </w:rPr>
        <w:t>a</w:t>
      </w:r>
      <w:r w:rsidRPr="00413003">
        <w:rPr>
          <w:color w:val="auto"/>
        </w:rPr>
        <w:t>t</w:t>
      </w:r>
      <w:r w:rsidRPr="00413003">
        <w:rPr>
          <w:color w:val="auto"/>
          <w:spacing w:val="-1"/>
        </w:rPr>
        <w:t>e</w:t>
      </w:r>
      <w:r w:rsidRPr="00413003">
        <w:rPr>
          <w:color w:val="auto"/>
        </w:rPr>
        <w:t>s sh</w:t>
      </w:r>
      <w:r w:rsidRPr="00413003">
        <w:rPr>
          <w:color w:val="auto"/>
          <w:spacing w:val="-1"/>
        </w:rPr>
        <w:t>a</w:t>
      </w:r>
      <w:r w:rsidRPr="00413003">
        <w:rPr>
          <w:color w:val="auto"/>
        </w:rPr>
        <w:t xml:space="preserve">ll, on the </w:t>
      </w:r>
      <w:r w:rsidRPr="00413003">
        <w:rPr>
          <w:color w:val="auto"/>
          <w:spacing w:val="-3"/>
        </w:rPr>
        <w:t>g</w:t>
      </w:r>
      <w:r w:rsidRPr="00413003">
        <w:rPr>
          <w:color w:val="auto"/>
          <w:spacing w:val="-1"/>
        </w:rPr>
        <w:t>r</w:t>
      </w:r>
      <w:r w:rsidRPr="00413003">
        <w:rPr>
          <w:color w:val="auto"/>
        </w:rPr>
        <w:t xml:space="preserve">ound </w:t>
      </w:r>
      <w:r w:rsidRPr="00413003">
        <w:rPr>
          <w:color w:val="auto"/>
          <w:spacing w:val="2"/>
        </w:rPr>
        <w:t>o</w:t>
      </w:r>
      <w:r w:rsidRPr="00413003">
        <w:rPr>
          <w:color w:val="auto"/>
        </w:rPr>
        <w:t>f</w:t>
      </w:r>
      <w:r w:rsidRPr="00413003">
        <w:rPr>
          <w:color w:val="auto"/>
          <w:spacing w:val="-1"/>
        </w:rPr>
        <w:t xml:space="preserve"> r</w:t>
      </w:r>
      <w:r w:rsidRPr="00413003">
        <w:rPr>
          <w:color w:val="auto"/>
          <w:spacing w:val="1"/>
        </w:rPr>
        <w:t>a</w:t>
      </w:r>
      <w:r w:rsidRPr="00413003">
        <w:rPr>
          <w:color w:val="auto"/>
          <w:spacing w:val="-1"/>
        </w:rPr>
        <w:t>ce</w:t>
      </w:r>
      <w:r w:rsidRPr="00413003">
        <w:rPr>
          <w:color w:val="auto"/>
        </w:rPr>
        <w:t xml:space="preserve">, </w:t>
      </w:r>
      <w:r w:rsidRPr="00413003">
        <w:rPr>
          <w:color w:val="auto"/>
          <w:spacing w:val="-1"/>
        </w:rPr>
        <w:t>c</w:t>
      </w:r>
      <w:r w:rsidRPr="00413003">
        <w:rPr>
          <w:color w:val="auto"/>
        </w:rPr>
        <w:t>ol</w:t>
      </w:r>
      <w:r w:rsidRPr="00413003">
        <w:rPr>
          <w:color w:val="auto"/>
          <w:spacing w:val="2"/>
        </w:rPr>
        <w:t>o</w:t>
      </w:r>
      <w:r w:rsidRPr="00413003">
        <w:rPr>
          <w:color w:val="auto"/>
          <w:spacing w:val="-1"/>
        </w:rPr>
        <w:t>r</w:t>
      </w:r>
      <w:r w:rsidRPr="00413003">
        <w:rPr>
          <w:color w:val="auto"/>
        </w:rPr>
        <w:t>, or</w:t>
      </w:r>
      <w:r w:rsidRPr="00413003">
        <w:rPr>
          <w:color w:val="auto"/>
          <w:spacing w:val="1"/>
        </w:rPr>
        <w:t xml:space="preserve"> </w:t>
      </w:r>
      <w:r w:rsidRPr="00413003">
        <w:rPr>
          <w:color w:val="auto"/>
        </w:rPr>
        <w:t>n</w:t>
      </w:r>
      <w:r w:rsidRPr="00413003">
        <w:rPr>
          <w:color w:val="auto"/>
          <w:spacing w:val="-1"/>
        </w:rPr>
        <w:t>a</w:t>
      </w:r>
      <w:r w:rsidRPr="00413003">
        <w:rPr>
          <w:color w:val="auto"/>
        </w:rPr>
        <w:t>tion</w:t>
      </w:r>
      <w:r w:rsidRPr="00413003">
        <w:rPr>
          <w:color w:val="auto"/>
          <w:spacing w:val="-1"/>
        </w:rPr>
        <w:t>a</w:t>
      </w:r>
      <w:r w:rsidRPr="00413003">
        <w:rPr>
          <w:color w:val="auto"/>
        </w:rPr>
        <w:t>l o</w:t>
      </w:r>
      <w:r w:rsidRPr="00413003">
        <w:rPr>
          <w:color w:val="auto"/>
          <w:spacing w:val="-1"/>
        </w:rPr>
        <w:t>r</w:t>
      </w:r>
      <w:r w:rsidRPr="00413003">
        <w:rPr>
          <w:color w:val="auto"/>
        </w:rPr>
        <w:t>i</w:t>
      </w:r>
      <w:r w:rsidRPr="00413003">
        <w:rPr>
          <w:color w:val="auto"/>
          <w:spacing w:val="-3"/>
        </w:rPr>
        <w:t>g</w:t>
      </w:r>
      <w:r w:rsidRPr="00413003">
        <w:rPr>
          <w:color w:val="auto"/>
        </w:rPr>
        <w:t>in, be</w:t>
      </w:r>
      <w:r w:rsidRPr="00413003">
        <w:rPr>
          <w:color w:val="auto"/>
          <w:spacing w:val="1"/>
        </w:rPr>
        <w:t xml:space="preserve"> </w:t>
      </w:r>
      <w:r w:rsidRPr="00413003">
        <w:rPr>
          <w:color w:val="auto"/>
          <w:spacing w:val="-1"/>
        </w:rPr>
        <w:t>e</w:t>
      </w:r>
      <w:r w:rsidRPr="00413003">
        <w:rPr>
          <w:color w:val="auto"/>
          <w:spacing w:val="2"/>
        </w:rPr>
        <w:t>x</w:t>
      </w:r>
      <w:r w:rsidRPr="00413003">
        <w:rPr>
          <w:color w:val="auto"/>
          <w:spacing w:val="-1"/>
        </w:rPr>
        <w:t>c</w:t>
      </w:r>
      <w:r w:rsidRPr="00413003">
        <w:rPr>
          <w:color w:val="auto"/>
        </w:rPr>
        <w:t>lud</w:t>
      </w:r>
      <w:r w:rsidRPr="00413003">
        <w:rPr>
          <w:color w:val="auto"/>
          <w:spacing w:val="-1"/>
        </w:rPr>
        <w:t>e</w:t>
      </w:r>
      <w:r w:rsidRPr="00413003">
        <w:rPr>
          <w:color w:val="auto"/>
        </w:rPr>
        <w:t xml:space="preserve">d </w:t>
      </w:r>
      <w:r w:rsidRPr="00413003">
        <w:rPr>
          <w:color w:val="auto"/>
          <w:spacing w:val="-1"/>
        </w:rPr>
        <w:t>fr</w:t>
      </w:r>
      <w:r w:rsidRPr="00413003">
        <w:rPr>
          <w:color w:val="auto"/>
        </w:rPr>
        <w:t>om p</w:t>
      </w:r>
      <w:r w:rsidRPr="00413003">
        <w:rPr>
          <w:color w:val="auto"/>
          <w:spacing w:val="-1"/>
        </w:rPr>
        <w:t>ar</w:t>
      </w:r>
      <w:r w:rsidRPr="00413003">
        <w:rPr>
          <w:color w:val="auto"/>
        </w:rPr>
        <w:t>ti</w:t>
      </w:r>
      <w:r w:rsidRPr="00413003">
        <w:rPr>
          <w:color w:val="auto"/>
          <w:spacing w:val="-1"/>
        </w:rPr>
        <w:t>c</w:t>
      </w:r>
      <w:r w:rsidRPr="00413003">
        <w:rPr>
          <w:color w:val="auto"/>
        </w:rPr>
        <w:t>i</w:t>
      </w:r>
      <w:r w:rsidRPr="00413003">
        <w:rPr>
          <w:color w:val="auto"/>
          <w:spacing w:val="2"/>
        </w:rPr>
        <w:t>p</w:t>
      </w:r>
      <w:r w:rsidRPr="00413003">
        <w:rPr>
          <w:color w:val="auto"/>
          <w:spacing w:val="-1"/>
        </w:rPr>
        <w:t>a</w:t>
      </w:r>
      <w:r w:rsidRPr="00413003">
        <w:rPr>
          <w:color w:val="auto"/>
        </w:rPr>
        <w:t>tion in, be</w:t>
      </w:r>
      <w:r w:rsidRPr="00413003">
        <w:rPr>
          <w:color w:val="auto"/>
          <w:spacing w:val="-1"/>
        </w:rPr>
        <w:t xml:space="preserve"> </w:t>
      </w:r>
      <w:r w:rsidRPr="00413003">
        <w:rPr>
          <w:color w:val="auto"/>
        </w:rPr>
        <w:t>d</w:t>
      </w:r>
      <w:r w:rsidRPr="00413003">
        <w:rPr>
          <w:color w:val="auto"/>
          <w:spacing w:val="-1"/>
        </w:rPr>
        <w:t>e</w:t>
      </w:r>
      <w:r w:rsidRPr="00413003">
        <w:rPr>
          <w:color w:val="auto"/>
        </w:rPr>
        <w:t>ni</w:t>
      </w:r>
      <w:r w:rsidRPr="00413003">
        <w:rPr>
          <w:color w:val="auto"/>
          <w:spacing w:val="-1"/>
        </w:rPr>
        <w:t>e</w:t>
      </w:r>
      <w:r w:rsidRPr="00413003">
        <w:rPr>
          <w:color w:val="auto"/>
        </w:rPr>
        <w:t>d the</w:t>
      </w:r>
      <w:r w:rsidRPr="00413003">
        <w:rPr>
          <w:color w:val="auto"/>
          <w:spacing w:val="-1"/>
        </w:rPr>
        <w:t xml:space="preserve"> </w:t>
      </w:r>
      <w:r w:rsidRPr="00413003">
        <w:rPr>
          <w:color w:val="auto"/>
          <w:spacing w:val="2"/>
        </w:rPr>
        <w:t>b</w:t>
      </w:r>
      <w:r w:rsidRPr="00413003">
        <w:rPr>
          <w:color w:val="auto"/>
          <w:spacing w:val="-1"/>
        </w:rPr>
        <w:t>e</w:t>
      </w:r>
      <w:r w:rsidRPr="00413003">
        <w:rPr>
          <w:color w:val="auto"/>
        </w:rPr>
        <w:t>n</w:t>
      </w:r>
      <w:r w:rsidRPr="00413003">
        <w:rPr>
          <w:color w:val="auto"/>
          <w:spacing w:val="-1"/>
        </w:rPr>
        <w:t>ef</w:t>
      </w:r>
      <w:r w:rsidRPr="00413003">
        <w:rPr>
          <w:color w:val="auto"/>
        </w:rPr>
        <w:t>its o</w:t>
      </w:r>
      <w:r w:rsidRPr="00413003">
        <w:rPr>
          <w:color w:val="auto"/>
          <w:spacing w:val="-1"/>
        </w:rPr>
        <w:t>f</w:t>
      </w:r>
      <w:r w:rsidRPr="00413003">
        <w:rPr>
          <w:color w:val="auto"/>
        </w:rPr>
        <w:t>, or</w:t>
      </w:r>
      <w:r w:rsidRPr="00413003">
        <w:rPr>
          <w:color w:val="auto"/>
          <w:spacing w:val="-1"/>
        </w:rPr>
        <w:t xml:space="preserve"> </w:t>
      </w:r>
      <w:r w:rsidRPr="00413003">
        <w:rPr>
          <w:color w:val="auto"/>
        </w:rPr>
        <w:t>be</w:t>
      </w:r>
      <w:r w:rsidRPr="00413003">
        <w:rPr>
          <w:color w:val="auto"/>
          <w:spacing w:val="-1"/>
        </w:rPr>
        <w:t xml:space="preserve"> </w:t>
      </w:r>
      <w:r w:rsidRPr="00413003">
        <w:rPr>
          <w:color w:val="auto"/>
        </w:rPr>
        <w:t>subj</w:t>
      </w:r>
      <w:r w:rsidRPr="00413003">
        <w:rPr>
          <w:color w:val="auto"/>
          <w:spacing w:val="1"/>
        </w:rPr>
        <w:t>e</w:t>
      </w:r>
      <w:r w:rsidRPr="00413003">
        <w:rPr>
          <w:color w:val="auto"/>
          <w:spacing w:val="-1"/>
        </w:rPr>
        <w:t>c</w:t>
      </w:r>
      <w:r w:rsidRPr="00413003">
        <w:rPr>
          <w:color w:val="auto"/>
        </w:rPr>
        <w:t>t</w:t>
      </w:r>
      <w:r w:rsidRPr="00413003">
        <w:rPr>
          <w:color w:val="auto"/>
          <w:spacing w:val="-1"/>
        </w:rPr>
        <w:t>e</w:t>
      </w:r>
      <w:r w:rsidRPr="00413003">
        <w:rPr>
          <w:color w:val="auto"/>
        </w:rPr>
        <w:t>d to dis</w:t>
      </w:r>
      <w:r w:rsidRPr="00413003">
        <w:rPr>
          <w:color w:val="auto"/>
          <w:spacing w:val="-1"/>
        </w:rPr>
        <w:t>cr</w:t>
      </w:r>
      <w:r w:rsidRPr="00413003">
        <w:rPr>
          <w:color w:val="auto"/>
        </w:rPr>
        <w:t>imin</w:t>
      </w:r>
      <w:r w:rsidRPr="00413003">
        <w:rPr>
          <w:color w:val="auto"/>
          <w:spacing w:val="-1"/>
        </w:rPr>
        <w:t>a</w:t>
      </w:r>
      <w:r w:rsidRPr="00413003">
        <w:rPr>
          <w:color w:val="auto"/>
        </w:rPr>
        <w:t>tion und</w:t>
      </w:r>
      <w:r w:rsidRPr="00413003">
        <w:rPr>
          <w:color w:val="auto"/>
          <w:spacing w:val="-1"/>
        </w:rPr>
        <w:t>e</w:t>
      </w:r>
      <w:r w:rsidRPr="00413003">
        <w:rPr>
          <w:color w:val="auto"/>
        </w:rPr>
        <w:t>r</w:t>
      </w:r>
      <w:r w:rsidRPr="00413003">
        <w:rPr>
          <w:color w:val="auto"/>
          <w:spacing w:val="-1"/>
        </w:rPr>
        <w:t xml:space="preserve"> a</w:t>
      </w:r>
      <w:r w:rsidRPr="00413003">
        <w:rPr>
          <w:color w:val="auto"/>
          <w:spacing w:val="4"/>
        </w:rPr>
        <w:t>n</w:t>
      </w:r>
      <w:r w:rsidRPr="00413003">
        <w:rPr>
          <w:color w:val="auto"/>
        </w:rPr>
        <w:t>y</w:t>
      </w:r>
      <w:r w:rsidRPr="00413003">
        <w:rPr>
          <w:color w:val="auto"/>
          <w:spacing w:val="-5"/>
        </w:rPr>
        <w:t xml:space="preserve"> </w:t>
      </w:r>
      <w:r w:rsidRPr="00413003">
        <w:rPr>
          <w:color w:val="auto"/>
        </w:rPr>
        <w:t>p</w:t>
      </w:r>
      <w:r w:rsidRPr="00413003">
        <w:rPr>
          <w:color w:val="auto"/>
          <w:spacing w:val="1"/>
        </w:rPr>
        <w:t>r</w:t>
      </w:r>
      <w:r w:rsidRPr="00413003">
        <w:rPr>
          <w:color w:val="auto"/>
        </w:rPr>
        <w:t>o</w:t>
      </w:r>
      <w:r w:rsidRPr="00413003">
        <w:rPr>
          <w:color w:val="auto"/>
          <w:spacing w:val="-3"/>
        </w:rPr>
        <w:t>g</w:t>
      </w:r>
      <w:r w:rsidRPr="00413003">
        <w:rPr>
          <w:color w:val="auto"/>
          <w:spacing w:val="1"/>
        </w:rPr>
        <w:t>r</w:t>
      </w:r>
      <w:r w:rsidRPr="00413003">
        <w:rPr>
          <w:color w:val="auto"/>
          <w:spacing w:val="-1"/>
        </w:rPr>
        <w:t>a</w:t>
      </w:r>
      <w:r w:rsidRPr="00413003">
        <w:rPr>
          <w:color w:val="auto"/>
        </w:rPr>
        <w:t>m or</w:t>
      </w:r>
      <w:r w:rsidRPr="00413003">
        <w:rPr>
          <w:color w:val="auto"/>
          <w:spacing w:val="-1"/>
        </w:rPr>
        <w:t xml:space="preserve"> </w:t>
      </w:r>
      <w:r w:rsidRPr="00413003">
        <w:rPr>
          <w:color w:val="auto"/>
          <w:spacing w:val="1"/>
        </w:rPr>
        <w:t>a</w:t>
      </w:r>
      <w:r w:rsidRPr="00413003">
        <w:rPr>
          <w:color w:val="auto"/>
          <w:spacing w:val="-1"/>
        </w:rPr>
        <w:t>c</w:t>
      </w:r>
      <w:r w:rsidRPr="00413003">
        <w:rPr>
          <w:color w:val="auto"/>
        </w:rPr>
        <w:t>tivi</w:t>
      </w:r>
      <w:r w:rsidRPr="00413003">
        <w:rPr>
          <w:color w:val="auto"/>
          <w:spacing w:val="2"/>
        </w:rPr>
        <w:t>t</w:t>
      </w:r>
      <w:r w:rsidRPr="00413003">
        <w:rPr>
          <w:color w:val="auto"/>
        </w:rPr>
        <w:t>y</w:t>
      </w:r>
      <w:r w:rsidRPr="00413003">
        <w:rPr>
          <w:color w:val="auto"/>
          <w:spacing w:val="-5"/>
        </w:rPr>
        <w:t xml:space="preserve"> </w:t>
      </w:r>
      <w:r w:rsidRPr="00413003">
        <w:rPr>
          <w:color w:val="auto"/>
          <w:spacing w:val="-1"/>
        </w:rPr>
        <w:t>r</w:t>
      </w:r>
      <w:r w:rsidRPr="00413003">
        <w:rPr>
          <w:color w:val="auto"/>
          <w:spacing w:val="1"/>
        </w:rPr>
        <w:t>e</w:t>
      </w:r>
      <w:r w:rsidRPr="00413003">
        <w:rPr>
          <w:color w:val="auto"/>
          <w:spacing w:val="-1"/>
        </w:rPr>
        <w:t>ce</w:t>
      </w:r>
      <w:r w:rsidRPr="00413003">
        <w:rPr>
          <w:color w:val="auto"/>
        </w:rPr>
        <w:t>iv</w:t>
      </w:r>
      <w:r w:rsidRPr="00413003">
        <w:rPr>
          <w:color w:val="auto"/>
          <w:spacing w:val="2"/>
        </w:rPr>
        <w:t>i</w:t>
      </w:r>
      <w:r w:rsidRPr="00413003">
        <w:rPr>
          <w:color w:val="auto"/>
        </w:rPr>
        <w:t xml:space="preserve">ng </w:t>
      </w:r>
      <w:r w:rsidRPr="00413003">
        <w:rPr>
          <w:color w:val="auto"/>
          <w:spacing w:val="-2"/>
        </w:rPr>
        <w:t>F</w:t>
      </w:r>
      <w:r w:rsidRPr="00413003">
        <w:rPr>
          <w:color w:val="auto"/>
          <w:spacing w:val="-1"/>
        </w:rPr>
        <w:t>e</w:t>
      </w:r>
      <w:r w:rsidRPr="00413003">
        <w:rPr>
          <w:color w:val="auto"/>
        </w:rPr>
        <w:t>d</w:t>
      </w:r>
      <w:r w:rsidRPr="00413003">
        <w:rPr>
          <w:color w:val="auto"/>
          <w:spacing w:val="1"/>
        </w:rPr>
        <w:t>e</w:t>
      </w:r>
      <w:r w:rsidRPr="00413003">
        <w:rPr>
          <w:color w:val="auto"/>
          <w:spacing w:val="-1"/>
        </w:rPr>
        <w:t>ra</w:t>
      </w:r>
      <w:r w:rsidRPr="00413003">
        <w:rPr>
          <w:color w:val="auto"/>
        </w:rPr>
        <w:t xml:space="preserve">l </w:t>
      </w:r>
      <w:r w:rsidRPr="00413003">
        <w:rPr>
          <w:color w:val="auto"/>
          <w:spacing w:val="-1"/>
        </w:rPr>
        <w:t>f</w:t>
      </w:r>
      <w:r w:rsidRPr="00413003">
        <w:rPr>
          <w:color w:val="auto"/>
        </w:rPr>
        <w:t>in</w:t>
      </w:r>
      <w:r w:rsidRPr="00413003">
        <w:rPr>
          <w:color w:val="auto"/>
          <w:spacing w:val="-1"/>
        </w:rPr>
        <w:t>a</w:t>
      </w:r>
      <w:r w:rsidRPr="00413003">
        <w:rPr>
          <w:color w:val="auto"/>
          <w:spacing w:val="2"/>
        </w:rPr>
        <w:t>n</w:t>
      </w:r>
      <w:r w:rsidRPr="00413003">
        <w:rPr>
          <w:color w:val="auto"/>
          <w:spacing w:val="-1"/>
        </w:rPr>
        <w:t>c</w:t>
      </w:r>
      <w:r w:rsidRPr="00413003">
        <w:rPr>
          <w:color w:val="auto"/>
        </w:rPr>
        <w:t>i</w:t>
      </w:r>
      <w:r w:rsidRPr="00413003">
        <w:rPr>
          <w:color w:val="auto"/>
          <w:spacing w:val="-1"/>
        </w:rPr>
        <w:t>a</w:t>
      </w:r>
      <w:r w:rsidRPr="00413003">
        <w:rPr>
          <w:color w:val="auto"/>
        </w:rPr>
        <w:t xml:space="preserve">l </w:t>
      </w:r>
      <w:r w:rsidRPr="00413003">
        <w:rPr>
          <w:color w:val="auto"/>
          <w:spacing w:val="-1"/>
        </w:rPr>
        <w:t>a</w:t>
      </w:r>
      <w:r w:rsidRPr="00413003">
        <w:rPr>
          <w:color w:val="auto"/>
        </w:rPr>
        <w:t>ssist</w:t>
      </w:r>
      <w:r w:rsidRPr="00413003">
        <w:rPr>
          <w:color w:val="auto"/>
          <w:spacing w:val="-1"/>
        </w:rPr>
        <w:t>a</w:t>
      </w:r>
      <w:r w:rsidRPr="00413003">
        <w:rPr>
          <w:color w:val="auto"/>
        </w:rPr>
        <w:t>n</w:t>
      </w:r>
      <w:r w:rsidRPr="00413003">
        <w:rPr>
          <w:color w:val="auto"/>
          <w:spacing w:val="-1"/>
        </w:rPr>
        <w:t>ce</w:t>
      </w:r>
      <w:r w:rsidRPr="00413003">
        <w:rPr>
          <w:color w:val="auto"/>
        </w:rPr>
        <w:t>.”</w:t>
      </w:r>
      <w:r w:rsidRPr="00413003">
        <w:rPr>
          <w:rStyle w:val="EndnoteReference"/>
          <w:rFonts w:eastAsia="Times New Roman"/>
          <w:color w:val="auto"/>
        </w:rPr>
        <w:endnoteReference w:id="10"/>
      </w:r>
      <w:r w:rsidRPr="00413003">
        <w:rPr>
          <w:color w:val="auto"/>
        </w:rPr>
        <w:t xml:space="preserve"> On the heels of these developments, advocates and parents of children with disabilities fought for the same kind of equal access to education. They not only sought the right to attend school, but also the right to participate in and benefit from a quality education. </w:t>
      </w:r>
      <w:r w:rsidRPr="00413003">
        <w:rPr>
          <w:color w:val="auto"/>
          <w:shd w:val="clear" w:color="auto" w:fill="FFFFFF"/>
        </w:rPr>
        <w:t xml:space="preserve">Two landmark cases were brought in 1972: the </w:t>
      </w:r>
      <w:bookmarkStart w:id="52" w:name="_Hlk486857778"/>
      <w:r w:rsidRPr="00413003">
        <w:rPr>
          <w:i/>
          <w:color w:val="auto"/>
          <w:shd w:val="clear" w:color="auto" w:fill="FFFFFF"/>
        </w:rPr>
        <w:t>Pennsylvania Association for Retarded Children (PARC) v. Commonwealth of Pennsylvania</w:t>
      </w:r>
      <w:r w:rsidRPr="00413003">
        <w:rPr>
          <w:color w:val="auto"/>
          <w:shd w:val="clear" w:color="auto" w:fill="FFFFFF"/>
        </w:rPr>
        <w:t>,</w:t>
      </w:r>
      <w:r w:rsidRPr="00413003">
        <w:rPr>
          <w:rStyle w:val="EndnoteReference"/>
          <w:color w:val="auto"/>
          <w:shd w:val="clear" w:color="auto" w:fill="FFFFFF"/>
        </w:rPr>
        <w:endnoteReference w:id="11"/>
      </w:r>
      <w:r w:rsidRPr="00413003">
        <w:rPr>
          <w:color w:val="auto"/>
          <w:shd w:val="clear" w:color="auto" w:fill="FFFFFF"/>
        </w:rPr>
        <w:t xml:space="preserve"> </w:t>
      </w:r>
      <w:bookmarkEnd w:id="52"/>
      <w:r w:rsidRPr="00413003">
        <w:rPr>
          <w:color w:val="auto"/>
          <w:shd w:val="clear" w:color="auto" w:fill="FFFFFF"/>
        </w:rPr>
        <w:t xml:space="preserve">and </w:t>
      </w:r>
      <w:bookmarkStart w:id="53" w:name="_Hlk486857815"/>
      <w:r w:rsidRPr="00413003">
        <w:rPr>
          <w:i/>
          <w:color w:val="auto"/>
          <w:shd w:val="clear" w:color="auto" w:fill="FFFFFF"/>
        </w:rPr>
        <w:t>Mills v. Board of Education of District of Columbia</w:t>
      </w:r>
      <w:r w:rsidRPr="00413003">
        <w:rPr>
          <w:color w:val="auto"/>
          <w:shd w:val="clear" w:color="auto" w:fill="FFFFFF"/>
        </w:rPr>
        <w:t>.</w:t>
      </w:r>
      <w:r w:rsidRPr="00413003">
        <w:rPr>
          <w:rStyle w:val="EndnoteReference"/>
          <w:color w:val="auto"/>
          <w:shd w:val="clear" w:color="auto" w:fill="FFFFFF"/>
        </w:rPr>
        <w:endnoteReference w:id="12"/>
      </w:r>
      <w:r w:rsidRPr="00413003">
        <w:rPr>
          <w:color w:val="auto"/>
          <w:shd w:val="clear" w:color="auto" w:fill="FFFFFF"/>
        </w:rPr>
        <w:t xml:space="preserve"> </w:t>
      </w:r>
      <w:bookmarkEnd w:id="53"/>
      <w:r w:rsidRPr="00413003">
        <w:rPr>
          <w:color w:val="auto"/>
          <w:shd w:val="clear" w:color="auto" w:fill="FFFFFF"/>
        </w:rPr>
        <w:t xml:space="preserve">In both </w:t>
      </w:r>
      <w:r w:rsidRPr="00413003">
        <w:rPr>
          <w:i/>
          <w:color w:val="auto"/>
          <w:shd w:val="clear" w:color="auto" w:fill="FFFFFF"/>
        </w:rPr>
        <w:t xml:space="preserve">PARC </w:t>
      </w:r>
      <w:r w:rsidRPr="00413003">
        <w:rPr>
          <w:color w:val="auto"/>
          <w:shd w:val="clear" w:color="auto" w:fill="FFFFFF"/>
        </w:rPr>
        <w:t>and</w:t>
      </w:r>
      <w:r w:rsidRPr="00413003">
        <w:rPr>
          <w:i/>
          <w:color w:val="auto"/>
          <w:shd w:val="clear" w:color="auto" w:fill="FFFFFF"/>
        </w:rPr>
        <w:t xml:space="preserve"> Mills</w:t>
      </w:r>
      <w:r w:rsidRPr="00413003">
        <w:rPr>
          <w:color w:val="auto"/>
          <w:shd w:val="clear" w:color="auto" w:fill="FFFFFF"/>
        </w:rPr>
        <w:t>, the judges agreed that local laws that excluded children with disabilities from public schools were a violation of the Constitution, and laid the groundwork to establish the right of students with disabilities to access a public education.</w:t>
      </w:r>
    </w:p>
    <w:p w14:paraId="4AAF88F3" w14:textId="77777777" w:rsidR="00FC0E68" w:rsidRPr="00413003" w:rsidRDefault="00FC0E68" w:rsidP="00FC0E68">
      <w:pPr>
        <w:pStyle w:val="Heading2"/>
      </w:pPr>
      <w:bookmarkStart w:id="54" w:name="_Toc499116967"/>
      <w:bookmarkStart w:id="55" w:name="_Toc500433945"/>
      <w:r w:rsidRPr="00413003">
        <w:t>The Right to a Public Education</w:t>
      </w:r>
      <w:bookmarkEnd w:id="54"/>
      <w:bookmarkEnd w:id="55"/>
    </w:p>
    <w:p w14:paraId="4B25B5C8" w14:textId="77777777" w:rsidR="00FC0E68" w:rsidRPr="00413003" w:rsidRDefault="00FC0E68" w:rsidP="00FC0E68">
      <w:pPr>
        <w:pStyle w:val="NCDBodyText"/>
        <w:rPr>
          <w:color w:val="auto"/>
        </w:rPr>
      </w:pPr>
      <w:r w:rsidRPr="00413003">
        <w:rPr>
          <w:color w:val="auto"/>
        </w:rPr>
        <w:t xml:space="preserve">In the wake of </w:t>
      </w:r>
      <w:r w:rsidRPr="00413003">
        <w:rPr>
          <w:i/>
          <w:color w:val="auto"/>
        </w:rPr>
        <w:t>PARC</w:t>
      </w:r>
      <w:r w:rsidRPr="00413003">
        <w:rPr>
          <w:color w:val="auto"/>
        </w:rPr>
        <w:t xml:space="preserve"> and </w:t>
      </w:r>
      <w:r w:rsidRPr="00413003">
        <w:rPr>
          <w:i/>
          <w:color w:val="auto"/>
        </w:rPr>
        <w:t>Mills</w:t>
      </w:r>
      <w:r w:rsidRPr="00413003">
        <w:rPr>
          <w:color w:val="auto"/>
        </w:rPr>
        <w:t>, S</w:t>
      </w:r>
      <w:r w:rsidRPr="00413003">
        <w:rPr>
          <w:color w:val="auto"/>
          <w:spacing w:val="-1"/>
        </w:rPr>
        <w:t>ec</w:t>
      </w:r>
      <w:r w:rsidRPr="00413003">
        <w:rPr>
          <w:color w:val="auto"/>
        </w:rPr>
        <w:t>tion 504</w:t>
      </w:r>
      <w:r w:rsidRPr="00413003">
        <w:rPr>
          <w:color w:val="auto"/>
          <w:spacing w:val="-1"/>
        </w:rPr>
        <w:t>(a</w:t>
      </w:r>
      <w:r w:rsidRPr="00413003">
        <w:rPr>
          <w:color w:val="auto"/>
        </w:rPr>
        <w:t>)</w:t>
      </w:r>
      <w:r w:rsidRPr="00413003">
        <w:rPr>
          <w:color w:val="auto"/>
          <w:spacing w:val="-1"/>
        </w:rPr>
        <w:t xml:space="preserve"> </w:t>
      </w:r>
      <w:r w:rsidRPr="00413003">
        <w:rPr>
          <w:color w:val="auto"/>
          <w:spacing w:val="2"/>
        </w:rPr>
        <w:t>o</w:t>
      </w:r>
      <w:r w:rsidRPr="00413003">
        <w:rPr>
          <w:color w:val="auto"/>
        </w:rPr>
        <w:t>f</w:t>
      </w:r>
      <w:r w:rsidRPr="00413003">
        <w:rPr>
          <w:color w:val="auto"/>
          <w:spacing w:val="-1"/>
        </w:rPr>
        <w:t xml:space="preserve"> </w:t>
      </w:r>
      <w:r w:rsidRPr="00413003">
        <w:rPr>
          <w:color w:val="auto"/>
        </w:rPr>
        <w:t>the</w:t>
      </w:r>
      <w:r w:rsidRPr="00413003">
        <w:rPr>
          <w:color w:val="auto"/>
          <w:spacing w:val="-1"/>
        </w:rPr>
        <w:t xml:space="preserve"> Re</w:t>
      </w:r>
      <w:r w:rsidRPr="00413003">
        <w:rPr>
          <w:color w:val="auto"/>
        </w:rPr>
        <w:t>hab</w:t>
      </w:r>
      <w:r w:rsidRPr="00413003">
        <w:rPr>
          <w:color w:val="auto"/>
          <w:spacing w:val="2"/>
        </w:rPr>
        <w:t>i</w:t>
      </w:r>
      <w:r w:rsidRPr="00413003">
        <w:rPr>
          <w:color w:val="auto"/>
        </w:rPr>
        <w:t xml:space="preserve">litation </w:t>
      </w:r>
      <w:r w:rsidRPr="00413003">
        <w:rPr>
          <w:color w:val="auto"/>
          <w:spacing w:val="-1"/>
        </w:rPr>
        <w:t>Ac</w:t>
      </w:r>
      <w:r w:rsidRPr="00413003">
        <w:rPr>
          <w:color w:val="auto"/>
        </w:rPr>
        <w:t>t of 1973</w:t>
      </w:r>
      <w:r w:rsidRPr="00413003">
        <w:rPr>
          <w:i/>
          <w:color w:val="auto"/>
        </w:rPr>
        <w:t xml:space="preserve"> </w:t>
      </w:r>
      <w:r w:rsidRPr="00413003">
        <w:rPr>
          <w:color w:val="auto"/>
        </w:rPr>
        <w:t>was passed, and established th</w:t>
      </w:r>
      <w:r w:rsidRPr="00413003">
        <w:rPr>
          <w:color w:val="auto"/>
          <w:spacing w:val="-1"/>
        </w:rPr>
        <w:t>a</w:t>
      </w:r>
      <w:r w:rsidRPr="00413003">
        <w:rPr>
          <w:color w:val="auto"/>
        </w:rPr>
        <w:t xml:space="preserve">t </w:t>
      </w:r>
      <w:r w:rsidRPr="00413003">
        <w:rPr>
          <w:color w:val="auto"/>
          <w:spacing w:val="-1"/>
        </w:rPr>
        <w:t>“[n]</w:t>
      </w:r>
      <w:r w:rsidRPr="00413003">
        <w:rPr>
          <w:color w:val="auto"/>
        </w:rPr>
        <w:t>o oth</w:t>
      </w:r>
      <w:r w:rsidRPr="00413003">
        <w:rPr>
          <w:color w:val="auto"/>
          <w:spacing w:val="-1"/>
        </w:rPr>
        <w:t>erw</w:t>
      </w:r>
      <w:r w:rsidRPr="00413003">
        <w:rPr>
          <w:color w:val="auto"/>
        </w:rPr>
        <w:t>ise</w:t>
      </w:r>
      <w:r w:rsidRPr="00413003">
        <w:rPr>
          <w:color w:val="auto"/>
          <w:spacing w:val="-1"/>
        </w:rPr>
        <w:t xml:space="preserve"> </w:t>
      </w:r>
      <w:r w:rsidRPr="00413003">
        <w:rPr>
          <w:color w:val="auto"/>
        </w:rPr>
        <w:t>q</w:t>
      </w:r>
      <w:r w:rsidRPr="00413003">
        <w:rPr>
          <w:color w:val="auto"/>
          <w:spacing w:val="2"/>
        </w:rPr>
        <w:t>u</w:t>
      </w:r>
      <w:r w:rsidRPr="00413003">
        <w:rPr>
          <w:color w:val="auto"/>
          <w:spacing w:val="-1"/>
        </w:rPr>
        <w:t>a</w:t>
      </w:r>
      <w:r w:rsidRPr="00413003">
        <w:rPr>
          <w:color w:val="auto"/>
        </w:rPr>
        <w:t>li</w:t>
      </w:r>
      <w:r w:rsidRPr="00413003">
        <w:rPr>
          <w:color w:val="auto"/>
          <w:spacing w:val="-1"/>
        </w:rPr>
        <w:t>f</w:t>
      </w:r>
      <w:r w:rsidRPr="00413003">
        <w:rPr>
          <w:color w:val="auto"/>
        </w:rPr>
        <w:t>i</w:t>
      </w:r>
      <w:r w:rsidRPr="00413003">
        <w:rPr>
          <w:color w:val="auto"/>
          <w:spacing w:val="-1"/>
        </w:rPr>
        <w:t>e</w:t>
      </w:r>
      <w:r w:rsidRPr="00413003">
        <w:rPr>
          <w:color w:val="auto"/>
        </w:rPr>
        <w:t>d individu</w:t>
      </w:r>
      <w:r w:rsidRPr="00413003">
        <w:rPr>
          <w:color w:val="auto"/>
          <w:spacing w:val="-1"/>
        </w:rPr>
        <w:t>a</w:t>
      </w:r>
      <w:r w:rsidRPr="00413003">
        <w:rPr>
          <w:color w:val="auto"/>
        </w:rPr>
        <w:t xml:space="preserve">l </w:t>
      </w:r>
      <w:r w:rsidRPr="00413003">
        <w:rPr>
          <w:color w:val="auto"/>
          <w:spacing w:val="-1"/>
        </w:rPr>
        <w:t>w</w:t>
      </w:r>
      <w:r w:rsidRPr="00413003">
        <w:rPr>
          <w:color w:val="auto"/>
        </w:rPr>
        <w:t>ith a</w:t>
      </w:r>
      <w:r w:rsidRPr="00413003">
        <w:rPr>
          <w:color w:val="auto"/>
          <w:spacing w:val="-1"/>
        </w:rPr>
        <w:t xml:space="preserve"> </w:t>
      </w:r>
      <w:r w:rsidRPr="00413003">
        <w:rPr>
          <w:color w:val="auto"/>
        </w:rPr>
        <w:t>dis</w:t>
      </w:r>
      <w:r w:rsidRPr="00413003">
        <w:rPr>
          <w:color w:val="auto"/>
          <w:spacing w:val="-1"/>
        </w:rPr>
        <w:t>a</w:t>
      </w:r>
      <w:r w:rsidRPr="00413003">
        <w:rPr>
          <w:color w:val="auto"/>
        </w:rPr>
        <w:t>bili</w:t>
      </w:r>
      <w:r w:rsidRPr="00413003">
        <w:rPr>
          <w:color w:val="auto"/>
          <w:spacing w:val="2"/>
        </w:rPr>
        <w:t>t</w:t>
      </w:r>
      <w:r w:rsidRPr="00413003">
        <w:rPr>
          <w:color w:val="auto"/>
        </w:rPr>
        <w:t>y</w:t>
      </w:r>
      <w:r w:rsidRPr="00413003">
        <w:rPr>
          <w:color w:val="auto"/>
          <w:spacing w:val="-5"/>
        </w:rPr>
        <w:t xml:space="preserve"> </w:t>
      </w:r>
      <w:r w:rsidRPr="00413003">
        <w:rPr>
          <w:color w:val="auto"/>
        </w:rPr>
        <w:t>in the</w:t>
      </w:r>
      <w:r w:rsidRPr="00413003">
        <w:rPr>
          <w:color w:val="auto"/>
          <w:spacing w:val="-1"/>
        </w:rPr>
        <w:t xml:space="preserve"> U</w:t>
      </w:r>
      <w:r w:rsidRPr="00413003">
        <w:rPr>
          <w:color w:val="auto"/>
        </w:rPr>
        <w:t>nit</w:t>
      </w:r>
      <w:r w:rsidRPr="00413003">
        <w:rPr>
          <w:color w:val="auto"/>
          <w:spacing w:val="-1"/>
        </w:rPr>
        <w:t>e</w:t>
      </w:r>
      <w:r w:rsidRPr="00413003">
        <w:rPr>
          <w:color w:val="auto"/>
        </w:rPr>
        <w:t>d</w:t>
      </w:r>
      <w:r w:rsidRPr="00413003">
        <w:rPr>
          <w:color w:val="auto"/>
          <w:spacing w:val="2"/>
        </w:rPr>
        <w:t xml:space="preserve"> </w:t>
      </w:r>
      <w:r w:rsidRPr="00413003">
        <w:rPr>
          <w:color w:val="auto"/>
        </w:rPr>
        <w:t>St</w:t>
      </w:r>
      <w:r w:rsidRPr="00413003">
        <w:rPr>
          <w:color w:val="auto"/>
          <w:spacing w:val="-1"/>
        </w:rPr>
        <w:t>a</w:t>
      </w:r>
      <w:r w:rsidRPr="00413003">
        <w:rPr>
          <w:color w:val="auto"/>
        </w:rPr>
        <w:t>t</w:t>
      </w:r>
      <w:r w:rsidRPr="00413003">
        <w:rPr>
          <w:color w:val="auto"/>
          <w:spacing w:val="-1"/>
        </w:rPr>
        <w:t>e</w:t>
      </w:r>
      <w:r w:rsidRPr="00413003">
        <w:rPr>
          <w:color w:val="auto"/>
        </w:rPr>
        <w:t xml:space="preserve">s, </w:t>
      </w:r>
      <w:r w:rsidRPr="00413003">
        <w:rPr>
          <w:color w:val="auto"/>
          <w:spacing w:val="-1"/>
        </w:rPr>
        <w:t>. . .</w:t>
      </w:r>
      <w:r w:rsidRPr="00413003">
        <w:rPr>
          <w:color w:val="auto"/>
        </w:rPr>
        <w:t xml:space="preserve"> sh</w:t>
      </w:r>
      <w:r w:rsidRPr="00413003">
        <w:rPr>
          <w:color w:val="auto"/>
          <w:spacing w:val="-1"/>
        </w:rPr>
        <w:t>a</w:t>
      </w:r>
      <w:r w:rsidRPr="00413003">
        <w:rPr>
          <w:color w:val="auto"/>
        </w:rPr>
        <w:t>ll, sol</w:t>
      </w:r>
      <w:r w:rsidRPr="00413003">
        <w:rPr>
          <w:color w:val="auto"/>
          <w:spacing w:val="-1"/>
        </w:rPr>
        <w:t>e</w:t>
      </w:r>
      <w:r w:rsidRPr="00413003">
        <w:rPr>
          <w:color w:val="auto"/>
          <w:spacing w:val="2"/>
        </w:rPr>
        <w:t>l</w:t>
      </w:r>
      <w:r w:rsidRPr="00413003">
        <w:rPr>
          <w:color w:val="auto"/>
        </w:rPr>
        <w:t>y</w:t>
      </w:r>
      <w:r w:rsidRPr="00413003">
        <w:rPr>
          <w:color w:val="auto"/>
          <w:spacing w:val="-5"/>
        </w:rPr>
        <w:t xml:space="preserve"> </w:t>
      </w:r>
      <w:r w:rsidRPr="00413003">
        <w:rPr>
          <w:color w:val="auto"/>
          <w:spacing w:val="4"/>
        </w:rPr>
        <w:t>b</w:t>
      </w:r>
      <w:r w:rsidRPr="00413003">
        <w:rPr>
          <w:color w:val="auto"/>
        </w:rPr>
        <w:t>y</w:t>
      </w:r>
      <w:r w:rsidRPr="00413003">
        <w:rPr>
          <w:color w:val="auto"/>
          <w:spacing w:val="-3"/>
        </w:rPr>
        <w:t xml:space="preserve"> </w:t>
      </w:r>
      <w:r w:rsidRPr="00413003">
        <w:rPr>
          <w:color w:val="auto"/>
          <w:spacing w:val="-1"/>
        </w:rPr>
        <w:t>rea</w:t>
      </w:r>
      <w:r w:rsidRPr="00413003">
        <w:rPr>
          <w:color w:val="auto"/>
        </w:rPr>
        <w:t>son of</w:t>
      </w:r>
      <w:r w:rsidRPr="00413003">
        <w:rPr>
          <w:color w:val="auto"/>
          <w:spacing w:val="-1"/>
        </w:rPr>
        <w:t xml:space="preserve"> </w:t>
      </w:r>
      <w:r w:rsidRPr="00413003">
        <w:rPr>
          <w:color w:val="auto"/>
          <w:spacing w:val="2"/>
        </w:rPr>
        <w:t>h</w:t>
      </w:r>
      <w:r w:rsidRPr="00413003">
        <w:rPr>
          <w:color w:val="auto"/>
          <w:spacing w:val="-1"/>
        </w:rPr>
        <w:t>e</w:t>
      </w:r>
      <w:r w:rsidRPr="00413003">
        <w:rPr>
          <w:color w:val="auto"/>
        </w:rPr>
        <w:t>r</w:t>
      </w:r>
      <w:r w:rsidRPr="00413003">
        <w:rPr>
          <w:color w:val="auto"/>
          <w:spacing w:val="-1"/>
        </w:rPr>
        <w:t xml:space="preserve"> </w:t>
      </w:r>
      <w:r w:rsidRPr="00413003">
        <w:rPr>
          <w:color w:val="auto"/>
        </w:rPr>
        <w:t>or</w:t>
      </w:r>
      <w:r w:rsidRPr="00413003">
        <w:rPr>
          <w:color w:val="auto"/>
          <w:spacing w:val="-1"/>
        </w:rPr>
        <w:t xml:space="preserve"> </w:t>
      </w:r>
      <w:r w:rsidRPr="00413003">
        <w:rPr>
          <w:color w:val="auto"/>
        </w:rPr>
        <w:t>his dis</w:t>
      </w:r>
      <w:r w:rsidRPr="00413003">
        <w:rPr>
          <w:color w:val="auto"/>
          <w:spacing w:val="-1"/>
        </w:rPr>
        <w:t>a</w:t>
      </w:r>
      <w:r w:rsidRPr="00413003">
        <w:rPr>
          <w:color w:val="auto"/>
        </w:rPr>
        <w:t>bili</w:t>
      </w:r>
      <w:r w:rsidRPr="00413003">
        <w:rPr>
          <w:color w:val="auto"/>
          <w:spacing w:val="2"/>
        </w:rPr>
        <w:t>t</w:t>
      </w:r>
      <w:r w:rsidRPr="00413003">
        <w:rPr>
          <w:color w:val="auto"/>
          <w:spacing w:val="-8"/>
        </w:rPr>
        <w:t>y</w:t>
      </w:r>
      <w:r w:rsidRPr="00413003">
        <w:rPr>
          <w:color w:val="auto"/>
        </w:rPr>
        <w:t xml:space="preserve">, </w:t>
      </w:r>
      <w:r w:rsidRPr="00413003">
        <w:rPr>
          <w:color w:val="auto"/>
          <w:spacing w:val="2"/>
        </w:rPr>
        <w:t>b</w:t>
      </w:r>
      <w:r w:rsidRPr="00413003">
        <w:rPr>
          <w:color w:val="auto"/>
        </w:rPr>
        <w:t>e</w:t>
      </w:r>
      <w:r w:rsidRPr="00413003">
        <w:rPr>
          <w:color w:val="auto"/>
          <w:spacing w:val="-1"/>
        </w:rPr>
        <w:t xml:space="preserve"> e</w:t>
      </w:r>
      <w:r w:rsidRPr="00413003">
        <w:rPr>
          <w:color w:val="auto"/>
          <w:spacing w:val="2"/>
        </w:rPr>
        <w:t>x</w:t>
      </w:r>
      <w:r w:rsidRPr="00413003">
        <w:rPr>
          <w:color w:val="auto"/>
          <w:spacing w:val="-1"/>
        </w:rPr>
        <w:t>c</w:t>
      </w:r>
      <w:r w:rsidRPr="00413003">
        <w:rPr>
          <w:color w:val="auto"/>
        </w:rPr>
        <w:t>lud</w:t>
      </w:r>
      <w:r w:rsidRPr="00413003">
        <w:rPr>
          <w:color w:val="auto"/>
          <w:spacing w:val="-1"/>
        </w:rPr>
        <w:t>e</w:t>
      </w:r>
      <w:r w:rsidRPr="00413003">
        <w:rPr>
          <w:color w:val="auto"/>
        </w:rPr>
        <w:t xml:space="preserve">d </w:t>
      </w:r>
      <w:r w:rsidRPr="00413003">
        <w:rPr>
          <w:color w:val="auto"/>
          <w:spacing w:val="-1"/>
        </w:rPr>
        <w:t>f</w:t>
      </w:r>
      <w:r w:rsidRPr="00413003">
        <w:rPr>
          <w:color w:val="auto"/>
          <w:spacing w:val="1"/>
        </w:rPr>
        <w:t>r</w:t>
      </w:r>
      <w:r w:rsidRPr="00413003">
        <w:rPr>
          <w:color w:val="auto"/>
        </w:rPr>
        <w:t>om the</w:t>
      </w:r>
      <w:r w:rsidRPr="00413003">
        <w:rPr>
          <w:color w:val="auto"/>
          <w:spacing w:val="-1"/>
        </w:rPr>
        <w:t xml:space="preserve"> </w:t>
      </w:r>
      <w:r w:rsidRPr="00413003">
        <w:rPr>
          <w:color w:val="auto"/>
        </w:rPr>
        <w:t>p</w:t>
      </w:r>
      <w:r w:rsidRPr="00413003">
        <w:rPr>
          <w:color w:val="auto"/>
          <w:spacing w:val="-1"/>
        </w:rPr>
        <w:t>ar</w:t>
      </w:r>
      <w:r w:rsidRPr="00413003">
        <w:rPr>
          <w:color w:val="auto"/>
        </w:rPr>
        <w:t>ti</w:t>
      </w:r>
      <w:r w:rsidRPr="00413003">
        <w:rPr>
          <w:color w:val="auto"/>
          <w:spacing w:val="-1"/>
        </w:rPr>
        <w:t>c</w:t>
      </w:r>
      <w:r w:rsidRPr="00413003">
        <w:rPr>
          <w:color w:val="auto"/>
        </w:rPr>
        <w:t>ip</w:t>
      </w:r>
      <w:r w:rsidRPr="00413003">
        <w:rPr>
          <w:color w:val="auto"/>
          <w:spacing w:val="-1"/>
        </w:rPr>
        <w:t>a</w:t>
      </w:r>
      <w:r w:rsidRPr="00413003">
        <w:rPr>
          <w:color w:val="auto"/>
        </w:rPr>
        <w:t>tion in, be</w:t>
      </w:r>
      <w:r w:rsidRPr="00413003">
        <w:rPr>
          <w:color w:val="auto"/>
          <w:spacing w:val="-1"/>
        </w:rPr>
        <w:t xml:space="preserve"> </w:t>
      </w:r>
      <w:r w:rsidRPr="00413003">
        <w:rPr>
          <w:color w:val="auto"/>
        </w:rPr>
        <w:t>d</w:t>
      </w:r>
      <w:r w:rsidRPr="00413003">
        <w:rPr>
          <w:color w:val="auto"/>
          <w:spacing w:val="-1"/>
        </w:rPr>
        <w:t>e</w:t>
      </w:r>
      <w:r w:rsidRPr="00413003">
        <w:rPr>
          <w:color w:val="auto"/>
        </w:rPr>
        <w:t>ni</w:t>
      </w:r>
      <w:r w:rsidRPr="00413003">
        <w:rPr>
          <w:color w:val="auto"/>
          <w:spacing w:val="-1"/>
        </w:rPr>
        <w:t>e</w:t>
      </w:r>
      <w:r w:rsidRPr="00413003">
        <w:rPr>
          <w:color w:val="auto"/>
        </w:rPr>
        <w:t>d the</w:t>
      </w:r>
      <w:r w:rsidRPr="00413003">
        <w:rPr>
          <w:color w:val="auto"/>
          <w:spacing w:val="-1"/>
        </w:rPr>
        <w:t xml:space="preserve"> </w:t>
      </w:r>
      <w:r w:rsidRPr="00413003">
        <w:rPr>
          <w:color w:val="auto"/>
          <w:spacing w:val="2"/>
        </w:rPr>
        <w:t>b</w:t>
      </w:r>
      <w:r w:rsidRPr="00413003">
        <w:rPr>
          <w:color w:val="auto"/>
          <w:spacing w:val="-1"/>
        </w:rPr>
        <w:t>e</w:t>
      </w:r>
      <w:r w:rsidRPr="00413003">
        <w:rPr>
          <w:color w:val="auto"/>
        </w:rPr>
        <w:t>n</w:t>
      </w:r>
      <w:r w:rsidRPr="00413003">
        <w:rPr>
          <w:color w:val="auto"/>
          <w:spacing w:val="-1"/>
        </w:rPr>
        <w:t>ef</w:t>
      </w:r>
      <w:r w:rsidRPr="00413003">
        <w:rPr>
          <w:color w:val="auto"/>
        </w:rPr>
        <w:t>its o</w:t>
      </w:r>
      <w:r w:rsidRPr="00413003">
        <w:rPr>
          <w:color w:val="auto"/>
          <w:spacing w:val="-1"/>
        </w:rPr>
        <w:t>f</w:t>
      </w:r>
      <w:r w:rsidRPr="00413003">
        <w:rPr>
          <w:color w:val="auto"/>
        </w:rPr>
        <w:t>,</w:t>
      </w:r>
      <w:r w:rsidRPr="00413003">
        <w:rPr>
          <w:color w:val="auto"/>
          <w:spacing w:val="2"/>
        </w:rPr>
        <w:t xml:space="preserve"> </w:t>
      </w:r>
      <w:r w:rsidRPr="00413003">
        <w:rPr>
          <w:color w:val="auto"/>
        </w:rPr>
        <w:t>or</w:t>
      </w:r>
      <w:r w:rsidRPr="00413003">
        <w:rPr>
          <w:color w:val="auto"/>
          <w:spacing w:val="-1"/>
        </w:rPr>
        <w:t xml:space="preserve"> </w:t>
      </w:r>
      <w:r w:rsidRPr="00413003">
        <w:rPr>
          <w:color w:val="auto"/>
        </w:rPr>
        <w:t>be</w:t>
      </w:r>
      <w:r w:rsidRPr="00413003">
        <w:rPr>
          <w:color w:val="auto"/>
          <w:spacing w:val="-1"/>
        </w:rPr>
        <w:t xml:space="preserve"> </w:t>
      </w:r>
      <w:r w:rsidRPr="00413003">
        <w:rPr>
          <w:color w:val="auto"/>
        </w:rPr>
        <w:t>subj</w:t>
      </w:r>
      <w:r w:rsidRPr="00413003">
        <w:rPr>
          <w:color w:val="auto"/>
          <w:spacing w:val="-1"/>
        </w:rPr>
        <w:t>ec</w:t>
      </w:r>
      <w:r w:rsidRPr="00413003">
        <w:rPr>
          <w:color w:val="auto"/>
        </w:rPr>
        <w:t>t</w:t>
      </w:r>
      <w:r w:rsidRPr="00413003">
        <w:rPr>
          <w:color w:val="auto"/>
          <w:spacing w:val="-1"/>
        </w:rPr>
        <w:t>e</w:t>
      </w:r>
      <w:r w:rsidRPr="00413003">
        <w:rPr>
          <w:color w:val="auto"/>
        </w:rPr>
        <w:t>d to dis</w:t>
      </w:r>
      <w:r w:rsidRPr="00413003">
        <w:rPr>
          <w:color w:val="auto"/>
          <w:spacing w:val="-1"/>
        </w:rPr>
        <w:t>cr</w:t>
      </w:r>
      <w:r w:rsidRPr="00413003">
        <w:rPr>
          <w:color w:val="auto"/>
        </w:rPr>
        <w:t>imin</w:t>
      </w:r>
      <w:r w:rsidRPr="00413003">
        <w:rPr>
          <w:color w:val="auto"/>
          <w:spacing w:val="-1"/>
        </w:rPr>
        <w:t>a</w:t>
      </w:r>
      <w:r w:rsidRPr="00413003">
        <w:rPr>
          <w:color w:val="auto"/>
        </w:rPr>
        <w:t>tion und</w:t>
      </w:r>
      <w:r w:rsidRPr="00413003">
        <w:rPr>
          <w:color w:val="auto"/>
          <w:spacing w:val="-1"/>
        </w:rPr>
        <w:t>e</w:t>
      </w:r>
      <w:r w:rsidRPr="00413003">
        <w:rPr>
          <w:color w:val="auto"/>
        </w:rPr>
        <w:t>r</w:t>
      </w:r>
      <w:r w:rsidRPr="00413003">
        <w:rPr>
          <w:color w:val="auto"/>
          <w:spacing w:val="-1"/>
        </w:rPr>
        <w:t xml:space="preserve"> a</w:t>
      </w:r>
      <w:r w:rsidRPr="00413003">
        <w:rPr>
          <w:color w:val="auto"/>
          <w:spacing w:val="4"/>
        </w:rPr>
        <w:t>n</w:t>
      </w:r>
      <w:r w:rsidRPr="00413003">
        <w:rPr>
          <w:color w:val="auto"/>
        </w:rPr>
        <w:t>y</w:t>
      </w:r>
      <w:r w:rsidRPr="00413003">
        <w:rPr>
          <w:color w:val="auto"/>
          <w:spacing w:val="-3"/>
        </w:rPr>
        <w:t xml:space="preserve"> </w:t>
      </w:r>
      <w:r w:rsidRPr="00413003">
        <w:rPr>
          <w:color w:val="auto"/>
        </w:rPr>
        <w:t>p</w:t>
      </w:r>
      <w:r w:rsidRPr="00413003">
        <w:rPr>
          <w:color w:val="auto"/>
          <w:spacing w:val="-1"/>
        </w:rPr>
        <w:t>r</w:t>
      </w:r>
      <w:r w:rsidRPr="00413003">
        <w:rPr>
          <w:color w:val="auto"/>
        </w:rPr>
        <w:t>og</w:t>
      </w:r>
      <w:r w:rsidRPr="00413003">
        <w:rPr>
          <w:color w:val="auto"/>
          <w:spacing w:val="-1"/>
        </w:rPr>
        <w:t>ra</w:t>
      </w:r>
      <w:r w:rsidRPr="00413003">
        <w:rPr>
          <w:color w:val="auto"/>
        </w:rPr>
        <w:t>m or</w:t>
      </w:r>
      <w:r w:rsidRPr="00413003">
        <w:rPr>
          <w:color w:val="auto"/>
          <w:spacing w:val="-1"/>
        </w:rPr>
        <w:t xml:space="preserve"> </w:t>
      </w:r>
      <w:r w:rsidRPr="00413003">
        <w:rPr>
          <w:color w:val="auto"/>
          <w:spacing w:val="1"/>
        </w:rPr>
        <w:t>a</w:t>
      </w:r>
      <w:r w:rsidRPr="00413003">
        <w:rPr>
          <w:color w:val="auto"/>
          <w:spacing w:val="-1"/>
        </w:rPr>
        <w:t>c</w:t>
      </w:r>
      <w:r w:rsidRPr="00413003">
        <w:rPr>
          <w:color w:val="auto"/>
        </w:rPr>
        <w:t>tivi</w:t>
      </w:r>
      <w:r w:rsidRPr="00413003">
        <w:rPr>
          <w:color w:val="auto"/>
          <w:spacing w:val="2"/>
        </w:rPr>
        <w:t>t</w:t>
      </w:r>
      <w:r w:rsidRPr="00413003">
        <w:rPr>
          <w:color w:val="auto"/>
        </w:rPr>
        <w:t>y</w:t>
      </w:r>
      <w:r w:rsidRPr="00413003">
        <w:rPr>
          <w:color w:val="auto"/>
          <w:spacing w:val="-5"/>
        </w:rPr>
        <w:t xml:space="preserve"> </w:t>
      </w:r>
      <w:r w:rsidRPr="00413003">
        <w:rPr>
          <w:color w:val="auto"/>
          <w:spacing w:val="1"/>
        </w:rPr>
        <w:t>r</w:t>
      </w:r>
      <w:r w:rsidRPr="00413003">
        <w:rPr>
          <w:color w:val="auto"/>
          <w:spacing w:val="-1"/>
        </w:rPr>
        <w:t>e</w:t>
      </w:r>
      <w:r w:rsidRPr="00413003">
        <w:rPr>
          <w:color w:val="auto"/>
          <w:spacing w:val="1"/>
        </w:rPr>
        <w:t>c</w:t>
      </w:r>
      <w:r w:rsidRPr="00413003">
        <w:rPr>
          <w:color w:val="auto"/>
          <w:spacing w:val="-1"/>
        </w:rPr>
        <w:t>e</w:t>
      </w:r>
      <w:r w:rsidRPr="00413003">
        <w:rPr>
          <w:color w:val="auto"/>
        </w:rPr>
        <w:t>iving</w:t>
      </w:r>
      <w:r w:rsidRPr="00413003">
        <w:rPr>
          <w:color w:val="auto"/>
          <w:spacing w:val="-3"/>
        </w:rPr>
        <w:t xml:space="preserve"> </w:t>
      </w:r>
      <w:r w:rsidRPr="00413003">
        <w:rPr>
          <w:color w:val="auto"/>
        </w:rPr>
        <w:t>F</w:t>
      </w:r>
      <w:r w:rsidRPr="00413003">
        <w:rPr>
          <w:color w:val="auto"/>
          <w:spacing w:val="-1"/>
        </w:rPr>
        <w:t>e</w:t>
      </w:r>
      <w:r w:rsidRPr="00413003">
        <w:rPr>
          <w:color w:val="auto"/>
        </w:rPr>
        <w:t>d</w:t>
      </w:r>
      <w:r w:rsidRPr="00413003">
        <w:rPr>
          <w:color w:val="auto"/>
          <w:spacing w:val="1"/>
        </w:rPr>
        <w:t>e</w:t>
      </w:r>
      <w:r w:rsidRPr="00413003">
        <w:rPr>
          <w:color w:val="auto"/>
          <w:spacing w:val="-1"/>
        </w:rPr>
        <w:t>ra</w:t>
      </w:r>
      <w:r w:rsidRPr="00413003">
        <w:rPr>
          <w:color w:val="auto"/>
        </w:rPr>
        <w:t xml:space="preserve">l </w:t>
      </w:r>
      <w:r w:rsidRPr="00413003">
        <w:rPr>
          <w:color w:val="auto"/>
          <w:spacing w:val="-1"/>
        </w:rPr>
        <w:t>f</w:t>
      </w:r>
      <w:r w:rsidRPr="00413003">
        <w:rPr>
          <w:color w:val="auto"/>
        </w:rPr>
        <w:t>in</w:t>
      </w:r>
      <w:r w:rsidRPr="00413003">
        <w:rPr>
          <w:color w:val="auto"/>
          <w:spacing w:val="-1"/>
        </w:rPr>
        <w:t>a</w:t>
      </w:r>
      <w:r w:rsidRPr="00413003">
        <w:rPr>
          <w:color w:val="auto"/>
          <w:spacing w:val="2"/>
        </w:rPr>
        <w:t>n</w:t>
      </w:r>
      <w:r w:rsidRPr="00413003">
        <w:rPr>
          <w:color w:val="auto"/>
          <w:spacing w:val="-1"/>
        </w:rPr>
        <w:t>c</w:t>
      </w:r>
      <w:r w:rsidRPr="00413003">
        <w:rPr>
          <w:color w:val="auto"/>
        </w:rPr>
        <w:t>i</w:t>
      </w:r>
      <w:r w:rsidRPr="00413003">
        <w:rPr>
          <w:color w:val="auto"/>
          <w:spacing w:val="-1"/>
        </w:rPr>
        <w:t>a</w:t>
      </w:r>
      <w:r w:rsidRPr="00413003">
        <w:rPr>
          <w:color w:val="auto"/>
        </w:rPr>
        <w:t xml:space="preserve">l </w:t>
      </w:r>
      <w:r w:rsidRPr="00413003">
        <w:rPr>
          <w:color w:val="auto"/>
          <w:spacing w:val="-1"/>
        </w:rPr>
        <w:t>a</w:t>
      </w:r>
      <w:r w:rsidRPr="00413003">
        <w:rPr>
          <w:color w:val="auto"/>
          <w:spacing w:val="2"/>
        </w:rPr>
        <w:t>s</w:t>
      </w:r>
      <w:r w:rsidRPr="00413003">
        <w:rPr>
          <w:color w:val="auto"/>
        </w:rPr>
        <w:t>sist</w:t>
      </w:r>
      <w:r w:rsidRPr="00413003">
        <w:rPr>
          <w:color w:val="auto"/>
          <w:spacing w:val="-1"/>
        </w:rPr>
        <w:t>a</w:t>
      </w:r>
      <w:r w:rsidRPr="00413003">
        <w:rPr>
          <w:color w:val="auto"/>
        </w:rPr>
        <w:t>n</w:t>
      </w:r>
      <w:r w:rsidRPr="00413003">
        <w:rPr>
          <w:color w:val="auto"/>
          <w:spacing w:val="-1"/>
        </w:rPr>
        <w:t>c</w:t>
      </w:r>
      <w:r w:rsidRPr="00413003">
        <w:rPr>
          <w:color w:val="auto"/>
        </w:rPr>
        <w:t>e</w:t>
      </w:r>
      <w:r w:rsidRPr="00413003">
        <w:rPr>
          <w:color w:val="auto"/>
          <w:spacing w:val="-1"/>
        </w:rPr>
        <w:t xml:space="preserve"> </w:t>
      </w:r>
      <w:r w:rsidRPr="00413003">
        <w:rPr>
          <w:color w:val="auto"/>
        </w:rPr>
        <w:t>or</w:t>
      </w:r>
      <w:r w:rsidRPr="00413003">
        <w:rPr>
          <w:color w:val="auto"/>
          <w:spacing w:val="-1"/>
        </w:rPr>
        <w:t xml:space="preserve"> </w:t>
      </w:r>
      <w:r w:rsidRPr="00413003">
        <w:rPr>
          <w:color w:val="auto"/>
        </w:rPr>
        <w:t>und</w:t>
      </w:r>
      <w:r w:rsidRPr="00413003">
        <w:rPr>
          <w:color w:val="auto"/>
          <w:spacing w:val="1"/>
        </w:rPr>
        <w:t>e</w:t>
      </w:r>
      <w:r w:rsidRPr="00413003">
        <w:rPr>
          <w:color w:val="auto"/>
        </w:rPr>
        <w:t>r</w:t>
      </w:r>
      <w:r w:rsidRPr="00413003">
        <w:rPr>
          <w:color w:val="auto"/>
          <w:spacing w:val="-1"/>
        </w:rPr>
        <w:t xml:space="preserve"> a</w:t>
      </w:r>
      <w:r w:rsidRPr="00413003">
        <w:rPr>
          <w:color w:val="auto"/>
          <w:spacing w:val="4"/>
        </w:rPr>
        <w:t>n</w:t>
      </w:r>
      <w:r w:rsidRPr="00413003">
        <w:rPr>
          <w:color w:val="auto"/>
        </w:rPr>
        <w:t>y p</w:t>
      </w:r>
      <w:r w:rsidRPr="00413003">
        <w:rPr>
          <w:color w:val="auto"/>
          <w:spacing w:val="-1"/>
        </w:rPr>
        <w:t>r</w:t>
      </w:r>
      <w:r w:rsidRPr="00413003">
        <w:rPr>
          <w:color w:val="auto"/>
        </w:rPr>
        <w:t>og</w:t>
      </w:r>
      <w:r w:rsidRPr="00413003">
        <w:rPr>
          <w:color w:val="auto"/>
          <w:spacing w:val="-1"/>
        </w:rPr>
        <w:t>ra</w:t>
      </w:r>
      <w:r w:rsidRPr="00413003">
        <w:rPr>
          <w:color w:val="auto"/>
        </w:rPr>
        <w:t>m or</w:t>
      </w:r>
      <w:r w:rsidRPr="00413003">
        <w:rPr>
          <w:color w:val="auto"/>
          <w:spacing w:val="-1"/>
        </w:rPr>
        <w:t xml:space="preserve"> </w:t>
      </w:r>
      <w:r w:rsidRPr="00413003">
        <w:rPr>
          <w:color w:val="auto"/>
          <w:spacing w:val="1"/>
        </w:rPr>
        <w:t>a</w:t>
      </w:r>
      <w:r w:rsidRPr="00413003">
        <w:rPr>
          <w:color w:val="auto"/>
          <w:spacing w:val="-1"/>
        </w:rPr>
        <w:t>c</w:t>
      </w:r>
      <w:r w:rsidRPr="00413003">
        <w:rPr>
          <w:color w:val="auto"/>
        </w:rPr>
        <w:t>tivi</w:t>
      </w:r>
      <w:r w:rsidRPr="00413003">
        <w:rPr>
          <w:color w:val="auto"/>
          <w:spacing w:val="2"/>
        </w:rPr>
        <w:t>t</w:t>
      </w:r>
      <w:r w:rsidRPr="00413003">
        <w:rPr>
          <w:color w:val="auto"/>
        </w:rPr>
        <w:t>y</w:t>
      </w:r>
      <w:r w:rsidRPr="00413003">
        <w:rPr>
          <w:color w:val="auto"/>
          <w:spacing w:val="-5"/>
        </w:rPr>
        <w:t xml:space="preserve"> </w:t>
      </w:r>
      <w:r w:rsidRPr="00413003">
        <w:rPr>
          <w:color w:val="auto"/>
          <w:spacing w:val="-1"/>
        </w:rPr>
        <w:t>c</w:t>
      </w:r>
      <w:r w:rsidRPr="00413003">
        <w:rPr>
          <w:color w:val="auto"/>
        </w:rPr>
        <w:t>on</w:t>
      </w:r>
      <w:r w:rsidRPr="00413003">
        <w:rPr>
          <w:color w:val="auto"/>
          <w:spacing w:val="2"/>
        </w:rPr>
        <w:t>d</w:t>
      </w:r>
      <w:r w:rsidRPr="00413003">
        <w:rPr>
          <w:color w:val="auto"/>
        </w:rPr>
        <w:t>u</w:t>
      </w:r>
      <w:r w:rsidRPr="00413003">
        <w:rPr>
          <w:color w:val="auto"/>
          <w:spacing w:val="-1"/>
        </w:rPr>
        <w:t>c</w:t>
      </w:r>
      <w:r w:rsidRPr="00413003">
        <w:rPr>
          <w:color w:val="auto"/>
        </w:rPr>
        <w:t>t</w:t>
      </w:r>
      <w:r w:rsidRPr="00413003">
        <w:rPr>
          <w:color w:val="auto"/>
          <w:spacing w:val="-1"/>
        </w:rPr>
        <w:t>e</w:t>
      </w:r>
      <w:r w:rsidRPr="00413003">
        <w:rPr>
          <w:color w:val="auto"/>
        </w:rPr>
        <w:t>d</w:t>
      </w:r>
      <w:r w:rsidRPr="00413003">
        <w:rPr>
          <w:color w:val="auto"/>
          <w:spacing w:val="-1"/>
        </w:rPr>
        <w:t xml:space="preserve"> </w:t>
      </w:r>
      <w:r w:rsidRPr="00413003">
        <w:rPr>
          <w:color w:val="auto"/>
          <w:spacing w:val="4"/>
        </w:rPr>
        <w:t>b</w:t>
      </w:r>
      <w:r w:rsidRPr="00413003">
        <w:rPr>
          <w:color w:val="auto"/>
        </w:rPr>
        <w:t>y</w:t>
      </w:r>
      <w:r w:rsidRPr="00413003">
        <w:rPr>
          <w:color w:val="auto"/>
          <w:spacing w:val="-5"/>
        </w:rPr>
        <w:t xml:space="preserve"> </w:t>
      </w:r>
      <w:r w:rsidRPr="00413003">
        <w:rPr>
          <w:color w:val="auto"/>
          <w:spacing w:val="-1"/>
        </w:rPr>
        <w:t>a</w:t>
      </w:r>
      <w:r w:rsidRPr="00413003">
        <w:rPr>
          <w:color w:val="auto"/>
          <w:spacing w:val="4"/>
        </w:rPr>
        <w:t>n</w:t>
      </w:r>
      <w:r w:rsidRPr="00413003">
        <w:rPr>
          <w:color w:val="auto"/>
        </w:rPr>
        <w:t>y</w:t>
      </w:r>
      <w:r w:rsidRPr="00413003">
        <w:rPr>
          <w:color w:val="auto"/>
          <w:spacing w:val="-5"/>
        </w:rPr>
        <w:t xml:space="preserve"> </w:t>
      </w:r>
      <w:r w:rsidRPr="00413003">
        <w:rPr>
          <w:color w:val="auto"/>
          <w:spacing w:val="-1"/>
        </w:rPr>
        <w:t>E</w:t>
      </w:r>
      <w:r w:rsidRPr="00413003">
        <w:rPr>
          <w:color w:val="auto"/>
          <w:spacing w:val="2"/>
        </w:rPr>
        <w:t>x</w:t>
      </w:r>
      <w:r w:rsidRPr="00413003">
        <w:rPr>
          <w:color w:val="auto"/>
          <w:spacing w:val="-1"/>
        </w:rPr>
        <w:t>ec</w:t>
      </w:r>
      <w:r w:rsidRPr="00413003">
        <w:rPr>
          <w:color w:val="auto"/>
        </w:rPr>
        <w:t>utive</w:t>
      </w:r>
      <w:r w:rsidRPr="00413003">
        <w:rPr>
          <w:color w:val="auto"/>
          <w:spacing w:val="-1"/>
        </w:rPr>
        <w:t xml:space="preserve"> </w:t>
      </w:r>
      <w:r w:rsidRPr="00413003">
        <w:rPr>
          <w:color w:val="auto"/>
          <w:spacing w:val="1"/>
        </w:rPr>
        <w:t>a</w:t>
      </w:r>
      <w:r w:rsidRPr="00413003">
        <w:rPr>
          <w:color w:val="auto"/>
          <w:spacing w:val="-3"/>
        </w:rPr>
        <w:t>g</w:t>
      </w:r>
      <w:r w:rsidRPr="00413003">
        <w:rPr>
          <w:color w:val="auto"/>
          <w:spacing w:val="-1"/>
        </w:rPr>
        <w:t>e</w:t>
      </w:r>
      <w:r w:rsidRPr="00413003">
        <w:rPr>
          <w:color w:val="auto"/>
          <w:spacing w:val="2"/>
        </w:rPr>
        <w:t>n</w:t>
      </w:r>
      <w:r w:rsidRPr="00413003">
        <w:rPr>
          <w:color w:val="auto"/>
          <w:spacing w:val="3"/>
        </w:rPr>
        <w:t>c</w:t>
      </w:r>
      <w:r w:rsidRPr="00413003">
        <w:rPr>
          <w:color w:val="auto"/>
        </w:rPr>
        <w:t>y</w:t>
      </w:r>
      <w:r w:rsidRPr="00413003">
        <w:rPr>
          <w:color w:val="auto"/>
          <w:spacing w:val="-5"/>
        </w:rPr>
        <w:t xml:space="preserve"> </w:t>
      </w:r>
      <w:r w:rsidRPr="00413003">
        <w:rPr>
          <w:color w:val="auto"/>
        </w:rPr>
        <w:t>or</w:t>
      </w:r>
      <w:r w:rsidRPr="00413003">
        <w:rPr>
          <w:color w:val="auto"/>
          <w:spacing w:val="-1"/>
        </w:rPr>
        <w:t xml:space="preserve"> </w:t>
      </w:r>
      <w:r w:rsidRPr="00413003">
        <w:rPr>
          <w:color w:val="auto"/>
          <w:spacing w:val="4"/>
        </w:rPr>
        <w:t>b</w:t>
      </w:r>
      <w:r w:rsidRPr="00413003">
        <w:rPr>
          <w:color w:val="auto"/>
        </w:rPr>
        <w:t>y</w:t>
      </w:r>
      <w:r w:rsidRPr="00413003">
        <w:rPr>
          <w:color w:val="auto"/>
          <w:spacing w:val="-5"/>
        </w:rPr>
        <w:t xml:space="preserve"> </w:t>
      </w:r>
      <w:r w:rsidRPr="00413003">
        <w:rPr>
          <w:color w:val="auto"/>
        </w:rPr>
        <w:t>the</w:t>
      </w:r>
      <w:r w:rsidRPr="00413003">
        <w:rPr>
          <w:color w:val="auto"/>
          <w:spacing w:val="1"/>
        </w:rPr>
        <w:t xml:space="preserve"> </w:t>
      </w:r>
      <w:r w:rsidRPr="00413003">
        <w:rPr>
          <w:color w:val="auto"/>
          <w:spacing w:val="-1"/>
        </w:rPr>
        <w:t>U</w:t>
      </w:r>
      <w:r w:rsidRPr="00413003">
        <w:rPr>
          <w:color w:val="auto"/>
        </w:rPr>
        <w:t>nit</w:t>
      </w:r>
      <w:r w:rsidRPr="00413003">
        <w:rPr>
          <w:color w:val="auto"/>
          <w:spacing w:val="-1"/>
        </w:rPr>
        <w:t>e</w:t>
      </w:r>
      <w:r w:rsidRPr="00413003">
        <w:rPr>
          <w:color w:val="auto"/>
        </w:rPr>
        <w:t>d St</w:t>
      </w:r>
      <w:r w:rsidRPr="00413003">
        <w:rPr>
          <w:color w:val="auto"/>
          <w:spacing w:val="-1"/>
        </w:rPr>
        <w:t>a</w:t>
      </w:r>
      <w:r w:rsidRPr="00413003">
        <w:rPr>
          <w:color w:val="auto"/>
        </w:rPr>
        <w:t>t</w:t>
      </w:r>
      <w:r w:rsidRPr="00413003">
        <w:rPr>
          <w:color w:val="auto"/>
          <w:spacing w:val="-1"/>
        </w:rPr>
        <w:t>e</w:t>
      </w:r>
      <w:r w:rsidRPr="00413003">
        <w:rPr>
          <w:color w:val="auto"/>
        </w:rPr>
        <w:t>s Post</w:t>
      </w:r>
      <w:r w:rsidRPr="00413003">
        <w:rPr>
          <w:color w:val="auto"/>
          <w:spacing w:val="-1"/>
        </w:rPr>
        <w:t>a</w:t>
      </w:r>
      <w:r w:rsidRPr="00413003">
        <w:rPr>
          <w:color w:val="auto"/>
        </w:rPr>
        <w:t>l S</w:t>
      </w:r>
      <w:r w:rsidRPr="00413003">
        <w:rPr>
          <w:color w:val="auto"/>
          <w:spacing w:val="-1"/>
        </w:rPr>
        <w:t>er</w:t>
      </w:r>
      <w:r w:rsidRPr="00413003">
        <w:rPr>
          <w:color w:val="auto"/>
        </w:rPr>
        <w:t>vi</w:t>
      </w:r>
      <w:r w:rsidRPr="00413003">
        <w:rPr>
          <w:color w:val="auto"/>
          <w:spacing w:val="-1"/>
        </w:rPr>
        <w:t>ce.</w:t>
      </w:r>
      <w:r w:rsidRPr="00413003">
        <w:rPr>
          <w:color w:val="auto"/>
        </w:rPr>
        <w:t>”</w:t>
      </w:r>
      <w:r w:rsidRPr="00413003">
        <w:rPr>
          <w:rStyle w:val="EndnoteReference"/>
          <w:color w:val="auto"/>
        </w:rPr>
        <w:endnoteReference w:id="13"/>
      </w:r>
      <w:r w:rsidRPr="00413003">
        <w:rPr>
          <w:color w:val="auto"/>
        </w:rPr>
        <w:t xml:space="preserve"> </w:t>
      </w:r>
      <w:r w:rsidRPr="00413003">
        <w:rPr>
          <w:rFonts w:eastAsia="Times New Roman"/>
          <w:color w:val="auto"/>
          <w:shd w:val="clear" w:color="auto" w:fill="FFFFFF"/>
        </w:rPr>
        <w:t xml:space="preserve">In 1975, Congress passed </w:t>
      </w:r>
      <w:r w:rsidRPr="00413003">
        <w:rPr>
          <w:color w:val="auto"/>
        </w:rPr>
        <w:t>EHA,</w:t>
      </w:r>
      <w:r w:rsidRPr="00413003">
        <w:rPr>
          <w:rStyle w:val="EndnoteReference"/>
          <w:color w:val="auto"/>
        </w:rPr>
        <w:endnoteReference w:id="14"/>
      </w:r>
      <w:r w:rsidRPr="00413003">
        <w:rPr>
          <w:color w:val="auto"/>
        </w:rPr>
        <w:t xml:space="preserve"> which would later be reauthorized as IDEA,</w:t>
      </w:r>
      <w:r w:rsidRPr="00413003">
        <w:rPr>
          <w:rStyle w:val="EndnoteReference"/>
          <w:color w:val="auto"/>
        </w:rPr>
        <w:endnoteReference w:id="15"/>
      </w:r>
      <w:r w:rsidRPr="00413003">
        <w:rPr>
          <w:color w:val="auto"/>
        </w:rPr>
        <w:t xml:space="preserve"> mandating a free public education for all children with disabilities and requiring states to ensure that all students with disabilities receive a free and appropriate public education in LRE.</w:t>
      </w:r>
      <w:r w:rsidRPr="00413003">
        <w:rPr>
          <w:rStyle w:val="EndnoteReference"/>
          <w:color w:val="auto"/>
        </w:rPr>
        <w:endnoteReference w:id="16"/>
      </w:r>
      <w:r w:rsidRPr="00413003">
        <w:rPr>
          <w:color w:val="auto"/>
        </w:rPr>
        <w:t xml:space="preserve"> This law continues today as a means of ensuring that states establish policies and procedures for special education services that comply with the law, monitor </w:t>
      </w:r>
      <w:r w:rsidRPr="00413003">
        <w:rPr>
          <w:color w:val="auto"/>
        </w:rPr>
        <w:lastRenderedPageBreak/>
        <w:t>implementation at the local level, and promote the intended outcomes for all children and youth with disabilities: access to general education and extracurricular activities with peers without disabilities.</w:t>
      </w:r>
    </w:p>
    <w:p w14:paraId="38583253" w14:textId="77777777" w:rsidR="00FC0E68" w:rsidRPr="00413003" w:rsidRDefault="00FC0E68" w:rsidP="00FC0E68">
      <w:pPr>
        <w:pStyle w:val="Heading2"/>
      </w:pPr>
      <w:bookmarkStart w:id="56" w:name="_Toc499116968"/>
      <w:bookmarkStart w:id="57" w:name="_Toc500433946"/>
      <w:r w:rsidRPr="00413003">
        <w:t>Individuals with Disabilities Education Act</w:t>
      </w:r>
      <w:bookmarkEnd w:id="56"/>
      <w:bookmarkEnd w:id="57"/>
    </w:p>
    <w:p w14:paraId="2A8F7259" w14:textId="77777777" w:rsidR="00FC0E68" w:rsidRPr="00413003" w:rsidRDefault="00FC0E68" w:rsidP="00FC0E68">
      <w:pPr>
        <w:pStyle w:val="NCDBodyText"/>
        <w:rPr>
          <w:rFonts w:eastAsia="Times New Roman"/>
          <w:color w:val="auto"/>
        </w:rPr>
      </w:pPr>
      <w:r w:rsidRPr="00413003">
        <w:rPr>
          <w:color w:val="auto"/>
        </w:rPr>
        <w:t xml:space="preserve">IDEA defines </w:t>
      </w:r>
      <w:r w:rsidRPr="00413003">
        <w:rPr>
          <w:i/>
          <w:color w:val="auto"/>
        </w:rPr>
        <w:t>special education</w:t>
      </w:r>
      <w:r w:rsidRPr="00413003">
        <w:rPr>
          <w:color w:val="auto"/>
        </w:rPr>
        <w:t xml:space="preserve"> as specially designed instruction “so that the child can meet the educational standards . . . that apply to all children.”</w:t>
      </w:r>
      <w:r w:rsidRPr="00413003">
        <w:rPr>
          <w:rStyle w:val="EndnoteReference"/>
          <w:color w:val="auto"/>
        </w:rPr>
        <w:endnoteReference w:id="17"/>
      </w:r>
      <w:r w:rsidRPr="00413003">
        <w:rPr>
          <w:color w:val="auto"/>
        </w:rPr>
        <w:t xml:space="preserve"> Each student must have an</w:t>
      </w:r>
      <w:bookmarkStart w:id="58" w:name="_Hlk488592355"/>
      <w:r w:rsidRPr="00413003">
        <w:rPr>
          <w:color w:val="auto"/>
        </w:rPr>
        <w:t xml:space="preserve"> individualized education program (IEP)</w:t>
      </w:r>
      <w:bookmarkEnd w:id="58"/>
      <w:r w:rsidRPr="00413003">
        <w:rPr>
          <w:color w:val="auto"/>
        </w:rPr>
        <w:t xml:space="preserve"> with goals designed by an IEP team to meet the child’s needs that result from the disability for two reasons: </w:t>
      </w:r>
    </w:p>
    <w:p w14:paraId="5C227741" w14:textId="77777777" w:rsidR="00FC0E68" w:rsidRPr="00413003" w:rsidRDefault="00FC0E68" w:rsidP="00A64F6D">
      <w:pPr>
        <w:pStyle w:val="NCDNumberedLevel1"/>
        <w:numPr>
          <w:ilvl w:val="0"/>
          <w:numId w:val="4"/>
        </w:numPr>
        <w:ind w:left="360"/>
        <w:rPr>
          <w:color w:val="auto"/>
        </w:rPr>
      </w:pPr>
      <w:r w:rsidRPr="00413003">
        <w:rPr>
          <w:color w:val="auto"/>
        </w:rPr>
        <w:t xml:space="preserve">To enable the child to be involved in and make progress in the general education curriculum, and </w:t>
      </w:r>
    </w:p>
    <w:p w14:paraId="3145D7EC" w14:textId="77777777" w:rsidR="00FC0E68" w:rsidRPr="00413003" w:rsidRDefault="00FC0E68" w:rsidP="00FC0E68">
      <w:pPr>
        <w:pStyle w:val="NCDNumberedLevel1"/>
        <w:rPr>
          <w:rFonts w:eastAsia="Times New Roman"/>
          <w:color w:val="auto"/>
        </w:rPr>
      </w:pPr>
      <w:r w:rsidRPr="00413003">
        <w:rPr>
          <w:color w:val="auto"/>
        </w:rPr>
        <w:t>To meet each of the child’s other educational needs that result from the disability.</w:t>
      </w:r>
      <w:r w:rsidRPr="00413003">
        <w:rPr>
          <w:rStyle w:val="EndnoteReference"/>
          <w:color w:val="auto"/>
        </w:rPr>
        <w:endnoteReference w:id="18"/>
      </w:r>
      <w:r w:rsidRPr="00413003">
        <w:rPr>
          <w:color w:val="auto"/>
        </w:rPr>
        <w:t xml:space="preserve"> </w:t>
      </w:r>
    </w:p>
    <w:p w14:paraId="5F79545F" w14:textId="77777777" w:rsidR="00FC0E68" w:rsidRPr="00413003" w:rsidRDefault="00FC0E68" w:rsidP="00FC0E68">
      <w:pPr>
        <w:pStyle w:val="NCDBodyText"/>
        <w:rPr>
          <w:color w:val="auto"/>
        </w:rPr>
      </w:pPr>
      <w:r w:rsidRPr="00413003">
        <w:rPr>
          <w:color w:val="auto"/>
        </w:rPr>
        <w:t>Each IEP must identify the special education, related services, supplementary aids and services, program modifications, and support for school personnel to enable the child to achieve his or her annual goals, make progress in the general education curriculum, and be educated alongside children with and without disabilities.</w:t>
      </w:r>
      <w:r w:rsidRPr="00413003">
        <w:rPr>
          <w:rStyle w:val="EndnoteReference"/>
          <w:color w:val="auto"/>
        </w:rPr>
        <w:endnoteReference w:id="19"/>
      </w:r>
      <w:r w:rsidRPr="00413003">
        <w:rPr>
          <w:color w:val="auto"/>
        </w:rPr>
        <w:t xml:space="preserve"> Students with disabilities, even those who take an alternate assessment based on alternate achievement standards, are explicitly expected to have IEP goals aligned with their grade level curricula. Each state must ensure that personnel are “appropriately and adequately prepared and trained, and have the content knowledge and skills to serve children with disabilities.”</w:t>
      </w:r>
      <w:r w:rsidRPr="00413003">
        <w:rPr>
          <w:rStyle w:val="EndnoteReference"/>
          <w:color w:val="auto"/>
        </w:rPr>
        <w:endnoteReference w:id="20"/>
      </w:r>
    </w:p>
    <w:p w14:paraId="2F53D6AB" w14:textId="77777777" w:rsidR="00FC0E68" w:rsidRPr="00413003" w:rsidRDefault="00FC0E68" w:rsidP="00FC0E68">
      <w:pPr>
        <w:pStyle w:val="Heading2"/>
      </w:pPr>
      <w:bookmarkStart w:id="59" w:name="_Toc499116969"/>
      <w:bookmarkStart w:id="60" w:name="_Toc500433947"/>
      <w:r w:rsidRPr="00413003">
        <w:t>The LRE Requirement</w:t>
      </w:r>
      <w:bookmarkEnd w:id="59"/>
      <w:bookmarkEnd w:id="60"/>
    </w:p>
    <w:p w14:paraId="3E5F3557" w14:textId="77777777" w:rsidR="00FC0E68" w:rsidRPr="00413003" w:rsidRDefault="00FC0E68" w:rsidP="00FC0E68">
      <w:pPr>
        <w:pStyle w:val="NCDBodyText"/>
        <w:rPr>
          <w:bCs/>
          <w:color w:val="auto"/>
        </w:rPr>
      </w:pPr>
      <w:r w:rsidRPr="00413003">
        <w:rPr>
          <w:color w:val="auto"/>
        </w:rPr>
        <w:t xml:space="preserve">IDEA states that </w:t>
      </w:r>
      <w:r w:rsidRPr="00413003">
        <w:rPr>
          <w:rFonts w:eastAsia="Times New Roman"/>
          <w:color w:val="auto"/>
        </w:rPr>
        <w:t xml:space="preserve">each public agency shall ensure, </w:t>
      </w:r>
      <w:r w:rsidRPr="00413003">
        <w:rPr>
          <w:color w:val="auto"/>
        </w:rPr>
        <w:t>“that to the maximum extent appropriate, children with disabilities . . . are educated with children who are nondisabled,” “as close as possible to the child’s home,” “in the school he or she would attend if not disabled.”</w:t>
      </w:r>
      <w:r w:rsidRPr="00413003">
        <w:rPr>
          <w:rStyle w:val="EndnoteReference"/>
          <w:color w:val="auto"/>
        </w:rPr>
        <w:endnoteReference w:id="21"/>
      </w:r>
      <w:r w:rsidRPr="00413003">
        <w:rPr>
          <w:color w:val="auto"/>
        </w:rPr>
        <w:t xml:space="preserve"> </w:t>
      </w:r>
      <w:r w:rsidRPr="00413003">
        <w:rPr>
          <w:bCs/>
          <w:color w:val="auto"/>
        </w:rPr>
        <w:t>It also stipulates that removal from general education classes to separate s</w:t>
      </w:r>
      <w:r w:rsidRPr="00413003">
        <w:rPr>
          <w:color w:val="auto"/>
          <w:shd w:val="clear" w:color="auto" w:fill="FFFFFF"/>
        </w:rPr>
        <w:t>pecial classes or schools “occurs only if the nature or severity of the disability is such that education in regular classes with the use of supplementary aids and services</w:t>
      </w:r>
      <w:r w:rsidRPr="00413003">
        <w:rPr>
          <w:color w:val="auto"/>
        </w:rPr>
        <w:t xml:space="preserve"> </w:t>
      </w:r>
      <w:r w:rsidRPr="00413003">
        <w:rPr>
          <w:color w:val="auto"/>
          <w:shd w:val="clear" w:color="auto" w:fill="FFFFFF"/>
        </w:rPr>
        <w:t>cannot be achieved satisfactorily.”</w:t>
      </w:r>
      <w:r w:rsidRPr="00413003">
        <w:rPr>
          <w:rStyle w:val="EndnoteReference"/>
          <w:color w:val="auto"/>
          <w:shd w:val="clear" w:color="auto" w:fill="FFFFFF"/>
        </w:rPr>
        <w:endnoteReference w:id="22"/>
      </w:r>
      <w:r w:rsidRPr="00413003">
        <w:rPr>
          <w:color w:val="auto"/>
          <w:shd w:val="clear" w:color="auto" w:fill="FFFFFF"/>
        </w:rPr>
        <w:t xml:space="preserve"> E</w:t>
      </w:r>
      <w:r w:rsidRPr="00413003">
        <w:rPr>
          <w:bCs/>
          <w:color w:val="auto"/>
        </w:rPr>
        <w:t xml:space="preserve">ach public agency must ensure that </w:t>
      </w:r>
      <w:r w:rsidRPr="00413003">
        <w:rPr>
          <w:bCs/>
          <w:color w:val="auto"/>
        </w:rPr>
        <w:lastRenderedPageBreak/>
        <w:t>each child with a disability has the supplementary aids and services</w:t>
      </w:r>
      <w:r w:rsidRPr="00413003">
        <w:rPr>
          <w:color w:val="auto"/>
        </w:rPr>
        <w:t xml:space="preserve"> </w:t>
      </w:r>
      <w:r w:rsidRPr="00413003">
        <w:rPr>
          <w:bCs/>
          <w:color w:val="auto"/>
        </w:rPr>
        <w:t>needed for the child to participate with children without disabilities in extracurricular services and activities “</w:t>
      </w:r>
      <w:r w:rsidRPr="00413003">
        <w:rPr>
          <w:color w:val="auto"/>
        </w:rPr>
        <w:t>in the manner necessary to afford children with disabilities an equal opportunity for participation in those services and activities.”</w:t>
      </w:r>
      <w:r w:rsidRPr="00413003">
        <w:rPr>
          <w:rStyle w:val="EndnoteReference"/>
          <w:color w:val="auto"/>
        </w:rPr>
        <w:endnoteReference w:id="23"/>
      </w:r>
      <w:r w:rsidRPr="00413003">
        <w:rPr>
          <w:bCs/>
          <w:color w:val="auto"/>
        </w:rPr>
        <w:t xml:space="preserve"> </w:t>
      </w:r>
    </w:p>
    <w:p w14:paraId="15D1A0DA" w14:textId="77777777" w:rsidR="00FC0E68" w:rsidRPr="00413003" w:rsidRDefault="00FC0E68" w:rsidP="00FC0E68">
      <w:pPr>
        <w:pStyle w:val="Heading2"/>
      </w:pPr>
      <w:bookmarkStart w:id="61" w:name="_Toc499116970"/>
      <w:bookmarkStart w:id="62" w:name="_Toc500433948"/>
      <w:r w:rsidRPr="00413003">
        <w:t>Placement Decisions</w:t>
      </w:r>
      <w:bookmarkEnd w:id="61"/>
      <w:bookmarkEnd w:id="62"/>
    </w:p>
    <w:p w14:paraId="26148C4F" w14:textId="77777777" w:rsidR="00FC0E68" w:rsidRPr="00413003" w:rsidRDefault="00FC0E68" w:rsidP="00FC0E68">
      <w:pPr>
        <w:pStyle w:val="NCDBodyText"/>
        <w:rPr>
          <w:bCs/>
          <w:color w:val="auto"/>
        </w:rPr>
      </w:pPr>
      <w:r w:rsidRPr="00413003">
        <w:rPr>
          <w:color w:val="auto"/>
        </w:rPr>
        <w:t>The starting point for all placement decisions is intended to begin with the general education classes in the school the student would attend if they did not have a disability. IEP teams may consider removing a student to more restrictive placement if the nature or severity of a child’s disability is such that, even with the provision of supplementary aids and services in the general education setting, an education in the regular class will not be appropriate or successful.</w:t>
      </w:r>
      <w:r w:rsidRPr="00413003">
        <w:rPr>
          <w:rStyle w:val="EndnoteReference"/>
          <w:color w:val="auto"/>
        </w:rPr>
        <w:endnoteReference w:id="24"/>
      </w:r>
      <w:r w:rsidRPr="00413003">
        <w:rPr>
          <w:color w:val="auto"/>
        </w:rPr>
        <w:t xml:space="preserve"> </w:t>
      </w:r>
      <w:r w:rsidRPr="00413003">
        <w:rPr>
          <w:bCs/>
          <w:color w:val="auto"/>
        </w:rPr>
        <w:t xml:space="preserve">If the student will not participate in the general education setting, curriculum, or in nonacademic or extracurricular activities, then the IEP team must offer an explanation of the extent to which such removals will occur and are necessary. </w:t>
      </w:r>
    </w:p>
    <w:p w14:paraId="21D44606" w14:textId="729F2D38" w:rsidR="00FC0E68" w:rsidRPr="00413003" w:rsidRDefault="00FC0E68" w:rsidP="00FC0E68">
      <w:pPr>
        <w:pStyle w:val="NCDBodyText"/>
        <w:rPr>
          <w:bCs/>
          <w:color w:val="auto"/>
        </w:rPr>
      </w:pPr>
      <w:r w:rsidRPr="00413003">
        <w:rPr>
          <w:color w:val="auto"/>
        </w:rPr>
        <w:t>The regulations describe a “continuum of alternative placements” that public agencies must be ready to provide if needed, including: regular classes, special classes, special schools, home instruction, hospital settings,</w:t>
      </w:r>
      <w:r w:rsidRPr="00413003">
        <w:rPr>
          <w:rFonts w:eastAsia="Times New Roman"/>
          <w:color w:val="auto"/>
        </w:rPr>
        <w:t xml:space="preserve"> and private and public facilities, such as separate day schools or residential programs.</w:t>
      </w:r>
      <w:r w:rsidRPr="00413003">
        <w:rPr>
          <w:rStyle w:val="EndnoteReference"/>
          <w:rFonts w:eastAsia="Times New Roman"/>
          <w:color w:val="auto"/>
        </w:rPr>
        <w:endnoteReference w:id="25"/>
      </w:r>
      <w:r w:rsidRPr="00413003">
        <w:rPr>
          <w:rFonts w:eastAsia="Times New Roman"/>
          <w:color w:val="auto"/>
        </w:rPr>
        <w:t xml:space="preserve"> </w:t>
      </w:r>
      <w:r w:rsidRPr="00413003">
        <w:rPr>
          <w:color w:val="auto"/>
        </w:rPr>
        <w:t>The law does not require each and every possible placement option along the continuum be filled with students, but only that public agencies make these options available when, and if, needed. Clearly, the LRE requirements express a strong preference, not a mandate, for educating children with disabilities in regular classes alongside their peers without disabilities.</w:t>
      </w:r>
      <w:r w:rsidRPr="00413003">
        <w:rPr>
          <w:rStyle w:val="EndnoteReference"/>
          <w:color w:val="auto"/>
        </w:rPr>
        <w:endnoteReference w:id="26"/>
      </w:r>
      <w:r w:rsidRPr="00413003">
        <w:rPr>
          <w:bCs/>
          <w:color w:val="auto"/>
        </w:rPr>
        <w:t xml:space="preserve"> </w:t>
      </w:r>
      <w:r w:rsidRPr="00413003">
        <w:rPr>
          <w:color w:val="auto"/>
        </w:rPr>
        <w:t xml:space="preserve">In selecting the educational environment, IEP teams must consider any </w:t>
      </w:r>
      <w:r w:rsidRPr="00413003">
        <w:rPr>
          <w:color w:val="auto"/>
          <w:shd w:val="clear" w:color="auto" w:fill="FFFFFF"/>
        </w:rPr>
        <w:t>potentially harmful effect on the child or on the quality of services that he or she receives that might result from the change in placement.</w:t>
      </w:r>
      <w:r w:rsidRPr="00413003">
        <w:rPr>
          <w:bCs/>
          <w:color w:val="auto"/>
        </w:rPr>
        <w:t xml:space="preserve"> The US Department of Education’s Office for Civil Rights (OCR) addressed placement questions regarding LRE and free appropriate public education (FAPE) for deaf children using American Sign Language (ASL) as their primary means of communication. OCR guidance emphasized that “[m]</w:t>
      </w:r>
      <w:proofErr w:type="spellStart"/>
      <w:r w:rsidRPr="00413003">
        <w:rPr>
          <w:bCs/>
          <w:color w:val="auto"/>
        </w:rPr>
        <w:t>eeting</w:t>
      </w:r>
      <w:proofErr w:type="spellEnd"/>
      <w:r w:rsidRPr="00413003">
        <w:rPr>
          <w:bCs/>
          <w:color w:val="auto"/>
        </w:rPr>
        <w:t xml:space="preserve"> the unique communication and related needs of a student who is deaf is a fundamental part of providing . . . FAPE to the child. Any setting, including a regular classroom that prevents </w:t>
      </w:r>
      <w:r w:rsidRPr="00413003">
        <w:rPr>
          <w:bCs/>
          <w:color w:val="auto"/>
        </w:rPr>
        <w:lastRenderedPageBreak/>
        <w:t>a child who is deaf from receiving an appropriate education that meets his or her needs including communication needs is not the LRE for that individual child.”</w:t>
      </w:r>
      <w:bookmarkStart w:id="63" w:name="x__ednref1"/>
      <w:r w:rsidRPr="00413003">
        <w:rPr>
          <w:rStyle w:val="EndnoteReference"/>
          <w:bCs/>
          <w:color w:val="auto"/>
        </w:rPr>
        <w:endnoteReference w:id="27"/>
      </w:r>
      <w:r w:rsidRPr="00413003">
        <w:rPr>
          <w:bCs/>
          <w:color w:val="auto"/>
        </w:rPr>
        <w:t xml:space="preserve"> For some deaf or hard-of-hearing students or students with other disabilities who communicate through ASL, LRE and FAPE might be best met by utilizing both languages (i.e., ASL and English) used by the child’s family, community, and culture. The students’ language development and communication needs, as well as their ability to further learn English and other academic content, might be best met in a part-time or full-time immersion bilingual and bicultural setting within their school or in a school that offers full immersion. These determinations must be made on an individualized basis. </w:t>
      </w:r>
      <w:bookmarkEnd w:id="63"/>
    </w:p>
    <w:p w14:paraId="678F19F0" w14:textId="2147EFF6" w:rsidR="00FC0E68" w:rsidRPr="00413003" w:rsidRDefault="00FC0E68" w:rsidP="00FC0E68">
      <w:pPr>
        <w:pStyle w:val="NCDBodyText"/>
        <w:rPr>
          <w:bCs/>
          <w:color w:val="auto"/>
        </w:rPr>
      </w:pPr>
      <w:r w:rsidRPr="00413003">
        <w:rPr>
          <w:color w:val="auto"/>
          <w:shd w:val="clear" w:color="auto" w:fill="FFFFFF"/>
        </w:rPr>
        <w:t xml:space="preserve">Importantly, </w:t>
      </w:r>
      <w:r w:rsidRPr="00413003">
        <w:rPr>
          <w:color w:val="auto"/>
        </w:rPr>
        <w:t>IDEA instructs that students with disabilities should not be removed from regular classrooms solely because of the needed modifications to the general education curriculum.</w:t>
      </w:r>
      <w:r w:rsidRPr="00413003">
        <w:rPr>
          <w:rStyle w:val="EndnoteReference"/>
          <w:color w:val="auto"/>
        </w:rPr>
        <w:endnoteReference w:id="28"/>
      </w:r>
      <w:r w:rsidRPr="00413003">
        <w:rPr>
          <w:bCs/>
          <w:color w:val="auto"/>
        </w:rPr>
        <w:t xml:space="preserve"> </w:t>
      </w:r>
    </w:p>
    <w:p w14:paraId="573D851A" w14:textId="77777777" w:rsidR="00FC0E68" w:rsidRPr="00413003" w:rsidRDefault="00FC0E68" w:rsidP="00FC0E68">
      <w:pPr>
        <w:pStyle w:val="Heading2"/>
      </w:pPr>
      <w:bookmarkStart w:id="64" w:name="_Toc499116971"/>
      <w:bookmarkStart w:id="65" w:name="_Toc500433949"/>
      <w:r w:rsidRPr="00413003">
        <w:t>Case Law</w:t>
      </w:r>
      <w:bookmarkEnd w:id="64"/>
      <w:bookmarkEnd w:id="65"/>
    </w:p>
    <w:p w14:paraId="6E28136E" w14:textId="77777777" w:rsidR="00FC0E68" w:rsidRPr="00413003" w:rsidRDefault="00FC0E68" w:rsidP="00FC0E68">
      <w:pPr>
        <w:pStyle w:val="NCDBodyText"/>
        <w:rPr>
          <w:b/>
          <w:bCs/>
          <w:color w:val="auto"/>
        </w:rPr>
      </w:pPr>
      <w:r w:rsidRPr="00413003">
        <w:rPr>
          <w:bCs/>
          <w:color w:val="auto"/>
        </w:rPr>
        <w:t>Several</w:t>
      </w:r>
      <w:r w:rsidRPr="00413003">
        <w:rPr>
          <w:color w:val="auto"/>
        </w:rPr>
        <w:t xml:space="preserve"> courts have addressed LRE, each setting forth a slightly different standard. The Sixth Circuit Court was the first to address educational placements and the “least restrictive” requirement. In </w:t>
      </w:r>
      <w:proofErr w:type="spellStart"/>
      <w:r w:rsidRPr="00413003">
        <w:rPr>
          <w:i/>
          <w:color w:val="auto"/>
        </w:rPr>
        <w:t>Roncker</w:t>
      </w:r>
      <w:proofErr w:type="spellEnd"/>
      <w:r w:rsidRPr="00413003">
        <w:rPr>
          <w:i/>
          <w:color w:val="auto"/>
        </w:rPr>
        <w:t xml:space="preserve"> v. Walter,</w:t>
      </w:r>
      <w:r w:rsidRPr="00413003">
        <w:rPr>
          <w:rStyle w:val="EndnoteReference"/>
          <w:color w:val="auto"/>
        </w:rPr>
        <w:endnoteReference w:id="29"/>
      </w:r>
      <w:r w:rsidRPr="00413003">
        <w:rPr>
          <w:color w:val="auto"/>
        </w:rPr>
        <w:t xml:space="preserve"> t</w:t>
      </w:r>
      <w:r w:rsidRPr="00413003">
        <w:rPr>
          <w:rStyle w:val="apple-converted-space"/>
          <w:color w:val="auto"/>
        </w:rPr>
        <w:t xml:space="preserve">he </w:t>
      </w:r>
      <w:r w:rsidRPr="00413003">
        <w:rPr>
          <w:color w:val="auto"/>
        </w:rPr>
        <w:t xml:space="preserve">court developed a two-part test to guide the appropriate placement for a student with a disability: </w:t>
      </w:r>
    </w:p>
    <w:p w14:paraId="127E4CC3" w14:textId="77777777" w:rsidR="00FC0E68" w:rsidRPr="00413003" w:rsidRDefault="00FC0E68" w:rsidP="00A64F6D">
      <w:pPr>
        <w:pStyle w:val="NCDNumberedLevel1"/>
        <w:numPr>
          <w:ilvl w:val="0"/>
          <w:numId w:val="5"/>
        </w:numPr>
        <w:ind w:left="360"/>
        <w:rPr>
          <w:color w:val="auto"/>
        </w:rPr>
      </w:pPr>
      <w:r w:rsidRPr="00413003">
        <w:rPr>
          <w:color w:val="auto"/>
        </w:rPr>
        <w:t xml:space="preserve">Could the educational services provided in the segregated setting be feasibly provided in a </w:t>
      </w:r>
      <w:proofErr w:type="spellStart"/>
      <w:r w:rsidRPr="00413003">
        <w:rPr>
          <w:color w:val="auto"/>
        </w:rPr>
        <w:t>nonsegregated</w:t>
      </w:r>
      <w:proofErr w:type="spellEnd"/>
      <w:r w:rsidRPr="00413003">
        <w:rPr>
          <w:color w:val="auto"/>
        </w:rPr>
        <w:t xml:space="preserve"> setting? (If so, the segregated placement is inappropriate.) </w:t>
      </w:r>
    </w:p>
    <w:p w14:paraId="12539A9A" w14:textId="77777777" w:rsidR="00FC0E68" w:rsidRPr="00413003" w:rsidRDefault="00FC0E68" w:rsidP="00A64F6D">
      <w:pPr>
        <w:pStyle w:val="NCDNumberedLevel1"/>
        <w:numPr>
          <w:ilvl w:val="0"/>
          <w:numId w:val="5"/>
        </w:numPr>
        <w:ind w:left="360"/>
        <w:rPr>
          <w:color w:val="auto"/>
        </w:rPr>
      </w:pPr>
      <w:r w:rsidRPr="00413003">
        <w:rPr>
          <w:color w:val="auto"/>
        </w:rPr>
        <w:t>Is the student being mainstreamed to the maximum extent appropriate?</w:t>
      </w:r>
    </w:p>
    <w:p w14:paraId="2C5EBD8B" w14:textId="77777777" w:rsidR="00FC0E68" w:rsidRPr="00413003" w:rsidRDefault="00FC0E68" w:rsidP="00FC0E68">
      <w:pPr>
        <w:pStyle w:val="NCDBodyText"/>
        <w:rPr>
          <w:color w:val="auto"/>
        </w:rPr>
      </w:pPr>
      <w:r w:rsidRPr="00413003">
        <w:rPr>
          <w:color w:val="auto"/>
        </w:rPr>
        <w:t xml:space="preserve">This is commonly referred to as the “portability” doctrine that separates services from setting. A few years later, another federal court relied on the </w:t>
      </w:r>
      <w:proofErr w:type="spellStart"/>
      <w:r w:rsidRPr="00413003">
        <w:rPr>
          <w:i/>
          <w:color w:val="auto"/>
        </w:rPr>
        <w:t>Roncker</w:t>
      </w:r>
      <w:proofErr w:type="spellEnd"/>
      <w:r w:rsidRPr="00413003">
        <w:rPr>
          <w:color w:val="auto"/>
        </w:rPr>
        <w:t xml:space="preserve"> decision in developing a two-part test for meeting the LRE requirement. </w:t>
      </w:r>
    </w:p>
    <w:p w14:paraId="3FCD9EA8" w14:textId="62D43CCB" w:rsidR="00FC0E68" w:rsidRPr="00413003" w:rsidRDefault="00FC0E68" w:rsidP="00FC0E68">
      <w:pPr>
        <w:pStyle w:val="NCDBodyText"/>
        <w:rPr>
          <w:color w:val="auto"/>
        </w:rPr>
      </w:pPr>
      <w:r w:rsidRPr="00413003">
        <w:rPr>
          <w:color w:val="auto"/>
        </w:rPr>
        <w:t xml:space="preserve">In </w:t>
      </w:r>
      <w:r w:rsidRPr="00413003">
        <w:rPr>
          <w:i/>
          <w:color w:val="auto"/>
        </w:rPr>
        <w:t>Daniel R.R. v. State Board of Education</w:t>
      </w:r>
      <w:r w:rsidRPr="00413003">
        <w:rPr>
          <w:color w:val="auto"/>
        </w:rPr>
        <w:t>,</w:t>
      </w:r>
      <w:r w:rsidRPr="00413003">
        <w:rPr>
          <w:rStyle w:val="EndnoteReference"/>
          <w:color w:val="auto"/>
        </w:rPr>
        <w:endnoteReference w:id="30"/>
      </w:r>
      <w:r w:rsidRPr="00413003">
        <w:rPr>
          <w:color w:val="auto"/>
        </w:rPr>
        <w:t xml:space="preserve"> </w:t>
      </w:r>
      <w:r w:rsidRPr="00413003">
        <w:rPr>
          <w:rStyle w:val="apple-converted-space"/>
          <w:color w:val="auto"/>
        </w:rPr>
        <w:t xml:space="preserve">parents appealed a hearing decision that placed their six-year-old son in a special education classroom. The Fifth Circuit Court of Appeals declined to follow the </w:t>
      </w:r>
      <w:proofErr w:type="spellStart"/>
      <w:r w:rsidRPr="0039308F">
        <w:rPr>
          <w:rStyle w:val="apple-converted-space"/>
          <w:i/>
          <w:color w:val="auto"/>
        </w:rPr>
        <w:t>Roncker</w:t>
      </w:r>
      <w:proofErr w:type="spellEnd"/>
      <w:r w:rsidRPr="00413003">
        <w:rPr>
          <w:rStyle w:val="apple-converted-space"/>
          <w:color w:val="auto"/>
        </w:rPr>
        <w:t xml:space="preserve"> test and developed its own approach, asking the following questions:</w:t>
      </w:r>
      <w:r w:rsidR="008842E1">
        <w:rPr>
          <w:rStyle w:val="apple-converted-space"/>
          <w:color w:val="auto"/>
        </w:rPr>
        <w:t xml:space="preserve"> </w:t>
      </w:r>
    </w:p>
    <w:p w14:paraId="4E4C75DC" w14:textId="77777777" w:rsidR="00FC0E68" w:rsidRPr="00413003" w:rsidRDefault="00FC0E68" w:rsidP="00A64F6D">
      <w:pPr>
        <w:pStyle w:val="NCDNumberedLevel1"/>
        <w:numPr>
          <w:ilvl w:val="0"/>
          <w:numId w:val="6"/>
        </w:numPr>
        <w:ind w:left="360"/>
        <w:rPr>
          <w:color w:val="auto"/>
        </w:rPr>
      </w:pPr>
      <w:r w:rsidRPr="00413003">
        <w:rPr>
          <w:color w:val="auto"/>
        </w:rPr>
        <w:lastRenderedPageBreak/>
        <w:t xml:space="preserve">Can education in the general education classroom be achieved satisfactorily with the use of supplementary aids and services and with modifications? </w:t>
      </w:r>
    </w:p>
    <w:p w14:paraId="6652692A" w14:textId="77777777" w:rsidR="00FC0E68" w:rsidRPr="00413003" w:rsidRDefault="00FC0E68" w:rsidP="00A64F6D">
      <w:pPr>
        <w:pStyle w:val="NCDNumberedLevel1"/>
        <w:numPr>
          <w:ilvl w:val="0"/>
          <w:numId w:val="6"/>
        </w:numPr>
        <w:ind w:left="360"/>
        <w:rPr>
          <w:color w:val="auto"/>
        </w:rPr>
      </w:pPr>
      <w:r w:rsidRPr="00413003">
        <w:rPr>
          <w:color w:val="auto"/>
        </w:rPr>
        <w:t>Will the student receive benefit from general education?</w:t>
      </w:r>
    </w:p>
    <w:p w14:paraId="02994DD9" w14:textId="77777777" w:rsidR="00FC0E68" w:rsidRPr="00413003" w:rsidRDefault="00FC0E68" w:rsidP="00A64F6D">
      <w:pPr>
        <w:pStyle w:val="NCDNumberedLevel1"/>
        <w:numPr>
          <w:ilvl w:val="0"/>
          <w:numId w:val="6"/>
        </w:numPr>
        <w:ind w:left="360"/>
        <w:rPr>
          <w:color w:val="auto"/>
        </w:rPr>
      </w:pPr>
      <w:r w:rsidRPr="00413003">
        <w:rPr>
          <w:color w:val="auto"/>
        </w:rPr>
        <w:t xml:space="preserve">What is the students overall educational experience in the mainstreamed environment, balancing the benefits of regular and special education for each individual student? </w:t>
      </w:r>
    </w:p>
    <w:p w14:paraId="4E4C2C49" w14:textId="77777777" w:rsidR="00FC0E68" w:rsidRPr="00413003" w:rsidRDefault="00FC0E68" w:rsidP="00A64F6D">
      <w:pPr>
        <w:pStyle w:val="NCDNumberedLevel1"/>
        <w:numPr>
          <w:ilvl w:val="0"/>
          <w:numId w:val="6"/>
        </w:numPr>
        <w:ind w:left="360"/>
        <w:rPr>
          <w:color w:val="auto"/>
        </w:rPr>
      </w:pPr>
      <w:r w:rsidRPr="00413003">
        <w:rPr>
          <w:color w:val="auto"/>
        </w:rPr>
        <w:t>What effect does the student’s presence have on the regular education environment that the other students are receiving?</w:t>
      </w:r>
    </w:p>
    <w:p w14:paraId="5B4BDE09" w14:textId="77777777" w:rsidR="00FC0E68" w:rsidRPr="00413003" w:rsidRDefault="00FC0E68" w:rsidP="00FC0E68">
      <w:pPr>
        <w:pStyle w:val="NCDBodyText"/>
        <w:rPr>
          <w:color w:val="auto"/>
        </w:rPr>
      </w:pPr>
      <w:r w:rsidRPr="00413003">
        <w:rPr>
          <w:color w:val="auto"/>
        </w:rPr>
        <w:t xml:space="preserve">The </w:t>
      </w:r>
      <w:r w:rsidRPr="00413003">
        <w:rPr>
          <w:i/>
          <w:color w:val="auto"/>
        </w:rPr>
        <w:t>Daniel R.R.</w:t>
      </w:r>
      <w:r w:rsidRPr="00413003">
        <w:rPr>
          <w:color w:val="auto"/>
        </w:rPr>
        <w:t xml:space="preserve"> Court went on to say that if a student’s education cannot be achieved satisfactorily, the next question is whether the student has been mainstreamed to the maximum extent appropriate, noting that the statute does not contemplate an all-or-nothing approach, that is, either all regular or all special education placement: that a student might be appropriately placed in some regular and some special education academic classes or special education academic classes and regular nonacademic classes.</w:t>
      </w:r>
    </w:p>
    <w:p w14:paraId="62C664DA" w14:textId="77777777" w:rsidR="00FC0E68" w:rsidRPr="00413003" w:rsidRDefault="00FC0E68" w:rsidP="00FC0E68">
      <w:pPr>
        <w:pStyle w:val="NCDBodyText"/>
        <w:rPr>
          <w:rStyle w:val="apple-converted-space"/>
          <w:color w:val="auto"/>
        </w:rPr>
      </w:pPr>
      <w:r w:rsidRPr="00413003">
        <w:rPr>
          <w:color w:val="auto"/>
        </w:rPr>
        <w:t xml:space="preserve">The continuum of placements concepts was also emphasized in the case of </w:t>
      </w:r>
      <w:r w:rsidRPr="00413003">
        <w:rPr>
          <w:i/>
          <w:color w:val="auto"/>
        </w:rPr>
        <w:t>Greer v. Rome</w:t>
      </w:r>
      <w:r w:rsidRPr="00413003">
        <w:rPr>
          <w:color w:val="auto"/>
        </w:rPr>
        <w:t>,</w:t>
      </w:r>
      <w:r w:rsidRPr="00413003">
        <w:rPr>
          <w:rStyle w:val="EndnoteReference"/>
          <w:color w:val="auto"/>
        </w:rPr>
        <w:endnoteReference w:id="31"/>
      </w:r>
      <w:r w:rsidRPr="00413003">
        <w:rPr>
          <w:rStyle w:val="apple-converted-space"/>
          <w:color w:val="auto"/>
        </w:rPr>
        <w:t xml:space="preserve"> where parents of a child with an intellectual disability disagreed with a team recommendation to place her in a </w:t>
      </w:r>
      <w:r w:rsidRPr="00413003">
        <w:rPr>
          <w:color w:val="auto"/>
        </w:rPr>
        <w:t>self-contained kindergarten classroom. The Eleventh Circuit determined that the school had failed to consider less restrictive settings prior to placing the student in a self-contained classroom. The court went on that IDEA requires an IEP team to at least consider, discuss, and justify why they would recommend not placing a student in the general education classroom, and, only then, to systematically move to less restrictive placement options.</w:t>
      </w:r>
      <w:r w:rsidRPr="00413003">
        <w:rPr>
          <w:rStyle w:val="apple-converted-space"/>
          <w:color w:val="auto"/>
        </w:rPr>
        <w:t> </w:t>
      </w:r>
    </w:p>
    <w:p w14:paraId="628E4AA8" w14:textId="77777777" w:rsidR="00FC0E68" w:rsidRPr="00413003" w:rsidRDefault="00FC0E68" w:rsidP="00FC0E68">
      <w:pPr>
        <w:pStyle w:val="NCDBodyText"/>
        <w:rPr>
          <w:color w:val="auto"/>
        </w:rPr>
      </w:pPr>
      <w:r w:rsidRPr="00413003">
        <w:rPr>
          <w:color w:val="auto"/>
        </w:rPr>
        <w:t xml:space="preserve">The term </w:t>
      </w:r>
      <w:r w:rsidRPr="00413003">
        <w:rPr>
          <w:i/>
          <w:color w:val="auto"/>
        </w:rPr>
        <w:t>inclusion</w:t>
      </w:r>
      <w:r w:rsidRPr="00413003">
        <w:rPr>
          <w:color w:val="auto"/>
        </w:rPr>
        <w:t xml:space="preserve"> replaced the term </w:t>
      </w:r>
      <w:r w:rsidRPr="00413003">
        <w:rPr>
          <w:i/>
          <w:color w:val="auto"/>
        </w:rPr>
        <w:t>mainstreaming</w:t>
      </w:r>
      <w:r w:rsidRPr="00413003">
        <w:rPr>
          <w:color w:val="auto"/>
        </w:rPr>
        <w:t xml:space="preserve"> in the case of </w:t>
      </w:r>
      <w:proofErr w:type="spellStart"/>
      <w:r w:rsidRPr="00413003">
        <w:rPr>
          <w:i/>
          <w:color w:val="auto"/>
        </w:rPr>
        <w:t>Oberti</w:t>
      </w:r>
      <w:proofErr w:type="spellEnd"/>
      <w:r w:rsidRPr="00413003">
        <w:rPr>
          <w:i/>
          <w:color w:val="auto"/>
        </w:rPr>
        <w:t xml:space="preserve"> v. Clementon</w:t>
      </w:r>
      <w:r w:rsidRPr="00413003">
        <w:rPr>
          <w:color w:val="auto"/>
        </w:rPr>
        <w:t>.</w:t>
      </w:r>
      <w:r w:rsidRPr="00413003">
        <w:rPr>
          <w:rStyle w:val="EndnoteReference"/>
          <w:color w:val="auto"/>
        </w:rPr>
        <w:endnoteReference w:id="32"/>
      </w:r>
      <w:r w:rsidRPr="00413003">
        <w:rPr>
          <w:color w:val="auto"/>
        </w:rPr>
        <w:t xml:space="preserve"> Rafael </w:t>
      </w:r>
      <w:proofErr w:type="spellStart"/>
      <w:r w:rsidRPr="00413003">
        <w:rPr>
          <w:color w:val="auto"/>
        </w:rPr>
        <w:t>Oberti</w:t>
      </w:r>
      <w:proofErr w:type="spellEnd"/>
      <w:r w:rsidRPr="00413003">
        <w:rPr>
          <w:color w:val="auto"/>
        </w:rPr>
        <w:t xml:space="preserve"> was </w:t>
      </w:r>
      <w:r w:rsidRPr="00413003">
        <w:rPr>
          <w:color w:val="auto"/>
          <w:lang w:val="en"/>
        </w:rPr>
        <w:t xml:space="preserve">an eight-year-old child with Down syndrome whose behavior was alleged to disrupt the classroom and therefore required a self-contained special education class located outside of the school district. Rafael’s parents wanted him to be included in his neighborhood school. </w:t>
      </w:r>
      <w:r w:rsidRPr="00413003">
        <w:rPr>
          <w:color w:val="auto"/>
        </w:rPr>
        <w:t>The Third Circuit court said that:</w:t>
      </w:r>
    </w:p>
    <w:p w14:paraId="07D304E6" w14:textId="77777777" w:rsidR="00FC0E68" w:rsidRPr="00413003" w:rsidRDefault="00FC0E68" w:rsidP="00FC0E68">
      <w:pPr>
        <w:pStyle w:val="Extract"/>
      </w:pPr>
      <w:proofErr w:type="gramStart"/>
      <w:r w:rsidRPr="00413003">
        <w:rPr>
          <w:shd w:val="clear" w:color="auto" w:fill="FFFFFF"/>
        </w:rPr>
        <w:lastRenderedPageBreak/>
        <w:t>a</w:t>
      </w:r>
      <w:proofErr w:type="gramEnd"/>
      <w:r w:rsidRPr="00413003">
        <w:rPr>
          <w:shd w:val="clear" w:color="auto" w:fill="FFFFFF"/>
        </w:rPr>
        <w:t xml:space="preserve"> determination that a child with disabilities might make greater </w:t>
      </w:r>
      <w:r w:rsidRPr="00413003">
        <w:rPr>
          <w:i/>
          <w:iCs/>
          <w:shd w:val="clear" w:color="auto" w:fill="FFFFFF"/>
        </w:rPr>
        <w:t xml:space="preserve">academic </w:t>
      </w:r>
      <w:r w:rsidRPr="00413003">
        <w:rPr>
          <w:shd w:val="clear" w:color="auto" w:fill="FFFFFF"/>
        </w:rPr>
        <w:t>progress in a segregated, special education class may not warrant excluding that child from a regular classroom environment. We emphasize that the Act does </w:t>
      </w:r>
      <w:r w:rsidRPr="00413003">
        <w:rPr>
          <w:i/>
          <w:iCs/>
          <w:shd w:val="clear" w:color="auto" w:fill="FFFFFF"/>
        </w:rPr>
        <w:t>not</w:t>
      </w:r>
      <w:r w:rsidRPr="00413003">
        <w:rPr>
          <w:shd w:val="clear" w:color="auto" w:fill="FFFFFF"/>
        </w:rPr>
        <w:t> require states to offer </w:t>
      </w:r>
      <w:r w:rsidRPr="00413003">
        <w:rPr>
          <w:i/>
          <w:iCs/>
          <w:shd w:val="clear" w:color="auto" w:fill="FFFFFF"/>
        </w:rPr>
        <w:t>the same</w:t>
      </w:r>
      <w:r w:rsidRPr="00413003">
        <w:rPr>
          <w:shd w:val="clear" w:color="auto" w:fill="FFFFFF"/>
        </w:rPr>
        <w:t> educational experience to a child with disabilities as is generally provided for nondisabled children.” “To the contrary, states must address the unique needs of a disabled child, recognizing that that child may benefit differently from education in the regular classroom than other students.”</w:t>
      </w:r>
      <w:r w:rsidRPr="00413003">
        <w:t xml:space="preserve"> </w:t>
      </w:r>
      <w:r w:rsidRPr="00413003">
        <w:rPr>
          <w:shd w:val="clear" w:color="auto" w:fill="FFFFFF"/>
        </w:rPr>
        <w:t>“In short, the fact that a child with disabilities will learn differently from his or her education within a regular classroom does not justify exclusion from that environment.</w:t>
      </w:r>
      <w:r w:rsidRPr="00413003">
        <w:rPr>
          <w:rStyle w:val="EndnoteReference"/>
        </w:rPr>
        <w:endnoteReference w:id="33"/>
      </w:r>
      <w:r w:rsidRPr="00413003">
        <w:t xml:space="preserve"> </w:t>
      </w:r>
    </w:p>
    <w:p w14:paraId="6499BA12" w14:textId="77777777" w:rsidR="00FC0E68" w:rsidRPr="00413003" w:rsidRDefault="00FC0E68" w:rsidP="00FC0E68">
      <w:pPr>
        <w:pStyle w:val="NCDBodyText"/>
        <w:rPr>
          <w:color w:val="auto"/>
        </w:rPr>
      </w:pPr>
      <w:r w:rsidRPr="00413003">
        <w:rPr>
          <w:color w:val="auto"/>
        </w:rPr>
        <w:t xml:space="preserve">In </w:t>
      </w:r>
      <w:r w:rsidRPr="00413003">
        <w:rPr>
          <w:i/>
          <w:color w:val="auto"/>
        </w:rPr>
        <w:t>Sacramento v. Rachel H.</w:t>
      </w:r>
      <w:r w:rsidRPr="00413003">
        <w:rPr>
          <w:color w:val="auto"/>
        </w:rPr>
        <w:t>,</w:t>
      </w:r>
      <w:r w:rsidRPr="00413003">
        <w:rPr>
          <w:rStyle w:val="EndnoteReference"/>
          <w:color w:val="auto"/>
        </w:rPr>
        <w:endnoteReference w:id="34"/>
      </w:r>
      <w:r w:rsidRPr="00413003">
        <w:rPr>
          <w:rStyle w:val="apple-converted-space"/>
          <w:color w:val="auto"/>
        </w:rPr>
        <w:t xml:space="preserve"> the parents of </w:t>
      </w:r>
      <w:r w:rsidRPr="00413003">
        <w:rPr>
          <w:color w:val="auto"/>
        </w:rPr>
        <w:t>Rachel Holland, a third-grade student with intellectual disabilities, argued that with appropriate supplementary aids and services, she could be educated in the general classroom. The school district proposed that Rachel be placed in special education for academic subjects, and attend the general education class only for nonacademic activities. The Ninth Circuit court ruled that, in determining the appropriate placement, schools must take into consideration four factors:</w:t>
      </w:r>
    </w:p>
    <w:p w14:paraId="78842BCA" w14:textId="77777777" w:rsidR="00FC0E68" w:rsidRPr="00413003" w:rsidRDefault="00FC0E68" w:rsidP="00A64F6D">
      <w:pPr>
        <w:pStyle w:val="NCDNumberedLevel1"/>
        <w:numPr>
          <w:ilvl w:val="0"/>
          <w:numId w:val="7"/>
        </w:numPr>
        <w:ind w:left="360"/>
        <w:rPr>
          <w:color w:val="auto"/>
        </w:rPr>
      </w:pPr>
      <w:r w:rsidRPr="00413003">
        <w:rPr>
          <w:color w:val="auto"/>
        </w:rPr>
        <w:t>The educational benefits of integrated settings versus segregated settings</w:t>
      </w:r>
    </w:p>
    <w:p w14:paraId="0190C9C4" w14:textId="77777777" w:rsidR="00FC0E68" w:rsidRPr="00413003" w:rsidRDefault="00FC0E68" w:rsidP="00A64F6D">
      <w:pPr>
        <w:pStyle w:val="NCDNumberedLevel1"/>
        <w:numPr>
          <w:ilvl w:val="0"/>
          <w:numId w:val="7"/>
        </w:numPr>
        <w:ind w:left="360"/>
        <w:rPr>
          <w:color w:val="auto"/>
        </w:rPr>
      </w:pPr>
      <w:r w:rsidRPr="00413003">
        <w:rPr>
          <w:color w:val="auto"/>
        </w:rPr>
        <w:t>Nonacademic benefits (primarily social interaction with peers without disabilities)</w:t>
      </w:r>
    </w:p>
    <w:p w14:paraId="2A990E8A" w14:textId="77777777" w:rsidR="00FC0E68" w:rsidRPr="00413003" w:rsidRDefault="00FC0E68" w:rsidP="00A64F6D">
      <w:pPr>
        <w:pStyle w:val="NCDNumberedLevel1"/>
        <w:numPr>
          <w:ilvl w:val="0"/>
          <w:numId w:val="7"/>
        </w:numPr>
        <w:ind w:left="360"/>
        <w:rPr>
          <w:color w:val="auto"/>
        </w:rPr>
      </w:pPr>
      <w:r w:rsidRPr="00413003">
        <w:rPr>
          <w:color w:val="auto"/>
        </w:rPr>
        <w:t>The effect the student with a disability can have on the teacher and his or her peers, and</w:t>
      </w:r>
    </w:p>
    <w:p w14:paraId="4CCF8FA9" w14:textId="77777777" w:rsidR="00FC0E68" w:rsidRPr="00413003" w:rsidRDefault="00FC0E68" w:rsidP="00A64F6D">
      <w:pPr>
        <w:pStyle w:val="NCDNumberedLevel1"/>
        <w:numPr>
          <w:ilvl w:val="0"/>
          <w:numId w:val="7"/>
        </w:numPr>
        <w:ind w:left="360"/>
        <w:rPr>
          <w:color w:val="auto"/>
        </w:rPr>
      </w:pPr>
      <w:r w:rsidRPr="00413003">
        <w:rPr>
          <w:color w:val="auto"/>
        </w:rPr>
        <w:t>The cost of supplementary services that will be required for that student to stay in the integrated setting.</w:t>
      </w:r>
    </w:p>
    <w:p w14:paraId="51C72F55" w14:textId="77777777" w:rsidR="00FC0E68" w:rsidRPr="00413003" w:rsidRDefault="00FC0E68" w:rsidP="00FC0E68">
      <w:pPr>
        <w:pStyle w:val="NCDBodyText"/>
        <w:rPr>
          <w:color w:val="auto"/>
        </w:rPr>
      </w:pPr>
      <w:r w:rsidRPr="00413003">
        <w:rPr>
          <w:color w:val="auto"/>
        </w:rPr>
        <w:t xml:space="preserve">Since then, there have been other courts that have applied these seminal rulings. See, for example, </w:t>
      </w:r>
      <w:r w:rsidRPr="00413003">
        <w:rPr>
          <w:i/>
          <w:color w:val="auto"/>
        </w:rPr>
        <w:t xml:space="preserve">T.R. v. Kingwood Tp. Bd. </w:t>
      </w:r>
      <w:proofErr w:type="gramStart"/>
      <w:r w:rsidRPr="00413003">
        <w:rPr>
          <w:i/>
          <w:color w:val="auto"/>
        </w:rPr>
        <w:t>Of Educ.</w:t>
      </w:r>
      <w:r w:rsidRPr="00413003">
        <w:rPr>
          <w:rStyle w:val="EndnoteReference"/>
          <w:color w:val="auto"/>
        </w:rPr>
        <w:endnoteReference w:id="35"/>
      </w:r>
      <w:r w:rsidRPr="00413003">
        <w:rPr>
          <w:color w:val="auto"/>
        </w:rPr>
        <w:t xml:space="preserve"> and </w:t>
      </w:r>
      <w:r w:rsidRPr="00413003">
        <w:rPr>
          <w:i/>
          <w:color w:val="auto"/>
        </w:rPr>
        <w:t>P. v. Newington</w:t>
      </w:r>
      <w:r w:rsidRPr="00413003">
        <w:rPr>
          <w:color w:val="auto"/>
        </w:rPr>
        <w:t>.</w:t>
      </w:r>
      <w:proofErr w:type="gramEnd"/>
      <w:r w:rsidRPr="00413003">
        <w:rPr>
          <w:rStyle w:val="EndnoteReference"/>
          <w:color w:val="auto"/>
        </w:rPr>
        <w:endnoteReference w:id="36"/>
      </w:r>
    </w:p>
    <w:p w14:paraId="132AF0E4" w14:textId="77777777" w:rsidR="00FC0E68" w:rsidRPr="00413003" w:rsidRDefault="00FC0E68" w:rsidP="00FC0E68">
      <w:pPr>
        <w:pStyle w:val="NCDBodyText"/>
        <w:rPr>
          <w:color w:val="auto"/>
        </w:rPr>
      </w:pPr>
      <w:r w:rsidRPr="00413003">
        <w:rPr>
          <w:color w:val="auto"/>
        </w:rPr>
        <w:t xml:space="preserve">Despite the strong legal support for including students with disabilities in general education settings and activities, parents attending regional forums described some of the reasons they were given by IEP teams for more restrictive placements that are </w:t>
      </w:r>
      <w:r w:rsidRPr="00413003">
        <w:rPr>
          <w:color w:val="auto"/>
        </w:rPr>
        <w:lastRenderedPageBreak/>
        <w:t>clearly at odds with IDEA: the convenience of the school, teachers not having the skills to address specific disability support needs, or because schools did not have needed special education services available in the regular education setting. As one parent explained:</w:t>
      </w:r>
    </w:p>
    <w:p w14:paraId="71681292" w14:textId="77777777" w:rsidR="00FC0E68" w:rsidRPr="00413003" w:rsidRDefault="00FC0E68" w:rsidP="00FC0E68">
      <w:pPr>
        <w:pStyle w:val="Extract"/>
      </w:pPr>
      <w:r w:rsidRPr="00413003">
        <w:t>All the children with moderate to significant needs for autism go to certain schools. They live right across the street from the neighborhood school, but the student attends a school that is 25 minutes away because “support services can’t be provided at the neighborhood school.” There was no explanation for why this is the case.</w:t>
      </w:r>
      <w:r w:rsidRPr="00413003">
        <w:rPr>
          <w:rStyle w:val="EndnoteReference"/>
        </w:rPr>
        <w:endnoteReference w:id="37"/>
      </w:r>
    </w:p>
    <w:p w14:paraId="72F6F1F5" w14:textId="77777777" w:rsidR="00FC0E68" w:rsidRPr="00413003" w:rsidRDefault="00FC0E68" w:rsidP="00FC0E68">
      <w:pPr>
        <w:pStyle w:val="NCDBodyText"/>
        <w:rPr>
          <w:color w:val="auto"/>
        </w:rPr>
      </w:pPr>
      <w:r w:rsidRPr="00413003">
        <w:rPr>
          <w:color w:val="auto"/>
        </w:rPr>
        <w:t xml:space="preserve">Families report that school representatives do not understand how to provide specialized instruction in a regular classroom or how to teach positive, pro-social behavior for students with and without disabilities. Some parents felt that students are grouped according to disability labels or type of supports needed, which often leads to lowered or limited expectations. This was verified in an interview with an autistic student: </w:t>
      </w:r>
    </w:p>
    <w:p w14:paraId="06AD2E8E" w14:textId="77777777" w:rsidR="00FC0E68" w:rsidRPr="00413003" w:rsidRDefault="00FC0E68" w:rsidP="00FC0E68">
      <w:pPr>
        <w:pStyle w:val="Extract"/>
      </w:pPr>
      <w:r w:rsidRPr="00413003">
        <w:t>. . . (</w:t>
      </w:r>
      <w:proofErr w:type="gramStart"/>
      <w:r w:rsidRPr="00413003">
        <w:t>for</w:t>
      </w:r>
      <w:proofErr w:type="gramEnd"/>
      <w:r w:rsidRPr="00413003">
        <w:t>) middle school I was in a mix of special education classes and regular classes . . . (and) absolutely felt segregated and despised that fact, especially since, from my perspective, the special education course material did not challenge me at all.</w:t>
      </w:r>
      <w:r w:rsidRPr="00413003">
        <w:rPr>
          <w:rStyle w:val="EndnoteReference"/>
        </w:rPr>
        <w:endnoteReference w:id="38"/>
      </w:r>
    </w:p>
    <w:p w14:paraId="3CDFBC4D" w14:textId="77777777" w:rsidR="00FC0E68" w:rsidRPr="00413003" w:rsidRDefault="00FC0E68" w:rsidP="00FC0E68">
      <w:pPr>
        <w:pStyle w:val="NCDBodyText"/>
        <w:rPr>
          <w:color w:val="auto"/>
        </w:rPr>
      </w:pPr>
      <w:r w:rsidRPr="00413003">
        <w:rPr>
          <w:color w:val="auto"/>
        </w:rPr>
        <w:t>To this student, the negative experience in the special education class was exacerbated by “the condescending, peculiar attitude of many of the special educators.”</w:t>
      </w:r>
    </w:p>
    <w:p w14:paraId="4F616E09" w14:textId="77777777" w:rsidR="00FC0E68" w:rsidRPr="00413003" w:rsidRDefault="00FC0E68" w:rsidP="00FC0E68">
      <w:pPr>
        <w:pStyle w:val="NCDBodyText"/>
        <w:rPr>
          <w:color w:val="auto"/>
        </w:rPr>
      </w:pPr>
      <w:r w:rsidRPr="00413003">
        <w:rPr>
          <w:color w:val="auto"/>
        </w:rPr>
        <w:t xml:space="preserve">A parent and advocate interviewed for this report emphasized that there are limits placed on educating students with disabilities when they are viewed as if they belong in a group: </w:t>
      </w:r>
    </w:p>
    <w:p w14:paraId="67C72F67" w14:textId="77777777" w:rsidR="00FC0E68" w:rsidRPr="00413003" w:rsidRDefault="00FC0E68" w:rsidP="00FC0E68">
      <w:pPr>
        <w:pStyle w:val="Extract"/>
      </w:pPr>
      <w:r w:rsidRPr="00413003">
        <w:t xml:space="preserve">When I tell people that my children have intellectual disabilities and autism, I’ve told (them) nothing . . . the greatest disservice we do to people with disabilities, including students with disabilities, is to view them as one homogeneous group . . . labeling a group of children . . . and </w:t>
      </w:r>
      <w:proofErr w:type="gramStart"/>
      <w:r w:rsidRPr="00413003">
        <w:t>lumping</w:t>
      </w:r>
      <w:proofErr w:type="gramEnd"/>
      <w:r w:rsidRPr="00413003">
        <w:t xml:space="preserve"> them in </w:t>
      </w:r>
      <w:r w:rsidRPr="00413003">
        <w:lastRenderedPageBreak/>
        <w:t>one bucket and one classroom does them a disservice. All inclusion, all the time, everywhere, every day—does the same thing. It doesn’t recognize the fact that students need the services uniquely (designed) to meet their particular needs.</w:t>
      </w:r>
      <w:r w:rsidRPr="00413003">
        <w:rPr>
          <w:rStyle w:val="EndnoteReference"/>
        </w:rPr>
        <w:endnoteReference w:id="39"/>
      </w:r>
      <w:r w:rsidRPr="00413003">
        <w:t xml:space="preserve"> </w:t>
      </w:r>
    </w:p>
    <w:p w14:paraId="5F725DFB" w14:textId="77777777" w:rsidR="00FC0E68" w:rsidRPr="00413003" w:rsidRDefault="00FC0E68" w:rsidP="00FC0E68">
      <w:pPr>
        <w:rPr>
          <w:rFonts w:eastAsia="Calibri" w:cs="Arial"/>
          <w:b/>
        </w:rPr>
      </w:pPr>
      <w:r w:rsidRPr="00413003">
        <w:rPr>
          <w:rFonts w:eastAsia="Calibri" w:cs="Arial"/>
          <w:b/>
        </w:rPr>
        <w:br w:type="page"/>
      </w:r>
    </w:p>
    <w:p w14:paraId="418C3EAD" w14:textId="32B11A55" w:rsidR="00FC0E68" w:rsidRPr="00413003" w:rsidRDefault="00FC0E68" w:rsidP="00FC0E68">
      <w:pPr>
        <w:pStyle w:val="Heading1"/>
      </w:pPr>
      <w:bookmarkStart w:id="66" w:name="_Toc499116972"/>
      <w:bookmarkStart w:id="67" w:name="_Toc500433950"/>
      <w:r w:rsidRPr="00413003">
        <w:lastRenderedPageBreak/>
        <w:t>Chapter 2: National Placement Data</w:t>
      </w:r>
      <w:bookmarkEnd w:id="66"/>
      <w:bookmarkEnd w:id="67"/>
    </w:p>
    <w:p w14:paraId="79BDCD8D" w14:textId="77777777" w:rsidR="00FC0E68" w:rsidRPr="00413003" w:rsidRDefault="00FC0E68" w:rsidP="00FC0E68">
      <w:pPr>
        <w:pStyle w:val="NCDBodyText"/>
        <w:rPr>
          <w:b/>
          <w:color w:val="auto"/>
        </w:rPr>
      </w:pPr>
      <w:r w:rsidRPr="00413003">
        <w:rPr>
          <w:color w:val="auto"/>
        </w:rPr>
        <w:t xml:space="preserve">ED submits annual reports to Congress on how states are implementing </w:t>
      </w:r>
      <w:r w:rsidRPr="00413003">
        <w:rPr>
          <w:rFonts w:eastAsia="Times New Roman"/>
          <w:color w:val="auto"/>
        </w:rPr>
        <w:t xml:space="preserve">IDEA, </w:t>
      </w:r>
      <w:r w:rsidRPr="00413003">
        <w:rPr>
          <w:color w:val="auto"/>
        </w:rPr>
        <w:t>which includes data on the extent to which students with disabilities participate in general education with their peers without disabilities, among other data sets.</w:t>
      </w:r>
      <w:r w:rsidRPr="00413003">
        <w:rPr>
          <w:rStyle w:val="EndnoteReference"/>
          <w:color w:val="auto"/>
        </w:rPr>
        <w:endnoteReference w:id="40"/>
      </w:r>
      <w:r w:rsidRPr="00413003">
        <w:rPr>
          <w:color w:val="auto"/>
        </w:rPr>
        <w:t xml:space="preserve"> States are required to submit statistics that track the amount of time students spend in general education settings, and when in separate, segregated facilities (e.g., special school or residential facility), what kind of separate setting. When a student attends a regular public school, their placement is recorded as follows:</w:t>
      </w:r>
    </w:p>
    <w:p w14:paraId="01838812" w14:textId="77777777" w:rsidR="00FC0E68" w:rsidRPr="00413003" w:rsidRDefault="00FC0E68" w:rsidP="00FC0E68">
      <w:pPr>
        <w:pStyle w:val="NCDBulletsLevel1"/>
        <w:rPr>
          <w:color w:val="auto"/>
        </w:rPr>
      </w:pPr>
      <w:r w:rsidRPr="00413003">
        <w:rPr>
          <w:color w:val="auto"/>
        </w:rPr>
        <w:t xml:space="preserve">Participation in general education classes </w:t>
      </w:r>
      <w:r w:rsidRPr="00413003">
        <w:rPr>
          <w:b/>
          <w:color w:val="auto"/>
        </w:rPr>
        <w:t>80 percent or more of the day</w:t>
      </w:r>
      <w:r w:rsidRPr="00413003">
        <w:rPr>
          <w:rStyle w:val="EndnoteReference"/>
          <w:color w:val="auto"/>
        </w:rPr>
        <w:endnoteReference w:id="41"/>
      </w:r>
    </w:p>
    <w:p w14:paraId="2E07D8F5" w14:textId="77777777" w:rsidR="00FC0E68" w:rsidRPr="00413003" w:rsidRDefault="00FC0E68" w:rsidP="00FC0E68">
      <w:pPr>
        <w:pStyle w:val="NCDBulletsLevel1"/>
        <w:rPr>
          <w:color w:val="auto"/>
        </w:rPr>
      </w:pPr>
      <w:r w:rsidRPr="00413003">
        <w:rPr>
          <w:color w:val="auto"/>
        </w:rPr>
        <w:t xml:space="preserve">Participation in general education classes </w:t>
      </w:r>
      <w:r w:rsidRPr="00413003">
        <w:rPr>
          <w:b/>
          <w:color w:val="auto"/>
        </w:rPr>
        <w:t>40–79 percent of the day</w:t>
      </w:r>
      <w:r w:rsidRPr="00413003">
        <w:rPr>
          <w:color w:val="auto"/>
        </w:rPr>
        <w:t xml:space="preserve"> </w:t>
      </w:r>
    </w:p>
    <w:p w14:paraId="7E1AEE3E" w14:textId="77777777" w:rsidR="00FC0E68" w:rsidRPr="00413003" w:rsidRDefault="00FC0E68" w:rsidP="00FC0E68">
      <w:pPr>
        <w:pStyle w:val="NCDBulletsLevel1"/>
        <w:rPr>
          <w:color w:val="auto"/>
        </w:rPr>
      </w:pPr>
      <w:r w:rsidRPr="00413003">
        <w:rPr>
          <w:color w:val="auto"/>
        </w:rPr>
        <w:t xml:space="preserve">Participation in general education classes </w:t>
      </w:r>
      <w:r w:rsidRPr="00413003">
        <w:rPr>
          <w:b/>
          <w:color w:val="auto"/>
        </w:rPr>
        <w:t>less than 40 percent of the day</w:t>
      </w:r>
      <w:r w:rsidRPr="00413003">
        <w:rPr>
          <w:rStyle w:val="EndnoteReference"/>
          <w:color w:val="auto"/>
        </w:rPr>
        <w:endnoteReference w:id="42"/>
      </w:r>
    </w:p>
    <w:p w14:paraId="35D25B65" w14:textId="77777777" w:rsidR="00FC0E68" w:rsidRPr="00413003" w:rsidRDefault="00FC0E68" w:rsidP="00FC0E68">
      <w:pPr>
        <w:pStyle w:val="Heading2"/>
      </w:pPr>
      <w:bookmarkStart w:id="68" w:name="_Toc499116973"/>
      <w:bookmarkStart w:id="69" w:name="_Toc500433951"/>
      <w:r w:rsidRPr="00413003">
        <w:t>Placement Practices across States</w:t>
      </w:r>
      <w:bookmarkEnd w:id="68"/>
      <w:bookmarkEnd w:id="69"/>
    </w:p>
    <w:p w14:paraId="6208FE1E" w14:textId="77777777" w:rsidR="00FC0E68" w:rsidRPr="00413003" w:rsidRDefault="00FC0E68" w:rsidP="00FC0E68">
      <w:pPr>
        <w:pStyle w:val="NCDBodyText"/>
        <w:rPr>
          <w:color w:val="auto"/>
        </w:rPr>
      </w:pPr>
      <w:r w:rsidRPr="00413003">
        <w:rPr>
          <w:color w:val="auto"/>
        </w:rPr>
        <w:t xml:space="preserve">Table 1 in the Appendix displays data for each state and U.S. territory, and demonstrates the wide variance in the amount of time that students access general education settings and instruction with peers without disabilities. In 2015–2016, the Pacific Islands had the highest rate of including students with disabilities 80 percent or more of the time in general education (an average of 88% for the four islands), followed by Alabama (84%), Vermont (76%), Nebraska (76%), North Dakota (74%), and Kentucky (74%). States with the lowest rates of including students 80 percent or more of the time are Hawaii (37%), New Jersey (46%), Montana (47%), Illinois (53%), and Arkansas (53%). States with the highest rates of placing students in separate classes are California, Hawaii, New York, and New Mexico; while Connecticut, North Dakota, South Dakota, and Vermont have the lowest rates of segregated special class placement. On the other hand, Connecticut joins New Jersey, Massachusetts, and Maryland with the highest rates of placements in special facilities (special schools or residential programs); 12 states have fewer than 1 percent of their population in separate facilities, and the Pacific Islands do not have any students in separate facilities. </w:t>
      </w:r>
    </w:p>
    <w:p w14:paraId="23ADF83A" w14:textId="77777777" w:rsidR="00FC0E68" w:rsidRPr="00413003" w:rsidRDefault="00FC0E68" w:rsidP="00FC0E68">
      <w:pPr>
        <w:pStyle w:val="Heading2"/>
      </w:pPr>
      <w:bookmarkStart w:id="70" w:name="_Toc499116974"/>
      <w:bookmarkStart w:id="71" w:name="_Toc500433952"/>
      <w:r w:rsidRPr="00413003">
        <w:lastRenderedPageBreak/>
        <w:t>Disproportionate Placement Practices across Disability Labels</w:t>
      </w:r>
      <w:bookmarkEnd w:id="70"/>
      <w:bookmarkEnd w:id="71"/>
    </w:p>
    <w:p w14:paraId="6418A0F6" w14:textId="77777777" w:rsidR="00FC0E68" w:rsidRPr="00413003" w:rsidRDefault="00FC0E68" w:rsidP="00FC0E68">
      <w:pPr>
        <w:pStyle w:val="NCDBodyText"/>
        <w:rPr>
          <w:color w:val="auto"/>
        </w:rPr>
      </w:pPr>
      <w:r w:rsidRPr="00413003">
        <w:rPr>
          <w:color w:val="auto"/>
        </w:rPr>
        <w:t xml:space="preserve">Table 2 in the Appendix compares the placement of students in general education 80 percent of the time or more by disability category from 2005 to 2015. In the 2015–2016 school year, students with intellectual disabilities and multiple disabilities participated in general education classes with peers without disabilities at rates far lower than any other population: at 17 percent and 13 percent respectively, with little to no difference over the past 10 years. Students most likely to spend the most time in general education settings are students with speech/language impairments, at a rate relatively similar to that of 2005; followed by students with other health impairments and specific learning disabilities, both groups increasing the proportion of students included in general education by 10 percent or more over the past 10 years. </w:t>
      </w:r>
    </w:p>
    <w:p w14:paraId="0322B9A9" w14:textId="77777777" w:rsidR="00FC0E68" w:rsidRPr="00413003" w:rsidRDefault="00FC0E68" w:rsidP="00FC0E68">
      <w:pPr>
        <w:pStyle w:val="NCDBodyText"/>
        <w:rPr>
          <w:color w:val="auto"/>
        </w:rPr>
      </w:pPr>
      <w:r w:rsidRPr="00413003">
        <w:rPr>
          <w:color w:val="auto"/>
        </w:rPr>
        <w:t>Smith examined state level trends between 1992 and 2003 for students with intellectual disability.</w:t>
      </w:r>
      <w:r w:rsidRPr="00413003">
        <w:rPr>
          <w:rStyle w:val="EndnoteReference"/>
          <w:color w:val="auto"/>
        </w:rPr>
        <w:endnoteReference w:id="43"/>
      </w:r>
      <w:r w:rsidRPr="00413003">
        <w:rPr>
          <w:color w:val="auto"/>
        </w:rPr>
        <w:t xml:space="preserve"> The gap between the then most inclusive state (Vermont) and the most restrictive state (Utah) was substantial and remained so over time. </w:t>
      </w:r>
      <w:proofErr w:type="spellStart"/>
      <w:r w:rsidRPr="00413003">
        <w:rPr>
          <w:color w:val="auto"/>
        </w:rPr>
        <w:t>Kurth</w:t>
      </w:r>
      <w:proofErr w:type="spellEnd"/>
      <w:r w:rsidRPr="00413003">
        <w:rPr>
          <w:rStyle w:val="EndnoteReference"/>
          <w:color w:val="auto"/>
        </w:rPr>
        <w:endnoteReference w:id="44"/>
      </w:r>
      <w:r w:rsidRPr="00413003">
        <w:rPr>
          <w:color w:val="auto"/>
        </w:rPr>
        <w:t xml:space="preserve"> similarly found a wide gap across states for students with autism, and concluded that states west of the Mississippi River tend to be more inclusive of this population than states in the east. Brock and Schaefer</w:t>
      </w:r>
      <w:r w:rsidRPr="00413003">
        <w:rPr>
          <w:rStyle w:val="EndnoteReference"/>
          <w:color w:val="auto"/>
        </w:rPr>
        <w:endnoteReference w:id="45"/>
      </w:r>
      <w:r w:rsidRPr="00413003">
        <w:rPr>
          <w:color w:val="auto"/>
        </w:rPr>
        <w:t xml:space="preserve"> used state level data in Ohio to map the restrictiveness of placements, and discovered that students in urban districts spent less time in general education classrooms than their more rural counterparts. </w:t>
      </w:r>
      <w:bookmarkStart w:id="72" w:name="_Hlk488592528"/>
      <w:r w:rsidRPr="00413003">
        <w:rPr>
          <w:color w:val="auto"/>
        </w:rPr>
        <w:t>This discrepancy was further impacted by size: districts with the largest enrollments placed proportionately fewer students in general education settings.</w:t>
      </w:r>
    </w:p>
    <w:bookmarkEnd w:id="72"/>
    <w:p w14:paraId="3F472E54" w14:textId="5FCD81E3" w:rsidR="00FC0E68" w:rsidRPr="00413003" w:rsidRDefault="00FC0E68" w:rsidP="00FC0E68">
      <w:pPr>
        <w:pStyle w:val="NCDBodyText"/>
        <w:rPr>
          <w:color w:val="auto"/>
        </w:rPr>
      </w:pPr>
      <w:r w:rsidRPr="00413003">
        <w:rPr>
          <w:color w:val="auto"/>
        </w:rPr>
        <w:t xml:space="preserve">A more recent examination of national trends by Morningstar, </w:t>
      </w:r>
      <w:proofErr w:type="spellStart"/>
      <w:r w:rsidRPr="00413003">
        <w:rPr>
          <w:color w:val="auto"/>
        </w:rPr>
        <w:t>Kurth</w:t>
      </w:r>
      <w:proofErr w:type="spellEnd"/>
      <w:r w:rsidRPr="00413003">
        <w:rPr>
          <w:color w:val="auto"/>
        </w:rPr>
        <w:t>, and Johnson</w:t>
      </w:r>
      <w:r w:rsidRPr="00413003">
        <w:rPr>
          <w:rStyle w:val="EndnoteReference"/>
          <w:color w:val="auto"/>
        </w:rPr>
        <w:endnoteReference w:id="46"/>
      </w:r>
      <w:r w:rsidRPr="00413003">
        <w:rPr>
          <w:color w:val="auto"/>
        </w:rPr>
        <w:t xml:space="preserve"> focused on placement data for students with “significant disabilities” (autism, intellectual disability, multiple disabilities, and Deaf and hard of hearing, or blindness). For students with disabilities other than those with significant disabilities, there was an increasing trend toward placement in general education classes for 80 percent or more of the school day. </w:t>
      </w:r>
      <w:bookmarkStart w:id="73" w:name="_Hlk488592582"/>
      <w:r w:rsidRPr="00413003">
        <w:rPr>
          <w:color w:val="auto"/>
        </w:rPr>
        <w:t>Students with significant disabilities were more likely to be in separate classes, and the most prevalent setting for students with intellectual and multiple disabilities was separate special education classrooms</w:t>
      </w:r>
      <w:bookmarkEnd w:id="73"/>
      <w:r w:rsidRPr="00413003">
        <w:rPr>
          <w:color w:val="auto"/>
        </w:rPr>
        <w:t xml:space="preserve">, with little change during a </w:t>
      </w:r>
      <w:r w:rsidR="0039308F">
        <w:rPr>
          <w:color w:val="auto"/>
        </w:rPr>
        <w:br/>
      </w:r>
      <w:r w:rsidRPr="00413003">
        <w:rPr>
          <w:color w:val="auto"/>
        </w:rPr>
        <w:t xml:space="preserve">15-year period. </w:t>
      </w:r>
    </w:p>
    <w:p w14:paraId="48FC3548" w14:textId="77777777" w:rsidR="00FC0E68" w:rsidRPr="00413003" w:rsidRDefault="00FC0E68" w:rsidP="00FC0E68">
      <w:pPr>
        <w:pStyle w:val="NCDBodyText"/>
        <w:rPr>
          <w:color w:val="auto"/>
        </w:rPr>
      </w:pPr>
      <w:r w:rsidRPr="00413003">
        <w:rPr>
          <w:color w:val="auto"/>
        </w:rPr>
        <w:lastRenderedPageBreak/>
        <w:t xml:space="preserve">Regional forums and interviews validated the wide variation in student experiences and the extent to which families felt they needed to advocate for their children. One parent of a high school student with significant support needs reported that her son participates in general education academic classes and other high school activities throughout his day, where he has both learning and social opportunities with peers without disabilities: music classes, a school job, team sports, and extracurricular activities at his neighborhood high school. This parent said: </w:t>
      </w:r>
    </w:p>
    <w:p w14:paraId="0E94DDF5" w14:textId="77777777" w:rsidR="00FC0E68" w:rsidRPr="00413003" w:rsidRDefault="00FC0E68" w:rsidP="00A94DE0">
      <w:pPr>
        <w:pStyle w:val="Extract"/>
      </w:pPr>
      <w:r w:rsidRPr="00413003">
        <w:t xml:space="preserve">Our son is 20 years old. And there were 19 IEP team members. All came on time . . . We talked about placement. We talked about what his schedule would look like. . . . </w:t>
      </w:r>
      <w:proofErr w:type="gramStart"/>
      <w:r w:rsidRPr="00413003">
        <w:t>every</w:t>
      </w:r>
      <w:proofErr w:type="gramEnd"/>
      <w:r w:rsidRPr="00413003">
        <w:t xml:space="preserve"> person at that team was sitting up straight, paying attention, and truly excited about planning out our son’s transition program. And they were extremely supportive . . . I couldn’t be happier.</w:t>
      </w:r>
      <w:r w:rsidRPr="00413003">
        <w:rPr>
          <w:rStyle w:val="EndnoteReference"/>
        </w:rPr>
        <w:endnoteReference w:id="47"/>
      </w:r>
    </w:p>
    <w:p w14:paraId="0D32BA5F" w14:textId="77777777" w:rsidR="00FC0E68" w:rsidRPr="00413003" w:rsidRDefault="00FC0E68" w:rsidP="00A94DE0">
      <w:pPr>
        <w:pStyle w:val="NCDBodyText"/>
        <w:rPr>
          <w:color w:val="auto"/>
        </w:rPr>
      </w:pPr>
      <w:r w:rsidRPr="00413003">
        <w:rPr>
          <w:color w:val="auto"/>
        </w:rPr>
        <w:t xml:space="preserve">Other parents, however, cite their ongoing struggles at IEP meetings throughout the school year as they tried to obtain and maintain inclusive placements, particularly for children with intellectual and developmental disabilities. Two different parents interviewed for this report who had children with Down syndrome described how they had to constantly work with their school, sometimes “one teacher at a time” to convince them that they should try the less restrictive placement. These parents regularly dealt with teams that recommended a special class placement, sometimes regardless of a student’s progress in a less restrictive setting or the student and family’s preferences. One of these parents noted that each and every year she needed to be heavily involved in her son’s </w:t>
      </w:r>
      <w:proofErr w:type="gramStart"/>
      <w:r w:rsidRPr="00413003">
        <w:rPr>
          <w:color w:val="auto"/>
        </w:rPr>
        <w:t>education,</w:t>
      </w:r>
      <w:proofErr w:type="gramEnd"/>
      <w:r w:rsidRPr="00413003">
        <w:rPr>
          <w:color w:val="auto"/>
        </w:rPr>
        <w:t xml:space="preserve"> and that “a lot of my friends didn’t include their kids because they couldn’t do the work.”</w:t>
      </w:r>
      <w:r w:rsidRPr="00413003">
        <w:rPr>
          <w:rStyle w:val="EndnoteReference"/>
          <w:color w:val="auto"/>
        </w:rPr>
        <w:endnoteReference w:id="48"/>
      </w:r>
      <w:r w:rsidRPr="00413003">
        <w:rPr>
          <w:color w:val="auto"/>
        </w:rPr>
        <w:t xml:space="preserve"> The other parent similarly lamented that other parents did not have the ability, resources, or stamina to promote inclusive placements for their children: “We know that parents have chosen not to fight or even prefer their children to be in a more segregated setting . . . I wish it wasn’t easy for people to give up. For some, they can’t fight the system anymore.”</w:t>
      </w:r>
      <w:r w:rsidRPr="00413003">
        <w:rPr>
          <w:rStyle w:val="EndnoteReference"/>
          <w:color w:val="auto"/>
        </w:rPr>
        <w:endnoteReference w:id="49"/>
      </w:r>
      <w:r w:rsidRPr="00413003">
        <w:rPr>
          <w:color w:val="auto"/>
        </w:rPr>
        <w:t xml:space="preserve"> </w:t>
      </w:r>
    </w:p>
    <w:p w14:paraId="0F7E0330" w14:textId="77777777" w:rsidR="006B6D8E" w:rsidRDefault="006B6D8E">
      <w:pPr>
        <w:rPr>
          <w:rFonts w:ascii="Arial" w:eastAsia="Times New Roman" w:hAnsi="Arial" w:cs="Times New Roman"/>
          <w:b/>
          <w:sz w:val="28"/>
          <w:szCs w:val="32"/>
        </w:rPr>
      </w:pPr>
      <w:bookmarkStart w:id="74" w:name="_Toc499116975"/>
      <w:r>
        <w:br w:type="page"/>
      </w:r>
    </w:p>
    <w:p w14:paraId="0856D4DB" w14:textId="31F49828" w:rsidR="00FC0E68" w:rsidRPr="00413003" w:rsidRDefault="00FC0E68" w:rsidP="00A94DE0">
      <w:pPr>
        <w:pStyle w:val="Heading2"/>
      </w:pPr>
      <w:bookmarkStart w:id="75" w:name="_Toc500433953"/>
      <w:r w:rsidRPr="00413003">
        <w:lastRenderedPageBreak/>
        <w:t>Disproportionate Placement across Racial/Ethnic Groups</w:t>
      </w:r>
      <w:bookmarkEnd w:id="74"/>
      <w:bookmarkEnd w:id="75"/>
    </w:p>
    <w:p w14:paraId="0630884A" w14:textId="77777777" w:rsidR="00FC0E68" w:rsidRPr="00413003" w:rsidRDefault="00FC0E68" w:rsidP="00A94DE0">
      <w:pPr>
        <w:pStyle w:val="NCDBodyText"/>
        <w:rPr>
          <w:color w:val="auto"/>
        </w:rPr>
      </w:pPr>
      <w:r w:rsidRPr="00413003">
        <w:rPr>
          <w:color w:val="auto"/>
        </w:rPr>
        <w:t xml:space="preserve">Table 3 in the Appendix provides data from 2005 and 2015, tracking the placement of students with disabilities in general education 80 percent of the time or more, for students of different racial groups and ethnicities. While the proportion of students attending general education classes for 80 percent or more of the day has increased across all categories of race and ethnicity over time, discrepancies between racial and ethnic groups persist. </w:t>
      </w:r>
      <w:bookmarkStart w:id="76" w:name="_Hlk488592649"/>
      <w:r w:rsidRPr="00413003">
        <w:rPr>
          <w:color w:val="auto"/>
        </w:rPr>
        <w:t xml:space="preserve">White students and Native American students continue to be included in general education classrooms more often than African American students, Asian students, and those from the Pacific Islands, including Hawaii. </w:t>
      </w:r>
      <w:bookmarkEnd w:id="76"/>
      <w:proofErr w:type="gramStart"/>
      <w:r w:rsidRPr="00413003">
        <w:rPr>
          <w:color w:val="auto"/>
        </w:rPr>
        <w:t>Most troubling, because variables other than child-related factors (such as IQ or communication skills) appear to be at play in placement decisions.</w:t>
      </w:r>
      <w:proofErr w:type="gramEnd"/>
      <w:r w:rsidRPr="00413003">
        <w:rPr>
          <w:color w:val="auto"/>
        </w:rPr>
        <w:t xml:space="preserve"> </w:t>
      </w:r>
      <w:proofErr w:type="spellStart"/>
      <w:r w:rsidRPr="00413003">
        <w:rPr>
          <w:color w:val="auto"/>
        </w:rPr>
        <w:t>Kurth</w:t>
      </w:r>
      <w:proofErr w:type="spellEnd"/>
      <w:r w:rsidRPr="00413003">
        <w:rPr>
          <w:color w:val="auto"/>
        </w:rPr>
        <w:t xml:space="preserve">, </w:t>
      </w:r>
      <w:proofErr w:type="spellStart"/>
      <w:r w:rsidRPr="00413003">
        <w:rPr>
          <w:color w:val="auto"/>
        </w:rPr>
        <w:t>Mastergeorge</w:t>
      </w:r>
      <w:proofErr w:type="spellEnd"/>
      <w:r w:rsidRPr="00413003">
        <w:rPr>
          <w:color w:val="auto"/>
        </w:rPr>
        <w:t xml:space="preserve">, and </w:t>
      </w:r>
      <w:proofErr w:type="spellStart"/>
      <w:r w:rsidRPr="00413003">
        <w:rPr>
          <w:color w:val="auto"/>
        </w:rPr>
        <w:t>Paschall</w:t>
      </w:r>
      <w:proofErr w:type="spellEnd"/>
      <w:r w:rsidRPr="00413003">
        <w:rPr>
          <w:rStyle w:val="EndnoteReference"/>
          <w:color w:val="auto"/>
        </w:rPr>
        <w:endnoteReference w:id="50"/>
      </w:r>
      <w:r w:rsidRPr="00413003">
        <w:rPr>
          <w:color w:val="auto"/>
        </w:rPr>
        <w:t xml:space="preserve"> extended </w:t>
      </w:r>
      <w:proofErr w:type="spellStart"/>
      <w:r w:rsidRPr="00413003">
        <w:rPr>
          <w:color w:val="auto"/>
        </w:rPr>
        <w:t>Kurth’s</w:t>
      </w:r>
      <w:proofErr w:type="spellEnd"/>
      <w:r w:rsidRPr="00413003">
        <w:rPr>
          <w:color w:val="auto"/>
        </w:rPr>
        <w:t xml:space="preserve"> earlier analysis of placements for students with autism by looking at the demographic, economic, and educational variables associated with placements. States were clustered into four groups: highly inclusive, moderately inclusive, moderately restrictive, and highly restrictive. They found that highly inclusive states tended to have more rural, White, and educated adults. They suggested that African American students with autism are disproportionately placed in more restrictive educational settings. </w:t>
      </w:r>
    </w:p>
    <w:p w14:paraId="2312A709" w14:textId="77777777" w:rsidR="00FC0E68" w:rsidRPr="00413003" w:rsidRDefault="00FC0E68" w:rsidP="00A94DE0">
      <w:pPr>
        <w:pStyle w:val="NCDBodyText"/>
        <w:rPr>
          <w:color w:val="auto"/>
        </w:rPr>
      </w:pPr>
      <w:r w:rsidRPr="00413003">
        <w:rPr>
          <w:color w:val="auto"/>
        </w:rPr>
        <w:t>As a result of concerns with the overrepresentation of certain racial groups in special education identification and removals from general education, IDEA regulations were amended in January 2017 to promote equity in education by ensuring that states identify LEAs with significant disproportionality and that “[s]</w:t>
      </w:r>
      <w:proofErr w:type="spellStart"/>
      <w:r w:rsidRPr="00413003">
        <w:rPr>
          <w:color w:val="auto"/>
        </w:rPr>
        <w:t>tates</w:t>
      </w:r>
      <w:proofErr w:type="spellEnd"/>
      <w:r w:rsidRPr="00413003">
        <w:rPr>
          <w:color w:val="auto"/>
        </w:rPr>
        <w:t xml:space="preserve"> assist LEAs in ensuring that children with disabilities are properly identified for services, receive necessary services in the least restrictive environment, and are not disproportionately removed from their educational placements by disciplinary removals.”</w:t>
      </w:r>
      <w:r w:rsidRPr="00413003">
        <w:rPr>
          <w:rStyle w:val="EndnoteReference"/>
          <w:color w:val="auto"/>
        </w:rPr>
        <w:endnoteReference w:id="51"/>
      </w:r>
      <w:r w:rsidRPr="00413003">
        <w:rPr>
          <w:color w:val="auto"/>
        </w:rPr>
        <w:t xml:space="preserve"> This includes not only disciplinary removals (i.e., suspensions) but also restrictive placements.</w:t>
      </w:r>
    </w:p>
    <w:p w14:paraId="1D9ECEC0" w14:textId="77777777" w:rsidR="00FC0E68" w:rsidRPr="00413003" w:rsidRDefault="00FC0E68" w:rsidP="00FC0E68">
      <w:pPr>
        <w:rPr>
          <w:rFonts w:cs="Arial"/>
          <w:b/>
        </w:rPr>
      </w:pPr>
      <w:r w:rsidRPr="00413003">
        <w:rPr>
          <w:rFonts w:cs="Arial"/>
          <w:b/>
        </w:rPr>
        <w:br w:type="page"/>
      </w:r>
    </w:p>
    <w:p w14:paraId="706E645A" w14:textId="77777777" w:rsidR="00FC0E68" w:rsidRPr="00413003" w:rsidRDefault="00FC0E68" w:rsidP="00FC0E68">
      <w:pPr>
        <w:pStyle w:val="Heading1"/>
      </w:pPr>
      <w:bookmarkStart w:id="77" w:name="_Toc499116976"/>
      <w:bookmarkStart w:id="78" w:name="_Toc500433954"/>
      <w:r w:rsidRPr="00413003">
        <w:lastRenderedPageBreak/>
        <w:t>Chapter 3: Federal and State Response</w:t>
      </w:r>
      <w:bookmarkEnd w:id="77"/>
      <w:bookmarkEnd w:id="78"/>
    </w:p>
    <w:p w14:paraId="44C53894" w14:textId="77777777" w:rsidR="00FC0E68" w:rsidRPr="00413003" w:rsidRDefault="00FC0E68" w:rsidP="00A94DE0">
      <w:pPr>
        <w:pStyle w:val="Heading2"/>
        <w:rPr>
          <w:rStyle w:val="Heading3Char"/>
          <w:rFonts w:cs="Times New Roman"/>
          <w:b/>
          <w:i w:val="0"/>
          <w:color w:val="auto"/>
          <w:sz w:val="28"/>
          <w:szCs w:val="32"/>
        </w:rPr>
      </w:pPr>
      <w:bookmarkStart w:id="79" w:name="_Toc499116977"/>
      <w:bookmarkStart w:id="80" w:name="_Toc500433955"/>
      <w:r w:rsidRPr="00413003">
        <w:rPr>
          <w:rStyle w:val="Heading3Char"/>
          <w:rFonts w:cs="Times New Roman"/>
          <w:b/>
          <w:i w:val="0"/>
          <w:color w:val="auto"/>
          <w:sz w:val="28"/>
          <w:szCs w:val="32"/>
        </w:rPr>
        <w:t>Federal Policy Letters and Guidance</w:t>
      </w:r>
      <w:bookmarkEnd w:id="79"/>
      <w:bookmarkEnd w:id="80"/>
    </w:p>
    <w:p w14:paraId="5D1870E9" w14:textId="77777777" w:rsidR="00FC0E68" w:rsidRPr="00413003" w:rsidRDefault="00FC0E68" w:rsidP="00A94DE0">
      <w:pPr>
        <w:pStyle w:val="NCDBodyText"/>
        <w:rPr>
          <w:color w:val="auto"/>
        </w:rPr>
      </w:pPr>
      <w:r w:rsidRPr="00413003">
        <w:rPr>
          <w:color w:val="auto"/>
        </w:rPr>
        <w:t>OSEP regularly issues policy letters and Dear Colleague Letters (DCLs) to clarify legal requirements and provide guidance on systemic issues. A number of major policy letters or guidance related to the placement of students with disabilities and removal from educational settings available to all other children have been issued in the past 20 years:</w:t>
      </w:r>
    </w:p>
    <w:p w14:paraId="0DB0911C" w14:textId="77777777" w:rsidR="00FC0E68" w:rsidRPr="00413003" w:rsidRDefault="00FC0E68" w:rsidP="00A94DE0">
      <w:pPr>
        <w:pStyle w:val="NCDBulletsLevel1"/>
        <w:rPr>
          <w:color w:val="auto"/>
        </w:rPr>
      </w:pPr>
      <w:r w:rsidRPr="00413003">
        <w:rPr>
          <w:color w:val="auto"/>
        </w:rPr>
        <w:t>In 1994, the Office of Special Education and Rehabilitative Services (OSERS) issued a memo on the relationship of the LRE requirements to inclusion. Noting that the term “inclusion” is not mentioned in IDEA, they emphasized the need for “individualized inquiry into the unique educational needs of each disabled student in determining the possible range of aids and supports that are needed to facilitate the student’s placement in the regular educational environment before a more restrictive placement is considered.” Specifically, they noted that placement decisions based solely on the following factors are prohibited: category of disability, severity of disability, configuration of delivery system, availability of educational or related services, availability of space, or administrative convenience.</w:t>
      </w:r>
      <w:r w:rsidRPr="00413003">
        <w:rPr>
          <w:color w:val="auto"/>
          <w:vertAlign w:val="superscript"/>
        </w:rPr>
        <w:endnoteReference w:id="52"/>
      </w:r>
      <w:r w:rsidRPr="00413003">
        <w:rPr>
          <w:color w:val="auto"/>
        </w:rPr>
        <w:t xml:space="preserve"> </w:t>
      </w:r>
    </w:p>
    <w:p w14:paraId="49BB9951" w14:textId="77777777" w:rsidR="00FC0E68" w:rsidRPr="00413003" w:rsidRDefault="00FC0E68" w:rsidP="00A94DE0">
      <w:pPr>
        <w:pStyle w:val="NCDBulletsLevel1"/>
        <w:rPr>
          <w:color w:val="auto"/>
        </w:rPr>
      </w:pPr>
      <w:r w:rsidRPr="00413003">
        <w:rPr>
          <w:color w:val="auto"/>
        </w:rPr>
        <w:t>In February 2012, OSEP issued a DCL reiterating that the LRE requirements of IDEA apply to the placement of preschool children with disabilities, recommending that LEAs “that do not have a public preschool program that can provide all the appropriate services and supports for a particular child with a disability must explore alternative methods to ensure that the LRE requirements are met for that child” and recommend that “a variety of strategies, including staffing configurations, community collaboration models, and professional development activities that promote expanded preschool options are available.”</w:t>
      </w:r>
      <w:r w:rsidRPr="00413003">
        <w:rPr>
          <w:color w:val="auto"/>
          <w:vertAlign w:val="superscript"/>
        </w:rPr>
        <w:endnoteReference w:id="53"/>
      </w:r>
    </w:p>
    <w:p w14:paraId="3CF59078" w14:textId="77777777" w:rsidR="00FC0E68" w:rsidRPr="00413003" w:rsidRDefault="00FC0E68" w:rsidP="00A94DE0">
      <w:pPr>
        <w:pStyle w:val="NCDBulletsLevel1"/>
        <w:rPr>
          <w:color w:val="auto"/>
        </w:rPr>
      </w:pPr>
      <w:r w:rsidRPr="00413003">
        <w:rPr>
          <w:color w:val="auto"/>
        </w:rPr>
        <w:t xml:space="preserve">In September 2015, the </w:t>
      </w:r>
      <w:bookmarkStart w:id="81" w:name="_Hlk488592703"/>
      <w:r w:rsidRPr="00413003">
        <w:rPr>
          <w:color w:val="auto"/>
        </w:rPr>
        <w:t xml:space="preserve">U.S. Department of Health and Human Services (HHS) </w:t>
      </w:r>
      <w:bookmarkEnd w:id="81"/>
      <w:r w:rsidRPr="00413003">
        <w:rPr>
          <w:color w:val="auto"/>
        </w:rPr>
        <w:t xml:space="preserve">and ED issued a joint policy statement providing extensive recommendations to states and LEAs regarding inclusion in early childhood programs. HHS and ED cited the </w:t>
      </w:r>
      <w:r w:rsidRPr="00413003">
        <w:rPr>
          <w:color w:val="auto"/>
        </w:rPr>
        <w:lastRenderedPageBreak/>
        <w:t>need to create a culture of inclusion based on legal and scientific data, and outlined specific steps to guide states and local agencies to ensure that the expectations and supports needed for children with disabilities are always considered with those of other children.</w:t>
      </w:r>
      <w:r w:rsidRPr="00413003">
        <w:rPr>
          <w:color w:val="auto"/>
          <w:vertAlign w:val="superscript"/>
        </w:rPr>
        <w:endnoteReference w:id="54"/>
      </w:r>
    </w:p>
    <w:p w14:paraId="33B40F7B" w14:textId="77777777" w:rsidR="00FC0E68" w:rsidRPr="00413003" w:rsidRDefault="00FC0E68" w:rsidP="00A94DE0">
      <w:pPr>
        <w:pStyle w:val="NCDBulletsLevel1"/>
        <w:rPr>
          <w:color w:val="auto"/>
        </w:rPr>
      </w:pPr>
      <w:r w:rsidRPr="00413003">
        <w:rPr>
          <w:color w:val="auto"/>
        </w:rPr>
        <w:t>On November 16, 2015, OSEP issued a DCL that clarified the interpretation of “general education curriculum” for students with IEPs. OSEP emphasized that the IEP is intended to support instruction and access to the general education curriculum rather than to create an alternate curriculum. Recognizing that some children with significant cognitive disabilities perform significantly below their grade level, the letter guides IEP teams to select goals that are aligned with, and are pre-requisite for, grade level standards, and estimate the extent of growth expected during the course of a year. The purpose of the DCL was to “ensure that annual IEP goals for these children reflect high expectations and are based on the State’s content standards for the grade in which a child is enrolled.”</w:t>
      </w:r>
      <w:r w:rsidRPr="00413003">
        <w:rPr>
          <w:color w:val="auto"/>
          <w:vertAlign w:val="superscript"/>
        </w:rPr>
        <w:endnoteReference w:id="55"/>
      </w:r>
      <w:r w:rsidRPr="00413003">
        <w:rPr>
          <w:color w:val="auto"/>
        </w:rPr>
        <w:t xml:space="preserve"> </w:t>
      </w:r>
    </w:p>
    <w:p w14:paraId="1DC2AAE4" w14:textId="77777777" w:rsidR="00FC0E68" w:rsidRPr="00413003" w:rsidRDefault="00FC0E68" w:rsidP="00A94DE0">
      <w:pPr>
        <w:pStyle w:val="NCDBulletsLevel1"/>
        <w:rPr>
          <w:color w:val="auto"/>
        </w:rPr>
      </w:pPr>
      <w:r w:rsidRPr="00413003">
        <w:rPr>
          <w:color w:val="auto"/>
        </w:rPr>
        <w:t>In August 2016, noting concerns with the rates of disciplinary removal, particularly for children of color with disabilities, OSERS issued significant guidance through a DCL to clarify that children with disabilities must receive appropriate behavioral supports to receive a free, appropriate public education in LRE. The letter describes alternatives to disciplinary removal, including a system of tiered behavior supports, warning that a failure to provide behavioral supports could result in an inappropriately restrictive placement.</w:t>
      </w:r>
      <w:r w:rsidRPr="00413003">
        <w:rPr>
          <w:color w:val="auto"/>
          <w:vertAlign w:val="superscript"/>
        </w:rPr>
        <w:endnoteReference w:id="56"/>
      </w:r>
    </w:p>
    <w:p w14:paraId="5022B210" w14:textId="77777777" w:rsidR="00FC0E68" w:rsidRPr="00413003" w:rsidRDefault="00FC0E68" w:rsidP="00A94DE0">
      <w:pPr>
        <w:pStyle w:val="NCDBulletsLevel1"/>
        <w:rPr>
          <w:color w:val="auto"/>
        </w:rPr>
      </w:pPr>
      <w:r w:rsidRPr="00413003">
        <w:rPr>
          <w:color w:val="auto"/>
        </w:rPr>
        <w:t xml:space="preserve">On January 9, 2017, OSERS issued a DCL to affirm the need for young children with disabilities to access inclusive high-quality early childhood programs to enable them to meet high expectations, noting that the expansion of early childhood programs has not been accompanied by a proportionate expansion of inclusive options. Reiterating the legal requirement for presuming that the first placement consideration </w:t>
      </w:r>
      <w:proofErr w:type="gramStart"/>
      <w:r w:rsidRPr="00413003">
        <w:rPr>
          <w:color w:val="auto"/>
        </w:rPr>
        <w:t>be</w:t>
      </w:r>
      <w:proofErr w:type="gramEnd"/>
      <w:r w:rsidRPr="00413003">
        <w:rPr>
          <w:color w:val="auto"/>
        </w:rPr>
        <w:t xml:space="preserve"> the regular public preschool program that a child would attend if the child did not have a disability, OSERS encouraged state and local agencies to plan to expand inclusive options.</w:t>
      </w:r>
      <w:r w:rsidRPr="00413003">
        <w:rPr>
          <w:color w:val="auto"/>
          <w:vertAlign w:val="superscript"/>
        </w:rPr>
        <w:endnoteReference w:id="57"/>
      </w:r>
    </w:p>
    <w:p w14:paraId="08C00835" w14:textId="77777777" w:rsidR="00FC0E68" w:rsidRPr="00413003" w:rsidRDefault="00FC0E68" w:rsidP="00A94DE0">
      <w:pPr>
        <w:pStyle w:val="Heading2"/>
        <w:rPr>
          <w:rStyle w:val="Heading3Char"/>
          <w:rFonts w:cs="Times New Roman"/>
          <w:b/>
          <w:i w:val="0"/>
          <w:color w:val="auto"/>
          <w:sz w:val="28"/>
          <w:szCs w:val="32"/>
        </w:rPr>
      </w:pPr>
      <w:bookmarkStart w:id="82" w:name="_Toc499116978"/>
      <w:bookmarkStart w:id="83" w:name="_Toc500433956"/>
      <w:r w:rsidRPr="00413003">
        <w:rPr>
          <w:rStyle w:val="Heading3Char"/>
          <w:rFonts w:cs="Times New Roman"/>
          <w:b/>
          <w:i w:val="0"/>
          <w:color w:val="auto"/>
          <w:sz w:val="28"/>
          <w:szCs w:val="32"/>
        </w:rPr>
        <w:lastRenderedPageBreak/>
        <w:t>State Regulations and Guidance</w:t>
      </w:r>
      <w:bookmarkEnd w:id="82"/>
      <w:bookmarkEnd w:id="83"/>
    </w:p>
    <w:p w14:paraId="4A078D2E" w14:textId="77777777" w:rsidR="00FC0E68" w:rsidRPr="00413003" w:rsidRDefault="00FC0E68" w:rsidP="00A94DE0">
      <w:pPr>
        <w:pStyle w:val="NCDBodyText"/>
        <w:rPr>
          <w:color w:val="auto"/>
        </w:rPr>
      </w:pPr>
      <w:r w:rsidRPr="00413003">
        <w:rPr>
          <w:color w:val="auto"/>
        </w:rPr>
        <w:t>Unsurprisingly, given that there is great variation across states in placement practices, there is a wide range of publicly available policy and guidance related to LRE decision making</w:t>
      </w:r>
      <w:r w:rsidRPr="00413003" w:rsidDel="002D45DC">
        <w:rPr>
          <w:color w:val="auto"/>
        </w:rPr>
        <w:t xml:space="preserve"> </w:t>
      </w:r>
      <w:r w:rsidRPr="00413003">
        <w:rPr>
          <w:color w:val="auto"/>
        </w:rPr>
        <w:t>between states. In Table 1 of the Appendix, the 50 states and 10 territories are ranked in order of the rate at which they educate students with disabilities in general education for 80 percent or more of the time. For ease of viewing, the rankings are divided into quantiles. The following list shows publicly available regulations, policy, or other guidance for educating students with disabilities in LRE from six states that were randomly selected: two from the quartile with the most inclusive practices, two from the quartile with the most segregated practices, and one each from each of the middle quartiles:</w:t>
      </w:r>
    </w:p>
    <w:p w14:paraId="75D29ADC" w14:textId="77777777" w:rsidR="00790D34" w:rsidRPr="00603BF6" w:rsidRDefault="00790D34" w:rsidP="00603BF6">
      <w:pPr>
        <w:pStyle w:val="NCDBulletsLevel1"/>
        <w:numPr>
          <w:ilvl w:val="0"/>
          <w:numId w:val="0"/>
        </w:numPr>
        <w:spacing w:before="200"/>
        <w:rPr>
          <w:b/>
          <w:color w:val="auto"/>
          <w:sz w:val="28"/>
          <w:szCs w:val="28"/>
        </w:rPr>
      </w:pPr>
      <w:r w:rsidRPr="00603BF6">
        <w:rPr>
          <w:b/>
          <w:color w:val="auto"/>
          <w:sz w:val="28"/>
          <w:szCs w:val="28"/>
        </w:rPr>
        <w:t>Random Sample of Publicly Available State Policy Guidance for Educating Students with Disabilities in LRE</w:t>
      </w:r>
    </w:p>
    <w:p w14:paraId="2B8BE8A1" w14:textId="77777777" w:rsidR="00790D34" w:rsidRPr="0097290A" w:rsidRDefault="00790D34" w:rsidP="0097290A">
      <w:pPr>
        <w:pStyle w:val="NCDBulletsLevel1"/>
        <w:spacing w:before="200"/>
        <w:rPr>
          <w:color w:val="auto"/>
        </w:rPr>
      </w:pPr>
      <w:r w:rsidRPr="0097290A">
        <w:rPr>
          <w:b/>
          <w:color w:val="auto"/>
        </w:rPr>
        <w:t>Nebraska</w:t>
      </w:r>
      <w:r w:rsidRPr="0097290A">
        <w:rPr>
          <w:color w:val="auto"/>
        </w:rPr>
        <w:t xml:space="preserve"> includes students with disabilities at a rate of </w:t>
      </w:r>
      <w:r w:rsidRPr="0097290A">
        <w:rPr>
          <w:b/>
          <w:color w:val="auto"/>
        </w:rPr>
        <w:t>75</w:t>
      </w:r>
      <w:r w:rsidRPr="0097290A">
        <w:rPr>
          <w:color w:val="auto"/>
        </w:rPr>
        <w:t xml:space="preserve"> percent, with only </w:t>
      </w:r>
      <w:r>
        <w:rPr>
          <w:color w:val="auto"/>
        </w:rPr>
        <w:br/>
      </w:r>
      <w:r w:rsidRPr="0097290A">
        <w:rPr>
          <w:color w:val="auto"/>
        </w:rPr>
        <w:t>7 percent of students, ages 6–21, removed for more than 60 percent of the time. In addition to state regulations, Nebraska Department of Education has an extensive technical assistance guide for IEP development and offers nine questions for teams to ask when making placement decisions. Nebraska state guidance includes some questions that seem to go beyond IDEA requirements, such as: “Would the student require so much of the general education teacher’s time that the teacher cannot give adequate attention to the needs of other students in the classroom?” and “Does the student require the curriculum to be modified so significantly that it bears little relation to the instruction in the classroom?” The guidance includes a caution that: “A child or youth with disabilities is never to be placed in a particular educational setting based solely upon the disability category or on the staff, space and/or services currently available at a school.”</w:t>
      </w:r>
      <w:r w:rsidRPr="0097290A">
        <w:rPr>
          <w:color w:val="auto"/>
          <w:vertAlign w:val="superscript"/>
        </w:rPr>
        <w:endnoteReference w:id="58"/>
      </w:r>
    </w:p>
    <w:p w14:paraId="7DE07FE9" w14:textId="77777777" w:rsidR="0097290A" w:rsidRPr="0097290A" w:rsidRDefault="0097290A" w:rsidP="0097290A">
      <w:pPr>
        <w:pStyle w:val="NCDBulletsLevel1"/>
        <w:numPr>
          <w:ilvl w:val="0"/>
          <w:numId w:val="0"/>
        </w:numPr>
        <w:ind w:left="360"/>
        <w:rPr>
          <w:color w:val="auto"/>
        </w:rPr>
      </w:pPr>
    </w:p>
    <w:p w14:paraId="5959FE38" w14:textId="77777777" w:rsidR="00093637" w:rsidRPr="0097290A" w:rsidRDefault="00093637" w:rsidP="00723ABA">
      <w:pPr>
        <w:pStyle w:val="NCDBulletsLevel1"/>
        <w:spacing w:before="200"/>
        <w:rPr>
          <w:color w:val="auto"/>
        </w:rPr>
      </w:pPr>
      <w:r w:rsidRPr="0097290A">
        <w:rPr>
          <w:b/>
          <w:color w:val="auto"/>
        </w:rPr>
        <w:lastRenderedPageBreak/>
        <w:t>Florida</w:t>
      </w:r>
      <w:r w:rsidRPr="0097290A">
        <w:rPr>
          <w:color w:val="auto"/>
        </w:rPr>
        <w:t xml:space="preserve"> includes </w:t>
      </w:r>
      <w:r w:rsidRPr="0097290A">
        <w:rPr>
          <w:b/>
          <w:color w:val="auto"/>
        </w:rPr>
        <w:t>72</w:t>
      </w:r>
      <w:r w:rsidRPr="0097290A">
        <w:rPr>
          <w:color w:val="auto"/>
        </w:rPr>
        <w:t xml:space="preserve"> percent of its students with disabilities in general education for 80 percent of the time or more, and </w:t>
      </w:r>
      <w:proofErr w:type="gramStart"/>
      <w:r w:rsidRPr="0097290A">
        <w:rPr>
          <w:color w:val="auto"/>
        </w:rPr>
        <w:t>has</w:t>
      </w:r>
      <w:proofErr w:type="gramEnd"/>
      <w:r w:rsidRPr="0097290A">
        <w:rPr>
          <w:color w:val="auto"/>
        </w:rPr>
        <w:t xml:space="preserve"> 14 percent of its students removed for more than 60 percent of the time. Interestingly, the Florida statute provides a definition for inclusion: </w:t>
      </w:r>
    </w:p>
    <w:p w14:paraId="6C7A95CA" w14:textId="77777777" w:rsidR="00093637" w:rsidRPr="0097290A" w:rsidRDefault="00093637" w:rsidP="0097290A">
      <w:pPr>
        <w:pStyle w:val="Extract"/>
      </w:pPr>
      <w:r w:rsidRPr="0097290A">
        <w:t>A school district shall use the term “inclusion” to mean that a student is receiving education in a general education regular class setting, reflecting natural proportions and age-appropriate heterogeneous groups in core academic and elective or special areas within the school community; a student with a disability is a valued member of the classroom and school community; the teachers and administrators support universal education and have knowledge and support available to enable them to effectively teach all children; and a teacher is provided access to technical assistance in best practices, instructional methods, and supports tailored to the student’s needs based on current research.</w:t>
      </w:r>
      <w:r w:rsidRPr="0039308F">
        <w:rPr>
          <w:rStyle w:val="EndnoteReference"/>
        </w:rPr>
        <w:endnoteReference w:id="59"/>
      </w:r>
    </w:p>
    <w:p w14:paraId="35D1525B" w14:textId="77777777" w:rsidR="00093637" w:rsidRPr="0097290A" w:rsidRDefault="00093637" w:rsidP="00304135">
      <w:pPr>
        <w:pStyle w:val="NCDBodyText"/>
        <w:rPr>
          <w:color w:val="auto"/>
        </w:rPr>
      </w:pPr>
      <w:r w:rsidRPr="0097290A">
        <w:rPr>
          <w:color w:val="auto"/>
        </w:rPr>
        <w:t xml:space="preserve">The Florida statute also requires each school district to complete a Best Practices in Inclusive Education Indicators self-assessment to evaluate and plan improvements in inclusive practices. </w:t>
      </w:r>
    </w:p>
    <w:p w14:paraId="3A513D28" w14:textId="77777777" w:rsidR="00093637" w:rsidRPr="0097290A" w:rsidRDefault="00093637" w:rsidP="00304135">
      <w:pPr>
        <w:pStyle w:val="NCDBulletsLevel1"/>
        <w:rPr>
          <w:color w:val="auto"/>
        </w:rPr>
      </w:pPr>
      <w:r w:rsidRPr="0097290A">
        <w:rPr>
          <w:b/>
          <w:color w:val="auto"/>
        </w:rPr>
        <w:t>Kansas</w:t>
      </w:r>
      <w:r w:rsidRPr="0097290A">
        <w:rPr>
          <w:color w:val="auto"/>
        </w:rPr>
        <w:t xml:space="preserve"> has </w:t>
      </w:r>
      <w:r w:rsidRPr="0097290A">
        <w:rPr>
          <w:b/>
          <w:color w:val="auto"/>
        </w:rPr>
        <w:t>69</w:t>
      </w:r>
      <w:r w:rsidRPr="0097290A">
        <w:rPr>
          <w:color w:val="auto"/>
        </w:rPr>
        <w:t xml:space="preserve"> percent of its students with disabilities participating in general education settings for 80 percent of the time or </w:t>
      </w:r>
      <w:proofErr w:type="gramStart"/>
      <w:r w:rsidRPr="0097290A">
        <w:rPr>
          <w:color w:val="auto"/>
        </w:rPr>
        <w:t>more,</w:t>
      </w:r>
      <w:proofErr w:type="gramEnd"/>
      <w:r w:rsidRPr="0097290A">
        <w:rPr>
          <w:color w:val="auto"/>
        </w:rPr>
        <w:t xml:space="preserve"> and 7 percent are educated outside of general education for more than 60 percent of the time. The Kansas Department of Education publishes an extensive handbook for special education, which includes a chapter on educational placement.</w:t>
      </w:r>
      <w:r w:rsidRPr="0097290A">
        <w:rPr>
          <w:color w:val="auto"/>
          <w:vertAlign w:val="superscript"/>
        </w:rPr>
        <w:endnoteReference w:id="60"/>
      </w:r>
      <w:r w:rsidRPr="0097290A">
        <w:rPr>
          <w:color w:val="auto"/>
        </w:rPr>
        <w:t xml:space="preserve"> For the team to make placement changes after the initial IEP, “parents must provide consent for any substantial change in placement (more than 25% of the child’s school day) or material change in services (increase or decrease of 25% or more of the duration or frequency of a special education service, a related service, or a supplementary aid or a service).” </w:t>
      </w:r>
    </w:p>
    <w:p w14:paraId="1C1D2E81" w14:textId="77777777" w:rsidR="0097290A" w:rsidRPr="0097290A" w:rsidRDefault="0097290A" w:rsidP="0097290A">
      <w:pPr>
        <w:pStyle w:val="NCDBulletsLevel1"/>
        <w:numPr>
          <w:ilvl w:val="0"/>
          <w:numId w:val="0"/>
        </w:numPr>
        <w:ind w:left="360"/>
        <w:rPr>
          <w:color w:val="auto"/>
        </w:rPr>
      </w:pPr>
    </w:p>
    <w:p w14:paraId="34B738F6" w14:textId="77777777" w:rsidR="00093637" w:rsidRPr="0097290A" w:rsidRDefault="00093637" w:rsidP="0097290A">
      <w:pPr>
        <w:pStyle w:val="NCDBulletsLevel1"/>
        <w:spacing w:before="200"/>
        <w:rPr>
          <w:color w:val="auto"/>
        </w:rPr>
      </w:pPr>
      <w:r w:rsidRPr="0097290A">
        <w:rPr>
          <w:b/>
          <w:color w:val="auto"/>
        </w:rPr>
        <w:lastRenderedPageBreak/>
        <w:t>Pennsylvania</w:t>
      </w:r>
      <w:r w:rsidRPr="0097290A">
        <w:rPr>
          <w:color w:val="auto"/>
        </w:rPr>
        <w:t xml:space="preserve"> includes </w:t>
      </w:r>
      <w:r w:rsidRPr="0097290A">
        <w:rPr>
          <w:b/>
          <w:color w:val="auto"/>
        </w:rPr>
        <w:t>62</w:t>
      </w:r>
      <w:r w:rsidRPr="0097290A">
        <w:rPr>
          <w:color w:val="auto"/>
        </w:rPr>
        <w:t xml:space="preserve"> percent of its students with disabilities for 80 percent or more of the time, with 10 percent of students removed from general education more than 60 percent of the time. The Pennsylvania Department of Education relies on a 2002 publication as a resource for making educational placement decisions.</w:t>
      </w:r>
      <w:r w:rsidRPr="0097290A">
        <w:rPr>
          <w:color w:val="auto"/>
          <w:vertAlign w:val="superscript"/>
        </w:rPr>
        <w:endnoteReference w:id="61"/>
      </w:r>
      <w:r w:rsidRPr="0097290A">
        <w:rPr>
          <w:color w:val="auto"/>
        </w:rPr>
        <w:t xml:space="preserve"> It restricts schools from refusing general education placements for any of the following reasons:</w:t>
      </w:r>
    </w:p>
    <w:p w14:paraId="7410FA60" w14:textId="77777777" w:rsidR="00093637" w:rsidRPr="0097290A" w:rsidRDefault="00093637" w:rsidP="00304135">
      <w:pPr>
        <w:pStyle w:val="NCDBulletsLevel2"/>
        <w:rPr>
          <w:color w:val="auto"/>
        </w:rPr>
      </w:pPr>
      <w:r w:rsidRPr="0097290A">
        <w:rPr>
          <w:color w:val="auto"/>
        </w:rPr>
        <w:t>the student cannot do the same work at the same level as the other students in the regular education class if the student can make meaningful progress on the goals in their IEP in a regular education class;</w:t>
      </w:r>
    </w:p>
    <w:p w14:paraId="4A6219E1" w14:textId="77777777" w:rsidR="00093637" w:rsidRPr="0097290A" w:rsidRDefault="00093637" w:rsidP="00304135">
      <w:pPr>
        <w:pStyle w:val="NCDBulletsLevel2"/>
        <w:rPr>
          <w:color w:val="auto"/>
        </w:rPr>
      </w:pPr>
      <w:r w:rsidRPr="0097290A">
        <w:rPr>
          <w:color w:val="auto"/>
        </w:rPr>
        <w:t>the placement would be more expensive or inconvenient to the school;</w:t>
      </w:r>
    </w:p>
    <w:p w14:paraId="3087A0E2" w14:textId="77777777" w:rsidR="00093637" w:rsidRPr="0097290A" w:rsidRDefault="00093637" w:rsidP="00304135">
      <w:pPr>
        <w:pStyle w:val="NCDBulletsLevel2"/>
        <w:rPr>
          <w:color w:val="auto"/>
        </w:rPr>
      </w:pPr>
      <w:r w:rsidRPr="0097290A">
        <w:rPr>
          <w:color w:val="auto"/>
        </w:rPr>
        <w:t>the student has a certain type of disability or because the disability is severe in the school’s view (e.g., a school cannot have a policy that places all students with autism in an autistic support classroom);</w:t>
      </w:r>
    </w:p>
    <w:p w14:paraId="5E33D744" w14:textId="77777777" w:rsidR="00093637" w:rsidRPr="0097290A" w:rsidRDefault="00093637" w:rsidP="00304135">
      <w:pPr>
        <w:pStyle w:val="NCDBulletsLevel2"/>
        <w:rPr>
          <w:color w:val="auto"/>
        </w:rPr>
      </w:pPr>
      <w:r w:rsidRPr="0097290A">
        <w:rPr>
          <w:color w:val="auto"/>
        </w:rPr>
        <w:t xml:space="preserve">there is no room in the regular classroom for more students, but there is room in the special education classroom; and/or </w:t>
      </w:r>
    </w:p>
    <w:p w14:paraId="05D62B64" w14:textId="77777777" w:rsidR="00093637" w:rsidRPr="0097290A" w:rsidRDefault="00093637" w:rsidP="00304135">
      <w:pPr>
        <w:pStyle w:val="NCDBulletsLevel2"/>
        <w:rPr>
          <w:color w:val="auto"/>
        </w:rPr>
      </w:pPr>
      <w:proofErr w:type="gramStart"/>
      <w:r w:rsidRPr="0097290A">
        <w:rPr>
          <w:color w:val="auto"/>
        </w:rPr>
        <w:t>the</w:t>
      </w:r>
      <w:proofErr w:type="gramEnd"/>
      <w:r w:rsidRPr="0097290A">
        <w:rPr>
          <w:color w:val="auto"/>
        </w:rPr>
        <w:t xml:space="preserve"> curriculum used in that classroom has to be modified for the student because of their disability.</w:t>
      </w:r>
    </w:p>
    <w:p w14:paraId="044B4D16" w14:textId="77777777" w:rsidR="00093637" w:rsidRPr="0097290A" w:rsidRDefault="00093637" w:rsidP="00723ABA">
      <w:pPr>
        <w:pStyle w:val="NCDBulletsLevel1"/>
        <w:numPr>
          <w:ilvl w:val="0"/>
          <w:numId w:val="0"/>
        </w:numPr>
        <w:ind w:left="360"/>
      </w:pPr>
      <w:r w:rsidRPr="0097290A">
        <w:t xml:space="preserve">Oddly, though, in a discussion of classroom space, it notes that “using an old storage closet for a special education classroom may be a violation of the law,” and that classrooms must be close to the ebb and flow of school activities. In addition, it allows a three-year age span for students placed in elementary special education classrooms and a four-year age span for students in secondary special education classes. So, further investigation may be needed into these topics. </w:t>
      </w:r>
    </w:p>
    <w:p w14:paraId="17BE52E4" w14:textId="28C1FB4F" w:rsidR="00093637" w:rsidRDefault="00093637">
      <w:pPr>
        <w:rPr>
          <w:rFonts w:ascii="Arial" w:eastAsia="Calibri" w:hAnsi="Arial" w:cs="Arial"/>
          <w:sz w:val="24"/>
          <w:szCs w:val="24"/>
        </w:rPr>
      </w:pPr>
      <w:r>
        <w:br w:type="page"/>
      </w:r>
    </w:p>
    <w:p w14:paraId="7C2C4699" w14:textId="77777777" w:rsidR="00093637" w:rsidRPr="0097290A" w:rsidRDefault="00093637" w:rsidP="0097290A">
      <w:pPr>
        <w:pStyle w:val="NCDBulletsLevel1"/>
        <w:spacing w:before="200" w:after="160"/>
        <w:rPr>
          <w:color w:val="auto"/>
        </w:rPr>
      </w:pPr>
      <w:r w:rsidRPr="0097290A">
        <w:rPr>
          <w:b/>
          <w:color w:val="auto"/>
        </w:rPr>
        <w:lastRenderedPageBreak/>
        <w:t>Washington</w:t>
      </w:r>
      <w:r w:rsidRPr="0097290A">
        <w:rPr>
          <w:color w:val="auto"/>
        </w:rPr>
        <w:t xml:space="preserve"> falls in the most restrictive quartile, including only </w:t>
      </w:r>
      <w:r w:rsidRPr="0097290A">
        <w:rPr>
          <w:b/>
          <w:color w:val="auto"/>
        </w:rPr>
        <w:t>55</w:t>
      </w:r>
      <w:r w:rsidRPr="0097290A">
        <w:rPr>
          <w:color w:val="auto"/>
        </w:rPr>
        <w:t xml:space="preserve"> percent of its students with IEPs and removing 13 percent of students from general education 60 percent or more of the time. The recently published </w:t>
      </w:r>
      <w:proofErr w:type="gramStart"/>
      <w:r w:rsidRPr="0097290A">
        <w:rPr>
          <w:color w:val="auto"/>
        </w:rPr>
        <w:t>rules for the provision of special education reflects</w:t>
      </w:r>
      <w:proofErr w:type="gramEnd"/>
      <w:r w:rsidRPr="0097290A">
        <w:rPr>
          <w:color w:val="auto"/>
        </w:rPr>
        <w:t xml:space="preserve"> IDEA language. Limited guidance for families is offered,</w:t>
      </w:r>
      <w:r w:rsidRPr="0039308F">
        <w:rPr>
          <w:color w:val="auto"/>
          <w:vertAlign w:val="superscript"/>
        </w:rPr>
        <w:endnoteReference w:id="62"/>
      </w:r>
      <w:r w:rsidRPr="0097290A">
        <w:rPr>
          <w:color w:val="auto"/>
        </w:rPr>
        <w:t xml:space="preserve"> though no other Washington-issued resources could be found.</w:t>
      </w:r>
    </w:p>
    <w:p w14:paraId="499D50D8" w14:textId="77777777" w:rsidR="00093637" w:rsidRPr="0097290A" w:rsidRDefault="00093637" w:rsidP="0097290A">
      <w:pPr>
        <w:pStyle w:val="NCDBulletsLevel1"/>
        <w:spacing w:after="160"/>
        <w:rPr>
          <w:color w:val="auto"/>
        </w:rPr>
      </w:pPr>
      <w:r w:rsidRPr="0097290A">
        <w:rPr>
          <w:b/>
          <w:color w:val="auto"/>
        </w:rPr>
        <w:t>New</w:t>
      </w:r>
      <w:r w:rsidRPr="0097290A">
        <w:rPr>
          <w:color w:val="auto"/>
        </w:rPr>
        <w:t xml:space="preserve"> </w:t>
      </w:r>
      <w:r w:rsidRPr="0097290A">
        <w:rPr>
          <w:b/>
          <w:color w:val="auto"/>
        </w:rPr>
        <w:t>Jersey</w:t>
      </w:r>
      <w:r w:rsidRPr="0097290A">
        <w:rPr>
          <w:color w:val="auto"/>
        </w:rPr>
        <w:t xml:space="preserve"> is the third most segregated of the U.S. states and territories when it comes to including students with disabilities for at least 80 percent of the time. In New Jersey, only </w:t>
      </w:r>
      <w:r w:rsidRPr="0097290A">
        <w:rPr>
          <w:b/>
          <w:color w:val="auto"/>
        </w:rPr>
        <w:t>46</w:t>
      </w:r>
      <w:r w:rsidRPr="0097290A">
        <w:rPr>
          <w:color w:val="auto"/>
        </w:rPr>
        <w:t xml:space="preserve"> percent of its students with disabilities included 80 percent or more of the time, and 15 percent spent more than 60 percent of their day in special education settings. Following years of litigation brought by advocates against the New Jersey Department of Education, claiming that students with disabilities were not being educated in LRE, a settlement agreement was reached in January 2014.</w:t>
      </w:r>
      <w:r w:rsidRPr="0097290A">
        <w:rPr>
          <w:color w:val="auto"/>
          <w:vertAlign w:val="superscript"/>
        </w:rPr>
        <w:endnoteReference w:id="63"/>
      </w:r>
      <w:r w:rsidRPr="0097290A">
        <w:rPr>
          <w:color w:val="auto"/>
        </w:rPr>
        <w:t xml:space="preserve"> It required a statewide needs assessment, three years of training and technical assistance regarding LRE (including specific topic areas for designated districts), designation of state and local personnel to provide local assistance, and regular monitoring. While the agreement focused on attempts to change educator knowledge and practice, there was no attention to the state administrative code, which extensively details service delivery options and a variety of special education (group) programs. For example, the code defines the following:</w:t>
      </w:r>
    </w:p>
    <w:p w14:paraId="333352A6" w14:textId="77777777" w:rsidR="00093637" w:rsidRPr="0097290A" w:rsidRDefault="00093637" w:rsidP="0097290A">
      <w:pPr>
        <w:pStyle w:val="NCDBulletsLevel2"/>
        <w:spacing w:after="160"/>
        <w:rPr>
          <w:color w:val="auto"/>
        </w:rPr>
      </w:pPr>
      <w:r w:rsidRPr="0097290A">
        <w:rPr>
          <w:color w:val="auto"/>
        </w:rPr>
        <w:t>Supplementary instruction is provided in addition to general education instruction in one or more subjects and provided individually or in small groups by a teacher certified in the subject area or level. This instruction can be provided through in-class programs or pull-out programs.</w:t>
      </w:r>
    </w:p>
    <w:p w14:paraId="52F67E86" w14:textId="77777777" w:rsidR="00093637" w:rsidRPr="0097290A" w:rsidRDefault="00093637" w:rsidP="00A64F6D">
      <w:pPr>
        <w:pStyle w:val="NCDBulletsLevel2"/>
        <w:spacing w:after="160"/>
        <w:rPr>
          <w:color w:val="auto"/>
        </w:rPr>
      </w:pPr>
      <w:r w:rsidRPr="0097290A">
        <w:rPr>
          <w:color w:val="auto"/>
        </w:rPr>
        <w:t>Replacement resource programs offer specialized instruction in a single subject area by a certified special education teacher through an in-class resource program or pull out replacement program. “Instruction in more than one subject areas may be provided in a pull-out resource program.”</w:t>
      </w:r>
      <w:r w:rsidRPr="0097290A">
        <w:rPr>
          <w:color w:val="auto"/>
          <w:vertAlign w:val="superscript"/>
        </w:rPr>
        <w:endnoteReference w:id="64"/>
      </w:r>
    </w:p>
    <w:p w14:paraId="0417CA54" w14:textId="77777777" w:rsidR="0097290A" w:rsidRDefault="0097290A" w:rsidP="00A94DE0">
      <w:pPr>
        <w:pStyle w:val="NCDBulletsLevel1"/>
        <w:numPr>
          <w:ilvl w:val="0"/>
          <w:numId w:val="0"/>
        </w:numPr>
        <w:ind w:left="360"/>
        <w:rPr>
          <w:color w:val="auto"/>
        </w:rPr>
      </w:pPr>
    </w:p>
    <w:p w14:paraId="6D487381" w14:textId="77777777" w:rsidR="00093637" w:rsidRPr="0097290A" w:rsidRDefault="00093637" w:rsidP="0097290A">
      <w:pPr>
        <w:pStyle w:val="NCDBulletsLevel1"/>
        <w:numPr>
          <w:ilvl w:val="0"/>
          <w:numId w:val="0"/>
        </w:numPr>
        <w:spacing w:before="200"/>
        <w:rPr>
          <w:color w:val="auto"/>
        </w:rPr>
      </w:pPr>
      <w:commentRangeStart w:id="84"/>
      <w:r w:rsidRPr="0097290A">
        <w:rPr>
          <w:color w:val="auto"/>
        </w:rPr>
        <w:lastRenderedPageBreak/>
        <w:t>There are serious contradictions within the code related to who can provide specialized instruction or how many subjects can be addressed in such a program. Other programs for students based on disability label (e.g., severe to profound cognitive disabilities) are referenced in the code, and group sizes for various programs are prescribed (e.g., three students for an autism program without an aide and four to six students with an aide); further distinctions in staffing programs made on the basis of whether students have, for example, “mild,” “moderate,” or “severe” disabilities. Such descriptions clearly lead educators to consider special education as a group program based on the type and severity of a disability label. Language in the code also sets the expectation that students of similar behavioral or academic needs should be grouped together: “A special class program shall serve students who have similar intensive educational, behavioral, and other needs related to their disabilities in accordance with their individualized education program.” And: “The nature and intensity of the student’s educational needs shall determine whether the student is placed in a program that addresses moderate to severe cognitive disabilities or severe to profound cognitive disabilities,” and programs for students with learning disabilities are categorized as “mild to moderate” or “severe” with correspondingly different teacher-student ratio requirements.</w:t>
      </w:r>
      <w:r w:rsidRPr="0097290A">
        <w:rPr>
          <w:color w:val="auto"/>
          <w:vertAlign w:val="superscript"/>
        </w:rPr>
        <w:endnoteReference w:id="65"/>
      </w:r>
      <w:r w:rsidRPr="0097290A">
        <w:rPr>
          <w:color w:val="auto"/>
        </w:rPr>
        <w:t xml:space="preserve"> Taken as a whole, it is easy to see how New Jersey LEAs are designing restrictive settings in violation of the IDEA requirements. </w:t>
      </w:r>
      <w:commentRangeEnd w:id="84"/>
      <w:r w:rsidRPr="0097290A">
        <w:rPr>
          <w:rStyle w:val="CommentReference"/>
          <w:color w:val="auto"/>
        </w:rPr>
        <w:commentReference w:id="84"/>
      </w:r>
    </w:p>
    <w:p w14:paraId="4DDDBB7A" w14:textId="5BCBA157" w:rsidR="00FC0E68" w:rsidRPr="00413003" w:rsidRDefault="00FC0E68" w:rsidP="0039308F">
      <w:pPr>
        <w:pStyle w:val="Heading2"/>
        <w:spacing w:before="400"/>
      </w:pPr>
      <w:bookmarkStart w:id="85" w:name="_Toc499116979"/>
      <w:bookmarkStart w:id="86" w:name="_Toc500433957"/>
      <w:r w:rsidRPr="00413003">
        <w:t>Monitoring and Technical Assistance</w:t>
      </w:r>
      <w:bookmarkEnd w:id="85"/>
      <w:bookmarkEnd w:id="86"/>
    </w:p>
    <w:p w14:paraId="4E6E28B0" w14:textId="77777777" w:rsidR="00FC0E68" w:rsidRPr="00413003" w:rsidRDefault="00FC0E68" w:rsidP="00A94DE0">
      <w:pPr>
        <w:pStyle w:val="NCDBodyText"/>
        <w:rPr>
          <w:color w:val="auto"/>
        </w:rPr>
      </w:pPr>
      <w:r w:rsidRPr="00413003">
        <w:rPr>
          <w:color w:val="auto"/>
        </w:rPr>
        <w:t>In addition to tracking rates of inclusion, ED makes efforts to hold states accountable for IDEA’s LRE requirements by determining whether states are meeting procedural requirements. ED reviews “compliance” indicators (e.g., timelines for evaluations, due process hearings, and transitioning children into preschool services) and “results” indicators (e.g., percent of students dropping out of high school, participation on statewide assessments, and percent of children served in inclusive vs. segregated settings). Directions for states on how to submit annual performance reports (APRs) and other related documents can be found on the OSEP website.</w:t>
      </w:r>
      <w:r w:rsidRPr="00413003">
        <w:rPr>
          <w:rStyle w:val="EndnoteReference"/>
          <w:rFonts w:eastAsia="Times New Roman"/>
          <w:color w:val="auto"/>
        </w:rPr>
        <w:endnoteReference w:id="66"/>
      </w:r>
      <w:r w:rsidRPr="00413003">
        <w:rPr>
          <w:color w:val="auto"/>
        </w:rPr>
        <w:t xml:space="preserve"> ED makes annual determinations for each state, and categorizes states according to the level of assistance they need (e.g., no assistance/meets requirements, needs assistance, </w:t>
      </w:r>
      <w:r w:rsidRPr="00413003">
        <w:rPr>
          <w:color w:val="auto"/>
        </w:rPr>
        <w:lastRenderedPageBreak/>
        <w:t>needs intervention for one or multiple years, or needs substantial intervention). A report prepared by the National Center</w:t>
      </w:r>
      <w:r w:rsidRPr="00413003">
        <w:rPr>
          <w:b/>
          <w:color w:val="auto"/>
        </w:rPr>
        <w:t xml:space="preserve"> </w:t>
      </w:r>
      <w:r w:rsidRPr="00413003">
        <w:rPr>
          <w:color w:val="auto"/>
        </w:rPr>
        <w:t>for Systemic Improvement for OSEP detailed the progress states were making toward Indicator 5 (LRE)</w:t>
      </w:r>
      <w:r w:rsidRPr="00413003">
        <w:rPr>
          <w:rStyle w:val="EndnoteReference"/>
          <w:color w:val="auto"/>
        </w:rPr>
        <w:endnoteReference w:id="67"/>
      </w:r>
      <w:r w:rsidRPr="00413003">
        <w:rPr>
          <w:color w:val="auto"/>
        </w:rPr>
        <w:t xml:space="preserve"> and Indicator 6 (Preschool LRE).</w:t>
      </w:r>
      <w:r w:rsidRPr="00413003">
        <w:rPr>
          <w:rStyle w:val="EndnoteReference"/>
          <w:color w:val="auto"/>
        </w:rPr>
        <w:endnoteReference w:id="68"/>
      </w:r>
      <w:r w:rsidRPr="00413003">
        <w:rPr>
          <w:color w:val="auto"/>
        </w:rPr>
        <w:t xml:space="preserve"> The authors </w:t>
      </w:r>
      <w:bookmarkStart w:id="87" w:name="_Hlk488593226"/>
      <w:r w:rsidRPr="00413003">
        <w:rPr>
          <w:color w:val="auto"/>
        </w:rPr>
        <w:t xml:space="preserve">concluded that there is very little change or progress and little movement toward realizing IDEA’s mandate of LRE and inclusion over time. </w:t>
      </w:r>
    </w:p>
    <w:p w14:paraId="09E02CBD" w14:textId="77777777" w:rsidR="00FC0E68" w:rsidRPr="00413003" w:rsidRDefault="00FC0E68" w:rsidP="00A94DE0">
      <w:pPr>
        <w:pStyle w:val="NCDBodyText"/>
        <w:rPr>
          <w:rFonts w:eastAsia="Times New Roman"/>
          <w:color w:val="auto"/>
        </w:rPr>
      </w:pPr>
      <w:r w:rsidRPr="00413003">
        <w:rPr>
          <w:color w:val="auto"/>
        </w:rPr>
        <w:t>Despite the complex determination procedures and extensive reporting requirements for states, ED is not holding states accountable for their failures to uphold the IDEA’s LRE requirements</w:t>
      </w:r>
      <w:bookmarkEnd w:id="87"/>
      <w:r w:rsidRPr="00413003">
        <w:rPr>
          <w:color w:val="auto"/>
        </w:rPr>
        <w:t>. Annual targets are based on only slight improvements over previous years, and setting minimum thresholds for the percentage of students who should be in any setting conflicts with IDEA’s requirement that each child’s IEP is based on their individual needs. For example, despite New Jersey’s low levels of educating students with disabilities with their peers without disabilities in general education settings, they were determined by ED to “meet requirements,”</w:t>
      </w:r>
      <w:r w:rsidRPr="00413003">
        <w:rPr>
          <w:rStyle w:val="EndnoteReference"/>
          <w:color w:val="auto"/>
        </w:rPr>
        <w:endnoteReference w:id="69"/>
      </w:r>
      <w:r w:rsidRPr="00413003">
        <w:rPr>
          <w:color w:val="auto"/>
        </w:rPr>
        <w:t xml:space="preserve"> even when their annual LRE targets were not achieved and, in fact, the percent of students who were educated in general education classes was lower in 2013 than in the preceding three years.</w:t>
      </w:r>
      <w:r w:rsidRPr="00413003">
        <w:rPr>
          <w:rStyle w:val="EndnoteReference"/>
          <w:color w:val="auto"/>
        </w:rPr>
        <w:endnoteReference w:id="70"/>
      </w:r>
      <w:r w:rsidRPr="00413003">
        <w:rPr>
          <w:color w:val="auto"/>
        </w:rPr>
        <w:t xml:space="preserve"> </w:t>
      </w:r>
    </w:p>
    <w:p w14:paraId="7820F924" w14:textId="77777777" w:rsidR="00FC0E68" w:rsidRPr="00413003" w:rsidRDefault="00FC0E68" w:rsidP="00FC0E68">
      <w:pPr>
        <w:rPr>
          <w:rFonts w:cs="Arial"/>
        </w:rPr>
      </w:pPr>
      <w:r w:rsidRPr="00413003">
        <w:rPr>
          <w:rFonts w:cs="Arial"/>
        </w:rPr>
        <w:br w:type="page"/>
      </w:r>
    </w:p>
    <w:p w14:paraId="2402D9E8" w14:textId="13D27D65" w:rsidR="00FC0E68" w:rsidRPr="00413003" w:rsidRDefault="00FC0E68" w:rsidP="00FC0E68">
      <w:pPr>
        <w:pStyle w:val="Heading1"/>
      </w:pPr>
      <w:bookmarkStart w:id="88" w:name="_Toc499116980"/>
      <w:bookmarkStart w:id="89" w:name="_Toc500433958"/>
      <w:r w:rsidRPr="00413003">
        <w:lastRenderedPageBreak/>
        <w:t xml:space="preserve">Chapter 4: Challenges to Inclusive </w:t>
      </w:r>
      <w:r w:rsidR="00A94DE0" w:rsidRPr="00413003">
        <w:br/>
      </w:r>
      <w:r w:rsidRPr="00413003">
        <w:t>General Education Placement</w:t>
      </w:r>
      <w:bookmarkEnd w:id="88"/>
      <w:bookmarkEnd w:id="89"/>
    </w:p>
    <w:p w14:paraId="539105F3" w14:textId="77777777" w:rsidR="00FC0E68" w:rsidRPr="00413003" w:rsidRDefault="00FC0E68" w:rsidP="00FC0E68">
      <w:pPr>
        <w:pStyle w:val="Heading2"/>
      </w:pPr>
      <w:bookmarkStart w:id="90" w:name="_Toc499116981"/>
      <w:bookmarkStart w:id="91" w:name="_Toc500433959"/>
      <w:r w:rsidRPr="00413003">
        <w:t>Continuum of Placements</w:t>
      </w:r>
      <w:bookmarkEnd w:id="90"/>
      <w:bookmarkEnd w:id="91"/>
    </w:p>
    <w:p w14:paraId="7D9E2DFD" w14:textId="77777777" w:rsidR="00FC0E68" w:rsidRPr="00413003" w:rsidRDefault="00FC0E68" w:rsidP="00A94DE0">
      <w:pPr>
        <w:pStyle w:val="NCDBodyText"/>
        <w:rPr>
          <w:color w:val="auto"/>
        </w:rPr>
      </w:pPr>
      <w:r w:rsidRPr="00413003">
        <w:rPr>
          <w:color w:val="auto"/>
        </w:rPr>
        <w:t>There is more than a little controversy about the LRE continuum in terms of its philosophy related to an equitable education and how it actually impacts students with disabilities. In 2004, Taylor proposed replacing the LRE requirements with a policy for the integration of people with disabilities, to encourage and cultivate relationships between people with disabilities and those without disabilities. He discusses flaws in the LRE continuum philosophy that can result in limiting integrated life experiences. Among those flaws are the following:</w:t>
      </w:r>
      <w:r w:rsidRPr="00413003">
        <w:rPr>
          <w:rStyle w:val="EndnoteReference"/>
          <w:color w:val="auto"/>
        </w:rPr>
        <w:endnoteReference w:id="71"/>
      </w:r>
    </w:p>
    <w:p w14:paraId="385746A3" w14:textId="77777777" w:rsidR="00FC0E68" w:rsidRPr="00413003" w:rsidRDefault="00FC0E68" w:rsidP="00A94DE0">
      <w:pPr>
        <w:pStyle w:val="NCDBulletsLevel1"/>
        <w:rPr>
          <w:color w:val="auto"/>
        </w:rPr>
      </w:pPr>
      <w:r w:rsidRPr="00413003">
        <w:rPr>
          <w:b/>
          <w:color w:val="auto"/>
        </w:rPr>
        <w:t>Linear restrictiveness.</w:t>
      </w:r>
      <w:r w:rsidRPr="00413003">
        <w:rPr>
          <w:color w:val="auto"/>
        </w:rPr>
        <w:t xml:space="preserve"> The idea that the continuum is often thought to be a linear representation as defined by the amount of time that students are in or out of the general education classroom. Implicit in this concept is the notion that students require services located somewhere along this arbitrary line, and as they develop more independent skills might be able to transition to less restrictive placements. This construct ignores the evidence that for many students the supports and services they </w:t>
      </w:r>
      <w:proofErr w:type="gramStart"/>
      <w:r w:rsidRPr="00413003">
        <w:rPr>
          <w:color w:val="auto"/>
        </w:rPr>
        <w:t>need can</w:t>
      </w:r>
      <w:proofErr w:type="gramEnd"/>
      <w:r w:rsidRPr="00413003">
        <w:rPr>
          <w:color w:val="auto"/>
        </w:rPr>
        <w:t xml:space="preserve"> be provided in a less restrictive setting. The intensity of the services required does not by necessity lead to a requirement for restrictiveness. Furthermore, there is an assumption that placement in a restrictive setting inherently equates greater levels of quality of services and support, for which there is no evidence. </w:t>
      </w:r>
    </w:p>
    <w:p w14:paraId="073D9B22" w14:textId="77777777" w:rsidR="00FC0E68" w:rsidRPr="00413003" w:rsidRDefault="00FC0E68" w:rsidP="00A94DE0">
      <w:pPr>
        <w:pStyle w:val="NCDBulletsLevel1"/>
        <w:rPr>
          <w:color w:val="auto"/>
        </w:rPr>
      </w:pPr>
      <w:r w:rsidRPr="00413003">
        <w:rPr>
          <w:b/>
          <w:color w:val="auto"/>
        </w:rPr>
        <w:t xml:space="preserve">Readiness for inclusion. </w:t>
      </w:r>
      <w:r w:rsidRPr="00413003">
        <w:rPr>
          <w:color w:val="auto"/>
        </w:rPr>
        <w:t xml:space="preserve">Decisions to move students to less restrictive placements are often based on the perceived readiness of the student to learn grade level material. Separate programs for students with behavioral challenges often include a requirement that students “earn” increased participation in regular school environments and activities through demonstration of specific behavior and conduct. This discriminatory practice places the burden on students to develop normative behavior and skills in a non-normative setting rather than placing the burden on </w:t>
      </w:r>
      <w:r w:rsidRPr="00413003">
        <w:rPr>
          <w:color w:val="auto"/>
        </w:rPr>
        <w:lastRenderedPageBreak/>
        <w:t>educators to devise appropriate interventions. “The irony is that the most restrictive placements do not prepare people for the least restrictive placements.”</w:t>
      </w:r>
      <w:r w:rsidRPr="00413003">
        <w:rPr>
          <w:rStyle w:val="EndnoteReference"/>
          <w:color w:val="auto"/>
        </w:rPr>
        <w:endnoteReference w:id="72"/>
      </w:r>
      <w:r w:rsidRPr="00413003">
        <w:rPr>
          <w:color w:val="auto"/>
        </w:rPr>
        <w:t xml:space="preserve"> </w:t>
      </w:r>
    </w:p>
    <w:p w14:paraId="61751881" w14:textId="77777777" w:rsidR="00FC0E68" w:rsidRPr="006B6D8E" w:rsidRDefault="00FC0E68" w:rsidP="00A94DE0">
      <w:pPr>
        <w:pStyle w:val="NCDBulletsLevel1"/>
        <w:rPr>
          <w:color w:val="auto"/>
          <w:spacing w:val="-2"/>
        </w:rPr>
      </w:pPr>
      <w:r w:rsidRPr="006B6D8E">
        <w:rPr>
          <w:b/>
          <w:color w:val="auto"/>
          <w:spacing w:val="-2"/>
        </w:rPr>
        <w:t>Confusion of service with placement.</w:t>
      </w:r>
      <w:r w:rsidRPr="006B6D8E">
        <w:rPr>
          <w:color w:val="auto"/>
          <w:spacing w:val="-2"/>
        </w:rPr>
        <w:t xml:space="preserve"> The philosophy of a continuum assumes that students need to be removed from the general education classroom to receive more intensive services. However, intensity of service and segregation from peers are two different dimensions, and not necessarily related, particularly when the quality of instruction and services in inclusive versus segregated settings are compared. In an analysis of more than 2,000 articles,</w:t>
      </w:r>
      <w:r w:rsidRPr="006B6D8E">
        <w:rPr>
          <w:rStyle w:val="EndnoteReference"/>
          <w:color w:val="auto"/>
          <w:spacing w:val="-2"/>
        </w:rPr>
        <w:endnoteReference w:id="73"/>
      </w:r>
      <w:r w:rsidRPr="006B6D8E">
        <w:rPr>
          <w:color w:val="auto"/>
          <w:spacing w:val="-2"/>
        </w:rPr>
        <w:t xml:space="preserve"> Rix, Sheehy, Fletcher-Campbell, Crisp, and Harper found that the level of intensity of educational services provided to students with disabilities was not synonymous with participation in, or segregation from, general education classes and instruction on the general education curriculum. They also suggest that recognizing one end of the placement continuum as “inclusive” (i.e., the general education class) does not stop that placement from actually being isolating or exclusive. Similarly, considering alternate self-contained special education placements as </w:t>
      </w:r>
      <w:r w:rsidRPr="006B6D8E">
        <w:rPr>
          <w:i/>
          <w:color w:val="auto"/>
          <w:spacing w:val="-2"/>
        </w:rPr>
        <w:t>special</w:t>
      </w:r>
      <w:r w:rsidRPr="006B6D8E">
        <w:rPr>
          <w:color w:val="auto"/>
          <w:spacing w:val="-2"/>
        </w:rPr>
        <w:t xml:space="preserve"> “does not mean that it [the placement] is doing anything that is special or different from that which is done elsewhere.” </w:t>
      </w:r>
    </w:p>
    <w:p w14:paraId="1D3A4EB8" w14:textId="77777777" w:rsidR="00FC0E68" w:rsidRPr="00413003" w:rsidRDefault="00FC0E68" w:rsidP="00A94DE0">
      <w:pPr>
        <w:pStyle w:val="NCDBodyText"/>
        <w:rPr>
          <w:color w:val="auto"/>
        </w:rPr>
      </w:pPr>
      <w:r w:rsidRPr="00413003">
        <w:rPr>
          <w:color w:val="auto"/>
        </w:rPr>
        <w:t>Sauer and Jorgensen elaborate on the flaws in the LRE mandate and the requirement for a continuum, noting the disproportionate segregation of certain students with disabilities, such as students with intellectual disabilities, results in disproportionately limited school experiences. They link the cultural practice of segregating students with more obvious disabilities or intensive support needs to society’s devaluation of disability, also known as “ableism.”</w:t>
      </w:r>
      <w:r w:rsidRPr="00413003">
        <w:rPr>
          <w:rStyle w:val="EndnoteReference"/>
          <w:color w:val="auto"/>
        </w:rPr>
        <w:endnoteReference w:id="74"/>
      </w:r>
      <w:r w:rsidRPr="00413003">
        <w:rPr>
          <w:color w:val="auto"/>
        </w:rPr>
        <w:t xml:space="preserve"> The LRE continuum provides a rationale for taking away opportunities from a group of students, those with disabilities, and assumes a hierarchical value for who may go to their neighborhood</w:t>
      </w:r>
      <w:r w:rsidRPr="00413003">
        <w:rPr>
          <w:color w:val="auto"/>
          <w:sz w:val="28"/>
        </w:rPr>
        <w:t xml:space="preserve"> </w:t>
      </w:r>
      <w:r w:rsidRPr="00413003">
        <w:rPr>
          <w:color w:val="auto"/>
        </w:rPr>
        <w:t xml:space="preserve">school or school of choice. Sauer and Jorgensen also note the idiosyncratic nature of placement decision making, based on school traditions, teacher skills, strength of parent advocacy, and sometimes funding. </w:t>
      </w:r>
      <w:bookmarkStart w:id="92" w:name="_Hlk488581533"/>
      <w:r w:rsidRPr="00413003">
        <w:rPr>
          <w:color w:val="auto"/>
        </w:rPr>
        <w:t xml:space="preserve">To a large extent, the LRE continuum places a burden of fitting in or being able to access the classroom on the student who is seen as having deficits, rather than encouraging schools to create systems designed to benefit all students in the community and make access by those with disabilities more seamless. </w:t>
      </w:r>
      <w:bookmarkEnd w:id="92"/>
    </w:p>
    <w:p w14:paraId="25C06D57" w14:textId="77777777" w:rsidR="00FC0E68" w:rsidRPr="00413003" w:rsidRDefault="00FC0E68" w:rsidP="00FC0E68">
      <w:pPr>
        <w:pStyle w:val="Heading2"/>
      </w:pPr>
      <w:bookmarkStart w:id="93" w:name="_Toc499116982"/>
      <w:bookmarkStart w:id="94" w:name="_Toc500433960"/>
      <w:r w:rsidRPr="00413003">
        <w:lastRenderedPageBreak/>
        <w:t>Attitudes and Beliefs</w:t>
      </w:r>
      <w:bookmarkEnd w:id="93"/>
      <w:bookmarkEnd w:id="94"/>
    </w:p>
    <w:p w14:paraId="622F612B" w14:textId="77777777" w:rsidR="00FC0E68" w:rsidRPr="00413003" w:rsidRDefault="00FC0E68" w:rsidP="00A94DE0">
      <w:pPr>
        <w:pStyle w:val="NCDBodyText"/>
        <w:rPr>
          <w:b/>
          <w:color w:val="auto"/>
        </w:rPr>
      </w:pPr>
      <w:r w:rsidRPr="00413003">
        <w:rPr>
          <w:color w:val="auto"/>
        </w:rPr>
        <w:t>The driving force behind a student’s educational experience might be an understanding of roles and the attitudes that educators have about adult responsibilities and expectations for student outcomes. A teacher described her frustration when general classroom teachers send students with disabilities to a computer “to get them out of the way.” She said “. . . it is very important for these children to feel like a part of the classroom . . . Because (a student) needs different strategies doesn’t mean he needs to be removed or put in the back of the class.”</w:t>
      </w:r>
      <w:r w:rsidRPr="00413003">
        <w:rPr>
          <w:rStyle w:val="EndnoteReference"/>
          <w:color w:val="auto"/>
        </w:rPr>
        <w:endnoteReference w:id="75"/>
      </w:r>
      <w:r w:rsidRPr="00413003">
        <w:rPr>
          <w:color w:val="auto"/>
        </w:rPr>
        <w:t xml:space="preserve"> A parent of twins with disabilities was faced with the option of choosing between two early childhood programs. He described the importance of a teacher’s willingness to try: at a placement meeting, the teacher “made a comment that sold the deal—she looked at my wife and me (after understanding my twins’ special needs) and said, ‘I want your children in my classroom.’”</w:t>
      </w:r>
      <w:r w:rsidRPr="00413003">
        <w:rPr>
          <w:rStyle w:val="EndnoteReference"/>
          <w:color w:val="auto"/>
        </w:rPr>
        <w:endnoteReference w:id="76"/>
      </w:r>
      <w:r w:rsidRPr="00413003">
        <w:rPr>
          <w:color w:val="auto"/>
        </w:rPr>
        <w:t xml:space="preserve"> One principal described her efforts to assist teachers who are not prepared to collaborate and deliver specialized instruction in general education settings: “Some teachers think more ‘help’ is in the self-contained class, but they are just thinking someone else has a better answer . . . Segregation makes the building run smoother . . . (but) leadership needs to be the proponent of inclusion and not allow segregation.”</w:t>
      </w:r>
      <w:r w:rsidRPr="00413003">
        <w:rPr>
          <w:rStyle w:val="EndnoteReference"/>
          <w:color w:val="auto"/>
        </w:rPr>
        <w:endnoteReference w:id="77"/>
      </w:r>
    </w:p>
    <w:p w14:paraId="42ECDC2E" w14:textId="77777777" w:rsidR="00FC0E68" w:rsidRPr="00413003" w:rsidRDefault="00FC0E68" w:rsidP="00FC0E68">
      <w:pPr>
        <w:pStyle w:val="Heading2"/>
      </w:pPr>
      <w:bookmarkStart w:id="95" w:name="_Toc499116983"/>
      <w:bookmarkStart w:id="96" w:name="_Toc500433961"/>
      <w:r w:rsidRPr="00413003">
        <w:t>Organizational Traditions</w:t>
      </w:r>
      <w:bookmarkEnd w:id="95"/>
      <w:bookmarkEnd w:id="96"/>
    </w:p>
    <w:p w14:paraId="13C7B006" w14:textId="77777777" w:rsidR="00FC0E68" w:rsidRPr="00413003" w:rsidRDefault="00FC0E68" w:rsidP="00A94DE0">
      <w:pPr>
        <w:pStyle w:val="NCDBodyText"/>
        <w:rPr>
          <w:color w:val="auto"/>
        </w:rPr>
      </w:pPr>
      <w:r w:rsidRPr="00413003">
        <w:rPr>
          <w:color w:val="auto"/>
        </w:rPr>
        <w:t xml:space="preserve">Once school districts have made financial and personnel investments in creating or maintaining segregated settings and allocating teachers and other staff in small teacher-student ratios, there is an organizational tendency to maintain the status quo. </w:t>
      </w:r>
      <w:proofErr w:type="spellStart"/>
      <w:r w:rsidRPr="00413003">
        <w:rPr>
          <w:color w:val="auto"/>
        </w:rPr>
        <w:t>Ryndak</w:t>
      </w:r>
      <w:proofErr w:type="spellEnd"/>
      <w:r w:rsidRPr="00413003">
        <w:rPr>
          <w:color w:val="auto"/>
        </w:rPr>
        <w:t xml:space="preserve">, </w:t>
      </w:r>
      <w:proofErr w:type="spellStart"/>
      <w:r w:rsidRPr="00413003">
        <w:rPr>
          <w:color w:val="auto"/>
        </w:rPr>
        <w:t>Taub</w:t>
      </w:r>
      <w:proofErr w:type="spellEnd"/>
      <w:r w:rsidRPr="00413003">
        <w:rPr>
          <w:color w:val="auto"/>
        </w:rPr>
        <w:t xml:space="preserve">, Jorgensen, </w:t>
      </w:r>
      <w:proofErr w:type="spellStart"/>
      <w:r w:rsidRPr="00413003">
        <w:rPr>
          <w:color w:val="auto"/>
        </w:rPr>
        <w:t>Gonsier-Gerdin</w:t>
      </w:r>
      <w:proofErr w:type="spellEnd"/>
      <w:r w:rsidRPr="00413003">
        <w:rPr>
          <w:color w:val="auto"/>
        </w:rPr>
        <w:t xml:space="preserve">, Arndt, Sauer, </w:t>
      </w:r>
      <w:proofErr w:type="spellStart"/>
      <w:r w:rsidRPr="00413003">
        <w:rPr>
          <w:color w:val="auto"/>
        </w:rPr>
        <w:t>Ruppar</w:t>
      </w:r>
      <w:proofErr w:type="spellEnd"/>
      <w:r w:rsidRPr="00413003">
        <w:rPr>
          <w:color w:val="auto"/>
        </w:rPr>
        <w:t xml:space="preserve">, Morningstar, and </w:t>
      </w:r>
      <w:proofErr w:type="spellStart"/>
      <w:r w:rsidRPr="00413003">
        <w:rPr>
          <w:color w:val="auto"/>
        </w:rPr>
        <w:t>Allcock</w:t>
      </w:r>
      <w:proofErr w:type="spellEnd"/>
      <w:r w:rsidRPr="00413003">
        <w:rPr>
          <w:rStyle w:val="EndnoteReference"/>
          <w:color w:val="auto"/>
        </w:rPr>
        <w:endnoteReference w:id="78"/>
      </w:r>
      <w:r w:rsidRPr="00413003">
        <w:rPr>
          <w:color w:val="auto"/>
        </w:rPr>
        <w:t xml:space="preserve"> suggest that given the relatively stagnant rate of change in student placements over time, the LRE principle “legitimizes segregated settings as acceptable for some students.”</w:t>
      </w:r>
      <w:r w:rsidRPr="00413003">
        <w:rPr>
          <w:rStyle w:val="EndnoteReference"/>
          <w:color w:val="auto"/>
        </w:rPr>
        <w:endnoteReference w:id="79"/>
      </w:r>
      <w:bookmarkStart w:id="97" w:name="_Hlk488593288"/>
      <w:r w:rsidRPr="00413003">
        <w:rPr>
          <w:color w:val="auto"/>
        </w:rPr>
        <w:t xml:space="preserve"> While the LRE requirement should lead schools to make objective decisions based on data, this does not seem to be the case, considering the variation in placement patterns across states, the disproportionate segregation of students with certain disabilities (e.g., autism and intellectual disabilities), and the disproportionate segregation of students of color by both race and disability, as noted in this report.</w:t>
      </w:r>
      <w:bookmarkEnd w:id="97"/>
      <w:r w:rsidRPr="00413003">
        <w:rPr>
          <w:color w:val="auto"/>
        </w:rPr>
        <w:t xml:space="preserve"> </w:t>
      </w:r>
      <w:proofErr w:type="spellStart"/>
      <w:r w:rsidRPr="00413003">
        <w:rPr>
          <w:color w:val="auto"/>
        </w:rPr>
        <w:t>Ryndak</w:t>
      </w:r>
      <w:proofErr w:type="spellEnd"/>
      <w:r w:rsidRPr="00413003">
        <w:rPr>
          <w:color w:val="auto"/>
        </w:rPr>
        <w:t xml:space="preserve"> et al. emphasize that the LRE principle supporting a continuum of placements </w:t>
      </w:r>
      <w:r w:rsidRPr="00413003">
        <w:rPr>
          <w:color w:val="auto"/>
        </w:rPr>
        <w:lastRenderedPageBreak/>
        <w:t xml:space="preserve">perpetuates the misrepresentation of special education as a location, rather than supports and services to make progress in the curriculum, and the misperception that more intensive service needs require more restrictive placements. </w:t>
      </w:r>
    </w:p>
    <w:p w14:paraId="38CAC09A" w14:textId="77777777" w:rsidR="00FC0E68" w:rsidRPr="00413003" w:rsidRDefault="00FC0E68" w:rsidP="00FC0E68">
      <w:pPr>
        <w:pStyle w:val="Heading2"/>
      </w:pPr>
      <w:bookmarkStart w:id="98" w:name="_Toc499116984"/>
      <w:bookmarkStart w:id="99" w:name="_Toc500433962"/>
      <w:r w:rsidRPr="00413003">
        <w:t>Organizational and Workforce Capacity</w:t>
      </w:r>
      <w:bookmarkEnd w:id="98"/>
      <w:bookmarkEnd w:id="99"/>
    </w:p>
    <w:p w14:paraId="554B9728" w14:textId="77777777" w:rsidR="00FC0E68" w:rsidRPr="00413003" w:rsidRDefault="00FC0E68" w:rsidP="00A94DE0">
      <w:pPr>
        <w:pStyle w:val="NCDBodyText"/>
        <w:rPr>
          <w:color w:val="auto"/>
        </w:rPr>
      </w:pPr>
      <w:r w:rsidRPr="00413003">
        <w:rPr>
          <w:color w:val="auto"/>
        </w:rPr>
        <w:t>When schools have a clear vision for including all students with disabilities, they work to develop schoolwide structures that support educators and empower them to succeed in instructing students with disabilities through collaboration. One advocate interviewed for this report noted that the “systemic challenges are less about placement and more about best and evidence-based practices: how to differentiate, how to manage the classroom. Those are the biggest challenges for teachers.”</w:t>
      </w:r>
      <w:r w:rsidRPr="00413003">
        <w:rPr>
          <w:rStyle w:val="EndnoteReference"/>
          <w:color w:val="auto"/>
        </w:rPr>
        <w:endnoteReference w:id="80"/>
      </w:r>
      <w:r w:rsidRPr="00413003">
        <w:rPr>
          <w:color w:val="auto"/>
        </w:rPr>
        <w:t xml:space="preserve"> </w:t>
      </w:r>
    </w:p>
    <w:p w14:paraId="2C7379B6" w14:textId="77777777" w:rsidR="00FC0E68" w:rsidRPr="00413003" w:rsidRDefault="00FC0E68" w:rsidP="00A94DE0">
      <w:pPr>
        <w:pStyle w:val="NCDBodyText"/>
        <w:rPr>
          <w:color w:val="auto"/>
        </w:rPr>
      </w:pPr>
      <w:r w:rsidRPr="00413003">
        <w:rPr>
          <w:color w:val="auto"/>
        </w:rPr>
        <w:t xml:space="preserve">Most stakeholders expressed frustration with teachers and school personnel not being qualified or trained to deal with behavioral problems. They described how students who experience bullying (often because of disability-related factors) led to an increase in behavioral reactions from the child with a disability. They describe how a negative school environment exacerbates problem behavior, resulting in multiple and unnecessary suspensions, without proactive behavior support planning. “Rather than reaching a consensus through . . . behavioral assessment, often the child is pushed out through suspension or expulsion.” One parent described the “environmental controls” that a teacher put in place: “a cardboard box on his desk so that he is separated from others in the </w:t>
      </w:r>
      <w:proofErr w:type="gramStart"/>
      <w:r w:rsidRPr="00413003">
        <w:rPr>
          <w:color w:val="auto"/>
        </w:rPr>
        <w:t>classroom, . . .</w:t>
      </w:r>
      <w:proofErr w:type="gramEnd"/>
      <w:r w:rsidRPr="00413003">
        <w:rPr>
          <w:color w:val="auto"/>
        </w:rPr>
        <w:t xml:space="preserve"> to a makeshift cubicle in the hallway, separated from other classrooms.”</w:t>
      </w:r>
      <w:r w:rsidRPr="00413003">
        <w:rPr>
          <w:rStyle w:val="EndnoteReference"/>
          <w:color w:val="auto"/>
        </w:rPr>
        <w:endnoteReference w:id="81"/>
      </w:r>
      <w:r w:rsidRPr="00413003">
        <w:rPr>
          <w:color w:val="auto"/>
        </w:rPr>
        <w:t xml:space="preserve"> Another parent described her child being “placed in a corner of the classroom away from all of the other activities. </w:t>
      </w:r>
      <w:proofErr w:type="gramStart"/>
      <w:r w:rsidRPr="00413003">
        <w:rPr>
          <w:color w:val="auto"/>
        </w:rPr>
        <w:t>Facing the wall throughout the day and unable to sit for the full day.”</w:t>
      </w:r>
      <w:proofErr w:type="gramEnd"/>
      <w:r w:rsidRPr="00413003">
        <w:rPr>
          <w:rStyle w:val="EndnoteReference"/>
          <w:color w:val="auto"/>
        </w:rPr>
        <w:endnoteReference w:id="82"/>
      </w:r>
      <w:r w:rsidRPr="00413003">
        <w:rPr>
          <w:color w:val="auto"/>
        </w:rPr>
        <w:t xml:space="preserve"> When a child is frequently removed from the classroom, they are missing valuable instructional time and the opportunity to develop the type of social skills and relationships needed to become full and participating members of society. When a child is segregated within the classroom or placed in a hall as a disciplinary action, there is no teaching moment and only negative stigma. More than one parent reported that they believed their child “could be doing a lot better if the school had identified and addressed his issues” rather than administering negative discipline.</w:t>
      </w:r>
      <w:r w:rsidRPr="00413003">
        <w:rPr>
          <w:rStyle w:val="EndnoteReference"/>
          <w:color w:val="auto"/>
        </w:rPr>
        <w:endnoteReference w:id="83"/>
      </w:r>
      <w:r w:rsidRPr="00413003">
        <w:rPr>
          <w:color w:val="auto"/>
        </w:rPr>
        <w:t xml:space="preserve"> </w:t>
      </w:r>
    </w:p>
    <w:p w14:paraId="59EAFD5C" w14:textId="77777777" w:rsidR="00FC0E68" w:rsidRPr="00413003" w:rsidRDefault="00FC0E68" w:rsidP="00A94DE0">
      <w:pPr>
        <w:pStyle w:val="NCDBodyText"/>
        <w:rPr>
          <w:color w:val="auto"/>
        </w:rPr>
      </w:pPr>
      <w:r w:rsidRPr="00413003">
        <w:rPr>
          <w:color w:val="auto"/>
        </w:rPr>
        <w:lastRenderedPageBreak/>
        <w:t>While having a teacher’s aide assigned to a student might seem to some as a support, to others an aide is seen as a barrier to both quality instruction as well as social inclusion. One parent reported: “I felt he didn’t need it (the aide) as much, and it allowed the teachers not to take ownership for teaching him. We wanted him to have independence from having an aide.”</w:t>
      </w:r>
      <w:r w:rsidRPr="00413003">
        <w:rPr>
          <w:rStyle w:val="EndnoteReference"/>
          <w:color w:val="auto"/>
        </w:rPr>
        <w:endnoteReference w:id="84"/>
      </w:r>
      <w:r w:rsidRPr="00413003">
        <w:rPr>
          <w:color w:val="auto"/>
        </w:rPr>
        <w:t xml:space="preserve"> An extra adult assigned to a student, especially as the student enters high school, poses a barrier to natural peer interactions. There is little evidence supporting the value of one-to-one aides in improving participation or performance of students with disabilities. To the contrary, </w:t>
      </w:r>
      <w:proofErr w:type="spellStart"/>
      <w:r w:rsidRPr="00413003">
        <w:rPr>
          <w:color w:val="auto"/>
        </w:rPr>
        <w:t>Giangreco</w:t>
      </w:r>
      <w:proofErr w:type="spellEnd"/>
      <w:r w:rsidRPr="00413003">
        <w:rPr>
          <w:color w:val="auto"/>
        </w:rPr>
        <w:t xml:space="preserve"> reports: </w:t>
      </w:r>
    </w:p>
    <w:p w14:paraId="27068658" w14:textId="77777777" w:rsidR="00FC0E68" w:rsidRPr="00413003" w:rsidRDefault="00FC0E68" w:rsidP="00A94DE0">
      <w:pPr>
        <w:pStyle w:val="Extract"/>
      </w:pPr>
      <w:r w:rsidRPr="00413003">
        <w:t>. . . there is a substantial amount of data documenting that overreliance on paraprofessionals can lead to a wide range of inadvertent detrimental effects, such as unhealthy dependency, stigmatization, interference with teacher engagement, and interference with peer interactions.</w:t>
      </w:r>
      <w:r w:rsidRPr="00413003">
        <w:rPr>
          <w:rStyle w:val="EndnoteReference"/>
        </w:rPr>
        <w:endnoteReference w:id="85"/>
      </w:r>
      <w:r w:rsidRPr="00413003">
        <w:t xml:space="preserve"> </w:t>
      </w:r>
    </w:p>
    <w:p w14:paraId="405CA23B" w14:textId="77777777" w:rsidR="00FC0E68" w:rsidRPr="00413003" w:rsidRDefault="00FC0E68" w:rsidP="00A94DE0">
      <w:pPr>
        <w:pStyle w:val="NCDBodyText"/>
        <w:rPr>
          <w:color w:val="auto"/>
        </w:rPr>
      </w:pPr>
      <w:r w:rsidRPr="00413003">
        <w:rPr>
          <w:color w:val="auto"/>
        </w:rPr>
        <w:t xml:space="preserve">Additionally, Azad, Locke, Downey, </w:t>
      </w:r>
      <w:proofErr w:type="spellStart"/>
      <w:r w:rsidRPr="00413003">
        <w:rPr>
          <w:color w:val="auto"/>
        </w:rPr>
        <w:t>Xie</w:t>
      </w:r>
      <w:proofErr w:type="spellEnd"/>
      <w:r w:rsidRPr="00413003">
        <w:rPr>
          <w:color w:val="auto"/>
        </w:rPr>
        <w:t>, and Mandell found that child-specific aides were only engaged in support or instruction for 57 percent of class time.</w:t>
      </w:r>
      <w:r w:rsidRPr="00413003">
        <w:rPr>
          <w:rStyle w:val="EndnoteReference"/>
          <w:color w:val="auto"/>
        </w:rPr>
        <w:endnoteReference w:id="86"/>
      </w:r>
    </w:p>
    <w:p w14:paraId="3CC8771E" w14:textId="77777777" w:rsidR="00FC0E68" w:rsidRPr="00413003" w:rsidRDefault="00FC0E68" w:rsidP="00FC0E68">
      <w:pPr>
        <w:rPr>
          <w:rFonts w:cs="Arial"/>
          <w:b/>
        </w:rPr>
      </w:pPr>
      <w:r w:rsidRPr="00413003">
        <w:rPr>
          <w:rFonts w:cs="Arial"/>
          <w:b/>
        </w:rPr>
        <w:br w:type="page"/>
      </w:r>
    </w:p>
    <w:p w14:paraId="535DBDB5" w14:textId="77777777" w:rsidR="006B6D8E" w:rsidRDefault="006B6D8E">
      <w:pPr>
        <w:rPr>
          <w:rFonts w:ascii="Arial" w:hAnsi="Arial" w:cs="Arial"/>
          <w:b/>
          <w:sz w:val="36"/>
          <w:szCs w:val="32"/>
        </w:rPr>
      </w:pPr>
      <w:bookmarkStart w:id="100" w:name="_Toc499116985"/>
      <w:r>
        <w:lastRenderedPageBreak/>
        <w:br w:type="page"/>
      </w:r>
    </w:p>
    <w:p w14:paraId="05595040" w14:textId="704CF4F1" w:rsidR="00FC0E68" w:rsidRPr="00413003" w:rsidRDefault="00FC0E68" w:rsidP="00FC0E68">
      <w:pPr>
        <w:pStyle w:val="Heading1"/>
      </w:pPr>
      <w:bookmarkStart w:id="101" w:name="_Toc500433963"/>
      <w:r w:rsidRPr="00413003">
        <w:lastRenderedPageBreak/>
        <w:t xml:space="preserve">Chapter 5: The Research Base: </w:t>
      </w:r>
      <w:r w:rsidR="00A94DE0" w:rsidRPr="00413003">
        <w:br/>
      </w:r>
      <w:r w:rsidRPr="00413003">
        <w:t>Why Include Students with Disabilities</w:t>
      </w:r>
      <w:bookmarkEnd w:id="100"/>
      <w:bookmarkEnd w:id="101"/>
    </w:p>
    <w:p w14:paraId="14D4DE97" w14:textId="77777777" w:rsidR="00FC0E68" w:rsidRPr="00413003" w:rsidRDefault="00FC0E68" w:rsidP="005B4EBC">
      <w:pPr>
        <w:pStyle w:val="NCDBodyText"/>
        <w:rPr>
          <w:color w:val="auto"/>
        </w:rPr>
      </w:pPr>
      <w:r w:rsidRPr="00413003">
        <w:rPr>
          <w:color w:val="auto"/>
        </w:rPr>
        <w:t xml:space="preserve">Just as the law does not define special education as a place, but rather the configuration of services and supports as defined in a student’s IEP, </w:t>
      </w:r>
      <w:r w:rsidRPr="00413003">
        <w:rPr>
          <w:i/>
          <w:color w:val="auto"/>
        </w:rPr>
        <w:t>inclusion</w:t>
      </w:r>
      <w:r w:rsidRPr="00413003">
        <w:rPr>
          <w:color w:val="auto"/>
        </w:rPr>
        <w:t xml:space="preserve"> is not a place, but rather a systemic approach to uniquely addressing student learning and social engagement within the same instructional frameworks and settings designed for the whole school community. For example, </w:t>
      </w:r>
      <w:proofErr w:type="spellStart"/>
      <w:r w:rsidRPr="00413003">
        <w:rPr>
          <w:color w:val="auto"/>
        </w:rPr>
        <w:t>Skrtic</w:t>
      </w:r>
      <w:proofErr w:type="spellEnd"/>
      <w:r w:rsidRPr="00413003">
        <w:rPr>
          <w:color w:val="auto"/>
        </w:rPr>
        <w:t xml:space="preserve">, Sailor, and Gee defined </w:t>
      </w:r>
      <w:r w:rsidRPr="00413003">
        <w:rPr>
          <w:i/>
          <w:color w:val="auto"/>
        </w:rPr>
        <w:t>inclusive schooling</w:t>
      </w:r>
      <w:r w:rsidRPr="00413003">
        <w:rPr>
          <w:color w:val="auto"/>
        </w:rPr>
        <w:t xml:space="preserve"> as a system of supports to address the needs of a subset of students.</w:t>
      </w:r>
      <w:r w:rsidRPr="00413003">
        <w:rPr>
          <w:rStyle w:val="EndnoteReference"/>
          <w:color w:val="auto"/>
        </w:rPr>
        <w:endnoteReference w:id="87"/>
      </w:r>
      <w:r w:rsidRPr="00413003">
        <w:rPr>
          <w:color w:val="auto"/>
        </w:rPr>
        <w:t xml:space="preserve"> </w:t>
      </w:r>
      <w:proofErr w:type="spellStart"/>
      <w:r w:rsidRPr="00413003">
        <w:rPr>
          <w:color w:val="auto"/>
        </w:rPr>
        <w:t>Artiles</w:t>
      </w:r>
      <w:proofErr w:type="spellEnd"/>
      <w:r w:rsidRPr="00413003">
        <w:rPr>
          <w:color w:val="auto"/>
        </w:rPr>
        <w:t xml:space="preserve"> and </w:t>
      </w:r>
      <w:proofErr w:type="spellStart"/>
      <w:r w:rsidRPr="00413003">
        <w:rPr>
          <w:color w:val="auto"/>
        </w:rPr>
        <w:t>Kozleski</w:t>
      </w:r>
      <w:proofErr w:type="spellEnd"/>
      <w:r w:rsidRPr="00413003">
        <w:rPr>
          <w:color w:val="auto"/>
        </w:rPr>
        <w:t xml:space="preserve"> </w:t>
      </w:r>
      <w:r w:rsidRPr="00413003">
        <w:rPr>
          <w:rStyle w:val="Heading3Char"/>
          <w:b w:val="0"/>
          <w:i w:val="0"/>
          <w:color w:val="auto"/>
        </w:rPr>
        <w:t xml:space="preserve">describe </w:t>
      </w:r>
      <w:r w:rsidRPr="00413003">
        <w:rPr>
          <w:rStyle w:val="Heading3Char"/>
          <w:b w:val="0"/>
          <w:color w:val="auto"/>
        </w:rPr>
        <w:t>inclusive education</w:t>
      </w:r>
      <w:r w:rsidRPr="00413003">
        <w:rPr>
          <w:rStyle w:val="Heading3Char"/>
          <w:b w:val="0"/>
          <w:i w:val="0"/>
          <w:color w:val="auto"/>
        </w:rPr>
        <w:t xml:space="preserve"> as an “equity movement” supported by research in effective teaching and service delivery, and</w:t>
      </w:r>
      <w:r w:rsidRPr="00413003">
        <w:rPr>
          <w:rStyle w:val="Heading3Char"/>
          <w:color w:val="auto"/>
        </w:rPr>
        <w:t xml:space="preserve"> </w:t>
      </w:r>
      <w:r w:rsidRPr="00413003">
        <w:rPr>
          <w:color w:val="auto"/>
        </w:rPr>
        <w:t>a focus on equity within whole-school restructuring to create school communities in which all students are valued.</w:t>
      </w:r>
      <w:r w:rsidRPr="00413003">
        <w:rPr>
          <w:rStyle w:val="EndnoteReference"/>
          <w:color w:val="auto"/>
        </w:rPr>
        <w:endnoteReference w:id="88"/>
      </w:r>
      <w:r w:rsidRPr="00413003">
        <w:rPr>
          <w:color w:val="auto"/>
        </w:rPr>
        <w:t xml:space="preserve"> Olson, </w:t>
      </w:r>
      <w:proofErr w:type="spellStart"/>
      <w:r w:rsidRPr="00413003">
        <w:rPr>
          <w:color w:val="auto"/>
        </w:rPr>
        <w:t>Leko</w:t>
      </w:r>
      <w:proofErr w:type="spellEnd"/>
      <w:r w:rsidRPr="00413003">
        <w:rPr>
          <w:color w:val="auto"/>
        </w:rPr>
        <w:t>, and Roberts</w:t>
      </w:r>
      <w:commentRangeStart w:id="102"/>
      <w:r w:rsidRPr="00413003">
        <w:rPr>
          <w:rStyle w:val="EndnoteReference"/>
          <w:color w:val="auto"/>
        </w:rPr>
        <w:endnoteReference w:id="89"/>
      </w:r>
      <w:commentRangeEnd w:id="102"/>
      <w:r w:rsidRPr="00413003">
        <w:rPr>
          <w:rStyle w:val="CommentReference"/>
          <w:color w:val="auto"/>
        </w:rPr>
        <w:commentReference w:id="102"/>
      </w:r>
      <w:r w:rsidRPr="00413003">
        <w:rPr>
          <w:color w:val="auto"/>
        </w:rPr>
        <w:t xml:space="preserve"> describe inclusion as a school culture in which educators share instructional responsibilities, collaborate in teaching teams, and believe that general education classes and other contexts are most appropriate for all students. Within this school culture, students with disabilities engage in the same instructional activities as their peers of all abilities and are viewed positively by their peers without disabilities. </w:t>
      </w:r>
      <w:proofErr w:type="spellStart"/>
      <w:r w:rsidRPr="00413003">
        <w:rPr>
          <w:color w:val="auto"/>
        </w:rPr>
        <w:t>McLeskey</w:t>
      </w:r>
      <w:proofErr w:type="spellEnd"/>
      <w:r w:rsidRPr="00413003">
        <w:rPr>
          <w:color w:val="auto"/>
        </w:rPr>
        <w:t xml:space="preserve">, Waldron, Spooner, and </w:t>
      </w:r>
      <w:proofErr w:type="spellStart"/>
      <w:r w:rsidRPr="00413003">
        <w:rPr>
          <w:color w:val="auto"/>
        </w:rPr>
        <w:t>Algozzine</w:t>
      </w:r>
      <w:proofErr w:type="spellEnd"/>
      <w:r w:rsidRPr="00413003">
        <w:rPr>
          <w:rStyle w:val="EndnoteReference"/>
          <w:color w:val="auto"/>
        </w:rPr>
        <w:endnoteReference w:id="90"/>
      </w:r>
      <w:r w:rsidRPr="00413003">
        <w:rPr>
          <w:color w:val="auto"/>
        </w:rPr>
        <w:t xml:space="preserve"> describe inclusive schools as places where students are in the same classes and schools as their same-age peers, are “valued and active participants[,] and where they are provided supports needed to succeed in the academic, social, and extra-curricular activities of the school.”</w:t>
      </w:r>
      <w:r w:rsidRPr="00413003">
        <w:rPr>
          <w:rStyle w:val="EndnoteReference"/>
          <w:color w:val="auto"/>
        </w:rPr>
        <w:endnoteReference w:id="91"/>
      </w:r>
      <w:r w:rsidRPr="00413003">
        <w:rPr>
          <w:color w:val="auto"/>
        </w:rPr>
        <w:t xml:space="preserve"> Examples of the type of inclusion interactions contemplated by these authors can be seen in videos created by the SWIFT Center, such as </w:t>
      </w:r>
      <w:proofErr w:type="gramStart"/>
      <w:r w:rsidRPr="00413003">
        <w:rPr>
          <w:i/>
          <w:color w:val="auto"/>
        </w:rPr>
        <w:t>Whatever</w:t>
      </w:r>
      <w:proofErr w:type="gramEnd"/>
      <w:r w:rsidRPr="00413003">
        <w:rPr>
          <w:i/>
          <w:color w:val="auto"/>
        </w:rPr>
        <w:t xml:space="preserve"> it Takes</w:t>
      </w:r>
      <w:r w:rsidRPr="00413003">
        <w:rPr>
          <w:color w:val="auto"/>
        </w:rPr>
        <w:t xml:space="preserve"> filmed by Dan Habib in schools in Oregon, Mississippi, and Maryland.</w:t>
      </w:r>
      <w:r w:rsidRPr="00413003">
        <w:rPr>
          <w:rStyle w:val="EndnoteReference"/>
          <w:color w:val="auto"/>
        </w:rPr>
        <w:endnoteReference w:id="92"/>
      </w:r>
      <w:r w:rsidRPr="00413003">
        <w:rPr>
          <w:color w:val="auto"/>
        </w:rPr>
        <w:t xml:space="preserve"> In these videos, students with a variety of differences, including complex physical and intellectual disabilities, can be seen alongside peers in typical classrooms.</w:t>
      </w:r>
    </w:p>
    <w:p w14:paraId="5B219888" w14:textId="77777777" w:rsidR="00FC0E68" w:rsidRPr="00413003" w:rsidRDefault="00FC0E68" w:rsidP="00FC0E68">
      <w:pPr>
        <w:pStyle w:val="Heading2"/>
      </w:pPr>
      <w:bookmarkStart w:id="104" w:name="_Toc499116986"/>
      <w:bookmarkStart w:id="105" w:name="_Toc500433964"/>
      <w:r w:rsidRPr="00413003">
        <w:t>Benefits to Students with Disabilities</w:t>
      </w:r>
      <w:bookmarkStart w:id="106" w:name="_Hlk488593347"/>
      <w:bookmarkEnd w:id="104"/>
      <w:bookmarkEnd w:id="105"/>
    </w:p>
    <w:p w14:paraId="32E57FD6" w14:textId="77777777" w:rsidR="00FC0E68" w:rsidRPr="00413003" w:rsidRDefault="00FC0E68" w:rsidP="005B4EBC">
      <w:pPr>
        <w:pStyle w:val="NCDBodyText"/>
        <w:rPr>
          <w:color w:val="auto"/>
        </w:rPr>
      </w:pPr>
      <w:r w:rsidRPr="00413003">
        <w:rPr>
          <w:color w:val="auto"/>
        </w:rPr>
        <w:t>Data shows us that when students are included, they have more access to the general curriculum and effective instruction, they achieve at higher rates of academic performance, and they acquire better social and behavioral outcomes</w:t>
      </w:r>
      <w:bookmarkEnd w:id="106"/>
      <w:r w:rsidRPr="00413003">
        <w:rPr>
          <w:color w:val="auto"/>
        </w:rPr>
        <w:t>.</w:t>
      </w:r>
      <w:r w:rsidRPr="00413003">
        <w:rPr>
          <w:rStyle w:val="EndnoteReference"/>
          <w:color w:val="auto"/>
        </w:rPr>
        <w:endnoteReference w:id="93"/>
      </w:r>
      <w:r w:rsidRPr="00413003">
        <w:rPr>
          <w:color w:val="auto"/>
        </w:rPr>
        <w:t xml:space="preserve"> In addition, </w:t>
      </w:r>
      <w:bookmarkStart w:id="107" w:name="_Hlk488593367"/>
      <w:r w:rsidRPr="00413003">
        <w:rPr>
          <w:color w:val="auto"/>
        </w:rPr>
        <w:lastRenderedPageBreak/>
        <w:t>when educated in inclusive classrooms, peers without disabilities experience either a positive academic and social impact or at least no negative impact on academic achievement</w:t>
      </w:r>
      <w:bookmarkEnd w:id="107"/>
      <w:r w:rsidRPr="00413003">
        <w:rPr>
          <w:color w:val="auto"/>
        </w:rPr>
        <w:t>.</w:t>
      </w:r>
      <w:r w:rsidRPr="00413003">
        <w:rPr>
          <w:rStyle w:val="EndnoteReference"/>
          <w:color w:val="auto"/>
        </w:rPr>
        <w:endnoteReference w:id="94"/>
      </w:r>
      <w:r w:rsidRPr="00413003">
        <w:rPr>
          <w:color w:val="auto"/>
        </w:rPr>
        <w:t xml:space="preserve"> Since 1990, research studies have demonstrated a variety of benefits for students with intellectual and developmental disabilities </w:t>
      </w:r>
      <w:proofErr w:type="gramStart"/>
      <w:r w:rsidRPr="00413003">
        <w:rPr>
          <w:color w:val="auto"/>
        </w:rPr>
        <w:t>who</w:t>
      </w:r>
      <w:proofErr w:type="gramEnd"/>
      <w:r w:rsidRPr="00413003">
        <w:rPr>
          <w:color w:val="auto"/>
        </w:rPr>
        <w:t xml:space="preserve"> are educated in general education classes. Membership and participation benefits include increased student engagement,</w:t>
      </w:r>
      <w:r w:rsidRPr="00413003">
        <w:rPr>
          <w:rStyle w:val="EndnoteReference"/>
          <w:color w:val="auto"/>
        </w:rPr>
        <w:endnoteReference w:id="95"/>
      </w:r>
      <w:r w:rsidRPr="00413003">
        <w:rPr>
          <w:color w:val="auto"/>
        </w:rPr>
        <w:t xml:space="preserve"> improved communication,</w:t>
      </w:r>
      <w:r w:rsidRPr="00413003">
        <w:rPr>
          <w:rStyle w:val="EndnoteReference"/>
          <w:color w:val="auto"/>
        </w:rPr>
        <w:endnoteReference w:id="96"/>
      </w:r>
      <w:r w:rsidRPr="00413003">
        <w:rPr>
          <w:color w:val="auto"/>
        </w:rPr>
        <w:t xml:space="preserve"> improved expressive language and literacy skills,</w:t>
      </w:r>
      <w:r w:rsidRPr="00413003">
        <w:rPr>
          <w:rStyle w:val="EndnoteReference"/>
          <w:color w:val="auto"/>
        </w:rPr>
        <w:endnoteReference w:id="97"/>
      </w:r>
      <w:r w:rsidRPr="00413003">
        <w:rPr>
          <w:color w:val="auto"/>
        </w:rPr>
        <w:t xml:space="preserve"> more satisfying and diverse friendships,</w:t>
      </w:r>
      <w:r w:rsidRPr="00413003">
        <w:rPr>
          <w:rStyle w:val="EndnoteReference"/>
          <w:color w:val="auto"/>
        </w:rPr>
        <w:endnoteReference w:id="98"/>
      </w:r>
      <w:r w:rsidRPr="00413003">
        <w:rPr>
          <w:color w:val="auto"/>
        </w:rPr>
        <w:t xml:space="preserve"> higher levels of social engagement with peers without disabilities,</w:t>
      </w:r>
      <w:r w:rsidRPr="00413003">
        <w:rPr>
          <w:rStyle w:val="EndnoteReference"/>
          <w:color w:val="auto"/>
        </w:rPr>
        <w:endnoteReference w:id="99"/>
      </w:r>
      <w:r w:rsidRPr="00413003">
        <w:rPr>
          <w:color w:val="auto"/>
        </w:rPr>
        <w:t xml:space="preserve"> less disruptive behavior,</w:t>
      </w:r>
      <w:r w:rsidRPr="00413003">
        <w:rPr>
          <w:rStyle w:val="EndnoteReference"/>
          <w:color w:val="auto"/>
        </w:rPr>
        <w:endnoteReference w:id="100"/>
      </w:r>
      <w:r w:rsidRPr="00413003">
        <w:rPr>
          <w:color w:val="auto"/>
        </w:rPr>
        <w:t xml:space="preserve"> and more social competence.</w:t>
      </w:r>
      <w:r w:rsidRPr="00413003">
        <w:rPr>
          <w:rStyle w:val="EndnoteReference"/>
          <w:color w:val="auto"/>
        </w:rPr>
        <w:endnoteReference w:id="101"/>
      </w:r>
      <w:r w:rsidRPr="00413003">
        <w:rPr>
          <w:color w:val="auto"/>
        </w:rPr>
        <w:t xml:space="preserve"> </w:t>
      </w:r>
      <w:r w:rsidRPr="00413003">
        <w:rPr>
          <w:rFonts w:eastAsia="Malgun Gothic"/>
          <w:color w:val="auto"/>
        </w:rPr>
        <w:t xml:space="preserve">The National Longitudinal Transition Study examined the outcomes of 11,000 students with a range of disabilities, and found that more time spent in a general education classroom was positively correlated </w:t>
      </w:r>
      <w:r w:rsidRPr="00413003">
        <w:rPr>
          <w:color w:val="auto"/>
        </w:rPr>
        <w:t xml:space="preserve">with a) </w:t>
      </w:r>
      <w:r w:rsidRPr="00413003">
        <w:rPr>
          <w:rFonts w:eastAsia="Malgun Gothic"/>
          <w:color w:val="auto"/>
        </w:rPr>
        <w:t>fewer absences from school,</w:t>
      </w:r>
      <w:r w:rsidRPr="00413003">
        <w:rPr>
          <w:color w:val="auto"/>
        </w:rPr>
        <w:t xml:space="preserve"> b) </w:t>
      </w:r>
      <w:r w:rsidRPr="00413003">
        <w:rPr>
          <w:rFonts w:eastAsia="Malgun Gothic"/>
          <w:color w:val="auto"/>
        </w:rPr>
        <w:t>fewer referrals for disruptive behavior, and</w:t>
      </w:r>
      <w:r w:rsidRPr="00413003">
        <w:rPr>
          <w:color w:val="auto"/>
        </w:rPr>
        <w:t xml:space="preserve"> c) </w:t>
      </w:r>
      <w:r w:rsidRPr="00413003">
        <w:rPr>
          <w:rFonts w:eastAsia="Malgun Gothic"/>
          <w:color w:val="auto"/>
        </w:rPr>
        <w:t>better outcomes after high school in the areas of employment and independent living.</w:t>
      </w:r>
      <w:r w:rsidRPr="00413003">
        <w:rPr>
          <w:rStyle w:val="EndnoteReference"/>
          <w:rFonts w:eastAsia="Malgun Gothic"/>
          <w:color w:val="auto"/>
        </w:rPr>
        <w:endnoteReference w:id="102"/>
      </w:r>
      <w:r w:rsidRPr="00413003">
        <w:rPr>
          <w:rFonts w:eastAsia="Malgun Gothic"/>
          <w:color w:val="auto"/>
        </w:rPr>
        <w:t xml:space="preserve"> </w:t>
      </w:r>
    </w:p>
    <w:p w14:paraId="474809F8" w14:textId="77777777" w:rsidR="00FC0E68" w:rsidRPr="00413003" w:rsidRDefault="00FC0E68" w:rsidP="005B4EBC">
      <w:pPr>
        <w:pStyle w:val="NCDBodyText"/>
        <w:rPr>
          <w:color w:val="auto"/>
        </w:rPr>
      </w:pPr>
      <w:r w:rsidRPr="00413003">
        <w:rPr>
          <w:color w:val="auto"/>
        </w:rPr>
        <w:t>Although students with extensive support needs (i.e., students with intellectual disabilities, multiple disabilities, autism) have higher rates of segregated schooling, research shows that these students actually acquire more academic benefits when included in general education instruction, particularly increases in literacy skills.</w:t>
      </w:r>
      <w:r w:rsidRPr="00413003">
        <w:rPr>
          <w:rStyle w:val="EndnoteReference"/>
          <w:color w:val="auto"/>
        </w:rPr>
        <w:endnoteReference w:id="103"/>
      </w:r>
      <w:r w:rsidRPr="00413003">
        <w:rPr>
          <w:color w:val="auto"/>
        </w:rPr>
        <w:t xml:space="preserve"> Hehir et al. describe several studies that demonstrate significant improvement for students with disabilities who require extensive supports in the areas of language and math who spent a larger portion of their day in general education classes with peers without disabilities—compared to those who spent a smaller proportion of their school day with peers without disabilities in general education classes.</w:t>
      </w:r>
      <w:r w:rsidRPr="00413003">
        <w:rPr>
          <w:rStyle w:val="EndnoteReference"/>
          <w:color w:val="auto"/>
        </w:rPr>
        <w:endnoteReference w:id="104"/>
      </w:r>
      <w:r w:rsidRPr="00413003">
        <w:rPr>
          <w:color w:val="auto"/>
        </w:rPr>
        <w:t xml:space="preserve"> </w:t>
      </w:r>
    </w:p>
    <w:p w14:paraId="47F3141F" w14:textId="77777777" w:rsidR="00FC0E68" w:rsidRPr="00413003" w:rsidRDefault="00FC0E68" w:rsidP="00FC0E68">
      <w:pPr>
        <w:pStyle w:val="Heading2"/>
      </w:pPr>
      <w:bookmarkStart w:id="108" w:name="_Toc499116987"/>
      <w:bookmarkStart w:id="109" w:name="_Toc500433965"/>
      <w:r w:rsidRPr="00413003">
        <w:t>Benefits to Students without Disabilities</w:t>
      </w:r>
      <w:bookmarkEnd w:id="108"/>
      <w:bookmarkEnd w:id="109"/>
    </w:p>
    <w:p w14:paraId="5357D29C" w14:textId="77777777" w:rsidR="00FC0E68" w:rsidRPr="00413003" w:rsidRDefault="00FC0E68" w:rsidP="005B4EBC">
      <w:pPr>
        <w:pStyle w:val="NCDBodyText"/>
        <w:rPr>
          <w:color w:val="auto"/>
        </w:rPr>
      </w:pPr>
      <w:r w:rsidRPr="00413003">
        <w:rPr>
          <w:color w:val="auto"/>
        </w:rPr>
        <w:t xml:space="preserve">A large-scale study by Waldron, Cole, and </w:t>
      </w:r>
      <w:proofErr w:type="spellStart"/>
      <w:r w:rsidRPr="00413003">
        <w:rPr>
          <w:color w:val="auto"/>
        </w:rPr>
        <w:t>Majd</w:t>
      </w:r>
      <w:proofErr w:type="spellEnd"/>
      <w:r w:rsidRPr="00413003">
        <w:rPr>
          <w:color w:val="auto"/>
        </w:rPr>
        <w:t xml:space="preserve"> demonstrated that students without disabilities made comparable or greater gains in math and reading when taught in general education classes with students who had learning disabilities and were engaged in the same instruction;</w:t>
      </w:r>
      <w:r w:rsidRPr="00413003">
        <w:rPr>
          <w:rStyle w:val="EndnoteReference"/>
          <w:color w:val="auto"/>
        </w:rPr>
        <w:endnoteReference w:id="105"/>
      </w:r>
      <w:r w:rsidRPr="00413003">
        <w:rPr>
          <w:color w:val="auto"/>
        </w:rPr>
        <w:t xml:space="preserve"> a few other studies also found a positive impact on the academic achievement of peers without disabilities when students with and without disabilities are taught together.</w:t>
      </w:r>
      <w:r w:rsidRPr="00413003">
        <w:rPr>
          <w:rStyle w:val="EndnoteReference"/>
          <w:color w:val="auto"/>
        </w:rPr>
        <w:endnoteReference w:id="106"/>
      </w:r>
      <w:r w:rsidRPr="00413003">
        <w:rPr>
          <w:color w:val="auto"/>
        </w:rPr>
        <w:t xml:space="preserve"> A recent review of international research discovered that the vast majority of studies conducted in the United States, Australia, Canada, and </w:t>
      </w:r>
      <w:r w:rsidRPr="00413003">
        <w:rPr>
          <w:color w:val="auto"/>
        </w:rPr>
        <w:lastRenderedPageBreak/>
        <w:t>Ireland demonstrated either a positive effect or no negative effect on the academic, social, and personal development of students without disabilities when they were educated with peers who had intellectual, learning, or other disabilities.</w:t>
      </w:r>
      <w:r w:rsidRPr="00413003">
        <w:rPr>
          <w:rStyle w:val="EndnoteReference"/>
          <w:color w:val="auto"/>
        </w:rPr>
        <w:endnoteReference w:id="107"/>
      </w:r>
      <w:r w:rsidRPr="00413003">
        <w:rPr>
          <w:color w:val="auto"/>
        </w:rPr>
        <w:t xml:space="preserve"> </w:t>
      </w:r>
    </w:p>
    <w:p w14:paraId="4E1C8DA8" w14:textId="75A07B49" w:rsidR="00FC0E68" w:rsidRPr="00413003" w:rsidRDefault="00FC0E68" w:rsidP="005B4EBC">
      <w:pPr>
        <w:pStyle w:val="NCDBodyText"/>
        <w:rPr>
          <w:b/>
          <w:bCs/>
          <w:iCs/>
          <w:color w:val="auto"/>
        </w:rPr>
      </w:pPr>
      <w:r w:rsidRPr="00413003">
        <w:rPr>
          <w:color w:val="auto"/>
        </w:rPr>
        <w:t>Other benefits to students without disabilities who learn in general education classes with students who need extensive supports include reduced fear of human differences, increased comfort and awareness of differences, growth in social cognition, improvements in self-concept, growth of ethical principles, and caring friendships.</w:t>
      </w:r>
      <w:r w:rsidRPr="00413003">
        <w:rPr>
          <w:rStyle w:val="EndnoteReference"/>
          <w:color w:val="auto"/>
        </w:rPr>
        <w:endnoteReference w:id="108"/>
      </w:r>
      <w:r w:rsidR="008842E1">
        <w:rPr>
          <w:color w:val="auto"/>
        </w:rPr>
        <w:t xml:space="preserve"> </w:t>
      </w:r>
      <w:r w:rsidRPr="00413003">
        <w:rPr>
          <w:color w:val="auto"/>
        </w:rPr>
        <w:t>Teachers, parents, and para-educators also believe that students without disabilities benefit when educated with peers who have extensive support needs by developing greater empathy, greater awareness and tolerance of differences, learning to help others, and acquiring specific skills (e.g., sign language).</w:t>
      </w:r>
      <w:r w:rsidRPr="00413003">
        <w:rPr>
          <w:rStyle w:val="EndnoteReference"/>
          <w:color w:val="auto"/>
        </w:rPr>
        <w:endnoteReference w:id="109"/>
      </w:r>
    </w:p>
    <w:p w14:paraId="38733515" w14:textId="77777777" w:rsidR="00FC0E68" w:rsidRPr="00413003" w:rsidRDefault="00FC0E68" w:rsidP="00FC0E68">
      <w:pPr>
        <w:pStyle w:val="Heading2"/>
      </w:pPr>
      <w:bookmarkStart w:id="110" w:name="_Toc499116988"/>
      <w:bookmarkStart w:id="111" w:name="_Toc500433966"/>
      <w:r w:rsidRPr="00413003">
        <w:t xml:space="preserve">Opportunity to Learn: Special </w:t>
      </w:r>
      <w:proofErr w:type="gramStart"/>
      <w:r w:rsidRPr="00413003">
        <w:t>Versus</w:t>
      </w:r>
      <w:proofErr w:type="gramEnd"/>
      <w:r w:rsidRPr="00413003">
        <w:t xml:space="preserve"> Regular Classes</w:t>
      </w:r>
      <w:bookmarkEnd w:id="110"/>
      <w:bookmarkEnd w:id="111"/>
    </w:p>
    <w:p w14:paraId="36C8324F" w14:textId="77777777" w:rsidR="00FC0E68" w:rsidRPr="00413003" w:rsidRDefault="00FC0E68" w:rsidP="005B4EBC">
      <w:pPr>
        <w:pStyle w:val="NCDBodyText"/>
        <w:rPr>
          <w:b/>
          <w:bCs/>
          <w:iCs/>
          <w:color w:val="auto"/>
        </w:rPr>
      </w:pPr>
      <w:r w:rsidRPr="00413003">
        <w:rPr>
          <w:color w:val="auto"/>
        </w:rPr>
        <w:t xml:space="preserve">Early studies, such as those described by </w:t>
      </w:r>
      <w:proofErr w:type="spellStart"/>
      <w:r w:rsidRPr="00413003">
        <w:rPr>
          <w:color w:val="auto"/>
        </w:rPr>
        <w:t>Helmstetter</w:t>
      </w:r>
      <w:proofErr w:type="spellEnd"/>
      <w:r w:rsidRPr="00413003">
        <w:rPr>
          <w:color w:val="auto"/>
        </w:rPr>
        <w:t xml:space="preserve"> et al., found that teachers in general education classes offer more instruction, a comparable amount of 1:1 instructional time, more academic content, and are more likely to use peers without disabilities to support instruction than teachers in special education classes. When comparing special versus regular education classes, they found significant differences in the amount of time spent in </w:t>
      </w:r>
      <w:proofErr w:type="spellStart"/>
      <w:r w:rsidRPr="00413003">
        <w:rPr>
          <w:color w:val="auto"/>
        </w:rPr>
        <w:t>noninstructional</w:t>
      </w:r>
      <w:proofErr w:type="spellEnd"/>
      <w:r w:rsidRPr="00413003">
        <w:rPr>
          <w:color w:val="auto"/>
        </w:rPr>
        <w:t xml:space="preserve"> activity: in special education classes, 58 percent of the time was not devoted to instruction, in contrast with only 35 percent of </w:t>
      </w:r>
      <w:proofErr w:type="spellStart"/>
      <w:r w:rsidRPr="00413003">
        <w:rPr>
          <w:color w:val="auto"/>
        </w:rPr>
        <w:t>noninstructional</w:t>
      </w:r>
      <w:proofErr w:type="spellEnd"/>
      <w:r w:rsidRPr="00413003">
        <w:rPr>
          <w:color w:val="auto"/>
        </w:rPr>
        <w:t xml:space="preserve"> time in general education classes</w:t>
      </w:r>
      <w:r w:rsidRPr="00413003">
        <w:rPr>
          <w:rStyle w:val="apple-converted-space"/>
          <w:color w:val="auto"/>
        </w:rPr>
        <w:t>.</w:t>
      </w:r>
      <w:r w:rsidRPr="00413003">
        <w:rPr>
          <w:rStyle w:val="EndnoteReference"/>
          <w:color w:val="auto"/>
        </w:rPr>
        <w:endnoteReference w:id="110"/>
      </w:r>
      <w:r w:rsidRPr="00413003">
        <w:rPr>
          <w:rStyle w:val="apple-converted-space"/>
          <w:color w:val="auto"/>
        </w:rPr>
        <w:t xml:space="preserve"> Along these lines, </w:t>
      </w:r>
      <w:proofErr w:type="spellStart"/>
      <w:r w:rsidRPr="00413003">
        <w:rPr>
          <w:color w:val="auto"/>
        </w:rPr>
        <w:t>Soukup</w:t>
      </w:r>
      <w:proofErr w:type="spellEnd"/>
      <w:r w:rsidRPr="00413003">
        <w:rPr>
          <w:color w:val="auto"/>
        </w:rPr>
        <w:t xml:space="preserve">, </w:t>
      </w:r>
      <w:proofErr w:type="spellStart"/>
      <w:r w:rsidRPr="00413003">
        <w:rPr>
          <w:color w:val="auto"/>
        </w:rPr>
        <w:t>Wehmeyer</w:t>
      </w:r>
      <w:proofErr w:type="spellEnd"/>
      <w:r w:rsidRPr="00413003">
        <w:rPr>
          <w:color w:val="auto"/>
        </w:rPr>
        <w:t xml:space="preserve">, </w:t>
      </w:r>
      <w:proofErr w:type="spellStart"/>
      <w:r w:rsidRPr="00413003">
        <w:rPr>
          <w:color w:val="auto"/>
        </w:rPr>
        <w:t>Bashinski</w:t>
      </w:r>
      <w:proofErr w:type="spellEnd"/>
      <w:r w:rsidRPr="00413003">
        <w:rPr>
          <w:color w:val="auto"/>
        </w:rPr>
        <w:t xml:space="preserve">, and </w:t>
      </w:r>
      <w:proofErr w:type="spellStart"/>
      <w:r w:rsidRPr="00413003">
        <w:rPr>
          <w:color w:val="auto"/>
        </w:rPr>
        <w:t>Boyaird</w:t>
      </w:r>
      <w:proofErr w:type="spellEnd"/>
      <w:r w:rsidRPr="00413003">
        <w:rPr>
          <w:color w:val="auto"/>
        </w:rPr>
        <w:t xml:space="preserve"> found that students who spent a greater amount of time in the general education classroom worked more of the time on grade-level standards and were more likely to have higher access to the general curriculum than students with low general education participation rates.</w:t>
      </w:r>
      <w:r w:rsidRPr="00413003">
        <w:rPr>
          <w:rStyle w:val="EndnoteReference"/>
          <w:color w:val="auto"/>
        </w:rPr>
        <w:endnoteReference w:id="111"/>
      </w:r>
      <w:r w:rsidRPr="00413003">
        <w:rPr>
          <w:b/>
          <w:bCs/>
          <w:iCs/>
          <w:color w:val="auto"/>
        </w:rPr>
        <w:t xml:space="preserve"> </w:t>
      </w:r>
    </w:p>
    <w:p w14:paraId="3E179CED" w14:textId="77777777" w:rsidR="005B4EBC" w:rsidRPr="00413003" w:rsidRDefault="00FC0E68" w:rsidP="005B4EBC">
      <w:pPr>
        <w:pStyle w:val="NCDBodyText"/>
        <w:rPr>
          <w:color w:val="auto"/>
        </w:rPr>
      </w:pPr>
      <w:r w:rsidRPr="00413003">
        <w:rPr>
          <w:color w:val="auto"/>
        </w:rPr>
        <w:t xml:space="preserve">In an analysis of self-contained classes, </w:t>
      </w:r>
      <w:proofErr w:type="spellStart"/>
      <w:r w:rsidRPr="00413003">
        <w:rPr>
          <w:color w:val="auto"/>
        </w:rPr>
        <w:t>Kurth</w:t>
      </w:r>
      <w:proofErr w:type="spellEnd"/>
      <w:r w:rsidRPr="00413003">
        <w:rPr>
          <w:color w:val="auto"/>
        </w:rPr>
        <w:t xml:space="preserve">, Born, and Love examined special education classes that were spacious, well-staffed by educators and paraprofessionals, and supplied with adequate resources. Despite these supports and resources, they found a remarkable lack of time that students spent in instruction, and the instruction that did occur was provided primarily by paraprofessionals. There were few </w:t>
      </w:r>
      <w:r w:rsidRPr="00413003">
        <w:rPr>
          <w:color w:val="auto"/>
        </w:rPr>
        <w:lastRenderedPageBreak/>
        <w:t>opportunities for students to respond to instructional cues, a high level of distractions in the classroom, a lack of communication supports for students, and a lack of individualization of instruction.</w:t>
      </w:r>
      <w:r w:rsidRPr="00413003">
        <w:rPr>
          <w:rStyle w:val="EndnoteReference"/>
          <w:color w:val="auto"/>
        </w:rPr>
        <w:endnoteReference w:id="112"/>
      </w:r>
      <w:r w:rsidRPr="00413003">
        <w:rPr>
          <w:color w:val="auto"/>
        </w:rPr>
        <w:t xml:space="preserve"> In contrast, McDonnell, Thorson, and </w:t>
      </w:r>
      <w:proofErr w:type="spellStart"/>
      <w:r w:rsidRPr="00413003">
        <w:rPr>
          <w:color w:val="auto"/>
        </w:rPr>
        <w:t>McQuivey</w:t>
      </w:r>
      <w:proofErr w:type="spellEnd"/>
      <w:r w:rsidRPr="00413003">
        <w:rPr>
          <w:color w:val="auto"/>
        </w:rPr>
        <w:t xml:space="preserve"> compared the instructional contexts for students with and without disabilities in general education setting. They found that in general education settings, students with disabilities were 13 times more likely than their peers without disabilities to receive instruction directed exclusively toward them during whole-class activities, and 23 times more likely to receive 1:1 instruction when educated in general education classes.</w:t>
      </w:r>
      <w:r w:rsidRPr="00413003">
        <w:rPr>
          <w:rStyle w:val="EndnoteReference"/>
          <w:color w:val="auto"/>
        </w:rPr>
        <w:endnoteReference w:id="113"/>
      </w:r>
      <w:bookmarkStart w:id="112" w:name="_Hlk488593437"/>
    </w:p>
    <w:p w14:paraId="2E05079F" w14:textId="2AEBF34F" w:rsidR="00FC0E68" w:rsidRPr="00413003" w:rsidRDefault="00FC0E68" w:rsidP="005B4EBC">
      <w:pPr>
        <w:pStyle w:val="NCDBodyText"/>
        <w:rPr>
          <w:b/>
          <w:bCs/>
          <w:iCs/>
          <w:color w:val="auto"/>
          <w:szCs w:val="24"/>
        </w:rPr>
      </w:pPr>
      <w:r w:rsidRPr="00413003">
        <w:rPr>
          <w:color w:val="auto"/>
          <w:szCs w:val="24"/>
        </w:rPr>
        <w:t>Research consistently paints a picture that depicts students with disabilities who are educated in segregated special education placements as receiving less instruction, having fewer opportunities to learn, and fewer opportunities to use knowledge and skills during instruction and other meaningful activities.</w:t>
      </w:r>
    </w:p>
    <w:bookmarkEnd w:id="112"/>
    <w:p w14:paraId="120237EE" w14:textId="77777777" w:rsidR="00FC0E68" w:rsidRPr="00413003" w:rsidRDefault="00FC0E68" w:rsidP="00FC0E68">
      <w:pPr>
        <w:rPr>
          <w:rFonts w:cs="Arial"/>
          <w:b/>
        </w:rPr>
      </w:pPr>
      <w:r w:rsidRPr="00413003">
        <w:rPr>
          <w:rFonts w:cs="Arial"/>
          <w:b/>
        </w:rPr>
        <w:br w:type="page"/>
      </w:r>
    </w:p>
    <w:p w14:paraId="79C8F6C5" w14:textId="77777777" w:rsidR="00FC0E68" w:rsidRPr="00413003" w:rsidRDefault="00FC0E68" w:rsidP="00FC0E68">
      <w:pPr>
        <w:pStyle w:val="Heading1"/>
      </w:pPr>
      <w:bookmarkStart w:id="113" w:name="_Toc499116989"/>
      <w:bookmarkStart w:id="114" w:name="_Toc500433967"/>
      <w:r w:rsidRPr="00413003">
        <w:lastRenderedPageBreak/>
        <w:t xml:space="preserve">Chapter 6: </w:t>
      </w:r>
      <w:bookmarkStart w:id="115" w:name="_Hlk490745900"/>
      <w:r w:rsidRPr="00413003">
        <w:t>The Research Base: Strategies That Promote Effective Inclusive Education</w:t>
      </w:r>
      <w:bookmarkEnd w:id="113"/>
      <w:bookmarkEnd w:id="114"/>
    </w:p>
    <w:bookmarkEnd w:id="115"/>
    <w:p w14:paraId="4D82E82E" w14:textId="77777777" w:rsidR="00FC0E68" w:rsidRPr="00413003" w:rsidRDefault="00FC0E68" w:rsidP="005B4EBC">
      <w:pPr>
        <w:pStyle w:val="NCDBodyText"/>
        <w:rPr>
          <w:rStyle w:val="Heading3Char"/>
          <w:color w:val="auto"/>
        </w:rPr>
      </w:pPr>
      <w:r w:rsidRPr="00413003">
        <w:rPr>
          <w:color w:val="auto"/>
        </w:rPr>
        <w:t>Just as</w:t>
      </w:r>
      <w:r w:rsidRPr="00413003">
        <w:rPr>
          <w:rStyle w:val="Heading3Char"/>
          <w:color w:val="auto"/>
        </w:rPr>
        <w:t xml:space="preserve"> </w:t>
      </w:r>
      <w:r w:rsidRPr="00413003">
        <w:rPr>
          <w:color w:val="auto"/>
        </w:rPr>
        <w:t>researchers have studied the impact of inclusive education placements on students with and without disabilities, they have also studied instructional strategies to determine what works and what organizational systems are likely to sustain inclusive education over time.</w:t>
      </w:r>
      <w:r w:rsidRPr="00413003">
        <w:rPr>
          <w:rStyle w:val="Heading3Char"/>
          <w:color w:val="auto"/>
        </w:rPr>
        <w:t xml:space="preserve"> </w:t>
      </w:r>
      <w:r w:rsidRPr="00413003">
        <w:rPr>
          <w:color w:val="auto"/>
        </w:rPr>
        <w:t>The following are a sample of the research-based practices that show evidence of leading to positive academic and/or behavioral outcomes for all students, especially those likely to be marginalized by their differences from the majority of students.</w:t>
      </w:r>
    </w:p>
    <w:p w14:paraId="3211F94A" w14:textId="77777777" w:rsidR="00FC0E68" w:rsidRPr="00413003" w:rsidRDefault="00FC0E68" w:rsidP="00FC0E68">
      <w:pPr>
        <w:pStyle w:val="Heading2"/>
      </w:pPr>
      <w:bookmarkStart w:id="116" w:name="_Toc499116990"/>
      <w:bookmarkStart w:id="117" w:name="_Toc500433968"/>
      <w:r w:rsidRPr="00413003">
        <w:t>Universal Design for Learning</w:t>
      </w:r>
      <w:bookmarkEnd w:id="116"/>
      <w:bookmarkEnd w:id="117"/>
    </w:p>
    <w:p w14:paraId="769557C8" w14:textId="77777777" w:rsidR="00FC0E68" w:rsidRPr="00413003" w:rsidRDefault="00FC0E68" w:rsidP="005B4EBC">
      <w:pPr>
        <w:pStyle w:val="NCDBodyText"/>
        <w:rPr>
          <w:color w:val="auto"/>
        </w:rPr>
      </w:pPr>
      <w:r w:rsidRPr="00413003">
        <w:rPr>
          <w:color w:val="auto"/>
        </w:rPr>
        <w:t>Universal design for learning (UDL) is a set of frameworks that shifts education planning from considering barriers to learning as existing within the student to understanding the barriers presented by curricula that are not designed for the variety of student learning needs in a diverse school community. UDL reimagines the role of the teacher as a thoughtful designer of the class environment, curricula, instruction, and materials in order to remove or reduce potential barriers to learning. Research on UDL has promise for addressing the needs of all students. Nelson and Johnson describe studies on a variety of UDL strategies that facilitate the academic learning for students with disabilities.</w:t>
      </w:r>
      <w:r w:rsidRPr="00413003">
        <w:rPr>
          <w:color w:val="auto"/>
          <w:vertAlign w:val="superscript"/>
        </w:rPr>
        <w:endnoteReference w:id="114"/>
      </w:r>
    </w:p>
    <w:p w14:paraId="20191077" w14:textId="77777777" w:rsidR="00FC0E68" w:rsidRPr="00413003" w:rsidRDefault="00FC0E68" w:rsidP="00FC0E68">
      <w:pPr>
        <w:pStyle w:val="Heading2"/>
      </w:pPr>
      <w:bookmarkStart w:id="118" w:name="_Toc499116991"/>
      <w:bookmarkStart w:id="119" w:name="_Toc500433969"/>
      <w:r w:rsidRPr="00413003">
        <w:t>Cooperative Learning</w:t>
      </w:r>
      <w:bookmarkEnd w:id="118"/>
      <w:bookmarkEnd w:id="119"/>
    </w:p>
    <w:p w14:paraId="7C997A7F" w14:textId="77777777" w:rsidR="00FC0E68" w:rsidRPr="00413003" w:rsidRDefault="00FC0E68" w:rsidP="005B4EBC">
      <w:pPr>
        <w:pStyle w:val="NCDBodyText"/>
        <w:rPr>
          <w:color w:val="auto"/>
        </w:rPr>
      </w:pPr>
      <w:r w:rsidRPr="00413003">
        <w:rPr>
          <w:color w:val="auto"/>
        </w:rPr>
        <w:t xml:space="preserve">Cooperative learning requires students to work with their peers to accomplish a shared or common goal within a classroom lesson. The goal is reached through interdependence among all group members rather than working alone. Many early studies (e.g., </w:t>
      </w:r>
      <w:proofErr w:type="spellStart"/>
      <w:r w:rsidRPr="00413003">
        <w:rPr>
          <w:color w:val="auto"/>
        </w:rPr>
        <w:t>Slavin</w:t>
      </w:r>
      <w:proofErr w:type="spellEnd"/>
      <w:r w:rsidRPr="00413003">
        <w:rPr>
          <w:color w:val="auto"/>
        </w:rPr>
        <w:t xml:space="preserve"> 1984) found cooperative learning had a positive effect on student achievement, as well as improved the social acceptance and friendships among students with disabilities and their peers without disabilities.</w:t>
      </w:r>
      <w:r w:rsidRPr="00413003">
        <w:rPr>
          <w:color w:val="auto"/>
          <w:vertAlign w:val="superscript"/>
        </w:rPr>
        <w:endnoteReference w:id="115"/>
      </w:r>
      <w:r w:rsidRPr="00413003">
        <w:rPr>
          <w:color w:val="auto"/>
        </w:rPr>
        <w:t xml:space="preserve"> More recently, Copeland and </w:t>
      </w:r>
      <w:proofErr w:type="spellStart"/>
      <w:r w:rsidRPr="00413003">
        <w:rPr>
          <w:color w:val="auto"/>
        </w:rPr>
        <w:t>Cosbey</w:t>
      </w:r>
      <w:proofErr w:type="spellEnd"/>
      <w:r w:rsidRPr="00413003">
        <w:rPr>
          <w:color w:val="auto"/>
        </w:rPr>
        <w:t xml:space="preserve"> reported that cooperative learning strategies were effective for improving social and academic skills for students with intellectual disabilities while having no </w:t>
      </w:r>
      <w:r w:rsidRPr="00413003">
        <w:rPr>
          <w:color w:val="auto"/>
        </w:rPr>
        <w:lastRenderedPageBreak/>
        <w:t>negative impact on students who do not have an IEP.</w:t>
      </w:r>
      <w:r w:rsidRPr="00413003">
        <w:rPr>
          <w:color w:val="auto"/>
          <w:vertAlign w:val="superscript"/>
        </w:rPr>
        <w:endnoteReference w:id="116"/>
      </w:r>
      <w:r w:rsidRPr="00413003">
        <w:rPr>
          <w:color w:val="auto"/>
        </w:rPr>
        <w:t xml:space="preserve"> It is notable that </w:t>
      </w:r>
      <w:proofErr w:type="spellStart"/>
      <w:r w:rsidRPr="00413003">
        <w:rPr>
          <w:color w:val="auto"/>
        </w:rPr>
        <w:t>Causton-Theoharis</w:t>
      </w:r>
      <w:proofErr w:type="spellEnd"/>
      <w:r w:rsidRPr="00413003">
        <w:rPr>
          <w:color w:val="auto"/>
        </w:rPr>
        <w:t xml:space="preserve">, </w:t>
      </w:r>
      <w:proofErr w:type="spellStart"/>
      <w:r w:rsidRPr="00413003">
        <w:rPr>
          <w:color w:val="auto"/>
        </w:rPr>
        <w:t>Theoharis</w:t>
      </w:r>
      <w:proofErr w:type="spellEnd"/>
      <w:r w:rsidRPr="00413003">
        <w:rPr>
          <w:color w:val="auto"/>
        </w:rPr>
        <w:t xml:space="preserve">, </w:t>
      </w:r>
      <w:proofErr w:type="spellStart"/>
      <w:r w:rsidRPr="00413003">
        <w:rPr>
          <w:color w:val="auto"/>
        </w:rPr>
        <w:t>Orsati</w:t>
      </w:r>
      <w:proofErr w:type="spellEnd"/>
      <w:r w:rsidRPr="00413003">
        <w:rPr>
          <w:color w:val="auto"/>
        </w:rPr>
        <w:t xml:space="preserve">, and </w:t>
      </w:r>
      <w:proofErr w:type="spellStart"/>
      <w:r w:rsidRPr="00413003">
        <w:rPr>
          <w:color w:val="auto"/>
        </w:rPr>
        <w:t>Cosier</w:t>
      </w:r>
      <w:proofErr w:type="spellEnd"/>
      <w:r w:rsidRPr="00413003">
        <w:rPr>
          <w:color w:val="auto"/>
        </w:rPr>
        <w:t xml:space="preserve"> found that in the self-contained classrooms, there was little opportunity for cooperative learning to occur.</w:t>
      </w:r>
      <w:r w:rsidRPr="00413003">
        <w:rPr>
          <w:color w:val="auto"/>
          <w:vertAlign w:val="superscript"/>
        </w:rPr>
        <w:endnoteReference w:id="117"/>
      </w:r>
      <w:r w:rsidRPr="00413003">
        <w:rPr>
          <w:color w:val="auto"/>
        </w:rPr>
        <w:t xml:space="preserve"> </w:t>
      </w:r>
    </w:p>
    <w:p w14:paraId="5ED060C0" w14:textId="77777777" w:rsidR="00FC0E68" w:rsidRPr="00413003" w:rsidRDefault="00FC0E68" w:rsidP="00FC0E68">
      <w:pPr>
        <w:pStyle w:val="Heading2"/>
      </w:pPr>
      <w:bookmarkStart w:id="120" w:name="_Toc499116992"/>
      <w:bookmarkStart w:id="121" w:name="_Toc500433970"/>
      <w:r w:rsidRPr="00413003">
        <w:t>Differentiated Instruction</w:t>
      </w:r>
      <w:bookmarkEnd w:id="120"/>
      <w:bookmarkEnd w:id="121"/>
    </w:p>
    <w:p w14:paraId="7B1C8A73" w14:textId="77777777" w:rsidR="00FC0E68" w:rsidRPr="00413003" w:rsidRDefault="00FC0E68" w:rsidP="005B4EBC">
      <w:pPr>
        <w:pStyle w:val="NCDBodyText"/>
        <w:rPr>
          <w:rStyle w:val="Heading3Char"/>
          <w:rFonts w:eastAsiaTheme="minorEastAsia"/>
          <w:b w:val="0"/>
          <w:bCs/>
          <w:color w:val="auto"/>
          <w:shd w:val="clear" w:color="auto" w:fill="FFFFFF"/>
        </w:rPr>
      </w:pPr>
      <w:r w:rsidRPr="00413003">
        <w:rPr>
          <w:color w:val="auto"/>
          <w:shd w:val="clear" w:color="auto" w:fill="FFFFFF"/>
        </w:rPr>
        <w:t>Differentiated instruction is a process to teach students of differing abilities in the same class to maximize each student’s growth and individual success by meeting each student at their current skill level rather than expecting students catch up to the curriculum.</w:t>
      </w:r>
      <w:r w:rsidRPr="00413003">
        <w:rPr>
          <w:rStyle w:val="EndnoteReference"/>
          <w:color w:val="auto"/>
          <w:shd w:val="clear" w:color="auto" w:fill="FFFFFF"/>
        </w:rPr>
        <w:endnoteReference w:id="118"/>
      </w:r>
      <w:r w:rsidRPr="00413003">
        <w:rPr>
          <w:color w:val="auto"/>
          <w:shd w:val="clear" w:color="auto" w:fill="FFFFFF"/>
        </w:rPr>
        <w:t xml:space="preserve"> Huebner reports that a growing body of research shows positive results for differentiated instruction in mixed-ability classrooms and cites several studies that confirm the benefits of differentiation for learners of varying abilities.</w:t>
      </w:r>
      <w:r w:rsidRPr="00413003">
        <w:rPr>
          <w:rStyle w:val="EndnoteReference"/>
          <w:color w:val="auto"/>
          <w:shd w:val="clear" w:color="auto" w:fill="FFFFFF"/>
        </w:rPr>
        <w:endnoteReference w:id="119"/>
      </w:r>
      <w:r w:rsidRPr="00413003">
        <w:rPr>
          <w:color w:val="auto"/>
          <w:shd w:val="clear" w:color="auto" w:fill="FFFFFF"/>
        </w:rPr>
        <w:t xml:space="preserve"> For example, Baumgartner, </w:t>
      </w:r>
      <w:proofErr w:type="spellStart"/>
      <w:r w:rsidRPr="00413003">
        <w:rPr>
          <w:color w:val="auto"/>
          <w:shd w:val="clear" w:color="auto" w:fill="FFFFFF"/>
        </w:rPr>
        <w:t>Lipowski</w:t>
      </w:r>
      <w:proofErr w:type="spellEnd"/>
      <w:r w:rsidRPr="00413003">
        <w:rPr>
          <w:color w:val="auto"/>
          <w:shd w:val="clear" w:color="auto" w:fill="FFFFFF"/>
        </w:rPr>
        <w:t>, and Rush evaluated the use of differentiation, including flexible grouping, student choice of learning tasks, self-selected reading time, and access to a variety of texts on a program to improve reading achievement among elementary and middle school students. All students improved their decoding, phonemic, and comprehension skills, and their attitudes about reading and their own abilities improved</w:t>
      </w:r>
      <w:r w:rsidRPr="00413003">
        <w:rPr>
          <w:rStyle w:val="Heading3Char"/>
          <w:color w:val="auto"/>
        </w:rPr>
        <w:t>.</w:t>
      </w:r>
      <w:r w:rsidRPr="00413003">
        <w:rPr>
          <w:rStyle w:val="EndnoteReference"/>
          <w:rFonts w:eastAsiaTheme="majorEastAsia"/>
          <w:color w:val="auto"/>
        </w:rPr>
        <w:endnoteReference w:id="120"/>
      </w:r>
      <w:r w:rsidRPr="00413003">
        <w:rPr>
          <w:rStyle w:val="Heading3Char"/>
          <w:color w:val="auto"/>
        </w:rPr>
        <w:t xml:space="preserve"> </w:t>
      </w:r>
    </w:p>
    <w:p w14:paraId="23F22FA8" w14:textId="77777777" w:rsidR="00FC0E68" w:rsidRPr="00413003" w:rsidRDefault="00FC0E68" w:rsidP="00FC0E68">
      <w:pPr>
        <w:pStyle w:val="Heading2"/>
      </w:pPr>
      <w:bookmarkStart w:id="122" w:name="_Toc499116993"/>
      <w:bookmarkStart w:id="123" w:name="_Toc500433971"/>
      <w:r w:rsidRPr="00413003">
        <w:t>Data-Based Instructional Decisions</w:t>
      </w:r>
      <w:bookmarkEnd w:id="122"/>
      <w:bookmarkEnd w:id="123"/>
    </w:p>
    <w:p w14:paraId="1D1AFED3" w14:textId="77777777" w:rsidR="00FC0E68" w:rsidRPr="00413003" w:rsidRDefault="00FC0E68" w:rsidP="005B4EBC">
      <w:pPr>
        <w:pStyle w:val="NCDBodyText"/>
        <w:rPr>
          <w:color w:val="auto"/>
        </w:rPr>
      </w:pPr>
      <w:r w:rsidRPr="00413003">
        <w:rPr>
          <w:color w:val="auto"/>
        </w:rPr>
        <w:t xml:space="preserve">An important part of any curriculum and instruction is the appropriate use of student data to inform instruction to promote learning. Formative assessments are generally products that demonstrate student knowledge or skill, and are a means of involving students in assessing their own learning. Summative assessments compare student performance and progress to a benchmark or standard. As teachers and schools set policy related to student testing and performance measures, the goal is to ensure that students with disabilities—even those with extensive support needs—not only access the same content as their peers but also participate in an assessment system designed for them to demonstrate their knowledge and skills. School teams collaborate and analyze data to identify how to plan the interventions and supports for learners who struggle academically, behaviorally, socially, and emotionally. </w:t>
      </w:r>
    </w:p>
    <w:p w14:paraId="594B2D6F" w14:textId="77777777" w:rsidR="00FC0E68" w:rsidRPr="00413003" w:rsidRDefault="00FC0E68" w:rsidP="00FC0E68">
      <w:pPr>
        <w:pStyle w:val="Heading2"/>
      </w:pPr>
      <w:bookmarkStart w:id="124" w:name="_Toc499116994"/>
      <w:bookmarkStart w:id="125" w:name="_Toc500433972"/>
      <w:r w:rsidRPr="00413003">
        <w:lastRenderedPageBreak/>
        <w:t>Positive Behavior Interventions and Supports</w:t>
      </w:r>
      <w:bookmarkEnd w:id="124"/>
      <w:bookmarkEnd w:id="125"/>
    </w:p>
    <w:p w14:paraId="341ADBC2" w14:textId="67E6B10A" w:rsidR="00FC0E68" w:rsidRPr="00413003" w:rsidRDefault="00FC0E68" w:rsidP="005B4EBC">
      <w:pPr>
        <w:pStyle w:val="NCDBodyText"/>
        <w:rPr>
          <w:color w:val="auto"/>
        </w:rPr>
      </w:pPr>
      <w:r w:rsidRPr="00413003">
        <w:rPr>
          <w:color w:val="auto"/>
        </w:rPr>
        <w:t>One of the most common reasons for segregating students is behavior that interferes with teaching or learning or threatens harm to one or more students. If a student’s behavior disrupts their own learning or that of others, then that student is at risk for removal, suspension, expulsion, or placement in an alternative educational setting. Positive behavior interventions and supports (PBIS) is a proactive, positive schoolwide approach to teaching appropriate social behavior and understanding the messages behind the problem behavior, and has been demonstrated to reduce problem behavior and risk for removals.</w:t>
      </w:r>
      <w:r w:rsidRPr="00413003">
        <w:rPr>
          <w:color w:val="auto"/>
          <w:vertAlign w:val="superscript"/>
        </w:rPr>
        <w:endnoteReference w:id="121"/>
      </w:r>
      <w:r w:rsidRPr="00413003">
        <w:rPr>
          <w:color w:val="auto"/>
        </w:rPr>
        <w:t xml:space="preserve"> A variety of strategies for supporting and responding to student behavior, using data to determine appropriate behavior interventions, and developing an equitable school discipline approach can be found on the PBIS website, </w:t>
      </w:r>
      <w:hyperlink r:id="rId12" w:tooltip="http://www.pbis.org/" w:history="1">
        <w:r w:rsidRPr="00CE54D7">
          <w:rPr>
            <w:rStyle w:val="Hyperlink"/>
            <w:color w:val="0000FF"/>
          </w:rPr>
          <w:t>www.pbis.org</w:t>
        </w:r>
      </w:hyperlink>
      <w:r w:rsidRPr="00413003">
        <w:rPr>
          <w:color w:val="auto"/>
        </w:rPr>
        <w:t>. In addition to schoolwide and individually designed positive behavior interventions and supports</w:t>
      </w:r>
      <w:r w:rsidRPr="00413003">
        <w:rPr>
          <w:color w:val="auto"/>
          <w:vertAlign w:val="superscript"/>
        </w:rPr>
        <w:endnoteReference w:id="122"/>
      </w:r>
      <w:r w:rsidRPr="00413003">
        <w:rPr>
          <w:color w:val="auto"/>
        </w:rPr>
        <w:t xml:space="preserve"> as a means to prevent problem behavior and teach socially appropriate behavior, there is a movement to shift the focus from disciplining behavior with punitive consequences to helping students understand the impact of their behavior. Restorative practices (RP) or restorative justice (RJ) emphasize the importance of positive relationships within the school as a community. These approaches are perceived to work best when integrated into the school’s overall philosophy and have the potential for improving student behavior and relationships, as well as relationships among teachers.</w:t>
      </w:r>
      <w:r w:rsidRPr="00413003">
        <w:rPr>
          <w:color w:val="auto"/>
          <w:vertAlign w:val="superscript"/>
        </w:rPr>
        <w:endnoteReference w:id="123"/>
      </w:r>
      <w:r w:rsidRPr="00413003">
        <w:rPr>
          <w:color w:val="auto"/>
        </w:rPr>
        <w:t xml:space="preserve"> Together, PBIS and RP have the potential to reduce disciplinary removals and keep students engaged in their school. </w:t>
      </w:r>
    </w:p>
    <w:p w14:paraId="52D0533A" w14:textId="77777777" w:rsidR="00FC0E68" w:rsidRPr="00413003" w:rsidRDefault="00FC0E68" w:rsidP="00FC0E68">
      <w:pPr>
        <w:pStyle w:val="Heading2"/>
      </w:pPr>
      <w:bookmarkStart w:id="126" w:name="_Toc499116995"/>
      <w:bookmarkStart w:id="127" w:name="_Toc500433973"/>
      <w:r w:rsidRPr="00413003">
        <w:t>Peer-Assisted Learning</w:t>
      </w:r>
      <w:bookmarkEnd w:id="126"/>
      <w:bookmarkEnd w:id="127"/>
    </w:p>
    <w:p w14:paraId="1D15C744" w14:textId="77777777" w:rsidR="00FC0E68" w:rsidRPr="00413003" w:rsidRDefault="00FC0E68" w:rsidP="005B4EBC">
      <w:pPr>
        <w:pStyle w:val="NCDBodyText"/>
        <w:rPr>
          <w:b/>
          <w:color w:val="auto"/>
        </w:rPr>
      </w:pPr>
      <w:r w:rsidRPr="00413003">
        <w:rPr>
          <w:color w:val="auto"/>
        </w:rPr>
        <w:t>Peer support interventions are an effective alternative to traditional paraprofessional support models.</w:t>
      </w:r>
      <w:r w:rsidRPr="00413003">
        <w:rPr>
          <w:rStyle w:val="EndnoteReference"/>
          <w:color w:val="auto"/>
        </w:rPr>
        <w:endnoteReference w:id="124"/>
      </w:r>
      <w:r w:rsidRPr="00413003">
        <w:rPr>
          <w:color w:val="auto"/>
        </w:rPr>
        <w:t xml:space="preserve"> Involving peers in tutoring or mentoring relationships can have positive outcomes for students with and without disabilities; </w:t>
      </w:r>
      <w:proofErr w:type="spellStart"/>
      <w:r w:rsidRPr="00413003">
        <w:rPr>
          <w:color w:val="auto"/>
        </w:rPr>
        <w:t>classwide</w:t>
      </w:r>
      <w:proofErr w:type="spellEnd"/>
      <w:r w:rsidRPr="00413003">
        <w:rPr>
          <w:color w:val="auto"/>
        </w:rPr>
        <w:t xml:space="preserve"> peer tutoring models have been shown to result in increased academic and social gains for students with and without disabilities.</w:t>
      </w:r>
      <w:r w:rsidRPr="00413003">
        <w:rPr>
          <w:rStyle w:val="EndnoteReference"/>
          <w:color w:val="auto"/>
        </w:rPr>
        <w:endnoteReference w:id="125"/>
      </w:r>
      <w:r w:rsidRPr="00413003">
        <w:rPr>
          <w:color w:val="auto"/>
        </w:rPr>
        <w:t xml:space="preserve"> A highly researched strategy, peer-assisted learning (PAL) involves reciprocal tutoring roles, opportunities to respond and experience success, structured activities, and supplemental practice of skills taught in the core curriculum. Several years of studies and large-scale experiments have shown that PAL </w:t>
      </w:r>
      <w:r w:rsidRPr="00413003">
        <w:rPr>
          <w:color w:val="auto"/>
        </w:rPr>
        <w:lastRenderedPageBreak/>
        <w:t>results in improvement in the reading achievement of low-, average-, and high-achieving students, including those with disabilities.</w:t>
      </w:r>
      <w:r w:rsidRPr="00413003">
        <w:rPr>
          <w:rStyle w:val="EndnoteReference"/>
          <w:color w:val="auto"/>
        </w:rPr>
        <w:endnoteReference w:id="126"/>
      </w:r>
    </w:p>
    <w:p w14:paraId="3E7124A8" w14:textId="77777777" w:rsidR="00FC0E68" w:rsidRPr="00413003" w:rsidRDefault="00FC0E68" w:rsidP="00FC0E68">
      <w:pPr>
        <w:pStyle w:val="Heading2"/>
      </w:pPr>
      <w:bookmarkStart w:id="128" w:name="_Toc499116996"/>
      <w:bookmarkStart w:id="129" w:name="_Toc500433974"/>
      <w:r w:rsidRPr="00413003">
        <w:t>Culturally Responsive Teaching</w:t>
      </w:r>
      <w:bookmarkEnd w:id="128"/>
      <w:bookmarkEnd w:id="129"/>
    </w:p>
    <w:p w14:paraId="159806F1" w14:textId="77777777" w:rsidR="00FC0E68" w:rsidRPr="00413003" w:rsidRDefault="00FC0E68" w:rsidP="005B4EBC">
      <w:pPr>
        <w:pStyle w:val="NCDBodyText"/>
        <w:rPr>
          <w:rFonts w:eastAsiaTheme="majorEastAsia"/>
          <w:b/>
          <w:color w:val="auto"/>
        </w:rPr>
      </w:pPr>
      <w:bookmarkStart w:id="130" w:name="_Toc499116997"/>
      <w:bookmarkStart w:id="131" w:name="_Toc499206155"/>
      <w:bookmarkStart w:id="132" w:name="_Toc500433975"/>
      <w:r w:rsidRPr="00413003">
        <w:rPr>
          <w:rStyle w:val="Heading3Char"/>
          <w:b w:val="0"/>
          <w:i w:val="0"/>
          <w:color w:val="auto"/>
        </w:rPr>
        <w:t>Culturally responsive teaching requires that educators</w:t>
      </w:r>
      <w:bookmarkEnd w:id="130"/>
      <w:bookmarkEnd w:id="131"/>
      <w:bookmarkEnd w:id="132"/>
      <w:r w:rsidRPr="00413003">
        <w:rPr>
          <w:rStyle w:val="Heading3Char"/>
          <w:color w:val="auto"/>
        </w:rPr>
        <w:t xml:space="preserve"> </w:t>
      </w:r>
      <w:r w:rsidRPr="00413003">
        <w:rPr>
          <w:color w:val="auto"/>
        </w:rPr>
        <w:t>value students’ cultural and linguistic resources and build upon this understanding, rather than view it as a barrier to learning. Culturally responsive teachers examine their own heritage and bias, and use students’ personal experiences and interests as the base upon which they facilitate student learning and skill development. As described in a recent publication from the CEEDAR Center, various research studies show the power of drawing upon students’ culture, language, or other aspects of their identify (e.g., disability) to learn academic subjects.</w:t>
      </w:r>
      <w:r w:rsidRPr="00413003">
        <w:rPr>
          <w:rStyle w:val="EndnoteReference"/>
          <w:color w:val="auto"/>
        </w:rPr>
        <w:endnoteReference w:id="127"/>
      </w:r>
      <w:r w:rsidRPr="00413003">
        <w:rPr>
          <w:color w:val="auto"/>
        </w:rPr>
        <w:t xml:space="preserve"> </w:t>
      </w:r>
    </w:p>
    <w:p w14:paraId="684F420C" w14:textId="77777777" w:rsidR="00FC0E68" w:rsidRPr="00413003" w:rsidRDefault="00FC0E68" w:rsidP="00FC0E68">
      <w:pPr>
        <w:pStyle w:val="Heading2"/>
      </w:pPr>
      <w:bookmarkStart w:id="133" w:name="_Toc499116998"/>
      <w:bookmarkStart w:id="134" w:name="_Toc500433976"/>
      <w:r w:rsidRPr="00413003">
        <w:t>Multi-Tiered System of Supports</w:t>
      </w:r>
      <w:bookmarkEnd w:id="133"/>
      <w:bookmarkEnd w:id="134"/>
    </w:p>
    <w:p w14:paraId="43A5A405" w14:textId="77777777" w:rsidR="00FC0E68" w:rsidRPr="00413003" w:rsidRDefault="00FC0E68" w:rsidP="005B4EBC">
      <w:pPr>
        <w:pStyle w:val="NCDBodyText"/>
        <w:rPr>
          <w:color w:val="auto"/>
        </w:rPr>
      </w:pPr>
      <w:r w:rsidRPr="00413003">
        <w:rPr>
          <w:color w:val="auto"/>
        </w:rPr>
        <w:t>In the past several years, education reform efforts recommend response to intervention (RTI) and PBIS systems be braided to address the complex social, emotional, behavioral, and academic learning needs of a wide variety of learners.</w:t>
      </w:r>
      <w:r w:rsidRPr="00413003">
        <w:rPr>
          <w:rStyle w:val="EndnoteReference"/>
          <w:color w:val="auto"/>
        </w:rPr>
        <w:endnoteReference w:id="128"/>
      </w:r>
      <w:r w:rsidRPr="00413003">
        <w:rPr>
          <w:color w:val="auto"/>
        </w:rPr>
        <w:t xml:space="preserve"> Such an integrated system emphasizes the value of core general education services, in a multi-tiered system of supports (MTSS) to determine the specific interventions needed for struggling students, within a data-informed decision model. It addresses students who struggle because of academic learning needs, students with disabilities, those whose first language is not English, students coming from cultural backgrounds that differ from the majority of families and educators in the school community, and students living in poverty who may have access to fewer resources. MTSS requires that administrators, district personnel, classroom teachers, and specialized educators work together in a cohesive and collaborative culture with shared responsibilities for all learners.</w:t>
      </w:r>
      <w:r w:rsidRPr="00413003">
        <w:rPr>
          <w:rStyle w:val="EndnoteReference"/>
          <w:color w:val="auto"/>
        </w:rPr>
        <w:endnoteReference w:id="129"/>
      </w:r>
      <w:r w:rsidRPr="00413003">
        <w:rPr>
          <w:color w:val="auto"/>
        </w:rPr>
        <w:t xml:space="preserve"> In a MTSS approach, students with disabilities have access to a variety of academic and behavioral interventions, alongside their peers without disabilities, and removal for specific specialized instruction is offered as needed to address specific disability-related educational needs.</w:t>
      </w:r>
    </w:p>
    <w:p w14:paraId="44922F9B" w14:textId="77777777" w:rsidR="00FC0E68" w:rsidRPr="00413003" w:rsidRDefault="00FC0E68" w:rsidP="00FC0E68">
      <w:pPr>
        <w:rPr>
          <w:rFonts w:cs="Arial"/>
        </w:rPr>
      </w:pPr>
      <w:r w:rsidRPr="00413003">
        <w:rPr>
          <w:rFonts w:cs="Arial"/>
        </w:rPr>
        <w:br w:type="page"/>
      </w:r>
    </w:p>
    <w:p w14:paraId="23CE2EF0" w14:textId="77777777" w:rsidR="00FC0E68" w:rsidRPr="00413003" w:rsidRDefault="00FC0E68" w:rsidP="00FC0E68">
      <w:pPr>
        <w:pStyle w:val="Heading1"/>
      </w:pPr>
      <w:bookmarkStart w:id="135" w:name="_Toc499116999"/>
      <w:bookmarkStart w:id="136" w:name="_Toc500433977"/>
      <w:bookmarkStart w:id="137" w:name="_Hlk488593739"/>
      <w:r w:rsidRPr="00413003">
        <w:lastRenderedPageBreak/>
        <w:t>Chapter 7: Findings and Recommendations</w:t>
      </w:r>
      <w:bookmarkEnd w:id="135"/>
      <w:bookmarkEnd w:id="136"/>
    </w:p>
    <w:p w14:paraId="37EB8527" w14:textId="77777777" w:rsidR="00FC0E68" w:rsidRPr="00413003" w:rsidRDefault="00FC0E68" w:rsidP="00FC0E68">
      <w:pPr>
        <w:pStyle w:val="Heading2"/>
      </w:pPr>
      <w:bookmarkStart w:id="138" w:name="_Toc499117000"/>
      <w:bookmarkStart w:id="139" w:name="_Toc500433978"/>
      <w:r w:rsidRPr="00413003">
        <w:t>Findings</w:t>
      </w:r>
      <w:bookmarkEnd w:id="138"/>
      <w:bookmarkEnd w:id="139"/>
    </w:p>
    <w:p w14:paraId="61600C72" w14:textId="77777777" w:rsidR="00FC0E68" w:rsidRPr="00413003" w:rsidRDefault="00FC0E68" w:rsidP="00FC0E68">
      <w:pPr>
        <w:pStyle w:val="Heading3"/>
        <w:rPr>
          <w:color w:val="auto"/>
        </w:rPr>
      </w:pPr>
      <w:bookmarkStart w:id="140" w:name="_Toc499117001"/>
      <w:bookmarkStart w:id="141" w:name="_Toc500433979"/>
      <w:r w:rsidRPr="00413003">
        <w:rPr>
          <w:color w:val="auto"/>
        </w:rPr>
        <w:t>Policies</w:t>
      </w:r>
      <w:bookmarkEnd w:id="140"/>
      <w:bookmarkEnd w:id="141"/>
    </w:p>
    <w:p w14:paraId="3CCA651B" w14:textId="77777777" w:rsidR="00FC0E68" w:rsidRPr="00413003" w:rsidRDefault="00FC0E68" w:rsidP="005B4EBC">
      <w:pPr>
        <w:pStyle w:val="NCDBodyText"/>
        <w:rPr>
          <w:color w:val="auto"/>
        </w:rPr>
      </w:pPr>
      <w:r w:rsidRPr="00413003">
        <w:rPr>
          <w:color w:val="auto"/>
        </w:rPr>
        <w:t xml:space="preserve">There has been very little change and little movement toward realizing IDEA’s mandate of LRE and inclusion over time. </w:t>
      </w:r>
    </w:p>
    <w:p w14:paraId="719C542F" w14:textId="77777777" w:rsidR="00FC0E68" w:rsidRPr="00413003" w:rsidRDefault="00FC0E68" w:rsidP="00FC0E68">
      <w:pPr>
        <w:pStyle w:val="Heading3"/>
        <w:rPr>
          <w:color w:val="auto"/>
        </w:rPr>
      </w:pPr>
      <w:bookmarkStart w:id="142" w:name="_Toc499117002"/>
      <w:bookmarkStart w:id="143" w:name="_Toc500433980"/>
      <w:r w:rsidRPr="00413003">
        <w:rPr>
          <w:color w:val="auto"/>
        </w:rPr>
        <w:t>Effectiveness</w:t>
      </w:r>
      <w:bookmarkEnd w:id="142"/>
      <w:bookmarkEnd w:id="143"/>
    </w:p>
    <w:p w14:paraId="155691D4" w14:textId="77777777" w:rsidR="00FC0E68" w:rsidRPr="00413003" w:rsidRDefault="00FC0E68" w:rsidP="005B4EBC">
      <w:pPr>
        <w:pStyle w:val="NCDBodyText"/>
        <w:rPr>
          <w:color w:val="auto"/>
        </w:rPr>
      </w:pPr>
      <w:r w:rsidRPr="00413003">
        <w:rPr>
          <w:color w:val="auto"/>
        </w:rPr>
        <w:t>Inclusive special education services are more effective than segregated special education services:</w:t>
      </w:r>
    </w:p>
    <w:p w14:paraId="35252425" w14:textId="77777777" w:rsidR="00FC0E68" w:rsidRPr="00413003" w:rsidRDefault="00FC0E68" w:rsidP="005B4EBC">
      <w:pPr>
        <w:pStyle w:val="NCDBulletsLevel1"/>
        <w:rPr>
          <w:color w:val="auto"/>
        </w:rPr>
      </w:pPr>
      <w:r w:rsidRPr="00413003">
        <w:rPr>
          <w:color w:val="auto"/>
        </w:rPr>
        <w:t>When students are included in general education instruction, they have more access to the general curriculum and effective instructional methods, they achieve at higher rates of academic performance, and they acquire better social and behavioral outcomes.</w:t>
      </w:r>
    </w:p>
    <w:p w14:paraId="6CE866C5" w14:textId="77777777" w:rsidR="00FC0E68" w:rsidRPr="00413003" w:rsidRDefault="00FC0E68" w:rsidP="005B4EBC">
      <w:pPr>
        <w:pStyle w:val="NCDBulletsLevel1"/>
        <w:rPr>
          <w:color w:val="auto"/>
        </w:rPr>
      </w:pPr>
      <w:r w:rsidRPr="00413003">
        <w:rPr>
          <w:color w:val="auto"/>
        </w:rPr>
        <w:t>When educated in “inclusive” classrooms, peers without disabilities experience no negative impact, and some studies show that peers without disabilities experience a positive academic and social impact.</w:t>
      </w:r>
    </w:p>
    <w:p w14:paraId="2ABB90C6" w14:textId="77777777" w:rsidR="00FC0E68" w:rsidRPr="00413003" w:rsidRDefault="00FC0E68" w:rsidP="005B4EBC">
      <w:pPr>
        <w:pStyle w:val="NCDBulletsLevel1"/>
        <w:rPr>
          <w:b/>
          <w:bCs/>
          <w:iCs/>
          <w:color w:val="auto"/>
        </w:rPr>
      </w:pPr>
      <w:r w:rsidRPr="00413003">
        <w:rPr>
          <w:color w:val="auto"/>
        </w:rPr>
        <w:t>Segregated special education placements offer less instruction, have fewer opportunities to learn, and fewer opportunities to use knowledge and skills during instruction and other meaningful activities.</w:t>
      </w:r>
    </w:p>
    <w:p w14:paraId="3D3157CB" w14:textId="77777777" w:rsidR="00FC0E68" w:rsidRPr="00413003" w:rsidRDefault="00FC0E68" w:rsidP="00FC0E68">
      <w:pPr>
        <w:pStyle w:val="Heading3"/>
        <w:rPr>
          <w:color w:val="auto"/>
        </w:rPr>
      </w:pPr>
      <w:bookmarkStart w:id="144" w:name="_Toc499117003"/>
      <w:bookmarkStart w:id="145" w:name="_Toc500433981"/>
      <w:r w:rsidRPr="00413003">
        <w:rPr>
          <w:color w:val="auto"/>
        </w:rPr>
        <w:t>Demographics</w:t>
      </w:r>
      <w:bookmarkEnd w:id="144"/>
      <w:bookmarkEnd w:id="145"/>
    </w:p>
    <w:p w14:paraId="2901E83B" w14:textId="77777777" w:rsidR="00FC0E68" w:rsidRPr="00413003" w:rsidRDefault="00FC0E68" w:rsidP="0039308F">
      <w:pPr>
        <w:pStyle w:val="NCDBodyText"/>
      </w:pPr>
      <w:r w:rsidRPr="00413003">
        <w:t>The extent of restrictiveness of placements is impacted by where students live: States in urban areas are more restrictive than rural areas; states on the east and west coast are more restrictive. Further, districts with the largest enrollments place proportionately fewer students in general education settings.</w:t>
      </w:r>
    </w:p>
    <w:p w14:paraId="5914D17E" w14:textId="77777777" w:rsidR="00FC0E68" w:rsidRPr="00413003" w:rsidRDefault="00FC0E68" w:rsidP="00FC0E68">
      <w:pPr>
        <w:pStyle w:val="Heading3"/>
        <w:rPr>
          <w:color w:val="auto"/>
        </w:rPr>
      </w:pPr>
      <w:bookmarkStart w:id="146" w:name="_Toc499117004"/>
      <w:bookmarkStart w:id="147" w:name="_Toc500433982"/>
      <w:r w:rsidRPr="00413003">
        <w:rPr>
          <w:color w:val="auto"/>
        </w:rPr>
        <w:t>Disability</w:t>
      </w:r>
      <w:bookmarkEnd w:id="146"/>
      <w:bookmarkEnd w:id="147"/>
    </w:p>
    <w:p w14:paraId="0EB5C337" w14:textId="77777777" w:rsidR="00FC0E68" w:rsidRPr="00413003" w:rsidRDefault="00FC0E68" w:rsidP="005B4EBC">
      <w:pPr>
        <w:pStyle w:val="NCDBodyText"/>
        <w:rPr>
          <w:color w:val="auto"/>
        </w:rPr>
      </w:pPr>
      <w:r w:rsidRPr="00413003">
        <w:rPr>
          <w:color w:val="auto"/>
        </w:rPr>
        <w:t xml:space="preserve">Students with certain disabilities are more likely to be educated in separate, segregated </w:t>
      </w:r>
      <w:r w:rsidRPr="00413003">
        <w:rPr>
          <w:color w:val="auto"/>
        </w:rPr>
        <w:lastRenderedPageBreak/>
        <w:t>classes; and the most prevalent setting for students with intellectual and multiple disabilities was separate special education classrooms. While inclusive placements have increased over time, there is little to no change in placement practices for students with intellectual and multiple disabilities during the past 10 years.</w:t>
      </w:r>
    </w:p>
    <w:p w14:paraId="49B9B054" w14:textId="77777777" w:rsidR="00FC0E68" w:rsidRPr="00413003" w:rsidRDefault="00FC0E68" w:rsidP="00FC0E68">
      <w:pPr>
        <w:pStyle w:val="Heading3"/>
        <w:rPr>
          <w:color w:val="auto"/>
        </w:rPr>
      </w:pPr>
      <w:bookmarkStart w:id="148" w:name="_Toc499117005"/>
      <w:bookmarkStart w:id="149" w:name="_Toc500433983"/>
      <w:r w:rsidRPr="00413003">
        <w:rPr>
          <w:color w:val="auto"/>
        </w:rPr>
        <w:t>Race</w:t>
      </w:r>
      <w:bookmarkEnd w:id="148"/>
      <w:bookmarkEnd w:id="149"/>
    </w:p>
    <w:p w14:paraId="73AE66A5" w14:textId="77777777" w:rsidR="00FC0E68" w:rsidRPr="00413003" w:rsidRDefault="00FC0E68" w:rsidP="005B4EBC">
      <w:pPr>
        <w:pStyle w:val="NCDBodyText"/>
        <w:rPr>
          <w:color w:val="auto"/>
        </w:rPr>
      </w:pPr>
      <w:proofErr w:type="gramStart"/>
      <w:r w:rsidRPr="00413003">
        <w:rPr>
          <w:color w:val="auto"/>
        </w:rPr>
        <w:t>White students and Native American students continue to be included more often in general education classes than African American students, Asian students, and those from the Pacific Islands, including Hawaii.</w:t>
      </w:r>
      <w:proofErr w:type="gramEnd"/>
    </w:p>
    <w:p w14:paraId="40E12224" w14:textId="77777777" w:rsidR="00FC0E68" w:rsidRPr="00413003" w:rsidRDefault="00FC0E68" w:rsidP="00FC0E68">
      <w:pPr>
        <w:pStyle w:val="Heading3"/>
        <w:rPr>
          <w:color w:val="auto"/>
        </w:rPr>
      </w:pPr>
      <w:bookmarkStart w:id="150" w:name="_Toc499117006"/>
      <w:bookmarkStart w:id="151" w:name="_Toc500433984"/>
      <w:r w:rsidRPr="00413003">
        <w:rPr>
          <w:color w:val="auto"/>
        </w:rPr>
        <w:t>ED Response</w:t>
      </w:r>
      <w:bookmarkEnd w:id="150"/>
      <w:bookmarkEnd w:id="151"/>
    </w:p>
    <w:p w14:paraId="17E7866A" w14:textId="77777777" w:rsidR="00FC0E68" w:rsidRPr="00413003" w:rsidRDefault="00FC0E68" w:rsidP="005B4EBC">
      <w:pPr>
        <w:pStyle w:val="NCDBodyText"/>
        <w:rPr>
          <w:color w:val="auto"/>
        </w:rPr>
      </w:pPr>
      <w:r w:rsidRPr="00413003">
        <w:rPr>
          <w:color w:val="auto"/>
        </w:rPr>
        <w:t>Despite the complex determination procedures and extensive reporting requirements for states, ED is not holding states accountable for their failures to uphold IDEA’s LRE requirements.</w:t>
      </w:r>
    </w:p>
    <w:p w14:paraId="5EF5F164" w14:textId="77777777" w:rsidR="00FC0E68" w:rsidRPr="00413003" w:rsidRDefault="00FC0E68" w:rsidP="005B4EBC">
      <w:pPr>
        <w:pStyle w:val="NCDBulletsLevel1"/>
        <w:rPr>
          <w:color w:val="auto"/>
        </w:rPr>
      </w:pPr>
      <w:r w:rsidRPr="00413003">
        <w:rPr>
          <w:color w:val="auto"/>
        </w:rPr>
        <w:t>While the LRE requirement should lead schools to make objective decisions based on data, this does not seem to be the case, considering the variation in placement patterns across states, the disproportionate segregation of students with certain disabilities (e.g., autism and intellectual disabilities), and the disproportionate segregation of students of color by both race and disability, as noted in this report. Further, ED is not offering sufficient guidance, incentives, or restrictions for states that continue to disproportionately segregate students with disabilities over time.</w:t>
      </w:r>
    </w:p>
    <w:p w14:paraId="3CDD0C66" w14:textId="77777777" w:rsidR="004415AE" w:rsidRDefault="004415AE">
      <w:pPr>
        <w:rPr>
          <w:rFonts w:ascii="Arial" w:eastAsia="Times New Roman" w:hAnsi="Arial" w:cs="Times New Roman"/>
          <w:b/>
          <w:sz w:val="28"/>
          <w:szCs w:val="32"/>
        </w:rPr>
      </w:pPr>
      <w:bookmarkStart w:id="152" w:name="_Toc499117007"/>
      <w:bookmarkEnd w:id="137"/>
      <w:r>
        <w:br w:type="page"/>
      </w:r>
    </w:p>
    <w:p w14:paraId="089EE76A" w14:textId="7AE84CF3" w:rsidR="00FC0E68" w:rsidRPr="00413003" w:rsidRDefault="00FC0E68" w:rsidP="00FC0E68">
      <w:pPr>
        <w:pStyle w:val="Heading2"/>
      </w:pPr>
      <w:bookmarkStart w:id="153" w:name="_Toc500433985"/>
      <w:commentRangeStart w:id="154"/>
      <w:r w:rsidRPr="00413003">
        <w:lastRenderedPageBreak/>
        <w:t>Recommendations</w:t>
      </w:r>
      <w:commentRangeEnd w:id="154"/>
      <w:r w:rsidRPr="00413003">
        <w:rPr>
          <w:rStyle w:val="CommentReference"/>
          <w:rFonts w:eastAsiaTheme="minorHAnsi" w:cstheme="minorBidi"/>
          <w:b w:val="0"/>
        </w:rPr>
        <w:commentReference w:id="154"/>
      </w:r>
      <w:bookmarkEnd w:id="152"/>
      <w:bookmarkEnd w:id="153"/>
    </w:p>
    <w:p w14:paraId="7D2DDDBA" w14:textId="77777777" w:rsidR="0075284B" w:rsidRPr="004415AE" w:rsidRDefault="0075284B" w:rsidP="004415AE">
      <w:pPr>
        <w:pStyle w:val="Heading3"/>
        <w:spacing w:before="200"/>
        <w:rPr>
          <w:color w:val="auto"/>
        </w:rPr>
      </w:pPr>
      <w:bookmarkStart w:id="155" w:name="_Toc500433986"/>
      <w:bookmarkStart w:id="156" w:name="_Toc499117008"/>
      <w:commentRangeStart w:id="157"/>
      <w:r w:rsidRPr="004415AE">
        <w:rPr>
          <w:color w:val="auto"/>
        </w:rPr>
        <w:t>Recommendations for Congress</w:t>
      </w:r>
      <w:bookmarkEnd w:id="155"/>
    </w:p>
    <w:bookmarkEnd w:id="156"/>
    <w:p w14:paraId="63A01C2F" w14:textId="77777777" w:rsidR="0075284B" w:rsidRPr="004415AE" w:rsidRDefault="0075284B" w:rsidP="0039308F">
      <w:pPr>
        <w:pStyle w:val="NCDNumberedLevel1"/>
        <w:numPr>
          <w:ilvl w:val="0"/>
          <w:numId w:val="8"/>
        </w:numPr>
        <w:ind w:left="360"/>
        <w:rPr>
          <w:color w:val="auto"/>
        </w:rPr>
      </w:pPr>
      <w:r w:rsidRPr="004415AE">
        <w:rPr>
          <w:color w:val="auto"/>
        </w:rPr>
        <w:t xml:space="preserve">Fully fund IDEA to cover the cost of educating students with disabilities so that necessary supports and services are available to ensure full participation and learning. </w:t>
      </w:r>
    </w:p>
    <w:p w14:paraId="10661B68" w14:textId="77777777" w:rsidR="0075284B" w:rsidRPr="004415AE" w:rsidRDefault="0075284B" w:rsidP="00304135">
      <w:pPr>
        <w:pStyle w:val="NCDNumberedLevel1"/>
        <w:rPr>
          <w:color w:val="auto"/>
        </w:rPr>
      </w:pPr>
      <w:r w:rsidRPr="004415AE">
        <w:rPr>
          <w:color w:val="auto"/>
        </w:rPr>
        <w:t>Emphasize inclusive education expectations in the development of all funding programs. Strengthen expectations for full participation of students with disabilities in general education settings and activities with peers without disabilities.</w:t>
      </w:r>
    </w:p>
    <w:p w14:paraId="38362093" w14:textId="77777777" w:rsidR="0075284B" w:rsidRPr="004415AE" w:rsidRDefault="0075284B" w:rsidP="00304135">
      <w:pPr>
        <w:pStyle w:val="NCDNumberedLevel1"/>
        <w:rPr>
          <w:color w:val="auto"/>
        </w:rPr>
      </w:pPr>
      <w:r w:rsidRPr="004415AE">
        <w:rPr>
          <w:color w:val="auto"/>
        </w:rPr>
        <w:t xml:space="preserve">Authorize and appropriate funds for competitive systems—change grants to build state and local capacity to implement and scale up inclusive, whole-school reforms that address the needs of each and every student with a focus on promoting equitable practices and reducing disproportionate outcomes. </w:t>
      </w:r>
    </w:p>
    <w:p w14:paraId="0F8C7F4C" w14:textId="77777777" w:rsidR="0075284B" w:rsidRPr="004415AE" w:rsidRDefault="0075284B" w:rsidP="00304135">
      <w:pPr>
        <w:pStyle w:val="NCDNumberedLevel1"/>
        <w:rPr>
          <w:color w:val="auto"/>
        </w:rPr>
      </w:pPr>
      <w:r w:rsidRPr="004415AE">
        <w:rPr>
          <w:color w:val="auto"/>
        </w:rPr>
        <w:t>Maintain or increase funding levels for IDEA appropriations for technical assistance and dissemination, personnel preparation, and state personnel development grants, and target funding to a) prepare teachers, administrators, and related service providers to implement effective schoolwide, equity-based services, and b) build state and local capacity for sustainable inclusive education practices.</w:t>
      </w:r>
    </w:p>
    <w:p w14:paraId="1BFC3C8F" w14:textId="77777777" w:rsidR="0075284B" w:rsidRPr="004415AE" w:rsidRDefault="0075284B" w:rsidP="00304135">
      <w:pPr>
        <w:pStyle w:val="NCDNumberedLevel1"/>
        <w:rPr>
          <w:color w:val="auto"/>
        </w:rPr>
      </w:pPr>
      <w:r w:rsidRPr="004415AE">
        <w:rPr>
          <w:color w:val="auto"/>
        </w:rPr>
        <w:t xml:space="preserve">Target funding for the Institute for Educational Sciences (IES) to support research to identify and disseminate practices that improve educational outcomes for students with disabilities </w:t>
      </w:r>
      <w:r w:rsidRPr="004415AE">
        <w:rPr>
          <w:i/>
          <w:color w:val="auto"/>
        </w:rPr>
        <w:t>in inclusive environments</w:t>
      </w:r>
      <w:r w:rsidRPr="004415AE">
        <w:rPr>
          <w:color w:val="auto"/>
        </w:rPr>
        <w:t>.</w:t>
      </w:r>
      <w:r w:rsidRPr="004415AE">
        <w:rPr>
          <w:rStyle w:val="CommentReference"/>
          <w:color w:val="auto"/>
        </w:rPr>
        <w:commentReference w:id="157"/>
      </w:r>
      <w:commentRangeEnd w:id="157"/>
    </w:p>
    <w:p w14:paraId="35D74FA3" w14:textId="77777777" w:rsidR="0075284B" w:rsidRPr="004415AE" w:rsidRDefault="0075284B" w:rsidP="0075284B">
      <w:pPr>
        <w:pStyle w:val="Heading3"/>
        <w:pageBreakBefore/>
        <w:spacing w:before="200"/>
        <w:rPr>
          <w:color w:val="auto"/>
        </w:rPr>
      </w:pPr>
      <w:bookmarkStart w:id="158" w:name="_Toc500433987"/>
      <w:r w:rsidRPr="004415AE">
        <w:rPr>
          <w:color w:val="auto"/>
        </w:rPr>
        <w:lastRenderedPageBreak/>
        <w:t>Recommendations for the U.S. Department of Education:</w:t>
      </w:r>
      <w:bookmarkEnd w:id="158"/>
    </w:p>
    <w:p w14:paraId="2016F017" w14:textId="0E1360C8" w:rsidR="0075284B" w:rsidRPr="004415AE" w:rsidRDefault="0075284B" w:rsidP="00EC3857">
      <w:pPr>
        <w:pStyle w:val="NCDNumberedLevel1"/>
      </w:pPr>
      <w:r w:rsidRPr="004415AE">
        <w:t>Engage in more aggressive enforcement and utilize its authority to withhold federal funds and make referrals to the U.S. Department of Justice (DOJ) for enforcement for noncompliance with the LRE mandate of IDEA as permitted by IDEA.</w:t>
      </w:r>
    </w:p>
    <w:p w14:paraId="2B056DF6" w14:textId="77777777" w:rsidR="0075284B" w:rsidRPr="004415AE" w:rsidRDefault="0075284B" w:rsidP="00304135">
      <w:pPr>
        <w:pStyle w:val="NCDNumberedLevel1"/>
        <w:rPr>
          <w:color w:val="auto"/>
        </w:rPr>
      </w:pPr>
      <w:r w:rsidRPr="004415AE">
        <w:rPr>
          <w:color w:val="auto"/>
        </w:rPr>
        <w:t>In the presence of c</w:t>
      </w:r>
      <w:bookmarkStart w:id="159" w:name="_GoBack"/>
      <w:bookmarkEnd w:id="159"/>
      <w:r w:rsidRPr="004415AE">
        <w:rPr>
          <w:color w:val="auto"/>
        </w:rPr>
        <w:t xml:space="preserve">ontemporary research that shows improved outcomes when students are educated in inclusive environments with evidence-based instruction and organizational systems, maintain data collection on the amount of time students spend in general education and the location of student placements. </w:t>
      </w:r>
    </w:p>
    <w:p w14:paraId="0A583469" w14:textId="77777777" w:rsidR="0075284B" w:rsidRPr="004415AE" w:rsidRDefault="0075284B" w:rsidP="00304135">
      <w:pPr>
        <w:pStyle w:val="NCDNumberedLevel1"/>
        <w:rPr>
          <w:color w:val="auto"/>
        </w:rPr>
      </w:pPr>
      <w:r w:rsidRPr="004415AE">
        <w:rPr>
          <w:color w:val="auto"/>
        </w:rPr>
        <w:t>Design funding for technical assistance and dissemination centers, personnel preparation projects, and state personnel development grants to a) prepare teachers, administrators, and related service providers to implement effective schoolwide, equity-based educational services, and b) build state and local capacity for sustainable inclusive education practices.</w:t>
      </w:r>
    </w:p>
    <w:p w14:paraId="74DF62E7" w14:textId="77777777" w:rsidR="0075284B" w:rsidRPr="004415AE" w:rsidRDefault="0075284B" w:rsidP="00304135">
      <w:pPr>
        <w:pStyle w:val="NCDNumberedLevel1"/>
        <w:rPr>
          <w:color w:val="auto"/>
        </w:rPr>
      </w:pPr>
      <w:r w:rsidRPr="004415AE">
        <w:rPr>
          <w:color w:val="auto"/>
        </w:rPr>
        <w:t>Emphasize inclusive education expectations in the development of all funding programs. Strengthen expectations for full participation of students with disabilities in general education settings and activities with peers without disabilities.</w:t>
      </w:r>
    </w:p>
    <w:p w14:paraId="38E2320D" w14:textId="77777777" w:rsidR="0075284B" w:rsidRPr="004415AE" w:rsidRDefault="0075284B" w:rsidP="00304135">
      <w:pPr>
        <w:pStyle w:val="NCDNumberedLevel1"/>
        <w:rPr>
          <w:color w:val="auto"/>
        </w:rPr>
      </w:pPr>
      <w:r w:rsidRPr="004415AE">
        <w:rPr>
          <w:color w:val="auto"/>
        </w:rPr>
        <w:t>Design funding opportunities that result in exemplary demonstration sites, which can be used as national models for replication. A short list of examples of school-based, district-led, evidence-backed practices include:</w:t>
      </w:r>
    </w:p>
    <w:p w14:paraId="58A6F968" w14:textId="77777777" w:rsidR="0075284B" w:rsidRPr="004415AE" w:rsidRDefault="0075284B" w:rsidP="0039308F">
      <w:pPr>
        <w:pStyle w:val="NCDBulletsLevel2"/>
        <w:numPr>
          <w:ilvl w:val="0"/>
          <w:numId w:val="10"/>
        </w:numPr>
        <w:ind w:left="720"/>
        <w:rPr>
          <w:color w:val="auto"/>
        </w:rPr>
      </w:pPr>
      <w:r w:rsidRPr="004415AE">
        <w:rPr>
          <w:i/>
          <w:color w:val="auto"/>
        </w:rPr>
        <w:t>Universal design for learning (UDL) frameworks:</w:t>
      </w:r>
      <w:r w:rsidRPr="004415AE">
        <w:rPr>
          <w:color w:val="auto"/>
        </w:rPr>
        <w:t xml:space="preserve"> Support and train teachers to understand and employ the principals of UDL as a part of core instruction. </w:t>
      </w:r>
    </w:p>
    <w:p w14:paraId="18BAFF13" w14:textId="77777777" w:rsidR="0075284B" w:rsidRPr="004415AE" w:rsidRDefault="0075284B" w:rsidP="00060012">
      <w:pPr>
        <w:pStyle w:val="NCDBulletsLevel2"/>
        <w:numPr>
          <w:ilvl w:val="0"/>
          <w:numId w:val="10"/>
        </w:numPr>
        <w:ind w:left="720"/>
        <w:rPr>
          <w:color w:val="auto"/>
        </w:rPr>
      </w:pPr>
      <w:r w:rsidRPr="004415AE">
        <w:rPr>
          <w:i/>
          <w:color w:val="auto"/>
        </w:rPr>
        <w:t>Multi-tiered system of supports (MTSS):</w:t>
      </w:r>
      <w:r w:rsidRPr="004415AE">
        <w:rPr>
          <w:color w:val="auto"/>
        </w:rPr>
        <w:t xml:space="preserve"> Support states and districts in the development of systemic practices to include universal screening for academic, behavioral and mental health risk coupled with collaboratively selected and developed data-informed interventions within a school community. This results in opportunities for uniquely designed instruction to address individual student needs for all students, with and without disability labels.</w:t>
      </w:r>
      <w:r>
        <w:rPr>
          <w:color w:val="auto"/>
        </w:rPr>
        <w:t xml:space="preserve"> </w:t>
      </w:r>
    </w:p>
    <w:p w14:paraId="58D82BC8" w14:textId="77777777" w:rsidR="0075284B" w:rsidRPr="004415AE" w:rsidRDefault="0075284B" w:rsidP="00AD1612">
      <w:pPr>
        <w:pStyle w:val="NCDBulletsLevel2"/>
        <w:numPr>
          <w:ilvl w:val="0"/>
          <w:numId w:val="10"/>
        </w:numPr>
        <w:spacing w:before="160" w:after="40"/>
        <w:ind w:left="720"/>
        <w:rPr>
          <w:color w:val="auto"/>
        </w:rPr>
      </w:pPr>
      <w:commentRangeStart w:id="160"/>
      <w:r w:rsidRPr="004415AE">
        <w:rPr>
          <w:i/>
          <w:color w:val="auto"/>
        </w:rPr>
        <w:lastRenderedPageBreak/>
        <w:t>Culturally responsive instruction:</w:t>
      </w:r>
      <w:r w:rsidRPr="004415AE">
        <w:rPr>
          <w:color w:val="auto"/>
        </w:rPr>
        <w:t xml:space="preserve"> With a commitment to increase and maintain educator competence to serve diverse populations of students and families, states need to provide professional development and action planning based on district self-assessments.</w:t>
      </w:r>
    </w:p>
    <w:p w14:paraId="7814741D" w14:textId="77777777" w:rsidR="0075284B" w:rsidRPr="004415AE" w:rsidRDefault="0075284B" w:rsidP="00AD1612">
      <w:pPr>
        <w:pStyle w:val="NCDBulletsLevel2"/>
        <w:numPr>
          <w:ilvl w:val="0"/>
          <w:numId w:val="10"/>
        </w:numPr>
        <w:spacing w:before="100" w:after="100"/>
        <w:ind w:left="720"/>
        <w:rPr>
          <w:color w:val="auto"/>
        </w:rPr>
      </w:pPr>
      <w:r w:rsidRPr="004415AE">
        <w:rPr>
          <w:i/>
          <w:color w:val="auto"/>
        </w:rPr>
        <w:t>Cooperative learning, flexible grouping, and collaboration:</w:t>
      </w:r>
      <w:r w:rsidRPr="004415AE">
        <w:rPr>
          <w:color w:val="auto"/>
        </w:rPr>
        <w:t xml:space="preserve"> Increase instructional competencies to enable specialized and general educators to collaboratively plan and deliver instruction based on student performance and increase opportunities for small group instruction that supports heterogeneous peer assisted learning.</w:t>
      </w:r>
    </w:p>
    <w:p w14:paraId="43B78248" w14:textId="77777777" w:rsidR="0075284B" w:rsidRPr="004415AE" w:rsidRDefault="0075284B" w:rsidP="004415AE">
      <w:pPr>
        <w:pStyle w:val="NCDNumberedLevel1"/>
        <w:spacing w:after="100"/>
        <w:rPr>
          <w:color w:val="auto"/>
        </w:rPr>
      </w:pPr>
      <w:r w:rsidRPr="004415AE">
        <w:rPr>
          <w:color w:val="auto"/>
        </w:rPr>
        <w:t>Analyze state data by disability, ethnicity, and other available demographics to identify where subgroups of students with disabilities are in more segregated settings:</w:t>
      </w:r>
    </w:p>
    <w:p w14:paraId="720DE6D6" w14:textId="77777777" w:rsidR="0075284B" w:rsidRPr="004415AE" w:rsidRDefault="0075284B" w:rsidP="00AD1612">
      <w:pPr>
        <w:pStyle w:val="NCDBulletsLevel2"/>
        <w:numPr>
          <w:ilvl w:val="0"/>
          <w:numId w:val="11"/>
        </w:numPr>
        <w:spacing w:before="160" w:after="100"/>
        <w:rPr>
          <w:color w:val="auto"/>
        </w:rPr>
      </w:pPr>
      <w:r w:rsidRPr="004415AE">
        <w:rPr>
          <w:color w:val="auto"/>
        </w:rPr>
        <w:t>Prepare and widely disseminate disaggregated data reports in a timely fashion (for the previous school year) based on disability label, race, and geographic and demographic disparities.</w:t>
      </w:r>
    </w:p>
    <w:p w14:paraId="1A5D820D" w14:textId="77777777" w:rsidR="0075284B" w:rsidRPr="004415AE" w:rsidRDefault="0075284B" w:rsidP="00AD1612">
      <w:pPr>
        <w:pStyle w:val="NCDBulletsLevel2"/>
        <w:numPr>
          <w:ilvl w:val="0"/>
          <w:numId w:val="11"/>
        </w:numPr>
        <w:spacing w:before="160" w:after="100"/>
        <w:rPr>
          <w:color w:val="auto"/>
        </w:rPr>
      </w:pPr>
      <w:r w:rsidRPr="004415AE">
        <w:rPr>
          <w:color w:val="auto"/>
        </w:rPr>
        <w:t xml:space="preserve">Require states to address segregating placement practices, and provide technical assistance and incentives for states to remove group programs based on labels. </w:t>
      </w:r>
    </w:p>
    <w:p w14:paraId="1052EC31" w14:textId="77777777" w:rsidR="0075284B" w:rsidRPr="004415AE" w:rsidRDefault="0075284B" w:rsidP="00AD1612">
      <w:pPr>
        <w:pStyle w:val="NCDNumberedLevel1"/>
        <w:spacing w:after="40"/>
        <w:rPr>
          <w:color w:val="auto"/>
        </w:rPr>
      </w:pPr>
      <w:r w:rsidRPr="004415AE">
        <w:rPr>
          <w:color w:val="auto"/>
        </w:rPr>
        <w:t>Develop and disseminate a resource guide of evidence-based practices that increase access to the general curriculum and support students, including students with intellectual and developmental disabilities, to fully participate with peers without disabilities in inclusive settings. Develop and disseminate guidance for teacher preparation programs emphasizing the development of general and special educator competencies for delivering collaborative instruction and assessment for all students, including students with disabilities. Include in teacher and administrator preparation programs knowledge and exemplars to increase school capacity to provide schoolwide positive academic and behavior support structures, including a positive and preventive approach to problem behavior.</w:t>
      </w:r>
      <w:commentRangeEnd w:id="160"/>
    </w:p>
    <w:p w14:paraId="5BF050A9" w14:textId="77777777" w:rsidR="004415AE" w:rsidRPr="004415AE" w:rsidRDefault="00FC0E68" w:rsidP="004415AE">
      <w:pPr>
        <w:pStyle w:val="NCDNumberedLevel1"/>
        <w:numPr>
          <w:ilvl w:val="0"/>
          <w:numId w:val="0"/>
        </w:numPr>
        <w:spacing w:after="0" w:line="240" w:lineRule="auto"/>
        <w:ind w:left="360"/>
        <w:rPr>
          <w:sz w:val="4"/>
          <w:szCs w:val="4"/>
        </w:rPr>
      </w:pPr>
      <w:r w:rsidRPr="00413003">
        <w:rPr>
          <w:rStyle w:val="CommentReference"/>
          <w:color w:val="auto"/>
        </w:rPr>
        <w:commentReference w:id="160"/>
      </w:r>
    </w:p>
    <w:p w14:paraId="6E2A759D" w14:textId="77777777" w:rsidR="00F5621B" w:rsidRPr="004415AE" w:rsidRDefault="00F5621B" w:rsidP="004415AE">
      <w:pPr>
        <w:pStyle w:val="NCDNumberedLevel1"/>
        <w:spacing w:before="200"/>
      </w:pPr>
      <w:r w:rsidRPr="004415AE">
        <w:lastRenderedPageBreak/>
        <w:t>Require funding for research grants (e.g., through IES) related to educating students with disabilities be conducted in general education settings and address improved outcomes in inclusive environments.</w:t>
      </w:r>
    </w:p>
    <w:p w14:paraId="564115DA" w14:textId="584F4F13" w:rsidR="001024F5" w:rsidRPr="00413003" w:rsidRDefault="00FC0E68">
      <w:pPr>
        <w:rPr>
          <w:rFonts w:ascii="Arial" w:hAnsi="Arial" w:cs="Arial"/>
          <w:b/>
          <w:sz w:val="36"/>
          <w:szCs w:val="32"/>
        </w:rPr>
      </w:pPr>
      <w:r w:rsidRPr="00413003">
        <w:br w:type="page"/>
      </w:r>
      <w:bookmarkStart w:id="161" w:name="_Toc499117010"/>
    </w:p>
    <w:p w14:paraId="208B91DE" w14:textId="49C99AB6" w:rsidR="00FC0E68" w:rsidRPr="00413003" w:rsidRDefault="00FC0E68" w:rsidP="001024F5">
      <w:pPr>
        <w:pStyle w:val="Heading1"/>
      </w:pPr>
      <w:bookmarkStart w:id="162" w:name="_Toc500433988"/>
      <w:r w:rsidRPr="00413003">
        <w:lastRenderedPageBreak/>
        <w:t>APPENDIX</w:t>
      </w:r>
      <w:bookmarkStart w:id="163" w:name="_Toc499117011"/>
      <w:bookmarkEnd w:id="161"/>
      <w:r w:rsidR="001024F5" w:rsidRPr="00413003">
        <w:br/>
      </w:r>
      <w:r w:rsidRPr="00413003" w:rsidDel="001374F4">
        <w:t>National and State Placement Practices</w:t>
      </w:r>
      <w:bookmarkEnd w:id="162"/>
      <w:bookmarkEnd w:id="163"/>
    </w:p>
    <w:p w14:paraId="161C5872" w14:textId="77777777" w:rsidR="00FC0E68" w:rsidRPr="00413003" w:rsidRDefault="00FC0E68" w:rsidP="001024F5">
      <w:pPr>
        <w:pStyle w:val="NCDBodyText"/>
        <w:rPr>
          <w:b/>
          <w:color w:val="auto"/>
        </w:rPr>
      </w:pPr>
      <w:r w:rsidRPr="00413003">
        <w:rPr>
          <w:b/>
          <w:color w:val="auto"/>
        </w:rPr>
        <w:t>Table 1</w:t>
      </w:r>
    </w:p>
    <w:p w14:paraId="50F5677E" w14:textId="204AC8A4" w:rsidR="00FC0E68" w:rsidRPr="00413003" w:rsidRDefault="00FC0E68" w:rsidP="001024F5">
      <w:pPr>
        <w:pStyle w:val="NCDBodyText"/>
        <w:rPr>
          <w:rFonts w:eastAsia="Times New Roman"/>
          <w:b/>
          <w:bCs/>
          <w:color w:val="auto"/>
        </w:rPr>
      </w:pPr>
      <w:r w:rsidRPr="00413003">
        <w:rPr>
          <w:rFonts w:eastAsia="Times New Roman"/>
          <w:b/>
          <w:bCs/>
          <w:color w:val="auto"/>
        </w:rPr>
        <w:t xml:space="preserve">Percent of Students Ages 6 </w:t>
      </w:r>
      <w:r w:rsidR="00742193" w:rsidRPr="00413003">
        <w:rPr>
          <w:rFonts w:eastAsia="Times New Roman"/>
          <w:b/>
          <w:bCs/>
          <w:color w:val="auto"/>
        </w:rPr>
        <w:t xml:space="preserve">through </w:t>
      </w:r>
      <w:r w:rsidRPr="00413003">
        <w:rPr>
          <w:rFonts w:eastAsia="Times New Roman"/>
          <w:b/>
          <w:bCs/>
          <w:color w:val="auto"/>
        </w:rPr>
        <w:t>21 Served Under IDEA, Part B, by Educational Environment and State: 2015–2016</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Caption w:val="Percent of Students Ages 6 Through 21 Served Under IDEA, Part B, "/>
      </w:tblPr>
      <w:tblGrid>
        <w:gridCol w:w="2880"/>
        <w:gridCol w:w="1642"/>
        <w:gridCol w:w="1643"/>
        <w:gridCol w:w="1642"/>
        <w:gridCol w:w="1643"/>
      </w:tblGrid>
      <w:tr w:rsidR="00CE54D7" w:rsidRPr="00413003" w14:paraId="5D3B4367" w14:textId="77777777" w:rsidTr="001024F5">
        <w:trPr>
          <w:trHeight w:val="765"/>
          <w:tblHeader/>
        </w:trPr>
        <w:tc>
          <w:tcPr>
            <w:tcW w:w="2880" w:type="dxa"/>
            <w:shd w:val="clear" w:color="auto" w:fill="auto"/>
            <w:noWrap/>
            <w:hideMark/>
          </w:tcPr>
          <w:p w14:paraId="71902B2E" w14:textId="77777777" w:rsidR="001024F5" w:rsidRPr="00413003" w:rsidRDefault="001024F5" w:rsidP="00FC0E68">
            <w:pPr>
              <w:rPr>
                <w:rFonts w:ascii="Arial" w:eastAsia="Times New Roman" w:hAnsi="Arial" w:cs="Arial"/>
                <w:b/>
                <w:bCs/>
                <w:sz w:val="24"/>
                <w:szCs w:val="24"/>
              </w:rPr>
            </w:pPr>
            <w:r w:rsidRPr="00413003">
              <w:rPr>
                <w:rFonts w:ascii="Arial" w:eastAsia="Times New Roman" w:hAnsi="Arial" w:cs="Arial"/>
                <w:b/>
                <w:bCs/>
                <w:sz w:val="24"/>
                <w:szCs w:val="24"/>
              </w:rPr>
              <w:t>State</w:t>
            </w:r>
          </w:p>
        </w:tc>
        <w:tc>
          <w:tcPr>
            <w:tcW w:w="1642" w:type="dxa"/>
            <w:shd w:val="clear" w:color="000000" w:fill="DDEBF7"/>
            <w:hideMark/>
          </w:tcPr>
          <w:p w14:paraId="42D57ED1" w14:textId="77777777" w:rsidR="001024F5" w:rsidRPr="00413003" w:rsidRDefault="001024F5" w:rsidP="00FC0E68">
            <w:pPr>
              <w:jc w:val="center"/>
              <w:rPr>
                <w:rFonts w:ascii="Arial" w:eastAsia="Times New Roman" w:hAnsi="Arial" w:cs="Arial"/>
                <w:b/>
                <w:bCs/>
                <w:sz w:val="24"/>
                <w:szCs w:val="24"/>
              </w:rPr>
            </w:pPr>
            <w:r w:rsidRPr="00413003">
              <w:rPr>
                <w:rFonts w:ascii="Arial" w:eastAsia="Times New Roman" w:hAnsi="Arial" w:cs="Arial"/>
                <w:b/>
                <w:bCs/>
                <w:sz w:val="24"/>
                <w:szCs w:val="24"/>
              </w:rPr>
              <w:t>Inside Regular Class 80% or More of the Day (%)</w:t>
            </w:r>
          </w:p>
        </w:tc>
        <w:tc>
          <w:tcPr>
            <w:tcW w:w="1643" w:type="dxa"/>
            <w:shd w:val="clear" w:color="000000" w:fill="FFF2CC"/>
            <w:hideMark/>
          </w:tcPr>
          <w:p w14:paraId="136F028D" w14:textId="77777777" w:rsidR="001024F5" w:rsidRPr="00413003" w:rsidRDefault="001024F5" w:rsidP="00FC0E68">
            <w:pPr>
              <w:jc w:val="center"/>
              <w:rPr>
                <w:rFonts w:ascii="Arial" w:eastAsia="Times New Roman" w:hAnsi="Arial" w:cs="Arial"/>
                <w:b/>
                <w:bCs/>
                <w:sz w:val="24"/>
                <w:szCs w:val="24"/>
              </w:rPr>
            </w:pPr>
            <w:r w:rsidRPr="00413003">
              <w:rPr>
                <w:rFonts w:ascii="Arial" w:eastAsia="Times New Roman" w:hAnsi="Arial" w:cs="Arial"/>
                <w:b/>
                <w:bCs/>
                <w:sz w:val="24"/>
                <w:szCs w:val="24"/>
              </w:rPr>
              <w:t>Inside Regular Class 40% through 79% of the Day (%)</w:t>
            </w:r>
          </w:p>
        </w:tc>
        <w:tc>
          <w:tcPr>
            <w:tcW w:w="1642" w:type="dxa"/>
            <w:shd w:val="clear" w:color="000000" w:fill="FFF2CC"/>
            <w:hideMark/>
          </w:tcPr>
          <w:p w14:paraId="24C1A0E8" w14:textId="77777777" w:rsidR="001024F5" w:rsidRPr="00413003" w:rsidRDefault="001024F5" w:rsidP="00FC0E68">
            <w:pPr>
              <w:jc w:val="center"/>
              <w:rPr>
                <w:rFonts w:ascii="Arial" w:eastAsia="Times New Roman" w:hAnsi="Arial" w:cs="Arial"/>
                <w:b/>
                <w:bCs/>
                <w:sz w:val="24"/>
                <w:szCs w:val="24"/>
              </w:rPr>
            </w:pPr>
            <w:r w:rsidRPr="00413003">
              <w:rPr>
                <w:rFonts w:ascii="Arial" w:eastAsia="Times New Roman" w:hAnsi="Arial" w:cs="Arial"/>
                <w:b/>
                <w:bCs/>
                <w:sz w:val="24"/>
                <w:szCs w:val="24"/>
              </w:rPr>
              <w:t>Inside Regular Class Less than 40% of the Day (%)</w:t>
            </w:r>
          </w:p>
        </w:tc>
        <w:tc>
          <w:tcPr>
            <w:tcW w:w="1643" w:type="dxa"/>
            <w:shd w:val="clear" w:color="000000" w:fill="FFC3D1"/>
            <w:hideMark/>
          </w:tcPr>
          <w:p w14:paraId="3346BB46" w14:textId="77777777" w:rsidR="001024F5" w:rsidRPr="00413003" w:rsidRDefault="001024F5" w:rsidP="00FC0E68">
            <w:pPr>
              <w:rPr>
                <w:rFonts w:ascii="Arial" w:eastAsia="Times New Roman" w:hAnsi="Arial" w:cs="Arial"/>
                <w:b/>
                <w:bCs/>
                <w:sz w:val="24"/>
                <w:szCs w:val="24"/>
              </w:rPr>
            </w:pPr>
            <w:r w:rsidRPr="00413003">
              <w:rPr>
                <w:rFonts w:ascii="Arial" w:eastAsia="Times New Roman" w:hAnsi="Arial" w:cs="Arial"/>
                <w:b/>
                <w:bCs/>
                <w:sz w:val="24"/>
                <w:szCs w:val="24"/>
              </w:rPr>
              <w:t>Separate School or Residential Facility (%)</w:t>
            </w:r>
          </w:p>
        </w:tc>
      </w:tr>
      <w:tr w:rsidR="00CE54D7" w:rsidRPr="00413003" w14:paraId="0608673B" w14:textId="77777777" w:rsidTr="001024F5">
        <w:trPr>
          <w:trHeight w:val="255"/>
        </w:trPr>
        <w:tc>
          <w:tcPr>
            <w:tcW w:w="2880" w:type="dxa"/>
            <w:shd w:val="clear" w:color="D9D9D9" w:fill="D9D9D9"/>
            <w:noWrap/>
            <w:hideMark/>
          </w:tcPr>
          <w:p w14:paraId="4595ABDF"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Hawaii</w:t>
            </w:r>
          </w:p>
        </w:tc>
        <w:tc>
          <w:tcPr>
            <w:tcW w:w="1642" w:type="dxa"/>
            <w:shd w:val="clear" w:color="D9D9D9" w:fill="D9D9D9"/>
            <w:hideMark/>
          </w:tcPr>
          <w:p w14:paraId="19EF619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36.83</w:t>
            </w:r>
          </w:p>
        </w:tc>
        <w:tc>
          <w:tcPr>
            <w:tcW w:w="1643" w:type="dxa"/>
            <w:shd w:val="clear" w:color="D9D9D9" w:fill="D9D9D9"/>
            <w:hideMark/>
          </w:tcPr>
          <w:p w14:paraId="0F8037C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41.32</w:t>
            </w:r>
          </w:p>
        </w:tc>
        <w:tc>
          <w:tcPr>
            <w:tcW w:w="1642" w:type="dxa"/>
            <w:shd w:val="clear" w:color="D9D9D9" w:fill="D9D9D9"/>
            <w:hideMark/>
          </w:tcPr>
          <w:p w14:paraId="44E77C5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20.24</w:t>
            </w:r>
          </w:p>
        </w:tc>
        <w:tc>
          <w:tcPr>
            <w:tcW w:w="1643" w:type="dxa"/>
            <w:shd w:val="clear" w:color="D9D9D9" w:fill="D9D9D9"/>
            <w:hideMark/>
          </w:tcPr>
          <w:p w14:paraId="7F9918C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0.84</w:t>
            </w:r>
          </w:p>
        </w:tc>
      </w:tr>
      <w:tr w:rsidR="00CE54D7" w:rsidRPr="00413003" w14:paraId="63174EC1" w14:textId="77777777" w:rsidTr="001024F5">
        <w:trPr>
          <w:trHeight w:val="255"/>
        </w:trPr>
        <w:tc>
          <w:tcPr>
            <w:tcW w:w="2880" w:type="dxa"/>
            <w:shd w:val="clear" w:color="auto" w:fill="auto"/>
            <w:noWrap/>
            <w:hideMark/>
          </w:tcPr>
          <w:p w14:paraId="0B6D020D"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Guam</w:t>
            </w:r>
          </w:p>
        </w:tc>
        <w:tc>
          <w:tcPr>
            <w:tcW w:w="1642" w:type="dxa"/>
            <w:shd w:val="clear" w:color="auto" w:fill="auto"/>
            <w:hideMark/>
          </w:tcPr>
          <w:p w14:paraId="6FF4685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45.23</w:t>
            </w:r>
          </w:p>
        </w:tc>
        <w:tc>
          <w:tcPr>
            <w:tcW w:w="1643" w:type="dxa"/>
            <w:shd w:val="clear" w:color="auto" w:fill="auto"/>
            <w:hideMark/>
          </w:tcPr>
          <w:p w14:paraId="0E54A81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45.18</w:t>
            </w:r>
          </w:p>
        </w:tc>
        <w:tc>
          <w:tcPr>
            <w:tcW w:w="1642" w:type="dxa"/>
            <w:shd w:val="clear" w:color="auto" w:fill="auto"/>
            <w:hideMark/>
          </w:tcPr>
          <w:p w14:paraId="60C1D21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5.81</w:t>
            </w:r>
          </w:p>
        </w:tc>
        <w:tc>
          <w:tcPr>
            <w:tcW w:w="1643" w:type="dxa"/>
            <w:shd w:val="clear" w:color="auto" w:fill="auto"/>
            <w:hideMark/>
          </w:tcPr>
          <w:p w14:paraId="06A4FA9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0.00</w:t>
            </w:r>
          </w:p>
        </w:tc>
      </w:tr>
      <w:tr w:rsidR="00CE54D7" w:rsidRPr="00413003" w14:paraId="43479D86" w14:textId="77777777" w:rsidTr="001024F5">
        <w:trPr>
          <w:trHeight w:val="255"/>
        </w:trPr>
        <w:tc>
          <w:tcPr>
            <w:tcW w:w="2880" w:type="dxa"/>
            <w:shd w:val="clear" w:color="D9D9D9" w:fill="D9D9D9"/>
            <w:noWrap/>
            <w:hideMark/>
          </w:tcPr>
          <w:p w14:paraId="10352279"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New Jersey</w:t>
            </w:r>
          </w:p>
        </w:tc>
        <w:tc>
          <w:tcPr>
            <w:tcW w:w="1642" w:type="dxa"/>
            <w:shd w:val="clear" w:color="D9D9D9" w:fill="D9D9D9"/>
            <w:hideMark/>
          </w:tcPr>
          <w:p w14:paraId="6178460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45.99</w:t>
            </w:r>
          </w:p>
        </w:tc>
        <w:tc>
          <w:tcPr>
            <w:tcW w:w="1643" w:type="dxa"/>
            <w:shd w:val="clear" w:color="D9D9D9" w:fill="D9D9D9"/>
            <w:hideMark/>
          </w:tcPr>
          <w:p w14:paraId="5E249FF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27.30</w:t>
            </w:r>
          </w:p>
        </w:tc>
        <w:tc>
          <w:tcPr>
            <w:tcW w:w="1642" w:type="dxa"/>
            <w:shd w:val="clear" w:color="D9D9D9" w:fill="D9D9D9"/>
            <w:hideMark/>
          </w:tcPr>
          <w:p w14:paraId="3E18A90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14.72</w:t>
            </w:r>
          </w:p>
        </w:tc>
        <w:tc>
          <w:tcPr>
            <w:tcW w:w="1643" w:type="dxa"/>
            <w:shd w:val="clear" w:color="D9D9D9" w:fill="D9D9D9"/>
            <w:hideMark/>
          </w:tcPr>
          <w:p w14:paraId="53187E0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7.19</w:t>
            </w:r>
          </w:p>
        </w:tc>
      </w:tr>
      <w:tr w:rsidR="00CE54D7" w:rsidRPr="00413003" w14:paraId="7E0704EA" w14:textId="77777777" w:rsidTr="001024F5">
        <w:trPr>
          <w:trHeight w:val="255"/>
        </w:trPr>
        <w:tc>
          <w:tcPr>
            <w:tcW w:w="2880" w:type="dxa"/>
            <w:shd w:val="clear" w:color="auto" w:fill="auto"/>
            <w:noWrap/>
            <w:hideMark/>
          </w:tcPr>
          <w:p w14:paraId="2D72FC17"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Montana</w:t>
            </w:r>
          </w:p>
        </w:tc>
        <w:tc>
          <w:tcPr>
            <w:tcW w:w="1642" w:type="dxa"/>
            <w:shd w:val="clear" w:color="auto" w:fill="auto"/>
            <w:hideMark/>
          </w:tcPr>
          <w:p w14:paraId="2F3DD31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46.96</w:t>
            </w:r>
          </w:p>
        </w:tc>
        <w:tc>
          <w:tcPr>
            <w:tcW w:w="1643" w:type="dxa"/>
            <w:shd w:val="clear" w:color="auto" w:fill="auto"/>
            <w:hideMark/>
          </w:tcPr>
          <w:p w14:paraId="71D850A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38.83</w:t>
            </w:r>
          </w:p>
        </w:tc>
        <w:tc>
          <w:tcPr>
            <w:tcW w:w="1642" w:type="dxa"/>
            <w:shd w:val="clear" w:color="auto" w:fill="auto"/>
            <w:hideMark/>
          </w:tcPr>
          <w:p w14:paraId="129A159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12.02</w:t>
            </w:r>
          </w:p>
        </w:tc>
        <w:tc>
          <w:tcPr>
            <w:tcW w:w="1643" w:type="dxa"/>
            <w:shd w:val="clear" w:color="auto" w:fill="auto"/>
            <w:hideMark/>
          </w:tcPr>
          <w:p w14:paraId="3C3A36D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1.29</w:t>
            </w:r>
          </w:p>
        </w:tc>
      </w:tr>
      <w:tr w:rsidR="00CE54D7" w:rsidRPr="00413003" w14:paraId="4F9ACDF0" w14:textId="77777777" w:rsidTr="001024F5">
        <w:trPr>
          <w:trHeight w:val="255"/>
        </w:trPr>
        <w:tc>
          <w:tcPr>
            <w:tcW w:w="2880" w:type="dxa"/>
            <w:shd w:val="clear" w:color="D9D9D9" w:fill="D9D9D9"/>
            <w:noWrap/>
            <w:hideMark/>
          </w:tcPr>
          <w:p w14:paraId="6E548150"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New Mexico</w:t>
            </w:r>
          </w:p>
        </w:tc>
        <w:tc>
          <w:tcPr>
            <w:tcW w:w="1642" w:type="dxa"/>
            <w:shd w:val="clear" w:color="D9D9D9" w:fill="D9D9D9"/>
            <w:hideMark/>
          </w:tcPr>
          <w:p w14:paraId="3AF1C11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49.80</w:t>
            </w:r>
          </w:p>
        </w:tc>
        <w:tc>
          <w:tcPr>
            <w:tcW w:w="1643" w:type="dxa"/>
            <w:shd w:val="clear" w:color="D9D9D9" w:fill="D9D9D9"/>
            <w:hideMark/>
          </w:tcPr>
          <w:p w14:paraId="67895FE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29.44</w:t>
            </w:r>
          </w:p>
        </w:tc>
        <w:tc>
          <w:tcPr>
            <w:tcW w:w="1642" w:type="dxa"/>
            <w:shd w:val="clear" w:color="D9D9D9" w:fill="D9D9D9"/>
            <w:hideMark/>
          </w:tcPr>
          <w:p w14:paraId="1C3104E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19.19</w:t>
            </w:r>
          </w:p>
        </w:tc>
        <w:tc>
          <w:tcPr>
            <w:tcW w:w="1643" w:type="dxa"/>
            <w:shd w:val="clear" w:color="D9D9D9" w:fill="D9D9D9"/>
            <w:hideMark/>
          </w:tcPr>
          <w:p w14:paraId="1F94C4B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0.75</w:t>
            </w:r>
          </w:p>
        </w:tc>
      </w:tr>
      <w:tr w:rsidR="00CE54D7" w:rsidRPr="00413003" w14:paraId="22ACD707" w14:textId="77777777" w:rsidTr="001024F5">
        <w:trPr>
          <w:trHeight w:val="255"/>
        </w:trPr>
        <w:tc>
          <w:tcPr>
            <w:tcW w:w="2880" w:type="dxa"/>
            <w:shd w:val="clear" w:color="auto" w:fill="auto"/>
            <w:noWrap/>
            <w:hideMark/>
          </w:tcPr>
          <w:p w14:paraId="00DB5738"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Illinois</w:t>
            </w:r>
          </w:p>
        </w:tc>
        <w:tc>
          <w:tcPr>
            <w:tcW w:w="1642" w:type="dxa"/>
            <w:shd w:val="clear" w:color="auto" w:fill="auto"/>
            <w:hideMark/>
          </w:tcPr>
          <w:p w14:paraId="79ADA97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52.65</w:t>
            </w:r>
          </w:p>
        </w:tc>
        <w:tc>
          <w:tcPr>
            <w:tcW w:w="1643" w:type="dxa"/>
            <w:shd w:val="clear" w:color="auto" w:fill="auto"/>
            <w:hideMark/>
          </w:tcPr>
          <w:p w14:paraId="164AA42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26.22</w:t>
            </w:r>
          </w:p>
        </w:tc>
        <w:tc>
          <w:tcPr>
            <w:tcW w:w="1642" w:type="dxa"/>
            <w:shd w:val="clear" w:color="auto" w:fill="auto"/>
            <w:hideMark/>
          </w:tcPr>
          <w:p w14:paraId="488754E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13.29</w:t>
            </w:r>
          </w:p>
        </w:tc>
        <w:tc>
          <w:tcPr>
            <w:tcW w:w="1643" w:type="dxa"/>
            <w:shd w:val="clear" w:color="auto" w:fill="auto"/>
            <w:hideMark/>
          </w:tcPr>
          <w:p w14:paraId="0AD06C9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6.04</w:t>
            </w:r>
          </w:p>
        </w:tc>
      </w:tr>
      <w:tr w:rsidR="00CE54D7" w:rsidRPr="00413003" w14:paraId="1B4EB51B" w14:textId="77777777" w:rsidTr="001024F5">
        <w:trPr>
          <w:trHeight w:val="255"/>
        </w:trPr>
        <w:tc>
          <w:tcPr>
            <w:tcW w:w="2880" w:type="dxa"/>
            <w:shd w:val="clear" w:color="D9D9D9" w:fill="D9D9D9"/>
            <w:noWrap/>
            <w:hideMark/>
          </w:tcPr>
          <w:p w14:paraId="5BC1DA45"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Arkansas</w:t>
            </w:r>
          </w:p>
        </w:tc>
        <w:tc>
          <w:tcPr>
            <w:tcW w:w="1642" w:type="dxa"/>
            <w:shd w:val="clear" w:color="D9D9D9" w:fill="D9D9D9"/>
            <w:hideMark/>
          </w:tcPr>
          <w:p w14:paraId="36DF61C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52.68</w:t>
            </w:r>
          </w:p>
        </w:tc>
        <w:tc>
          <w:tcPr>
            <w:tcW w:w="1643" w:type="dxa"/>
            <w:shd w:val="clear" w:color="D9D9D9" w:fill="D9D9D9"/>
            <w:hideMark/>
          </w:tcPr>
          <w:p w14:paraId="32B711E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30.67</w:t>
            </w:r>
          </w:p>
        </w:tc>
        <w:tc>
          <w:tcPr>
            <w:tcW w:w="1642" w:type="dxa"/>
            <w:shd w:val="clear" w:color="D9D9D9" w:fill="D9D9D9"/>
            <w:hideMark/>
          </w:tcPr>
          <w:p w14:paraId="343648A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13.55</w:t>
            </w:r>
          </w:p>
        </w:tc>
        <w:tc>
          <w:tcPr>
            <w:tcW w:w="1643" w:type="dxa"/>
            <w:shd w:val="clear" w:color="D9D9D9" w:fill="D9D9D9"/>
            <w:hideMark/>
          </w:tcPr>
          <w:p w14:paraId="218EB71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1.84</w:t>
            </w:r>
          </w:p>
        </w:tc>
      </w:tr>
      <w:tr w:rsidR="00CE54D7" w:rsidRPr="00413003" w14:paraId="6627168F" w14:textId="77777777" w:rsidTr="001024F5">
        <w:trPr>
          <w:trHeight w:val="255"/>
        </w:trPr>
        <w:tc>
          <w:tcPr>
            <w:tcW w:w="2880" w:type="dxa"/>
            <w:shd w:val="clear" w:color="auto" w:fill="auto"/>
            <w:noWrap/>
            <w:hideMark/>
          </w:tcPr>
          <w:p w14:paraId="35869424"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California</w:t>
            </w:r>
          </w:p>
        </w:tc>
        <w:tc>
          <w:tcPr>
            <w:tcW w:w="1642" w:type="dxa"/>
            <w:shd w:val="clear" w:color="auto" w:fill="auto"/>
            <w:hideMark/>
          </w:tcPr>
          <w:p w14:paraId="06EDFFE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54.07</w:t>
            </w:r>
          </w:p>
        </w:tc>
        <w:tc>
          <w:tcPr>
            <w:tcW w:w="1643" w:type="dxa"/>
            <w:shd w:val="clear" w:color="auto" w:fill="auto"/>
            <w:hideMark/>
          </w:tcPr>
          <w:p w14:paraId="737FC83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20.05</w:t>
            </w:r>
          </w:p>
        </w:tc>
        <w:tc>
          <w:tcPr>
            <w:tcW w:w="1642" w:type="dxa"/>
            <w:shd w:val="clear" w:color="auto" w:fill="auto"/>
            <w:hideMark/>
          </w:tcPr>
          <w:p w14:paraId="0830CAC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21.54</w:t>
            </w:r>
          </w:p>
        </w:tc>
        <w:tc>
          <w:tcPr>
            <w:tcW w:w="1643" w:type="dxa"/>
            <w:shd w:val="clear" w:color="auto" w:fill="auto"/>
            <w:hideMark/>
          </w:tcPr>
          <w:p w14:paraId="52DF5A2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3.31</w:t>
            </w:r>
          </w:p>
        </w:tc>
      </w:tr>
      <w:tr w:rsidR="00CE54D7" w:rsidRPr="00413003" w14:paraId="23EA5D65" w14:textId="77777777" w:rsidTr="001024F5">
        <w:trPr>
          <w:trHeight w:val="255"/>
        </w:trPr>
        <w:tc>
          <w:tcPr>
            <w:tcW w:w="2880" w:type="dxa"/>
            <w:shd w:val="clear" w:color="D9D9D9" w:fill="D9D9D9"/>
            <w:noWrap/>
            <w:hideMark/>
          </w:tcPr>
          <w:p w14:paraId="049952E8"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Washington</w:t>
            </w:r>
          </w:p>
        </w:tc>
        <w:tc>
          <w:tcPr>
            <w:tcW w:w="1642" w:type="dxa"/>
            <w:shd w:val="clear" w:color="D9D9D9" w:fill="D9D9D9"/>
            <w:hideMark/>
          </w:tcPr>
          <w:p w14:paraId="090E316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54.35</w:t>
            </w:r>
          </w:p>
        </w:tc>
        <w:tc>
          <w:tcPr>
            <w:tcW w:w="1643" w:type="dxa"/>
            <w:shd w:val="clear" w:color="D9D9D9" w:fill="D9D9D9"/>
            <w:hideMark/>
          </w:tcPr>
          <w:p w14:paraId="008ADD5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31.06</w:t>
            </w:r>
          </w:p>
        </w:tc>
        <w:tc>
          <w:tcPr>
            <w:tcW w:w="1642" w:type="dxa"/>
            <w:shd w:val="clear" w:color="D9D9D9" w:fill="D9D9D9"/>
            <w:hideMark/>
          </w:tcPr>
          <w:p w14:paraId="6A5A3C0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13.24</w:t>
            </w:r>
          </w:p>
        </w:tc>
        <w:tc>
          <w:tcPr>
            <w:tcW w:w="1643" w:type="dxa"/>
            <w:shd w:val="clear" w:color="D9D9D9" w:fill="D9D9D9"/>
            <w:hideMark/>
          </w:tcPr>
          <w:p w14:paraId="22BDC83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0.73</w:t>
            </w:r>
          </w:p>
        </w:tc>
      </w:tr>
      <w:tr w:rsidR="00CE54D7" w:rsidRPr="00413003" w14:paraId="4B2C4901" w14:textId="77777777" w:rsidTr="001024F5">
        <w:trPr>
          <w:trHeight w:val="255"/>
        </w:trPr>
        <w:tc>
          <w:tcPr>
            <w:tcW w:w="2880" w:type="dxa"/>
            <w:shd w:val="clear" w:color="auto" w:fill="auto"/>
            <w:noWrap/>
            <w:hideMark/>
          </w:tcPr>
          <w:p w14:paraId="710DBF75"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Virgin Islands</w:t>
            </w:r>
          </w:p>
        </w:tc>
        <w:tc>
          <w:tcPr>
            <w:tcW w:w="1642" w:type="dxa"/>
            <w:shd w:val="clear" w:color="auto" w:fill="auto"/>
            <w:hideMark/>
          </w:tcPr>
          <w:p w14:paraId="3776EE8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54.42</w:t>
            </w:r>
          </w:p>
        </w:tc>
        <w:tc>
          <w:tcPr>
            <w:tcW w:w="1643" w:type="dxa"/>
            <w:shd w:val="clear" w:color="auto" w:fill="auto"/>
            <w:hideMark/>
          </w:tcPr>
          <w:p w14:paraId="68AA8B9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22.70</w:t>
            </w:r>
          </w:p>
        </w:tc>
        <w:tc>
          <w:tcPr>
            <w:tcW w:w="1642" w:type="dxa"/>
            <w:shd w:val="clear" w:color="auto" w:fill="auto"/>
            <w:hideMark/>
          </w:tcPr>
          <w:p w14:paraId="71B9D6B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17.40</w:t>
            </w:r>
          </w:p>
        </w:tc>
        <w:tc>
          <w:tcPr>
            <w:tcW w:w="1643" w:type="dxa"/>
            <w:shd w:val="clear" w:color="auto" w:fill="auto"/>
            <w:hideMark/>
          </w:tcPr>
          <w:p w14:paraId="016E8FB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3.53</w:t>
            </w:r>
          </w:p>
        </w:tc>
      </w:tr>
      <w:tr w:rsidR="00CE54D7" w:rsidRPr="00413003" w14:paraId="5E1103D0" w14:textId="77777777" w:rsidTr="001024F5">
        <w:trPr>
          <w:trHeight w:val="255"/>
        </w:trPr>
        <w:tc>
          <w:tcPr>
            <w:tcW w:w="2880" w:type="dxa"/>
            <w:shd w:val="clear" w:color="D9D9D9" w:fill="D9D9D9"/>
            <w:noWrap/>
            <w:hideMark/>
          </w:tcPr>
          <w:p w14:paraId="7CF984F9"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District of Columbia</w:t>
            </w:r>
          </w:p>
        </w:tc>
        <w:tc>
          <w:tcPr>
            <w:tcW w:w="1642" w:type="dxa"/>
            <w:shd w:val="clear" w:color="D9D9D9" w:fill="D9D9D9"/>
            <w:hideMark/>
          </w:tcPr>
          <w:p w14:paraId="0B6F4DF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55.49</w:t>
            </w:r>
          </w:p>
        </w:tc>
        <w:tc>
          <w:tcPr>
            <w:tcW w:w="1643" w:type="dxa"/>
            <w:shd w:val="clear" w:color="D9D9D9" w:fill="D9D9D9"/>
            <w:hideMark/>
          </w:tcPr>
          <w:p w14:paraId="480E491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16.54</w:t>
            </w:r>
          </w:p>
        </w:tc>
        <w:tc>
          <w:tcPr>
            <w:tcW w:w="1642" w:type="dxa"/>
            <w:shd w:val="clear" w:color="D9D9D9" w:fill="D9D9D9"/>
            <w:hideMark/>
          </w:tcPr>
          <w:p w14:paraId="671764E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17.34</w:t>
            </w:r>
          </w:p>
        </w:tc>
        <w:tc>
          <w:tcPr>
            <w:tcW w:w="1643" w:type="dxa"/>
            <w:shd w:val="clear" w:color="D9D9D9" w:fill="D9D9D9"/>
            <w:hideMark/>
          </w:tcPr>
          <w:p w14:paraId="0785DDF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9.98</w:t>
            </w:r>
          </w:p>
        </w:tc>
      </w:tr>
      <w:tr w:rsidR="00CE54D7" w:rsidRPr="00413003" w14:paraId="390A3BE0" w14:textId="77777777" w:rsidTr="001024F5">
        <w:trPr>
          <w:trHeight w:val="255"/>
        </w:trPr>
        <w:tc>
          <w:tcPr>
            <w:tcW w:w="2880" w:type="dxa"/>
            <w:shd w:val="clear" w:color="auto" w:fill="auto"/>
            <w:noWrap/>
            <w:hideMark/>
          </w:tcPr>
          <w:p w14:paraId="4DCC3248"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Maine</w:t>
            </w:r>
          </w:p>
        </w:tc>
        <w:tc>
          <w:tcPr>
            <w:tcW w:w="1642" w:type="dxa"/>
            <w:shd w:val="clear" w:color="auto" w:fill="auto"/>
            <w:hideMark/>
          </w:tcPr>
          <w:p w14:paraId="2DB1C75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56.69</w:t>
            </w:r>
          </w:p>
        </w:tc>
        <w:tc>
          <w:tcPr>
            <w:tcW w:w="1643" w:type="dxa"/>
            <w:shd w:val="clear" w:color="auto" w:fill="auto"/>
            <w:hideMark/>
          </w:tcPr>
          <w:p w14:paraId="1838ACD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29.25</w:t>
            </w:r>
          </w:p>
        </w:tc>
        <w:tc>
          <w:tcPr>
            <w:tcW w:w="1642" w:type="dxa"/>
            <w:shd w:val="clear" w:color="auto" w:fill="auto"/>
            <w:hideMark/>
          </w:tcPr>
          <w:p w14:paraId="514ABCD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10.78</w:t>
            </w:r>
          </w:p>
        </w:tc>
        <w:tc>
          <w:tcPr>
            <w:tcW w:w="1643" w:type="dxa"/>
            <w:shd w:val="clear" w:color="auto" w:fill="auto"/>
            <w:hideMark/>
          </w:tcPr>
          <w:p w14:paraId="3B3A978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3.04</w:t>
            </w:r>
          </w:p>
        </w:tc>
      </w:tr>
      <w:tr w:rsidR="00CE54D7" w:rsidRPr="00413003" w14:paraId="28596BA7" w14:textId="77777777" w:rsidTr="001024F5">
        <w:trPr>
          <w:trHeight w:val="255"/>
        </w:trPr>
        <w:tc>
          <w:tcPr>
            <w:tcW w:w="2880" w:type="dxa"/>
            <w:shd w:val="clear" w:color="D9D9D9" w:fill="D9D9D9"/>
            <w:noWrap/>
            <w:hideMark/>
          </w:tcPr>
          <w:p w14:paraId="58A7E3E1"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Missouri</w:t>
            </w:r>
          </w:p>
        </w:tc>
        <w:tc>
          <w:tcPr>
            <w:tcW w:w="1642" w:type="dxa"/>
            <w:shd w:val="clear" w:color="D9D9D9" w:fill="D9D9D9"/>
            <w:hideMark/>
          </w:tcPr>
          <w:p w14:paraId="3BDE10F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57.59</w:t>
            </w:r>
          </w:p>
        </w:tc>
        <w:tc>
          <w:tcPr>
            <w:tcW w:w="1643" w:type="dxa"/>
            <w:shd w:val="clear" w:color="D9D9D9" w:fill="D9D9D9"/>
            <w:hideMark/>
          </w:tcPr>
          <w:p w14:paraId="513DD8F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27.65</w:t>
            </w:r>
          </w:p>
        </w:tc>
        <w:tc>
          <w:tcPr>
            <w:tcW w:w="1642" w:type="dxa"/>
            <w:shd w:val="clear" w:color="D9D9D9" w:fill="D9D9D9"/>
            <w:hideMark/>
          </w:tcPr>
          <w:p w14:paraId="4CB8E0D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8.76</w:t>
            </w:r>
          </w:p>
        </w:tc>
        <w:tc>
          <w:tcPr>
            <w:tcW w:w="1643" w:type="dxa"/>
            <w:shd w:val="clear" w:color="D9D9D9" w:fill="D9D9D9"/>
            <w:hideMark/>
          </w:tcPr>
          <w:p w14:paraId="6B961D3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3.05</w:t>
            </w:r>
          </w:p>
        </w:tc>
      </w:tr>
      <w:tr w:rsidR="00CE54D7" w:rsidRPr="00413003" w14:paraId="6D748121" w14:textId="77777777" w:rsidTr="001024F5">
        <w:trPr>
          <w:trHeight w:val="255"/>
        </w:trPr>
        <w:tc>
          <w:tcPr>
            <w:tcW w:w="2880" w:type="dxa"/>
            <w:shd w:val="clear" w:color="auto" w:fill="auto"/>
            <w:noWrap/>
            <w:hideMark/>
          </w:tcPr>
          <w:p w14:paraId="0983A6C9"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New York</w:t>
            </w:r>
          </w:p>
        </w:tc>
        <w:tc>
          <w:tcPr>
            <w:tcW w:w="1642" w:type="dxa"/>
            <w:shd w:val="clear" w:color="auto" w:fill="auto"/>
            <w:hideMark/>
          </w:tcPr>
          <w:p w14:paraId="1AA21A9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57.98</w:t>
            </w:r>
          </w:p>
        </w:tc>
        <w:tc>
          <w:tcPr>
            <w:tcW w:w="1643" w:type="dxa"/>
            <w:shd w:val="clear" w:color="auto" w:fill="auto"/>
            <w:hideMark/>
          </w:tcPr>
          <w:p w14:paraId="57E2640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11.60</w:t>
            </w:r>
          </w:p>
        </w:tc>
        <w:tc>
          <w:tcPr>
            <w:tcW w:w="1642" w:type="dxa"/>
            <w:shd w:val="clear" w:color="auto" w:fill="auto"/>
            <w:hideMark/>
          </w:tcPr>
          <w:p w14:paraId="2324263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19.82</w:t>
            </w:r>
          </w:p>
        </w:tc>
        <w:tc>
          <w:tcPr>
            <w:tcW w:w="1643" w:type="dxa"/>
            <w:shd w:val="clear" w:color="auto" w:fill="auto"/>
            <w:hideMark/>
          </w:tcPr>
          <w:p w14:paraId="3CDB561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5.14</w:t>
            </w:r>
          </w:p>
        </w:tc>
      </w:tr>
      <w:tr w:rsidR="00CE54D7" w:rsidRPr="00413003" w14:paraId="0ABAA9BF" w14:textId="77777777" w:rsidTr="001024F5">
        <w:trPr>
          <w:trHeight w:val="255"/>
        </w:trPr>
        <w:tc>
          <w:tcPr>
            <w:tcW w:w="2880" w:type="dxa"/>
            <w:shd w:val="clear" w:color="D9D9D9" w:fill="D9D9D9"/>
            <w:noWrap/>
            <w:hideMark/>
          </w:tcPr>
          <w:p w14:paraId="298AB471"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Republic of Palau</w:t>
            </w:r>
          </w:p>
        </w:tc>
        <w:tc>
          <w:tcPr>
            <w:tcW w:w="1642" w:type="dxa"/>
            <w:shd w:val="clear" w:color="D9D9D9" w:fill="D9D9D9"/>
            <w:hideMark/>
          </w:tcPr>
          <w:p w14:paraId="49392AA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58.24</w:t>
            </w:r>
          </w:p>
        </w:tc>
        <w:tc>
          <w:tcPr>
            <w:tcW w:w="1643" w:type="dxa"/>
            <w:shd w:val="clear" w:color="D9D9D9" w:fill="D9D9D9"/>
            <w:hideMark/>
          </w:tcPr>
          <w:p w14:paraId="3125BC6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26.37</w:t>
            </w:r>
          </w:p>
        </w:tc>
        <w:tc>
          <w:tcPr>
            <w:tcW w:w="1642" w:type="dxa"/>
            <w:shd w:val="clear" w:color="D9D9D9" w:fill="D9D9D9"/>
            <w:hideMark/>
          </w:tcPr>
          <w:p w14:paraId="0FB8B72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13.19</w:t>
            </w:r>
          </w:p>
        </w:tc>
        <w:tc>
          <w:tcPr>
            <w:tcW w:w="1643" w:type="dxa"/>
            <w:shd w:val="clear" w:color="D9D9D9" w:fill="D9D9D9"/>
            <w:hideMark/>
          </w:tcPr>
          <w:p w14:paraId="3C57D5F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0.00</w:t>
            </w:r>
          </w:p>
        </w:tc>
      </w:tr>
      <w:tr w:rsidR="00CE54D7" w:rsidRPr="00413003" w14:paraId="4F3CBBF0" w14:textId="77777777" w:rsidTr="001024F5">
        <w:trPr>
          <w:trHeight w:val="255"/>
        </w:trPr>
        <w:tc>
          <w:tcPr>
            <w:tcW w:w="2880" w:type="dxa"/>
            <w:shd w:val="clear" w:color="auto" w:fill="auto"/>
            <w:noWrap/>
            <w:hideMark/>
          </w:tcPr>
          <w:p w14:paraId="360EB22B"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Louisiana</w:t>
            </w:r>
          </w:p>
        </w:tc>
        <w:tc>
          <w:tcPr>
            <w:tcW w:w="1642" w:type="dxa"/>
            <w:shd w:val="clear" w:color="auto" w:fill="auto"/>
            <w:hideMark/>
          </w:tcPr>
          <w:p w14:paraId="6CD5F4C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59.67</w:t>
            </w:r>
          </w:p>
        </w:tc>
        <w:tc>
          <w:tcPr>
            <w:tcW w:w="1643" w:type="dxa"/>
            <w:shd w:val="clear" w:color="auto" w:fill="auto"/>
            <w:hideMark/>
          </w:tcPr>
          <w:p w14:paraId="671CA2B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21.85</w:t>
            </w:r>
          </w:p>
        </w:tc>
        <w:tc>
          <w:tcPr>
            <w:tcW w:w="1642" w:type="dxa"/>
            <w:shd w:val="clear" w:color="auto" w:fill="auto"/>
            <w:hideMark/>
          </w:tcPr>
          <w:p w14:paraId="509AAB9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13.91</w:t>
            </w:r>
          </w:p>
        </w:tc>
        <w:tc>
          <w:tcPr>
            <w:tcW w:w="1643" w:type="dxa"/>
            <w:shd w:val="clear" w:color="auto" w:fill="auto"/>
            <w:hideMark/>
          </w:tcPr>
          <w:p w14:paraId="58B544F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0.45</w:t>
            </w:r>
          </w:p>
        </w:tc>
      </w:tr>
      <w:tr w:rsidR="00CE54D7" w:rsidRPr="00413003" w14:paraId="0FDBEB55" w14:textId="77777777" w:rsidTr="001024F5">
        <w:trPr>
          <w:trHeight w:val="255"/>
        </w:trPr>
        <w:tc>
          <w:tcPr>
            <w:tcW w:w="2880" w:type="dxa"/>
            <w:shd w:val="clear" w:color="D9D9D9" w:fill="D9D9D9"/>
            <w:noWrap/>
            <w:hideMark/>
          </w:tcPr>
          <w:p w14:paraId="6802BEFA"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Utah</w:t>
            </w:r>
          </w:p>
        </w:tc>
        <w:tc>
          <w:tcPr>
            <w:tcW w:w="1642" w:type="dxa"/>
            <w:shd w:val="clear" w:color="D9D9D9" w:fill="D9D9D9"/>
            <w:hideMark/>
          </w:tcPr>
          <w:p w14:paraId="4C65600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60.45</w:t>
            </w:r>
          </w:p>
        </w:tc>
        <w:tc>
          <w:tcPr>
            <w:tcW w:w="1643" w:type="dxa"/>
            <w:shd w:val="clear" w:color="D9D9D9" w:fill="D9D9D9"/>
            <w:hideMark/>
          </w:tcPr>
          <w:p w14:paraId="6821B2E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25.58</w:t>
            </w:r>
          </w:p>
        </w:tc>
        <w:tc>
          <w:tcPr>
            <w:tcW w:w="1642" w:type="dxa"/>
            <w:shd w:val="clear" w:color="D9D9D9" w:fill="D9D9D9"/>
            <w:hideMark/>
          </w:tcPr>
          <w:p w14:paraId="6FD910E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11.37</w:t>
            </w:r>
          </w:p>
        </w:tc>
        <w:tc>
          <w:tcPr>
            <w:tcW w:w="1643" w:type="dxa"/>
            <w:shd w:val="clear" w:color="D9D9D9" w:fill="D9D9D9"/>
            <w:hideMark/>
          </w:tcPr>
          <w:p w14:paraId="756A1E3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2.29</w:t>
            </w:r>
          </w:p>
        </w:tc>
      </w:tr>
      <w:tr w:rsidR="00CE54D7" w:rsidRPr="00413003" w14:paraId="01AE8599" w14:textId="77777777" w:rsidTr="001024F5">
        <w:trPr>
          <w:trHeight w:val="255"/>
        </w:trPr>
        <w:tc>
          <w:tcPr>
            <w:tcW w:w="2880" w:type="dxa"/>
            <w:shd w:val="clear" w:color="auto" w:fill="auto"/>
            <w:noWrap/>
            <w:hideMark/>
          </w:tcPr>
          <w:p w14:paraId="02DFE83C"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Minnesota</w:t>
            </w:r>
          </w:p>
        </w:tc>
        <w:tc>
          <w:tcPr>
            <w:tcW w:w="1642" w:type="dxa"/>
            <w:shd w:val="clear" w:color="auto" w:fill="auto"/>
            <w:hideMark/>
          </w:tcPr>
          <w:p w14:paraId="62DCFCC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60.45</w:t>
            </w:r>
          </w:p>
        </w:tc>
        <w:tc>
          <w:tcPr>
            <w:tcW w:w="1643" w:type="dxa"/>
            <w:shd w:val="clear" w:color="auto" w:fill="auto"/>
            <w:hideMark/>
          </w:tcPr>
          <w:p w14:paraId="52DADE0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23.59</w:t>
            </w:r>
          </w:p>
        </w:tc>
        <w:tc>
          <w:tcPr>
            <w:tcW w:w="1642" w:type="dxa"/>
            <w:shd w:val="clear" w:color="auto" w:fill="auto"/>
            <w:hideMark/>
          </w:tcPr>
          <w:p w14:paraId="31847AB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10.08</w:t>
            </w:r>
          </w:p>
        </w:tc>
        <w:tc>
          <w:tcPr>
            <w:tcW w:w="1643" w:type="dxa"/>
            <w:shd w:val="clear" w:color="auto" w:fill="auto"/>
            <w:hideMark/>
          </w:tcPr>
          <w:p w14:paraId="4263FBC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3.89</w:t>
            </w:r>
          </w:p>
        </w:tc>
      </w:tr>
      <w:tr w:rsidR="00CE54D7" w:rsidRPr="00413003" w14:paraId="769AC8CD" w14:textId="77777777" w:rsidTr="001024F5">
        <w:trPr>
          <w:trHeight w:val="255"/>
        </w:trPr>
        <w:tc>
          <w:tcPr>
            <w:tcW w:w="2880" w:type="dxa"/>
            <w:shd w:val="clear" w:color="D9D9D9" w:fill="D9D9D9"/>
            <w:noWrap/>
            <w:hideMark/>
          </w:tcPr>
          <w:p w14:paraId="1F47E5C6"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Idaho</w:t>
            </w:r>
          </w:p>
        </w:tc>
        <w:tc>
          <w:tcPr>
            <w:tcW w:w="1642" w:type="dxa"/>
            <w:shd w:val="clear" w:color="D9D9D9" w:fill="D9D9D9"/>
            <w:hideMark/>
          </w:tcPr>
          <w:p w14:paraId="2446905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60.55</w:t>
            </w:r>
          </w:p>
        </w:tc>
        <w:tc>
          <w:tcPr>
            <w:tcW w:w="1643" w:type="dxa"/>
            <w:shd w:val="clear" w:color="D9D9D9" w:fill="D9D9D9"/>
            <w:hideMark/>
          </w:tcPr>
          <w:p w14:paraId="421BEE9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27.53</w:t>
            </w:r>
          </w:p>
        </w:tc>
        <w:tc>
          <w:tcPr>
            <w:tcW w:w="1642" w:type="dxa"/>
            <w:shd w:val="clear" w:color="D9D9D9" w:fill="D9D9D9"/>
            <w:hideMark/>
          </w:tcPr>
          <w:p w14:paraId="449CC4F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9.86</w:t>
            </w:r>
          </w:p>
        </w:tc>
        <w:tc>
          <w:tcPr>
            <w:tcW w:w="1643" w:type="dxa"/>
            <w:shd w:val="clear" w:color="D9D9D9" w:fill="D9D9D9"/>
            <w:hideMark/>
          </w:tcPr>
          <w:p w14:paraId="4D3BF9D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1.49</w:t>
            </w:r>
          </w:p>
        </w:tc>
      </w:tr>
      <w:tr w:rsidR="00CE54D7" w:rsidRPr="00413003" w14:paraId="07AA6377" w14:textId="77777777" w:rsidTr="001024F5">
        <w:trPr>
          <w:trHeight w:val="255"/>
        </w:trPr>
        <w:tc>
          <w:tcPr>
            <w:tcW w:w="2880" w:type="dxa"/>
            <w:shd w:val="clear" w:color="auto" w:fill="auto"/>
            <w:noWrap/>
            <w:hideMark/>
          </w:tcPr>
          <w:p w14:paraId="2B166AB8"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South Carolina</w:t>
            </w:r>
          </w:p>
        </w:tc>
        <w:tc>
          <w:tcPr>
            <w:tcW w:w="1642" w:type="dxa"/>
            <w:shd w:val="clear" w:color="auto" w:fill="auto"/>
            <w:hideMark/>
          </w:tcPr>
          <w:p w14:paraId="1608CD4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60.71</w:t>
            </w:r>
          </w:p>
        </w:tc>
        <w:tc>
          <w:tcPr>
            <w:tcW w:w="1643" w:type="dxa"/>
            <w:shd w:val="clear" w:color="auto" w:fill="auto"/>
            <w:hideMark/>
          </w:tcPr>
          <w:p w14:paraId="6AB77AE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20.50</w:t>
            </w:r>
          </w:p>
        </w:tc>
        <w:tc>
          <w:tcPr>
            <w:tcW w:w="1642" w:type="dxa"/>
            <w:shd w:val="clear" w:color="auto" w:fill="auto"/>
            <w:hideMark/>
          </w:tcPr>
          <w:p w14:paraId="1BF3AC0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16.31</w:t>
            </w:r>
          </w:p>
        </w:tc>
        <w:tc>
          <w:tcPr>
            <w:tcW w:w="1643" w:type="dxa"/>
            <w:shd w:val="clear" w:color="auto" w:fill="auto"/>
            <w:hideMark/>
          </w:tcPr>
          <w:p w14:paraId="6E1BE29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0.81</w:t>
            </w:r>
          </w:p>
        </w:tc>
      </w:tr>
      <w:tr w:rsidR="00CE54D7" w:rsidRPr="00413003" w14:paraId="572B23B2" w14:textId="77777777" w:rsidTr="001024F5">
        <w:trPr>
          <w:trHeight w:val="255"/>
        </w:trPr>
        <w:tc>
          <w:tcPr>
            <w:tcW w:w="2880" w:type="dxa"/>
            <w:shd w:val="clear" w:color="D9D9D9" w:fill="D9D9D9"/>
            <w:noWrap/>
            <w:hideMark/>
          </w:tcPr>
          <w:p w14:paraId="2EB67FC8"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Pennsylvania</w:t>
            </w:r>
          </w:p>
        </w:tc>
        <w:tc>
          <w:tcPr>
            <w:tcW w:w="1642" w:type="dxa"/>
            <w:shd w:val="clear" w:color="D9D9D9" w:fill="D9D9D9"/>
            <w:hideMark/>
          </w:tcPr>
          <w:p w14:paraId="2A50F44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61.84</w:t>
            </w:r>
          </w:p>
        </w:tc>
        <w:tc>
          <w:tcPr>
            <w:tcW w:w="1643" w:type="dxa"/>
            <w:shd w:val="clear" w:color="D9D9D9" w:fill="D9D9D9"/>
            <w:hideMark/>
          </w:tcPr>
          <w:p w14:paraId="7EB8DCE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23.25</w:t>
            </w:r>
          </w:p>
        </w:tc>
        <w:tc>
          <w:tcPr>
            <w:tcW w:w="1642" w:type="dxa"/>
            <w:shd w:val="clear" w:color="D9D9D9" w:fill="D9D9D9"/>
            <w:hideMark/>
          </w:tcPr>
          <w:p w14:paraId="14FE725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9.53</w:t>
            </w:r>
          </w:p>
        </w:tc>
        <w:tc>
          <w:tcPr>
            <w:tcW w:w="1643" w:type="dxa"/>
            <w:shd w:val="clear" w:color="D9D9D9" w:fill="D9D9D9"/>
            <w:hideMark/>
          </w:tcPr>
          <w:p w14:paraId="00753BE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4.75</w:t>
            </w:r>
          </w:p>
        </w:tc>
      </w:tr>
      <w:tr w:rsidR="00CE54D7" w:rsidRPr="00413003" w14:paraId="30B2B913" w14:textId="77777777" w:rsidTr="001024F5">
        <w:trPr>
          <w:trHeight w:val="255"/>
        </w:trPr>
        <w:tc>
          <w:tcPr>
            <w:tcW w:w="2880" w:type="dxa"/>
            <w:shd w:val="clear" w:color="auto" w:fill="auto"/>
            <w:noWrap/>
            <w:hideMark/>
          </w:tcPr>
          <w:p w14:paraId="2D053543"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Ohio</w:t>
            </w:r>
          </w:p>
        </w:tc>
        <w:tc>
          <w:tcPr>
            <w:tcW w:w="1642" w:type="dxa"/>
            <w:shd w:val="clear" w:color="auto" w:fill="auto"/>
            <w:hideMark/>
          </w:tcPr>
          <w:p w14:paraId="3BD91DC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62.28</w:t>
            </w:r>
          </w:p>
        </w:tc>
        <w:tc>
          <w:tcPr>
            <w:tcW w:w="1643" w:type="dxa"/>
            <w:shd w:val="clear" w:color="auto" w:fill="auto"/>
            <w:hideMark/>
          </w:tcPr>
          <w:p w14:paraId="1357943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18.33</w:t>
            </w:r>
          </w:p>
        </w:tc>
        <w:tc>
          <w:tcPr>
            <w:tcW w:w="1642" w:type="dxa"/>
            <w:shd w:val="clear" w:color="auto" w:fill="auto"/>
            <w:hideMark/>
          </w:tcPr>
          <w:p w14:paraId="21DCC0D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11.25</w:t>
            </w:r>
          </w:p>
        </w:tc>
        <w:tc>
          <w:tcPr>
            <w:tcW w:w="1643" w:type="dxa"/>
            <w:shd w:val="clear" w:color="auto" w:fill="auto"/>
            <w:hideMark/>
          </w:tcPr>
          <w:p w14:paraId="2CDDE16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3.17</w:t>
            </w:r>
          </w:p>
        </w:tc>
      </w:tr>
      <w:tr w:rsidR="00CE54D7" w:rsidRPr="00413003" w14:paraId="72847E40" w14:textId="77777777" w:rsidTr="001024F5">
        <w:trPr>
          <w:trHeight w:val="255"/>
        </w:trPr>
        <w:tc>
          <w:tcPr>
            <w:tcW w:w="2880" w:type="dxa"/>
            <w:shd w:val="clear" w:color="D9D9D9" w:fill="D9D9D9"/>
            <w:noWrap/>
            <w:hideMark/>
          </w:tcPr>
          <w:p w14:paraId="5372C918"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Massachusetts</w:t>
            </w:r>
          </w:p>
        </w:tc>
        <w:tc>
          <w:tcPr>
            <w:tcW w:w="1642" w:type="dxa"/>
            <w:shd w:val="clear" w:color="D9D9D9" w:fill="D9D9D9"/>
            <w:hideMark/>
          </w:tcPr>
          <w:p w14:paraId="75998A9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62.34</w:t>
            </w:r>
          </w:p>
        </w:tc>
        <w:tc>
          <w:tcPr>
            <w:tcW w:w="1643" w:type="dxa"/>
            <w:shd w:val="clear" w:color="D9D9D9" w:fill="D9D9D9"/>
            <w:hideMark/>
          </w:tcPr>
          <w:p w14:paraId="1E6699C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15.93</w:t>
            </w:r>
          </w:p>
        </w:tc>
        <w:tc>
          <w:tcPr>
            <w:tcW w:w="1642" w:type="dxa"/>
            <w:shd w:val="clear" w:color="D9D9D9" w:fill="D9D9D9"/>
            <w:hideMark/>
          </w:tcPr>
          <w:p w14:paraId="61260F6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14.05</w:t>
            </w:r>
          </w:p>
        </w:tc>
        <w:tc>
          <w:tcPr>
            <w:tcW w:w="1643" w:type="dxa"/>
            <w:shd w:val="clear" w:color="D9D9D9" w:fill="D9D9D9"/>
            <w:hideMark/>
          </w:tcPr>
          <w:p w14:paraId="0C28DCE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6.68</w:t>
            </w:r>
          </w:p>
        </w:tc>
      </w:tr>
      <w:tr w:rsidR="00CE54D7" w:rsidRPr="00413003" w14:paraId="65EDA213" w14:textId="77777777" w:rsidTr="001024F5">
        <w:trPr>
          <w:trHeight w:val="255"/>
        </w:trPr>
        <w:tc>
          <w:tcPr>
            <w:tcW w:w="2880" w:type="dxa"/>
            <w:shd w:val="clear" w:color="D9D9D9" w:fill="D9D9D9"/>
            <w:noWrap/>
            <w:hideMark/>
          </w:tcPr>
          <w:p w14:paraId="5FEC610C"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lastRenderedPageBreak/>
              <w:t>Mississippi</w:t>
            </w:r>
          </w:p>
        </w:tc>
        <w:tc>
          <w:tcPr>
            <w:tcW w:w="1642" w:type="dxa"/>
            <w:shd w:val="clear" w:color="D9D9D9" w:fill="D9D9D9"/>
            <w:hideMark/>
          </w:tcPr>
          <w:p w14:paraId="0A53F6A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63.02</w:t>
            </w:r>
          </w:p>
        </w:tc>
        <w:tc>
          <w:tcPr>
            <w:tcW w:w="1643" w:type="dxa"/>
            <w:shd w:val="clear" w:color="D9D9D9" w:fill="D9D9D9"/>
            <w:hideMark/>
          </w:tcPr>
          <w:p w14:paraId="522B4B9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18.41</w:t>
            </w:r>
          </w:p>
        </w:tc>
        <w:tc>
          <w:tcPr>
            <w:tcW w:w="1642" w:type="dxa"/>
            <w:shd w:val="clear" w:color="D9D9D9" w:fill="D9D9D9"/>
            <w:hideMark/>
          </w:tcPr>
          <w:p w14:paraId="61FF227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15.10</w:t>
            </w:r>
          </w:p>
        </w:tc>
        <w:tc>
          <w:tcPr>
            <w:tcW w:w="1643" w:type="dxa"/>
            <w:shd w:val="clear" w:color="D9D9D9" w:fill="D9D9D9"/>
            <w:hideMark/>
          </w:tcPr>
          <w:p w14:paraId="13DAF85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1.32</w:t>
            </w:r>
          </w:p>
        </w:tc>
      </w:tr>
      <w:tr w:rsidR="00CE54D7" w:rsidRPr="00413003" w14:paraId="2DB9AA30" w14:textId="77777777" w:rsidTr="001024F5">
        <w:trPr>
          <w:trHeight w:val="255"/>
        </w:trPr>
        <w:tc>
          <w:tcPr>
            <w:tcW w:w="2880" w:type="dxa"/>
            <w:shd w:val="clear" w:color="auto" w:fill="auto"/>
            <w:noWrap/>
            <w:hideMark/>
          </w:tcPr>
          <w:p w14:paraId="686F998D"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Virginia</w:t>
            </w:r>
          </w:p>
        </w:tc>
        <w:tc>
          <w:tcPr>
            <w:tcW w:w="1642" w:type="dxa"/>
            <w:shd w:val="clear" w:color="auto" w:fill="auto"/>
            <w:hideMark/>
          </w:tcPr>
          <w:p w14:paraId="1C62B09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63.36</w:t>
            </w:r>
          </w:p>
        </w:tc>
        <w:tc>
          <w:tcPr>
            <w:tcW w:w="1643" w:type="dxa"/>
            <w:shd w:val="clear" w:color="auto" w:fill="auto"/>
            <w:hideMark/>
          </w:tcPr>
          <w:p w14:paraId="111D0F5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20.45</w:t>
            </w:r>
          </w:p>
        </w:tc>
        <w:tc>
          <w:tcPr>
            <w:tcW w:w="1642" w:type="dxa"/>
            <w:shd w:val="clear" w:color="auto" w:fill="auto"/>
            <w:hideMark/>
          </w:tcPr>
          <w:p w14:paraId="22E2FDF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11.15</w:t>
            </w:r>
          </w:p>
        </w:tc>
        <w:tc>
          <w:tcPr>
            <w:tcW w:w="1643" w:type="dxa"/>
            <w:shd w:val="clear" w:color="auto" w:fill="auto"/>
            <w:hideMark/>
          </w:tcPr>
          <w:p w14:paraId="793683E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3.46</w:t>
            </w:r>
          </w:p>
        </w:tc>
      </w:tr>
      <w:tr w:rsidR="00CE54D7" w:rsidRPr="00413003" w14:paraId="6F30A95E" w14:textId="77777777" w:rsidTr="001024F5">
        <w:trPr>
          <w:trHeight w:val="255"/>
        </w:trPr>
        <w:tc>
          <w:tcPr>
            <w:tcW w:w="2880" w:type="dxa"/>
            <w:shd w:val="clear" w:color="D9D9D9" w:fill="D9D9D9"/>
            <w:noWrap/>
            <w:hideMark/>
          </w:tcPr>
          <w:p w14:paraId="46C2B8F9"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Alaska</w:t>
            </w:r>
          </w:p>
        </w:tc>
        <w:tc>
          <w:tcPr>
            <w:tcW w:w="1642" w:type="dxa"/>
            <w:shd w:val="clear" w:color="D9D9D9" w:fill="D9D9D9"/>
            <w:hideMark/>
          </w:tcPr>
          <w:p w14:paraId="373EF18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63.39</w:t>
            </w:r>
          </w:p>
        </w:tc>
        <w:tc>
          <w:tcPr>
            <w:tcW w:w="1643" w:type="dxa"/>
            <w:shd w:val="clear" w:color="D9D9D9" w:fill="D9D9D9"/>
            <w:hideMark/>
          </w:tcPr>
          <w:p w14:paraId="04C40C4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24.61</w:t>
            </w:r>
          </w:p>
        </w:tc>
        <w:tc>
          <w:tcPr>
            <w:tcW w:w="1642" w:type="dxa"/>
            <w:shd w:val="clear" w:color="D9D9D9" w:fill="D9D9D9"/>
            <w:hideMark/>
          </w:tcPr>
          <w:p w14:paraId="7016CF0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8.84</w:t>
            </w:r>
          </w:p>
        </w:tc>
        <w:tc>
          <w:tcPr>
            <w:tcW w:w="1643" w:type="dxa"/>
            <w:shd w:val="clear" w:color="D9D9D9" w:fill="D9D9D9"/>
            <w:hideMark/>
          </w:tcPr>
          <w:p w14:paraId="361179A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2.60</w:t>
            </w:r>
          </w:p>
        </w:tc>
      </w:tr>
      <w:tr w:rsidR="00CE54D7" w:rsidRPr="00413003" w14:paraId="7E317562" w14:textId="77777777" w:rsidTr="001024F5">
        <w:trPr>
          <w:trHeight w:val="255"/>
        </w:trPr>
        <w:tc>
          <w:tcPr>
            <w:tcW w:w="2880" w:type="dxa"/>
            <w:shd w:val="clear" w:color="auto" w:fill="auto"/>
            <w:noWrap/>
            <w:hideMark/>
          </w:tcPr>
          <w:p w14:paraId="38DE5E81"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Nevada</w:t>
            </w:r>
          </w:p>
        </w:tc>
        <w:tc>
          <w:tcPr>
            <w:tcW w:w="1642" w:type="dxa"/>
            <w:shd w:val="clear" w:color="auto" w:fill="auto"/>
            <w:hideMark/>
          </w:tcPr>
          <w:p w14:paraId="45DC4F2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63.48</w:t>
            </w:r>
          </w:p>
        </w:tc>
        <w:tc>
          <w:tcPr>
            <w:tcW w:w="1643" w:type="dxa"/>
            <w:shd w:val="clear" w:color="auto" w:fill="auto"/>
            <w:hideMark/>
          </w:tcPr>
          <w:p w14:paraId="2FD598A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19.86</w:t>
            </w:r>
          </w:p>
        </w:tc>
        <w:tc>
          <w:tcPr>
            <w:tcW w:w="1642" w:type="dxa"/>
            <w:shd w:val="clear" w:color="auto" w:fill="auto"/>
            <w:hideMark/>
          </w:tcPr>
          <w:p w14:paraId="304D564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14.66</w:t>
            </w:r>
          </w:p>
        </w:tc>
        <w:tc>
          <w:tcPr>
            <w:tcW w:w="1643" w:type="dxa"/>
            <w:shd w:val="clear" w:color="auto" w:fill="auto"/>
            <w:hideMark/>
          </w:tcPr>
          <w:p w14:paraId="21F4541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1.26</w:t>
            </w:r>
          </w:p>
        </w:tc>
      </w:tr>
      <w:tr w:rsidR="00CE54D7" w:rsidRPr="00413003" w14:paraId="438CC481" w14:textId="77777777" w:rsidTr="001024F5">
        <w:trPr>
          <w:trHeight w:val="255"/>
        </w:trPr>
        <w:tc>
          <w:tcPr>
            <w:tcW w:w="2880" w:type="dxa"/>
            <w:shd w:val="clear" w:color="D9D9D9" w:fill="D9D9D9"/>
            <w:noWrap/>
            <w:hideMark/>
          </w:tcPr>
          <w:p w14:paraId="4A712A36"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West Virginia</w:t>
            </w:r>
          </w:p>
        </w:tc>
        <w:tc>
          <w:tcPr>
            <w:tcW w:w="1642" w:type="dxa"/>
            <w:shd w:val="clear" w:color="D9D9D9" w:fill="D9D9D9"/>
            <w:hideMark/>
          </w:tcPr>
          <w:p w14:paraId="726D2BF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64.46</w:t>
            </w:r>
          </w:p>
        </w:tc>
        <w:tc>
          <w:tcPr>
            <w:tcW w:w="1643" w:type="dxa"/>
            <w:shd w:val="clear" w:color="D9D9D9" w:fill="D9D9D9"/>
            <w:hideMark/>
          </w:tcPr>
          <w:p w14:paraId="613C6E1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24.79</w:t>
            </w:r>
          </w:p>
        </w:tc>
        <w:tc>
          <w:tcPr>
            <w:tcW w:w="1642" w:type="dxa"/>
            <w:shd w:val="clear" w:color="D9D9D9" w:fill="D9D9D9"/>
            <w:hideMark/>
          </w:tcPr>
          <w:p w14:paraId="6658F7A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8.07</w:t>
            </w:r>
          </w:p>
        </w:tc>
        <w:tc>
          <w:tcPr>
            <w:tcW w:w="1643" w:type="dxa"/>
            <w:shd w:val="clear" w:color="D9D9D9" w:fill="D9D9D9"/>
            <w:hideMark/>
          </w:tcPr>
          <w:p w14:paraId="7E22509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0.58</w:t>
            </w:r>
          </w:p>
        </w:tc>
      </w:tr>
      <w:tr w:rsidR="00CE54D7" w:rsidRPr="00413003" w14:paraId="5021BA7D" w14:textId="77777777" w:rsidTr="001024F5">
        <w:trPr>
          <w:trHeight w:val="255"/>
        </w:trPr>
        <w:tc>
          <w:tcPr>
            <w:tcW w:w="2880" w:type="dxa"/>
            <w:shd w:val="clear" w:color="auto" w:fill="auto"/>
            <w:noWrap/>
            <w:hideMark/>
          </w:tcPr>
          <w:p w14:paraId="0A5B5D03"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Georgia</w:t>
            </w:r>
          </w:p>
        </w:tc>
        <w:tc>
          <w:tcPr>
            <w:tcW w:w="1642" w:type="dxa"/>
            <w:shd w:val="clear" w:color="auto" w:fill="auto"/>
            <w:hideMark/>
          </w:tcPr>
          <w:p w14:paraId="6E0BEEE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64.70</w:t>
            </w:r>
          </w:p>
        </w:tc>
        <w:tc>
          <w:tcPr>
            <w:tcW w:w="1643" w:type="dxa"/>
            <w:shd w:val="clear" w:color="auto" w:fill="auto"/>
            <w:hideMark/>
          </w:tcPr>
          <w:p w14:paraId="5AD8808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17.94</w:t>
            </w:r>
          </w:p>
        </w:tc>
        <w:tc>
          <w:tcPr>
            <w:tcW w:w="1642" w:type="dxa"/>
            <w:shd w:val="clear" w:color="auto" w:fill="auto"/>
            <w:hideMark/>
          </w:tcPr>
          <w:p w14:paraId="3EC6F9C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15.00</w:t>
            </w:r>
          </w:p>
        </w:tc>
        <w:tc>
          <w:tcPr>
            <w:tcW w:w="1643" w:type="dxa"/>
            <w:shd w:val="clear" w:color="auto" w:fill="auto"/>
            <w:hideMark/>
          </w:tcPr>
          <w:p w14:paraId="72693F7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1.86</w:t>
            </w:r>
          </w:p>
        </w:tc>
      </w:tr>
      <w:tr w:rsidR="00CE54D7" w:rsidRPr="00413003" w14:paraId="490BAC75" w14:textId="77777777" w:rsidTr="001024F5">
        <w:trPr>
          <w:trHeight w:val="255"/>
        </w:trPr>
        <w:tc>
          <w:tcPr>
            <w:tcW w:w="2880" w:type="dxa"/>
            <w:shd w:val="clear" w:color="D9D9D9" w:fill="D9D9D9"/>
            <w:noWrap/>
            <w:hideMark/>
          </w:tcPr>
          <w:p w14:paraId="38FC37F5"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Arizona</w:t>
            </w:r>
          </w:p>
        </w:tc>
        <w:tc>
          <w:tcPr>
            <w:tcW w:w="1642" w:type="dxa"/>
            <w:shd w:val="clear" w:color="D9D9D9" w:fill="D9D9D9"/>
            <w:hideMark/>
          </w:tcPr>
          <w:p w14:paraId="3EFB971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64.94</w:t>
            </w:r>
          </w:p>
        </w:tc>
        <w:tc>
          <w:tcPr>
            <w:tcW w:w="1643" w:type="dxa"/>
            <w:shd w:val="clear" w:color="D9D9D9" w:fill="D9D9D9"/>
            <w:hideMark/>
          </w:tcPr>
          <w:p w14:paraId="54DFDBB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17.74</w:t>
            </w:r>
          </w:p>
        </w:tc>
        <w:tc>
          <w:tcPr>
            <w:tcW w:w="1642" w:type="dxa"/>
            <w:shd w:val="clear" w:color="D9D9D9" w:fill="D9D9D9"/>
            <w:hideMark/>
          </w:tcPr>
          <w:p w14:paraId="2AFDDD1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14.76</w:t>
            </w:r>
          </w:p>
        </w:tc>
        <w:tc>
          <w:tcPr>
            <w:tcW w:w="1643" w:type="dxa"/>
            <w:shd w:val="clear" w:color="D9D9D9" w:fill="D9D9D9"/>
            <w:hideMark/>
          </w:tcPr>
          <w:p w14:paraId="6816B53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1.87</w:t>
            </w:r>
          </w:p>
        </w:tc>
      </w:tr>
      <w:tr w:rsidR="00CE54D7" w:rsidRPr="00413003" w14:paraId="47C648A0" w14:textId="77777777" w:rsidTr="001024F5">
        <w:trPr>
          <w:trHeight w:val="255"/>
        </w:trPr>
        <w:tc>
          <w:tcPr>
            <w:tcW w:w="2880" w:type="dxa"/>
            <w:shd w:val="clear" w:color="auto" w:fill="auto"/>
            <w:noWrap/>
            <w:hideMark/>
          </w:tcPr>
          <w:p w14:paraId="5FE3D55A"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Wyoming</w:t>
            </w:r>
          </w:p>
        </w:tc>
        <w:tc>
          <w:tcPr>
            <w:tcW w:w="1642" w:type="dxa"/>
            <w:shd w:val="clear" w:color="auto" w:fill="auto"/>
            <w:hideMark/>
          </w:tcPr>
          <w:p w14:paraId="427CB72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65.38</w:t>
            </w:r>
          </w:p>
        </w:tc>
        <w:tc>
          <w:tcPr>
            <w:tcW w:w="1643" w:type="dxa"/>
            <w:shd w:val="clear" w:color="auto" w:fill="auto"/>
            <w:hideMark/>
          </w:tcPr>
          <w:p w14:paraId="458B751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25.39</w:t>
            </w:r>
          </w:p>
        </w:tc>
        <w:tc>
          <w:tcPr>
            <w:tcW w:w="1642" w:type="dxa"/>
            <w:shd w:val="clear" w:color="auto" w:fill="auto"/>
            <w:hideMark/>
          </w:tcPr>
          <w:p w14:paraId="1217BAF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6.49</w:t>
            </w:r>
          </w:p>
        </w:tc>
        <w:tc>
          <w:tcPr>
            <w:tcW w:w="1643" w:type="dxa"/>
            <w:shd w:val="clear" w:color="auto" w:fill="auto"/>
            <w:hideMark/>
          </w:tcPr>
          <w:p w14:paraId="336D484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1.83</w:t>
            </w:r>
          </w:p>
        </w:tc>
      </w:tr>
      <w:tr w:rsidR="00CE54D7" w:rsidRPr="00413003" w14:paraId="4771308D" w14:textId="77777777" w:rsidTr="001024F5">
        <w:trPr>
          <w:trHeight w:val="255"/>
        </w:trPr>
        <w:tc>
          <w:tcPr>
            <w:tcW w:w="2880" w:type="dxa"/>
            <w:shd w:val="clear" w:color="D9D9D9" w:fill="D9D9D9"/>
            <w:noWrap/>
            <w:hideMark/>
          </w:tcPr>
          <w:p w14:paraId="1CDD0E40"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Iowa</w:t>
            </w:r>
          </w:p>
        </w:tc>
        <w:tc>
          <w:tcPr>
            <w:tcW w:w="1642" w:type="dxa"/>
            <w:shd w:val="clear" w:color="D9D9D9" w:fill="D9D9D9"/>
            <w:hideMark/>
          </w:tcPr>
          <w:p w14:paraId="677864D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65.63</w:t>
            </w:r>
          </w:p>
        </w:tc>
        <w:tc>
          <w:tcPr>
            <w:tcW w:w="1643" w:type="dxa"/>
            <w:shd w:val="clear" w:color="D9D9D9" w:fill="D9D9D9"/>
            <w:hideMark/>
          </w:tcPr>
          <w:p w14:paraId="10C1AA2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22.51</w:t>
            </w:r>
          </w:p>
        </w:tc>
        <w:tc>
          <w:tcPr>
            <w:tcW w:w="1642" w:type="dxa"/>
            <w:shd w:val="clear" w:color="D9D9D9" w:fill="D9D9D9"/>
            <w:hideMark/>
          </w:tcPr>
          <w:p w14:paraId="70A890E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8.90</w:t>
            </w:r>
          </w:p>
        </w:tc>
        <w:tc>
          <w:tcPr>
            <w:tcW w:w="1643" w:type="dxa"/>
            <w:shd w:val="clear" w:color="D9D9D9" w:fill="D9D9D9"/>
            <w:hideMark/>
          </w:tcPr>
          <w:p w14:paraId="0DCBAA6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1.53</w:t>
            </w:r>
          </w:p>
        </w:tc>
      </w:tr>
      <w:tr w:rsidR="00CE54D7" w:rsidRPr="00413003" w14:paraId="671F2ACB" w14:textId="77777777" w:rsidTr="001024F5">
        <w:trPr>
          <w:trHeight w:val="255"/>
        </w:trPr>
        <w:tc>
          <w:tcPr>
            <w:tcW w:w="2880" w:type="dxa"/>
            <w:shd w:val="clear" w:color="auto" w:fill="auto"/>
            <w:noWrap/>
            <w:hideMark/>
          </w:tcPr>
          <w:p w14:paraId="5C60649E"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Wisconsin</w:t>
            </w:r>
          </w:p>
        </w:tc>
        <w:tc>
          <w:tcPr>
            <w:tcW w:w="1642" w:type="dxa"/>
            <w:shd w:val="clear" w:color="auto" w:fill="auto"/>
            <w:hideMark/>
          </w:tcPr>
          <w:p w14:paraId="7900E19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66.22</w:t>
            </w:r>
          </w:p>
        </w:tc>
        <w:tc>
          <w:tcPr>
            <w:tcW w:w="1643" w:type="dxa"/>
            <w:shd w:val="clear" w:color="auto" w:fill="auto"/>
            <w:hideMark/>
          </w:tcPr>
          <w:p w14:paraId="31DBD9D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21.22</w:t>
            </w:r>
          </w:p>
        </w:tc>
        <w:tc>
          <w:tcPr>
            <w:tcW w:w="1642" w:type="dxa"/>
            <w:shd w:val="clear" w:color="auto" w:fill="auto"/>
            <w:hideMark/>
          </w:tcPr>
          <w:p w14:paraId="5A40E18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9.16</w:t>
            </w:r>
          </w:p>
        </w:tc>
        <w:tc>
          <w:tcPr>
            <w:tcW w:w="1643" w:type="dxa"/>
            <w:shd w:val="clear" w:color="auto" w:fill="auto"/>
            <w:hideMark/>
          </w:tcPr>
          <w:p w14:paraId="0619ACE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1.23</w:t>
            </w:r>
          </w:p>
        </w:tc>
      </w:tr>
      <w:tr w:rsidR="00CE54D7" w:rsidRPr="00413003" w14:paraId="322BCA26" w14:textId="77777777" w:rsidTr="001024F5">
        <w:trPr>
          <w:trHeight w:val="255"/>
        </w:trPr>
        <w:tc>
          <w:tcPr>
            <w:tcW w:w="2880" w:type="dxa"/>
            <w:shd w:val="clear" w:color="D9D9D9" w:fill="D9D9D9"/>
            <w:noWrap/>
            <w:hideMark/>
          </w:tcPr>
          <w:p w14:paraId="31B9912D"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Delaware</w:t>
            </w:r>
          </w:p>
        </w:tc>
        <w:tc>
          <w:tcPr>
            <w:tcW w:w="1642" w:type="dxa"/>
            <w:shd w:val="clear" w:color="D9D9D9" w:fill="D9D9D9"/>
            <w:hideMark/>
          </w:tcPr>
          <w:p w14:paraId="3703469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66.34</w:t>
            </w:r>
          </w:p>
        </w:tc>
        <w:tc>
          <w:tcPr>
            <w:tcW w:w="1643" w:type="dxa"/>
            <w:shd w:val="clear" w:color="D9D9D9" w:fill="D9D9D9"/>
            <w:hideMark/>
          </w:tcPr>
          <w:p w14:paraId="13B8B1A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13.05</w:t>
            </w:r>
          </w:p>
        </w:tc>
        <w:tc>
          <w:tcPr>
            <w:tcW w:w="1642" w:type="dxa"/>
            <w:shd w:val="clear" w:color="D9D9D9" w:fill="D9D9D9"/>
            <w:hideMark/>
          </w:tcPr>
          <w:p w14:paraId="2F842B7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15.10</w:t>
            </w:r>
          </w:p>
        </w:tc>
        <w:tc>
          <w:tcPr>
            <w:tcW w:w="1643" w:type="dxa"/>
            <w:shd w:val="clear" w:color="D9D9D9" w:fill="D9D9D9"/>
            <w:hideMark/>
          </w:tcPr>
          <w:p w14:paraId="7C85096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4.59</w:t>
            </w:r>
          </w:p>
        </w:tc>
      </w:tr>
      <w:tr w:rsidR="00CE54D7" w:rsidRPr="00413003" w14:paraId="4B15FEA2" w14:textId="77777777" w:rsidTr="001024F5">
        <w:trPr>
          <w:trHeight w:val="255"/>
        </w:trPr>
        <w:tc>
          <w:tcPr>
            <w:tcW w:w="2880" w:type="dxa"/>
            <w:shd w:val="clear" w:color="auto" w:fill="auto"/>
            <w:noWrap/>
            <w:hideMark/>
          </w:tcPr>
          <w:p w14:paraId="54F6D6B7"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Michigan</w:t>
            </w:r>
          </w:p>
        </w:tc>
        <w:tc>
          <w:tcPr>
            <w:tcW w:w="1642" w:type="dxa"/>
            <w:shd w:val="clear" w:color="auto" w:fill="auto"/>
            <w:hideMark/>
          </w:tcPr>
          <w:p w14:paraId="1C980C3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66.39</w:t>
            </w:r>
          </w:p>
        </w:tc>
        <w:tc>
          <w:tcPr>
            <w:tcW w:w="1643" w:type="dxa"/>
            <w:shd w:val="clear" w:color="auto" w:fill="auto"/>
            <w:hideMark/>
          </w:tcPr>
          <w:p w14:paraId="101861E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15.46</w:t>
            </w:r>
          </w:p>
        </w:tc>
        <w:tc>
          <w:tcPr>
            <w:tcW w:w="1642" w:type="dxa"/>
            <w:shd w:val="clear" w:color="auto" w:fill="auto"/>
            <w:hideMark/>
          </w:tcPr>
          <w:p w14:paraId="126FE9C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10.86</w:t>
            </w:r>
          </w:p>
        </w:tc>
        <w:tc>
          <w:tcPr>
            <w:tcW w:w="1643" w:type="dxa"/>
            <w:shd w:val="clear" w:color="auto" w:fill="auto"/>
            <w:hideMark/>
          </w:tcPr>
          <w:p w14:paraId="6A68467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4.97</w:t>
            </w:r>
          </w:p>
        </w:tc>
      </w:tr>
      <w:tr w:rsidR="00CE54D7" w:rsidRPr="00413003" w14:paraId="4DF5078D" w14:textId="77777777" w:rsidTr="001024F5">
        <w:trPr>
          <w:trHeight w:val="255"/>
        </w:trPr>
        <w:tc>
          <w:tcPr>
            <w:tcW w:w="2880" w:type="dxa"/>
            <w:shd w:val="clear" w:color="D9D9D9" w:fill="D9D9D9"/>
            <w:noWrap/>
            <w:hideMark/>
          </w:tcPr>
          <w:p w14:paraId="25D6681E"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Oklahoma</w:t>
            </w:r>
          </w:p>
        </w:tc>
        <w:tc>
          <w:tcPr>
            <w:tcW w:w="1642" w:type="dxa"/>
            <w:shd w:val="clear" w:color="D9D9D9" w:fill="D9D9D9"/>
            <w:hideMark/>
          </w:tcPr>
          <w:p w14:paraId="2D65038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66.76</w:t>
            </w:r>
          </w:p>
        </w:tc>
        <w:tc>
          <w:tcPr>
            <w:tcW w:w="1643" w:type="dxa"/>
            <w:shd w:val="clear" w:color="D9D9D9" w:fill="D9D9D9"/>
            <w:hideMark/>
          </w:tcPr>
          <w:p w14:paraId="1744B6C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22.20</w:t>
            </w:r>
          </w:p>
        </w:tc>
        <w:tc>
          <w:tcPr>
            <w:tcW w:w="1642" w:type="dxa"/>
            <w:shd w:val="clear" w:color="D9D9D9" w:fill="D9D9D9"/>
            <w:hideMark/>
          </w:tcPr>
          <w:p w14:paraId="422478E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9.44</w:t>
            </w:r>
          </w:p>
        </w:tc>
        <w:tc>
          <w:tcPr>
            <w:tcW w:w="1643" w:type="dxa"/>
            <w:shd w:val="clear" w:color="D9D9D9" w:fill="D9D9D9"/>
            <w:hideMark/>
          </w:tcPr>
          <w:p w14:paraId="0C3F583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0.62</w:t>
            </w:r>
          </w:p>
        </w:tc>
      </w:tr>
      <w:tr w:rsidR="00CE54D7" w:rsidRPr="00413003" w14:paraId="184AA37A" w14:textId="77777777" w:rsidTr="001024F5">
        <w:trPr>
          <w:trHeight w:val="255"/>
        </w:trPr>
        <w:tc>
          <w:tcPr>
            <w:tcW w:w="2880" w:type="dxa"/>
            <w:shd w:val="clear" w:color="auto" w:fill="auto"/>
            <w:noWrap/>
            <w:hideMark/>
          </w:tcPr>
          <w:p w14:paraId="4C2F86F6"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North Carolina</w:t>
            </w:r>
          </w:p>
        </w:tc>
        <w:tc>
          <w:tcPr>
            <w:tcW w:w="1642" w:type="dxa"/>
            <w:shd w:val="clear" w:color="auto" w:fill="auto"/>
            <w:hideMark/>
          </w:tcPr>
          <w:p w14:paraId="565963E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66.78</w:t>
            </w:r>
          </w:p>
        </w:tc>
        <w:tc>
          <w:tcPr>
            <w:tcW w:w="1643" w:type="dxa"/>
            <w:shd w:val="clear" w:color="auto" w:fill="auto"/>
            <w:hideMark/>
          </w:tcPr>
          <w:p w14:paraId="3E5B962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17.07</w:t>
            </w:r>
          </w:p>
        </w:tc>
        <w:tc>
          <w:tcPr>
            <w:tcW w:w="1642" w:type="dxa"/>
            <w:shd w:val="clear" w:color="auto" w:fill="auto"/>
            <w:hideMark/>
          </w:tcPr>
          <w:p w14:paraId="5A9B1C5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13.87</w:t>
            </w:r>
          </w:p>
        </w:tc>
        <w:tc>
          <w:tcPr>
            <w:tcW w:w="1643" w:type="dxa"/>
            <w:shd w:val="clear" w:color="auto" w:fill="auto"/>
            <w:hideMark/>
          </w:tcPr>
          <w:p w14:paraId="0B9B4A3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1.24</w:t>
            </w:r>
          </w:p>
        </w:tc>
      </w:tr>
      <w:tr w:rsidR="00CE54D7" w:rsidRPr="00413003" w14:paraId="57C844F5" w14:textId="77777777" w:rsidTr="001024F5">
        <w:trPr>
          <w:trHeight w:val="255"/>
        </w:trPr>
        <w:tc>
          <w:tcPr>
            <w:tcW w:w="2880" w:type="dxa"/>
            <w:shd w:val="clear" w:color="D9D9D9" w:fill="D9D9D9"/>
            <w:noWrap/>
            <w:hideMark/>
          </w:tcPr>
          <w:p w14:paraId="026E3379"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Connecticut</w:t>
            </w:r>
          </w:p>
        </w:tc>
        <w:tc>
          <w:tcPr>
            <w:tcW w:w="1642" w:type="dxa"/>
            <w:shd w:val="clear" w:color="D9D9D9" w:fill="D9D9D9"/>
            <w:hideMark/>
          </w:tcPr>
          <w:p w14:paraId="58B96C9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67.74</w:t>
            </w:r>
          </w:p>
        </w:tc>
        <w:tc>
          <w:tcPr>
            <w:tcW w:w="1643" w:type="dxa"/>
            <w:shd w:val="clear" w:color="D9D9D9" w:fill="D9D9D9"/>
            <w:hideMark/>
          </w:tcPr>
          <w:p w14:paraId="5C88C41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17.67</w:t>
            </w:r>
          </w:p>
        </w:tc>
        <w:tc>
          <w:tcPr>
            <w:tcW w:w="1642" w:type="dxa"/>
            <w:shd w:val="clear" w:color="D9D9D9" w:fill="D9D9D9"/>
            <w:hideMark/>
          </w:tcPr>
          <w:p w14:paraId="05D6826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5.21</w:t>
            </w:r>
          </w:p>
        </w:tc>
        <w:tc>
          <w:tcPr>
            <w:tcW w:w="1643" w:type="dxa"/>
            <w:shd w:val="clear" w:color="D9D9D9" w:fill="D9D9D9"/>
            <w:hideMark/>
          </w:tcPr>
          <w:p w14:paraId="1155E5D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7.97</w:t>
            </w:r>
          </w:p>
        </w:tc>
      </w:tr>
      <w:tr w:rsidR="00CE54D7" w:rsidRPr="00413003" w14:paraId="1A6D8B4B" w14:textId="77777777" w:rsidTr="001024F5">
        <w:trPr>
          <w:trHeight w:val="255"/>
        </w:trPr>
        <w:tc>
          <w:tcPr>
            <w:tcW w:w="2880" w:type="dxa"/>
            <w:shd w:val="clear" w:color="auto" w:fill="auto"/>
            <w:noWrap/>
            <w:hideMark/>
          </w:tcPr>
          <w:p w14:paraId="390A3EA0"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Texas</w:t>
            </w:r>
          </w:p>
        </w:tc>
        <w:tc>
          <w:tcPr>
            <w:tcW w:w="1642" w:type="dxa"/>
            <w:shd w:val="clear" w:color="auto" w:fill="auto"/>
            <w:hideMark/>
          </w:tcPr>
          <w:p w14:paraId="59114EE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68.13</w:t>
            </w:r>
          </w:p>
        </w:tc>
        <w:tc>
          <w:tcPr>
            <w:tcW w:w="1643" w:type="dxa"/>
            <w:shd w:val="clear" w:color="auto" w:fill="auto"/>
            <w:hideMark/>
          </w:tcPr>
          <w:p w14:paraId="080BBD8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15.88</w:t>
            </w:r>
          </w:p>
        </w:tc>
        <w:tc>
          <w:tcPr>
            <w:tcW w:w="1642" w:type="dxa"/>
            <w:shd w:val="clear" w:color="auto" w:fill="auto"/>
            <w:hideMark/>
          </w:tcPr>
          <w:p w14:paraId="457352F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14.60</w:t>
            </w:r>
          </w:p>
        </w:tc>
        <w:tc>
          <w:tcPr>
            <w:tcW w:w="1643" w:type="dxa"/>
            <w:shd w:val="clear" w:color="auto" w:fill="auto"/>
            <w:hideMark/>
          </w:tcPr>
          <w:p w14:paraId="7443976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0.62</w:t>
            </w:r>
          </w:p>
        </w:tc>
      </w:tr>
      <w:tr w:rsidR="00CE54D7" w:rsidRPr="00413003" w14:paraId="09DB64C9" w14:textId="77777777" w:rsidTr="001024F5">
        <w:trPr>
          <w:trHeight w:val="255"/>
        </w:trPr>
        <w:tc>
          <w:tcPr>
            <w:tcW w:w="2880" w:type="dxa"/>
            <w:shd w:val="clear" w:color="D9D9D9" w:fill="D9D9D9"/>
            <w:noWrap/>
            <w:hideMark/>
          </w:tcPr>
          <w:p w14:paraId="77857424"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Kansas</w:t>
            </w:r>
          </w:p>
        </w:tc>
        <w:tc>
          <w:tcPr>
            <w:tcW w:w="1642" w:type="dxa"/>
            <w:shd w:val="clear" w:color="D9D9D9" w:fill="D9D9D9"/>
            <w:hideMark/>
          </w:tcPr>
          <w:p w14:paraId="55C5763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68.91</w:t>
            </w:r>
          </w:p>
        </w:tc>
        <w:tc>
          <w:tcPr>
            <w:tcW w:w="1643" w:type="dxa"/>
            <w:shd w:val="clear" w:color="D9D9D9" w:fill="D9D9D9"/>
            <w:hideMark/>
          </w:tcPr>
          <w:p w14:paraId="135641C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20.61</w:t>
            </w:r>
          </w:p>
        </w:tc>
        <w:tc>
          <w:tcPr>
            <w:tcW w:w="1642" w:type="dxa"/>
            <w:shd w:val="clear" w:color="D9D9D9" w:fill="D9D9D9"/>
            <w:hideMark/>
          </w:tcPr>
          <w:p w14:paraId="6F254E0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6.97</w:t>
            </w:r>
          </w:p>
        </w:tc>
        <w:tc>
          <w:tcPr>
            <w:tcW w:w="1643" w:type="dxa"/>
            <w:shd w:val="clear" w:color="D9D9D9" w:fill="D9D9D9"/>
            <w:hideMark/>
          </w:tcPr>
          <w:p w14:paraId="0530006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2.05</w:t>
            </w:r>
          </w:p>
        </w:tc>
      </w:tr>
      <w:tr w:rsidR="00CE54D7" w:rsidRPr="00413003" w14:paraId="7FE1E70D" w14:textId="77777777" w:rsidTr="001024F5">
        <w:trPr>
          <w:trHeight w:val="255"/>
        </w:trPr>
        <w:tc>
          <w:tcPr>
            <w:tcW w:w="2880" w:type="dxa"/>
            <w:shd w:val="clear" w:color="auto" w:fill="auto"/>
            <w:noWrap/>
            <w:hideMark/>
          </w:tcPr>
          <w:p w14:paraId="40B62E70"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Maryland</w:t>
            </w:r>
          </w:p>
        </w:tc>
        <w:tc>
          <w:tcPr>
            <w:tcW w:w="1642" w:type="dxa"/>
            <w:shd w:val="clear" w:color="auto" w:fill="auto"/>
            <w:hideMark/>
          </w:tcPr>
          <w:p w14:paraId="28205A1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68.95</w:t>
            </w:r>
          </w:p>
        </w:tc>
        <w:tc>
          <w:tcPr>
            <w:tcW w:w="1643" w:type="dxa"/>
            <w:shd w:val="clear" w:color="auto" w:fill="auto"/>
            <w:hideMark/>
          </w:tcPr>
          <w:p w14:paraId="7C2D61F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9.88</w:t>
            </w:r>
          </w:p>
        </w:tc>
        <w:tc>
          <w:tcPr>
            <w:tcW w:w="1642" w:type="dxa"/>
            <w:shd w:val="clear" w:color="auto" w:fill="auto"/>
            <w:hideMark/>
          </w:tcPr>
          <w:p w14:paraId="7415699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12.95</w:t>
            </w:r>
          </w:p>
        </w:tc>
        <w:tc>
          <w:tcPr>
            <w:tcW w:w="1643" w:type="dxa"/>
            <w:shd w:val="clear" w:color="auto" w:fill="auto"/>
            <w:hideMark/>
          </w:tcPr>
          <w:p w14:paraId="7480027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6.67</w:t>
            </w:r>
          </w:p>
        </w:tc>
      </w:tr>
      <w:tr w:rsidR="00CE54D7" w:rsidRPr="00413003" w14:paraId="42F61B52" w14:textId="77777777" w:rsidTr="001024F5">
        <w:trPr>
          <w:trHeight w:val="255"/>
        </w:trPr>
        <w:tc>
          <w:tcPr>
            <w:tcW w:w="2880" w:type="dxa"/>
            <w:shd w:val="clear" w:color="D9D9D9" w:fill="D9D9D9"/>
            <w:noWrap/>
            <w:hideMark/>
          </w:tcPr>
          <w:p w14:paraId="1869E6C5"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South Dakota</w:t>
            </w:r>
          </w:p>
        </w:tc>
        <w:tc>
          <w:tcPr>
            <w:tcW w:w="1642" w:type="dxa"/>
            <w:shd w:val="clear" w:color="D9D9D9" w:fill="D9D9D9"/>
            <w:hideMark/>
          </w:tcPr>
          <w:p w14:paraId="31C6CF9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69.21</w:t>
            </w:r>
          </w:p>
        </w:tc>
        <w:tc>
          <w:tcPr>
            <w:tcW w:w="1643" w:type="dxa"/>
            <w:shd w:val="clear" w:color="D9D9D9" w:fill="D9D9D9"/>
            <w:hideMark/>
          </w:tcPr>
          <w:p w14:paraId="331673E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21.57</w:t>
            </w:r>
          </w:p>
        </w:tc>
        <w:tc>
          <w:tcPr>
            <w:tcW w:w="1642" w:type="dxa"/>
            <w:shd w:val="clear" w:color="D9D9D9" w:fill="D9D9D9"/>
            <w:hideMark/>
          </w:tcPr>
          <w:p w14:paraId="7F6A1B0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5.64</w:t>
            </w:r>
          </w:p>
        </w:tc>
        <w:tc>
          <w:tcPr>
            <w:tcW w:w="1643" w:type="dxa"/>
            <w:shd w:val="clear" w:color="D9D9D9" w:fill="D9D9D9"/>
            <w:hideMark/>
          </w:tcPr>
          <w:p w14:paraId="249C6DE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2.09</w:t>
            </w:r>
          </w:p>
        </w:tc>
      </w:tr>
      <w:tr w:rsidR="00CE54D7" w:rsidRPr="00413003" w14:paraId="612E4F80" w14:textId="77777777" w:rsidTr="001024F5">
        <w:trPr>
          <w:trHeight w:val="255"/>
        </w:trPr>
        <w:tc>
          <w:tcPr>
            <w:tcW w:w="2880" w:type="dxa"/>
            <w:shd w:val="clear" w:color="auto" w:fill="auto"/>
            <w:noWrap/>
            <w:hideMark/>
          </w:tcPr>
          <w:p w14:paraId="7682E1EB"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Rhode Island</w:t>
            </w:r>
          </w:p>
        </w:tc>
        <w:tc>
          <w:tcPr>
            <w:tcW w:w="1642" w:type="dxa"/>
            <w:shd w:val="clear" w:color="auto" w:fill="auto"/>
            <w:hideMark/>
          </w:tcPr>
          <w:p w14:paraId="1621D90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69.51</w:t>
            </w:r>
          </w:p>
        </w:tc>
        <w:tc>
          <w:tcPr>
            <w:tcW w:w="1643" w:type="dxa"/>
            <w:shd w:val="clear" w:color="auto" w:fill="auto"/>
            <w:hideMark/>
          </w:tcPr>
          <w:p w14:paraId="2B8EACB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9.94</w:t>
            </w:r>
          </w:p>
        </w:tc>
        <w:tc>
          <w:tcPr>
            <w:tcW w:w="1642" w:type="dxa"/>
            <w:shd w:val="clear" w:color="auto" w:fill="auto"/>
            <w:hideMark/>
          </w:tcPr>
          <w:p w14:paraId="1B85C36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13.17</w:t>
            </w:r>
          </w:p>
        </w:tc>
        <w:tc>
          <w:tcPr>
            <w:tcW w:w="1643" w:type="dxa"/>
            <w:shd w:val="clear" w:color="auto" w:fill="auto"/>
            <w:hideMark/>
          </w:tcPr>
          <w:p w14:paraId="75A5F9B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5.55</w:t>
            </w:r>
          </w:p>
        </w:tc>
      </w:tr>
      <w:tr w:rsidR="00CE54D7" w:rsidRPr="00413003" w14:paraId="799914F7" w14:textId="77777777" w:rsidTr="001024F5">
        <w:trPr>
          <w:trHeight w:val="255"/>
        </w:trPr>
        <w:tc>
          <w:tcPr>
            <w:tcW w:w="2880" w:type="dxa"/>
            <w:shd w:val="clear" w:color="D9D9D9" w:fill="D9D9D9"/>
            <w:noWrap/>
            <w:hideMark/>
          </w:tcPr>
          <w:p w14:paraId="48ACD5B7"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Puerto Rico</w:t>
            </w:r>
          </w:p>
        </w:tc>
        <w:tc>
          <w:tcPr>
            <w:tcW w:w="1642" w:type="dxa"/>
            <w:shd w:val="clear" w:color="D9D9D9" w:fill="D9D9D9"/>
            <w:hideMark/>
          </w:tcPr>
          <w:p w14:paraId="298F9CC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70.26</w:t>
            </w:r>
          </w:p>
        </w:tc>
        <w:tc>
          <w:tcPr>
            <w:tcW w:w="1643" w:type="dxa"/>
            <w:shd w:val="clear" w:color="D9D9D9" w:fill="D9D9D9"/>
            <w:hideMark/>
          </w:tcPr>
          <w:p w14:paraId="057D78B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15.62</w:t>
            </w:r>
          </w:p>
        </w:tc>
        <w:tc>
          <w:tcPr>
            <w:tcW w:w="1642" w:type="dxa"/>
            <w:shd w:val="clear" w:color="D9D9D9" w:fill="D9D9D9"/>
            <w:hideMark/>
          </w:tcPr>
          <w:p w14:paraId="398C23A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6.94</w:t>
            </w:r>
          </w:p>
        </w:tc>
        <w:tc>
          <w:tcPr>
            <w:tcW w:w="1643" w:type="dxa"/>
            <w:shd w:val="clear" w:color="D9D9D9" w:fill="D9D9D9"/>
            <w:hideMark/>
          </w:tcPr>
          <w:p w14:paraId="5041639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1.87</w:t>
            </w:r>
          </w:p>
        </w:tc>
      </w:tr>
      <w:tr w:rsidR="00CE54D7" w:rsidRPr="00413003" w14:paraId="4690766D" w14:textId="77777777" w:rsidTr="001024F5">
        <w:trPr>
          <w:trHeight w:val="255"/>
        </w:trPr>
        <w:tc>
          <w:tcPr>
            <w:tcW w:w="2880" w:type="dxa"/>
            <w:shd w:val="clear" w:color="auto" w:fill="auto"/>
            <w:noWrap/>
            <w:hideMark/>
          </w:tcPr>
          <w:p w14:paraId="00C64624"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Tennessee</w:t>
            </w:r>
          </w:p>
        </w:tc>
        <w:tc>
          <w:tcPr>
            <w:tcW w:w="1642" w:type="dxa"/>
            <w:shd w:val="clear" w:color="auto" w:fill="auto"/>
            <w:hideMark/>
          </w:tcPr>
          <w:p w14:paraId="517D70A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70.46</w:t>
            </w:r>
          </w:p>
        </w:tc>
        <w:tc>
          <w:tcPr>
            <w:tcW w:w="1643" w:type="dxa"/>
            <w:shd w:val="clear" w:color="auto" w:fill="auto"/>
            <w:hideMark/>
          </w:tcPr>
          <w:p w14:paraId="54586D0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15.67</w:t>
            </w:r>
          </w:p>
        </w:tc>
        <w:tc>
          <w:tcPr>
            <w:tcW w:w="1642" w:type="dxa"/>
            <w:shd w:val="clear" w:color="auto" w:fill="auto"/>
            <w:hideMark/>
          </w:tcPr>
          <w:p w14:paraId="5F5B4BC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11.11</w:t>
            </w:r>
          </w:p>
        </w:tc>
        <w:tc>
          <w:tcPr>
            <w:tcW w:w="1643" w:type="dxa"/>
            <w:shd w:val="clear" w:color="auto" w:fill="auto"/>
            <w:hideMark/>
          </w:tcPr>
          <w:p w14:paraId="4C761D6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1.14</w:t>
            </w:r>
          </w:p>
        </w:tc>
      </w:tr>
      <w:tr w:rsidR="00CE54D7" w:rsidRPr="00413003" w14:paraId="1A5DA0A8" w14:textId="77777777" w:rsidTr="001024F5">
        <w:trPr>
          <w:trHeight w:val="255"/>
        </w:trPr>
        <w:tc>
          <w:tcPr>
            <w:tcW w:w="2880" w:type="dxa"/>
            <w:shd w:val="clear" w:color="D9D9D9" w:fill="D9D9D9"/>
            <w:noWrap/>
            <w:hideMark/>
          </w:tcPr>
          <w:p w14:paraId="2F1C165B"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Indiana</w:t>
            </w:r>
          </w:p>
        </w:tc>
        <w:tc>
          <w:tcPr>
            <w:tcW w:w="1642" w:type="dxa"/>
            <w:shd w:val="clear" w:color="D9D9D9" w:fill="D9D9D9"/>
            <w:hideMark/>
          </w:tcPr>
          <w:p w14:paraId="639263F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71.40</w:t>
            </w:r>
          </w:p>
        </w:tc>
        <w:tc>
          <w:tcPr>
            <w:tcW w:w="1643" w:type="dxa"/>
            <w:shd w:val="clear" w:color="D9D9D9" w:fill="D9D9D9"/>
            <w:hideMark/>
          </w:tcPr>
          <w:p w14:paraId="021202C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12.02</w:t>
            </w:r>
          </w:p>
        </w:tc>
        <w:tc>
          <w:tcPr>
            <w:tcW w:w="1642" w:type="dxa"/>
            <w:shd w:val="clear" w:color="D9D9D9" w:fill="D9D9D9"/>
            <w:hideMark/>
          </w:tcPr>
          <w:p w14:paraId="080246E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10.42</w:t>
            </w:r>
          </w:p>
        </w:tc>
        <w:tc>
          <w:tcPr>
            <w:tcW w:w="1643" w:type="dxa"/>
            <w:shd w:val="clear" w:color="D9D9D9" w:fill="D9D9D9"/>
            <w:hideMark/>
          </w:tcPr>
          <w:p w14:paraId="5A67740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1.39</w:t>
            </w:r>
          </w:p>
        </w:tc>
      </w:tr>
      <w:tr w:rsidR="00CE54D7" w:rsidRPr="00413003" w14:paraId="5E31EFDC" w14:textId="77777777" w:rsidTr="001024F5">
        <w:trPr>
          <w:trHeight w:val="255"/>
        </w:trPr>
        <w:tc>
          <w:tcPr>
            <w:tcW w:w="2880" w:type="dxa"/>
            <w:shd w:val="clear" w:color="auto" w:fill="auto"/>
            <w:noWrap/>
            <w:hideMark/>
          </w:tcPr>
          <w:p w14:paraId="14E91F9B"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Florida</w:t>
            </w:r>
          </w:p>
        </w:tc>
        <w:tc>
          <w:tcPr>
            <w:tcW w:w="1642" w:type="dxa"/>
            <w:shd w:val="clear" w:color="auto" w:fill="auto"/>
            <w:hideMark/>
          </w:tcPr>
          <w:p w14:paraId="4E6E373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71.87</w:t>
            </w:r>
          </w:p>
        </w:tc>
        <w:tc>
          <w:tcPr>
            <w:tcW w:w="1643" w:type="dxa"/>
            <w:shd w:val="clear" w:color="auto" w:fill="auto"/>
            <w:hideMark/>
          </w:tcPr>
          <w:p w14:paraId="7549959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9.08</w:t>
            </w:r>
          </w:p>
        </w:tc>
        <w:tc>
          <w:tcPr>
            <w:tcW w:w="1642" w:type="dxa"/>
            <w:shd w:val="clear" w:color="auto" w:fill="auto"/>
            <w:hideMark/>
          </w:tcPr>
          <w:p w14:paraId="22FBD24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13.69</w:t>
            </w:r>
          </w:p>
        </w:tc>
        <w:tc>
          <w:tcPr>
            <w:tcW w:w="1643" w:type="dxa"/>
            <w:shd w:val="clear" w:color="auto" w:fill="auto"/>
            <w:hideMark/>
          </w:tcPr>
          <w:p w14:paraId="31BF290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3.08</w:t>
            </w:r>
          </w:p>
        </w:tc>
      </w:tr>
      <w:tr w:rsidR="00CE54D7" w:rsidRPr="00413003" w14:paraId="02415352" w14:textId="77777777" w:rsidTr="001024F5">
        <w:trPr>
          <w:trHeight w:val="255"/>
        </w:trPr>
        <w:tc>
          <w:tcPr>
            <w:tcW w:w="2880" w:type="dxa"/>
            <w:shd w:val="clear" w:color="D9D9D9" w:fill="D9D9D9"/>
            <w:noWrap/>
            <w:hideMark/>
          </w:tcPr>
          <w:p w14:paraId="3CCBABCE"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New Hampshire</w:t>
            </w:r>
          </w:p>
        </w:tc>
        <w:tc>
          <w:tcPr>
            <w:tcW w:w="1642" w:type="dxa"/>
            <w:shd w:val="clear" w:color="D9D9D9" w:fill="D9D9D9"/>
            <w:hideMark/>
          </w:tcPr>
          <w:p w14:paraId="6C8AD25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72.44</w:t>
            </w:r>
          </w:p>
        </w:tc>
        <w:tc>
          <w:tcPr>
            <w:tcW w:w="1643" w:type="dxa"/>
            <w:shd w:val="clear" w:color="D9D9D9" w:fill="D9D9D9"/>
            <w:hideMark/>
          </w:tcPr>
          <w:p w14:paraId="24B4C2B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15.68</w:t>
            </w:r>
          </w:p>
        </w:tc>
        <w:tc>
          <w:tcPr>
            <w:tcW w:w="1642" w:type="dxa"/>
            <w:shd w:val="clear" w:color="D9D9D9" w:fill="D9D9D9"/>
            <w:hideMark/>
          </w:tcPr>
          <w:p w14:paraId="459E3E8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8.44</w:t>
            </w:r>
          </w:p>
        </w:tc>
        <w:tc>
          <w:tcPr>
            <w:tcW w:w="1643" w:type="dxa"/>
            <w:shd w:val="clear" w:color="D9D9D9" w:fill="D9D9D9"/>
            <w:hideMark/>
          </w:tcPr>
          <w:p w14:paraId="62D23B7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2.70</w:t>
            </w:r>
          </w:p>
        </w:tc>
      </w:tr>
      <w:tr w:rsidR="00CE54D7" w:rsidRPr="00413003" w14:paraId="69F62F78" w14:textId="77777777" w:rsidTr="001024F5">
        <w:trPr>
          <w:trHeight w:val="255"/>
        </w:trPr>
        <w:tc>
          <w:tcPr>
            <w:tcW w:w="2880" w:type="dxa"/>
            <w:shd w:val="clear" w:color="auto" w:fill="auto"/>
            <w:noWrap/>
            <w:hideMark/>
          </w:tcPr>
          <w:p w14:paraId="1F262E28"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Oregon</w:t>
            </w:r>
          </w:p>
        </w:tc>
        <w:tc>
          <w:tcPr>
            <w:tcW w:w="1642" w:type="dxa"/>
            <w:shd w:val="clear" w:color="auto" w:fill="auto"/>
            <w:hideMark/>
          </w:tcPr>
          <w:p w14:paraId="16C5854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73.37</w:t>
            </w:r>
          </w:p>
        </w:tc>
        <w:tc>
          <w:tcPr>
            <w:tcW w:w="1643" w:type="dxa"/>
            <w:shd w:val="clear" w:color="auto" w:fill="auto"/>
            <w:hideMark/>
          </w:tcPr>
          <w:p w14:paraId="3297EAD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14.29</w:t>
            </w:r>
          </w:p>
        </w:tc>
        <w:tc>
          <w:tcPr>
            <w:tcW w:w="1642" w:type="dxa"/>
            <w:shd w:val="clear" w:color="auto" w:fill="auto"/>
            <w:hideMark/>
          </w:tcPr>
          <w:p w14:paraId="0918E3F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10.15</w:t>
            </w:r>
          </w:p>
        </w:tc>
        <w:tc>
          <w:tcPr>
            <w:tcW w:w="1643" w:type="dxa"/>
            <w:shd w:val="clear" w:color="auto" w:fill="auto"/>
            <w:hideMark/>
          </w:tcPr>
          <w:p w14:paraId="1AEF4F5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0.94</w:t>
            </w:r>
          </w:p>
        </w:tc>
      </w:tr>
      <w:tr w:rsidR="00CE54D7" w:rsidRPr="00413003" w14:paraId="72015794" w14:textId="77777777" w:rsidTr="001024F5">
        <w:trPr>
          <w:trHeight w:val="255"/>
        </w:trPr>
        <w:tc>
          <w:tcPr>
            <w:tcW w:w="2880" w:type="dxa"/>
            <w:shd w:val="clear" w:color="D9D9D9" w:fill="D9D9D9"/>
            <w:noWrap/>
            <w:hideMark/>
          </w:tcPr>
          <w:p w14:paraId="24880103"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Colorado</w:t>
            </w:r>
          </w:p>
        </w:tc>
        <w:tc>
          <w:tcPr>
            <w:tcW w:w="1642" w:type="dxa"/>
            <w:shd w:val="clear" w:color="D9D9D9" w:fill="D9D9D9"/>
            <w:hideMark/>
          </w:tcPr>
          <w:p w14:paraId="109B9195"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73.62</w:t>
            </w:r>
          </w:p>
        </w:tc>
        <w:tc>
          <w:tcPr>
            <w:tcW w:w="1643" w:type="dxa"/>
            <w:shd w:val="clear" w:color="D9D9D9" w:fill="D9D9D9"/>
            <w:hideMark/>
          </w:tcPr>
          <w:p w14:paraId="3B2CAB2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16.80</w:t>
            </w:r>
          </w:p>
        </w:tc>
        <w:tc>
          <w:tcPr>
            <w:tcW w:w="1642" w:type="dxa"/>
            <w:shd w:val="clear" w:color="D9D9D9" w:fill="D9D9D9"/>
            <w:hideMark/>
          </w:tcPr>
          <w:p w14:paraId="3BAF404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6.68</w:t>
            </w:r>
          </w:p>
        </w:tc>
        <w:tc>
          <w:tcPr>
            <w:tcW w:w="1643" w:type="dxa"/>
            <w:shd w:val="clear" w:color="D9D9D9" w:fill="D9D9D9"/>
            <w:hideMark/>
          </w:tcPr>
          <w:p w14:paraId="4D41AB5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2.13</w:t>
            </w:r>
          </w:p>
        </w:tc>
      </w:tr>
      <w:tr w:rsidR="00CE54D7" w:rsidRPr="00413003" w14:paraId="717AA9DA" w14:textId="77777777" w:rsidTr="001024F5">
        <w:trPr>
          <w:trHeight w:val="255"/>
        </w:trPr>
        <w:tc>
          <w:tcPr>
            <w:tcW w:w="2880" w:type="dxa"/>
            <w:shd w:val="clear" w:color="auto" w:fill="auto"/>
            <w:noWrap/>
            <w:hideMark/>
          </w:tcPr>
          <w:p w14:paraId="3889BFD4"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Bureau of Indian Education</w:t>
            </w:r>
          </w:p>
        </w:tc>
        <w:tc>
          <w:tcPr>
            <w:tcW w:w="1642" w:type="dxa"/>
            <w:shd w:val="clear" w:color="auto" w:fill="auto"/>
            <w:hideMark/>
          </w:tcPr>
          <w:p w14:paraId="1790F39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73.66</w:t>
            </w:r>
          </w:p>
        </w:tc>
        <w:tc>
          <w:tcPr>
            <w:tcW w:w="1643" w:type="dxa"/>
            <w:shd w:val="clear" w:color="auto" w:fill="auto"/>
            <w:hideMark/>
          </w:tcPr>
          <w:p w14:paraId="2EDED8C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20.49</w:t>
            </w:r>
          </w:p>
        </w:tc>
        <w:tc>
          <w:tcPr>
            <w:tcW w:w="1642" w:type="dxa"/>
            <w:shd w:val="clear" w:color="auto" w:fill="auto"/>
            <w:hideMark/>
          </w:tcPr>
          <w:p w14:paraId="3630199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5.33</w:t>
            </w:r>
          </w:p>
        </w:tc>
        <w:tc>
          <w:tcPr>
            <w:tcW w:w="1643" w:type="dxa"/>
            <w:shd w:val="clear" w:color="auto" w:fill="auto"/>
            <w:hideMark/>
          </w:tcPr>
          <w:p w14:paraId="6E52D65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0.40</w:t>
            </w:r>
          </w:p>
        </w:tc>
      </w:tr>
      <w:tr w:rsidR="00CE54D7" w:rsidRPr="00413003" w14:paraId="1B40EDF6" w14:textId="77777777" w:rsidTr="001024F5">
        <w:trPr>
          <w:trHeight w:val="255"/>
        </w:trPr>
        <w:tc>
          <w:tcPr>
            <w:tcW w:w="2880" w:type="dxa"/>
            <w:shd w:val="clear" w:color="D9D9D9" w:fill="D9D9D9"/>
            <w:noWrap/>
            <w:hideMark/>
          </w:tcPr>
          <w:p w14:paraId="09D2F9C6"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Kentucky</w:t>
            </w:r>
          </w:p>
        </w:tc>
        <w:tc>
          <w:tcPr>
            <w:tcW w:w="1642" w:type="dxa"/>
            <w:shd w:val="clear" w:color="D9D9D9" w:fill="D9D9D9"/>
            <w:hideMark/>
          </w:tcPr>
          <w:p w14:paraId="7DC4D1D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73.73</w:t>
            </w:r>
          </w:p>
        </w:tc>
        <w:tc>
          <w:tcPr>
            <w:tcW w:w="1643" w:type="dxa"/>
            <w:shd w:val="clear" w:color="D9D9D9" w:fill="D9D9D9"/>
            <w:hideMark/>
          </w:tcPr>
          <w:p w14:paraId="02B3AFD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15.47</w:t>
            </w:r>
          </w:p>
        </w:tc>
        <w:tc>
          <w:tcPr>
            <w:tcW w:w="1642" w:type="dxa"/>
            <w:shd w:val="clear" w:color="D9D9D9" w:fill="D9D9D9"/>
            <w:hideMark/>
          </w:tcPr>
          <w:p w14:paraId="426E0A3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8.28</w:t>
            </w:r>
          </w:p>
        </w:tc>
        <w:tc>
          <w:tcPr>
            <w:tcW w:w="1643" w:type="dxa"/>
            <w:shd w:val="clear" w:color="D9D9D9" w:fill="D9D9D9"/>
            <w:hideMark/>
          </w:tcPr>
          <w:p w14:paraId="128BFAB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0.95</w:t>
            </w:r>
          </w:p>
        </w:tc>
      </w:tr>
      <w:tr w:rsidR="00CE54D7" w:rsidRPr="00413003" w14:paraId="583C8F1B" w14:textId="77777777" w:rsidTr="001024F5">
        <w:trPr>
          <w:trHeight w:val="255"/>
        </w:trPr>
        <w:tc>
          <w:tcPr>
            <w:tcW w:w="2880" w:type="dxa"/>
            <w:shd w:val="clear" w:color="auto" w:fill="auto"/>
            <w:noWrap/>
            <w:hideMark/>
          </w:tcPr>
          <w:p w14:paraId="24F5A5E0"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North Dakota</w:t>
            </w:r>
          </w:p>
        </w:tc>
        <w:tc>
          <w:tcPr>
            <w:tcW w:w="1642" w:type="dxa"/>
            <w:shd w:val="clear" w:color="auto" w:fill="auto"/>
            <w:hideMark/>
          </w:tcPr>
          <w:p w14:paraId="7EE93BFE"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74.08</w:t>
            </w:r>
          </w:p>
        </w:tc>
        <w:tc>
          <w:tcPr>
            <w:tcW w:w="1643" w:type="dxa"/>
            <w:shd w:val="clear" w:color="auto" w:fill="auto"/>
            <w:hideMark/>
          </w:tcPr>
          <w:p w14:paraId="54AF734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16.90</w:t>
            </w:r>
          </w:p>
        </w:tc>
        <w:tc>
          <w:tcPr>
            <w:tcW w:w="1642" w:type="dxa"/>
            <w:shd w:val="clear" w:color="auto" w:fill="auto"/>
            <w:hideMark/>
          </w:tcPr>
          <w:p w14:paraId="69E5B21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5.33</w:t>
            </w:r>
          </w:p>
        </w:tc>
        <w:tc>
          <w:tcPr>
            <w:tcW w:w="1643" w:type="dxa"/>
            <w:shd w:val="clear" w:color="auto" w:fill="auto"/>
            <w:hideMark/>
          </w:tcPr>
          <w:p w14:paraId="2BED497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1.54</w:t>
            </w:r>
          </w:p>
        </w:tc>
      </w:tr>
      <w:tr w:rsidR="00CE54D7" w:rsidRPr="00413003" w14:paraId="5317BC5B" w14:textId="77777777" w:rsidTr="001024F5">
        <w:trPr>
          <w:trHeight w:val="255"/>
        </w:trPr>
        <w:tc>
          <w:tcPr>
            <w:tcW w:w="2880" w:type="dxa"/>
            <w:shd w:val="clear" w:color="D9D9D9" w:fill="D9D9D9"/>
            <w:noWrap/>
            <w:hideMark/>
          </w:tcPr>
          <w:p w14:paraId="264AD1C2"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Nebraska</w:t>
            </w:r>
          </w:p>
        </w:tc>
        <w:tc>
          <w:tcPr>
            <w:tcW w:w="1642" w:type="dxa"/>
            <w:shd w:val="clear" w:color="D9D9D9" w:fill="D9D9D9"/>
            <w:hideMark/>
          </w:tcPr>
          <w:p w14:paraId="1F5DB5E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75.54</w:t>
            </w:r>
          </w:p>
        </w:tc>
        <w:tc>
          <w:tcPr>
            <w:tcW w:w="1643" w:type="dxa"/>
            <w:shd w:val="clear" w:color="D9D9D9" w:fill="D9D9D9"/>
            <w:hideMark/>
          </w:tcPr>
          <w:p w14:paraId="69172744"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12.30</w:t>
            </w:r>
          </w:p>
        </w:tc>
        <w:tc>
          <w:tcPr>
            <w:tcW w:w="1642" w:type="dxa"/>
            <w:shd w:val="clear" w:color="D9D9D9" w:fill="D9D9D9"/>
            <w:hideMark/>
          </w:tcPr>
          <w:p w14:paraId="384A543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6.62</w:t>
            </w:r>
          </w:p>
        </w:tc>
        <w:tc>
          <w:tcPr>
            <w:tcW w:w="1643" w:type="dxa"/>
            <w:shd w:val="clear" w:color="D9D9D9" w:fill="D9D9D9"/>
            <w:hideMark/>
          </w:tcPr>
          <w:p w14:paraId="168C924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1.90</w:t>
            </w:r>
          </w:p>
        </w:tc>
      </w:tr>
      <w:tr w:rsidR="00CE54D7" w:rsidRPr="00413003" w14:paraId="0DCD5DC1" w14:textId="77777777" w:rsidTr="001024F5">
        <w:trPr>
          <w:trHeight w:val="255"/>
        </w:trPr>
        <w:tc>
          <w:tcPr>
            <w:tcW w:w="2880" w:type="dxa"/>
            <w:shd w:val="clear" w:color="auto" w:fill="auto"/>
            <w:noWrap/>
            <w:hideMark/>
          </w:tcPr>
          <w:p w14:paraId="50A1DC27"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lastRenderedPageBreak/>
              <w:t>Vermont</w:t>
            </w:r>
          </w:p>
        </w:tc>
        <w:tc>
          <w:tcPr>
            <w:tcW w:w="1642" w:type="dxa"/>
            <w:shd w:val="clear" w:color="auto" w:fill="auto"/>
            <w:hideMark/>
          </w:tcPr>
          <w:p w14:paraId="6C87AFF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75.76</w:t>
            </w:r>
          </w:p>
        </w:tc>
        <w:tc>
          <w:tcPr>
            <w:tcW w:w="1643" w:type="dxa"/>
            <w:shd w:val="clear" w:color="auto" w:fill="auto"/>
            <w:hideMark/>
          </w:tcPr>
          <w:p w14:paraId="2C77655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11.96</w:t>
            </w:r>
          </w:p>
        </w:tc>
        <w:tc>
          <w:tcPr>
            <w:tcW w:w="1642" w:type="dxa"/>
            <w:shd w:val="clear" w:color="auto" w:fill="auto"/>
            <w:hideMark/>
          </w:tcPr>
          <w:p w14:paraId="7B785C3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5.72</w:t>
            </w:r>
          </w:p>
        </w:tc>
        <w:tc>
          <w:tcPr>
            <w:tcW w:w="1643" w:type="dxa"/>
            <w:shd w:val="clear" w:color="auto" w:fill="auto"/>
            <w:hideMark/>
          </w:tcPr>
          <w:p w14:paraId="5376124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5.85</w:t>
            </w:r>
          </w:p>
        </w:tc>
      </w:tr>
      <w:tr w:rsidR="00CE54D7" w:rsidRPr="00413003" w14:paraId="068CD579" w14:textId="77777777" w:rsidTr="001024F5">
        <w:trPr>
          <w:trHeight w:val="255"/>
        </w:trPr>
        <w:tc>
          <w:tcPr>
            <w:tcW w:w="2880" w:type="dxa"/>
            <w:shd w:val="clear" w:color="D9D9D9" w:fill="D9D9D9"/>
            <w:noWrap/>
            <w:hideMark/>
          </w:tcPr>
          <w:p w14:paraId="1A927122"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Alabama</w:t>
            </w:r>
          </w:p>
        </w:tc>
        <w:tc>
          <w:tcPr>
            <w:tcW w:w="1642" w:type="dxa"/>
            <w:shd w:val="clear" w:color="D9D9D9" w:fill="D9D9D9"/>
            <w:hideMark/>
          </w:tcPr>
          <w:p w14:paraId="7F0AEBC8"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83.56</w:t>
            </w:r>
          </w:p>
        </w:tc>
        <w:tc>
          <w:tcPr>
            <w:tcW w:w="1643" w:type="dxa"/>
            <w:shd w:val="clear" w:color="D9D9D9" w:fill="D9D9D9"/>
            <w:hideMark/>
          </w:tcPr>
          <w:p w14:paraId="61044DF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6.24</w:t>
            </w:r>
          </w:p>
        </w:tc>
        <w:tc>
          <w:tcPr>
            <w:tcW w:w="1642" w:type="dxa"/>
            <w:shd w:val="clear" w:color="D9D9D9" w:fill="D9D9D9"/>
            <w:hideMark/>
          </w:tcPr>
          <w:p w14:paraId="7D2FF5B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7.19</w:t>
            </w:r>
          </w:p>
        </w:tc>
        <w:tc>
          <w:tcPr>
            <w:tcW w:w="1643" w:type="dxa"/>
            <w:shd w:val="clear" w:color="D9D9D9" w:fill="D9D9D9"/>
            <w:hideMark/>
          </w:tcPr>
          <w:p w14:paraId="33F33AE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2.20</w:t>
            </w:r>
          </w:p>
        </w:tc>
      </w:tr>
      <w:tr w:rsidR="00CE54D7" w:rsidRPr="00413003" w14:paraId="7DCD7800" w14:textId="77777777" w:rsidTr="001024F5">
        <w:trPr>
          <w:trHeight w:val="255"/>
        </w:trPr>
        <w:tc>
          <w:tcPr>
            <w:tcW w:w="2880" w:type="dxa"/>
            <w:shd w:val="clear" w:color="auto" w:fill="auto"/>
            <w:noWrap/>
            <w:hideMark/>
          </w:tcPr>
          <w:p w14:paraId="63E63203"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Republic of the Marshall Islands</w:t>
            </w:r>
          </w:p>
        </w:tc>
        <w:tc>
          <w:tcPr>
            <w:tcW w:w="1642" w:type="dxa"/>
            <w:shd w:val="clear" w:color="auto" w:fill="auto"/>
            <w:hideMark/>
          </w:tcPr>
          <w:p w14:paraId="111979A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83.85</w:t>
            </w:r>
          </w:p>
        </w:tc>
        <w:tc>
          <w:tcPr>
            <w:tcW w:w="1643" w:type="dxa"/>
            <w:shd w:val="clear" w:color="auto" w:fill="auto"/>
            <w:hideMark/>
          </w:tcPr>
          <w:p w14:paraId="195BD57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12.76</w:t>
            </w:r>
          </w:p>
        </w:tc>
        <w:tc>
          <w:tcPr>
            <w:tcW w:w="1642" w:type="dxa"/>
            <w:shd w:val="clear" w:color="auto" w:fill="auto"/>
            <w:hideMark/>
          </w:tcPr>
          <w:p w14:paraId="731987C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x</w:t>
            </w:r>
          </w:p>
        </w:tc>
        <w:tc>
          <w:tcPr>
            <w:tcW w:w="1643" w:type="dxa"/>
            <w:shd w:val="clear" w:color="auto" w:fill="auto"/>
            <w:hideMark/>
          </w:tcPr>
          <w:p w14:paraId="357BC58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0.00</w:t>
            </w:r>
          </w:p>
        </w:tc>
      </w:tr>
      <w:tr w:rsidR="00CE54D7" w:rsidRPr="00413003" w14:paraId="281974DE" w14:textId="77777777" w:rsidTr="001024F5">
        <w:trPr>
          <w:trHeight w:val="255"/>
        </w:trPr>
        <w:tc>
          <w:tcPr>
            <w:tcW w:w="2880" w:type="dxa"/>
            <w:shd w:val="clear" w:color="D9D9D9" w:fill="D9D9D9"/>
            <w:noWrap/>
            <w:hideMark/>
          </w:tcPr>
          <w:p w14:paraId="4E8180AD"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Northern Marianas</w:t>
            </w:r>
          </w:p>
        </w:tc>
        <w:tc>
          <w:tcPr>
            <w:tcW w:w="1642" w:type="dxa"/>
            <w:shd w:val="clear" w:color="D9D9D9" w:fill="D9D9D9"/>
            <w:hideMark/>
          </w:tcPr>
          <w:p w14:paraId="59323D3F"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84.87</w:t>
            </w:r>
          </w:p>
        </w:tc>
        <w:tc>
          <w:tcPr>
            <w:tcW w:w="1643" w:type="dxa"/>
            <w:shd w:val="clear" w:color="D9D9D9" w:fill="D9D9D9"/>
            <w:hideMark/>
          </w:tcPr>
          <w:p w14:paraId="77646FE7"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8.20</w:t>
            </w:r>
          </w:p>
        </w:tc>
        <w:tc>
          <w:tcPr>
            <w:tcW w:w="1642" w:type="dxa"/>
            <w:shd w:val="clear" w:color="D9D9D9" w:fill="D9D9D9"/>
            <w:hideMark/>
          </w:tcPr>
          <w:p w14:paraId="6325DED6"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2.14</w:t>
            </w:r>
          </w:p>
        </w:tc>
        <w:tc>
          <w:tcPr>
            <w:tcW w:w="1643" w:type="dxa"/>
            <w:shd w:val="clear" w:color="D9D9D9" w:fill="D9D9D9"/>
            <w:hideMark/>
          </w:tcPr>
          <w:p w14:paraId="3EE2A39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0.00</w:t>
            </w:r>
          </w:p>
        </w:tc>
      </w:tr>
      <w:tr w:rsidR="00CE54D7" w:rsidRPr="00413003" w14:paraId="4039DFF5" w14:textId="77777777" w:rsidTr="00755DCB">
        <w:trPr>
          <w:trHeight w:val="255"/>
        </w:trPr>
        <w:tc>
          <w:tcPr>
            <w:tcW w:w="2880" w:type="dxa"/>
            <w:shd w:val="clear" w:color="auto" w:fill="auto"/>
            <w:noWrap/>
            <w:hideMark/>
          </w:tcPr>
          <w:p w14:paraId="73A5372C"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American Samoa</w:t>
            </w:r>
          </w:p>
        </w:tc>
        <w:tc>
          <w:tcPr>
            <w:tcW w:w="1642" w:type="dxa"/>
            <w:tcBorders>
              <w:bottom w:val="single" w:sz="4" w:space="0" w:color="auto"/>
            </w:tcBorders>
            <w:shd w:val="clear" w:color="auto" w:fill="auto"/>
            <w:hideMark/>
          </w:tcPr>
          <w:p w14:paraId="24427A9D"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88.96</w:t>
            </w:r>
          </w:p>
        </w:tc>
        <w:tc>
          <w:tcPr>
            <w:tcW w:w="1643" w:type="dxa"/>
            <w:tcBorders>
              <w:bottom w:val="single" w:sz="4" w:space="0" w:color="auto"/>
            </w:tcBorders>
            <w:shd w:val="clear" w:color="auto" w:fill="auto"/>
            <w:hideMark/>
          </w:tcPr>
          <w:p w14:paraId="2566949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3.25</w:t>
            </w:r>
          </w:p>
        </w:tc>
        <w:tc>
          <w:tcPr>
            <w:tcW w:w="1642" w:type="dxa"/>
            <w:tcBorders>
              <w:bottom w:val="single" w:sz="4" w:space="0" w:color="auto"/>
            </w:tcBorders>
            <w:shd w:val="clear" w:color="auto" w:fill="auto"/>
            <w:hideMark/>
          </w:tcPr>
          <w:p w14:paraId="6B5FC14B"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4.22</w:t>
            </w:r>
          </w:p>
        </w:tc>
        <w:tc>
          <w:tcPr>
            <w:tcW w:w="1643" w:type="dxa"/>
            <w:tcBorders>
              <w:bottom w:val="single" w:sz="4" w:space="0" w:color="auto"/>
            </w:tcBorders>
            <w:shd w:val="clear" w:color="auto" w:fill="auto"/>
            <w:hideMark/>
          </w:tcPr>
          <w:p w14:paraId="538742EC"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0.00</w:t>
            </w:r>
          </w:p>
        </w:tc>
      </w:tr>
      <w:tr w:rsidR="00CE54D7" w:rsidRPr="00413003" w14:paraId="4651EF33" w14:textId="77777777" w:rsidTr="00C60BE6">
        <w:trPr>
          <w:trHeight w:val="255"/>
        </w:trPr>
        <w:tc>
          <w:tcPr>
            <w:tcW w:w="2880" w:type="dxa"/>
            <w:tcBorders>
              <w:bottom w:val="single" w:sz="4" w:space="0" w:color="auto"/>
            </w:tcBorders>
            <w:shd w:val="clear" w:color="D9D9D9" w:fill="D9D9D9"/>
            <w:noWrap/>
            <w:hideMark/>
          </w:tcPr>
          <w:p w14:paraId="07519C17"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Federated States of Micronesia</w:t>
            </w:r>
          </w:p>
        </w:tc>
        <w:tc>
          <w:tcPr>
            <w:tcW w:w="1642" w:type="dxa"/>
            <w:tcBorders>
              <w:bottom w:val="single" w:sz="4" w:space="0" w:color="auto"/>
            </w:tcBorders>
            <w:shd w:val="clear" w:color="D9D9D9" w:fill="D9D9D9"/>
            <w:hideMark/>
          </w:tcPr>
          <w:p w14:paraId="60DDC8EA"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94.41</w:t>
            </w:r>
          </w:p>
        </w:tc>
        <w:tc>
          <w:tcPr>
            <w:tcW w:w="1643" w:type="dxa"/>
            <w:tcBorders>
              <w:bottom w:val="single" w:sz="4" w:space="0" w:color="auto"/>
            </w:tcBorders>
            <w:shd w:val="clear" w:color="D9D9D9" w:fill="D9D9D9"/>
            <w:hideMark/>
          </w:tcPr>
          <w:p w14:paraId="3771997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0.94</w:t>
            </w:r>
          </w:p>
        </w:tc>
        <w:tc>
          <w:tcPr>
            <w:tcW w:w="1642" w:type="dxa"/>
            <w:tcBorders>
              <w:bottom w:val="single" w:sz="4" w:space="0" w:color="auto"/>
            </w:tcBorders>
            <w:shd w:val="clear" w:color="D9D9D9" w:fill="D9D9D9"/>
            <w:hideMark/>
          </w:tcPr>
          <w:p w14:paraId="1C185520"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0.31</w:t>
            </w:r>
          </w:p>
        </w:tc>
        <w:tc>
          <w:tcPr>
            <w:tcW w:w="1643" w:type="dxa"/>
            <w:tcBorders>
              <w:bottom w:val="single" w:sz="4" w:space="0" w:color="auto"/>
            </w:tcBorders>
            <w:shd w:val="clear" w:color="D9D9D9" w:fill="D9D9D9"/>
            <w:hideMark/>
          </w:tcPr>
          <w:p w14:paraId="6C8674A1"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0.63</w:t>
            </w:r>
          </w:p>
        </w:tc>
      </w:tr>
      <w:tr w:rsidR="00CE54D7" w:rsidRPr="00413003" w14:paraId="45655E9C" w14:textId="77777777" w:rsidTr="00C60BE6">
        <w:trPr>
          <w:trHeight w:val="255"/>
        </w:trPr>
        <w:tc>
          <w:tcPr>
            <w:tcW w:w="2880" w:type="dxa"/>
            <w:tcBorders>
              <w:right w:val="single" w:sz="4" w:space="0" w:color="auto"/>
            </w:tcBorders>
            <w:shd w:val="clear" w:color="auto" w:fill="auto"/>
            <w:noWrap/>
            <w:hideMark/>
          </w:tcPr>
          <w:p w14:paraId="5052520A" w14:textId="77777777" w:rsidR="001024F5" w:rsidRPr="00413003" w:rsidRDefault="001024F5" w:rsidP="00FC0E68">
            <w:pPr>
              <w:rPr>
                <w:rFonts w:ascii="Arial" w:eastAsia="Times New Roman" w:hAnsi="Arial" w:cs="Arial"/>
                <w:sz w:val="24"/>
                <w:szCs w:val="24"/>
              </w:rPr>
            </w:pPr>
            <w:r w:rsidRPr="00413003">
              <w:rPr>
                <w:rFonts w:ascii="Arial" w:eastAsia="Times New Roman" w:hAnsi="Arial" w:cs="Arial"/>
                <w:sz w:val="24"/>
                <w:szCs w:val="24"/>
              </w:rPr>
              <w:t>TOTAL: United States, Outlying Areas, and Freely Associated States</w:t>
            </w:r>
          </w:p>
        </w:tc>
        <w:tc>
          <w:tcPr>
            <w:tcW w:w="1642" w:type="dxa"/>
            <w:tcBorders>
              <w:top w:val="single" w:sz="4" w:space="0" w:color="auto"/>
              <w:left w:val="single" w:sz="4" w:space="0" w:color="auto"/>
              <w:bottom w:val="single" w:sz="4" w:space="0" w:color="auto"/>
              <w:right w:val="single" w:sz="4" w:space="0" w:color="auto"/>
            </w:tcBorders>
            <w:shd w:val="clear" w:color="000000" w:fill="9BC2E6"/>
            <w:hideMark/>
          </w:tcPr>
          <w:p w14:paraId="012233A9"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62.69</w:t>
            </w:r>
          </w:p>
        </w:tc>
        <w:tc>
          <w:tcPr>
            <w:tcW w:w="1643" w:type="dxa"/>
            <w:tcBorders>
              <w:top w:val="single" w:sz="4" w:space="0" w:color="auto"/>
              <w:left w:val="single" w:sz="4" w:space="0" w:color="auto"/>
              <w:bottom w:val="single" w:sz="4" w:space="0" w:color="auto"/>
              <w:right w:val="single" w:sz="4" w:space="0" w:color="auto"/>
            </w:tcBorders>
            <w:shd w:val="clear" w:color="000000" w:fill="FFF2CC"/>
            <w:hideMark/>
          </w:tcPr>
          <w:p w14:paraId="18248EB2"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18.66</w:t>
            </w:r>
          </w:p>
        </w:tc>
        <w:tc>
          <w:tcPr>
            <w:tcW w:w="1642" w:type="dxa"/>
            <w:tcBorders>
              <w:top w:val="single" w:sz="4" w:space="0" w:color="auto"/>
              <w:left w:val="single" w:sz="4" w:space="0" w:color="auto"/>
              <w:bottom w:val="single" w:sz="4" w:space="0" w:color="auto"/>
              <w:right w:val="single" w:sz="4" w:space="0" w:color="auto"/>
            </w:tcBorders>
            <w:shd w:val="clear" w:color="000000" w:fill="FFF2CC"/>
            <w:hideMark/>
          </w:tcPr>
          <w:p w14:paraId="4D831443" w14:textId="77777777" w:rsidR="001024F5" w:rsidRPr="00413003" w:rsidRDefault="001024F5" w:rsidP="00FC0E68">
            <w:pPr>
              <w:jc w:val="right"/>
              <w:rPr>
                <w:rFonts w:ascii="Arial" w:eastAsia="Times New Roman" w:hAnsi="Arial" w:cs="Arial"/>
                <w:sz w:val="24"/>
                <w:szCs w:val="24"/>
              </w:rPr>
            </w:pPr>
            <w:r w:rsidRPr="00413003">
              <w:rPr>
                <w:rFonts w:ascii="Arial" w:eastAsia="Times New Roman" w:hAnsi="Arial" w:cs="Arial"/>
                <w:sz w:val="24"/>
                <w:szCs w:val="24"/>
              </w:rPr>
              <w:t>13.49</w:t>
            </w:r>
          </w:p>
        </w:tc>
        <w:tc>
          <w:tcPr>
            <w:tcW w:w="1643" w:type="dxa"/>
            <w:tcBorders>
              <w:top w:val="single" w:sz="4" w:space="0" w:color="auto"/>
              <w:left w:val="single" w:sz="4" w:space="0" w:color="auto"/>
              <w:bottom w:val="single" w:sz="4" w:space="0" w:color="auto"/>
              <w:right w:val="single" w:sz="4" w:space="0" w:color="auto"/>
            </w:tcBorders>
            <w:shd w:val="clear" w:color="000000" w:fill="FFC3D1"/>
            <w:hideMark/>
          </w:tcPr>
          <w:p w14:paraId="38AD2C43" w14:textId="77777777" w:rsidR="001024F5" w:rsidRPr="00413003" w:rsidRDefault="001024F5" w:rsidP="00FC0E68">
            <w:pPr>
              <w:jc w:val="right"/>
              <w:rPr>
                <w:rFonts w:ascii="Arial" w:eastAsia="Times New Roman" w:hAnsi="Arial" w:cs="Arial"/>
                <w:b/>
                <w:bCs/>
                <w:sz w:val="24"/>
                <w:szCs w:val="24"/>
              </w:rPr>
            </w:pPr>
            <w:r w:rsidRPr="00413003">
              <w:rPr>
                <w:rFonts w:ascii="Arial" w:eastAsia="Times New Roman" w:hAnsi="Arial" w:cs="Arial"/>
                <w:b/>
                <w:bCs/>
                <w:sz w:val="24"/>
                <w:szCs w:val="24"/>
              </w:rPr>
              <w:t>3.10</w:t>
            </w:r>
          </w:p>
        </w:tc>
      </w:tr>
    </w:tbl>
    <w:p w14:paraId="5CEB5B90" w14:textId="2A6425C1" w:rsidR="00FC0E68" w:rsidRPr="00413003" w:rsidRDefault="00FC0E68" w:rsidP="001024F5">
      <w:pPr>
        <w:spacing w:before="200"/>
        <w:rPr>
          <w:rFonts w:ascii="Arial" w:hAnsi="Arial" w:cs="Arial"/>
          <w:sz w:val="24"/>
          <w:szCs w:val="24"/>
        </w:rPr>
      </w:pPr>
      <w:r w:rsidRPr="00413003">
        <w:rPr>
          <w:rFonts w:ascii="Arial" w:eastAsia="Times New Roman" w:hAnsi="Arial" w:cs="Arial"/>
          <w:i/>
          <w:sz w:val="24"/>
          <w:szCs w:val="24"/>
        </w:rPr>
        <w:t>Source:</w:t>
      </w:r>
      <w:r w:rsidRPr="00413003">
        <w:rPr>
          <w:rFonts w:ascii="Arial" w:eastAsia="Times New Roman" w:hAnsi="Arial" w:cs="Arial"/>
          <w:sz w:val="24"/>
          <w:szCs w:val="24"/>
        </w:rPr>
        <w:t xml:space="preserve"> U.S. Department of Education, </w:t>
      </w:r>
      <w:proofErr w:type="spellStart"/>
      <w:r w:rsidRPr="00413003">
        <w:rPr>
          <w:rFonts w:ascii="Arial" w:eastAsia="Times New Roman" w:hAnsi="Arial" w:cs="Arial"/>
          <w:sz w:val="24"/>
          <w:szCs w:val="24"/>
        </w:rPr>
        <w:t>ED</w:t>
      </w:r>
      <w:r w:rsidRPr="00413003">
        <w:rPr>
          <w:rFonts w:ascii="Arial" w:eastAsia="Times New Roman" w:hAnsi="Arial" w:cs="Arial"/>
          <w:i/>
          <w:iCs/>
          <w:sz w:val="24"/>
          <w:szCs w:val="24"/>
        </w:rPr>
        <w:t>Facts</w:t>
      </w:r>
      <w:proofErr w:type="spellEnd"/>
      <w:r w:rsidRPr="00413003">
        <w:rPr>
          <w:rFonts w:ascii="Arial" w:eastAsia="Times New Roman" w:hAnsi="Arial" w:cs="Arial"/>
          <w:sz w:val="24"/>
          <w:szCs w:val="24"/>
        </w:rPr>
        <w:t xml:space="preserve"> Data Warehouse (EDW), “IDEA Part B Child Count and Educational Environments Collection,” 2015–2016, </w:t>
      </w:r>
      <w:hyperlink r:id="rId13" w:tooltip="http://www2.ed.gov/programs/osepidea/618-data/index.html" w:history="1">
        <w:r w:rsidRPr="00CE54D7">
          <w:rPr>
            <w:rStyle w:val="Hyperlink"/>
            <w:rFonts w:ascii="Arial" w:eastAsia="Times New Roman" w:hAnsi="Arial" w:cs="Arial"/>
            <w:color w:val="0000FF"/>
            <w:sz w:val="24"/>
            <w:szCs w:val="24"/>
          </w:rPr>
          <w:t>http://www2.ed.gov/programs/osepidea/618-data/index.html</w:t>
        </w:r>
      </w:hyperlink>
      <w:r w:rsidRPr="00413003">
        <w:rPr>
          <w:rFonts w:ascii="Arial" w:eastAsia="Times New Roman" w:hAnsi="Arial" w:cs="Arial"/>
          <w:sz w:val="24"/>
          <w:szCs w:val="24"/>
        </w:rPr>
        <w:t xml:space="preserve">. Data extracted as of July 14, 2016, from file specifications 002 and 089. </w:t>
      </w:r>
    </w:p>
    <w:p w14:paraId="4C249BCC" w14:textId="77777777" w:rsidR="00FC0E68" w:rsidRPr="00413003" w:rsidRDefault="00FC0E68" w:rsidP="00FC0E68">
      <w:pPr>
        <w:rPr>
          <w:rFonts w:cs="Arial"/>
          <w:b/>
        </w:rPr>
      </w:pPr>
      <w:r w:rsidRPr="00413003">
        <w:rPr>
          <w:rFonts w:cs="Arial"/>
          <w:b/>
        </w:rPr>
        <w:br w:type="page"/>
      </w:r>
    </w:p>
    <w:p w14:paraId="3379BDF2" w14:textId="77777777" w:rsidR="00FC0E68" w:rsidRPr="00413003" w:rsidRDefault="00FC0E68" w:rsidP="001024F5">
      <w:pPr>
        <w:pStyle w:val="NCDBodyText"/>
        <w:rPr>
          <w:b/>
          <w:color w:val="auto"/>
        </w:rPr>
      </w:pPr>
      <w:r w:rsidRPr="00413003">
        <w:rPr>
          <w:b/>
          <w:color w:val="auto"/>
        </w:rPr>
        <w:lastRenderedPageBreak/>
        <w:t>Table 2</w:t>
      </w:r>
    </w:p>
    <w:p w14:paraId="6078C8C6" w14:textId="77777777" w:rsidR="00FC0E68" w:rsidRPr="00413003" w:rsidDel="001374F4" w:rsidRDefault="00FC0E68" w:rsidP="001024F5">
      <w:pPr>
        <w:pStyle w:val="NCDBodyText"/>
        <w:rPr>
          <w:b/>
          <w:color w:val="auto"/>
        </w:rPr>
      </w:pPr>
      <w:r w:rsidRPr="00413003" w:rsidDel="001374F4">
        <w:rPr>
          <w:b/>
          <w:color w:val="auto"/>
        </w:rPr>
        <w:t xml:space="preserve">Number of Students with Disabilities by Disability Label in the Total Special Education Population and Percent Educated </w:t>
      </w:r>
      <w:r w:rsidRPr="00413003" w:rsidDel="001374F4">
        <w:rPr>
          <w:b/>
          <w:bCs/>
          <w:snapToGrid w:val="0"/>
          <w:color w:val="auto"/>
        </w:rPr>
        <w:t xml:space="preserve">at </w:t>
      </w:r>
      <w:r w:rsidRPr="00413003">
        <w:rPr>
          <w:b/>
          <w:bCs/>
          <w:snapToGrid w:val="0"/>
          <w:color w:val="auto"/>
        </w:rPr>
        <w:t>L</w:t>
      </w:r>
      <w:r w:rsidRPr="00413003" w:rsidDel="001374F4">
        <w:rPr>
          <w:b/>
          <w:bCs/>
          <w:snapToGrid w:val="0"/>
          <w:color w:val="auto"/>
        </w:rPr>
        <w:t>east 80</w:t>
      </w:r>
      <w:r w:rsidRPr="00413003">
        <w:rPr>
          <w:b/>
          <w:bCs/>
          <w:snapToGrid w:val="0"/>
          <w:color w:val="auto"/>
        </w:rPr>
        <w:t xml:space="preserve"> Percent</w:t>
      </w:r>
      <w:r w:rsidRPr="00413003" w:rsidDel="001374F4">
        <w:rPr>
          <w:b/>
          <w:bCs/>
          <w:snapToGrid w:val="0"/>
          <w:color w:val="auto"/>
        </w:rPr>
        <w:t xml:space="preserve"> of the Time in General Education</w:t>
      </w:r>
    </w:p>
    <w:tbl>
      <w:tblPr>
        <w:tblStyle w:val="TableGrid"/>
        <w:tblW w:w="9454"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Caption w:val="Number of Students with Disabilities by Disability Label in the Total Special Education Population and Percent Educated at Least 80% of the Time in General Education"/>
        <w:tblDescription w:val="This table compares data from 2005-2006 school year by disablity label with 2015-2016 data.  For example Autism increased from 31.3 to 39.6; Deaf-Blindless increased slightly 22.1 to 23.7; and many of the other categories showed similar slight increase.  Specific Learning Disabilties (53.6 to 68.7), Other Health Impairment (55.8 to 65.6) and Visdual Impairments (57.3 to 67.2) showed the greatest increase.  All disabilities together increased from 53.6 to 62.7"/>
      </w:tblPr>
      <w:tblGrid>
        <w:gridCol w:w="3244"/>
        <w:gridCol w:w="1552"/>
        <w:gridCol w:w="1553"/>
        <w:gridCol w:w="1552"/>
        <w:gridCol w:w="1553"/>
      </w:tblGrid>
      <w:tr w:rsidR="00CE54D7" w:rsidRPr="00413003" w:rsidDel="001374F4" w14:paraId="7E7CF04C" w14:textId="77777777" w:rsidTr="001024F5">
        <w:trPr>
          <w:trHeight w:val="282"/>
          <w:tblHeader/>
        </w:trPr>
        <w:tc>
          <w:tcPr>
            <w:tcW w:w="3244" w:type="dxa"/>
            <w:vMerge w:val="restart"/>
            <w:tcBorders>
              <w:top w:val="single" w:sz="4" w:space="0" w:color="auto"/>
              <w:left w:val="single" w:sz="4" w:space="0" w:color="auto"/>
              <w:right w:val="single" w:sz="4" w:space="0" w:color="auto"/>
            </w:tcBorders>
          </w:tcPr>
          <w:p w14:paraId="14BB484C" w14:textId="77777777" w:rsidR="00FC0E68" w:rsidRPr="00413003" w:rsidDel="001374F4" w:rsidRDefault="00FC0E68" w:rsidP="00FC0E68">
            <w:pPr>
              <w:jc w:val="right"/>
              <w:rPr>
                <w:rFonts w:ascii="Arial" w:hAnsi="Arial" w:cs="Arial"/>
                <w:sz w:val="24"/>
                <w:szCs w:val="24"/>
              </w:rPr>
            </w:pPr>
          </w:p>
        </w:tc>
        <w:tc>
          <w:tcPr>
            <w:tcW w:w="3105" w:type="dxa"/>
            <w:gridSpan w:val="2"/>
            <w:tcBorders>
              <w:top w:val="single" w:sz="4" w:space="0" w:color="auto"/>
              <w:left w:val="single" w:sz="4" w:space="0" w:color="auto"/>
              <w:bottom w:val="single" w:sz="2" w:space="0" w:color="auto"/>
              <w:right w:val="single" w:sz="4" w:space="0" w:color="auto"/>
            </w:tcBorders>
            <w:vAlign w:val="center"/>
          </w:tcPr>
          <w:p w14:paraId="6FD14274" w14:textId="77777777" w:rsidR="00FC0E68" w:rsidRPr="00413003" w:rsidDel="001374F4" w:rsidRDefault="00FC0E68" w:rsidP="00FC0E68">
            <w:pPr>
              <w:jc w:val="center"/>
              <w:rPr>
                <w:rFonts w:ascii="Arial" w:hAnsi="Arial" w:cs="Arial"/>
                <w:b/>
                <w:sz w:val="24"/>
                <w:szCs w:val="24"/>
              </w:rPr>
            </w:pPr>
            <w:r w:rsidRPr="00413003">
              <w:rPr>
                <w:rFonts w:ascii="Arial" w:hAnsi="Arial" w:cs="Arial"/>
                <w:b/>
                <w:sz w:val="24"/>
                <w:szCs w:val="24"/>
              </w:rPr>
              <w:t>2005–2006</w:t>
            </w:r>
            <w:r w:rsidRPr="00413003">
              <w:rPr>
                <w:rFonts w:ascii="Arial" w:hAnsi="Arial" w:cs="Arial"/>
                <w:b/>
                <w:sz w:val="24"/>
                <w:szCs w:val="24"/>
                <w:vertAlign w:val="superscript"/>
              </w:rPr>
              <w:t>1</w:t>
            </w:r>
          </w:p>
        </w:tc>
        <w:tc>
          <w:tcPr>
            <w:tcW w:w="3105" w:type="dxa"/>
            <w:gridSpan w:val="2"/>
            <w:tcBorders>
              <w:top w:val="single" w:sz="4" w:space="0" w:color="auto"/>
              <w:left w:val="single" w:sz="4" w:space="0" w:color="auto"/>
              <w:bottom w:val="single" w:sz="2" w:space="0" w:color="auto"/>
              <w:right w:val="single" w:sz="4" w:space="0" w:color="auto"/>
            </w:tcBorders>
            <w:vAlign w:val="center"/>
          </w:tcPr>
          <w:p w14:paraId="49EF5AD8" w14:textId="77777777" w:rsidR="00FC0E68" w:rsidRPr="00413003" w:rsidDel="001374F4" w:rsidRDefault="00FC0E68" w:rsidP="00FC0E68">
            <w:pPr>
              <w:jc w:val="center"/>
              <w:rPr>
                <w:rFonts w:ascii="Arial" w:hAnsi="Arial" w:cs="Arial"/>
                <w:b/>
                <w:sz w:val="24"/>
                <w:szCs w:val="24"/>
              </w:rPr>
            </w:pPr>
            <w:r w:rsidRPr="00413003">
              <w:rPr>
                <w:rFonts w:ascii="Arial" w:hAnsi="Arial" w:cs="Arial"/>
                <w:b/>
                <w:sz w:val="24"/>
                <w:szCs w:val="24"/>
              </w:rPr>
              <w:t>2015–2016</w:t>
            </w:r>
            <w:r w:rsidRPr="00413003">
              <w:rPr>
                <w:rFonts w:ascii="Arial" w:hAnsi="Arial" w:cs="Arial"/>
                <w:b/>
                <w:sz w:val="24"/>
                <w:szCs w:val="24"/>
                <w:vertAlign w:val="superscript"/>
              </w:rPr>
              <w:t>2</w:t>
            </w:r>
          </w:p>
        </w:tc>
      </w:tr>
      <w:tr w:rsidR="00CE54D7" w:rsidRPr="00413003" w:rsidDel="001374F4" w14:paraId="283C32BB" w14:textId="77777777" w:rsidTr="001024F5">
        <w:trPr>
          <w:trHeight w:val="581"/>
          <w:tblHeader/>
        </w:trPr>
        <w:tc>
          <w:tcPr>
            <w:tcW w:w="3244" w:type="dxa"/>
            <w:vMerge/>
            <w:tcBorders>
              <w:left w:val="single" w:sz="4" w:space="0" w:color="auto"/>
              <w:bottom w:val="single" w:sz="2" w:space="0" w:color="auto"/>
              <w:right w:val="single" w:sz="4" w:space="0" w:color="auto"/>
            </w:tcBorders>
          </w:tcPr>
          <w:p w14:paraId="1A1BA007" w14:textId="77777777" w:rsidR="00FC0E68" w:rsidRPr="00413003" w:rsidDel="001374F4" w:rsidRDefault="00FC0E68" w:rsidP="00FC0E68">
            <w:pPr>
              <w:rPr>
                <w:rFonts w:ascii="Arial" w:hAnsi="Arial" w:cs="Arial"/>
                <w:sz w:val="24"/>
                <w:szCs w:val="24"/>
              </w:rPr>
            </w:pPr>
          </w:p>
        </w:tc>
        <w:tc>
          <w:tcPr>
            <w:tcW w:w="1552" w:type="dxa"/>
            <w:tcBorders>
              <w:top w:val="single" w:sz="2" w:space="0" w:color="auto"/>
              <w:left w:val="single" w:sz="4" w:space="0" w:color="auto"/>
              <w:bottom w:val="single" w:sz="2" w:space="0" w:color="auto"/>
              <w:right w:val="single" w:sz="2" w:space="0" w:color="auto"/>
            </w:tcBorders>
          </w:tcPr>
          <w:p w14:paraId="30D6EF28" w14:textId="77777777" w:rsidR="00FC0E68" w:rsidRPr="00413003" w:rsidDel="001374F4" w:rsidRDefault="00FC0E68" w:rsidP="00FC0E68">
            <w:pPr>
              <w:jc w:val="right"/>
              <w:rPr>
                <w:rFonts w:ascii="Arial" w:hAnsi="Arial" w:cs="Arial"/>
                <w:b/>
                <w:sz w:val="24"/>
                <w:szCs w:val="24"/>
              </w:rPr>
            </w:pPr>
            <w:r w:rsidRPr="00413003" w:rsidDel="001374F4">
              <w:rPr>
                <w:rFonts w:ascii="Arial" w:hAnsi="Arial" w:cs="Arial"/>
                <w:b/>
                <w:sz w:val="24"/>
                <w:szCs w:val="24"/>
              </w:rPr>
              <w:t>T</w:t>
            </w:r>
            <w:r w:rsidRPr="00413003">
              <w:rPr>
                <w:rFonts w:ascii="Arial" w:hAnsi="Arial" w:cs="Arial"/>
                <w:b/>
                <w:sz w:val="24"/>
                <w:szCs w:val="24"/>
              </w:rPr>
              <w:t>otal</w:t>
            </w:r>
            <w:r w:rsidRPr="00413003" w:rsidDel="001374F4">
              <w:rPr>
                <w:rFonts w:ascii="Arial" w:hAnsi="Arial" w:cs="Arial"/>
                <w:b/>
                <w:sz w:val="24"/>
                <w:szCs w:val="24"/>
              </w:rPr>
              <w:t xml:space="preserve"> # Students</w:t>
            </w:r>
          </w:p>
          <w:p w14:paraId="40A1975D" w14:textId="77777777" w:rsidR="00FC0E68" w:rsidRPr="00413003" w:rsidDel="001374F4" w:rsidRDefault="00FC0E68" w:rsidP="00FC0E68">
            <w:pPr>
              <w:jc w:val="right"/>
              <w:rPr>
                <w:rFonts w:ascii="Arial" w:hAnsi="Arial" w:cs="Arial"/>
                <w:b/>
                <w:sz w:val="24"/>
                <w:szCs w:val="24"/>
              </w:rPr>
            </w:pPr>
            <w:r w:rsidRPr="00413003" w:rsidDel="001374F4">
              <w:rPr>
                <w:rFonts w:ascii="Arial" w:hAnsi="Arial" w:cs="Arial"/>
                <w:b/>
                <w:sz w:val="24"/>
                <w:szCs w:val="24"/>
              </w:rPr>
              <w:t>with Disabilities (SWD)</w:t>
            </w:r>
          </w:p>
        </w:tc>
        <w:tc>
          <w:tcPr>
            <w:tcW w:w="1553" w:type="dxa"/>
            <w:tcBorders>
              <w:top w:val="single" w:sz="2" w:space="0" w:color="auto"/>
              <w:left w:val="single" w:sz="2" w:space="0" w:color="auto"/>
              <w:bottom w:val="single" w:sz="2" w:space="0" w:color="auto"/>
              <w:right w:val="single" w:sz="2" w:space="0" w:color="auto"/>
            </w:tcBorders>
            <w:shd w:val="clear" w:color="auto" w:fill="B4C6E7" w:themeFill="accent5" w:themeFillTint="66"/>
          </w:tcPr>
          <w:p w14:paraId="1238AFB7" w14:textId="77777777" w:rsidR="00FC0E68" w:rsidRPr="00413003" w:rsidRDefault="00FC0E68" w:rsidP="00FC0E68">
            <w:pPr>
              <w:jc w:val="right"/>
              <w:rPr>
                <w:rFonts w:ascii="Arial" w:hAnsi="Arial" w:cs="Arial"/>
                <w:b/>
                <w:sz w:val="24"/>
                <w:szCs w:val="24"/>
              </w:rPr>
            </w:pPr>
            <w:r w:rsidRPr="00413003" w:rsidDel="001374F4">
              <w:rPr>
                <w:rFonts w:ascii="Arial" w:hAnsi="Arial" w:cs="Arial"/>
                <w:b/>
                <w:sz w:val="24"/>
                <w:szCs w:val="24"/>
              </w:rPr>
              <w:t xml:space="preserve">% </w:t>
            </w:r>
            <w:r w:rsidRPr="00413003">
              <w:rPr>
                <w:rFonts w:ascii="Arial" w:hAnsi="Arial" w:cs="Arial"/>
                <w:b/>
                <w:sz w:val="24"/>
                <w:szCs w:val="24"/>
              </w:rPr>
              <w:t>I</w:t>
            </w:r>
            <w:r w:rsidRPr="00413003" w:rsidDel="001374F4">
              <w:rPr>
                <w:rFonts w:ascii="Arial" w:hAnsi="Arial" w:cs="Arial"/>
                <w:b/>
                <w:sz w:val="24"/>
                <w:szCs w:val="24"/>
              </w:rPr>
              <w:t xml:space="preserve">ncluded 80% or </w:t>
            </w:r>
            <w:r w:rsidRPr="00413003">
              <w:rPr>
                <w:rFonts w:ascii="Arial" w:hAnsi="Arial" w:cs="Arial"/>
                <w:b/>
                <w:sz w:val="24"/>
                <w:szCs w:val="24"/>
              </w:rPr>
              <w:t>M</w:t>
            </w:r>
            <w:r w:rsidRPr="00413003" w:rsidDel="001374F4">
              <w:rPr>
                <w:rFonts w:ascii="Arial" w:hAnsi="Arial" w:cs="Arial"/>
                <w:b/>
                <w:sz w:val="24"/>
                <w:szCs w:val="24"/>
              </w:rPr>
              <w:t>ore</w:t>
            </w:r>
          </w:p>
          <w:p w14:paraId="23B9CCA9" w14:textId="77777777" w:rsidR="00FC0E68" w:rsidRPr="00413003" w:rsidDel="001374F4" w:rsidRDefault="00FC0E68" w:rsidP="00FC0E68">
            <w:pPr>
              <w:jc w:val="right"/>
              <w:rPr>
                <w:rFonts w:ascii="Arial" w:hAnsi="Arial" w:cs="Arial"/>
                <w:b/>
                <w:sz w:val="24"/>
                <w:szCs w:val="24"/>
              </w:rPr>
            </w:pPr>
            <w:r w:rsidRPr="00413003">
              <w:rPr>
                <w:rFonts w:ascii="Arial" w:hAnsi="Arial" w:cs="Arial"/>
                <w:b/>
                <w:sz w:val="24"/>
                <w:szCs w:val="24"/>
              </w:rPr>
              <w:t>(%)</w:t>
            </w:r>
          </w:p>
        </w:tc>
        <w:tc>
          <w:tcPr>
            <w:tcW w:w="1552" w:type="dxa"/>
            <w:tcBorders>
              <w:top w:val="single" w:sz="2" w:space="0" w:color="auto"/>
              <w:left w:val="single" w:sz="2" w:space="0" w:color="auto"/>
              <w:bottom w:val="single" w:sz="2" w:space="0" w:color="auto"/>
              <w:right w:val="single" w:sz="2" w:space="0" w:color="auto"/>
            </w:tcBorders>
          </w:tcPr>
          <w:p w14:paraId="29ED2652" w14:textId="77777777" w:rsidR="00FC0E68" w:rsidRPr="00413003" w:rsidDel="001374F4" w:rsidRDefault="00FC0E68" w:rsidP="00FC0E68">
            <w:pPr>
              <w:jc w:val="right"/>
              <w:rPr>
                <w:rFonts w:ascii="Arial" w:hAnsi="Arial" w:cs="Arial"/>
                <w:b/>
                <w:sz w:val="24"/>
                <w:szCs w:val="24"/>
              </w:rPr>
            </w:pPr>
            <w:r w:rsidRPr="00413003" w:rsidDel="001374F4">
              <w:rPr>
                <w:rFonts w:ascii="Arial" w:hAnsi="Arial" w:cs="Arial"/>
                <w:b/>
                <w:sz w:val="24"/>
                <w:szCs w:val="24"/>
              </w:rPr>
              <w:t># Students</w:t>
            </w:r>
          </w:p>
          <w:p w14:paraId="09E3D0BD" w14:textId="77777777" w:rsidR="00FC0E68" w:rsidRPr="00413003" w:rsidDel="001374F4" w:rsidRDefault="00FC0E68" w:rsidP="00FC0E68">
            <w:pPr>
              <w:jc w:val="right"/>
              <w:rPr>
                <w:rFonts w:ascii="Arial" w:hAnsi="Arial" w:cs="Arial"/>
                <w:b/>
                <w:sz w:val="24"/>
                <w:szCs w:val="24"/>
              </w:rPr>
            </w:pPr>
            <w:r w:rsidRPr="00413003" w:rsidDel="001374F4">
              <w:rPr>
                <w:rFonts w:ascii="Arial" w:hAnsi="Arial" w:cs="Arial"/>
                <w:b/>
                <w:sz w:val="24"/>
                <w:szCs w:val="24"/>
              </w:rPr>
              <w:t>with Disabilities (SWD)</w:t>
            </w:r>
          </w:p>
        </w:tc>
        <w:tc>
          <w:tcPr>
            <w:tcW w:w="1553" w:type="dxa"/>
            <w:tcBorders>
              <w:top w:val="single" w:sz="2" w:space="0" w:color="auto"/>
              <w:left w:val="single" w:sz="2" w:space="0" w:color="auto"/>
              <w:bottom w:val="single" w:sz="2" w:space="0" w:color="auto"/>
              <w:right w:val="single" w:sz="2" w:space="0" w:color="auto"/>
            </w:tcBorders>
            <w:shd w:val="clear" w:color="auto" w:fill="B4C6E7" w:themeFill="accent5" w:themeFillTint="66"/>
          </w:tcPr>
          <w:p w14:paraId="03CB97F0" w14:textId="77777777" w:rsidR="00FC0E68" w:rsidRPr="00413003" w:rsidRDefault="00FC0E68" w:rsidP="00FC0E68">
            <w:pPr>
              <w:jc w:val="right"/>
              <w:rPr>
                <w:rFonts w:ascii="Arial" w:hAnsi="Arial" w:cs="Arial"/>
                <w:b/>
                <w:sz w:val="24"/>
                <w:szCs w:val="24"/>
              </w:rPr>
            </w:pPr>
            <w:r w:rsidRPr="00413003" w:rsidDel="001374F4">
              <w:rPr>
                <w:rFonts w:ascii="Arial" w:hAnsi="Arial" w:cs="Arial"/>
                <w:b/>
                <w:sz w:val="24"/>
                <w:szCs w:val="24"/>
              </w:rPr>
              <w:t xml:space="preserve">% </w:t>
            </w:r>
            <w:r w:rsidRPr="00413003">
              <w:rPr>
                <w:rFonts w:ascii="Arial" w:hAnsi="Arial" w:cs="Arial"/>
                <w:b/>
                <w:sz w:val="24"/>
                <w:szCs w:val="24"/>
              </w:rPr>
              <w:t>I</w:t>
            </w:r>
            <w:r w:rsidRPr="00413003" w:rsidDel="001374F4">
              <w:rPr>
                <w:rFonts w:ascii="Arial" w:hAnsi="Arial" w:cs="Arial"/>
                <w:b/>
                <w:sz w:val="24"/>
                <w:szCs w:val="24"/>
              </w:rPr>
              <w:t xml:space="preserve">ncluded 80% or </w:t>
            </w:r>
            <w:r w:rsidRPr="00413003">
              <w:rPr>
                <w:rFonts w:ascii="Arial" w:hAnsi="Arial" w:cs="Arial"/>
                <w:b/>
                <w:sz w:val="24"/>
                <w:szCs w:val="24"/>
              </w:rPr>
              <w:t>M</w:t>
            </w:r>
            <w:r w:rsidRPr="00413003" w:rsidDel="001374F4">
              <w:rPr>
                <w:rFonts w:ascii="Arial" w:hAnsi="Arial" w:cs="Arial"/>
                <w:b/>
                <w:sz w:val="24"/>
                <w:szCs w:val="24"/>
              </w:rPr>
              <w:t>ore</w:t>
            </w:r>
          </w:p>
          <w:p w14:paraId="34908B49" w14:textId="77777777" w:rsidR="00FC0E68" w:rsidRPr="00413003" w:rsidDel="001374F4" w:rsidRDefault="00FC0E68" w:rsidP="00FC0E68">
            <w:pPr>
              <w:jc w:val="right"/>
              <w:rPr>
                <w:rFonts w:ascii="Arial" w:hAnsi="Arial" w:cs="Arial"/>
                <w:b/>
                <w:sz w:val="24"/>
                <w:szCs w:val="24"/>
              </w:rPr>
            </w:pPr>
            <w:r w:rsidRPr="00413003">
              <w:rPr>
                <w:rFonts w:ascii="Arial" w:hAnsi="Arial" w:cs="Arial"/>
                <w:b/>
                <w:sz w:val="24"/>
                <w:szCs w:val="24"/>
              </w:rPr>
              <w:t>(%)</w:t>
            </w:r>
          </w:p>
        </w:tc>
      </w:tr>
      <w:tr w:rsidR="00CE54D7" w:rsidRPr="00413003" w:rsidDel="001374F4" w14:paraId="4FA24395"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28730727"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Autism</w:t>
            </w:r>
          </w:p>
        </w:tc>
        <w:tc>
          <w:tcPr>
            <w:tcW w:w="1552" w:type="dxa"/>
            <w:tcBorders>
              <w:top w:val="single" w:sz="2" w:space="0" w:color="auto"/>
              <w:left w:val="single" w:sz="2" w:space="0" w:color="auto"/>
              <w:bottom w:val="single" w:sz="2" w:space="0" w:color="auto"/>
              <w:right w:val="single" w:sz="2" w:space="0" w:color="auto"/>
            </w:tcBorders>
            <w:vAlign w:val="center"/>
          </w:tcPr>
          <w:p w14:paraId="5FE62720" w14:textId="35331956" w:rsidR="00FC0E68" w:rsidRPr="00413003" w:rsidDel="001374F4" w:rsidRDefault="00FC0E68" w:rsidP="007C556F">
            <w:pPr>
              <w:jc w:val="right"/>
              <w:rPr>
                <w:rFonts w:ascii="Arial" w:hAnsi="Arial" w:cs="Arial"/>
                <w:sz w:val="24"/>
                <w:szCs w:val="24"/>
              </w:rPr>
            </w:pPr>
            <w:r w:rsidRPr="00413003">
              <w:rPr>
                <w:rFonts w:ascii="Arial" w:hAnsi="Arial" w:cs="Arial"/>
                <w:sz w:val="24"/>
                <w:szCs w:val="24"/>
              </w:rPr>
              <w:t>193</w:t>
            </w:r>
            <w:r w:rsidR="007C556F">
              <w:rPr>
                <w:rFonts w:ascii="Arial" w:hAnsi="Arial" w:cs="Arial"/>
                <w:sz w:val="24"/>
                <w:szCs w:val="24"/>
              </w:rPr>
              <w:t>,</w:t>
            </w:r>
            <w:r w:rsidRPr="00413003">
              <w:rPr>
                <w:rFonts w:ascii="Arial" w:hAnsi="Arial" w:cs="Arial"/>
                <w:sz w:val="24"/>
                <w:szCs w:val="24"/>
              </w:rPr>
              <w:t>875</w:t>
            </w:r>
          </w:p>
        </w:tc>
        <w:tc>
          <w:tcPr>
            <w:tcW w:w="1553" w:type="dxa"/>
            <w:tcBorders>
              <w:top w:val="single" w:sz="2" w:space="0" w:color="auto"/>
              <w:left w:val="single" w:sz="2" w:space="0" w:color="auto"/>
              <w:bottom w:val="single" w:sz="2" w:space="0" w:color="auto"/>
              <w:right w:val="single" w:sz="2" w:space="0" w:color="auto"/>
            </w:tcBorders>
            <w:vAlign w:val="center"/>
          </w:tcPr>
          <w:p w14:paraId="1B77ED2A"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31.3</w:t>
            </w:r>
          </w:p>
        </w:tc>
        <w:tc>
          <w:tcPr>
            <w:tcW w:w="1552" w:type="dxa"/>
            <w:tcBorders>
              <w:top w:val="single" w:sz="2" w:space="0" w:color="auto"/>
              <w:left w:val="single" w:sz="2" w:space="0" w:color="auto"/>
              <w:bottom w:val="single" w:sz="2" w:space="0" w:color="auto"/>
              <w:right w:val="single" w:sz="2" w:space="0" w:color="auto"/>
            </w:tcBorders>
            <w:vAlign w:val="center"/>
          </w:tcPr>
          <w:p w14:paraId="62D2255E"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550,405</w:t>
            </w:r>
          </w:p>
        </w:tc>
        <w:tc>
          <w:tcPr>
            <w:tcW w:w="1553" w:type="dxa"/>
            <w:tcBorders>
              <w:top w:val="single" w:sz="2" w:space="0" w:color="auto"/>
              <w:left w:val="single" w:sz="2" w:space="0" w:color="auto"/>
              <w:bottom w:val="single" w:sz="2" w:space="0" w:color="auto"/>
              <w:right w:val="single" w:sz="2" w:space="0" w:color="auto"/>
            </w:tcBorders>
            <w:vAlign w:val="center"/>
          </w:tcPr>
          <w:p w14:paraId="32F0816F"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39.6</w:t>
            </w:r>
          </w:p>
        </w:tc>
      </w:tr>
      <w:tr w:rsidR="00CE54D7" w:rsidRPr="00413003" w:rsidDel="001374F4" w14:paraId="30517D14" w14:textId="77777777" w:rsidTr="001024F5">
        <w:trPr>
          <w:trHeight w:val="368"/>
        </w:trPr>
        <w:tc>
          <w:tcPr>
            <w:tcW w:w="3244" w:type="dxa"/>
            <w:tcBorders>
              <w:top w:val="single" w:sz="2" w:space="0" w:color="auto"/>
              <w:left w:val="single" w:sz="2" w:space="0" w:color="auto"/>
              <w:bottom w:val="single" w:sz="2" w:space="0" w:color="auto"/>
              <w:right w:val="single" w:sz="2" w:space="0" w:color="auto"/>
            </w:tcBorders>
            <w:vAlign w:val="center"/>
          </w:tcPr>
          <w:p w14:paraId="1F07972E"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Deaf-</w:t>
            </w:r>
            <w:r w:rsidRPr="00413003">
              <w:rPr>
                <w:rFonts w:ascii="Arial" w:hAnsi="Arial" w:cs="Arial"/>
                <w:sz w:val="24"/>
                <w:szCs w:val="24"/>
              </w:rPr>
              <w:t>b</w:t>
            </w:r>
            <w:r w:rsidRPr="00413003" w:rsidDel="001374F4">
              <w:rPr>
                <w:rFonts w:ascii="Arial" w:hAnsi="Arial" w:cs="Arial"/>
                <w:sz w:val="24"/>
                <w:szCs w:val="24"/>
              </w:rPr>
              <w:t>lindness</w:t>
            </w:r>
          </w:p>
        </w:tc>
        <w:tc>
          <w:tcPr>
            <w:tcW w:w="1552" w:type="dxa"/>
            <w:tcBorders>
              <w:top w:val="single" w:sz="2" w:space="0" w:color="auto"/>
              <w:left w:val="single" w:sz="2" w:space="0" w:color="auto"/>
              <w:bottom w:val="single" w:sz="2" w:space="0" w:color="auto"/>
              <w:right w:val="single" w:sz="2" w:space="0" w:color="auto"/>
            </w:tcBorders>
            <w:vAlign w:val="center"/>
          </w:tcPr>
          <w:p w14:paraId="013F7058"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1,592</w:t>
            </w:r>
          </w:p>
        </w:tc>
        <w:tc>
          <w:tcPr>
            <w:tcW w:w="1553" w:type="dxa"/>
            <w:tcBorders>
              <w:top w:val="single" w:sz="2" w:space="0" w:color="auto"/>
              <w:left w:val="single" w:sz="2" w:space="0" w:color="auto"/>
              <w:bottom w:val="single" w:sz="2" w:space="0" w:color="auto"/>
              <w:right w:val="single" w:sz="2" w:space="0" w:color="auto"/>
            </w:tcBorders>
            <w:vAlign w:val="center"/>
          </w:tcPr>
          <w:p w14:paraId="79C58F0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22.1</w:t>
            </w:r>
          </w:p>
        </w:tc>
        <w:tc>
          <w:tcPr>
            <w:tcW w:w="1552" w:type="dxa"/>
            <w:tcBorders>
              <w:top w:val="single" w:sz="2" w:space="0" w:color="auto"/>
              <w:left w:val="single" w:sz="2" w:space="0" w:color="auto"/>
              <w:bottom w:val="single" w:sz="2" w:space="0" w:color="auto"/>
              <w:right w:val="single" w:sz="2" w:space="0" w:color="auto"/>
            </w:tcBorders>
            <w:vAlign w:val="center"/>
          </w:tcPr>
          <w:p w14:paraId="2B0CB5B8"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1,280</w:t>
            </w:r>
          </w:p>
        </w:tc>
        <w:tc>
          <w:tcPr>
            <w:tcW w:w="1553" w:type="dxa"/>
            <w:tcBorders>
              <w:top w:val="single" w:sz="2" w:space="0" w:color="auto"/>
              <w:left w:val="single" w:sz="2" w:space="0" w:color="auto"/>
              <w:bottom w:val="single" w:sz="2" w:space="0" w:color="auto"/>
              <w:right w:val="single" w:sz="2" w:space="0" w:color="auto"/>
            </w:tcBorders>
            <w:vAlign w:val="center"/>
          </w:tcPr>
          <w:p w14:paraId="21A41F4C"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23.7</w:t>
            </w:r>
          </w:p>
        </w:tc>
      </w:tr>
      <w:tr w:rsidR="00CE54D7" w:rsidRPr="00413003" w:rsidDel="001374F4" w14:paraId="593F3C86"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41383345"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Developmental </w:t>
            </w:r>
            <w:r w:rsidRPr="00413003">
              <w:rPr>
                <w:rFonts w:ascii="Arial" w:hAnsi="Arial" w:cs="Arial"/>
                <w:sz w:val="24"/>
                <w:szCs w:val="24"/>
              </w:rPr>
              <w:t>d</w:t>
            </w:r>
            <w:r w:rsidRPr="00413003" w:rsidDel="001374F4">
              <w:rPr>
                <w:rFonts w:ascii="Arial" w:hAnsi="Arial" w:cs="Arial"/>
                <w:sz w:val="24"/>
                <w:szCs w:val="24"/>
              </w:rPr>
              <w:t>elay</w:t>
            </w:r>
          </w:p>
        </w:tc>
        <w:tc>
          <w:tcPr>
            <w:tcW w:w="1552" w:type="dxa"/>
            <w:tcBorders>
              <w:top w:val="single" w:sz="2" w:space="0" w:color="auto"/>
              <w:left w:val="single" w:sz="2" w:space="0" w:color="auto"/>
              <w:bottom w:val="single" w:sz="2" w:space="0" w:color="auto"/>
              <w:right w:val="single" w:sz="2" w:space="0" w:color="auto"/>
            </w:tcBorders>
            <w:vAlign w:val="center"/>
          </w:tcPr>
          <w:p w14:paraId="2413B117"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79,072</w:t>
            </w:r>
          </w:p>
        </w:tc>
        <w:tc>
          <w:tcPr>
            <w:tcW w:w="1553" w:type="dxa"/>
            <w:tcBorders>
              <w:top w:val="single" w:sz="2" w:space="0" w:color="auto"/>
              <w:left w:val="single" w:sz="2" w:space="0" w:color="auto"/>
              <w:bottom w:val="single" w:sz="2" w:space="0" w:color="auto"/>
              <w:right w:val="single" w:sz="2" w:space="0" w:color="auto"/>
            </w:tcBorders>
            <w:vAlign w:val="center"/>
          </w:tcPr>
          <w:p w14:paraId="227D7CB9"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59.5</w:t>
            </w:r>
          </w:p>
        </w:tc>
        <w:tc>
          <w:tcPr>
            <w:tcW w:w="1552" w:type="dxa"/>
            <w:tcBorders>
              <w:top w:val="single" w:sz="2" w:space="0" w:color="auto"/>
              <w:left w:val="single" w:sz="2" w:space="0" w:color="auto"/>
              <w:bottom w:val="single" w:sz="2" w:space="0" w:color="auto"/>
              <w:right w:val="single" w:sz="2" w:space="0" w:color="auto"/>
            </w:tcBorders>
            <w:vAlign w:val="center"/>
          </w:tcPr>
          <w:p w14:paraId="432695FB"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149,306</w:t>
            </w:r>
          </w:p>
        </w:tc>
        <w:tc>
          <w:tcPr>
            <w:tcW w:w="1553" w:type="dxa"/>
            <w:tcBorders>
              <w:top w:val="single" w:sz="2" w:space="0" w:color="auto"/>
              <w:left w:val="single" w:sz="2" w:space="0" w:color="auto"/>
              <w:bottom w:val="single" w:sz="2" w:space="0" w:color="auto"/>
              <w:right w:val="single" w:sz="2" w:space="0" w:color="auto"/>
            </w:tcBorders>
            <w:vAlign w:val="center"/>
          </w:tcPr>
          <w:p w14:paraId="3A5490AE"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63.9</w:t>
            </w:r>
          </w:p>
        </w:tc>
      </w:tr>
      <w:tr w:rsidR="00CE54D7" w:rsidRPr="00413003" w:rsidDel="001374F4" w14:paraId="7ACA4D6E"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6A01CE4C"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Emotional </w:t>
            </w:r>
            <w:r w:rsidRPr="00413003">
              <w:rPr>
                <w:rFonts w:ascii="Arial" w:hAnsi="Arial" w:cs="Arial"/>
                <w:sz w:val="24"/>
                <w:szCs w:val="24"/>
              </w:rPr>
              <w:t>d</w:t>
            </w:r>
            <w:r w:rsidRPr="00413003" w:rsidDel="001374F4">
              <w:rPr>
                <w:rFonts w:ascii="Arial" w:hAnsi="Arial" w:cs="Arial"/>
                <w:sz w:val="24"/>
                <w:szCs w:val="24"/>
              </w:rPr>
              <w:t>isturbance</w:t>
            </w:r>
          </w:p>
        </w:tc>
        <w:tc>
          <w:tcPr>
            <w:tcW w:w="1552" w:type="dxa"/>
            <w:tcBorders>
              <w:top w:val="single" w:sz="2" w:space="0" w:color="auto"/>
              <w:left w:val="single" w:sz="2" w:space="0" w:color="auto"/>
              <w:bottom w:val="single" w:sz="2" w:space="0" w:color="auto"/>
              <w:right w:val="single" w:sz="2" w:space="0" w:color="auto"/>
            </w:tcBorders>
            <w:vAlign w:val="center"/>
          </w:tcPr>
          <w:p w14:paraId="62542FD8"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472,274</w:t>
            </w:r>
          </w:p>
        </w:tc>
        <w:tc>
          <w:tcPr>
            <w:tcW w:w="1553" w:type="dxa"/>
            <w:tcBorders>
              <w:top w:val="single" w:sz="2" w:space="0" w:color="auto"/>
              <w:left w:val="single" w:sz="2" w:space="0" w:color="auto"/>
              <w:bottom w:val="single" w:sz="2" w:space="0" w:color="auto"/>
              <w:right w:val="single" w:sz="2" w:space="0" w:color="auto"/>
            </w:tcBorders>
            <w:vAlign w:val="center"/>
          </w:tcPr>
          <w:p w14:paraId="52BC636F"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34.7</w:t>
            </w:r>
          </w:p>
        </w:tc>
        <w:tc>
          <w:tcPr>
            <w:tcW w:w="1552" w:type="dxa"/>
            <w:tcBorders>
              <w:top w:val="single" w:sz="2" w:space="0" w:color="auto"/>
              <w:left w:val="single" w:sz="2" w:space="0" w:color="auto"/>
              <w:bottom w:val="single" w:sz="2" w:space="0" w:color="auto"/>
              <w:right w:val="single" w:sz="2" w:space="0" w:color="auto"/>
            </w:tcBorders>
            <w:vAlign w:val="center"/>
          </w:tcPr>
          <w:p w14:paraId="203F7DBB"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346,488</w:t>
            </w:r>
          </w:p>
        </w:tc>
        <w:tc>
          <w:tcPr>
            <w:tcW w:w="1553" w:type="dxa"/>
            <w:tcBorders>
              <w:top w:val="single" w:sz="2" w:space="0" w:color="auto"/>
              <w:left w:val="single" w:sz="2" w:space="0" w:color="auto"/>
              <w:bottom w:val="single" w:sz="2" w:space="0" w:color="auto"/>
              <w:right w:val="single" w:sz="2" w:space="0" w:color="auto"/>
            </w:tcBorders>
            <w:vAlign w:val="center"/>
          </w:tcPr>
          <w:p w14:paraId="3EC731B2"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47.1</w:t>
            </w:r>
          </w:p>
        </w:tc>
      </w:tr>
      <w:tr w:rsidR="00CE54D7" w:rsidRPr="00413003" w:rsidDel="001374F4" w14:paraId="50830AB3"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3E097803"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Hearing </w:t>
            </w:r>
            <w:r w:rsidRPr="00413003">
              <w:rPr>
                <w:rFonts w:ascii="Arial" w:hAnsi="Arial" w:cs="Arial"/>
                <w:sz w:val="24"/>
                <w:szCs w:val="24"/>
              </w:rPr>
              <w:t>i</w:t>
            </w:r>
            <w:r w:rsidRPr="00413003" w:rsidDel="001374F4">
              <w:rPr>
                <w:rFonts w:ascii="Arial" w:hAnsi="Arial" w:cs="Arial"/>
                <w:sz w:val="24"/>
                <w:szCs w:val="24"/>
              </w:rPr>
              <w:t>mpairment</w:t>
            </w:r>
          </w:p>
        </w:tc>
        <w:tc>
          <w:tcPr>
            <w:tcW w:w="1552" w:type="dxa"/>
            <w:tcBorders>
              <w:top w:val="single" w:sz="2" w:space="0" w:color="auto"/>
              <w:left w:val="single" w:sz="2" w:space="0" w:color="auto"/>
              <w:bottom w:val="single" w:sz="2" w:space="0" w:color="auto"/>
              <w:right w:val="single" w:sz="2" w:space="0" w:color="auto"/>
            </w:tcBorders>
            <w:vAlign w:val="center"/>
          </w:tcPr>
          <w:p w14:paraId="0C4DD918"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72,403</w:t>
            </w:r>
          </w:p>
        </w:tc>
        <w:tc>
          <w:tcPr>
            <w:tcW w:w="1553" w:type="dxa"/>
            <w:tcBorders>
              <w:top w:val="single" w:sz="2" w:space="0" w:color="auto"/>
              <w:left w:val="single" w:sz="2" w:space="0" w:color="auto"/>
              <w:bottom w:val="single" w:sz="2" w:space="0" w:color="auto"/>
              <w:right w:val="single" w:sz="2" w:space="0" w:color="auto"/>
            </w:tcBorders>
            <w:vAlign w:val="center"/>
          </w:tcPr>
          <w:p w14:paraId="218E2492"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48.3</w:t>
            </w:r>
          </w:p>
        </w:tc>
        <w:tc>
          <w:tcPr>
            <w:tcW w:w="1552" w:type="dxa"/>
            <w:tcBorders>
              <w:top w:val="single" w:sz="2" w:space="0" w:color="auto"/>
              <w:left w:val="single" w:sz="2" w:space="0" w:color="auto"/>
              <w:bottom w:val="single" w:sz="2" w:space="0" w:color="auto"/>
              <w:right w:val="single" w:sz="2" w:space="0" w:color="auto"/>
            </w:tcBorders>
            <w:vAlign w:val="center"/>
          </w:tcPr>
          <w:p w14:paraId="651DA704"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67,426</w:t>
            </w:r>
          </w:p>
        </w:tc>
        <w:tc>
          <w:tcPr>
            <w:tcW w:w="1553" w:type="dxa"/>
            <w:tcBorders>
              <w:top w:val="single" w:sz="2" w:space="0" w:color="auto"/>
              <w:left w:val="single" w:sz="2" w:space="0" w:color="auto"/>
              <w:bottom w:val="single" w:sz="2" w:space="0" w:color="auto"/>
              <w:right w:val="single" w:sz="2" w:space="0" w:color="auto"/>
            </w:tcBorders>
            <w:vAlign w:val="center"/>
          </w:tcPr>
          <w:p w14:paraId="3D9D2436"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61.1</w:t>
            </w:r>
          </w:p>
        </w:tc>
      </w:tr>
      <w:tr w:rsidR="00CE54D7" w:rsidRPr="00413003" w:rsidDel="001374F4" w14:paraId="36832B7C"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4E3E621F"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Intellectual </w:t>
            </w:r>
            <w:r w:rsidRPr="00413003">
              <w:rPr>
                <w:rFonts w:ascii="Arial" w:hAnsi="Arial" w:cs="Arial"/>
                <w:sz w:val="24"/>
                <w:szCs w:val="24"/>
              </w:rPr>
              <w:t>d</w:t>
            </w:r>
            <w:r w:rsidRPr="00413003" w:rsidDel="001374F4">
              <w:rPr>
                <w:rFonts w:ascii="Arial" w:hAnsi="Arial" w:cs="Arial"/>
                <w:sz w:val="24"/>
                <w:szCs w:val="24"/>
              </w:rPr>
              <w:t>isabilities</w:t>
            </w:r>
          </w:p>
        </w:tc>
        <w:tc>
          <w:tcPr>
            <w:tcW w:w="1552" w:type="dxa"/>
            <w:tcBorders>
              <w:top w:val="single" w:sz="2" w:space="0" w:color="auto"/>
              <w:left w:val="single" w:sz="2" w:space="0" w:color="auto"/>
              <w:bottom w:val="single" w:sz="2" w:space="0" w:color="auto"/>
              <w:right w:val="single" w:sz="2" w:space="0" w:color="auto"/>
            </w:tcBorders>
            <w:vAlign w:val="center"/>
          </w:tcPr>
          <w:p w14:paraId="4A472B1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545,484</w:t>
            </w:r>
          </w:p>
        </w:tc>
        <w:tc>
          <w:tcPr>
            <w:tcW w:w="1553" w:type="dxa"/>
            <w:tcBorders>
              <w:top w:val="single" w:sz="2" w:space="0" w:color="auto"/>
              <w:left w:val="single" w:sz="2" w:space="0" w:color="auto"/>
              <w:bottom w:val="single" w:sz="2" w:space="0" w:color="auto"/>
              <w:right w:val="single" w:sz="2" w:space="0" w:color="auto"/>
            </w:tcBorders>
            <w:vAlign w:val="center"/>
          </w:tcPr>
          <w:p w14:paraId="274CAD1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13.9</w:t>
            </w:r>
          </w:p>
        </w:tc>
        <w:tc>
          <w:tcPr>
            <w:tcW w:w="1552" w:type="dxa"/>
            <w:tcBorders>
              <w:top w:val="single" w:sz="2" w:space="0" w:color="auto"/>
              <w:left w:val="single" w:sz="2" w:space="0" w:color="auto"/>
              <w:bottom w:val="single" w:sz="2" w:space="0" w:color="auto"/>
              <w:right w:val="single" w:sz="2" w:space="0" w:color="auto"/>
            </w:tcBorders>
            <w:vAlign w:val="center"/>
          </w:tcPr>
          <w:p w14:paraId="4398BA0C"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418,540</w:t>
            </w:r>
          </w:p>
        </w:tc>
        <w:tc>
          <w:tcPr>
            <w:tcW w:w="1553" w:type="dxa"/>
            <w:tcBorders>
              <w:top w:val="single" w:sz="2" w:space="0" w:color="auto"/>
              <w:left w:val="single" w:sz="2" w:space="0" w:color="auto"/>
              <w:bottom w:val="single" w:sz="2" w:space="0" w:color="auto"/>
              <w:right w:val="single" w:sz="2" w:space="0" w:color="auto"/>
            </w:tcBorders>
            <w:vAlign w:val="center"/>
          </w:tcPr>
          <w:p w14:paraId="552639C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16.6</w:t>
            </w:r>
          </w:p>
        </w:tc>
      </w:tr>
      <w:tr w:rsidR="00CE54D7" w:rsidRPr="00413003" w:rsidDel="001374F4" w14:paraId="0E3695D9" w14:textId="77777777" w:rsidTr="001024F5">
        <w:trPr>
          <w:trHeight w:val="350"/>
        </w:trPr>
        <w:tc>
          <w:tcPr>
            <w:tcW w:w="3244" w:type="dxa"/>
            <w:tcBorders>
              <w:top w:val="single" w:sz="2" w:space="0" w:color="auto"/>
              <w:left w:val="single" w:sz="2" w:space="0" w:color="auto"/>
              <w:bottom w:val="single" w:sz="2" w:space="0" w:color="auto"/>
              <w:right w:val="single" w:sz="2" w:space="0" w:color="auto"/>
            </w:tcBorders>
            <w:vAlign w:val="center"/>
          </w:tcPr>
          <w:p w14:paraId="6128039E"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Multiple </w:t>
            </w:r>
            <w:r w:rsidRPr="00413003">
              <w:rPr>
                <w:rFonts w:ascii="Arial" w:hAnsi="Arial" w:cs="Arial"/>
                <w:sz w:val="24"/>
                <w:szCs w:val="24"/>
              </w:rPr>
              <w:t>d</w:t>
            </w:r>
            <w:r w:rsidRPr="00413003" w:rsidDel="001374F4">
              <w:rPr>
                <w:rFonts w:ascii="Arial" w:hAnsi="Arial" w:cs="Arial"/>
                <w:sz w:val="24"/>
                <w:szCs w:val="24"/>
              </w:rPr>
              <w:t>isabilities</w:t>
            </w:r>
          </w:p>
        </w:tc>
        <w:tc>
          <w:tcPr>
            <w:tcW w:w="1552" w:type="dxa"/>
            <w:tcBorders>
              <w:top w:val="single" w:sz="2" w:space="0" w:color="auto"/>
              <w:left w:val="single" w:sz="2" w:space="0" w:color="auto"/>
              <w:bottom w:val="single" w:sz="2" w:space="0" w:color="auto"/>
              <w:right w:val="single" w:sz="2" w:space="0" w:color="auto"/>
            </w:tcBorders>
            <w:vAlign w:val="center"/>
          </w:tcPr>
          <w:p w14:paraId="571FC0DA"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133,974</w:t>
            </w:r>
          </w:p>
        </w:tc>
        <w:tc>
          <w:tcPr>
            <w:tcW w:w="1553" w:type="dxa"/>
            <w:tcBorders>
              <w:top w:val="single" w:sz="2" w:space="0" w:color="auto"/>
              <w:left w:val="single" w:sz="2" w:space="0" w:color="auto"/>
              <w:bottom w:val="single" w:sz="2" w:space="0" w:color="auto"/>
              <w:right w:val="single" w:sz="2" w:space="0" w:color="auto"/>
            </w:tcBorders>
            <w:vAlign w:val="center"/>
          </w:tcPr>
          <w:p w14:paraId="7836601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13.3</w:t>
            </w:r>
          </w:p>
        </w:tc>
        <w:tc>
          <w:tcPr>
            <w:tcW w:w="1552" w:type="dxa"/>
            <w:tcBorders>
              <w:top w:val="single" w:sz="2" w:space="0" w:color="auto"/>
              <w:left w:val="single" w:sz="2" w:space="0" w:color="auto"/>
              <w:bottom w:val="single" w:sz="2" w:space="0" w:color="auto"/>
              <w:right w:val="single" w:sz="2" w:space="0" w:color="auto"/>
            </w:tcBorders>
            <w:vAlign w:val="center"/>
          </w:tcPr>
          <w:p w14:paraId="5910ED41"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125,232</w:t>
            </w:r>
          </w:p>
        </w:tc>
        <w:tc>
          <w:tcPr>
            <w:tcW w:w="1553" w:type="dxa"/>
            <w:tcBorders>
              <w:top w:val="single" w:sz="2" w:space="0" w:color="auto"/>
              <w:left w:val="single" w:sz="2" w:space="0" w:color="auto"/>
              <w:bottom w:val="single" w:sz="2" w:space="0" w:color="auto"/>
              <w:right w:val="single" w:sz="2" w:space="0" w:color="auto"/>
            </w:tcBorders>
            <w:vAlign w:val="center"/>
          </w:tcPr>
          <w:p w14:paraId="796AB88B"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13.3</w:t>
            </w:r>
          </w:p>
        </w:tc>
      </w:tr>
      <w:tr w:rsidR="00CE54D7" w:rsidRPr="00413003" w:rsidDel="001374F4" w14:paraId="34C1669E"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5F1F6824"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Other </w:t>
            </w:r>
            <w:r w:rsidRPr="00413003">
              <w:rPr>
                <w:rFonts w:ascii="Arial" w:hAnsi="Arial" w:cs="Arial"/>
                <w:sz w:val="24"/>
                <w:szCs w:val="24"/>
              </w:rPr>
              <w:t>h</w:t>
            </w:r>
            <w:r w:rsidRPr="00413003" w:rsidDel="001374F4">
              <w:rPr>
                <w:rFonts w:ascii="Arial" w:hAnsi="Arial" w:cs="Arial"/>
                <w:sz w:val="24"/>
                <w:szCs w:val="24"/>
              </w:rPr>
              <w:t xml:space="preserve">ealth </w:t>
            </w:r>
            <w:r w:rsidRPr="00413003">
              <w:rPr>
                <w:rFonts w:ascii="Arial" w:hAnsi="Arial" w:cs="Arial"/>
                <w:sz w:val="24"/>
                <w:szCs w:val="24"/>
              </w:rPr>
              <w:t>i</w:t>
            </w:r>
            <w:r w:rsidRPr="00413003" w:rsidDel="001374F4">
              <w:rPr>
                <w:rFonts w:ascii="Arial" w:hAnsi="Arial" w:cs="Arial"/>
                <w:sz w:val="24"/>
                <w:szCs w:val="24"/>
              </w:rPr>
              <w:t>mpairment</w:t>
            </w:r>
          </w:p>
        </w:tc>
        <w:tc>
          <w:tcPr>
            <w:tcW w:w="1552" w:type="dxa"/>
            <w:tcBorders>
              <w:top w:val="single" w:sz="2" w:space="0" w:color="auto"/>
              <w:left w:val="single" w:sz="2" w:space="0" w:color="auto"/>
              <w:bottom w:val="single" w:sz="2" w:space="0" w:color="auto"/>
              <w:right w:val="single" w:sz="2" w:space="0" w:color="auto"/>
            </w:tcBorders>
            <w:vAlign w:val="center"/>
          </w:tcPr>
          <w:p w14:paraId="52EB23C4"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560,994</w:t>
            </w:r>
          </w:p>
        </w:tc>
        <w:tc>
          <w:tcPr>
            <w:tcW w:w="1553" w:type="dxa"/>
            <w:tcBorders>
              <w:top w:val="single" w:sz="2" w:space="0" w:color="auto"/>
              <w:left w:val="single" w:sz="2" w:space="0" w:color="auto"/>
              <w:bottom w:val="single" w:sz="2" w:space="0" w:color="auto"/>
              <w:right w:val="single" w:sz="2" w:space="0" w:color="auto"/>
            </w:tcBorders>
            <w:vAlign w:val="center"/>
          </w:tcPr>
          <w:p w14:paraId="21C7E541"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55.8</w:t>
            </w:r>
          </w:p>
        </w:tc>
        <w:tc>
          <w:tcPr>
            <w:tcW w:w="1552" w:type="dxa"/>
            <w:tcBorders>
              <w:top w:val="single" w:sz="2" w:space="0" w:color="auto"/>
              <w:left w:val="single" w:sz="2" w:space="0" w:color="auto"/>
              <w:bottom w:val="single" w:sz="2" w:space="0" w:color="auto"/>
              <w:right w:val="single" w:sz="2" w:space="0" w:color="auto"/>
            </w:tcBorders>
            <w:vAlign w:val="center"/>
          </w:tcPr>
          <w:p w14:paraId="0CB2BA4B"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907,207</w:t>
            </w:r>
          </w:p>
        </w:tc>
        <w:tc>
          <w:tcPr>
            <w:tcW w:w="1553" w:type="dxa"/>
            <w:tcBorders>
              <w:top w:val="single" w:sz="2" w:space="0" w:color="auto"/>
              <w:left w:val="single" w:sz="2" w:space="0" w:color="auto"/>
              <w:bottom w:val="single" w:sz="2" w:space="0" w:color="auto"/>
              <w:right w:val="single" w:sz="2" w:space="0" w:color="auto"/>
            </w:tcBorders>
            <w:vAlign w:val="center"/>
          </w:tcPr>
          <w:p w14:paraId="3FA19441"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65.6</w:t>
            </w:r>
          </w:p>
        </w:tc>
      </w:tr>
      <w:tr w:rsidR="00CE54D7" w:rsidRPr="00413003" w:rsidDel="001374F4" w14:paraId="035B0D98"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7A8A8F8A" w14:textId="77777777" w:rsidR="00FC0E68" w:rsidRPr="00413003" w:rsidDel="001374F4" w:rsidRDefault="00FC0E68" w:rsidP="00FC0E68">
            <w:pPr>
              <w:rPr>
                <w:rFonts w:ascii="Arial" w:hAnsi="Arial" w:cs="Arial"/>
                <w:sz w:val="24"/>
                <w:szCs w:val="24"/>
              </w:rPr>
            </w:pPr>
            <w:r w:rsidRPr="00413003">
              <w:rPr>
                <w:rFonts w:ascii="Arial" w:hAnsi="Arial" w:cs="Arial"/>
                <w:sz w:val="24"/>
                <w:szCs w:val="24"/>
              </w:rPr>
              <w:t>Orthopedic impairments</w:t>
            </w:r>
          </w:p>
        </w:tc>
        <w:tc>
          <w:tcPr>
            <w:tcW w:w="1552" w:type="dxa"/>
            <w:tcBorders>
              <w:top w:val="single" w:sz="2" w:space="0" w:color="auto"/>
              <w:left w:val="single" w:sz="2" w:space="0" w:color="auto"/>
              <w:bottom w:val="single" w:sz="2" w:space="0" w:color="auto"/>
              <w:right w:val="single" w:sz="2" w:space="0" w:color="auto"/>
            </w:tcBorders>
            <w:vAlign w:val="center"/>
          </w:tcPr>
          <w:p w14:paraId="30B1A0A9"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63,156</w:t>
            </w:r>
          </w:p>
        </w:tc>
        <w:tc>
          <w:tcPr>
            <w:tcW w:w="1553" w:type="dxa"/>
            <w:tcBorders>
              <w:top w:val="single" w:sz="2" w:space="0" w:color="auto"/>
              <w:left w:val="single" w:sz="2" w:space="0" w:color="auto"/>
              <w:bottom w:val="single" w:sz="2" w:space="0" w:color="auto"/>
              <w:right w:val="single" w:sz="2" w:space="0" w:color="auto"/>
            </w:tcBorders>
            <w:vAlign w:val="center"/>
          </w:tcPr>
          <w:p w14:paraId="296D5314"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49.4</w:t>
            </w:r>
          </w:p>
        </w:tc>
        <w:tc>
          <w:tcPr>
            <w:tcW w:w="1552" w:type="dxa"/>
            <w:tcBorders>
              <w:top w:val="single" w:sz="2" w:space="0" w:color="auto"/>
              <w:left w:val="single" w:sz="2" w:space="0" w:color="auto"/>
              <w:bottom w:val="single" w:sz="2" w:space="0" w:color="auto"/>
              <w:right w:val="single" w:sz="2" w:space="0" w:color="auto"/>
            </w:tcBorders>
            <w:vAlign w:val="center"/>
          </w:tcPr>
          <w:p w14:paraId="6218FE61"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41,232</w:t>
            </w:r>
          </w:p>
        </w:tc>
        <w:tc>
          <w:tcPr>
            <w:tcW w:w="1553" w:type="dxa"/>
            <w:tcBorders>
              <w:top w:val="single" w:sz="2" w:space="0" w:color="auto"/>
              <w:left w:val="single" w:sz="2" w:space="0" w:color="auto"/>
              <w:bottom w:val="single" w:sz="2" w:space="0" w:color="auto"/>
              <w:right w:val="single" w:sz="2" w:space="0" w:color="auto"/>
            </w:tcBorders>
            <w:vAlign w:val="center"/>
          </w:tcPr>
          <w:p w14:paraId="73E3C074"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53.6</w:t>
            </w:r>
          </w:p>
        </w:tc>
      </w:tr>
      <w:tr w:rsidR="00CE54D7" w:rsidRPr="00413003" w:rsidDel="001374F4" w14:paraId="55E4F80E"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57251F76"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Specific </w:t>
            </w:r>
            <w:r w:rsidRPr="00413003">
              <w:rPr>
                <w:rFonts w:ascii="Arial" w:hAnsi="Arial" w:cs="Arial"/>
                <w:sz w:val="24"/>
                <w:szCs w:val="24"/>
              </w:rPr>
              <w:t>l</w:t>
            </w:r>
            <w:r w:rsidRPr="00413003" w:rsidDel="001374F4">
              <w:rPr>
                <w:rFonts w:ascii="Arial" w:hAnsi="Arial" w:cs="Arial"/>
                <w:sz w:val="24"/>
                <w:szCs w:val="24"/>
              </w:rPr>
              <w:t xml:space="preserve">earning </w:t>
            </w:r>
            <w:r w:rsidRPr="00413003">
              <w:rPr>
                <w:rFonts w:ascii="Arial" w:hAnsi="Arial" w:cs="Arial"/>
                <w:sz w:val="24"/>
                <w:szCs w:val="24"/>
              </w:rPr>
              <w:t>d</w:t>
            </w:r>
            <w:r w:rsidRPr="00413003" w:rsidDel="001374F4">
              <w:rPr>
                <w:rFonts w:ascii="Arial" w:hAnsi="Arial" w:cs="Arial"/>
                <w:sz w:val="24"/>
                <w:szCs w:val="24"/>
              </w:rPr>
              <w:t>isabilities</w:t>
            </w:r>
          </w:p>
        </w:tc>
        <w:tc>
          <w:tcPr>
            <w:tcW w:w="1552" w:type="dxa"/>
            <w:tcBorders>
              <w:top w:val="single" w:sz="2" w:space="0" w:color="auto"/>
              <w:left w:val="single" w:sz="2" w:space="0" w:color="auto"/>
              <w:bottom w:val="single" w:sz="2" w:space="0" w:color="auto"/>
              <w:right w:val="single" w:sz="2" w:space="0" w:color="auto"/>
            </w:tcBorders>
            <w:vAlign w:val="center"/>
          </w:tcPr>
          <w:p w14:paraId="4634E841"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2,779,562</w:t>
            </w:r>
          </w:p>
        </w:tc>
        <w:tc>
          <w:tcPr>
            <w:tcW w:w="1553" w:type="dxa"/>
            <w:tcBorders>
              <w:top w:val="single" w:sz="2" w:space="0" w:color="auto"/>
              <w:left w:val="single" w:sz="2" w:space="0" w:color="auto"/>
              <w:bottom w:val="single" w:sz="2" w:space="0" w:color="auto"/>
              <w:right w:val="single" w:sz="2" w:space="0" w:color="auto"/>
            </w:tcBorders>
            <w:vAlign w:val="center"/>
          </w:tcPr>
          <w:p w14:paraId="76BEDF26"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53.6</w:t>
            </w:r>
          </w:p>
        </w:tc>
        <w:tc>
          <w:tcPr>
            <w:tcW w:w="1552" w:type="dxa"/>
            <w:tcBorders>
              <w:top w:val="single" w:sz="2" w:space="0" w:color="auto"/>
              <w:left w:val="single" w:sz="2" w:space="0" w:color="auto"/>
              <w:bottom w:val="single" w:sz="2" w:space="0" w:color="auto"/>
              <w:right w:val="single" w:sz="2" w:space="0" w:color="auto"/>
            </w:tcBorders>
            <w:vAlign w:val="center"/>
          </w:tcPr>
          <w:p w14:paraId="1383B75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2,348,891</w:t>
            </w:r>
          </w:p>
        </w:tc>
        <w:tc>
          <w:tcPr>
            <w:tcW w:w="1553" w:type="dxa"/>
            <w:tcBorders>
              <w:top w:val="single" w:sz="2" w:space="0" w:color="auto"/>
              <w:left w:val="single" w:sz="2" w:space="0" w:color="auto"/>
              <w:bottom w:val="single" w:sz="2" w:space="0" w:color="auto"/>
              <w:right w:val="single" w:sz="2" w:space="0" w:color="auto"/>
            </w:tcBorders>
            <w:vAlign w:val="center"/>
          </w:tcPr>
          <w:p w14:paraId="3F1CFB64"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69.7</w:t>
            </w:r>
          </w:p>
        </w:tc>
      </w:tr>
      <w:tr w:rsidR="00CE54D7" w:rsidRPr="00413003" w:rsidDel="001374F4" w14:paraId="738B1E69"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4C0D0AED"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Speech or </w:t>
            </w:r>
            <w:r w:rsidRPr="00413003">
              <w:rPr>
                <w:rFonts w:ascii="Arial" w:hAnsi="Arial" w:cs="Arial"/>
                <w:sz w:val="24"/>
                <w:szCs w:val="24"/>
              </w:rPr>
              <w:t>l</w:t>
            </w:r>
            <w:r w:rsidRPr="00413003" w:rsidDel="001374F4">
              <w:rPr>
                <w:rFonts w:ascii="Arial" w:hAnsi="Arial" w:cs="Arial"/>
                <w:sz w:val="24"/>
                <w:szCs w:val="24"/>
              </w:rPr>
              <w:t xml:space="preserve">anguage </w:t>
            </w:r>
            <w:r w:rsidRPr="00413003">
              <w:rPr>
                <w:rFonts w:ascii="Arial" w:hAnsi="Arial" w:cs="Arial"/>
                <w:sz w:val="24"/>
                <w:szCs w:val="24"/>
              </w:rPr>
              <w:t>i</w:t>
            </w:r>
            <w:r w:rsidRPr="00413003" w:rsidDel="001374F4">
              <w:rPr>
                <w:rFonts w:ascii="Arial" w:hAnsi="Arial" w:cs="Arial"/>
                <w:sz w:val="24"/>
                <w:szCs w:val="24"/>
              </w:rPr>
              <w:t>mpairments</w:t>
            </w:r>
          </w:p>
        </w:tc>
        <w:tc>
          <w:tcPr>
            <w:tcW w:w="1552" w:type="dxa"/>
            <w:tcBorders>
              <w:top w:val="single" w:sz="2" w:space="0" w:color="auto"/>
              <w:left w:val="single" w:sz="2" w:space="0" w:color="auto"/>
              <w:bottom w:val="single" w:sz="2" w:space="0" w:color="auto"/>
              <w:right w:val="single" w:sz="2" w:space="0" w:color="auto"/>
            </w:tcBorders>
            <w:vAlign w:val="center"/>
          </w:tcPr>
          <w:p w14:paraId="2B68F7C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1,158,664</w:t>
            </w:r>
          </w:p>
        </w:tc>
        <w:tc>
          <w:tcPr>
            <w:tcW w:w="1553" w:type="dxa"/>
            <w:tcBorders>
              <w:top w:val="single" w:sz="2" w:space="0" w:color="auto"/>
              <w:left w:val="single" w:sz="2" w:space="0" w:color="auto"/>
              <w:bottom w:val="single" w:sz="2" w:space="0" w:color="auto"/>
              <w:right w:val="single" w:sz="2" w:space="0" w:color="auto"/>
            </w:tcBorders>
            <w:vAlign w:val="center"/>
          </w:tcPr>
          <w:p w14:paraId="74F619F4"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88.0</w:t>
            </w:r>
          </w:p>
        </w:tc>
        <w:tc>
          <w:tcPr>
            <w:tcW w:w="1552" w:type="dxa"/>
            <w:tcBorders>
              <w:top w:val="single" w:sz="2" w:space="0" w:color="auto"/>
              <w:left w:val="single" w:sz="2" w:space="0" w:color="auto"/>
              <w:bottom w:val="single" w:sz="2" w:space="0" w:color="auto"/>
              <w:right w:val="single" w:sz="2" w:space="0" w:color="auto"/>
            </w:tcBorders>
            <w:vAlign w:val="center"/>
          </w:tcPr>
          <w:p w14:paraId="204E9A3B"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1,044,286</w:t>
            </w:r>
          </w:p>
        </w:tc>
        <w:tc>
          <w:tcPr>
            <w:tcW w:w="1553" w:type="dxa"/>
            <w:tcBorders>
              <w:top w:val="single" w:sz="2" w:space="0" w:color="auto"/>
              <w:left w:val="single" w:sz="2" w:space="0" w:color="auto"/>
              <w:bottom w:val="single" w:sz="2" w:space="0" w:color="auto"/>
              <w:right w:val="single" w:sz="2" w:space="0" w:color="auto"/>
            </w:tcBorders>
            <w:vAlign w:val="center"/>
          </w:tcPr>
          <w:p w14:paraId="027F9531"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86.7</w:t>
            </w:r>
          </w:p>
        </w:tc>
      </w:tr>
      <w:tr w:rsidR="00CE54D7" w:rsidRPr="00413003" w:rsidDel="001374F4" w14:paraId="1E2A74E3"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3B1AA965"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Traumatic </w:t>
            </w:r>
            <w:r w:rsidRPr="00413003">
              <w:rPr>
                <w:rFonts w:ascii="Arial" w:hAnsi="Arial" w:cs="Arial"/>
                <w:sz w:val="24"/>
                <w:szCs w:val="24"/>
              </w:rPr>
              <w:t>b</w:t>
            </w:r>
            <w:r w:rsidRPr="00413003" w:rsidDel="001374F4">
              <w:rPr>
                <w:rFonts w:ascii="Arial" w:hAnsi="Arial" w:cs="Arial"/>
                <w:sz w:val="24"/>
                <w:szCs w:val="24"/>
              </w:rPr>
              <w:t xml:space="preserve">rain </w:t>
            </w:r>
            <w:r w:rsidRPr="00413003">
              <w:rPr>
                <w:rFonts w:ascii="Arial" w:hAnsi="Arial" w:cs="Arial"/>
                <w:sz w:val="24"/>
                <w:szCs w:val="24"/>
              </w:rPr>
              <w:t>i</w:t>
            </w:r>
            <w:r w:rsidRPr="00413003" w:rsidDel="001374F4">
              <w:rPr>
                <w:rFonts w:ascii="Arial" w:hAnsi="Arial" w:cs="Arial"/>
                <w:sz w:val="24"/>
                <w:szCs w:val="24"/>
              </w:rPr>
              <w:t>njury</w:t>
            </w:r>
          </w:p>
        </w:tc>
        <w:tc>
          <w:tcPr>
            <w:tcW w:w="1552" w:type="dxa"/>
            <w:tcBorders>
              <w:top w:val="single" w:sz="2" w:space="0" w:color="auto"/>
              <w:left w:val="single" w:sz="2" w:space="0" w:color="auto"/>
              <w:bottom w:val="single" w:sz="2" w:space="0" w:color="auto"/>
              <w:right w:val="single" w:sz="2" w:space="0" w:color="auto"/>
            </w:tcBorders>
            <w:vAlign w:val="center"/>
          </w:tcPr>
          <w:p w14:paraId="08E14CDB"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23,502</w:t>
            </w:r>
          </w:p>
        </w:tc>
        <w:tc>
          <w:tcPr>
            <w:tcW w:w="1553" w:type="dxa"/>
            <w:tcBorders>
              <w:top w:val="single" w:sz="2" w:space="0" w:color="auto"/>
              <w:left w:val="single" w:sz="2" w:space="0" w:color="auto"/>
              <w:bottom w:val="single" w:sz="2" w:space="0" w:color="auto"/>
              <w:right w:val="single" w:sz="2" w:space="0" w:color="auto"/>
            </w:tcBorders>
            <w:vAlign w:val="center"/>
          </w:tcPr>
          <w:p w14:paraId="464E13C6"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40.0</w:t>
            </w:r>
          </w:p>
        </w:tc>
        <w:tc>
          <w:tcPr>
            <w:tcW w:w="1552" w:type="dxa"/>
            <w:tcBorders>
              <w:top w:val="single" w:sz="2" w:space="0" w:color="auto"/>
              <w:left w:val="single" w:sz="2" w:space="0" w:color="auto"/>
              <w:bottom w:val="single" w:sz="2" w:space="0" w:color="auto"/>
              <w:right w:val="single" w:sz="2" w:space="0" w:color="auto"/>
            </w:tcBorders>
            <w:vAlign w:val="center"/>
          </w:tcPr>
          <w:p w14:paraId="3C595ED5"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25,488</w:t>
            </w:r>
          </w:p>
        </w:tc>
        <w:tc>
          <w:tcPr>
            <w:tcW w:w="1553" w:type="dxa"/>
            <w:tcBorders>
              <w:top w:val="single" w:sz="2" w:space="0" w:color="auto"/>
              <w:left w:val="single" w:sz="2" w:space="0" w:color="auto"/>
              <w:bottom w:val="single" w:sz="2" w:space="0" w:color="auto"/>
              <w:right w:val="single" w:sz="2" w:space="0" w:color="auto"/>
            </w:tcBorders>
            <w:vAlign w:val="center"/>
          </w:tcPr>
          <w:p w14:paraId="4B97EB4B"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50.1</w:t>
            </w:r>
          </w:p>
        </w:tc>
      </w:tr>
      <w:tr w:rsidR="00CE54D7" w:rsidRPr="00413003" w:rsidDel="001374F4" w14:paraId="517EE638"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5DD2FDBB" w14:textId="77777777" w:rsidR="00FC0E68" w:rsidRPr="00413003" w:rsidDel="001374F4" w:rsidRDefault="00FC0E68" w:rsidP="00FC0E68">
            <w:pPr>
              <w:rPr>
                <w:rFonts w:ascii="Arial" w:hAnsi="Arial" w:cs="Arial"/>
                <w:sz w:val="24"/>
                <w:szCs w:val="24"/>
              </w:rPr>
            </w:pPr>
            <w:r w:rsidRPr="00413003" w:rsidDel="001374F4">
              <w:rPr>
                <w:rFonts w:ascii="Arial" w:hAnsi="Arial" w:cs="Arial"/>
                <w:sz w:val="24"/>
                <w:szCs w:val="24"/>
              </w:rPr>
              <w:t xml:space="preserve">Visual </w:t>
            </w:r>
            <w:r w:rsidRPr="00413003">
              <w:rPr>
                <w:rFonts w:ascii="Arial" w:hAnsi="Arial" w:cs="Arial"/>
                <w:sz w:val="24"/>
                <w:szCs w:val="24"/>
              </w:rPr>
              <w:t>i</w:t>
            </w:r>
            <w:r w:rsidRPr="00413003" w:rsidDel="001374F4">
              <w:rPr>
                <w:rFonts w:ascii="Arial" w:hAnsi="Arial" w:cs="Arial"/>
                <w:sz w:val="24"/>
                <w:szCs w:val="24"/>
              </w:rPr>
              <w:t>mpairments</w:t>
            </w:r>
          </w:p>
        </w:tc>
        <w:tc>
          <w:tcPr>
            <w:tcW w:w="1552" w:type="dxa"/>
            <w:tcBorders>
              <w:top w:val="single" w:sz="2" w:space="0" w:color="auto"/>
              <w:left w:val="single" w:sz="2" w:space="0" w:color="auto"/>
              <w:bottom w:val="single" w:sz="2" w:space="0" w:color="auto"/>
              <w:right w:val="single" w:sz="2" w:space="0" w:color="auto"/>
            </w:tcBorders>
            <w:vAlign w:val="center"/>
          </w:tcPr>
          <w:p w14:paraId="025CE3E7"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26,277</w:t>
            </w:r>
          </w:p>
        </w:tc>
        <w:tc>
          <w:tcPr>
            <w:tcW w:w="1553" w:type="dxa"/>
            <w:tcBorders>
              <w:top w:val="single" w:sz="2" w:space="0" w:color="auto"/>
              <w:left w:val="single" w:sz="2" w:space="0" w:color="auto"/>
              <w:bottom w:val="single" w:sz="2" w:space="0" w:color="auto"/>
              <w:right w:val="single" w:sz="2" w:space="0" w:color="auto"/>
            </w:tcBorders>
            <w:vAlign w:val="center"/>
          </w:tcPr>
          <w:p w14:paraId="409FB6C9"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57.3</w:t>
            </w:r>
          </w:p>
        </w:tc>
        <w:tc>
          <w:tcPr>
            <w:tcW w:w="1552" w:type="dxa"/>
            <w:tcBorders>
              <w:top w:val="single" w:sz="2" w:space="0" w:color="auto"/>
              <w:left w:val="single" w:sz="2" w:space="0" w:color="auto"/>
              <w:bottom w:val="single" w:sz="2" w:space="0" w:color="auto"/>
              <w:right w:val="single" w:sz="2" w:space="0" w:color="auto"/>
            </w:tcBorders>
            <w:vAlign w:val="center"/>
          </w:tcPr>
          <w:p w14:paraId="4A341AC2"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24,944</w:t>
            </w:r>
          </w:p>
        </w:tc>
        <w:tc>
          <w:tcPr>
            <w:tcW w:w="1553" w:type="dxa"/>
            <w:tcBorders>
              <w:top w:val="single" w:sz="2" w:space="0" w:color="auto"/>
              <w:left w:val="single" w:sz="2" w:space="0" w:color="auto"/>
              <w:bottom w:val="single" w:sz="2" w:space="0" w:color="auto"/>
              <w:right w:val="single" w:sz="2" w:space="0" w:color="auto"/>
            </w:tcBorders>
            <w:vAlign w:val="center"/>
          </w:tcPr>
          <w:p w14:paraId="4BF357DF"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67.22</w:t>
            </w:r>
          </w:p>
        </w:tc>
      </w:tr>
      <w:tr w:rsidR="00CE54D7" w:rsidRPr="00413003" w:rsidDel="001374F4" w14:paraId="193DD1AB" w14:textId="77777777" w:rsidTr="001024F5">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0C52D4E1" w14:textId="77777777" w:rsidR="00FC0E68" w:rsidRPr="00413003" w:rsidDel="001374F4" w:rsidRDefault="00FC0E68" w:rsidP="00FC0E68">
            <w:pPr>
              <w:jc w:val="right"/>
              <w:rPr>
                <w:rFonts w:ascii="Arial" w:hAnsi="Arial" w:cs="Arial"/>
                <w:b/>
                <w:sz w:val="24"/>
                <w:szCs w:val="24"/>
              </w:rPr>
            </w:pPr>
            <w:r w:rsidRPr="00413003" w:rsidDel="001374F4">
              <w:rPr>
                <w:rFonts w:ascii="Arial" w:hAnsi="Arial" w:cs="Arial"/>
                <w:b/>
                <w:sz w:val="24"/>
                <w:szCs w:val="24"/>
              </w:rPr>
              <w:t>All Disabilities</w:t>
            </w:r>
          </w:p>
        </w:tc>
        <w:tc>
          <w:tcPr>
            <w:tcW w:w="1552" w:type="dxa"/>
            <w:tcBorders>
              <w:top w:val="single" w:sz="2" w:space="0" w:color="auto"/>
              <w:left w:val="single" w:sz="2" w:space="0" w:color="auto"/>
              <w:bottom w:val="single" w:sz="2" w:space="0" w:color="auto"/>
              <w:right w:val="single" w:sz="2" w:space="0" w:color="auto"/>
            </w:tcBorders>
            <w:vAlign w:val="center"/>
          </w:tcPr>
          <w:p w14:paraId="60BD69BE" w14:textId="77777777" w:rsidR="00FC0E68" w:rsidRPr="00413003" w:rsidDel="001374F4" w:rsidRDefault="00FC0E68" w:rsidP="00FC0E68">
            <w:pPr>
              <w:jc w:val="right"/>
              <w:rPr>
                <w:rFonts w:ascii="Arial" w:hAnsi="Arial" w:cs="Arial"/>
                <w:sz w:val="24"/>
                <w:szCs w:val="24"/>
              </w:rPr>
            </w:pPr>
            <w:r w:rsidRPr="00413003">
              <w:rPr>
                <w:rFonts w:ascii="Arial" w:hAnsi="Arial" w:cs="Arial"/>
                <w:sz w:val="24"/>
                <w:szCs w:val="24"/>
              </w:rPr>
              <w:t>6,110,829</w:t>
            </w:r>
          </w:p>
        </w:tc>
        <w:tc>
          <w:tcPr>
            <w:tcW w:w="1553" w:type="dxa"/>
            <w:tcBorders>
              <w:top w:val="single" w:sz="2" w:space="0" w:color="auto"/>
              <w:left w:val="single" w:sz="2" w:space="0" w:color="auto"/>
              <w:bottom w:val="single" w:sz="2" w:space="0" w:color="auto"/>
              <w:right w:val="single" w:sz="2" w:space="0" w:color="auto"/>
            </w:tcBorders>
            <w:vAlign w:val="center"/>
          </w:tcPr>
          <w:p w14:paraId="5D8E8C17" w14:textId="77777777" w:rsidR="00FC0E68" w:rsidRPr="00413003" w:rsidDel="001374F4" w:rsidRDefault="00FC0E68" w:rsidP="00FC0E68">
            <w:pPr>
              <w:jc w:val="right"/>
              <w:rPr>
                <w:rFonts w:ascii="Arial" w:hAnsi="Arial" w:cs="Arial"/>
                <w:b/>
                <w:sz w:val="24"/>
                <w:szCs w:val="24"/>
              </w:rPr>
            </w:pPr>
            <w:r w:rsidRPr="00413003">
              <w:rPr>
                <w:rFonts w:ascii="Arial" w:hAnsi="Arial" w:cs="Arial"/>
                <w:b/>
                <w:sz w:val="24"/>
                <w:szCs w:val="24"/>
              </w:rPr>
              <w:t>53.6</w:t>
            </w:r>
          </w:p>
        </w:tc>
        <w:tc>
          <w:tcPr>
            <w:tcW w:w="1552" w:type="dxa"/>
            <w:tcBorders>
              <w:top w:val="single" w:sz="2" w:space="0" w:color="auto"/>
              <w:left w:val="single" w:sz="2" w:space="0" w:color="auto"/>
              <w:bottom w:val="single" w:sz="2" w:space="0" w:color="auto"/>
              <w:right w:val="single" w:sz="2" w:space="0" w:color="auto"/>
            </w:tcBorders>
            <w:vAlign w:val="center"/>
          </w:tcPr>
          <w:p w14:paraId="40A1480A" w14:textId="77777777" w:rsidR="00FC0E68" w:rsidRPr="00413003" w:rsidDel="001374F4" w:rsidRDefault="00FC0E68" w:rsidP="00FC0E68">
            <w:pPr>
              <w:jc w:val="right"/>
              <w:rPr>
                <w:rFonts w:ascii="Arial" w:hAnsi="Arial" w:cs="Arial"/>
                <w:b/>
                <w:sz w:val="24"/>
                <w:szCs w:val="24"/>
              </w:rPr>
            </w:pPr>
            <w:r w:rsidRPr="00413003">
              <w:rPr>
                <w:rFonts w:ascii="Arial" w:hAnsi="Arial" w:cs="Arial"/>
                <w:sz w:val="24"/>
                <w:szCs w:val="24"/>
              </w:rPr>
              <w:t>6,050,725</w:t>
            </w:r>
          </w:p>
        </w:tc>
        <w:tc>
          <w:tcPr>
            <w:tcW w:w="1553" w:type="dxa"/>
            <w:tcBorders>
              <w:top w:val="single" w:sz="2" w:space="0" w:color="auto"/>
              <w:left w:val="single" w:sz="2" w:space="0" w:color="auto"/>
              <w:bottom w:val="single" w:sz="2" w:space="0" w:color="auto"/>
              <w:right w:val="single" w:sz="2" w:space="0" w:color="auto"/>
            </w:tcBorders>
            <w:vAlign w:val="center"/>
          </w:tcPr>
          <w:p w14:paraId="065580E0" w14:textId="77777777" w:rsidR="00FC0E68" w:rsidRPr="00413003" w:rsidDel="001374F4" w:rsidRDefault="00FC0E68" w:rsidP="00FC0E68">
            <w:pPr>
              <w:jc w:val="right"/>
              <w:rPr>
                <w:rFonts w:ascii="Arial" w:hAnsi="Arial" w:cs="Arial"/>
                <w:b/>
                <w:sz w:val="24"/>
                <w:szCs w:val="24"/>
              </w:rPr>
            </w:pPr>
            <w:r w:rsidRPr="00413003">
              <w:rPr>
                <w:rFonts w:ascii="Arial" w:hAnsi="Arial" w:cs="Arial"/>
                <w:b/>
                <w:sz w:val="24"/>
                <w:szCs w:val="24"/>
              </w:rPr>
              <w:t>62.7</w:t>
            </w:r>
          </w:p>
        </w:tc>
      </w:tr>
    </w:tbl>
    <w:p w14:paraId="73A13AC0" w14:textId="77777777" w:rsidR="00FC0E68" w:rsidRPr="00413003" w:rsidDel="001374F4" w:rsidRDefault="00FC0E68" w:rsidP="001024F5">
      <w:pPr>
        <w:spacing w:before="200"/>
        <w:ind w:left="720" w:hanging="720"/>
        <w:rPr>
          <w:rFonts w:ascii="Arial" w:hAnsi="Arial" w:cs="Arial"/>
          <w:sz w:val="24"/>
          <w:szCs w:val="24"/>
        </w:rPr>
      </w:pPr>
      <w:r w:rsidRPr="00413003">
        <w:rPr>
          <w:rFonts w:ascii="Arial" w:hAnsi="Arial" w:cs="Arial"/>
          <w:sz w:val="24"/>
          <w:szCs w:val="24"/>
          <w:vertAlign w:val="superscript"/>
        </w:rPr>
        <w:t xml:space="preserve">1 </w:t>
      </w:r>
      <w:r w:rsidRPr="00413003">
        <w:rPr>
          <w:rFonts w:ascii="Arial" w:hAnsi="Arial" w:cs="Arial"/>
          <w:sz w:val="24"/>
          <w:szCs w:val="24"/>
        </w:rPr>
        <w:t>U.S. Department of Education, 29th Report to Congress, 2010</w:t>
      </w:r>
      <w:r w:rsidRPr="00413003" w:rsidDel="001374F4">
        <w:rPr>
          <w:rFonts w:ascii="Arial" w:hAnsi="Arial" w:cs="Arial"/>
          <w:sz w:val="24"/>
          <w:szCs w:val="24"/>
        </w:rPr>
        <w:t xml:space="preserve"> Table 2.2, p. 174</w:t>
      </w:r>
      <w:r w:rsidRPr="00413003">
        <w:rPr>
          <w:rFonts w:ascii="Arial" w:hAnsi="Arial" w:cs="Arial"/>
          <w:sz w:val="24"/>
          <w:szCs w:val="24"/>
        </w:rPr>
        <w:t>.</w:t>
      </w:r>
    </w:p>
    <w:p w14:paraId="0B57C958" w14:textId="2490EF56" w:rsidR="00FC0E68" w:rsidRPr="00413003" w:rsidRDefault="00FC0E68" w:rsidP="00FC0E68">
      <w:pPr>
        <w:rPr>
          <w:rFonts w:ascii="Arial" w:hAnsi="Arial" w:cs="Arial"/>
          <w:b/>
          <w:bCs/>
          <w:sz w:val="24"/>
          <w:szCs w:val="24"/>
        </w:rPr>
      </w:pPr>
      <w:r w:rsidRPr="00413003">
        <w:rPr>
          <w:rFonts w:ascii="Arial" w:hAnsi="Arial" w:cs="Arial"/>
          <w:sz w:val="24"/>
          <w:szCs w:val="24"/>
          <w:vertAlign w:val="superscript"/>
        </w:rPr>
        <w:t xml:space="preserve">2 </w:t>
      </w:r>
      <w:r w:rsidRPr="00413003">
        <w:rPr>
          <w:rFonts w:ascii="Arial" w:eastAsia="Times New Roman" w:hAnsi="Arial" w:cs="Arial"/>
          <w:i/>
          <w:sz w:val="24"/>
          <w:szCs w:val="24"/>
        </w:rPr>
        <w:t>Source:</w:t>
      </w:r>
      <w:r w:rsidRPr="00413003">
        <w:rPr>
          <w:rFonts w:ascii="Arial" w:eastAsia="Times New Roman" w:hAnsi="Arial" w:cs="Arial"/>
          <w:sz w:val="24"/>
          <w:szCs w:val="24"/>
        </w:rPr>
        <w:t xml:space="preserve"> U.S. Department of Education, </w:t>
      </w:r>
      <w:proofErr w:type="spellStart"/>
      <w:r w:rsidRPr="00413003">
        <w:rPr>
          <w:rFonts w:ascii="Arial" w:eastAsia="Times New Roman" w:hAnsi="Arial" w:cs="Arial"/>
          <w:sz w:val="24"/>
          <w:szCs w:val="24"/>
        </w:rPr>
        <w:t>ED</w:t>
      </w:r>
      <w:r w:rsidRPr="00413003">
        <w:rPr>
          <w:rFonts w:ascii="Arial" w:eastAsia="Times New Roman" w:hAnsi="Arial" w:cs="Arial"/>
          <w:i/>
          <w:iCs/>
          <w:sz w:val="24"/>
          <w:szCs w:val="24"/>
        </w:rPr>
        <w:t>Facts</w:t>
      </w:r>
      <w:proofErr w:type="spellEnd"/>
      <w:r w:rsidRPr="00413003">
        <w:rPr>
          <w:rFonts w:ascii="Arial" w:eastAsia="Times New Roman" w:hAnsi="Arial" w:cs="Arial"/>
          <w:sz w:val="24"/>
          <w:szCs w:val="24"/>
        </w:rPr>
        <w:t xml:space="preserve"> Data Warehouse (EDW), “IDEA Part B Child Count and Educational Environments Collection,” 2015–2016, </w:t>
      </w:r>
      <w:hyperlink r:id="rId14" w:tooltip="http://www2.ed.gov/programs/osepidea/618-data/index.html" w:history="1">
        <w:r w:rsidRPr="00CE54D7">
          <w:rPr>
            <w:rStyle w:val="Hyperlink"/>
            <w:rFonts w:ascii="Arial" w:eastAsia="Times New Roman" w:hAnsi="Arial" w:cs="Arial"/>
            <w:color w:val="0000FF"/>
            <w:sz w:val="24"/>
            <w:szCs w:val="24"/>
          </w:rPr>
          <w:t>http://www2.ed.gov/programs/osepidea/618-data/index.html</w:t>
        </w:r>
      </w:hyperlink>
      <w:r w:rsidRPr="00413003">
        <w:rPr>
          <w:rFonts w:ascii="Arial" w:eastAsia="Times New Roman" w:hAnsi="Arial" w:cs="Arial"/>
          <w:sz w:val="24"/>
          <w:szCs w:val="24"/>
        </w:rPr>
        <w:t>. Data extracted as of July 14, 2016, from file specifications 002 and 089.</w:t>
      </w:r>
    </w:p>
    <w:p w14:paraId="437949E8" w14:textId="77777777" w:rsidR="001024F5" w:rsidRPr="00413003" w:rsidRDefault="001024F5">
      <w:pPr>
        <w:rPr>
          <w:rFonts w:ascii="Arial" w:hAnsi="Arial" w:cs="Arial"/>
          <w:b/>
          <w:sz w:val="24"/>
          <w:szCs w:val="24"/>
        </w:rPr>
      </w:pPr>
      <w:r w:rsidRPr="00413003">
        <w:rPr>
          <w:rFonts w:ascii="Arial" w:hAnsi="Arial" w:cs="Arial"/>
          <w:b/>
          <w:sz w:val="24"/>
          <w:szCs w:val="24"/>
        </w:rPr>
        <w:br w:type="page"/>
      </w:r>
    </w:p>
    <w:p w14:paraId="1A95FBD4" w14:textId="4FE947EE" w:rsidR="00FC0E68" w:rsidRPr="00413003" w:rsidRDefault="00FC0E68" w:rsidP="001024F5">
      <w:pPr>
        <w:pStyle w:val="NCDBodyText"/>
        <w:rPr>
          <w:b/>
          <w:color w:val="auto"/>
        </w:rPr>
      </w:pPr>
      <w:r w:rsidRPr="00413003">
        <w:rPr>
          <w:b/>
          <w:color w:val="auto"/>
        </w:rPr>
        <w:lastRenderedPageBreak/>
        <w:t xml:space="preserve">Table 3 </w:t>
      </w:r>
    </w:p>
    <w:p w14:paraId="06EABC07" w14:textId="77777777" w:rsidR="00FC0E68" w:rsidRPr="00413003" w:rsidRDefault="00FC0E68" w:rsidP="001024F5">
      <w:pPr>
        <w:pStyle w:val="NCDBodyText"/>
        <w:rPr>
          <w:b/>
          <w:bCs/>
          <w:snapToGrid w:val="0"/>
          <w:color w:val="auto"/>
        </w:rPr>
      </w:pPr>
      <w:r w:rsidRPr="00413003">
        <w:rPr>
          <w:b/>
          <w:color w:val="auto"/>
        </w:rPr>
        <w:t xml:space="preserve">Number of Students with Disabilities by Race in the Total Special Education Population and Percent Educated </w:t>
      </w:r>
      <w:r w:rsidRPr="00413003">
        <w:rPr>
          <w:b/>
          <w:bCs/>
          <w:snapToGrid w:val="0"/>
          <w:color w:val="auto"/>
        </w:rPr>
        <w:t>at Least 80 Percent of the Time in General Education</w:t>
      </w:r>
    </w:p>
    <w:tbl>
      <w:tblPr>
        <w:tblStyle w:val="TableGrid"/>
        <w:tblW w:w="9454"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Number of Students with Disabilities by Race in the Total Special Education Population and Percent Educated at Least 80% of the Time in General Education"/>
        <w:tblDescription w:val="This table compares number of students by race educated in general education at least 80% of the time.  There were gains in each category; American/Alaskan Native went from 52.9 to 64.1 ; Asian/Pacific Islander 52.2 to 56.5; Black/African American 43.9 to 58.0 ; Hispanic  47.1 to 61.0; White 59.1 to 65.5.  There were not comparative data for Native Hawians/Pacific Islanders or Tow mor more races in 2005-2006.  Overall disabilities the increase was from 53.6 to 62.7"/>
      </w:tblPr>
      <w:tblGrid>
        <w:gridCol w:w="3244"/>
        <w:gridCol w:w="1552"/>
        <w:gridCol w:w="1553"/>
        <w:gridCol w:w="1552"/>
        <w:gridCol w:w="1553"/>
      </w:tblGrid>
      <w:tr w:rsidR="00FC0E68" w:rsidRPr="00413003" w14:paraId="4634219E" w14:textId="77777777" w:rsidTr="00FC0E68">
        <w:trPr>
          <w:trHeight w:val="282"/>
          <w:tblHeader/>
        </w:trPr>
        <w:tc>
          <w:tcPr>
            <w:tcW w:w="3244" w:type="dxa"/>
            <w:vMerge w:val="restart"/>
            <w:tcBorders>
              <w:top w:val="single" w:sz="4" w:space="0" w:color="auto"/>
              <w:left w:val="single" w:sz="4" w:space="0" w:color="auto"/>
              <w:right w:val="single" w:sz="4" w:space="0" w:color="auto"/>
            </w:tcBorders>
          </w:tcPr>
          <w:p w14:paraId="763BFB02" w14:textId="77777777" w:rsidR="00FC0E68" w:rsidRPr="00413003" w:rsidRDefault="00FC0E68" w:rsidP="00FC0E68">
            <w:pPr>
              <w:rPr>
                <w:rFonts w:ascii="Arial" w:hAnsi="Arial" w:cs="Arial"/>
                <w:sz w:val="24"/>
                <w:szCs w:val="24"/>
              </w:rPr>
            </w:pPr>
          </w:p>
        </w:tc>
        <w:tc>
          <w:tcPr>
            <w:tcW w:w="3105" w:type="dxa"/>
            <w:gridSpan w:val="2"/>
            <w:tcBorders>
              <w:top w:val="single" w:sz="4" w:space="0" w:color="auto"/>
              <w:left w:val="single" w:sz="4" w:space="0" w:color="auto"/>
              <w:bottom w:val="single" w:sz="2" w:space="0" w:color="auto"/>
              <w:right w:val="single" w:sz="4" w:space="0" w:color="auto"/>
            </w:tcBorders>
            <w:vAlign w:val="center"/>
          </w:tcPr>
          <w:p w14:paraId="76196AD8" w14:textId="77777777" w:rsidR="00FC0E68" w:rsidRPr="00413003" w:rsidRDefault="00FC0E68" w:rsidP="00FC0E68">
            <w:pPr>
              <w:jc w:val="center"/>
              <w:rPr>
                <w:rFonts w:ascii="Arial" w:hAnsi="Arial" w:cs="Arial"/>
                <w:b/>
                <w:sz w:val="24"/>
                <w:szCs w:val="24"/>
              </w:rPr>
            </w:pPr>
            <w:r w:rsidRPr="00413003">
              <w:rPr>
                <w:rFonts w:ascii="Arial" w:hAnsi="Arial" w:cs="Arial"/>
                <w:b/>
                <w:sz w:val="24"/>
                <w:szCs w:val="24"/>
              </w:rPr>
              <w:t>2005–2006</w:t>
            </w:r>
            <w:r w:rsidRPr="00413003">
              <w:rPr>
                <w:rFonts w:ascii="Arial" w:hAnsi="Arial" w:cs="Arial"/>
                <w:b/>
                <w:sz w:val="24"/>
                <w:szCs w:val="24"/>
                <w:vertAlign w:val="superscript"/>
              </w:rPr>
              <w:t>1</w:t>
            </w:r>
          </w:p>
        </w:tc>
        <w:tc>
          <w:tcPr>
            <w:tcW w:w="3105" w:type="dxa"/>
            <w:gridSpan w:val="2"/>
            <w:tcBorders>
              <w:top w:val="single" w:sz="4" w:space="0" w:color="auto"/>
              <w:left w:val="single" w:sz="4" w:space="0" w:color="auto"/>
              <w:bottom w:val="single" w:sz="2" w:space="0" w:color="auto"/>
              <w:right w:val="single" w:sz="4" w:space="0" w:color="auto"/>
            </w:tcBorders>
            <w:vAlign w:val="center"/>
          </w:tcPr>
          <w:p w14:paraId="4824C8B2" w14:textId="77777777" w:rsidR="00FC0E68" w:rsidRPr="00413003" w:rsidRDefault="00FC0E68" w:rsidP="00FC0E68">
            <w:pPr>
              <w:jc w:val="center"/>
              <w:rPr>
                <w:rFonts w:ascii="Arial" w:hAnsi="Arial" w:cs="Arial"/>
                <w:b/>
                <w:sz w:val="24"/>
                <w:szCs w:val="24"/>
              </w:rPr>
            </w:pPr>
            <w:r w:rsidRPr="00413003">
              <w:rPr>
                <w:rFonts w:ascii="Arial" w:hAnsi="Arial" w:cs="Arial"/>
                <w:b/>
                <w:sz w:val="24"/>
                <w:szCs w:val="24"/>
              </w:rPr>
              <w:t>2015–2016</w:t>
            </w:r>
            <w:r w:rsidRPr="00413003">
              <w:rPr>
                <w:rFonts w:ascii="Arial" w:hAnsi="Arial" w:cs="Arial"/>
                <w:b/>
                <w:sz w:val="24"/>
                <w:szCs w:val="24"/>
                <w:vertAlign w:val="superscript"/>
              </w:rPr>
              <w:t>2</w:t>
            </w:r>
          </w:p>
        </w:tc>
      </w:tr>
      <w:tr w:rsidR="00FC0E68" w:rsidRPr="00413003" w14:paraId="07877655" w14:textId="77777777" w:rsidTr="00FC0E68">
        <w:trPr>
          <w:trHeight w:val="581"/>
          <w:tblHeader/>
        </w:trPr>
        <w:tc>
          <w:tcPr>
            <w:tcW w:w="3244" w:type="dxa"/>
            <w:vMerge/>
            <w:tcBorders>
              <w:left w:val="single" w:sz="4" w:space="0" w:color="auto"/>
              <w:bottom w:val="single" w:sz="2" w:space="0" w:color="auto"/>
              <w:right w:val="single" w:sz="4" w:space="0" w:color="auto"/>
            </w:tcBorders>
          </w:tcPr>
          <w:p w14:paraId="58FA72C7" w14:textId="77777777" w:rsidR="00FC0E68" w:rsidRPr="00413003" w:rsidRDefault="00FC0E68" w:rsidP="00FC0E68">
            <w:pPr>
              <w:rPr>
                <w:rFonts w:ascii="Arial" w:hAnsi="Arial" w:cs="Arial"/>
                <w:sz w:val="24"/>
                <w:szCs w:val="24"/>
              </w:rPr>
            </w:pPr>
          </w:p>
        </w:tc>
        <w:tc>
          <w:tcPr>
            <w:tcW w:w="1552" w:type="dxa"/>
            <w:tcBorders>
              <w:top w:val="single" w:sz="2" w:space="0" w:color="auto"/>
              <w:left w:val="single" w:sz="4" w:space="0" w:color="auto"/>
              <w:bottom w:val="single" w:sz="2" w:space="0" w:color="auto"/>
              <w:right w:val="single" w:sz="2" w:space="0" w:color="auto"/>
            </w:tcBorders>
          </w:tcPr>
          <w:p w14:paraId="1B1227F8"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Total # Students</w:t>
            </w:r>
          </w:p>
          <w:p w14:paraId="2294093F"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with Disabilities (SWD)</w:t>
            </w:r>
          </w:p>
        </w:tc>
        <w:tc>
          <w:tcPr>
            <w:tcW w:w="1553" w:type="dxa"/>
            <w:tcBorders>
              <w:top w:val="single" w:sz="2" w:space="0" w:color="auto"/>
              <w:left w:val="single" w:sz="2" w:space="0" w:color="auto"/>
              <w:bottom w:val="single" w:sz="2" w:space="0" w:color="auto"/>
              <w:right w:val="single" w:sz="2" w:space="0" w:color="auto"/>
            </w:tcBorders>
            <w:shd w:val="clear" w:color="auto" w:fill="B4C6E7" w:themeFill="accent5" w:themeFillTint="66"/>
          </w:tcPr>
          <w:p w14:paraId="2433798D"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 Included 80% or More (%)</w:t>
            </w:r>
          </w:p>
        </w:tc>
        <w:tc>
          <w:tcPr>
            <w:tcW w:w="1552" w:type="dxa"/>
            <w:tcBorders>
              <w:top w:val="single" w:sz="2" w:space="0" w:color="auto"/>
              <w:left w:val="single" w:sz="2" w:space="0" w:color="auto"/>
              <w:bottom w:val="single" w:sz="2" w:space="0" w:color="auto"/>
              <w:right w:val="single" w:sz="2" w:space="0" w:color="auto"/>
            </w:tcBorders>
          </w:tcPr>
          <w:p w14:paraId="65CACA85"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 Students</w:t>
            </w:r>
          </w:p>
          <w:p w14:paraId="2FC84847"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with Disabilities (SWD)</w:t>
            </w:r>
          </w:p>
        </w:tc>
        <w:tc>
          <w:tcPr>
            <w:tcW w:w="1553" w:type="dxa"/>
            <w:tcBorders>
              <w:top w:val="single" w:sz="2" w:space="0" w:color="auto"/>
              <w:left w:val="single" w:sz="2" w:space="0" w:color="auto"/>
              <w:bottom w:val="single" w:sz="2" w:space="0" w:color="auto"/>
              <w:right w:val="single" w:sz="2" w:space="0" w:color="auto"/>
            </w:tcBorders>
            <w:shd w:val="clear" w:color="auto" w:fill="B4C6E7" w:themeFill="accent5" w:themeFillTint="66"/>
          </w:tcPr>
          <w:p w14:paraId="31899E37"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 Included 80% or More (%)</w:t>
            </w:r>
          </w:p>
        </w:tc>
      </w:tr>
      <w:tr w:rsidR="00FC0E68" w:rsidRPr="00413003" w14:paraId="23943283" w14:textId="77777777" w:rsidTr="00FC0E68">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72D33FE4" w14:textId="4BF2707C" w:rsidR="00FC0E68" w:rsidRPr="00413003" w:rsidRDefault="00FC0E68" w:rsidP="00AD1612">
            <w:pPr>
              <w:rPr>
                <w:rFonts w:ascii="Arial" w:hAnsi="Arial" w:cs="Arial"/>
                <w:sz w:val="24"/>
                <w:szCs w:val="24"/>
              </w:rPr>
            </w:pPr>
            <w:r w:rsidRPr="00413003">
              <w:rPr>
                <w:rFonts w:ascii="Arial" w:hAnsi="Arial" w:cs="Arial"/>
                <w:sz w:val="24"/>
                <w:szCs w:val="24"/>
              </w:rPr>
              <w:t>American/Alaskan Native</w:t>
            </w:r>
          </w:p>
        </w:tc>
        <w:tc>
          <w:tcPr>
            <w:tcW w:w="1552" w:type="dxa"/>
            <w:tcBorders>
              <w:top w:val="single" w:sz="2" w:space="0" w:color="auto"/>
              <w:left w:val="single" w:sz="2" w:space="0" w:color="auto"/>
              <w:bottom w:val="single" w:sz="2" w:space="0" w:color="auto"/>
              <w:right w:val="single" w:sz="2" w:space="0" w:color="auto"/>
            </w:tcBorders>
            <w:vAlign w:val="center"/>
          </w:tcPr>
          <w:p w14:paraId="2D4703B1"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91,814</w:t>
            </w:r>
          </w:p>
        </w:tc>
        <w:tc>
          <w:tcPr>
            <w:tcW w:w="1553" w:type="dxa"/>
            <w:tcBorders>
              <w:top w:val="single" w:sz="2" w:space="0" w:color="auto"/>
              <w:left w:val="single" w:sz="2" w:space="0" w:color="auto"/>
              <w:bottom w:val="single" w:sz="2" w:space="0" w:color="auto"/>
              <w:right w:val="single" w:sz="2" w:space="0" w:color="auto"/>
            </w:tcBorders>
            <w:vAlign w:val="center"/>
          </w:tcPr>
          <w:p w14:paraId="18656C81"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52.9</w:t>
            </w:r>
          </w:p>
        </w:tc>
        <w:tc>
          <w:tcPr>
            <w:tcW w:w="1552" w:type="dxa"/>
            <w:tcBorders>
              <w:top w:val="single" w:sz="2" w:space="0" w:color="auto"/>
              <w:left w:val="single" w:sz="2" w:space="0" w:color="auto"/>
              <w:bottom w:val="single" w:sz="2" w:space="0" w:color="auto"/>
              <w:right w:val="single" w:sz="2" w:space="0" w:color="auto"/>
            </w:tcBorders>
            <w:vAlign w:val="center"/>
          </w:tcPr>
          <w:p w14:paraId="0600441E"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85,690</w:t>
            </w:r>
          </w:p>
        </w:tc>
        <w:tc>
          <w:tcPr>
            <w:tcW w:w="1553" w:type="dxa"/>
            <w:tcBorders>
              <w:top w:val="single" w:sz="2" w:space="0" w:color="auto"/>
              <w:left w:val="single" w:sz="2" w:space="0" w:color="auto"/>
              <w:bottom w:val="single" w:sz="2" w:space="0" w:color="auto"/>
              <w:right w:val="single" w:sz="2" w:space="0" w:color="auto"/>
            </w:tcBorders>
            <w:vAlign w:val="center"/>
          </w:tcPr>
          <w:p w14:paraId="5341EFAA"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64.1</w:t>
            </w:r>
          </w:p>
        </w:tc>
      </w:tr>
      <w:tr w:rsidR="00FC0E68" w:rsidRPr="00413003" w14:paraId="5E4DDFA3" w14:textId="77777777" w:rsidTr="00FC0E68">
        <w:trPr>
          <w:trHeight w:val="368"/>
        </w:trPr>
        <w:tc>
          <w:tcPr>
            <w:tcW w:w="3244" w:type="dxa"/>
            <w:tcBorders>
              <w:top w:val="single" w:sz="2" w:space="0" w:color="auto"/>
              <w:left w:val="single" w:sz="2" w:space="0" w:color="auto"/>
              <w:bottom w:val="single" w:sz="2" w:space="0" w:color="auto"/>
              <w:right w:val="single" w:sz="2" w:space="0" w:color="auto"/>
            </w:tcBorders>
            <w:vAlign w:val="center"/>
          </w:tcPr>
          <w:p w14:paraId="076298B2" w14:textId="77777777" w:rsidR="00FC0E68" w:rsidRPr="00413003" w:rsidRDefault="00FC0E68" w:rsidP="00FC0E68">
            <w:pPr>
              <w:rPr>
                <w:rFonts w:ascii="Arial" w:hAnsi="Arial" w:cs="Arial"/>
                <w:sz w:val="24"/>
                <w:szCs w:val="24"/>
              </w:rPr>
            </w:pPr>
            <w:r w:rsidRPr="00413003">
              <w:rPr>
                <w:rFonts w:ascii="Arial" w:hAnsi="Arial" w:cs="Arial"/>
                <w:sz w:val="24"/>
                <w:szCs w:val="24"/>
              </w:rPr>
              <w:t>Asian/Pacific Islander</w:t>
            </w:r>
          </w:p>
        </w:tc>
        <w:tc>
          <w:tcPr>
            <w:tcW w:w="1552" w:type="dxa"/>
            <w:tcBorders>
              <w:top w:val="single" w:sz="2" w:space="0" w:color="auto"/>
              <w:left w:val="single" w:sz="2" w:space="0" w:color="auto"/>
              <w:bottom w:val="single" w:sz="2" w:space="0" w:color="auto"/>
              <w:right w:val="single" w:sz="2" w:space="0" w:color="auto"/>
            </w:tcBorders>
            <w:vAlign w:val="center"/>
          </w:tcPr>
          <w:p w14:paraId="6C88949E"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133,271</w:t>
            </w:r>
          </w:p>
        </w:tc>
        <w:tc>
          <w:tcPr>
            <w:tcW w:w="1553" w:type="dxa"/>
            <w:tcBorders>
              <w:top w:val="single" w:sz="2" w:space="0" w:color="auto"/>
              <w:left w:val="single" w:sz="2" w:space="0" w:color="auto"/>
              <w:bottom w:val="single" w:sz="2" w:space="0" w:color="auto"/>
              <w:right w:val="single" w:sz="2" w:space="0" w:color="auto"/>
            </w:tcBorders>
            <w:vAlign w:val="center"/>
          </w:tcPr>
          <w:p w14:paraId="4EBA54D4"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52.2</w:t>
            </w:r>
          </w:p>
        </w:tc>
        <w:tc>
          <w:tcPr>
            <w:tcW w:w="1552" w:type="dxa"/>
            <w:tcBorders>
              <w:top w:val="single" w:sz="2" w:space="0" w:color="auto"/>
              <w:left w:val="single" w:sz="2" w:space="0" w:color="auto"/>
              <w:bottom w:val="single" w:sz="2" w:space="0" w:color="auto"/>
              <w:right w:val="single" w:sz="2" w:space="0" w:color="auto"/>
            </w:tcBorders>
            <w:vAlign w:val="center"/>
          </w:tcPr>
          <w:p w14:paraId="5D55245A"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140,382</w:t>
            </w:r>
          </w:p>
        </w:tc>
        <w:tc>
          <w:tcPr>
            <w:tcW w:w="1553" w:type="dxa"/>
            <w:tcBorders>
              <w:top w:val="single" w:sz="2" w:space="0" w:color="auto"/>
              <w:left w:val="single" w:sz="2" w:space="0" w:color="auto"/>
              <w:bottom w:val="single" w:sz="2" w:space="0" w:color="auto"/>
              <w:right w:val="single" w:sz="2" w:space="0" w:color="auto"/>
            </w:tcBorders>
            <w:vAlign w:val="center"/>
          </w:tcPr>
          <w:p w14:paraId="26607AA5"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56.5</w:t>
            </w:r>
          </w:p>
        </w:tc>
      </w:tr>
      <w:tr w:rsidR="00FC0E68" w:rsidRPr="00413003" w14:paraId="03AFBC51" w14:textId="77777777" w:rsidTr="00FC0E68">
        <w:trPr>
          <w:trHeight w:val="368"/>
        </w:trPr>
        <w:tc>
          <w:tcPr>
            <w:tcW w:w="3244" w:type="dxa"/>
            <w:tcBorders>
              <w:top w:val="single" w:sz="2" w:space="0" w:color="auto"/>
              <w:left w:val="single" w:sz="2" w:space="0" w:color="auto"/>
              <w:bottom w:val="single" w:sz="2" w:space="0" w:color="auto"/>
              <w:right w:val="single" w:sz="2" w:space="0" w:color="auto"/>
            </w:tcBorders>
            <w:vAlign w:val="center"/>
          </w:tcPr>
          <w:p w14:paraId="6C8945EE" w14:textId="77777777" w:rsidR="00FC0E68" w:rsidRPr="00413003" w:rsidRDefault="00FC0E68" w:rsidP="00FC0E68">
            <w:pPr>
              <w:rPr>
                <w:rFonts w:ascii="Arial" w:hAnsi="Arial" w:cs="Arial"/>
                <w:sz w:val="24"/>
                <w:szCs w:val="24"/>
              </w:rPr>
            </w:pPr>
            <w:r w:rsidRPr="00413003">
              <w:rPr>
                <w:rFonts w:ascii="Arial" w:hAnsi="Arial" w:cs="Arial"/>
                <w:sz w:val="24"/>
                <w:szCs w:val="24"/>
              </w:rPr>
              <w:t>Native Hawaiian/Pacific Isl.</w:t>
            </w:r>
          </w:p>
        </w:tc>
        <w:tc>
          <w:tcPr>
            <w:tcW w:w="1552" w:type="dxa"/>
            <w:tcBorders>
              <w:top w:val="single" w:sz="2" w:space="0" w:color="auto"/>
              <w:left w:val="single" w:sz="2" w:space="0" w:color="auto"/>
              <w:bottom w:val="single" w:sz="2" w:space="0" w:color="auto"/>
              <w:right w:val="single" w:sz="2" w:space="0" w:color="auto"/>
            </w:tcBorders>
            <w:vAlign w:val="center"/>
          </w:tcPr>
          <w:p w14:paraId="694CB3DE" w14:textId="77777777" w:rsidR="00FC0E68" w:rsidRPr="00413003" w:rsidRDefault="00FC0E68" w:rsidP="00FC0E68">
            <w:pPr>
              <w:jc w:val="right"/>
              <w:rPr>
                <w:rFonts w:ascii="Arial" w:hAnsi="Arial" w:cs="Arial"/>
                <w:sz w:val="24"/>
                <w:szCs w:val="24"/>
              </w:rPr>
            </w:pPr>
          </w:p>
        </w:tc>
        <w:tc>
          <w:tcPr>
            <w:tcW w:w="1553" w:type="dxa"/>
            <w:tcBorders>
              <w:top w:val="single" w:sz="2" w:space="0" w:color="auto"/>
              <w:left w:val="single" w:sz="2" w:space="0" w:color="auto"/>
              <w:bottom w:val="single" w:sz="2" w:space="0" w:color="auto"/>
              <w:right w:val="single" w:sz="2" w:space="0" w:color="auto"/>
            </w:tcBorders>
            <w:vAlign w:val="center"/>
          </w:tcPr>
          <w:p w14:paraId="3E9D47F4" w14:textId="77777777" w:rsidR="00FC0E68" w:rsidRPr="00413003" w:rsidRDefault="00FC0E68" w:rsidP="00FC0E68">
            <w:pPr>
              <w:jc w:val="right"/>
              <w:rPr>
                <w:rFonts w:ascii="Arial" w:hAnsi="Arial" w:cs="Arial"/>
                <w:sz w:val="24"/>
                <w:szCs w:val="24"/>
              </w:rPr>
            </w:pPr>
          </w:p>
        </w:tc>
        <w:tc>
          <w:tcPr>
            <w:tcW w:w="1552" w:type="dxa"/>
            <w:tcBorders>
              <w:top w:val="single" w:sz="2" w:space="0" w:color="auto"/>
              <w:left w:val="single" w:sz="2" w:space="0" w:color="auto"/>
              <w:bottom w:val="single" w:sz="2" w:space="0" w:color="auto"/>
              <w:right w:val="single" w:sz="2" w:space="0" w:color="auto"/>
            </w:tcBorders>
            <w:vAlign w:val="center"/>
          </w:tcPr>
          <w:p w14:paraId="32DE4298"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23,420</w:t>
            </w:r>
          </w:p>
        </w:tc>
        <w:tc>
          <w:tcPr>
            <w:tcW w:w="1553" w:type="dxa"/>
            <w:tcBorders>
              <w:top w:val="single" w:sz="2" w:space="0" w:color="auto"/>
              <w:left w:val="single" w:sz="2" w:space="0" w:color="auto"/>
              <w:bottom w:val="single" w:sz="2" w:space="0" w:color="auto"/>
              <w:right w:val="single" w:sz="2" w:space="0" w:color="auto"/>
            </w:tcBorders>
            <w:vAlign w:val="center"/>
          </w:tcPr>
          <w:p w14:paraId="13AD8ABA"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55.3</w:t>
            </w:r>
          </w:p>
        </w:tc>
      </w:tr>
      <w:tr w:rsidR="00FC0E68" w:rsidRPr="00413003" w14:paraId="0D2E4567" w14:textId="77777777" w:rsidTr="00FC0E68">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07D8327E" w14:textId="77777777" w:rsidR="00FC0E68" w:rsidRPr="00413003" w:rsidRDefault="00FC0E68" w:rsidP="00FC0E68">
            <w:pPr>
              <w:rPr>
                <w:rFonts w:ascii="Arial" w:hAnsi="Arial" w:cs="Arial"/>
                <w:sz w:val="24"/>
                <w:szCs w:val="24"/>
              </w:rPr>
            </w:pPr>
            <w:r w:rsidRPr="00413003">
              <w:rPr>
                <w:rFonts w:ascii="Arial" w:hAnsi="Arial" w:cs="Arial"/>
                <w:sz w:val="24"/>
                <w:szCs w:val="24"/>
              </w:rPr>
              <w:t>Black</w:t>
            </w:r>
          </w:p>
        </w:tc>
        <w:tc>
          <w:tcPr>
            <w:tcW w:w="1552" w:type="dxa"/>
            <w:tcBorders>
              <w:top w:val="single" w:sz="2" w:space="0" w:color="auto"/>
              <w:left w:val="single" w:sz="2" w:space="0" w:color="auto"/>
              <w:bottom w:val="single" w:sz="2" w:space="0" w:color="auto"/>
              <w:right w:val="single" w:sz="2" w:space="0" w:color="auto"/>
            </w:tcBorders>
            <w:vAlign w:val="center"/>
          </w:tcPr>
          <w:p w14:paraId="0C15AEB2"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1,245,304</w:t>
            </w:r>
          </w:p>
        </w:tc>
        <w:tc>
          <w:tcPr>
            <w:tcW w:w="1553" w:type="dxa"/>
            <w:tcBorders>
              <w:top w:val="single" w:sz="2" w:space="0" w:color="auto"/>
              <w:left w:val="single" w:sz="2" w:space="0" w:color="auto"/>
              <w:bottom w:val="single" w:sz="2" w:space="0" w:color="auto"/>
              <w:right w:val="single" w:sz="2" w:space="0" w:color="auto"/>
            </w:tcBorders>
            <w:vAlign w:val="center"/>
          </w:tcPr>
          <w:p w14:paraId="36DB8881"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43.9</w:t>
            </w:r>
          </w:p>
        </w:tc>
        <w:tc>
          <w:tcPr>
            <w:tcW w:w="1552" w:type="dxa"/>
            <w:tcBorders>
              <w:top w:val="single" w:sz="2" w:space="0" w:color="auto"/>
              <w:left w:val="single" w:sz="2" w:space="0" w:color="auto"/>
              <w:bottom w:val="single" w:sz="2" w:space="0" w:color="auto"/>
              <w:right w:val="single" w:sz="2" w:space="0" w:color="auto"/>
            </w:tcBorders>
            <w:vAlign w:val="center"/>
          </w:tcPr>
          <w:p w14:paraId="1F108C4A"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1,107,606</w:t>
            </w:r>
          </w:p>
        </w:tc>
        <w:tc>
          <w:tcPr>
            <w:tcW w:w="1553" w:type="dxa"/>
            <w:tcBorders>
              <w:top w:val="single" w:sz="2" w:space="0" w:color="auto"/>
              <w:left w:val="single" w:sz="2" w:space="0" w:color="auto"/>
              <w:bottom w:val="single" w:sz="2" w:space="0" w:color="auto"/>
              <w:right w:val="single" w:sz="2" w:space="0" w:color="auto"/>
            </w:tcBorders>
            <w:vAlign w:val="center"/>
          </w:tcPr>
          <w:p w14:paraId="58E2BB0A"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58.0</w:t>
            </w:r>
          </w:p>
        </w:tc>
      </w:tr>
      <w:tr w:rsidR="00FC0E68" w:rsidRPr="00413003" w14:paraId="6CC4A5BA" w14:textId="77777777" w:rsidTr="00FC0E68">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432940EE" w14:textId="77777777" w:rsidR="00FC0E68" w:rsidRPr="00413003" w:rsidRDefault="00FC0E68" w:rsidP="00FC0E68">
            <w:pPr>
              <w:rPr>
                <w:rFonts w:ascii="Arial" w:hAnsi="Arial" w:cs="Arial"/>
                <w:sz w:val="24"/>
                <w:szCs w:val="24"/>
              </w:rPr>
            </w:pPr>
            <w:r w:rsidRPr="00413003">
              <w:rPr>
                <w:rFonts w:ascii="Arial" w:hAnsi="Arial" w:cs="Arial"/>
                <w:sz w:val="24"/>
                <w:szCs w:val="24"/>
              </w:rPr>
              <w:t>Hispanic</w:t>
            </w:r>
          </w:p>
        </w:tc>
        <w:tc>
          <w:tcPr>
            <w:tcW w:w="1552" w:type="dxa"/>
            <w:tcBorders>
              <w:top w:val="single" w:sz="2" w:space="0" w:color="auto"/>
              <w:left w:val="single" w:sz="2" w:space="0" w:color="auto"/>
              <w:bottom w:val="single" w:sz="2" w:space="0" w:color="auto"/>
              <w:right w:val="single" w:sz="2" w:space="0" w:color="auto"/>
            </w:tcBorders>
            <w:vAlign w:val="center"/>
          </w:tcPr>
          <w:p w14:paraId="20ACD35D"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1,089171</w:t>
            </w:r>
          </w:p>
        </w:tc>
        <w:tc>
          <w:tcPr>
            <w:tcW w:w="1553" w:type="dxa"/>
            <w:tcBorders>
              <w:top w:val="single" w:sz="2" w:space="0" w:color="auto"/>
              <w:left w:val="single" w:sz="2" w:space="0" w:color="auto"/>
              <w:bottom w:val="single" w:sz="2" w:space="0" w:color="auto"/>
              <w:right w:val="single" w:sz="2" w:space="0" w:color="auto"/>
            </w:tcBorders>
            <w:vAlign w:val="center"/>
          </w:tcPr>
          <w:p w14:paraId="213555A7"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47.1</w:t>
            </w:r>
          </w:p>
        </w:tc>
        <w:tc>
          <w:tcPr>
            <w:tcW w:w="1552" w:type="dxa"/>
            <w:tcBorders>
              <w:top w:val="single" w:sz="2" w:space="0" w:color="auto"/>
              <w:left w:val="single" w:sz="2" w:space="0" w:color="auto"/>
              <w:bottom w:val="single" w:sz="2" w:space="0" w:color="auto"/>
              <w:right w:val="single" w:sz="2" w:space="0" w:color="auto"/>
            </w:tcBorders>
            <w:vAlign w:val="center"/>
          </w:tcPr>
          <w:p w14:paraId="1623AA5B"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1,531,699</w:t>
            </w:r>
          </w:p>
        </w:tc>
        <w:tc>
          <w:tcPr>
            <w:tcW w:w="1553" w:type="dxa"/>
            <w:tcBorders>
              <w:top w:val="single" w:sz="2" w:space="0" w:color="auto"/>
              <w:left w:val="single" w:sz="2" w:space="0" w:color="auto"/>
              <w:bottom w:val="single" w:sz="2" w:space="0" w:color="auto"/>
              <w:right w:val="single" w:sz="2" w:space="0" w:color="auto"/>
            </w:tcBorders>
            <w:vAlign w:val="center"/>
          </w:tcPr>
          <w:p w14:paraId="714B31DB"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61.0</w:t>
            </w:r>
          </w:p>
        </w:tc>
      </w:tr>
      <w:tr w:rsidR="00FC0E68" w:rsidRPr="00413003" w14:paraId="287E9F06" w14:textId="77777777" w:rsidTr="00FC0E68">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4F16C47C" w14:textId="77777777" w:rsidR="00FC0E68" w:rsidRPr="00413003" w:rsidRDefault="00FC0E68" w:rsidP="00FC0E68">
            <w:pPr>
              <w:rPr>
                <w:rFonts w:ascii="Arial" w:hAnsi="Arial" w:cs="Arial"/>
                <w:sz w:val="24"/>
                <w:szCs w:val="24"/>
              </w:rPr>
            </w:pPr>
            <w:r w:rsidRPr="00413003">
              <w:rPr>
                <w:rFonts w:ascii="Arial" w:hAnsi="Arial" w:cs="Arial"/>
                <w:sz w:val="24"/>
                <w:szCs w:val="24"/>
              </w:rPr>
              <w:t>White</w:t>
            </w:r>
          </w:p>
        </w:tc>
        <w:tc>
          <w:tcPr>
            <w:tcW w:w="1552" w:type="dxa"/>
            <w:tcBorders>
              <w:top w:val="single" w:sz="2" w:space="0" w:color="auto"/>
              <w:left w:val="single" w:sz="2" w:space="0" w:color="auto"/>
              <w:bottom w:val="single" w:sz="2" w:space="0" w:color="auto"/>
              <w:right w:val="single" w:sz="2" w:space="0" w:color="auto"/>
            </w:tcBorders>
            <w:vAlign w:val="center"/>
          </w:tcPr>
          <w:p w14:paraId="377CA2E3"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3,551,269</w:t>
            </w:r>
          </w:p>
        </w:tc>
        <w:tc>
          <w:tcPr>
            <w:tcW w:w="1553" w:type="dxa"/>
            <w:tcBorders>
              <w:top w:val="single" w:sz="2" w:space="0" w:color="auto"/>
              <w:left w:val="single" w:sz="2" w:space="0" w:color="auto"/>
              <w:bottom w:val="single" w:sz="2" w:space="0" w:color="auto"/>
              <w:right w:val="single" w:sz="2" w:space="0" w:color="auto"/>
            </w:tcBorders>
            <w:vAlign w:val="center"/>
          </w:tcPr>
          <w:p w14:paraId="4381B023"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59.1</w:t>
            </w:r>
          </w:p>
        </w:tc>
        <w:tc>
          <w:tcPr>
            <w:tcW w:w="1552" w:type="dxa"/>
            <w:tcBorders>
              <w:top w:val="single" w:sz="2" w:space="0" w:color="auto"/>
              <w:left w:val="single" w:sz="2" w:space="0" w:color="auto"/>
              <w:bottom w:val="single" w:sz="2" w:space="0" w:color="auto"/>
              <w:right w:val="single" w:sz="2" w:space="0" w:color="auto"/>
            </w:tcBorders>
            <w:vAlign w:val="center"/>
          </w:tcPr>
          <w:p w14:paraId="614F081A"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2,966,782</w:t>
            </w:r>
          </w:p>
        </w:tc>
        <w:tc>
          <w:tcPr>
            <w:tcW w:w="1553" w:type="dxa"/>
            <w:tcBorders>
              <w:top w:val="single" w:sz="2" w:space="0" w:color="auto"/>
              <w:left w:val="single" w:sz="2" w:space="0" w:color="auto"/>
              <w:bottom w:val="single" w:sz="2" w:space="0" w:color="auto"/>
              <w:right w:val="single" w:sz="2" w:space="0" w:color="auto"/>
            </w:tcBorders>
            <w:vAlign w:val="center"/>
          </w:tcPr>
          <w:p w14:paraId="2FF6C209"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65.5</w:t>
            </w:r>
          </w:p>
        </w:tc>
      </w:tr>
      <w:tr w:rsidR="00FC0E68" w:rsidRPr="00413003" w14:paraId="692792F1" w14:textId="77777777" w:rsidTr="00FC0E68">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1CA77529" w14:textId="77777777" w:rsidR="00FC0E68" w:rsidRPr="00413003" w:rsidRDefault="00FC0E68" w:rsidP="00FC0E68">
            <w:pPr>
              <w:rPr>
                <w:rFonts w:ascii="Arial" w:hAnsi="Arial" w:cs="Arial"/>
                <w:sz w:val="24"/>
                <w:szCs w:val="24"/>
              </w:rPr>
            </w:pPr>
            <w:r w:rsidRPr="00413003">
              <w:rPr>
                <w:rFonts w:ascii="Arial" w:hAnsi="Arial" w:cs="Arial"/>
                <w:sz w:val="24"/>
                <w:szCs w:val="24"/>
              </w:rPr>
              <w:t>Two or more races</w:t>
            </w:r>
          </w:p>
        </w:tc>
        <w:tc>
          <w:tcPr>
            <w:tcW w:w="1552" w:type="dxa"/>
            <w:tcBorders>
              <w:top w:val="single" w:sz="2" w:space="0" w:color="auto"/>
              <w:left w:val="single" w:sz="2" w:space="0" w:color="auto"/>
              <w:bottom w:val="single" w:sz="2" w:space="0" w:color="auto"/>
              <w:right w:val="single" w:sz="2" w:space="0" w:color="auto"/>
            </w:tcBorders>
            <w:vAlign w:val="center"/>
          </w:tcPr>
          <w:p w14:paraId="5F466069" w14:textId="77777777" w:rsidR="00FC0E68" w:rsidRPr="00413003" w:rsidRDefault="00FC0E68" w:rsidP="00FC0E68">
            <w:pPr>
              <w:jc w:val="right"/>
              <w:rPr>
                <w:rFonts w:ascii="Arial" w:hAnsi="Arial" w:cs="Arial"/>
                <w:sz w:val="24"/>
                <w:szCs w:val="24"/>
              </w:rPr>
            </w:pPr>
          </w:p>
        </w:tc>
        <w:tc>
          <w:tcPr>
            <w:tcW w:w="1553" w:type="dxa"/>
            <w:tcBorders>
              <w:top w:val="single" w:sz="2" w:space="0" w:color="auto"/>
              <w:left w:val="single" w:sz="2" w:space="0" w:color="auto"/>
              <w:bottom w:val="single" w:sz="2" w:space="0" w:color="auto"/>
              <w:right w:val="single" w:sz="2" w:space="0" w:color="auto"/>
            </w:tcBorders>
            <w:vAlign w:val="center"/>
          </w:tcPr>
          <w:p w14:paraId="29ED9707" w14:textId="77777777" w:rsidR="00FC0E68" w:rsidRPr="00413003" w:rsidRDefault="00FC0E68" w:rsidP="00FC0E68">
            <w:pPr>
              <w:jc w:val="right"/>
              <w:rPr>
                <w:rFonts w:ascii="Arial" w:hAnsi="Arial" w:cs="Arial"/>
                <w:sz w:val="24"/>
                <w:szCs w:val="24"/>
              </w:rPr>
            </w:pPr>
          </w:p>
        </w:tc>
        <w:tc>
          <w:tcPr>
            <w:tcW w:w="1552" w:type="dxa"/>
            <w:tcBorders>
              <w:top w:val="single" w:sz="2" w:space="0" w:color="auto"/>
              <w:left w:val="single" w:sz="2" w:space="0" w:color="auto"/>
              <w:bottom w:val="single" w:sz="2" w:space="0" w:color="auto"/>
              <w:right w:val="single" w:sz="2" w:space="0" w:color="auto"/>
            </w:tcBorders>
            <w:vAlign w:val="center"/>
          </w:tcPr>
          <w:p w14:paraId="1AC7BD30"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195,147</w:t>
            </w:r>
          </w:p>
        </w:tc>
        <w:tc>
          <w:tcPr>
            <w:tcW w:w="1553" w:type="dxa"/>
            <w:tcBorders>
              <w:top w:val="single" w:sz="2" w:space="0" w:color="auto"/>
              <w:left w:val="single" w:sz="2" w:space="0" w:color="auto"/>
              <w:bottom w:val="single" w:sz="2" w:space="0" w:color="auto"/>
              <w:right w:val="single" w:sz="2" w:space="0" w:color="auto"/>
            </w:tcBorders>
            <w:vAlign w:val="center"/>
          </w:tcPr>
          <w:p w14:paraId="7BB1A583" w14:textId="77777777" w:rsidR="00FC0E68" w:rsidRPr="00413003" w:rsidRDefault="00FC0E68" w:rsidP="00FC0E68">
            <w:pPr>
              <w:jc w:val="right"/>
              <w:rPr>
                <w:rFonts w:ascii="Arial" w:hAnsi="Arial" w:cs="Arial"/>
                <w:sz w:val="24"/>
                <w:szCs w:val="24"/>
              </w:rPr>
            </w:pPr>
            <w:r w:rsidRPr="00413003">
              <w:rPr>
                <w:rFonts w:ascii="Arial" w:hAnsi="Arial" w:cs="Arial"/>
                <w:sz w:val="24"/>
                <w:szCs w:val="24"/>
              </w:rPr>
              <w:t>64.1</w:t>
            </w:r>
          </w:p>
        </w:tc>
      </w:tr>
      <w:tr w:rsidR="00FC0E68" w:rsidRPr="00413003" w14:paraId="4C427B2D" w14:textId="77777777" w:rsidTr="00FC0E68">
        <w:trPr>
          <w:trHeight w:val="317"/>
        </w:trPr>
        <w:tc>
          <w:tcPr>
            <w:tcW w:w="3244" w:type="dxa"/>
            <w:tcBorders>
              <w:top w:val="single" w:sz="2" w:space="0" w:color="auto"/>
              <w:left w:val="single" w:sz="2" w:space="0" w:color="auto"/>
              <w:bottom w:val="single" w:sz="2" w:space="0" w:color="auto"/>
              <w:right w:val="single" w:sz="2" w:space="0" w:color="auto"/>
            </w:tcBorders>
            <w:vAlign w:val="center"/>
          </w:tcPr>
          <w:p w14:paraId="2E3D073C"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All Disabilities</w:t>
            </w:r>
          </w:p>
        </w:tc>
        <w:tc>
          <w:tcPr>
            <w:tcW w:w="1552" w:type="dxa"/>
            <w:tcBorders>
              <w:top w:val="single" w:sz="2" w:space="0" w:color="auto"/>
              <w:left w:val="single" w:sz="2" w:space="0" w:color="auto"/>
              <w:bottom w:val="single" w:sz="2" w:space="0" w:color="auto"/>
              <w:right w:val="single" w:sz="2" w:space="0" w:color="auto"/>
            </w:tcBorders>
            <w:vAlign w:val="center"/>
          </w:tcPr>
          <w:p w14:paraId="764B60E9" w14:textId="77777777" w:rsidR="00FC0E68" w:rsidRPr="00413003" w:rsidRDefault="00FC0E68" w:rsidP="00FC0E68">
            <w:pPr>
              <w:jc w:val="right"/>
              <w:rPr>
                <w:rFonts w:ascii="Arial" w:hAnsi="Arial" w:cs="Arial"/>
                <w:b/>
                <w:sz w:val="24"/>
                <w:szCs w:val="24"/>
              </w:rPr>
            </w:pPr>
            <w:r w:rsidRPr="00413003">
              <w:rPr>
                <w:rFonts w:ascii="Arial" w:hAnsi="Arial" w:cs="Arial"/>
                <w:sz w:val="24"/>
                <w:szCs w:val="24"/>
              </w:rPr>
              <w:t>6,110,829</w:t>
            </w:r>
          </w:p>
        </w:tc>
        <w:tc>
          <w:tcPr>
            <w:tcW w:w="1553" w:type="dxa"/>
            <w:tcBorders>
              <w:top w:val="single" w:sz="2" w:space="0" w:color="auto"/>
              <w:left w:val="single" w:sz="2" w:space="0" w:color="auto"/>
              <w:bottom w:val="single" w:sz="2" w:space="0" w:color="auto"/>
              <w:right w:val="single" w:sz="2" w:space="0" w:color="auto"/>
            </w:tcBorders>
            <w:vAlign w:val="center"/>
          </w:tcPr>
          <w:p w14:paraId="44D1BBDC"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53.6</w:t>
            </w:r>
          </w:p>
        </w:tc>
        <w:tc>
          <w:tcPr>
            <w:tcW w:w="1552" w:type="dxa"/>
            <w:tcBorders>
              <w:top w:val="single" w:sz="2" w:space="0" w:color="auto"/>
              <w:left w:val="single" w:sz="2" w:space="0" w:color="auto"/>
              <w:bottom w:val="single" w:sz="2" w:space="0" w:color="auto"/>
              <w:right w:val="single" w:sz="2" w:space="0" w:color="auto"/>
            </w:tcBorders>
            <w:vAlign w:val="center"/>
          </w:tcPr>
          <w:p w14:paraId="3D20D272" w14:textId="77777777" w:rsidR="00FC0E68" w:rsidRPr="00413003" w:rsidRDefault="00FC0E68" w:rsidP="00FC0E68">
            <w:pPr>
              <w:jc w:val="right"/>
              <w:rPr>
                <w:rFonts w:ascii="Arial" w:hAnsi="Arial" w:cs="Arial"/>
                <w:b/>
                <w:sz w:val="24"/>
                <w:szCs w:val="24"/>
              </w:rPr>
            </w:pPr>
            <w:r w:rsidRPr="00413003">
              <w:rPr>
                <w:rFonts w:ascii="Arial" w:hAnsi="Arial" w:cs="Arial"/>
                <w:sz w:val="24"/>
                <w:szCs w:val="24"/>
              </w:rPr>
              <w:t>6,050,725</w:t>
            </w:r>
          </w:p>
        </w:tc>
        <w:tc>
          <w:tcPr>
            <w:tcW w:w="1553" w:type="dxa"/>
            <w:tcBorders>
              <w:top w:val="single" w:sz="2" w:space="0" w:color="auto"/>
              <w:left w:val="single" w:sz="2" w:space="0" w:color="auto"/>
              <w:bottom w:val="single" w:sz="2" w:space="0" w:color="auto"/>
              <w:right w:val="single" w:sz="2" w:space="0" w:color="auto"/>
            </w:tcBorders>
            <w:vAlign w:val="center"/>
          </w:tcPr>
          <w:p w14:paraId="2F362BFE" w14:textId="77777777" w:rsidR="00FC0E68" w:rsidRPr="00413003" w:rsidRDefault="00FC0E68" w:rsidP="00FC0E68">
            <w:pPr>
              <w:jc w:val="right"/>
              <w:rPr>
                <w:rFonts w:ascii="Arial" w:hAnsi="Arial" w:cs="Arial"/>
                <w:b/>
                <w:sz w:val="24"/>
                <w:szCs w:val="24"/>
              </w:rPr>
            </w:pPr>
            <w:r w:rsidRPr="00413003">
              <w:rPr>
                <w:rFonts w:ascii="Arial" w:hAnsi="Arial" w:cs="Arial"/>
                <w:b/>
                <w:sz w:val="24"/>
                <w:szCs w:val="24"/>
              </w:rPr>
              <w:t>62.7</w:t>
            </w:r>
          </w:p>
        </w:tc>
      </w:tr>
    </w:tbl>
    <w:p w14:paraId="2D7C4743" w14:textId="77777777" w:rsidR="00FC0E68" w:rsidRPr="00413003" w:rsidDel="001374F4" w:rsidRDefault="00FC0E68" w:rsidP="001024F5">
      <w:pPr>
        <w:spacing w:before="200"/>
        <w:ind w:left="720" w:hanging="720"/>
        <w:rPr>
          <w:rFonts w:ascii="Arial" w:hAnsi="Arial" w:cs="Arial"/>
          <w:sz w:val="24"/>
          <w:szCs w:val="24"/>
        </w:rPr>
      </w:pPr>
      <w:r w:rsidRPr="00413003">
        <w:rPr>
          <w:rFonts w:ascii="Arial" w:hAnsi="Arial" w:cs="Arial"/>
          <w:sz w:val="24"/>
          <w:szCs w:val="24"/>
          <w:vertAlign w:val="superscript"/>
        </w:rPr>
        <w:t xml:space="preserve">1 </w:t>
      </w:r>
      <w:r w:rsidRPr="00413003">
        <w:rPr>
          <w:rFonts w:ascii="Arial" w:hAnsi="Arial" w:cs="Arial"/>
          <w:sz w:val="24"/>
          <w:szCs w:val="24"/>
        </w:rPr>
        <w:t>U.S. Department of Education, 29th Report to Congress, 2010</w:t>
      </w:r>
      <w:r w:rsidRPr="00413003" w:rsidDel="001374F4">
        <w:rPr>
          <w:rFonts w:ascii="Arial" w:hAnsi="Arial" w:cs="Arial"/>
          <w:sz w:val="24"/>
          <w:szCs w:val="24"/>
        </w:rPr>
        <w:t xml:space="preserve"> Table 2.2, p</w:t>
      </w:r>
      <w:r w:rsidRPr="00413003">
        <w:rPr>
          <w:rFonts w:ascii="Arial" w:hAnsi="Arial" w:cs="Arial"/>
          <w:sz w:val="24"/>
          <w:szCs w:val="24"/>
        </w:rPr>
        <w:t>p</w:t>
      </w:r>
      <w:r w:rsidRPr="00413003" w:rsidDel="001374F4">
        <w:rPr>
          <w:rFonts w:ascii="Arial" w:hAnsi="Arial" w:cs="Arial"/>
          <w:sz w:val="24"/>
          <w:szCs w:val="24"/>
        </w:rPr>
        <w:t xml:space="preserve">. </w:t>
      </w:r>
      <w:r w:rsidRPr="00413003">
        <w:rPr>
          <w:rFonts w:ascii="Arial" w:hAnsi="Arial" w:cs="Arial"/>
          <w:sz w:val="24"/>
          <w:szCs w:val="24"/>
        </w:rPr>
        <w:t>210–219.</w:t>
      </w:r>
    </w:p>
    <w:p w14:paraId="13C6ADFC" w14:textId="44151D38" w:rsidR="00FC0E68" w:rsidRPr="00413003" w:rsidRDefault="00FC0E68" w:rsidP="001024F5">
      <w:pPr>
        <w:rPr>
          <w:rFonts w:ascii="Arial" w:hAnsi="Arial" w:cs="Arial"/>
          <w:sz w:val="24"/>
          <w:szCs w:val="24"/>
        </w:rPr>
      </w:pPr>
      <w:r w:rsidRPr="00413003">
        <w:rPr>
          <w:rFonts w:ascii="Arial" w:hAnsi="Arial" w:cs="Arial"/>
          <w:sz w:val="24"/>
          <w:szCs w:val="24"/>
          <w:vertAlign w:val="superscript"/>
        </w:rPr>
        <w:t xml:space="preserve">2 </w:t>
      </w:r>
      <w:r w:rsidRPr="00413003">
        <w:rPr>
          <w:rFonts w:ascii="Arial" w:eastAsia="Times New Roman" w:hAnsi="Arial" w:cs="Arial"/>
          <w:i/>
          <w:sz w:val="24"/>
          <w:szCs w:val="24"/>
        </w:rPr>
        <w:t>Source:</w:t>
      </w:r>
      <w:r w:rsidRPr="00413003">
        <w:rPr>
          <w:rFonts w:ascii="Arial" w:eastAsia="Times New Roman" w:hAnsi="Arial" w:cs="Arial"/>
          <w:sz w:val="24"/>
          <w:szCs w:val="24"/>
        </w:rPr>
        <w:t xml:space="preserve"> U.S. Department of Education, </w:t>
      </w:r>
      <w:proofErr w:type="spellStart"/>
      <w:r w:rsidRPr="00413003">
        <w:rPr>
          <w:rFonts w:ascii="Arial" w:eastAsia="Times New Roman" w:hAnsi="Arial" w:cs="Arial"/>
          <w:sz w:val="24"/>
          <w:szCs w:val="24"/>
        </w:rPr>
        <w:t>ED</w:t>
      </w:r>
      <w:r w:rsidRPr="00413003">
        <w:rPr>
          <w:rFonts w:ascii="Arial" w:eastAsia="Times New Roman" w:hAnsi="Arial" w:cs="Arial"/>
          <w:i/>
          <w:iCs/>
          <w:sz w:val="24"/>
          <w:szCs w:val="24"/>
        </w:rPr>
        <w:t>Facts</w:t>
      </w:r>
      <w:proofErr w:type="spellEnd"/>
      <w:r w:rsidRPr="00413003">
        <w:rPr>
          <w:rFonts w:ascii="Arial" w:eastAsia="Times New Roman" w:hAnsi="Arial" w:cs="Arial"/>
          <w:sz w:val="24"/>
          <w:szCs w:val="24"/>
        </w:rPr>
        <w:t xml:space="preserve"> Data Warehouse (EDW), “IDEA Part B Child Count and Educational Environments Collection,” 2015–2016, </w:t>
      </w:r>
      <w:hyperlink r:id="rId15" w:tooltip="http://www2.ed.gov/programs/osepidea/618-data/index.html" w:history="1">
        <w:r w:rsidRPr="00CE54D7">
          <w:rPr>
            <w:rStyle w:val="Hyperlink"/>
            <w:rFonts w:ascii="Arial" w:eastAsia="Times New Roman" w:hAnsi="Arial" w:cs="Arial"/>
            <w:color w:val="0000FF"/>
            <w:sz w:val="24"/>
            <w:szCs w:val="24"/>
          </w:rPr>
          <w:t>http://www2.ed.gov/programs/osepidea/618-data/index.html</w:t>
        </w:r>
      </w:hyperlink>
      <w:r w:rsidRPr="00413003">
        <w:rPr>
          <w:rFonts w:ascii="Arial" w:eastAsia="Times New Roman" w:hAnsi="Arial" w:cs="Arial"/>
          <w:sz w:val="24"/>
          <w:szCs w:val="24"/>
        </w:rPr>
        <w:t xml:space="preserve">. Data extracted as of July 14, 2016, from file specifications 002 and 089. </w:t>
      </w:r>
    </w:p>
    <w:p w14:paraId="0744E135" w14:textId="77777777" w:rsidR="001024F5" w:rsidRPr="00413003" w:rsidRDefault="00FC0E68">
      <w:pPr>
        <w:rPr>
          <w:rFonts w:ascii="Arial" w:hAnsi="Arial" w:cs="Arial"/>
          <w:b/>
          <w:sz w:val="36"/>
          <w:szCs w:val="32"/>
        </w:rPr>
      </w:pPr>
      <w:r w:rsidRPr="00413003">
        <w:br w:type="page"/>
      </w:r>
      <w:bookmarkStart w:id="164" w:name="_Toc499117012"/>
      <w:r w:rsidR="001024F5" w:rsidRPr="00413003">
        <w:lastRenderedPageBreak/>
        <w:br w:type="page"/>
      </w:r>
    </w:p>
    <w:p w14:paraId="480D4B74" w14:textId="1F1517F5" w:rsidR="00FC0E68" w:rsidRPr="00413003" w:rsidRDefault="00FC0E68" w:rsidP="00FC0E68">
      <w:pPr>
        <w:pStyle w:val="Heading1"/>
      </w:pPr>
      <w:bookmarkStart w:id="165" w:name="_Toc500433989"/>
      <w:r w:rsidRPr="00413003">
        <w:lastRenderedPageBreak/>
        <w:t>Endnotes</w:t>
      </w:r>
      <w:bookmarkEnd w:id="164"/>
      <w:bookmarkEnd w:id="165"/>
    </w:p>
    <w:sectPr w:rsidR="00FC0E68" w:rsidRPr="00413003" w:rsidSect="004415AE">
      <w:footerReference w:type="even" r:id="rId16"/>
      <w:footerReference w:type="default" r:id="rId17"/>
      <w:footerReference w:type="first" r:id="rId18"/>
      <w:endnotePr>
        <w:numFmt w:val="decimal"/>
      </w:endnotePr>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Dave Bailey" w:date="2017-11-23T12:17:00Z" w:initials="DB">
    <w:p w14:paraId="0F83FDCC" w14:textId="77777777" w:rsidR="00093637" w:rsidRDefault="00093637" w:rsidP="00FC0E68">
      <w:pPr>
        <w:pStyle w:val="CommentText"/>
      </w:pPr>
      <w:r>
        <w:rPr>
          <w:rStyle w:val="CommentReference"/>
        </w:rPr>
        <w:annotationRef/>
      </w:r>
      <w:r>
        <w:t>[COMP: Per layout instructions, please place this text in a two-column blue box with “Random Sample of Publicly Available State Policy Guidance for Educating Students with Disabilities in LRE” as the title.</w:t>
      </w:r>
    </w:p>
  </w:comment>
  <w:comment w:id="102" w:author="Dave Bailey" w:date="2017-11-23T12:17:00Z" w:initials="DB">
    <w:p w14:paraId="480F9441" w14:textId="77777777" w:rsidR="00304135" w:rsidRDefault="00304135" w:rsidP="00FC0E68">
      <w:pPr>
        <w:pStyle w:val="CommentText"/>
      </w:pPr>
      <w:r>
        <w:rPr>
          <w:rStyle w:val="CommentReference"/>
        </w:rPr>
        <w:annotationRef/>
      </w:r>
      <w:r>
        <w:t>AU: Please verify this endnote is correct. Couldn’t find this chapter in the edited book referenced. Instead, would the following endnote work instead?</w:t>
      </w:r>
    </w:p>
    <w:p w14:paraId="18B75F5A" w14:textId="77777777" w:rsidR="00304135" w:rsidRPr="00A94015" w:rsidRDefault="00304135" w:rsidP="00FC0E68">
      <w:pPr>
        <w:pStyle w:val="CommentText"/>
      </w:pPr>
      <w:r w:rsidRPr="00F107A1">
        <w:rPr>
          <w:rFonts w:cs="Arial"/>
          <w:color w:val="000000" w:themeColor="text1"/>
          <w:sz w:val="24"/>
          <w:szCs w:val="24"/>
        </w:rPr>
        <w:t>A.</w:t>
      </w:r>
      <w:r>
        <w:rPr>
          <w:rFonts w:cs="Arial"/>
          <w:color w:val="000000" w:themeColor="text1"/>
          <w:sz w:val="24"/>
          <w:szCs w:val="24"/>
        </w:rPr>
        <w:t xml:space="preserve"> </w:t>
      </w:r>
      <w:r w:rsidRPr="00F107A1">
        <w:rPr>
          <w:rFonts w:cs="Arial"/>
          <w:color w:val="000000" w:themeColor="text1"/>
          <w:sz w:val="24"/>
          <w:szCs w:val="24"/>
        </w:rPr>
        <w:t>Olson, M. M.</w:t>
      </w:r>
      <w:r>
        <w:rPr>
          <w:rFonts w:cs="Arial"/>
          <w:color w:val="000000" w:themeColor="text1"/>
          <w:sz w:val="24"/>
          <w:szCs w:val="24"/>
        </w:rPr>
        <w:t xml:space="preserve"> </w:t>
      </w:r>
      <w:proofErr w:type="spellStart"/>
      <w:r w:rsidRPr="00F107A1">
        <w:rPr>
          <w:rFonts w:cs="Arial"/>
          <w:color w:val="000000" w:themeColor="text1"/>
          <w:sz w:val="24"/>
          <w:szCs w:val="24"/>
        </w:rPr>
        <w:t>Leko</w:t>
      </w:r>
      <w:proofErr w:type="spellEnd"/>
      <w:r w:rsidRPr="00F107A1">
        <w:rPr>
          <w:rFonts w:cs="Arial"/>
          <w:color w:val="000000" w:themeColor="text1"/>
          <w:sz w:val="24"/>
          <w:szCs w:val="24"/>
        </w:rPr>
        <w:t xml:space="preserve">, </w:t>
      </w:r>
      <w:r>
        <w:rPr>
          <w:rFonts w:cs="Arial"/>
          <w:color w:val="000000" w:themeColor="text1"/>
          <w:sz w:val="24"/>
          <w:szCs w:val="24"/>
        </w:rPr>
        <w:t xml:space="preserve">and </w:t>
      </w:r>
      <w:r w:rsidRPr="00F107A1">
        <w:rPr>
          <w:rFonts w:cs="Arial"/>
          <w:color w:val="000000" w:themeColor="text1"/>
          <w:sz w:val="24"/>
          <w:szCs w:val="24"/>
        </w:rPr>
        <w:t xml:space="preserve">C. A. Roberts, </w:t>
      </w:r>
      <w:r>
        <w:rPr>
          <w:rFonts w:cs="Arial"/>
          <w:color w:val="000000" w:themeColor="text1"/>
          <w:sz w:val="24"/>
          <w:szCs w:val="24"/>
        </w:rPr>
        <w:t>“</w:t>
      </w:r>
      <w:r w:rsidRPr="00F107A1">
        <w:rPr>
          <w:rFonts w:cs="Arial"/>
          <w:color w:val="000000" w:themeColor="text1"/>
          <w:sz w:val="24"/>
          <w:szCs w:val="24"/>
        </w:rPr>
        <w:t xml:space="preserve">Providing </w:t>
      </w:r>
      <w:r>
        <w:rPr>
          <w:rFonts w:cs="Arial"/>
          <w:color w:val="000000" w:themeColor="text1"/>
          <w:sz w:val="24"/>
          <w:szCs w:val="24"/>
        </w:rPr>
        <w:t>S</w:t>
      </w:r>
      <w:r w:rsidRPr="00F107A1">
        <w:rPr>
          <w:rFonts w:cs="Arial"/>
          <w:color w:val="000000" w:themeColor="text1"/>
          <w:sz w:val="24"/>
          <w:szCs w:val="24"/>
        </w:rPr>
        <w:t xml:space="preserve">tudents with </w:t>
      </w:r>
      <w:r>
        <w:rPr>
          <w:rFonts w:cs="Arial"/>
          <w:color w:val="000000" w:themeColor="text1"/>
          <w:sz w:val="24"/>
          <w:szCs w:val="24"/>
        </w:rPr>
        <w:t>S</w:t>
      </w:r>
      <w:r w:rsidRPr="00F107A1">
        <w:rPr>
          <w:rFonts w:cs="Arial"/>
          <w:color w:val="000000" w:themeColor="text1"/>
          <w:sz w:val="24"/>
          <w:szCs w:val="24"/>
        </w:rPr>
        <w:t xml:space="preserve">evere </w:t>
      </w:r>
      <w:r>
        <w:rPr>
          <w:rFonts w:cs="Arial"/>
          <w:color w:val="000000" w:themeColor="text1"/>
          <w:sz w:val="24"/>
          <w:szCs w:val="24"/>
        </w:rPr>
        <w:t>D</w:t>
      </w:r>
      <w:r w:rsidRPr="00F107A1">
        <w:rPr>
          <w:rFonts w:cs="Arial"/>
          <w:color w:val="000000" w:themeColor="text1"/>
          <w:sz w:val="24"/>
          <w:szCs w:val="24"/>
        </w:rPr>
        <w:t xml:space="preserve">isabilities </w:t>
      </w:r>
      <w:r>
        <w:rPr>
          <w:rFonts w:cs="Arial"/>
          <w:color w:val="000000" w:themeColor="text1"/>
          <w:sz w:val="24"/>
          <w:szCs w:val="24"/>
        </w:rPr>
        <w:t>A</w:t>
      </w:r>
      <w:r w:rsidRPr="00F107A1">
        <w:rPr>
          <w:rFonts w:cs="Arial"/>
          <w:color w:val="000000" w:themeColor="text1"/>
          <w:sz w:val="24"/>
          <w:szCs w:val="24"/>
        </w:rPr>
        <w:t xml:space="preserve">ccess to the </w:t>
      </w:r>
      <w:r>
        <w:rPr>
          <w:rFonts w:cs="Arial"/>
          <w:color w:val="000000" w:themeColor="text1"/>
          <w:sz w:val="24"/>
          <w:szCs w:val="24"/>
        </w:rPr>
        <w:t>G</w:t>
      </w:r>
      <w:r w:rsidRPr="00F107A1">
        <w:rPr>
          <w:rFonts w:cs="Arial"/>
          <w:color w:val="000000" w:themeColor="text1"/>
          <w:sz w:val="24"/>
          <w:szCs w:val="24"/>
        </w:rPr>
        <w:t xml:space="preserve">eneral </w:t>
      </w:r>
      <w:r>
        <w:rPr>
          <w:rFonts w:cs="Arial"/>
          <w:color w:val="000000" w:themeColor="text1"/>
          <w:sz w:val="24"/>
          <w:szCs w:val="24"/>
        </w:rPr>
        <w:t>E</w:t>
      </w:r>
      <w:r w:rsidRPr="00F107A1">
        <w:rPr>
          <w:rFonts w:cs="Arial"/>
          <w:color w:val="000000" w:themeColor="text1"/>
          <w:sz w:val="24"/>
          <w:szCs w:val="24"/>
        </w:rPr>
        <w:t xml:space="preserve">ducation </w:t>
      </w:r>
      <w:r>
        <w:rPr>
          <w:rFonts w:cs="Arial"/>
          <w:color w:val="000000" w:themeColor="text1"/>
          <w:sz w:val="24"/>
          <w:szCs w:val="24"/>
        </w:rPr>
        <w:t xml:space="preserve">Curriculum,” </w:t>
      </w:r>
      <w:r>
        <w:rPr>
          <w:rFonts w:cs="Arial"/>
          <w:i/>
          <w:color w:val="000000" w:themeColor="text1"/>
          <w:sz w:val="24"/>
          <w:szCs w:val="24"/>
        </w:rPr>
        <w:t xml:space="preserve">Research and Practice for Persons with Severe Disabilities </w:t>
      </w:r>
      <w:r w:rsidRPr="00A94015">
        <w:rPr>
          <w:rFonts w:cs="Arial"/>
          <w:color w:val="000000" w:themeColor="text1"/>
          <w:sz w:val="24"/>
          <w:szCs w:val="24"/>
        </w:rPr>
        <w:t>41,</w:t>
      </w:r>
      <w:r>
        <w:rPr>
          <w:rFonts w:cs="Arial"/>
          <w:i/>
          <w:color w:val="000000" w:themeColor="text1"/>
          <w:sz w:val="24"/>
          <w:szCs w:val="24"/>
        </w:rPr>
        <w:t xml:space="preserve"> </w:t>
      </w:r>
      <w:r w:rsidRPr="00A94015">
        <w:rPr>
          <w:rFonts w:cs="Arial"/>
          <w:color w:val="000000" w:themeColor="text1"/>
          <w:sz w:val="24"/>
          <w:szCs w:val="24"/>
        </w:rPr>
        <w:t>n</w:t>
      </w:r>
      <w:r>
        <w:rPr>
          <w:rFonts w:cs="Arial"/>
          <w:color w:val="000000" w:themeColor="text1"/>
          <w:sz w:val="24"/>
          <w:szCs w:val="24"/>
        </w:rPr>
        <w:t>o. 3 (2016): 143-157.</w:t>
      </w:r>
    </w:p>
  </w:comment>
  <w:comment w:id="154" w:author="Dave Bailey" w:date="2017-11-23T12:17:00Z" w:initials="DB">
    <w:p w14:paraId="4DD1BC16" w14:textId="77777777" w:rsidR="00304135" w:rsidRDefault="00304135" w:rsidP="00FC0E68">
      <w:pPr>
        <w:rPr>
          <w:rFonts w:cs="Times New Roman"/>
          <w:color w:val="1F497D"/>
        </w:rPr>
      </w:pPr>
      <w:r>
        <w:rPr>
          <w:rStyle w:val="CommentReference"/>
        </w:rPr>
        <w:annotationRef/>
      </w:r>
      <w:r>
        <w:t xml:space="preserve">PUBLISHER: </w:t>
      </w:r>
      <w:r>
        <w:rPr>
          <w:rFonts w:cs="Times New Roman"/>
          <w:color w:val="1F497D"/>
        </w:rPr>
        <w:t>You would like to separate the sets of recommendations into three separate boxes: Congress, ED, and States. However, the recommendations in chapter 7 only have subheads for Congress and the ED; there is no subhead for the States. Please advise if this section is missing OR if it’s OK to just have the two boxes for Congress and ED recommendations.</w:t>
      </w:r>
    </w:p>
    <w:p w14:paraId="02298145" w14:textId="77777777" w:rsidR="00304135" w:rsidRDefault="00304135" w:rsidP="00FC0E68">
      <w:pPr>
        <w:pStyle w:val="CommentText"/>
      </w:pPr>
    </w:p>
  </w:comment>
  <w:comment w:id="157" w:author="Dave Bailey" w:date="2017-11-23T12:17:00Z" w:initials="DB">
    <w:p w14:paraId="36AC0B66" w14:textId="77777777" w:rsidR="0075284B" w:rsidRDefault="0075284B" w:rsidP="00FC0E68">
      <w:pPr>
        <w:pStyle w:val="CommentText"/>
      </w:pPr>
      <w:r>
        <w:rPr>
          <w:rStyle w:val="CommentReference"/>
        </w:rPr>
        <w:annotationRef/>
      </w:r>
      <w:r>
        <w:t>Please set as a separate two-column box with “Recommendations for Congress” as the title</w:t>
      </w:r>
    </w:p>
  </w:comment>
  <w:comment w:id="160" w:author="Dave Bailey" w:date="2017-11-23T12:17:00Z" w:initials="DB">
    <w:p w14:paraId="74FD6397" w14:textId="77777777" w:rsidR="00304135" w:rsidRDefault="00304135" w:rsidP="00FC0E68">
      <w:pPr>
        <w:pStyle w:val="CommentText"/>
      </w:pPr>
      <w:r>
        <w:rPr>
          <w:rStyle w:val="CommentReference"/>
        </w:rPr>
        <w:annotationRef/>
      </w:r>
      <w:r>
        <w:t>Please set as a separate two-column box with “Recommendations for U.S. Department of Education” as the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66113" w15:done="0"/>
  <w15:commentEx w15:paraId="2B2B0D36" w15:done="0"/>
  <w15:commentEx w15:paraId="74423C16" w15:done="0"/>
  <w15:commentEx w15:paraId="0F0CD0B8" w15:paraIdParent="74423C16" w15:done="0"/>
  <w15:commentEx w15:paraId="5EC50CF5" w15:done="0"/>
  <w15:commentEx w15:paraId="394333F6" w15:paraIdParent="5EC50CF5" w15:done="0"/>
  <w15:commentEx w15:paraId="410FD76A" w15:done="0"/>
  <w15:commentEx w15:paraId="208A455F" w15:paraIdParent="410FD76A" w15:done="0"/>
  <w15:commentEx w15:paraId="21D45E0B" w15:done="0"/>
  <w15:commentEx w15:paraId="67328908" w15:paraIdParent="21D45E0B" w15:done="0"/>
  <w15:commentEx w15:paraId="091F82F9" w15:done="0"/>
  <w15:commentEx w15:paraId="26318492" w15:paraIdParent="091F82F9" w15:done="0"/>
  <w15:commentEx w15:paraId="2B199E07" w15:done="0"/>
  <w15:commentEx w15:paraId="6DF3774F" w15:paraIdParent="2B199E07" w15:done="0"/>
  <w15:commentEx w15:paraId="31E8592B" w15:done="0"/>
  <w15:commentEx w15:paraId="196B9334" w15:paraIdParent="31E8592B" w15:done="0"/>
  <w15:commentEx w15:paraId="44C60C49" w15:done="0"/>
  <w15:commentEx w15:paraId="7051C6A1" w15:paraIdParent="44C60C49" w15:done="0"/>
  <w15:commentEx w15:paraId="5AEA9A54" w15:done="0"/>
  <w15:commentEx w15:paraId="241EF57C" w15:paraIdParent="5AEA9A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F724C" w14:textId="77777777" w:rsidR="005B57E3" w:rsidRDefault="005B57E3" w:rsidP="00B1489F">
      <w:r>
        <w:separator/>
      </w:r>
    </w:p>
  </w:endnote>
  <w:endnote w:type="continuationSeparator" w:id="0">
    <w:p w14:paraId="5B9214A4" w14:textId="77777777" w:rsidR="005B57E3" w:rsidRDefault="005B57E3" w:rsidP="00B1489F">
      <w:r>
        <w:continuationSeparator/>
      </w:r>
    </w:p>
  </w:endnote>
  <w:endnote w:id="1">
    <w:p w14:paraId="37E27D86" w14:textId="52B2BBCA"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UNESCO World Education Forum.</w:t>
      </w:r>
      <w:proofErr w:type="gramEnd"/>
      <w:r w:rsidRPr="001024F5">
        <w:rPr>
          <w:rFonts w:ascii="Arial" w:hAnsi="Arial" w:cs="Arial"/>
          <w:sz w:val="24"/>
          <w:szCs w:val="24"/>
        </w:rPr>
        <w:t xml:space="preserve"> </w:t>
      </w:r>
      <w:r w:rsidRPr="001024F5">
        <w:rPr>
          <w:rFonts w:ascii="Arial" w:hAnsi="Arial" w:cs="Arial"/>
          <w:i/>
          <w:sz w:val="24"/>
          <w:szCs w:val="24"/>
        </w:rPr>
        <w:t>Incheon Declaration Education 2030: Towards Inclusive and Equitable Quality Education and Lifelong Learning for All.</w:t>
      </w:r>
      <w:r w:rsidRPr="001024F5">
        <w:rPr>
          <w:rFonts w:ascii="Arial" w:hAnsi="Arial" w:cs="Arial"/>
          <w:sz w:val="24"/>
          <w:szCs w:val="24"/>
        </w:rPr>
        <w:t xml:space="preserve"> </w:t>
      </w:r>
      <w:proofErr w:type="gramStart"/>
      <w:r w:rsidRPr="001024F5">
        <w:rPr>
          <w:rFonts w:ascii="Arial" w:hAnsi="Arial" w:cs="Arial"/>
          <w:sz w:val="24"/>
          <w:szCs w:val="24"/>
        </w:rPr>
        <w:t xml:space="preserve">(Incheon, Korea, 2015), accessed October 25, 2017, </w:t>
      </w:r>
      <w:hyperlink r:id="rId1" w:history="1">
        <w:r w:rsidRPr="00C111CD">
          <w:rPr>
            <w:rStyle w:val="Hyperlink"/>
            <w:rFonts w:ascii="Arial" w:hAnsi="Arial" w:cs="Arial"/>
            <w:color w:val="0000FF"/>
            <w:sz w:val="24"/>
            <w:szCs w:val="24"/>
          </w:rPr>
          <w:t>http://unesdoc.unesco.org/images/</w:t>
        </w:r>
        <w:r w:rsidRPr="00C111CD">
          <w:rPr>
            <w:rStyle w:val="Hyperlink"/>
            <w:rFonts w:ascii="Arial" w:hAnsi="Arial" w:cs="Arial"/>
            <w:color w:val="0000FF"/>
            <w:sz w:val="24"/>
            <w:szCs w:val="24"/>
          </w:rPr>
          <w:br/>
          <w:t>0023/002338/233813m.pdf</w:t>
        </w:r>
      </w:hyperlink>
      <w:r w:rsidR="00C111CD" w:rsidRPr="001024F5">
        <w:rPr>
          <w:rFonts w:ascii="Arial" w:hAnsi="Arial" w:cs="Arial"/>
          <w:sz w:val="24"/>
          <w:szCs w:val="24"/>
        </w:rPr>
        <w:t>.</w:t>
      </w:r>
      <w:proofErr w:type="gramEnd"/>
    </w:p>
  </w:endnote>
  <w:endnote w:id="2">
    <w:p w14:paraId="06F65AF8" w14:textId="3942CC3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National Council on Disability, </w:t>
      </w:r>
      <w:r w:rsidRPr="001024F5">
        <w:rPr>
          <w:rFonts w:ascii="Arial" w:hAnsi="Arial" w:cs="Arial"/>
          <w:i/>
          <w:sz w:val="24"/>
          <w:szCs w:val="24"/>
        </w:rPr>
        <w:t>Back to School on Civil Rights</w:t>
      </w:r>
      <w:r w:rsidRPr="001024F5">
        <w:rPr>
          <w:rFonts w:ascii="Arial" w:hAnsi="Arial" w:cs="Arial"/>
          <w:sz w:val="24"/>
          <w:szCs w:val="24"/>
        </w:rPr>
        <w:t xml:space="preserve"> (Washington, DC: National Council on Disability, 2000), accessed October 25, 2017, </w:t>
      </w:r>
      <w:hyperlink r:id="rId2" w:history="1">
        <w:r w:rsidRPr="00A646DB">
          <w:rPr>
            <w:rStyle w:val="Hyperlink"/>
            <w:rFonts w:ascii="Arial" w:hAnsi="Arial" w:cs="Arial"/>
            <w:color w:val="0000FF"/>
            <w:sz w:val="24"/>
            <w:szCs w:val="24"/>
          </w:rPr>
          <w:t>https://www.ncd.gov/</w:t>
        </w:r>
        <w:r w:rsidRPr="00A646DB">
          <w:rPr>
            <w:rStyle w:val="Hyperlink"/>
            <w:rFonts w:ascii="Arial" w:hAnsi="Arial" w:cs="Arial"/>
            <w:color w:val="0000FF"/>
            <w:sz w:val="24"/>
            <w:szCs w:val="24"/>
          </w:rPr>
          <w:br/>
        </w:r>
        <w:proofErr w:type="spellStart"/>
        <w:r w:rsidRPr="00A646DB">
          <w:rPr>
            <w:rStyle w:val="Hyperlink"/>
            <w:rFonts w:ascii="Arial" w:hAnsi="Arial" w:cs="Arial"/>
            <w:color w:val="0000FF"/>
            <w:sz w:val="24"/>
            <w:szCs w:val="24"/>
          </w:rPr>
          <w:t>rawmedia_repository</w:t>
        </w:r>
        <w:proofErr w:type="spellEnd"/>
        <w:r w:rsidRPr="00A646DB">
          <w:rPr>
            <w:rStyle w:val="Hyperlink"/>
            <w:rFonts w:ascii="Arial" w:hAnsi="Arial" w:cs="Arial"/>
            <w:color w:val="0000FF"/>
            <w:sz w:val="24"/>
            <w:szCs w:val="24"/>
          </w:rPr>
          <w:t>/7bfb3c01_5c95_4d33_94b7_b80171d0b1bc.pdf</w:t>
        </w:r>
      </w:hyperlink>
      <w:r w:rsidR="00A646DB" w:rsidRPr="001024F5">
        <w:rPr>
          <w:rFonts w:ascii="Arial" w:hAnsi="Arial" w:cs="Arial"/>
          <w:sz w:val="24"/>
          <w:szCs w:val="24"/>
        </w:rPr>
        <w:t>.</w:t>
      </w:r>
    </w:p>
  </w:endnote>
  <w:endnote w:id="3">
    <w:p w14:paraId="340C950A"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Education for all Handicapped Children Act of 1975, Pub.</w:t>
      </w:r>
      <w:proofErr w:type="gramEnd"/>
      <w:r w:rsidRPr="001024F5">
        <w:rPr>
          <w:rFonts w:ascii="Arial" w:hAnsi="Arial" w:cs="Arial"/>
          <w:sz w:val="24"/>
          <w:szCs w:val="24"/>
        </w:rPr>
        <w:t xml:space="preserve"> </w:t>
      </w:r>
      <w:proofErr w:type="gramStart"/>
      <w:r w:rsidRPr="001024F5">
        <w:rPr>
          <w:rFonts w:ascii="Arial" w:hAnsi="Arial" w:cs="Arial"/>
          <w:sz w:val="24"/>
          <w:szCs w:val="24"/>
        </w:rPr>
        <w:t>L. No. 94-142, 89 Stat. 773 (1975).</w:t>
      </w:r>
      <w:proofErr w:type="gramEnd"/>
      <w:r w:rsidRPr="001024F5">
        <w:rPr>
          <w:rFonts w:ascii="Arial" w:hAnsi="Arial" w:cs="Arial"/>
          <w:sz w:val="24"/>
          <w:szCs w:val="24"/>
        </w:rPr>
        <w:t xml:space="preserve"> </w:t>
      </w:r>
    </w:p>
  </w:endnote>
  <w:endnote w:id="4">
    <w:p w14:paraId="61BE7C45"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§300.114-117.</w:t>
      </w:r>
      <w:proofErr w:type="gramEnd"/>
    </w:p>
  </w:endnote>
  <w:endnote w:id="5">
    <w:p w14:paraId="63B24286" w14:textId="26DD0680"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U.S. Department of Education, </w:t>
      </w:r>
      <w:r w:rsidRPr="001024F5">
        <w:rPr>
          <w:rFonts w:ascii="Arial" w:hAnsi="Arial" w:cs="Arial"/>
          <w:i/>
          <w:sz w:val="24"/>
          <w:szCs w:val="24"/>
        </w:rPr>
        <w:t>2016 Determination Letters on State Implementation of IDEA</w:t>
      </w:r>
      <w:r w:rsidRPr="001024F5" w:rsidDel="00C23AEF">
        <w:rPr>
          <w:rFonts w:ascii="Arial" w:hAnsi="Arial" w:cs="Arial"/>
          <w:sz w:val="24"/>
          <w:szCs w:val="24"/>
        </w:rPr>
        <w:t xml:space="preserve"> </w:t>
      </w:r>
      <w:r w:rsidRPr="001024F5">
        <w:rPr>
          <w:rFonts w:ascii="Arial" w:hAnsi="Arial" w:cs="Arial"/>
          <w:sz w:val="24"/>
          <w:szCs w:val="24"/>
        </w:rPr>
        <w:t xml:space="preserve">(Washington, DC: U.S. Department of Education, revised July 10, 2016), accessed October 25, 2017, </w:t>
      </w:r>
      <w:hyperlink r:id="rId3" w:tooltip="https://www2.ed.gov/fund/data/report/idea/ideafactsheet-determinations-2016.pdf" w:history="1">
        <w:r w:rsidRPr="00CE54D7">
          <w:rPr>
            <w:rStyle w:val="Hyperlink"/>
            <w:rFonts w:ascii="Arial" w:hAnsi="Arial" w:cs="Arial"/>
            <w:color w:val="0000FF"/>
            <w:sz w:val="24"/>
            <w:szCs w:val="24"/>
          </w:rPr>
          <w:t>https://www2.ed.gov/fund/data/report/idea/ideafactsheet-determinations-2016.pdf</w:t>
        </w:r>
      </w:hyperlink>
      <w:r w:rsidRPr="00CE54D7">
        <w:rPr>
          <w:rStyle w:val="Hyperlink"/>
          <w:rFonts w:ascii="Arial" w:hAnsi="Arial" w:cs="Arial"/>
          <w:color w:val="0000FF"/>
          <w:sz w:val="24"/>
          <w:szCs w:val="24"/>
        </w:rPr>
        <w:t>.</w:t>
      </w:r>
    </w:p>
  </w:endnote>
  <w:endnote w:id="6">
    <w:p w14:paraId="48AEF841"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There is no demographic information from the 23 email responses.</w:t>
      </w:r>
    </w:p>
  </w:endnote>
  <w:endnote w:id="7">
    <w:p w14:paraId="7B76ACD4"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University of Kansas, “Indicator 5: Least Restrictive Environments (LRE),” in </w:t>
      </w:r>
      <w:r w:rsidRPr="001024F5">
        <w:rPr>
          <w:rFonts w:ascii="Arial" w:hAnsi="Arial" w:cs="Arial"/>
          <w:i/>
          <w:sz w:val="24"/>
          <w:szCs w:val="24"/>
        </w:rPr>
        <w:t>Part B State Performance Plan/Annual Performance Report 2016 Indicator Analyses</w:t>
      </w:r>
      <w:r w:rsidRPr="001024F5">
        <w:rPr>
          <w:rFonts w:ascii="Arial" w:hAnsi="Arial" w:cs="Arial"/>
          <w:sz w:val="24"/>
          <w:szCs w:val="24"/>
        </w:rPr>
        <w:t xml:space="preserve"> (Lawrence, KS: University of Kansas, 2016).</w:t>
      </w:r>
    </w:p>
  </w:endnote>
  <w:endnote w:id="8">
    <w:p w14:paraId="12D12B58" w14:textId="71B69434"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U.S. Department of Education, “IDEA Section 618 Data Products: Statistics Table,” accessed October 25, 2017, </w:t>
      </w:r>
      <w:hyperlink r:id="rId4" w:tooltip="https://www2.ed.gov/programs/osepidea/618-data/static-tables/index.html" w:history="1">
        <w:r w:rsidRPr="00CE54D7">
          <w:rPr>
            <w:rStyle w:val="Hyperlink"/>
            <w:rFonts w:ascii="Arial" w:hAnsi="Arial" w:cs="Arial"/>
            <w:color w:val="0000FF"/>
            <w:sz w:val="24"/>
            <w:szCs w:val="24"/>
          </w:rPr>
          <w:t>https://www2.ed.gov/programs/osepidea/618-data/static-tables/index.html</w:t>
        </w:r>
      </w:hyperlink>
      <w:r w:rsidRPr="00CE54D7">
        <w:rPr>
          <w:rStyle w:val="Hyperlink"/>
          <w:rFonts w:ascii="Arial" w:hAnsi="Arial" w:cs="Arial"/>
          <w:color w:val="0000FF"/>
          <w:sz w:val="24"/>
          <w:szCs w:val="24"/>
        </w:rPr>
        <w:t>.</w:t>
      </w:r>
    </w:p>
  </w:endnote>
  <w:endnote w:id="9">
    <w:p w14:paraId="7D7878DA"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Pr="001024F5">
        <w:rPr>
          <w:rStyle w:val="Emphasis"/>
          <w:rFonts w:ascii="Arial" w:hAnsi="Arial" w:cs="Arial"/>
          <w:sz w:val="24"/>
          <w:szCs w:val="24"/>
        </w:rPr>
        <w:t>Brown v. Board of Education</w:t>
      </w:r>
      <w:r w:rsidRPr="001024F5">
        <w:rPr>
          <w:rFonts w:ascii="Arial" w:hAnsi="Arial" w:cs="Arial"/>
          <w:i/>
          <w:sz w:val="24"/>
          <w:szCs w:val="24"/>
        </w:rPr>
        <w:t>, </w:t>
      </w:r>
      <w:r w:rsidRPr="001024F5">
        <w:rPr>
          <w:rFonts w:ascii="Arial" w:hAnsi="Arial" w:cs="Arial"/>
          <w:sz w:val="24"/>
          <w:szCs w:val="24"/>
        </w:rPr>
        <w:t>347 US 483 (1954)</w:t>
      </w:r>
      <w:r w:rsidRPr="001024F5">
        <w:rPr>
          <w:rFonts w:ascii="Arial" w:eastAsia="Times New Roman" w:hAnsi="Arial" w:cs="Arial"/>
          <w:i/>
          <w:sz w:val="24"/>
          <w:szCs w:val="24"/>
          <w:shd w:val="clear" w:color="auto" w:fill="F8F9FA"/>
        </w:rPr>
        <w:t>.</w:t>
      </w:r>
    </w:p>
  </w:endnote>
  <w:endnote w:id="10">
    <w:p w14:paraId="11C131A5" w14:textId="1CF9E6D0"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Civil Rights Act of 1964, Pub. L. 88</w:t>
      </w:r>
      <w:r>
        <w:rPr>
          <w:rFonts w:ascii="Arial" w:hAnsi="Arial" w:cs="Arial"/>
          <w:sz w:val="24"/>
          <w:szCs w:val="24"/>
        </w:rPr>
        <w:t>-</w:t>
      </w:r>
      <w:r w:rsidRPr="001024F5">
        <w:rPr>
          <w:rFonts w:ascii="Arial" w:hAnsi="Arial" w:cs="Arial"/>
          <w:sz w:val="24"/>
          <w:szCs w:val="24"/>
        </w:rPr>
        <w:t>352, title VI, §601, July 2, 1964, 78 Stat. 252 (1964).</w:t>
      </w:r>
    </w:p>
  </w:endnote>
  <w:endnote w:id="11">
    <w:p w14:paraId="3B9A3061" w14:textId="77777777" w:rsidR="00304135" w:rsidRPr="001024F5" w:rsidRDefault="00304135" w:rsidP="001024F5">
      <w:pPr>
        <w:spacing w:after="200"/>
        <w:rPr>
          <w:rFonts w:ascii="Arial" w:hAnsi="Arial" w:cs="Arial"/>
          <w:sz w:val="24"/>
          <w:szCs w:val="24"/>
          <w:shd w:val="clear" w:color="auto" w:fill="FFFFFF"/>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Pr="001024F5">
        <w:rPr>
          <w:rFonts w:ascii="Arial" w:hAnsi="Arial" w:cs="Arial"/>
          <w:i/>
          <w:sz w:val="24"/>
          <w:szCs w:val="24"/>
          <w:shd w:val="clear" w:color="auto" w:fill="FFFFFF"/>
        </w:rPr>
        <w:t>Pennsylvania Association for Retarded Children (PARC) v. Commonwealth of Pennsylvania,</w:t>
      </w:r>
      <w:r w:rsidRPr="001024F5">
        <w:rPr>
          <w:rFonts w:ascii="Arial" w:hAnsi="Arial" w:cs="Arial"/>
          <w:sz w:val="24"/>
          <w:szCs w:val="24"/>
          <w:shd w:val="clear" w:color="auto" w:fill="FFFFFF"/>
        </w:rPr>
        <w:t xml:space="preserve"> 343 Fed. </w:t>
      </w:r>
      <w:proofErr w:type="gramStart"/>
      <w:r w:rsidRPr="001024F5">
        <w:rPr>
          <w:rFonts w:ascii="Arial" w:hAnsi="Arial" w:cs="Arial"/>
          <w:sz w:val="24"/>
          <w:szCs w:val="24"/>
          <w:shd w:val="clear" w:color="auto" w:fill="FFFFFF"/>
        </w:rPr>
        <w:t>Supp. 279 (1972).</w:t>
      </w:r>
      <w:proofErr w:type="gramEnd"/>
    </w:p>
  </w:endnote>
  <w:endnote w:id="12">
    <w:p w14:paraId="253EBDE0" w14:textId="77777777" w:rsidR="00304135" w:rsidRPr="001024F5" w:rsidRDefault="00304135" w:rsidP="001024F5">
      <w:pPr>
        <w:spacing w:after="200"/>
        <w:rPr>
          <w:rFonts w:ascii="Arial" w:hAnsi="Arial" w:cs="Arial"/>
          <w:sz w:val="24"/>
          <w:szCs w:val="24"/>
          <w:shd w:val="clear" w:color="auto" w:fill="FFFFFF"/>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i/>
          <w:sz w:val="24"/>
          <w:szCs w:val="24"/>
          <w:shd w:val="clear" w:color="auto" w:fill="FFFFFF"/>
        </w:rPr>
        <w:t>Mills v. Board of Education of District of Columbia</w:t>
      </w:r>
      <w:r w:rsidRPr="001024F5">
        <w:rPr>
          <w:rFonts w:ascii="Arial" w:hAnsi="Arial" w:cs="Arial"/>
          <w:sz w:val="24"/>
          <w:szCs w:val="24"/>
          <w:shd w:val="clear" w:color="auto" w:fill="FFFFFF"/>
        </w:rPr>
        <w:t>, 348 F. Supp. 866 (1972).</w:t>
      </w:r>
      <w:proofErr w:type="gramEnd"/>
      <w:r w:rsidRPr="001024F5">
        <w:rPr>
          <w:rFonts w:ascii="Arial" w:hAnsi="Arial" w:cs="Arial"/>
          <w:sz w:val="24"/>
          <w:szCs w:val="24"/>
          <w:shd w:val="clear" w:color="auto" w:fill="FFFFFF"/>
        </w:rPr>
        <w:t> </w:t>
      </w:r>
    </w:p>
  </w:endnote>
  <w:endnote w:id="13">
    <w:p w14:paraId="7306FC89" w14:textId="454CACCD"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bCs/>
          <w:sz w:val="24"/>
          <w:szCs w:val="24"/>
          <w:shd w:val="clear" w:color="auto" w:fill="FFFFFF"/>
        </w:rPr>
        <w:t>Section 504</w:t>
      </w:r>
      <w:r w:rsidR="0075284B">
        <w:rPr>
          <w:rFonts w:ascii="Arial" w:hAnsi="Arial" w:cs="Arial"/>
          <w:sz w:val="24"/>
          <w:szCs w:val="24"/>
          <w:shd w:val="clear" w:color="auto" w:fill="FFFFFF"/>
        </w:rPr>
        <w:t xml:space="preserve"> </w:t>
      </w:r>
      <w:r w:rsidRPr="001024F5">
        <w:rPr>
          <w:rFonts w:ascii="Arial" w:hAnsi="Arial" w:cs="Arial"/>
          <w:sz w:val="24"/>
          <w:szCs w:val="24"/>
          <w:shd w:val="clear" w:color="auto" w:fill="FFFFFF"/>
        </w:rPr>
        <w:t>of the</w:t>
      </w:r>
      <w:r w:rsidR="0075284B">
        <w:rPr>
          <w:rFonts w:ascii="Arial" w:hAnsi="Arial" w:cs="Arial"/>
          <w:sz w:val="24"/>
          <w:szCs w:val="24"/>
          <w:shd w:val="clear" w:color="auto" w:fill="FFFFFF"/>
        </w:rPr>
        <w:t xml:space="preserve"> </w:t>
      </w:r>
      <w:r w:rsidRPr="0075284B">
        <w:rPr>
          <w:rFonts w:ascii="Arial" w:hAnsi="Arial" w:cs="Arial"/>
          <w:bCs/>
          <w:sz w:val="24"/>
          <w:szCs w:val="24"/>
          <w:shd w:val="clear" w:color="auto" w:fill="FFFFFF"/>
        </w:rPr>
        <w:t>Rehabilitation Act of 1973</w:t>
      </w:r>
      <w:r w:rsidRPr="001024F5">
        <w:rPr>
          <w:rFonts w:ascii="Arial" w:hAnsi="Arial" w:cs="Arial"/>
          <w:sz w:val="24"/>
          <w:szCs w:val="24"/>
          <w:shd w:val="clear" w:color="auto" w:fill="FFFFFF"/>
        </w:rPr>
        <w:t>, Pub.</w:t>
      </w:r>
      <w:proofErr w:type="gramEnd"/>
      <w:r w:rsidRPr="001024F5">
        <w:rPr>
          <w:rFonts w:ascii="Arial" w:hAnsi="Arial" w:cs="Arial"/>
          <w:sz w:val="24"/>
          <w:szCs w:val="24"/>
          <w:shd w:val="clear" w:color="auto" w:fill="FFFFFF"/>
        </w:rPr>
        <w:t xml:space="preserve"> </w:t>
      </w:r>
      <w:proofErr w:type="gramStart"/>
      <w:r w:rsidRPr="001024F5">
        <w:rPr>
          <w:rFonts w:ascii="Arial" w:hAnsi="Arial" w:cs="Arial"/>
          <w:sz w:val="24"/>
          <w:szCs w:val="24"/>
          <w:shd w:val="clear" w:color="auto" w:fill="FFFFFF"/>
        </w:rPr>
        <w:t>L. No. 93-112, 87 Stat. 394 (1973).</w:t>
      </w:r>
      <w:proofErr w:type="gramEnd"/>
    </w:p>
  </w:endnote>
  <w:endnote w:id="14">
    <w:p w14:paraId="6E12FC84"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 xml:space="preserve">Education for all Handicapped Children Act of 1975, </w:t>
      </w:r>
      <w:r w:rsidRPr="001024F5">
        <w:rPr>
          <w:rFonts w:ascii="Arial" w:hAnsi="Arial" w:cs="Arial"/>
          <w:i/>
          <w:sz w:val="24"/>
          <w:szCs w:val="24"/>
        </w:rPr>
        <w:t>supra</w:t>
      </w:r>
      <w:r w:rsidRPr="001024F5">
        <w:rPr>
          <w:rFonts w:ascii="Arial" w:hAnsi="Arial" w:cs="Arial"/>
          <w:sz w:val="24"/>
          <w:szCs w:val="24"/>
        </w:rPr>
        <w:t xml:space="preserve"> n. 3.</w:t>
      </w:r>
      <w:proofErr w:type="gramEnd"/>
    </w:p>
  </w:endnote>
  <w:endnote w:id="15">
    <w:p w14:paraId="696E519B"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Individuals with Disabilities Education Improvement Act of 2004, Pub.</w:t>
      </w:r>
      <w:proofErr w:type="gramEnd"/>
      <w:r w:rsidRPr="001024F5">
        <w:rPr>
          <w:rFonts w:ascii="Arial" w:hAnsi="Arial" w:cs="Arial"/>
          <w:sz w:val="24"/>
          <w:szCs w:val="24"/>
        </w:rPr>
        <w:t xml:space="preserve"> L. No 108-446, 118 Stat. 2647 (2004).</w:t>
      </w:r>
    </w:p>
  </w:endnote>
  <w:endnote w:id="16">
    <w:p w14:paraId="483D98AD"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34CFR §300.114-117.</w:t>
      </w:r>
      <w:proofErr w:type="gramEnd"/>
    </w:p>
  </w:endnote>
  <w:endnote w:id="17">
    <w:p w14:paraId="7E16F7DD"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§300.39.</w:t>
      </w:r>
      <w:proofErr w:type="gramEnd"/>
    </w:p>
  </w:endnote>
  <w:endnote w:id="18">
    <w:p w14:paraId="522FE361"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§300.320.</w:t>
      </w:r>
      <w:proofErr w:type="gramEnd"/>
    </w:p>
  </w:endnote>
  <w:endnote w:id="19">
    <w:p w14:paraId="1232D117"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§300.320 (a).</w:t>
      </w:r>
      <w:proofErr w:type="gramEnd"/>
    </w:p>
  </w:endnote>
  <w:endnote w:id="20">
    <w:p w14:paraId="428C1275"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§300.156 (a).</w:t>
      </w:r>
      <w:proofErr w:type="gramEnd"/>
    </w:p>
  </w:endnote>
  <w:endnote w:id="21">
    <w:p w14:paraId="12ACE7B3"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§300.116.</w:t>
      </w:r>
      <w:proofErr w:type="gramEnd"/>
    </w:p>
  </w:endnote>
  <w:endnote w:id="22">
    <w:p w14:paraId="0E4185AA"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§300.114.</w:t>
      </w:r>
      <w:proofErr w:type="gramEnd"/>
    </w:p>
  </w:endnote>
  <w:endnote w:id="23">
    <w:p w14:paraId="02B170C0"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w:t>
      </w:r>
      <w:r w:rsidRPr="001024F5">
        <w:rPr>
          <w:rFonts w:ascii="Arial" w:hAnsi="Arial" w:cs="Arial"/>
          <w:bCs/>
          <w:sz w:val="24"/>
          <w:szCs w:val="24"/>
        </w:rPr>
        <w:t>300.107 and 117.</w:t>
      </w:r>
      <w:proofErr w:type="gramEnd"/>
    </w:p>
  </w:endnote>
  <w:endnote w:id="24">
    <w:p w14:paraId="6C3F2CBF"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§300.114 (a).</w:t>
      </w:r>
      <w:proofErr w:type="gramEnd"/>
    </w:p>
  </w:endnote>
  <w:endnote w:id="25">
    <w:p w14:paraId="4EA481AA"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eastAsia="Times New Roman" w:hAnsi="Arial" w:cs="Arial"/>
          <w:sz w:val="24"/>
          <w:szCs w:val="24"/>
        </w:rPr>
        <w:t>34 CFR §300.115 (a).</w:t>
      </w:r>
      <w:proofErr w:type="gramEnd"/>
    </w:p>
  </w:endnote>
  <w:endnote w:id="26">
    <w:p w14:paraId="180F4548" w14:textId="77777777" w:rsidR="00304135" w:rsidRPr="001024F5" w:rsidRDefault="00304135" w:rsidP="001024F5">
      <w:pPr>
        <w:spacing w:after="200"/>
        <w:rPr>
          <w:rFonts w:ascii="Arial" w:hAnsi="Arial" w:cs="Arial"/>
          <w:sz w:val="24"/>
          <w:szCs w:val="24"/>
          <w:shd w:val="clear" w:color="auto" w:fill="FFFFFF"/>
        </w:rPr>
      </w:pPr>
      <w:r w:rsidRPr="001024F5">
        <w:rPr>
          <w:rStyle w:val="EndnoteReference"/>
          <w:rFonts w:ascii="Arial" w:hAnsi="Arial" w:cs="Arial"/>
          <w:sz w:val="24"/>
          <w:szCs w:val="24"/>
        </w:rPr>
        <w:endnoteRef/>
      </w:r>
      <w:r w:rsidRPr="001024F5">
        <w:rPr>
          <w:rFonts w:ascii="Arial" w:hAnsi="Arial" w:cs="Arial"/>
          <w:sz w:val="24"/>
          <w:szCs w:val="24"/>
        </w:rPr>
        <w:t xml:space="preserve"> Theresa </w:t>
      </w:r>
      <w:proofErr w:type="spellStart"/>
      <w:r w:rsidRPr="001024F5">
        <w:rPr>
          <w:rFonts w:ascii="Arial" w:hAnsi="Arial" w:cs="Arial"/>
          <w:sz w:val="24"/>
          <w:szCs w:val="24"/>
          <w:shd w:val="clear" w:color="auto" w:fill="FFFFFF"/>
        </w:rPr>
        <w:t>Rebhorn</w:t>
      </w:r>
      <w:proofErr w:type="spellEnd"/>
      <w:r w:rsidRPr="001024F5">
        <w:rPr>
          <w:rFonts w:ascii="Arial" w:hAnsi="Arial" w:cs="Arial"/>
          <w:sz w:val="24"/>
          <w:szCs w:val="24"/>
          <w:shd w:val="clear" w:color="auto" w:fill="FFFFFF"/>
        </w:rPr>
        <w:t xml:space="preserve"> and Anne Smith, “</w:t>
      </w:r>
      <w:r w:rsidRPr="001024F5">
        <w:rPr>
          <w:rFonts w:ascii="Arial" w:hAnsi="Arial" w:cs="Arial"/>
          <w:sz w:val="24"/>
          <w:szCs w:val="24"/>
          <w:bdr w:val="none" w:sz="0" w:space="0" w:color="auto" w:frame="1"/>
          <w:shd w:val="clear" w:color="auto" w:fill="FFFFFF"/>
        </w:rPr>
        <w:t>LRE Decision Making</w:t>
      </w:r>
      <w:r w:rsidRPr="001024F5">
        <w:rPr>
          <w:rFonts w:ascii="Arial" w:hAnsi="Arial" w:cs="Arial"/>
          <w:sz w:val="24"/>
          <w:szCs w:val="24"/>
          <w:shd w:val="clear" w:color="auto" w:fill="FFFFFF"/>
        </w:rPr>
        <w:t> (Module 15),” in</w:t>
      </w:r>
      <w:r w:rsidRPr="001024F5">
        <w:rPr>
          <w:rFonts w:ascii="Arial" w:hAnsi="Arial" w:cs="Arial"/>
          <w:i/>
          <w:sz w:val="24"/>
          <w:szCs w:val="24"/>
          <w:shd w:val="clear" w:color="auto" w:fill="FFFFFF"/>
        </w:rPr>
        <w:t> </w:t>
      </w:r>
      <w:r w:rsidRPr="001024F5">
        <w:rPr>
          <w:rStyle w:val="Emphasis"/>
          <w:rFonts w:ascii="Arial" w:hAnsi="Arial" w:cs="Arial"/>
          <w:sz w:val="24"/>
          <w:szCs w:val="24"/>
          <w:bdr w:val="none" w:sz="0" w:space="0" w:color="auto" w:frame="1"/>
          <w:shd w:val="clear" w:color="auto" w:fill="FFFFFF"/>
        </w:rPr>
        <w:t>Building the Legacy: IDEA Training Curriculum</w:t>
      </w:r>
      <w:r w:rsidRPr="001024F5">
        <w:rPr>
          <w:rFonts w:ascii="Arial" w:hAnsi="Arial" w:cs="Arial"/>
          <w:sz w:val="24"/>
          <w:szCs w:val="24"/>
          <w:shd w:val="clear" w:color="auto" w:fill="FFFFFF"/>
        </w:rPr>
        <w:t xml:space="preserve"> (Washington, DC: National Dissemination Center for Children with Disabilities, 2008).</w:t>
      </w:r>
    </w:p>
  </w:endnote>
  <w:endnote w:id="27">
    <w:p w14:paraId="1CE18B90" w14:textId="35545BA4"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U.S. Department of Education Office for Civil Rights, “Deaf Students Education Services” (2015), accessed October 25, 2017, </w:t>
      </w:r>
      <w:hyperlink r:id="rId5" w:tooltip="https://www2.ed.gov/about/offices/list/ocr/docs/hq9806.html" w:history="1">
        <w:r w:rsidRPr="00CE54D7">
          <w:rPr>
            <w:rStyle w:val="Hyperlink"/>
            <w:rFonts w:ascii="Arial" w:hAnsi="Arial" w:cs="Arial"/>
            <w:color w:val="0000FF"/>
            <w:sz w:val="24"/>
            <w:szCs w:val="24"/>
          </w:rPr>
          <w:t>https://www2.ed.gov/about/offices/list/ocr/docs/hq9806.html</w:t>
        </w:r>
      </w:hyperlink>
      <w:r w:rsidRPr="001024F5">
        <w:rPr>
          <w:rFonts w:ascii="Arial" w:hAnsi="Arial" w:cs="Arial"/>
          <w:sz w:val="24"/>
          <w:szCs w:val="24"/>
        </w:rPr>
        <w:t xml:space="preserve">. </w:t>
      </w:r>
    </w:p>
  </w:endnote>
  <w:endnote w:id="28">
    <w:p w14:paraId="13B3D3D4"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34 CFR §300.116 (e).</w:t>
      </w:r>
      <w:proofErr w:type="gramEnd"/>
    </w:p>
  </w:endnote>
  <w:endnote w:id="29">
    <w:p w14:paraId="74D22E8D"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700 F.2d 1058 (6th Cir. 1983).</w:t>
      </w:r>
      <w:proofErr w:type="gramEnd"/>
    </w:p>
  </w:endnote>
  <w:endnote w:id="30">
    <w:p w14:paraId="3E50BC74"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874 F.2d 1036 (5th Cir. 1989)</w:t>
      </w:r>
      <w:r w:rsidRPr="001024F5">
        <w:rPr>
          <w:rStyle w:val="apple-converted-space"/>
          <w:rFonts w:ascii="Arial" w:hAnsi="Arial" w:cs="Arial"/>
          <w:sz w:val="24"/>
          <w:szCs w:val="24"/>
        </w:rPr>
        <w:t>.</w:t>
      </w:r>
      <w:proofErr w:type="gramEnd"/>
    </w:p>
  </w:endnote>
  <w:endnote w:id="31">
    <w:p w14:paraId="3A5A70E7"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950 F.2d 688 (11th Cir. 1991).</w:t>
      </w:r>
      <w:proofErr w:type="gramEnd"/>
    </w:p>
  </w:endnote>
  <w:endnote w:id="32">
    <w:p w14:paraId="3AAA21B0"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995 F.2d 1204 (3rd Cir. 1993)</w:t>
      </w:r>
      <w:r w:rsidRPr="001024F5">
        <w:rPr>
          <w:rStyle w:val="apple-converted-space"/>
          <w:rFonts w:ascii="Arial" w:hAnsi="Arial" w:cs="Arial"/>
          <w:sz w:val="24"/>
          <w:szCs w:val="24"/>
        </w:rPr>
        <w:t>.</w:t>
      </w:r>
      <w:proofErr w:type="gramEnd"/>
    </w:p>
  </w:endnote>
  <w:endnote w:id="33">
    <w:p w14:paraId="2BDB39A0" w14:textId="77777777" w:rsidR="00304135" w:rsidRPr="001024F5" w:rsidRDefault="00304135" w:rsidP="001024F5">
      <w:pPr>
        <w:pStyle w:val="Heading1"/>
        <w:shd w:val="clear" w:color="auto" w:fill="FFFFFF"/>
        <w:spacing w:line="240" w:lineRule="auto"/>
        <w:jc w:val="left"/>
        <w:rPr>
          <w:b w:val="0"/>
          <w:sz w:val="24"/>
          <w:szCs w:val="24"/>
        </w:rPr>
      </w:pPr>
      <w:r w:rsidRPr="00D108DE">
        <w:rPr>
          <w:rStyle w:val="EndnoteReference"/>
          <w:b w:val="0"/>
          <w:sz w:val="24"/>
          <w:szCs w:val="24"/>
        </w:rPr>
        <w:endnoteRef/>
      </w:r>
      <w:r w:rsidRPr="00D108DE">
        <w:rPr>
          <w:b w:val="0"/>
          <w:sz w:val="24"/>
          <w:szCs w:val="24"/>
        </w:rPr>
        <w:t xml:space="preserve"> </w:t>
      </w:r>
      <w:proofErr w:type="spellStart"/>
      <w:proofErr w:type="gramStart"/>
      <w:r w:rsidRPr="001024F5">
        <w:rPr>
          <w:b w:val="0"/>
          <w:i/>
          <w:sz w:val="24"/>
          <w:szCs w:val="24"/>
        </w:rPr>
        <w:t>Oberti</w:t>
      </w:r>
      <w:proofErr w:type="spellEnd"/>
      <w:r w:rsidRPr="001024F5">
        <w:rPr>
          <w:b w:val="0"/>
          <w:i/>
          <w:sz w:val="24"/>
          <w:szCs w:val="24"/>
        </w:rPr>
        <w:t xml:space="preserve"> v. Board of Education</w:t>
      </w:r>
      <w:r w:rsidRPr="001024F5">
        <w:rPr>
          <w:b w:val="0"/>
          <w:sz w:val="24"/>
          <w:szCs w:val="24"/>
        </w:rPr>
        <w:t>, 995 F.2d 1204 (3rd Cir. 1993).</w:t>
      </w:r>
      <w:proofErr w:type="gramEnd"/>
      <w:r w:rsidRPr="001024F5">
        <w:rPr>
          <w:b w:val="0"/>
          <w:sz w:val="24"/>
          <w:szCs w:val="24"/>
        </w:rPr>
        <w:t xml:space="preserve"> </w:t>
      </w:r>
    </w:p>
  </w:endnote>
  <w:endnote w:id="34">
    <w:p w14:paraId="143E7D0E" w14:textId="77777777" w:rsidR="00304135" w:rsidRPr="001024F5" w:rsidRDefault="00304135" w:rsidP="001024F5">
      <w:pPr>
        <w:pStyle w:val="Heading1"/>
        <w:shd w:val="clear" w:color="auto" w:fill="FFFFFF"/>
        <w:spacing w:line="240" w:lineRule="auto"/>
        <w:jc w:val="left"/>
        <w:rPr>
          <w:sz w:val="24"/>
          <w:szCs w:val="24"/>
        </w:rPr>
      </w:pPr>
      <w:r w:rsidRPr="001024F5">
        <w:rPr>
          <w:rStyle w:val="EndnoteReference"/>
          <w:b w:val="0"/>
          <w:sz w:val="24"/>
          <w:szCs w:val="24"/>
        </w:rPr>
        <w:endnoteRef/>
      </w:r>
      <w:r w:rsidRPr="001024F5">
        <w:rPr>
          <w:b w:val="0"/>
          <w:sz w:val="24"/>
          <w:szCs w:val="24"/>
        </w:rPr>
        <w:t xml:space="preserve"> </w:t>
      </w:r>
      <w:proofErr w:type="gramStart"/>
      <w:r w:rsidRPr="001024F5">
        <w:rPr>
          <w:b w:val="0"/>
          <w:bCs/>
          <w:sz w:val="24"/>
          <w:szCs w:val="24"/>
          <w:shd w:val="clear" w:color="auto" w:fill="FFFFFF"/>
        </w:rPr>
        <w:t xml:space="preserve">14 F.3d 1398 </w:t>
      </w:r>
      <w:r w:rsidRPr="001024F5">
        <w:rPr>
          <w:b w:val="0"/>
          <w:sz w:val="24"/>
          <w:szCs w:val="24"/>
        </w:rPr>
        <w:t>(9th Cir. 1994).</w:t>
      </w:r>
      <w:proofErr w:type="gramEnd"/>
    </w:p>
  </w:endnote>
  <w:endnote w:id="35">
    <w:p w14:paraId="3C5031F7"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205 F.3d 572 (3rd Cir. 2000).</w:t>
      </w:r>
      <w:proofErr w:type="gramEnd"/>
    </w:p>
  </w:endnote>
  <w:endnote w:id="36">
    <w:p w14:paraId="6B99AD31" w14:textId="77777777" w:rsidR="00304135" w:rsidRPr="001024F5" w:rsidRDefault="00304135" w:rsidP="001024F5">
      <w:pPr>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512 F.Supp.2d 89 (</w:t>
      </w:r>
      <w:proofErr w:type="spellStart"/>
      <w:r w:rsidRPr="001024F5">
        <w:rPr>
          <w:rFonts w:ascii="Arial" w:hAnsi="Arial" w:cs="Arial"/>
          <w:sz w:val="24"/>
          <w:szCs w:val="24"/>
        </w:rPr>
        <w:t>D.Conn</w:t>
      </w:r>
      <w:proofErr w:type="spellEnd"/>
      <w:r w:rsidRPr="001024F5">
        <w:rPr>
          <w:rFonts w:ascii="Arial" w:hAnsi="Arial" w:cs="Arial"/>
          <w:sz w:val="24"/>
          <w:szCs w:val="24"/>
        </w:rPr>
        <w:t>. 2007).</w:t>
      </w:r>
      <w:proofErr w:type="gramEnd"/>
    </w:p>
  </w:endnote>
  <w:endnote w:id="37">
    <w:p w14:paraId="01961030"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Participant, Regional Focus Group/National Forum, 2016.</w:t>
      </w:r>
      <w:proofErr w:type="gramEnd"/>
    </w:p>
  </w:endnote>
  <w:endnote w:id="38">
    <w:p w14:paraId="74F7BDC0"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April 26, 2017.</w:t>
      </w:r>
    </w:p>
  </w:endnote>
  <w:endnote w:id="39">
    <w:p w14:paraId="5F37776B"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April 19, 2017.</w:t>
      </w:r>
    </w:p>
  </w:endnote>
  <w:endnote w:id="40">
    <w:p w14:paraId="6DED353C" w14:textId="45AAFBC8"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U.S. Department of Education, “IDEA Section 618 Data Products: State Level Data Files,” accessed June 28, 2017, </w:t>
      </w:r>
      <w:hyperlink r:id="rId6" w:tooltip="https://www2.ed.gov/programs/osepidea/618-data/state-level-data-files/index.html" w:history="1">
        <w:r w:rsidRPr="00CE54D7">
          <w:rPr>
            <w:rStyle w:val="Hyperlink"/>
            <w:rFonts w:ascii="Arial" w:hAnsi="Arial" w:cs="Arial"/>
            <w:color w:val="0000FF"/>
            <w:sz w:val="24"/>
            <w:szCs w:val="24"/>
          </w:rPr>
          <w:t>https://www2.ed.gov/programs/osepidea/618-data/state-level-data-files/index.html</w:t>
        </w:r>
      </w:hyperlink>
      <w:r w:rsidRPr="001024F5">
        <w:rPr>
          <w:rFonts w:ascii="Arial" w:hAnsi="Arial" w:cs="Arial"/>
          <w:sz w:val="24"/>
          <w:szCs w:val="24"/>
        </w:rPr>
        <w:t xml:space="preserve">. </w:t>
      </w:r>
    </w:p>
  </w:endnote>
  <w:endnote w:id="41">
    <w:p w14:paraId="4020382E" w14:textId="77777777" w:rsidR="00304135" w:rsidRPr="001024F5" w:rsidRDefault="00304135" w:rsidP="001024F5">
      <w:pPr>
        <w:pStyle w:val="ListParagraph"/>
        <w:spacing w:after="200"/>
        <w:ind w:left="0"/>
        <w:contextualSpacing w:val="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Pr="001024F5">
        <w:rPr>
          <w:rFonts w:ascii="Arial" w:eastAsia="Calibri" w:hAnsi="Arial" w:cs="Arial"/>
          <w:sz w:val="24"/>
          <w:szCs w:val="24"/>
        </w:rPr>
        <w:t>Typically, students are enrolled in general education classes and are considered general education students who receive special education services. This is the only measure we have that might be considered an “inclusive” placement.</w:t>
      </w:r>
    </w:p>
  </w:endnote>
  <w:endnote w:id="42">
    <w:p w14:paraId="2F182071" w14:textId="77777777" w:rsidR="00304135" w:rsidRPr="001024F5" w:rsidRDefault="00304135" w:rsidP="001024F5">
      <w:pPr>
        <w:pStyle w:val="ListParagraph"/>
        <w:spacing w:after="200"/>
        <w:ind w:left="0"/>
        <w:contextualSpacing w:val="0"/>
        <w:rPr>
          <w:rFonts w:ascii="Arial" w:eastAsia="Calibri"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Pr="001024F5">
        <w:rPr>
          <w:rFonts w:ascii="Arial" w:eastAsia="Calibri" w:hAnsi="Arial" w:cs="Arial"/>
          <w:sz w:val="24"/>
          <w:szCs w:val="24"/>
        </w:rPr>
        <w:t>Typically, students are enrolled in special education classes and are educated in these classes for most of the day, but might (or might not) spend some time of the day in one or two general education classes like art, music or physical education.</w:t>
      </w:r>
    </w:p>
  </w:endnote>
  <w:endnote w:id="43">
    <w:p w14:paraId="4BA15FD3" w14:textId="77777777" w:rsidR="00304135" w:rsidRPr="001024F5" w:rsidRDefault="00304135" w:rsidP="001024F5">
      <w:pPr>
        <w:autoSpaceDE w:val="0"/>
        <w:autoSpaceDN w:val="0"/>
        <w:adjustRightInd w:val="0"/>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Phil Smith, “Have We Made Any Progress? Including Students with Intellectual Disabilities in Regular Education Classrooms,” </w:t>
      </w:r>
      <w:r w:rsidRPr="001024F5">
        <w:rPr>
          <w:rFonts w:ascii="Arial" w:hAnsi="Arial" w:cs="Arial"/>
          <w:i/>
          <w:iCs/>
          <w:sz w:val="24"/>
          <w:szCs w:val="24"/>
        </w:rPr>
        <w:t xml:space="preserve">Intellectual and Developmental Disabilities </w:t>
      </w:r>
      <w:r w:rsidRPr="001024F5">
        <w:rPr>
          <w:rFonts w:ascii="Arial" w:hAnsi="Arial" w:cs="Arial"/>
          <w:iCs/>
          <w:sz w:val="24"/>
          <w:szCs w:val="24"/>
        </w:rPr>
        <w:t>45 (2007)</w:t>
      </w:r>
      <w:r w:rsidRPr="001024F5">
        <w:rPr>
          <w:rFonts w:ascii="Arial" w:hAnsi="Arial" w:cs="Arial"/>
          <w:sz w:val="24"/>
          <w:szCs w:val="24"/>
        </w:rPr>
        <w:t>: 297–309, doi</w:t>
      </w:r>
      <w:proofErr w:type="gramStart"/>
      <w:r w:rsidRPr="001024F5">
        <w:rPr>
          <w:rFonts w:ascii="Arial" w:hAnsi="Arial" w:cs="Arial"/>
          <w:sz w:val="24"/>
          <w:szCs w:val="24"/>
        </w:rPr>
        <w:t>:10.1352</w:t>
      </w:r>
      <w:proofErr w:type="gramEnd"/>
      <w:r w:rsidRPr="001024F5">
        <w:rPr>
          <w:rFonts w:ascii="Arial" w:hAnsi="Arial" w:cs="Arial"/>
          <w:sz w:val="24"/>
          <w:szCs w:val="24"/>
        </w:rPr>
        <w:t xml:space="preserve">/0047-6765. </w:t>
      </w:r>
    </w:p>
  </w:endnote>
  <w:endnote w:id="44">
    <w:p w14:paraId="08E5F427"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Jennifer A. </w:t>
      </w:r>
      <w:proofErr w:type="spellStart"/>
      <w:r w:rsidRPr="001024F5">
        <w:rPr>
          <w:rFonts w:ascii="Arial" w:hAnsi="Arial" w:cs="Arial"/>
          <w:sz w:val="24"/>
          <w:szCs w:val="24"/>
        </w:rPr>
        <w:t>Kurth</w:t>
      </w:r>
      <w:proofErr w:type="spellEnd"/>
      <w:r w:rsidRPr="001024F5">
        <w:rPr>
          <w:rFonts w:ascii="Arial" w:hAnsi="Arial" w:cs="Arial"/>
          <w:sz w:val="24"/>
          <w:szCs w:val="24"/>
        </w:rPr>
        <w:t xml:space="preserve">, “Educational Placement of Students with Autism: The Impact of State of Residence,” </w:t>
      </w:r>
      <w:r w:rsidRPr="001024F5">
        <w:rPr>
          <w:rFonts w:ascii="Arial" w:hAnsi="Arial" w:cs="Arial"/>
          <w:i/>
          <w:sz w:val="24"/>
          <w:szCs w:val="24"/>
        </w:rPr>
        <w:t>Focus on Autism and Other Developmental Disabilities</w:t>
      </w:r>
      <w:r w:rsidRPr="001024F5">
        <w:rPr>
          <w:rFonts w:ascii="Arial" w:hAnsi="Arial" w:cs="Arial"/>
          <w:sz w:val="24"/>
          <w:szCs w:val="24"/>
        </w:rPr>
        <w:t xml:space="preserve"> 30, no. 4 (2015): 249–256.</w:t>
      </w:r>
    </w:p>
  </w:endnote>
  <w:endnote w:id="45">
    <w:p w14:paraId="78D42F1E"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Matthew E. Brock and John M. Schaefer, “Location Matters: Geographic Location and Educational Placement of Students with Developmental Disabilities,” </w:t>
      </w:r>
      <w:r w:rsidRPr="001024F5">
        <w:rPr>
          <w:rFonts w:ascii="Arial" w:hAnsi="Arial" w:cs="Arial"/>
          <w:i/>
          <w:sz w:val="24"/>
          <w:szCs w:val="24"/>
        </w:rPr>
        <w:t>Research and Practice for Persons with Severe Disabilities</w:t>
      </w:r>
      <w:r w:rsidRPr="001024F5">
        <w:rPr>
          <w:rFonts w:ascii="Arial" w:hAnsi="Arial" w:cs="Arial"/>
          <w:sz w:val="24"/>
          <w:szCs w:val="24"/>
        </w:rPr>
        <w:t xml:space="preserve"> 40, no. 2 (2015): 154–164.</w:t>
      </w:r>
    </w:p>
  </w:endnote>
  <w:endnote w:id="46">
    <w:p w14:paraId="7F207F84" w14:textId="77777777" w:rsidR="00304135" w:rsidRPr="001024F5" w:rsidRDefault="00304135" w:rsidP="001024F5">
      <w:pPr>
        <w:autoSpaceDE w:val="0"/>
        <w:autoSpaceDN w:val="0"/>
        <w:adjustRightInd w:val="0"/>
        <w:spacing w:after="200"/>
        <w:rPr>
          <w:rFonts w:ascii="Arial" w:hAnsi="Arial" w:cs="Arial"/>
          <w:i/>
          <w:iCs/>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Mary E. Morningstar, Jennifer A, </w:t>
      </w:r>
      <w:proofErr w:type="spellStart"/>
      <w:r w:rsidRPr="001024F5">
        <w:rPr>
          <w:rFonts w:ascii="Arial" w:hAnsi="Arial" w:cs="Arial"/>
          <w:sz w:val="24"/>
          <w:szCs w:val="24"/>
        </w:rPr>
        <w:t>Kurth</w:t>
      </w:r>
      <w:proofErr w:type="spellEnd"/>
      <w:r w:rsidRPr="001024F5">
        <w:rPr>
          <w:rFonts w:ascii="Arial" w:hAnsi="Arial" w:cs="Arial"/>
          <w:sz w:val="24"/>
          <w:szCs w:val="24"/>
        </w:rPr>
        <w:t xml:space="preserve">, and Paul E. Johnson, “Examining National Trends in Educational Placements for Students with Significant Disabilities,” </w:t>
      </w:r>
      <w:r w:rsidRPr="001024F5">
        <w:rPr>
          <w:rFonts w:ascii="Arial" w:hAnsi="Arial" w:cs="Arial"/>
          <w:i/>
          <w:iCs/>
          <w:sz w:val="24"/>
          <w:szCs w:val="24"/>
        </w:rPr>
        <w:t xml:space="preserve">Remedial and Special Education </w:t>
      </w:r>
      <w:r w:rsidRPr="001024F5">
        <w:rPr>
          <w:rFonts w:ascii="Arial" w:hAnsi="Arial" w:cs="Arial"/>
          <w:iCs/>
          <w:sz w:val="24"/>
          <w:szCs w:val="24"/>
        </w:rPr>
        <w:t xml:space="preserve">38, no. </w:t>
      </w:r>
      <w:r w:rsidRPr="001024F5">
        <w:rPr>
          <w:rFonts w:ascii="Arial" w:hAnsi="Arial" w:cs="Arial"/>
          <w:sz w:val="24"/>
          <w:szCs w:val="24"/>
        </w:rPr>
        <w:t>1 (2017): 3–12.</w:t>
      </w:r>
    </w:p>
  </w:endnote>
  <w:endnote w:id="47">
    <w:p w14:paraId="1CC8E144"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Participant, Regional Forum, 2017.</w:t>
      </w:r>
      <w:proofErr w:type="gramEnd"/>
    </w:p>
  </w:endnote>
  <w:endnote w:id="48">
    <w:p w14:paraId="6176C059"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April 28, 2017.</w:t>
      </w:r>
    </w:p>
  </w:endnote>
  <w:endnote w:id="49">
    <w:p w14:paraId="23BDFD96"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May 10, 2017.</w:t>
      </w:r>
    </w:p>
  </w:endnote>
  <w:endnote w:id="50">
    <w:p w14:paraId="4AB62282"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Jennifer A. </w:t>
      </w:r>
      <w:proofErr w:type="spellStart"/>
      <w:r w:rsidRPr="001024F5">
        <w:rPr>
          <w:rFonts w:ascii="Arial" w:hAnsi="Arial" w:cs="Arial"/>
          <w:sz w:val="24"/>
          <w:szCs w:val="24"/>
        </w:rPr>
        <w:t>Kurth</w:t>
      </w:r>
      <w:proofErr w:type="spellEnd"/>
      <w:r w:rsidRPr="001024F5">
        <w:rPr>
          <w:rFonts w:ascii="Arial" w:hAnsi="Arial" w:cs="Arial"/>
          <w:sz w:val="24"/>
          <w:szCs w:val="24"/>
        </w:rPr>
        <w:t xml:space="preserve">, Anne M. </w:t>
      </w:r>
      <w:proofErr w:type="spellStart"/>
      <w:r w:rsidRPr="001024F5">
        <w:rPr>
          <w:rFonts w:ascii="Arial" w:hAnsi="Arial" w:cs="Arial"/>
          <w:sz w:val="24"/>
          <w:szCs w:val="24"/>
        </w:rPr>
        <w:t>Mastergeorge</w:t>
      </w:r>
      <w:proofErr w:type="spellEnd"/>
      <w:r w:rsidRPr="001024F5">
        <w:rPr>
          <w:rFonts w:ascii="Arial" w:hAnsi="Arial" w:cs="Arial"/>
          <w:sz w:val="24"/>
          <w:szCs w:val="24"/>
        </w:rPr>
        <w:t xml:space="preserve">, and Katherine </w:t>
      </w:r>
      <w:proofErr w:type="spellStart"/>
      <w:r w:rsidRPr="001024F5">
        <w:rPr>
          <w:rFonts w:ascii="Arial" w:hAnsi="Arial" w:cs="Arial"/>
          <w:sz w:val="24"/>
          <w:szCs w:val="24"/>
        </w:rPr>
        <w:t>Paschall</w:t>
      </w:r>
      <w:proofErr w:type="spellEnd"/>
      <w:r w:rsidRPr="001024F5">
        <w:rPr>
          <w:rFonts w:ascii="Arial" w:hAnsi="Arial" w:cs="Arial"/>
          <w:sz w:val="24"/>
          <w:szCs w:val="24"/>
        </w:rPr>
        <w:t xml:space="preserve">, “Economic and Demographic Factors Impacting Placement of Students with Autism,” </w:t>
      </w:r>
      <w:r w:rsidRPr="001024F5">
        <w:rPr>
          <w:rFonts w:ascii="Arial" w:hAnsi="Arial" w:cs="Arial"/>
          <w:i/>
          <w:sz w:val="24"/>
          <w:szCs w:val="24"/>
        </w:rPr>
        <w:t>Education and Training in Autism and Developmental Disabilities</w:t>
      </w:r>
      <w:r w:rsidRPr="001024F5">
        <w:rPr>
          <w:rFonts w:ascii="Arial" w:hAnsi="Arial" w:cs="Arial"/>
          <w:sz w:val="24"/>
          <w:szCs w:val="24"/>
        </w:rPr>
        <w:t xml:space="preserve"> 51, no. 1 (2016): 3–12.</w:t>
      </w:r>
    </w:p>
  </w:endnote>
  <w:endnote w:id="51">
    <w:p w14:paraId="4856A5D9"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34 C.F.R. §300 Vol. 81, No. 243 December 19, 2016.</w:t>
      </w:r>
    </w:p>
  </w:endnote>
  <w:endnote w:id="52">
    <w:p w14:paraId="3F2560C1" w14:textId="77777777" w:rsidR="00304135" w:rsidRPr="001024F5" w:rsidRDefault="00304135" w:rsidP="001024F5">
      <w:pPr>
        <w:spacing w:after="200"/>
        <w:rPr>
          <w:rFonts w:ascii="Arial" w:eastAsiaTheme="majorEastAsia"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eastAsia="Calibri" w:hAnsi="Arial" w:cs="Arial"/>
          <w:sz w:val="24"/>
          <w:szCs w:val="24"/>
        </w:rPr>
        <w:t>Office of Special Education Programs, “Memorandum 95-9” (November 23, 1994).</w:t>
      </w:r>
      <w:proofErr w:type="gramEnd"/>
    </w:p>
  </w:endnote>
  <w:endnote w:id="53">
    <w:p w14:paraId="17FDADAC" w14:textId="6876A8F8"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Office of Special Education Programs, “Dear Colleague Letter on Preschool Least Restrictive Environment” (February 29, 2012), accessed October 25, 2017, </w:t>
      </w:r>
      <w:hyperlink r:id="rId7" w:history="1">
        <w:r w:rsidRPr="006945A0">
          <w:rPr>
            <w:rStyle w:val="Hyperlink"/>
            <w:rFonts w:ascii="Arial" w:hAnsi="Arial" w:cs="Arial"/>
            <w:color w:val="0000FF"/>
            <w:sz w:val="24"/>
            <w:szCs w:val="24"/>
          </w:rPr>
          <w:t>https://www2.ed.gov/policy/speced/guid/idea/letters/2012-1/dearcolleague022912</w:t>
        </w:r>
        <w:r w:rsidRPr="006945A0">
          <w:rPr>
            <w:rStyle w:val="Hyperlink"/>
            <w:rFonts w:ascii="Arial" w:hAnsi="Arial" w:cs="Arial"/>
            <w:color w:val="0000FF"/>
            <w:sz w:val="24"/>
            <w:szCs w:val="24"/>
          </w:rPr>
          <w:br/>
          <w:t>preschoollre1q2012.doc</w:t>
        </w:r>
      </w:hyperlink>
      <w:r w:rsidRPr="001024F5">
        <w:rPr>
          <w:rFonts w:ascii="Arial" w:hAnsi="Arial" w:cs="Arial"/>
          <w:sz w:val="24"/>
          <w:szCs w:val="24"/>
        </w:rPr>
        <w:t>.</w:t>
      </w:r>
    </w:p>
  </w:endnote>
  <w:endnote w:id="54">
    <w:p w14:paraId="79FC65FD" w14:textId="10D9BE4D"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U.S. Department of Education and U.S. Department of Health and Human Services, </w:t>
      </w:r>
      <w:r w:rsidRPr="001024F5">
        <w:rPr>
          <w:rFonts w:ascii="Arial" w:hAnsi="Arial" w:cs="Arial"/>
          <w:i/>
          <w:sz w:val="24"/>
          <w:szCs w:val="24"/>
        </w:rPr>
        <w:t>Policy Statement on Inclusion of Children with Disabilities in Early Childhood Programs</w:t>
      </w:r>
      <w:r w:rsidRPr="001024F5">
        <w:rPr>
          <w:rFonts w:ascii="Arial" w:hAnsi="Arial" w:cs="Arial"/>
          <w:sz w:val="24"/>
          <w:szCs w:val="24"/>
        </w:rPr>
        <w:t xml:space="preserve"> (Washington, DC: Author, 2015), accessed October 25, 2017, </w:t>
      </w:r>
      <w:hyperlink r:id="rId8" w:tooltip="https://www2.ed.gov/policy/speced/guid/earlylearning/joint-statement-full-text.pdf" w:history="1">
        <w:r w:rsidRPr="00CE54D7">
          <w:rPr>
            <w:rStyle w:val="Hyperlink"/>
            <w:rFonts w:ascii="Arial" w:hAnsi="Arial" w:cs="Arial"/>
            <w:color w:val="0000FF"/>
            <w:sz w:val="24"/>
            <w:szCs w:val="24"/>
          </w:rPr>
          <w:t>https://www2.ed.gov/policy/speced/guid/earlylearning/joint-statement-full-text.pdf</w:t>
        </w:r>
      </w:hyperlink>
      <w:r w:rsidRPr="001024F5">
        <w:rPr>
          <w:rFonts w:ascii="Arial" w:hAnsi="Arial" w:cs="Arial"/>
          <w:sz w:val="24"/>
          <w:szCs w:val="24"/>
        </w:rPr>
        <w:t xml:space="preserve">. </w:t>
      </w:r>
    </w:p>
  </w:endnote>
  <w:endnote w:id="55">
    <w:p w14:paraId="62E19830" w14:textId="478B309B"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Office of Special Education and Rehabilitative Services, “Policy Guidance on Free Appropriate Public Education (FAPE)” (November 16, 2015), accessed October 25, 2017, </w:t>
      </w:r>
      <w:hyperlink r:id="rId9" w:tooltip="https://www2.ed.gov/policy/speced/guid/idea/memosdcltrs/guidance-on-fape-11-17-2015.pdf" w:history="1">
        <w:r w:rsidRPr="00CE54D7">
          <w:rPr>
            <w:rStyle w:val="Hyperlink"/>
            <w:rFonts w:ascii="Arial" w:hAnsi="Arial" w:cs="Arial"/>
            <w:color w:val="0000FF"/>
            <w:sz w:val="24"/>
            <w:szCs w:val="24"/>
          </w:rPr>
          <w:t>https://www2.ed.gov/policy/speced/guid/idea/memosdcltrs/guidance-on-fape-11-17-2015.pdf</w:t>
        </w:r>
      </w:hyperlink>
      <w:r w:rsidRPr="001024F5">
        <w:rPr>
          <w:rFonts w:ascii="Arial" w:hAnsi="Arial" w:cs="Arial"/>
          <w:sz w:val="24"/>
          <w:szCs w:val="24"/>
        </w:rPr>
        <w:t xml:space="preserve">. </w:t>
      </w:r>
    </w:p>
  </w:endnote>
  <w:endnote w:id="56">
    <w:p w14:paraId="03985E41" w14:textId="5DF25A0B"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Office of Special Education and Rehabilitative Services, “Dear Colleague Letter on the Inclusion of Behavioral Supports in Individualized Education Programs” (August 1, 2016), accessed October 25, 2017, </w:t>
      </w:r>
      <w:hyperlink r:id="rId10" w:tooltip="https://www2.ed.gov/policy/gen/guid/school-discipline/files/dcl-on-pbis-in-ieps--08-01-2016.pdf" w:history="1">
        <w:r w:rsidRPr="00CE54D7">
          <w:rPr>
            <w:rStyle w:val="Hyperlink"/>
            <w:rFonts w:ascii="Arial" w:hAnsi="Arial" w:cs="Arial"/>
            <w:color w:val="0000FF"/>
            <w:sz w:val="24"/>
            <w:szCs w:val="24"/>
          </w:rPr>
          <w:t>https://www2.ed.gov/policy/gen/guid/school-discipline/files/dcl-on-pbis-in-ieps--08-01-2016.pdf</w:t>
        </w:r>
      </w:hyperlink>
      <w:r w:rsidRPr="001024F5">
        <w:rPr>
          <w:rFonts w:ascii="Arial" w:hAnsi="Arial" w:cs="Arial"/>
          <w:sz w:val="24"/>
          <w:szCs w:val="24"/>
        </w:rPr>
        <w:t xml:space="preserve">. </w:t>
      </w:r>
    </w:p>
  </w:endnote>
  <w:endnote w:id="57">
    <w:p w14:paraId="07649DE9" w14:textId="18E100AC"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Office of Special Education Programs, “Updated Dear Colleague Letter on Preschool Least Restrictive Environments” (January 9, 2017), accessed October 25, 2017, </w:t>
      </w:r>
      <w:hyperlink r:id="rId11" w:tooltip="https://www2.ed.gov/policy/speced/guid/idea/memosdcltrs/preschool-lre-dcl-1-10-17.pdf" w:history="1">
        <w:r w:rsidRPr="00CE54D7">
          <w:rPr>
            <w:rStyle w:val="Hyperlink"/>
            <w:rFonts w:ascii="Arial" w:hAnsi="Arial" w:cs="Arial"/>
            <w:color w:val="0000FF"/>
            <w:sz w:val="24"/>
            <w:szCs w:val="24"/>
          </w:rPr>
          <w:t>https://www2.ed.gov/policy/speced/guid/idea/memosdcltrs/preschool-lre-dcl-1-10-17.pdf</w:t>
        </w:r>
      </w:hyperlink>
      <w:r w:rsidRPr="001024F5">
        <w:rPr>
          <w:rFonts w:ascii="Arial" w:hAnsi="Arial" w:cs="Arial"/>
          <w:sz w:val="24"/>
          <w:szCs w:val="24"/>
        </w:rPr>
        <w:t xml:space="preserve">. </w:t>
      </w:r>
    </w:p>
  </w:endnote>
  <w:endnote w:id="58">
    <w:p w14:paraId="316821F6" w14:textId="77777777" w:rsidR="00790D34" w:rsidRPr="001024F5" w:rsidRDefault="00790D34"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Nebraska State Department of Education, </w:t>
      </w:r>
      <w:r w:rsidRPr="001024F5">
        <w:rPr>
          <w:rFonts w:ascii="Arial" w:hAnsi="Arial" w:cs="Arial"/>
          <w:i/>
          <w:sz w:val="24"/>
          <w:szCs w:val="24"/>
        </w:rPr>
        <w:t xml:space="preserve">Setting Goals… </w:t>
      </w:r>
      <w:proofErr w:type="gramStart"/>
      <w:r w:rsidRPr="001024F5">
        <w:rPr>
          <w:rFonts w:ascii="Arial" w:hAnsi="Arial" w:cs="Arial"/>
          <w:i/>
          <w:sz w:val="24"/>
          <w:szCs w:val="24"/>
        </w:rPr>
        <w:t>Achieving Results.</w:t>
      </w:r>
      <w:proofErr w:type="gramEnd"/>
      <w:r w:rsidRPr="001024F5">
        <w:rPr>
          <w:rFonts w:ascii="Arial" w:hAnsi="Arial" w:cs="Arial"/>
          <w:i/>
          <w:sz w:val="24"/>
          <w:szCs w:val="24"/>
        </w:rPr>
        <w:t xml:space="preserve"> Nebraska IEP Technical Assistance Guide</w:t>
      </w:r>
      <w:r w:rsidRPr="001024F5">
        <w:rPr>
          <w:rFonts w:ascii="Arial" w:hAnsi="Arial" w:cs="Arial"/>
          <w:sz w:val="24"/>
          <w:szCs w:val="24"/>
        </w:rPr>
        <w:t xml:space="preserve"> (Nebraska State Department of Education, 2014), accessed October 25, 2017, </w:t>
      </w:r>
      <w:hyperlink r:id="rId12" w:tooltip="https://www.education.ne.gov/sped/technicalassist/Setting%20Goals%20Achieving%20Results%203-11-14.pdf" w:history="1">
        <w:r w:rsidRPr="00CE54D7">
          <w:rPr>
            <w:rStyle w:val="Hyperlink"/>
            <w:rFonts w:ascii="Arial" w:hAnsi="Arial" w:cs="Arial"/>
            <w:color w:val="0000FF"/>
            <w:sz w:val="24"/>
            <w:szCs w:val="24"/>
          </w:rPr>
          <w:t>https://www.education.ne.gov/sped/technicalassist/Setting%20Goals%20Achieving%20Results%203-11-14.pdf</w:t>
        </w:r>
      </w:hyperlink>
      <w:r w:rsidRPr="001024F5">
        <w:rPr>
          <w:rFonts w:ascii="Arial" w:hAnsi="Arial" w:cs="Arial"/>
          <w:sz w:val="24"/>
          <w:szCs w:val="24"/>
        </w:rPr>
        <w:t xml:space="preserve">. </w:t>
      </w:r>
    </w:p>
  </w:endnote>
  <w:endnote w:id="59">
    <w:p w14:paraId="59A4080A" w14:textId="176CBE14" w:rsidR="00093637" w:rsidRPr="001024F5" w:rsidRDefault="00093637" w:rsidP="0096587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Pr="001024F5">
        <w:rPr>
          <w:rFonts w:ascii="Arial" w:eastAsia="Times New Roman" w:hAnsi="Arial" w:cs="Arial"/>
          <w:sz w:val="24"/>
          <w:szCs w:val="24"/>
        </w:rPr>
        <w:t>Florida Title XLVIII K-20 Education Code Chapter 1003</w:t>
      </w:r>
      <w:r w:rsidRPr="001024F5">
        <w:rPr>
          <w:rFonts w:ascii="Arial" w:eastAsia="Times New Roman" w:hAnsi="Arial" w:cs="Arial"/>
          <w:bCs/>
          <w:sz w:val="24"/>
          <w:szCs w:val="24"/>
        </w:rPr>
        <w:t> </w:t>
      </w:r>
      <w:r w:rsidRPr="001024F5">
        <w:rPr>
          <w:rFonts w:ascii="Arial" w:eastAsia="Times New Roman" w:hAnsi="Arial" w:cs="Arial"/>
          <w:bCs/>
          <w:sz w:val="24"/>
          <w:szCs w:val="24"/>
          <w:shd w:val="clear" w:color="auto" w:fill="FFFFFF"/>
        </w:rPr>
        <w:t>Exceptional Students Instruction</w:t>
      </w:r>
      <w:r w:rsidRPr="001024F5">
        <w:rPr>
          <w:rFonts w:ascii="Arial" w:eastAsia="Times New Roman" w:hAnsi="Arial" w:cs="Arial"/>
          <w:sz w:val="24"/>
          <w:szCs w:val="24"/>
        </w:rPr>
        <w:t xml:space="preserve"> (1003.57</w:t>
      </w:r>
      <w:proofErr w:type="gramStart"/>
      <w:r w:rsidRPr="001024F5">
        <w:rPr>
          <w:rFonts w:ascii="Arial" w:eastAsia="Times New Roman" w:hAnsi="Arial" w:cs="Arial"/>
          <w:sz w:val="24"/>
          <w:szCs w:val="24"/>
        </w:rPr>
        <w:t>),</w:t>
      </w:r>
      <w:proofErr w:type="gramEnd"/>
      <w:r w:rsidRPr="001024F5">
        <w:rPr>
          <w:rFonts w:ascii="Arial" w:eastAsia="Times New Roman" w:hAnsi="Arial" w:cs="Arial"/>
          <w:sz w:val="24"/>
          <w:szCs w:val="24"/>
        </w:rPr>
        <w:t xml:space="preserve"> </w:t>
      </w:r>
      <w:r w:rsidRPr="001024F5">
        <w:rPr>
          <w:rFonts w:ascii="Arial" w:hAnsi="Arial" w:cs="Arial"/>
          <w:sz w:val="24"/>
          <w:szCs w:val="24"/>
        </w:rPr>
        <w:t xml:space="preserve">accessed October 25, 2017, </w:t>
      </w:r>
      <w:hyperlink r:id="rId13" w:history="1">
        <w:r w:rsidRPr="00906F1E">
          <w:rPr>
            <w:rStyle w:val="Hyperlink"/>
            <w:rFonts w:ascii="Arial" w:hAnsi="Arial" w:cs="Arial"/>
            <w:color w:val="0000FF"/>
            <w:sz w:val="24"/>
            <w:szCs w:val="24"/>
          </w:rPr>
          <w:t>http://www.leg.state.fl.us/statutes/</w:t>
        </w:r>
        <w:r w:rsidRPr="00906F1E">
          <w:rPr>
            <w:rStyle w:val="Hyperlink"/>
            <w:rFonts w:ascii="Arial" w:hAnsi="Arial" w:cs="Arial"/>
            <w:color w:val="0000FF"/>
            <w:sz w:val="24"/>
            <w:szCs w:val="24"/>
          </w:rPr>
          <w:br/>
          <w:t>index.cfm?mode=View%20Statutes&amp;SubMenu=1&amp;App_mode=Display_Statute&amp;Search_String=1003.57&amp;URL=1000-1099/1003/Sections/1003.57.html</w:t>
        </w:r>
      </w:hyperlink>
      <w:r w:rsidRPr="001024F5">
        <w:rPr>
          <w:rFonts w:ascii="Arial" w:hAnsi="Arial" w:cs="Arial"/>
          <w:sz w:val="24"/>
          <w:szCs w:val="24"/>
        </w:rPr>
        <w:t>.</w:t>
      </w:r>
    </w:p>
  </w:endnote>
  <w:endnote w:id="60">
    <w:p w14:paraId="04D53FAD" w14:textId="48909131" w:rsidR="00093637" w:rsidRPr="001024F5" w:rsidRDefault="00093637"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Kansas Department of Education, </w:t>
      </w:r>
      <w:r w:rsidRPr="001024F5">
        <w:rPr>
          <w:rFonts w:ascii="Arial" w:hAnsi="Arial" w:cs="Arial"/>
          <w:i/>
          <w:sz w:val="24"/>
          <w:szCs w:val="24"/>
        </w:rPr>
        <w:t>Kansas Special Education Services Process Handbook,</w:t>
      </w:r>
      <w:r w:rsidRPr="001024F5">
        <w:rPr>
          <w:rFonts w:ascii="Arial" w:hAnsi="Arial" w:cs="Arial"/>
          <w:sz w:val="24"/>
          <w:szCs w:val="24"/>
        </w:rPr>
        <w:t xml:space="preserve"> Chapter 6, accessed October 25, 2017, </w:t>
      </w:r>
      <w:hyperlink r:id="rId14" w:history="1">
        <w:r w:rsidRPr="005D081A">
          <w:rPr>
            <w:rStyle w:val="Hyperlink"/>
            <w:rFonts w:ascii="Arial" w:hAnsi="Arial" w:cs="Arial"/>
            <w:color w:val="0000FF"/>
            <w:sz w:val="24"/>
            <w:szCs w:val="24"/>
          </w:rPr>
          <w:t>http://www.ksde.org/Portals/0/</w:t>
        </w:r>
        <w:r w:rsidRPr="005D081A">
          <w:rPr>
            <w:rStyle w:val="Hyperlink"/>
            <w:rFonts w:ascii="Arial" w:hAnsi="Arial" w:cs="Arial"/>
            <w:color w:val="0000FF"/>
            <w:sz w:val="24"/>
            <w:szCs w:val="24"/>
          </w:rPr>
          <w:br/>
          <w:t>SES/PH/PH-Ch06.pdf?ver=2014-10-14-115539-767</w:t>
        </w:r>
      </w:hyperlink>
      <w:r w:rsidRPr="001024F5">
        <w:rPr>
          <w:rFonts w:ascii="Arial" w:hAnsi="Arial" w:cs="Arial"/>
          <w:sz w:val="24"/>
          <w:szCs w:val="24"/>
        </w:rPr>
        <w:t>.</w:t>
      </w:r>
    </w:p>
  </w:endnote>
  <w:endnote w:id="61">
    <w:p w14:paraId="57D8E97B" w14:textId="79D2BBA9" w:rsidR="00093637" w:rsidRPr="001024F5" w:rsidRDefault="00093637"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Pennsylvania Department of Education, </w:t>
      </w:r>
      <w:r w:rsidRPr="001024F5">
        <w:rPr>
          <w:rFonts w:ascii="Arial" w:hAnsi="Arial" w:cs="Arial"/>
          <w:i/>
          <w:sz w:val="24"/>
          <w:szCs w:val="24"/>
        </w:rPr>
        <w:t>Least Restrictive Environment (LRE) and Educational Placement for Students with Individual Education Programs</w:t>
      </w:r>
      <w:r w:rsidRPr="001024F5">
        <w:rPr>
          <w:rFonts w:ascii="Arial" w:hAnsi="Arial" w:cs="Arial"/>
          <w:sz w:val="24"/>
          <w:szCs w:val="24"/>
        </w:rPr>
        <w:t xml:space="preserve"> (PA Department of Education, 2002), accessed October 25, 2017,</w:t>
      </w:r>
      <w:r>
        <w:rPr>
          <w:rFonts w:ascii="Arial" w:hAnsi="Arial" w:cs="Arial"/>
          <w:sz w:val="24"/>
          <w:szCs w:val="24"/>
        </w:rPr>
        <w:t xml:space="preserve"> </w:t>
      </w:r>
      <w:hyperlink r:id="rId15" w:history="1">
        <w:r w:rsidR="002E47FA" w:rsidRPr="006A2C49">
          <w:rPr>
            <w:rStyle w:val="Hyperlink"/>
            <w:rFonts w:ascii="Arial" w:hAnsi="Arial" w:cs="Arial"/>
            <w:color w:val="0000FF"/>
            <w:sz w:val="24"/>
            <w:szCs w:val="24"/>
          </w:rPr>
          <w:t>http://www.education.pa.gov/Documents/Codes%20and%20Regulations/Basic%20Education%20Circulars/PA%20Code/Least%20Restrictive%20Environment%20(LRE)%20and%20Educational%20Placement%20for%20Students%20with%20Individualized%20Education%20Programs%20(IEPs).pdf</w:t>
        </w:r>
      </w:hyperlink>
      <w:r w:rsidRPr="001024F5">
        <w:rPr>
          <w:rFonts w:ascii="Arial" w:hAnsi="Arial" w:cs="Arial"/>
          <w:sz w:val="24"/>
          <w:szCs w:val="24"/>
        </w:rPr>
        <w:t xml:space="preserve">. </w:t>
      </w:r>
    </w:p>
  </w:endnote>
  <w:endnote w:id="62">
    <w:p w14:paraId="5560BAD0" w14:textId="08F90464" w:rsidR="00093637" w:rsidRPr="001024F5" w:rsidRDefault="00093637"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Washington Office of Superintendent of Public Instruction, “Placement Decisions and the Least Restrictive Environment (LRE).</w:t>
      </w:r>
      <w:proofErr w:type="gramEnd"/>
      <w:r w:rsidRPr="001024F5">
        <w:rPr>
          <w:rFonts w:ascii="Arial" w:hAnsi="Arial" w:cs="Arial"/>
          <w:sz w:val="24"/>
          <w:szCs w:val="24"/>
        </w:rPr>
        <w:t xml:space="preserve"> Deciding Where Your Student’s IEP Will Be Implemented” (2016</w:t>
      </w:r>
      <w:proofErr w:type="gramStart"/>
      <w:r w:rsidRPr="001024F5">
        <w:rPr>
          <w:rFonts w:ascii="Arial" w:hAnsi="Arial" w:cs="Arial"/>
          <w:sz w:val="24"/>
          <w:szCs w:val="24"/>
        </w:rPr>
        <w:t>),</w:t>
      </w:r>
      <w:proofErr w:type="gramEnd"/>
      <w:r w:rsidRPr="001024F5">
        <w:rPr>
          <w:rFonts w:ascii="Arial" w:hAnsi="Arial" w:cs="Arial"/>
          <w:sz w:val="24"/>
          <w:szCs w:val="24"/>
        </w:rPr>
        <w:t xml:space="preserve"> accessed October 25, 2017, </w:t>
      </w:r>
      <w:hyperlink r:id="rId16" w:history="1">
        <w:r w:rsidRPr="00926302">
          <w:rPr>
            <w:rStyle w:val="Hyperlink"/>
            <w:rFonts w:ascii="Arial" w:hAnsi="Arial" w:cs="Arial"/>
            <w:color w:val="0000FF"/>
            <w:sz w:val="24"/>
            <w:szCs w:val="24"/>
          </w:rPr>
          <w:t>http://www.k12.wa.us/SpecialEd/</w:t>
        </w:r>
        <w:r w:rsidRPr="00926302">
          <w:rPr>
            <w:rStyle w:val="Hyperlink"/>
            <w:rFonts w:ascii="Arial" w:hAnsi="Arial" w:cs="Arial"/>
            <w:color w:val="0000FF"/>
            <w:sz w:val="24"/>
            <w:szCs w:val="24"/>
          </w:rPr>
          <w:br/>
          <w:t>Families/LRE.aspx</w:t>
        </w:r>
      </w:hyperlink>
      <w:r w:rsidRPr="001024F5">
        <w:rPr>
          <w:rFonts w:ascii="Arial" w:hAnsi="Arial" w:cs="Arial"/>
          <w:sz w:val="24"/>
          <w:szCs w:val="24"/>
        </w:rPr>
        <w:t xml:space="preserve">. </w:t>
      </w:r>
    </w:p>
  </w:endnote>
  <w:endnote w:id="63">
    <w:p w14:paraId="7AEB991F" w14:textId="77777777" w:rsidR="00093637" w:rsidRPr="001024F5" w:rsidRDefault="00093637"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i/>
          <w:sz w:val="24"/>
          <w:szCs w:val="24"/>
          <w:shd w:val="clear" w:color="auto" w:fill="FFFFFF"/>
        </w:rPr>
        <w:t>Disability Rights New Jersey, et al. v.</w:t>
      </w:r>
      <w:proofErr w:type="gramEnd"/>
      <w:r w:rsidRPr="001024F5">
        <w:rPr>
          <w:rFonts w:ascii="Arial" w:hAnsi="Arial" w:cs="Arial"/>
          <w:i/>
          <w:sz w:val="24"/>
          <w:szCs w:val="24"/>
          <w:shd w:val="clear" w:color="auto" w:fill="FFFFFF"/>
        </w:rPr>
        <w:t xml:space="preserve"> New Jersey Department of Education</w:t>
      </w:r>
      <w:r w:rsidRPr="001024F5">
        <w:rPr>
          <w:rFonts w:ascii="Arial" w:hAnsi="Arial" w:cs="Arial"/>
          <w:sz w:val="24"/>
          <w:szCs w:val="24"/>
          <w:shd w:val="clear" w:color="auto" w:fill="FFFFFF"/>
        </w:rPr>
        <w:t xml:space="preserve">, </w:t>
      </w:r>
      <w:r w:rsidRPr="001024F5">
        <w:rPr>
          <w:rFonts w:ascii="Arial" w:hAnsi="Arial" w:cs="Arial"/>
          <w:sz w:val="24"/>
          <w:szCs w:val="24"/>
        </w:rPr>
        <w:t>Civil Action No. 07-2978 (February 19, 2014).</w:t>
      </w:r>
    </w:p>
  </w:endnote>
  <w:endnote w:id="64">
    <w:p w14:paraId="3B5E391E" w14:textId="77777777" w:rsidR="00093637" w:rsidRPr="001024F5" w:rsidRDefault="00093637"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New Jersey Administrative Code, 6A:14 Special Education (2016</w:t>
      </w:r>
      <w:proofErr w:type="gramStart"/>
      <w:r w:rsidRPr="001024F5">
        <w:rPr>
          <w:rFonts w:ascii="Arial" w:hAnsi="Arial" w:cs="Arial"/>
          <w:sz w:val="24"/>
          <w:szCs w:val="24"/>
        </w:rPr>
        <w:t>),</w:t>
      </w:r>
      <w:proofErr w:type="gramEnd"/>
      <w:r w:rsidRPr="001024F5">
        <w:rPr>
          <w:rFonts w:ascii="Arial" w:hAnsi="Arial" w:cs="Arial"/>
          <w:sz w:val="24"/>
          <w:szCs w:val="24"/>
        </w:rPr>
        <w:t xml:space="preserve"> accessed October 25, 2017, </w:t>
      </w:r>
      <w:hyperlink r:id="rId17" w:tooltip="http://www.nj.gov/education/code/current/title6a/chap14.pdf" w:history="1">
        <w:r w:rsidRPr="00CE54D7">
          <w:rPr>
            <w:rStyle w:val="Hyperlink"/>
            <w:rFonts w:ascii="Arial" w:hAnsi="Arial" w:cs="Arial"/>
            <w:color w:val="0000FF"/>
            <w:sz w:val="24"/>
            <w:szCs w:val="24"/>
          </w:rPr>
          <w:t>http://www.nj.gov/education/code/current/title6a/chap14.pdf</w:t>
        </w:r>
      </w:hyperlink>
      <w:r w:rsidRPr="001024F5">
        <w:rPr>
          <w:rFonts w:ascii="Arial" w:hAnsi="Arial" w:cs="Arial"/>
          <w:sz w:val="24"/>
          <w:szCs w:val="24"/>
        </w:rPr>
        <w:t>.</w:t>
      </w:r>
    </w:p>
  </w:endnote>
  <w:endnote w:id="65">
    <w:p w14:paraId="55AC3E2B" w14:textId="77777777" w:rsidR="00093637" w:rsidRPr="001024F5" w:rsidRDefault="00093637"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Ibid.</w:t>
      </w:r>
      <w:proofErr w:type="gramEnd"/>
      <w:r w:rsidRPr="001024F5">
        <w:rPr>
          <w:rFonts w:ascii="Arial" w:hAnsi="Arial" w:cs="Arial"/>
          <w:sz w:val="24"/>
          <w:szCs w:val="24"/>
        </w:rPr>
        <w:t xml:space="preserve"> </w:t>
      </w:r>
    </w:p>
  </w:endnote>
  <w:endnote w:id="66">
    <w:p w14:paraId="7638BBE7" w14:textId="3C65B071"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 xml:space="preserve">Office of Special Education Programs, </w:t>
      </w:r>
      <w:r w:rsidRPr="001024F5">
        <w:rPr>
          <w:rFonts w:ascii="Arial" w:hAnsi="Arial" w:cs="Arial"/>
          <w:i/>
          <w:sz w:val="24"/>
          <w:szCs w:val="24"/>
        </w:rPr>
        <w:t>Memorandum 17-01.</w:t>
      </w:r>
      <w:proofErr w:type="gramEnd"/>
      <w:r w:rsidRPr="001024F5">
        <w:rPr>
          <w:rFonts w:ascii="Arial" w:hAnsi="Arial" w:cs="Arial"/>
          <w:i/>
          <w:sz w:val="24"/>
          <w:szCs w:val="24"/>
        </w:rPr>
        <w:t xml:space="preserve"> 2017 Part B State Performance Plan/Annual Performance Report (Part B SPP/APR) </w:t>
      </w:r>
      <w:r w:rsidRPr="001024F5">
        <w:rPr>
          <w:rFonts w:ascii="Arial" w:hAnsi="Arial" w:cs="Arial"/>
          <w:sz w:val="24"/>
          <w:szCs w:val="24"/>
        </w:rPr>
        <w:t xml:space="preserve">(December 26, 2016), accessed October 25, 2017, </w:t>
      </w:r>
      <w:hyperlink r:id="rId18" w:history="1">
        <w:r w:rsidRPr="006F6976">
          <w:rPr>
            <w:rStyle w:val="Hyperlink"/>
            <w:rFonts w:ascii="Arial" w:hAnsi="Arial" w:cs="Arial"/>
            <w:color w:val="0000FF"/>
            <w:sz w:val="24"/>
            <w:szCs w:val="24"/>
          </w:rPr>
          <w:t>https://osep.grads360.org/services/PDCService.svc/</w:t>
        </w:r>
        <w:r w:rsidRPr="006F6976">
          <w:rPr>
            <w:rStyle w:val="Hyperlink"/>
            <w:rFonts w:ascii="Arial" w:hAnsi="Arial" w:cs="Arial"/>
            <w:color w:val="0000FF"/>
            <w:sz w:val="24"/>
            <w:szCs w:val="24"/>
          </w:rPr>
          <w:br/>
        </w:r>
        <w:proofErr w:type="spellStart"/>
        <w:r w:rsidRPr="006F6976">
          <w:rPr>
            <w:rStyle w:val="Hyperlink"/>
            <w:rFonts w:ascii="Arial" w:hAnsi="Arial" w:cs="Arial"/>
            <w:color w:val="0000FF"/>
            <w:sz w:val="24"/>
            <w:szCs w:val="24"/>
          </w:rPr>
          <w:t>GetPDCDocumentFile?fileId</w:t>
        </w:r>
        <w:proofErr w:type="spellEnd"/>
        <w:r w:rsidRPr="006F6976">
          <w:rPr>
            <w:rStyle w:val="Hyperlink"/>
            <w:rFonts w:ascii="Arial" w:hAnsi="Arial" w:cs="Arial"/>
            <w:color w:val="0000FF"/>
            <w:sz w:val="24"/>
            <w:szCs w:val="24"/>
          </w:rPr>
          <w:t>=24914</w:t>
        </w:r>
      </w:hyperlink>
      <w:r w:rsidR="006F6976" w:rsidRPr="001024F5">
        <w:rPr>
          <w:rFonts w:ascii="Arial" w:hAnsi="Arial" w:cs="Arial"/>
          <w:sz w:val="24"/>
          <w:szCs w:val="24"/>
        </w:rPr>
        <w:t>.</w:t>
      </w:r>
    </w:p>
  </w:endnote>
  <w:endnote w:id="67">
    <w:p w14:paraId="798D766A" w14:textId="4FA62C00" w:rsidR="00304135" w:rsidRPr="001024F5" w:rsidRDefault="00304135" w:rsidP="001024F5">
      <w:pPr>
        <w:pStyle w:val="NoSpacing"/>
        <w:spacing w:after="200"/>
        <w:rPr>
          <w:rFonts w:ascii="Arial" w:hAnsi="Arial" w:cs="Arial"/>
          <w:bCs/>
          <w:i/>
          <w:sz w:val="24"/>
          <w:szCs w:val="24"/>
          <w:shd w:val="clear" w:color="auto" w:fill="FFFFFF"/>
        </w:rPr>
      </w:pPr>
      <w:r w:rsidRPr="001024F5">
        <w:rPr>
          <w:rStyle w:val="EndnoteReference"/>
          <w:rFonts w:ascii="Arial" w:hAnsi="Arial" w:cs="Arial"/>
          <w:sz w:val="24"/>
          <w:szCs w:val="24"/>
        </w:rPr>
        <w:endnoteRef/>
      </w:r>
      <w:r w:rsidRPr="001024F5">
        <w:rPr>
          <w:rFonts w:ascii="Arial" w:hAnsi="Arial" w:cs="Arial"/>
          <w:sz w:val="24"/>
          <w:szCs w:val="24"/>
        </w:rPr>
        <w:t xml:space="preserve"> Jennifer A. </w:t>
      </w:r>
      <w:proofErr w:type="spellStart"/>
      <w:r w:rsidRPr="001024F5">
        <w:rPr>
          <w:rFonts w:ascii="Arial" w:hAnsi="Arial" w:cs="Arial"/>
          <w:sz w:val="24"/>
          <w:szCs w:val="24"/>
        </w:rPr>
        <w:t>Kurth</w:t>
      </w:r>
      <w:proofErr w:type="spellEnd"/>
      <w:r w:rsidRPr="001024F5">
        <w:rPr>
          <w:rFonts w:ascii="Arial" w:hAnsi="Arial" w:cs="Arial"/>
          <w:sz w:val="24"/>
          <w:szCs w:val="24"/>
        </w:rPr>
        <w:t xml:space="preserve">, </w:t>
      </w:r>
      <w:proofErr w:type="spellStart"/>
      <w:r w:rsidRPr="001024F5">
        <w:rPr>
          <w:rFonts w:ascii="Arial" w:hAnsi="Arial" w:cs="Arial"/>
          <w:sz w:val="24"/>
          <w:szCs w:val="24"/>
        </w:rPr>
        <w:t>Naheed</w:t>
      </w:r>
      <w:proofErr w:type="spellEnd"/>
      <w:r w:rsidRPr="001024F5">
        <w:rPr>
          <w:rFonts w:ascii="Arial" w:hAnsi="Arial" w:cs="Arial"/>
          <w:sz w:val="24"/>
          <w:szCs w:val="24"/>
        </w:rPr>
        <w:t xml:space="preserve"> </w:t>
      </w:r>
      <w:proofErr w:type="spellStart"/>
      <w:r w:rsidRPr="001024F5">
        <w:rPr>
          <w:rFonts w:ascii="Arial" w:hAnsi="Arial" w:cs="Arial"/>
          <w:sz w:val="24"/>
          <w:szCs w:val="24"/>
        </w:rPr>
        <w:t>Abdulrahim</w:t>
      </w:r>
      <w:proofErr w:type="spellEnd"/>
      <w:r w:rsidRPr="001024F5">
        <w:rPr>
          <w:rFonts w:ascii="Arial" w:hAnsi="Arial" w:cs="Arial"/>
          <w:sz w:val="24"/>
          <w:szCs w:val="24"/>
        </w:rPr>
        <w:t xml:space="preserve">, Christie </w:t>
      </w:r>
      <w:proofErr w:type="spellStart"/>
      <w:r w:rsidRPr="001024F5">
        <w:rPr>
          <w:rFonts w:ascii="Arial" w:hAnsi="Arial" w:cs="Arial"/>
          <w:sz w:val="24"/>
          <w:szCs w:val="24"/>
        </w:rPr>
        <w:t>Scanlin</w:t>
      </w:r>
      <w:proofErr w:type="spellEnd"/>
      <w:r w:rsidRPr="001024F5">
        <w:rPr>
          <w:rFonts w:ascii="Arial" w:hAnsi="Arial" w:cs="Arial"/>
          <w:sz w:val="24"/>
          <w:szCs w:val="24"/>
        </w:rPr>
        <w:t xml:space="preserve"> Dobson, Courtney Wilt, and Elizabeth B. </w:t>
      </w:r>
      <w:proofErr w:type="spellStart"/>
      <w:r w:rsidRPr="001024F5">
        <w:rPr>
          <w:rFonts w:ascii="Arial" w:hAnsi="Arial" w:cs="Arial"/>
          <w:sz w:val="24"/>
          <w:szCs w:val="24"/>
        </w:rPr>
        <w:t>Kozleski</w:t>
      </w:r>
      <w:proofErr w:type="spellEnd"/>
      <w:r w:rsidRPr="001024F5">
        <w:rPr>
          <w:rFonts w:ascii="Arial" w:hAnsi="Arial" w:cs="Arial"/>
          <w:sz w:val="24"/>
          <w:szCs w:val="24"/>
        </w:rPr>
        <w:t>, “Indicator 5:</w:t>
      </w:r>
      <w:r>
        <w:rPr>
          <w:rFonts w:ascii="Arial" w:hAnsi="Arial" w:cs="Arial"/>
          <w:sz w:val="24"/>
          <w:szCs w:val="24"/>
        </w:rPr>
        <w:t xml:space="preserve"> </w:t>
      </w:r>
      <w:r w:rsidRPr="001024F5">
        <w:rPr>
          <w:rFonts w:ascii="Arial" w:hAnsi="Arial" w:cs="Arial"/>
          <w:sz w:val="24"/>
          <w:szCs w:val="24"/>
        </w:rPr>
        <w:t xml:space="preserve">Least Restrictive Environments (LRE),” in </w:t>
      </w:r>
      <w:r w:rsidRPr="001024F5">
        <w:rPr>
          <w:rFonts w:ascii="Arial" w:hAnsi="Arial" w:cs="Arial"/>
          <w:bCs/>
          <w:i/>
          <w:sz w:val="24"/>
          <w:szCs w:val="24"/>
          <w:shd w:val="clear" w:color="auto" w:fill="FFFFFF"/>
        </w:rPr>
        <w:t>Part B State Performance Plan/Annual Performance Report 2016 Indicator Analyses</w:t>
      </w:r>
      <w:r w:rsidRPr="001024F5">
        <w:rPr>
          <w:rFonts w:ascii="Arial" w:hAnsi="Arial" w:cs="Arial"/>
          <w:bCs/>
          <w:sz w:val="24"/>
          <w:szCs w:val="24"/>
          <w:shd w:val="clear" w:color="auto" w:fill="FFFFFF"/>
        </w:rPr>
        <w:t xml:space="preserve"> (2016), </w:t>
      </w:r>
      <w:r w:rsidRPr="001024F5">
        <w:rPr>
          <w:rFonts w:ascii="Arial" w:hAnsi="Arial" w:cs="Arial"/>
          <w:sz w:val="24"/>
          <w:szCs w:val="24"/>
        </w:rPr>
        <w:t>accessed October 25, 2017,</w:t>
      </w:r>
      <w:r>
        <w:rPr>
          <w:rFonts w:ascii="Arial" w:hAnsi="Arial" w:cs="Arial"/>
          <w:sz w:val="24"/>
          <w:szCs w:val="24"/>
        </w:rPr>
        <w:t xml:space="preserve"> </w:t>
      </w:r>
      <w:hyperlink r:id="rId19" w:anchor="communities/pdc/documents/12827" w:history="1">
        <w:r w:rsidRPr="00CE54D7">
          <w:rPr>
            <w:rStyle w:val="Hyperlink"/>
            <w:rFonts w:ascii="Arial" w:hAnsi="Arial" w:cs="Arial"/>
            <w:color w:val="0000FF"/>
            <w:sz w:val="24"/>
            <w:szCs w:val="24"/>
            <w:shd w:val="clear" w:color="auto" w:fill="FFFFFF"/>
          </w:rPr>
          <w:t>https://osep.grads360.org/#communities/pdc/documents/12827</w:t>
        </w:r>
      </w:hyperlink>
      <w:r w:rsidRPr="001024F5">
        <w:rPr>
          <w:rFonts w:ascii="Arial" w:hAnsi="Arial" w:cs="Arial"/>
          <w:bCs/>
          <w:i/>
          <w:sz w:val="24"/>
          <w:szCs w:val="24"/>
          <w:shd w:val="clear" w:color="auto" w:fill="FFFFFF"/>
        </w:rPr>
        <w:t xml:space="preserve">. </w:t>
      </w:r>
    </w:p>
  </w:endnote>
  <w:endnote w:id="68">
    <w:p w14:paraId="4304B71F" w14:textId="1CB01146"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Early Childhood Technical Assistance Center, “Indicator 6: Preschool LRE,” in </w:t>
      </w:r>
      <w:r w:rsidRPr="001024F5">
        <w:rPr>
          <w:rFonts w:ascii="Arial" w:hAnsi="Arial" w:cs="Arial"/>
          <w:bCs/>
          <w:i/>
          <w:sz w:val="24"/>
          <w:szCs w:val="24"/>
          <w:shd w:val="clear" w:color="auto" w:fill="FFFFFF"/>
        </w:rPr>
        <w:t>Part B State Performance Plan/Annual Performance Report 2016 Indicator Analyses</w:t>
      </w:r>
      <w:r w:rsidRPr="001024F5">
        <w:rPr>
          <w:rFonts w:ascii="Arial" w:hAnsi="Arial" w:cs="Arial"/>
          <w:bCs/>
          <w:sz w:val="24"/>
          <w:szCs w:val="24"/>
          <w:shd w:val="clear" w:color="auto" w:fill="FFFFFF"/>
        </w:rPr>
        <w:t xml:space="preserve"> (2016), </w:t>
      </w:r>
      <w:r w:rsidRPr="001024F5">
        <w:rPr>
          <w:rFonts w:ascii="Arial" w:hAnsi="Arial" w:cs="Arial"/>
          <w:sz w:val="24"/>
          <w:szCs w:val="24"/>
        </w:rPr>
        <w:t xml:space="preserve">accessed October 25, 2017, </w:t>
      </w:r>
      <w:hyperlink r:id="rId20" w:anchor="communities/pdc/documents/12827" w:history="1">
        <w:r w:rsidRPr="00CE54D7">
          <w:rPr>
            <w:rStyle w:val="Hyperlink"/>
            <w:rFonts w:ascii="Arial" w:hAnsi="Arial" w:cs="Arial"/>
            <w:color w:val="0000FF"/>
            <w:sz w:val="24"/>
            <w:szCs w:val="24"/>
            <w:shd w:val="clear" w:color="auto" w:fill="FFFFFF"/>
          </w:rPr>
          <w:t>https://osep.grads360.org/#communities/pdc/documents/12827</w:t>
        </w:r>
      </w:hyperlink>
      <w:r w:rsidR="00E74D31" w:rsidRPr="001024F5">
        <w:rPr>
          <w:rFonts w:ascii="Arial" w:eastAsia="Calibri" w:hAnsi="Arial" w:cs="Arial"/>
          <w:sz w:val="24"/>
          <w:szCs w:val="24"/>
        </w:rPr>
        <w:t>.</w:t>
      </w:r>
    </w:p>
  </w:endnote>
  <w:endnote w:id="69">
    <w:p w14:paraId="26F1E86B" w14:textId="0342E15E" w:rsidR="00304135" w:rsidRPr="001024F5" w:rsidRDefault="00304135" w:rsidP="001024F5">
      <w:pPr>
        <w:spacing w:after="200"/>
        <w:rPr>
          <w:rFonts w:ascii="Arial" w:eastAsia="Calibri"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eastAsia="Calibri" w:hAnsi="Arial" w:cs="Arial"/>
          <w:sz w:val="24"/>
          <w:szCs w:val="24"/>
        </w:rPr>
        <w:t>Office of Special Education Programs.</w:t>
      </w:r>
      <w:proofErr w:type="gramEnd"/>
      <w:r w:rsidRPr="001024F5">
        <w:rPr>
          <w:rFonts w:ascii="Arial" w:eastAsia="Calibri" w:hAnsi="Arial" w:cs="Arial"/>
          <w:sz w:val="24"/>
          <w:szCs w:val="24"/>
        </w:rPr>
        <w:t xml:space="preserve"> 2016. “State Determination Letter Response to New Jersey SPP/APR” (2016), </w:t>
      </w:r>
      <w:r w:rsidRPr="001024F5">
        <w:rPr>
          <w:rFonts w:ascii="Arial" w:hAnsi="Arial" w:cs="Arial"/>
          <w:sz w:val="24"/>
          <w:szCs w:val="24"/>
        </w:rPr>
        <w:t xml:space="preserve">accessed October 25, 2017, </w:t>
      </w:r>
      <w:hyperlink r:id="rId21" w:history="1">
        <w:r w:rsidRPr="00490645">
          <w:rPr>
            <w:rStyle w:val="Hyperlink"/>
            <w:rFonts w:ascii="Arial" w:hAnsi="Arial" w:cs="Arial"/>
            <w:color w:val="0000FF"/>
            <w:sz w:val="24"/>
            <w:szCs w:val="24"/>
          </w:rPr>
          <w:t>https://www2.ed.gov/fund/</w:t>
        </w:r>
        <w:r w:rsidRPr="00490645">
          <w:rPr>
            <w:rStyle w:val="Hyperlink"/>
            <w:rFonts w:ascii="Arial" w:hAnsi="Arial" w:cs="Arial"/>
            <w:color w:val="0000FF"/>
            <w:sz w:val="24"/>
            <w:szCs w:val="24"/>
          </w:rPr>
          <w:br/>
          <w:t>data/report/idea/</w:t>
        </w:r>
        <w:proofErr w:type="spellStart"/>
        <w:r w:rsidRPr="00490645">
          <w:rPr>
            <w:rStyle w:val="Hyperlink"/>
            <w:rFonts w:ascii="Arial" w:hAnsi="Arial" w:cs="Arial"/>
            <w:color w:val="0000FF"/>
            <w:sz w:val="24"/>
            <w:szCs w:val="24"/>
          </w:rPr>
          <w:t>partbspap</w:t>
        </w:r>
        <w:proofErr w:type="spellEnd"/>
        <w:r w:rsidRPr="00490645">
          <w:rPr>
            <w:rStyle w:val="Hyperlink"/>
            <w:rFonts w:ascii="Arial" w:hAnsi="Arial" w:cs="Arial"/>
            <w:color w:val="0000FF"/>
            <w:sz w:val="24"/>
            <w:szCs w:val="24"/>
          </w:rPr>
          <w:t>/2016/nj-aprltr-2016b.pdf</w:t>
        </w:r>
      </w:hyperlink>
      <w:r w:rsidRPr="001024F5">
        <w:rPr>
          <w:rFonts w:ascii="Arial" w:eastAsia="Calibri" w:hAnsi="Arial" w:cs="Arial"/>
          <w:sz w:val="24"/>
          <w:szCs w:val="24"/>
        </w:rPr>
        <w:t>.</w:t>
      </w:r>
    </w:p>
  </w:endnote>
  <w:endnote w:id="70">
    <w:p w14:paraId="296E27A4" w14:textId="32441C11"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Pr="001024F5">
        <w:rPr>
          <w:rFonts w:ascii="Arial" w:eastAsia="Calibri" w:hAnsi="Arial" w:cs="Arial"/>
          <w:i/>
          <w:sz w:val="24"/>
          <w:szCs w:val="24"/>
        </w:rPr>
        <w:t>New Jersey Part B FFY2014 State Performance Plan/Annual Performance Report</w:t>
      </w:r>
      <w:r w:rsidRPr="001024F5">
        <w:rPr>
          <w:rFonts w:ascii="Arial" w:eastAsia="Calibri" w:hAnsi="Arial" w:cs="Arial"/>
          <w:sz w:val="24"/>
          <w:szCs w:val="24"/>
        </w:rPr>
        <w:t xml:space="preserve"> (2016), </w:t>
      </w:r>
      <w:r w:rsidRPr="001024F5">
        <w:rPr>
          <w:rFonts w:ascii="Arial" w:hAnsi="Arial" w:cs="Arial"/>
          <w:sz w:val="24"/>
          <w:szCs w:val="24"/>
        </w:rPr>
        <w:t>accessed October 25, 2017,</w:t>
      </w:r>
      <w:r w:rsidRPr="001024F5">
        <w:rPr>
          <w:rFonts w:ascii="Arial" w:eastAsia="Calibri" w:hAnsi="Arial" w:cs="Arial"/>
          <w:sz w:val="24"/>
          <w:szCs w:val="24"/>
        </w:rPr>
        <w:t xml:space="preserve"> </w:t>
      </w:r>
      <w:hyperlink r:id="rId22" w:history="1">
        <w:r w:rsidRPr="00E74D31">
          <w:rPr>
            <w:rStyle w:val="Hyperlink"/>
            <w:rFonts w:ascii="Arial" w:hAnsi="Arial" w:cs="Arial"/>
            <w:color w:val="0000FF"/>
            <w:sz w:val="24"/>
            <w:szCs w:val="24"/>
          </w:rPr>
          <w:t>https://osep.grads360.org/services/PDCService.</w:t>
        </w:r>
        <w:r w:rsidRPr="00E74D31">
          <w:rPr>
            <w:rStyle w:val="Hyperlink"/>
            <w:rFonts w:ascii="Arial" w:hAnsi="Arial" w:cs="Arial"/>
            <w:color w:val="0000FF"/>
            <w:sz w:val="24"/>
            <w:szCs w:val="24"/>
          </w:rPr>
          <w:br/>
          <w:t>svc/</w:t>
        </w:r>
        <w:proofErr w:type="spellStart"/>
        <w:r w:rsidRPr="00E74D31">
          <w:rPr>
            <w:rStyle w:val="Hyperlink"/>
            <w:rFonts w:ascii="Arial" w:hAnsi="Arial" w:cs="Arial"/>
            <w:color w:val="0000FF"/>
            <w:sz w:val="24"/>
            <w:szCs w:val="24"/>
          </w:rPr>
          <w:t>GetPDCDocumentFile?fileId</w:t>
        </w:r>
        <w:proofErr w:type="spellEnd"/>
        <w:r w:rsidRPr="00E74D31">
          <w:rPr>
            <w:rStyle w:val="Hyperlink"/>
            <w:rFonts w:ascii="Arial" w:hAnsi="Arial" w:cs="Arial"/>
            <w:color w:val="0000FF"/>
            <w:sz w:val="24"/>
            <w:szCs w:val="24"/>
          </w:rPr>
          <w:t>=20395</w:t>
        </w:r>
      </w:hyperlink>
      <w:r w:rsidR="00E74D31" w:rsidRPr="001024F5">
        <w:rPr>
          <w:rFonts w:ascii="Arial" w:eastAsia="Calibri" w:hAnsi="Arial" w:cs="Arial"/>
          <w:sz w:val="24"/>
          <w:szCs w:val="24"/>
        </w:rPr>
        <w:t>.</w:t>
      </w:r>
    </w:p>
  </w:endnote>
  <w:endnote w:id="71">
    <w:p w14:paraId="01F37F18" w14:textId="77777777" w:rsidR="00304135" w:rsidRPr="001024F5" w:rsidRDefault="00304135" w:rsidP="001024F5">
      <w:pPr>
        <w:pStyle w:val="NoSpacing"/>
        <w:spacing w:after="200"/>
        <w:rPr>
          <w:rFonts w:ascii="Arial" w:hAnsi="Arial" w:cs="Arial"/>
          <w:iCs/>
          <w:sz w:val="24"/>
          <w:szCs w:val="24"/>
        </w:rPr>
      </w:pPr>
      <w:r w:rsidRPr="001024F5">
        <w:rPr>
          <w:rStyle w:val="EndnoteReference"/>
          <w:rFonts w:ascii="Arial" w:hAnsi="Arial" w:cs="Arial"/>
          <w:sz w:val="24"/>
          <w:szCs w:val="24"/>
        </w:rPr>
        <w:endnoteRef/>
      </w:r>
      <w:r w:rsidRPr="001024F5">
        <w:rPr>
          <w:rFonts w:ascii="Arial" w:hAnsi="Arial" w:cs="Arial"/>
          <w:iCs/>
          <w:sz w:val="24"/>
          <w:szCs w:val="24"/>
        </w:rPr>
        <w:t xml:space="preserve"> </w:t>
      </w:r>
      <w:r w:rsidRPr="001024F5">
        <w:rPr>
          <w:rFonts w:ascii="Arial" w:hAnsi="Arial" w:cs="Arial"/>
          <w:sz w:val="24"/>
          <w:szCs w:val="24"/>
        </w:rPr>
        <w:t>Steve</w:t>
      </w:r>
      <w:r w:rsidRPr="001024F5">
        <w:rPr>
          <w:rFonts w:ascii="Arial" w:hAnsi="Arial" w:cs="Arial"/>
          <w:iCs/>
          <w:sz w:val="24"/>
          <w:szCs w:val="24"/>
        </w:rPr>
        <w:t xml:space="preserve"> Taylor</w:t>
      </w:r>
      <w:r w:rsidRPr="001024F5">
        <w:rPr>
          <w:rFonts w:ascii="Arial" w:hAnsi="Arial" w:cs="Arial"/>
          <w:sz w:val="24"/>
          <w:szCs w:val="24"/>
        </w:rPr>
        <w:t xml:space="preserve">, </w:t>
      </w:r>
      <w:r w:rsidRPr="001024F5">
        <w:rPr>
          <w:rFonts w:ascii="Arial" w:hAnsi="Arial" w:cs="Arial"/>
          <w:iCs/>
          <w:sz w:val="24"/>
          <w:szCs w:val="24"/>
        </w:rPr>
        <w:t xml:space="preserve">“Caught in the Continuum: A Critical Analysis of the Principle of the Least Restrictive Environment,” </w:t>
      </w:r>
      <w:r w:rsidRPr="001024F5">
        <w:rPr>
          <w:rFonts w:ascii="Arial" w:hAnsi="Arial" w:cs="Arial"/>
          <w:i/>
          <w:iCs/>
          <w:sz w:val="24"/>
          <w:szCs w:val="24"/>
        </w:rPr>
        <w:t>Research &amp; Practice for Persons with Severe Disabilities</w:t>
      </w:r>
      <w:r w:rsidRPr="001024F5">
        <w:rPr>
          <w:rFonts w:ascii="Arial" w:hAnsi="Arial" w:cs="Arial"/>
          <w:iCs/>
          <w:sz w:val="24"/>
          <w:szCs w:val="24"/>
        </w:rPr>
        <w:t xml:space="preserve"> 29, no. 4 (2004): 218–230.</w:t>
      </w:r>
    </w:p>
  </w:endnote>
  <w:endnote w:id="72">
    <w:p w14:paraId="755F7E41"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Ibid.,</w:t>
      </w:r>
      <w:proofErr w:type="gramEnd"/>
      <w:r w:rsidRPr="001024F5">
        <w:rPr>
          <w:rFonts w:ascii="Arial" w:hAnsi="Arial" w:cs="Arial"/>
          <w:sz w:val="24"/>
          <w:szCs w:val="24"/>
        </w:rPr>
        <w:t xml:space="preserve"> 224.</w:t>
      </w:r>
    </w:p>
  </w:endnote>
  <w:endnote w:id="73">
    <w:p w14:paraId="6B7B68D7"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Jonathan Rix, Kieron Sheehy, Felicity Fletcher-Campbell, Martin Crisp, and Amanda Harper, “Moving From a Continuum to a Community: </w:t>
      </w:r>
      <w:proofErr w:type="spellStart"/>
      <w:r w:rsidRPr="001024F5">
        <w:rPr>
          <w:rFonts w:ascii="Arial" w:hAnsi="Arial" w:cs="Arial"/>
          <w:sz w:val="24"/>
          <w:szCs w:val="24"/>
        </w:rPr>
        <w:t>Reconceptualizing</w:t>
      </w:r>
      <w:proofErr w:type="spellEnd"/>
      <w:r w:rsidRPr="001024F5">
        <w:rPr>
          <w:rFonts w:ascii="Arial" w:hAnsi="Arial" w:cs="Arial"/>
          <w:sz w:val="24"/>
          <w:szCs w:val="24"/>
        </w:rPr>
        <w:t xml:space="preserve"> the Provision of Support,” </w:t>
      </w:r>
      <w:r w:rsidRPr="001024F5">
        <w:rPr>
          <w:rFonts w:ascii="Arial" w:hAnsi="Arial" w:cs="Arial"/>
          <w:i/>
          <w:sz w:val="24"/>
          <w:szCs w:val="24"/>
        </w:rPr>
        <w:t xml:space="preserve">Review of Educational Research </w:t>
      </w:r>
      <w:r w:rsidRPr="001024F5">
        <w:rPr>
          <w:rFonts w:ascii="Arial" w:hAnsi="Arial" w:cs="Arial"/>
          <w:sz w:val="24"/>
          <w:szCs w:val="24"/>
        </w:rPr>
        <w:t>85, no. 3 (2015): 1–34.</w:t>
      </w:r>
    </w:p>
  </w:endnote>
  <w:endnote w:id="74">
    <w:p w14:paraId="78720028"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Janet S. Sauer and Cheryl M. Jorgensen, “Still Caught in the Continuum: A Critical Analysis of Least Restrictive Environment and its Effect on Placement of Students with Intellectual Disability,” </w:t>
      </w:r>
      <w:r w:rsidRPr="001024F5">
        <w:rPr>
          <w:rFonts w:ascii="Arial" w:hAnsi="Arial" w:cs="Arial"/>
          <w:i/>
          <w:sz w:val="24"/>
          <w:szCs w:val="24"/>
        </w:rPr>
        <w:t>Inclusion</w:t>
      </w:r>
      <w:r w:rsidRPr="001024F5">
        <w:rPr>
          <w:rFonts w:ascii="Arial" w:hAnsi="Arial" w:cs="Arial"/>
          <w:sz w:val="24"/>
          <w:szCs w:val="24"/>
        </w:rPr>
        <w:t xml:space="preserve"> 4 (2016): 56–74.</w:t>
      </w:r>
    </w:p>
  </w:endnote>
  <w:endnote w:id="75">
    <w:p w14:paraId="487CE8B4"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May 13, 2017.</w:t>
      </w:r>
    </w:p>
  </w:endnote>
  <w:endnote w:id="76">
    <w:p w14:paraId="7AF82A10"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April 19, 2017.</w:t>
      </w:r>
    </w:p>
  </w:endnote>
  <w:endnote w:id="77">
    <w:p w14:paraId="1D729E80"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April 24, 2017.</w:t>
      </w:r>
    </w:p>
  </w:endnote>
  <w:endnote w:id="78">
    <w:p w14:paraId="5137638C"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Diane L. </w:t>
      </w:r>
      <w:proofErr w:type="spellStart"/>
      <w:r w:rsidRPr="001024F5">
        <w:rPr>
          <w:rFonts w:ascii="Arial" w:hAnsi="Arial" w:cs="Arial"/>
          <w:sz w:val="24"/>
          <w:szCs w:val="24"/>
        </w:rPr>
        <w:t>Ryndak</w:t>
      </w:r>
      <w:proofErr w:type="spellEnd"/>
      <w:r w:rsidRPr="001024F5">
        <w:rPr>
          <w:rFonts w:ascii="Arial" w:hAnsi="Arial" w:cs="Arial"/>
          <w:sz w:val="24"/>
          <w:szCs w:val="24"/>
        </w:rPr>
        <w:t xml:space="preserve">, Debbie </w:t>
      </w:r>
      <w:proofErr w:type="spellStart"/>
      <w:r w:rsidRPr="001024F5">
        <w:rPr>
          <w:rFonts w:ascii="Arial" w:hAnsi="Arial" w:cs="Arial"/>
          <w:sz w:val="24"/>
          <w:szCs w:val="24"/>
        </w:rPr>
        <w:t>Taub</w:t>
      </w:r>
      <w:proofErr w:type="spellEnd"/>
      <w:r w:rsidRPr="001024F5">
        <w:rPr>
          <w:rFonts w:ascii="Arial" w:hAnsi="Arial" w:cs="Arial"/>
          <w:sz w:val="24"/>
          <w:szCs w:val="24"/>
        </w:rPr>
        <w:t xml:space="preserve">, Cheryl M. Jorgensen, Jean </w:t>
      </w:r>
      <w:proofErr w:type="spellStart"/>
      <w:r w:rsidRPr="001024F5">
        <w:rPr>
          <w:rFonts w:ascii="Arial" w:hAnsi="Arial" w:cs="Arial"/>
          <w:sz w:val="24"/>
          <w:szCs w:val="24"/>
        </w:rPr>
        <w:t>Gonsier-Gerdin</w:t>
      </w:r>
      <w:proofErr w:type="spellEnd"/>
      <w:r w:rsidRPr="001024F5">
        <w:rPr>
          <w:rFonts w:ascii="Arial" w:hAnsi="Arial" w:cs="Arial"/>
          <w:sz w:val="24"/>
          <w:szCs w:val="24"/>
        </w:rPr>
        <w:t xml:space="preserve">, Katrina Arndt, Janet Sauer, Andrea L. </w:t>
      </w:r>
      <w:proofErr w:type="spellStart"/>
      <w:r w:rsidRPr="001024F5">
        <w:rPr>
          <w:rFonts w:ascii="Arial" w:hAnsi="Arial" w:cs="Arial"/>
          <w:sz w:val="24"/>
          <w:szCs w:val="24"/>
        </w:rPr>
        <w:t>Ruppar</w:t>
      </w:r>
      <w:proofErr w:type="spellEnd"/>
      <w:r w:rsidRPr="001024F5">
        <w:rPr>
          <w:rFonts w:ascii="Arial" w:hAnsi="Arial" w:cs="Arial"/>
          <w:sz w:val="24"/>
          <w:szCs w:val="24"/>
        </w:rPr>
        <w:t xml:space="preserve">, Mary E. Morningstar, and Heather </w:t>
      </w:r>
      <w:proofErr w:type="spellStart"/>
      <w:r w:rsidRPr="001024F5">
        <w:rPr>
          <w:rFonts w:ascii="Arial" w:hAnsi="Arial" w:cs="Arial"/>
          <w:sz w:val="24"/>
          <w:szCs w:val="24"/>
        </w:rPr>
        <w:t>Allcock</w:t>
      </w:r>
      <w:proofErr w:type="spellEnd"/>
      <w:r w:rsidRPr="001024F5">
        <w:rPr>
          <w:rFonts w:ascii="Arial" w:hAnsi="Arial" w:cs="Arial"/>
          <w:sz w:val="24"/>
          <w:szCs w:val="24"/>
        </w:rPr>
        <w:t xml:space="preserve">, “Policy and the Impact on Placement, Involvement, and Progress in General Education: Critical Issues That Require Rectification,” </w:t>
      </w:r>
      <w:r w:rsidRPr="001024F5">
        <w:rPr>
          <w:rFonts w:ascii="Arial" w:hAnsi="Arial" w:cs="Arial"/>
          <w:i/>
          <w:sz w:val="24"/>
          <w:szCs w:val="24"/>
        </w:rPr>
        <w:t>Research and Practice for Persons with Severe Disabilities</w:t>
      </w:r>
      <w:r w:rsidRPr="001024F5">
        <w:rPr>
          <w:rFonts w:ascii="Arial" w:hAnsi="Arial" w:cs="Arial"/>
          <w:sz w:val="24"/>
          <w:szCs w:val="24"/>
        </w:rPr>
        <w:t xml:space="preserve"> 39, no. 1 (2014): 65–74.</w:t>
      </w:r>
    </w:p>
  </w:endnote>
  <w:endnote w:id="79">
    <w:p w14:paraId="54F2E3E6"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Ibid.,</w:t>
      </w:r>
      <w:proofErr w:type="gramEnd"/>
      <w:r w:rsidRPr="001024F5">
        <w:rPr>
          <w:rFonts w:ascii="Arial" w:hAnsi="Arial" w:cs="Arial"/>
          <w:sz w:val="24"/>
          <w:szCs w:val="24"/>
        </w:rPr>
        <w:t xml:space="preserve"> 67.</w:t>
      </w:r>
    </w:p>
  </w:endnote>
  <w:endnote w:id="80">
    <w:p w14:paraId="051DD9EE"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Interviewee, April 14, 2017</w:t>
      </w:r>
    </w:p>
  </w:endnote>
  <w:endnote w:id="81">
    <w:p w14:paraId="653E3E19"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Participant, Regional Forum, 2017</w:t>
      </w:r>
    </w:p>
  </w:endnote>
  <w:endnote w:id="82">
    <w:p w14:paraId="1FE13F98"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Participant, Regional Forum, 2017</w:t>
      </w:r>
    </w:p>
  </w:endnote>
  <w:endnote w:id="83">
    <w:p w14:paraId="1F515D06"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Participant, Regional Forum, 2017</w:t>
      </w:r>
    </w:p>
  </w:endnote>
  <w:endnote w:id="84">
    <w:p w14:paraId="0F6A6881"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Participant, Regional Forum, 2017</w:t>
      </w:r>
    </w:p>
  </w:endnote>
  <w:endnote w:id="85">
    <w:p w14:paraId="0037CE9F"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Michael F. </w:t>
      </w:r>
      <w:proofErr w:type="spellStart"/>
      <w:r w:rsidRPr="001024F5">
        <w:rPr>
          <w:rFonts w:ascii="Arial" w:hAnsi="Arial" w:cs="Arial"/>
          <w:sz w:val="24"/>
          <w:szCs w:val="24"/>
        </w:rPr>
        <w:t>Giangreco</w:t>
      </w:r>
      <w:proofErr w:type="spellEnd"/>
      <w:r w:rsidRPr="001024F5">
        <w:rPr>
          <w:rFonts w:ascii="Arial" w:hAnsi="Arial" w:cs="Arial"/>
          <w:sz w:val="24"/>
          <w:szCs w:val="24"/>
        </w:rPr>
        <w:t xml:space="preserve">, “One-to-One Paraprofessionals for Students </w:t>
      </w:r>
      <w:proofErr w:type="gramStart"/>
      <w:r w:rsidRPr="001024F5">
        <w:rPr>
          <w:rFonts w:ascii="Arial" w:hAnsi="Arial" w:cs="Arial"/>
          <w:sz w:val="24"/>
          <w:szCs w:val="24"/>
        </w:rPr>
        <w:t>With</w:t>
      </w:r>
      <w:proofErr w:type="gramEnd"/>
      <w:r w:rsidRPr="001024F5">
        <w:rPr>
          <w:rFonts w:ascii="Arial" w:hAnsi="Arial" w:cs="Arial"/>
          <w:sz w:val="24"/>
          <w:szCs w:val="24"/>
        </w:rPr>
        <w:t xml:space="preserve"> Disabilities in Inclusive Classrooms: Is Conventional Wisdom Wrong?” </w:t>
      </w:r>
      <w:r w:rsidRPr="001024F5">
        <w:rPr>
          <w:rFonts w:ascii="Arial" w:hAnsi="Arial" w:cs="Arial"/>
          <w:i/>
          <w:sz w:val="24"/>
          <w:szCs w:val="24"/>
        </w:rPr>
        <w:t>Intellectual and Developmental Disabilities</w:t>
      </w:r>
      <w:r w:rsidRPr="001024F5">
        <w:rPr>
          <w:rFonts w:ascii="Arial" w:hAnsi="Arial" w:cs="Arial"/>
          <w:sz w:val="24"/>
          <w:szCs w:val="24"/>
        </w:rPr>
        <w:t xml:space="preserve"> 48, no. 1 (2010): 1–13.</w:t>
      </w:r>
    </w:p>
  </w:endnote>
  <w:endnote w:id="86">
    <w:p w14:paraId="77FE4E40" w14:textId="77777777" w:rsidR="00304135" w:rsidRPr="001024F5" w:rsidRDefault="00304135" w:rsidP="001024F5">
      <w:pPr>
        <w:pStyle w:val="Heading4"/>
        <w:spacing w:before="0" w:after="200" w:line="240" w:lineRule="auto"/>
        <w:rPr>
          <w:color w:val="auto"/>
        </w:rPr>
      </w:pPr>
      <w:r w:rsidRPr="001024F5">
        <w:rPr>
          <w:rStyle w:val="EndnoteReference"/>
          <w:color w:val="auto"/>
        </w:rPr>
        <w:endnoteRef/>
      </w:r>
      <w:r w:rsidRPr="001024F5">
        <w:rPr>
          <w:color w:val="auto"/>
        </w:rPr>
        <w:t> </w:t>
      </w:r>
      <w:proofErr w:type="spellStart"/>
      <w:r w:rsidRPr="001024F5">
        <w:rPr>
          <w:color w:val="auto"/>
        </w:rPr>
        <w:t>Gazi</w:t>
      </w:r>
      <w:proofErr w:type="spellEnd"/>
      <w:r w:rsidRPr="001024F5">
        <w:rPr>
          <w:color w:val="auto"/>
        </w:rPr>
        <w:t xml:space="preserve"> F. Azad, Jill Locke, Margaret Mary Downey, Ming </w:t>
      </w:r>
      <w:proofErr w:type="spellStart"/>
      <w:r w:rsidRPr="001024F5">
        <w:rPr>
          <w:color w:val="auto"/>
        </w:rPr>
        <w:t>Xie</w:t>
      </w:r>
      <w:proofErr w:type="spellEnd"/>
      <w:r w:rsidRPr="001024F5">
        <w:rPr>
          <w:color w:val="auto"/>
        </w:rPr>
        <w:t>, and David S. Mandell, “</w:t>
      </w:r>
      <w:r w:rsidRPr="001024F5">
        <w:rPr>
          <w:rFonts w:eastAsia="Times New Roman"/>
          <w:bCs/>
          <w:color w:val="auto"/>
        </w:rPr>
        <w:t>One-to-One Assistant Engagement in Autism Support Classrooms,”</w:t>
      </w:r>
      <w:r w:rsidRPr="001024F5">
        <w:rPr>
          <w:rFonts w:eastAsia="Times New Roman"/>
          <w:b/>
          <w:bCs/>
          <w:color w:val="auto"/>
        </w:rPr>
        <w:t xml:space="preserve"> </w:t>
      </w:r>
      <w:r w:rsidRPr="001024F5">
        <w:rPr>
          <w:i/>
          <w:iCs/>
          <w:color w:val="auto"/>
        </w:rPr>
        <w:t>Teacher Education and Special Education</w:t>
      </w:r>
      <w:r w:rsidRPr="001024F5">
        <w:rPr>
          <w:color w:val="auto"/>
        </w:rPr>
        <w:t xml:space="preserve"> 38 (2015): 337–346.</w:t>
      </w:r>
    </w:p>
  </w:endnote>
  <w:endnote w:id="87">
    <w:p w14:paraId="720CD8B2"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Thomas M. </w:t>
      </w:r>
      <w:proofErr w:type="spellStart"/>
      <w:r w:rsidRPr="001024F5">
        <w:rPr>
          <w:rFonts w:ascii="Arial" w:hAnsi="Arial" w:cs="Arial"/>
          <w:sz w:val="24"/>
          <w:szCs w:val="24"/>
        </w:rPr>
        <w:t>Skrtic</w:t>
      </w:r>
      <w:proofErr w:type="spellEnd"/>
      <w:r w:rsidRPr="001024F5">
        <w:rPr>
          <w:rFonts w:ascii="Arial" w:hAnsi="Arial" w:cs="Arial"/>
          <w:sz w:val="24"/>
          <w:szCs w:val="24"/>
        </w:rPr>
        <w:t xml:space="preserve">, Wayne Sailor, and Kathleen Gee, “Voice, Collaboration, and Inclusion,” </w:t>
      </w:r>
      <w:r w:rsidRPr="001024F5">
        <w:rPr>
          <w:rFonts w:ascii="Arial" w:hAnsi="Arial" w:cs="Arial"/>
          <w:i/>
          <w:sz w:val="24"/>
          <w:szCs w:val="24"/>
        </w:rPr>
        <w:t xml:space="preserve">Remedial and Special Education </w:t>
      </w:r>
      <w:r w:rsidRPr="001024F5">
        <w:rPr>
          <w:rFonts w:ascii="Arial" w:hAnsi="Arial" w:cs="Arial"/>
          <w:sz w:val="24"/>
          <w:szCs w:val="24"/>
        </w:rPr>
        <w:t>17 (1996): 142–157.</w:t>
      </w:r>
    </w:p>
  </w:endnote>
  <w:endnote w:id="88">
    <w:p w14:paraId="71E21F05" w14:textId="77777777" w:rsidR="00304135" w:rsidRPr="001024F5" w:rsidRDefault="00304135" w:rsidP="001024F5">
      <w:pPr>
        <w:pStyle w:val="ListParagraph"/>
        <w:spacing w:after="200"/>
        <w:ind w:left="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Alfredo J. </w:t>
      </w:r>
      <w:proofErr w:type="spellStart"/>
      <w:r w:rsidRPr="001024F5">
        <w:rPr>
          <w:rFonts w:ascii="Arial" w:hAnsi="Arial" w:cs="Arial"/>
          <w:sz w:val="24"/>
          <w:szCs w:val="24"/>
        </w:rPr>
        <w:t>Artiles</w:t>
      </w:r>
      <w:proofErr w:type="spellEnd"/>
      <w:r w:rsidRPr="001024F5">
        <w:rPr>
          <w:rFonts w:ascii="Arial" w:hAnsi="Arial" w:cs="Arial"/>
          <w:sz w:val="24"/>
          <w:szCs w:val="24"/>
        </w:rPr>
        <w:t xml:space="preserve"> and Elizabeth B. </w:t>
      </w:r>
      <w:proofErr w:type="spellStart"/>
      <w:r w:rsidRPr="001024F5">
        <w:rPr>
          <w:rFonts w:ascii="Arial" w:hAnsi="Arial" w:cs="Arial"/>
          <w:sz w:val="24"/>
          <w:szCs w:val="24"/>
        </w:rPr>
        <w:t>Kozleski</w:t>
      </w:r>
      <w:proofErr w:type="spellEnd"/>
      <w:r w:rsidRPr="001024F5">
        <w:rPr>
          <w:rFonts w:ascii="Arial" w:hAnsi="Arial" w:cs="Arial"/>
          <w:sz w:val="24"/>
          <w:szCs w:val="24"/>
        </w:rPr>
        <w:t xml:space="preserve">, “Inclusive Education’s Promises and Trajectories: Critical Notes </w:t>
      </w:r>
      <w:proofErr w:type="gramStart"/>
      <w:r w:rsidRPr="001024F5">
        <w:rPr>
          <w:rFonts w:ascii="Arial" w:hAnsi="Arial" w:cs="Arial"/>
          <w:sz w:val="24"/>
          <w:szCs w:val="24"/>
        </w:rPr>
        <w:t>About</w:t>
      </w:r>
      <w:proofErr w:type="gramEnd"/>
      <w:r w:rsidRPr="001024F5">
        <w:rPr>
          <w:rFonts w:ascii="Arial" w:hAnsi="Arial" w:cs="Arial"/>
          <w:sz w:val="24"/>
          <w:szCs w:val="24"/>
        </w:rPr>
        <w:t xml:space="preserve"> Future Research on a Venerable Idea,” </w:t>
      </w:r>
      <w:r w:rsidRPr="001024F5">
        <w:rPr>
          <w:rFonts w:ascii="Arial" w:hAnsi="Arial" w:cs="Arial"/>
          <w:i/>
          <w:sz w:val="24"/>
          <w:szCs w:val="24"/>
        </w:rPr>
        <w:t xml:space="preserve">Education Policy Analysis Archives </w:t>
      </w:r>
      <w:r w:rsidRPr="001024F5">
        <w:rPr>
          <w:rFonts w:ascii="Arial" w:hAnsi="Arial" w:cs="Arial"/>
          <w:sz w:val="24"/>
          <w:szCs w:val="24"/>
        </w:rPr>
        <w:t>24 (2016): 43.</w:t>
      </w:r>
    </w:p>
  </w:endnote>
  <w:endnote w:id="89">
    <w:p w14:paraId="0ACCF47C" w14:textId="13C09CE6"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00F2691A" w:rsidRPr="00F2691A">
        <w:rPr>
          <w:rFonts w:ascii="Arial" w:hAnsi="Arial" w:cs="Arial"/>
          <w:sz w:val="24"/>
          <w:szCs w:val="24"/>
        </w:rPr>
        <w:t xml:space="preserve">A. Olson, M. M. </w:t>
      </w:r>
      <w:proofErr w:type="spellStart"/>
      <w:r w:rsidR="00F2691A" w:rsidRPr="00F2691A">
        <w:rPr>
          <w:rFonts w:ascii="Arial" w:hAnsi="Arial" w:cs="Arial"/>
          <w:sz w:val="24"/>
          <w:szCs w:val="24"/>
        </w:rPr>
        <w:t>Leko</w:t>
      </w:r>
      <w:proofErr w:type="spellEnd"/>
      <w:r w:rsidR="00F2691A" w:rsidRPr="00F2691A">
        <w:rPr>
          <w:rFonts w:ascii="Arial" w:hAnsi="Arial" w:cs="Arial"/>
          <w:sz w:val="24"/>
          <w:szCs w:val="24"/>
        </w:rPr>
        <w:t xml:space="preserve">, and C. A. Roberts, “Providing Students with Severe Disabilities Access to the General Education Curriculum,” </w:t>
      </w:r>
      <w:r w:rsidR="00F2691A" w:rsidRPr="00F2691A">
        <w:rPr>
          <w:rFonts w:ascii="Arial" w:hAnsi="Arial" w:cs="Arial"/>
          <w:i/>
          <w:sz w:val="24"/>
          <w:szCs w:val="24"/>
        </w:rPr>
        <w:t>Research and Practice for Persons with Severe Disabilities</w:t>
      </w:r>
      <w:r w:rsidR="00F2691A" w:rsidRPr="00F2691A">
        <w:rPr>
          <w:rFonts w:ascii="Arial" w:hAnsi="Arial" w:cs="Arial"/>
          <w:sz w:val="24"/>
          <w:szCs w:val="24"/>
        </w:rPr>
        <w:t xml:space="preserve"> 41, no. 3 (2016): 143</w:t>
      </w:r>
      <w:r w:rsidR="00487178">
        <w:rPr>
          <w:rFonts w:ascii="Arial" w:hAnsi="Arial" w:cs="Arial"/>
          <w:sz w:val="24"/>
          <w:szCs w:val="24"/>
        </w:rPr>
        <w:t>–</w:t>
      </w:r>
      <w:r w:rsidR="00F2691A" w:rsidRPr="00F2691A">
        <w:rPr>
          <w:rFonts w:ascii="Arial" w:hAnsi="Arial" w:cs="Arial"/>
          <w:sz w:val="24"/>
          <w:szCs w:val="24"/>
        </w:rPr>
        <w:t>157.</w:t>
      </w:r>
    </w:p>
  </w:endnote>
  <w:endnote w:id="90">
    <w:p w14:paraId="73CC01A6"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bookmarkStart w:id="103" w:name="_Hlk488583563"/>
      <w:r w:rsidRPr="001024F5">
        <w:rPr>
          <w:rFonts w:ascii="Arial" w:hAnsi="Arial" w:cs="Arial"/>
          <w:sz w:val="24"/>
          <w:szCs w:val="24"/>
        </w:rPr>
        <w:t xml:space="preserve">James </w:t>
      </w:r>
      <w:proofErr w:type="spellStart"/>
      <w:r w:rsidRPr="001024F5">
        <w:rPr>
          <w:rFonts w:ascii="Arial" w:hAnsi="Arial" w:cs="Arial"/>
          <w:sz w:val="24"/>
          <w:szCs w:val="24"/>
        </w:rPr>
        <w:t>McLeskey</w:t>
      </w:r>
      <w:proofErr w:type="spellEnd"/>
      <w:r w:rsidRPr="001024F5">
        <w:rPr>
          <w:rFonts w:ascii="Arial" w:hAnsi="Arial" w:cs="Arial"/>
          <w:sz w:val="24"/>
          <w:szCs w:val="24"/>
        </w:rPr>
        <w:t xml:space="preserve"> et al. “What Are Effective Inclusive Schools and Why are They Important?” in </w:t>
      </w:r>
      <w:r w:rsidRPr="001024F5">
        <w:rPr>
          <w:rFonts w:ascii="Arial" w:hAnsi="Arial" w:cs="Arial"/>
          <w:i/>
          <w:sz w:val="24"/>
          <w:szCs w:val="24"/>
        </w:rPr>
        <w:t xml:space="preserve">Handbook of Effective Inclusive Schools, </w:t>
      </w:r>
      <w:r w:rsidRPr="001024F5">
        <w:rPr>
          <w:rFonts w:ascii="Arial" w:hAnsi="Arial" w:cs="Arial"/>
          <w:sz w:val="24"/>
          <w:szCs w:val="24"/>
        </w:rPr>
        <w:t xml:space="preserve">ed. James </w:t>
      </w:r>
      <w:proofErr w:type="spellStart"/>
      <w:r w:rsidRPr="001024F5">
        <w:rPr>
          <w:rFonts w:ascii="Arial" w:hAnsi="Arial" w:cs="Arial"/>
          <w:sz w:val="24"/>
          <w:szCs w:val="24"/>
        </w:rPr>
        <w:t>McLeskey</w:t>
      </w:r>
      <w:proofErr w:type="spellEnd"/>
      <w:r w:rsidRPr="001024F5">
        <w:rPr>
          <w:rFonts w:ascii="Arial" w:hAnsi="Arial" w:cs="Arial"/>
          <w:sz w:val="24"/>
          <w:szCs w:val="24"/>
        </w:rPr>
        <w:t xml:space="preserve">, Nancy L. Waldron, Fred Spooner, and Bob </w:t>
      </w:r>
      <w:proofErr w:type="spellStart"/>
      <w:r w:rsidRPr="001024F5">
        <w:rPr>
          <w:rFonts w:ascii="Arial" w:hAnsi="Arial" w:cs="Arial"/>
          <w:sz w:val="24"/>
          <w:szCs w:val="24"/>
        </w:rPr>
        <w:t>Algozzine</w:t>
      </w:r>
      <w:proofErr w:type="spellEnd"/>
      <w:r w:rsidRPr="001024F5">
        <w:rPr>
          <w:rFonts w:ascii="Arial" w:hAnsi="Arial" w:cs="Arial"/>
          <w:sz w:val="24"/>
          <w:szCs w:val="24"/>
        </w:rPr>
        <w:t xml:space="preserve"> (New York: Routledge, 2014), 3–16.</w:t>
      </w:r>
      <w:bookmarkEnd w:id="103"/>
    </w:p>
  </w:endnote>
  <w:endnote w:id="91">
    <w:p w14:paraId="74683DE1"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Ibid.,</w:t>
      </w:r>
      <w:proofErr w:type="gramEnd"/>
      <w:r w:rsidRPr="001024F5">
        <w:rPr>
          <w:rFonts w:ascii="Arial" w:hAnsi="Arial" w:cs="Arial"/>
          <w:sz w:val="24"/>
          <w:szCs w:val="24"/>
        </w:rPr>
        <w:t xml:space="preserve"> 4.</w:t>
      </w:r>
    </w:p>
  </w:endnote>
  <w:endnote w:id="92">
    <w:p w14:paraId="5E1AD540" w14:textId="3F1A5C6B"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The Swift Center, “Whatever it Takes,” SWIFT Inclusive Academic Instruction film, video, 21:52, 2016, accessed </w:t>
      </w:r>
      <w:smartTag w:uri="urn:schemas-microsoft-com:office:smarttags" w:element="date">
        <w:smartTagPr>
          <w:attr w:name="ls" w:val="trans"/>
          <w:attr w:name="Month" w:val="10"/>
          <w:attr w:name="Day" w:val="25"/>
          <w:attr w:name="Year" w:val="2017"/>
        </w:smartTagPr>
        <w:r w:rsidRPr="001024F5">
          <w:rPr>
            <w:rFonts w:ascii="Arial" w:hAnsi="Arial" w:cs="Arial"/>
            <w:sz w:val="24"/>
            <w:szCs w:val="24"/>
          </w:rPr>
          <w:t>October 25, 2017</w:t>
        </w:r>
      </w:smartTag>
      <w:r w:rsidRPr="001024F5">
        <w:rPr>
          <w:rFonts w:ascii="Arial" w:hAnsi="Arial" w:cs="Arial"/>
          <w:sz w:val="24"/>
          <w:szCs w:val="24"/>
        </w:rPr>
        <w:t xml:space="preserve">, </w:t>
      </w:r>
      <w:hyperlink r:id="rId23" w:history="1">
        <w:r w:rsidRPr="00192CAD">
          <w:rPr>
            <w:rStyle w:val="Hyperlink"/>
            <w:rFonts w:ascii="Arial" w:hAnsi="Arial" w:cs="Arial"/>
            <w:color w:val="0000FF"/>
            <w:sz w:val="24"/>
            <w:szCs w:val="24"/>
          </w:rPr>
          <w:t>https://www.youtube.com/</w:t>
        </w:r>
        <w:r w:rsidRPr="00192CAD">
          <w:rPr>
            <w:rStyle w:val="Hyperlink"/>
            <w:rFonts w:ascii="Arial" w:hAnsi="Arial" w:cs="Arial"/>
            <w:color w:val="0000FF"/>
            <w:sz w:val="24"/>
            <w:szCs w:val="24"/>
          </w:rPr>
          <w:br/>
        </w:r>
        <w:proofErr w:type="spellStart"/>
        <w:r w:rsidRPr="00192CAD">
          <w:rPr>
            <w:rStyle w:val="Hyperlink"/>
            <w:rFonts w:ascii="Arial" w:hAnsi="Arial" w:cs="Arial"/>
            <w:color w:val="0000FF"/>
            <w:sz w:val="24"/>
            <w:szCs w:val="24"/>
          </w:rPr>
          <w:t>watch?v</w:t>
        </w:r>
        <w:proofErr w:type="spellEnd"/>
        <w:r w:rsidRPr="00192CAD">
          <w:rPr>
            <w:rStyle w:val="Hyperlink"/>
            <w:rFonts w:ascii="Arial" w:hAnsi="Arial" w:cs="Arial"/>
            <w:color w:val="0000FF"/>
            <w:sz w:val="24"/>
            <w:szCs w:val="24"/>
          </w:rPr>
          <w:t>=</w:t>
        </w:r>
        <w:proofErr w:type="spellStart"/>
        <w:r w:rsidRPr="00192CAD">
          <w:rPr>
            <w:rStyle w:val="Hyperlink"/>
            <w:rFonts w:ascii="Arial" w:hAnsi="Arial" w:cs="Arial"/>
            <w:color w:val="0000FF"/>
            <w:sz w:val="24"/>
            <w:szCs w:val="24"/>
          </w:rPr>
          <w:t>KzVaecgNvlg</w:t>
        </w:r>
        <w:proofErr w:type="spellEnd"/>
      </w:hyperlink>
      <w:r w:rsidRPr="001024F5">
        <w:rPr>
          <w:rFonts w:ascii="Arial" w:hAnsi="Arial" w:cs="Arial"/>
          <w:sz w:val="24"/>
          <w:szCs w:val="24"/>
        </w:rPr>
        <w:t>.</w:t>
      </w:r>
    </w:p>
  </w:endnote>
  <w:endnote w:id="93">
    <w:p w14:paraId="4673E379" w14:textId="0D9094DD"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Xuan Bui et al., “Inclusive Education Research &amp; Practice,” accessed July 10, 2017, </w:t>
      </w:r>
      <w:hyperlink r:id="rId24" w:tooltip="http://www.mcie.org/usermedia/application/6/inclusion_works_final.pdf" w:history="1">
        <w:r w:rsidRPr="00CE54D7">
          <w:rPr>
            <w:rStyle w:val="Hyperlink"/>
            <w:rFonts w:ascii="Arial" w:hAnsi="Arial" w:cs="Arial"/>
            <w:color w:val="0000FF"/>
            <w:sz w:val="24"/>
            <w:szCs w:val="24"/>
          </w:rPr>
          <w:t>http://www.mcie.org/usermedia/application/6/inclusion_works_final.pdf</w:t>
        </w:r>
      </w:hyperlink>
      <w:r w:rsidRPr="001024F5">
        <w:rPr>
          <w:rFonts w:ascii="Arial" w:hAnsi="Arial" w:cs="Arial"/>
          <w:sz w:val="24"/>
          <w:szCs w:val="24"/>
        </w:rPr>
        <w:t xml:space="preserve">; Diane </w:t>
      </w:r>
      <w:proofErr w:type="spellStart"/>
      <w:r w:rsidRPr="001024F5">
        <w:rPr>
          <w:rFonts w:ascii="Arial" w:hAnsi="Arial" w:cs="Arial"/>
          <w:sz w:val="24"/>
          <w:szCs w:val="24"/>
        </w:rPr>
        <w:t>Ryndak</w:t>
      </w:r>
      <w:proofErr w:type="spellEnd"/>
      <w:r w:rsidRPr="001024F5">
        <w:rPr>
          <w:rFonts w:ascii="Arial" w:hAnsi="Arial" w:cs="Arial"/>
          <w:sz w:val="24"/>
          <w:szCs w:val="24"/>
        </w:rPr>
        <w:t xml:space="preserve">, Lewis B. Jackson, and Julia M. White, “Involvement and Progress in the General Curriculum for Students with Extensive Support Needs: K-12 Inclusive Education Research and Implications for the Future,” </w:t>
      </w:r>
      <w:r w:rsidRPr="001024F5">
        <w:rPr>
          <w:rFonts w:ascii="Arial" w:hAnsi="Arial" w:cs="Arial"/>
          <w:i/>
          <w:sz w:val="24"/>
          <w:szCs w:val="24"/>
        </w:rPr>
        <w:t xml:space="preserve">Inclusion </w:t>
      </w:r>
      <w:r w:rsidRPr="001024F5">
        <w:rPr>
          <w:rFonts w:ascii="Arial" w:hAnsi="Arial" w:cs="Arial"/>
          <w:sz w:val="24"/>
          <w:szCs w:val="24"/>
        </w:rPr>
        <w:t xml:space="preserve">1 (2013): 28–49; Janet S. Sauer and Cheryl M. Jorgenson, “Still Caught in the Continuum: A Critical Analysis of Least Restrictive Environment and its Effect on Placement of Students with Intellectual Disability,” </w:t>
      </w:r>
      <w:r w:rsidRPr="001024F5">
        <w:rPr>
          <w:rFonts w:ascii="Arial" w:hAnsi="Arial" w:cs="Arial"/>
          <w:i/>
          <w:sz w:val="24"/>
          <w:szCs w:val="24"/>
        </w:rPr>
        <w:t>Inclusion</w:t>
      </w:r>
      <w:r w:rsidRPr="001024F5">
        <w:rPr>
          <w:rFonts w:ascii="Arial" w:hAnsi="Arial" w:cs="Arial"/>
          <w:sz w:val="24"/>
          <w:szCs w:val="24"/>
        </w:rPr>
        <w:t xml:space="preserve"> 4 (2016): 56–74.</w:t>
      </w:r>
    </w:p>
  </w:endnote>
  <w:endnote w:id="94">
    <w:p w14:paraId="66EA7006" w14:textId="359EBC13" w:rsidR="00304135" w:rsidRPr="00487178" w:rsidRDefault="00304135" w:rsidP="001024F5">
      <w:pPr>
        <w:pStyle w:val="EndnoteText"/>
        <w:spacing w:after="200"/>
        <w:rPr>
          <w:rFonts w:ascii="Arial" w:hAnsi="Arial" w:cs="Arial"/>
          <w:spacing w:val="-5"/>
          <w:sz w:val="24"/>
          <w:szCs w:val="24"/>
        </w:rPr>
      </w:pPr>
      <w:r w:rsidRPr="00487178">
        <w:rPr>
          <w:rStyle w:val="EndnoteReference"/>
          <w:rFonts w:ascii="Arial" w:hAnsi="Arial" w:cs="Arial"/>
          <w:spacing w:val="-5"/>
          <w:sz w:val="24"/>
          <w:szCs w:val="24"/>
        </w:rPr>
        <w:endnoteRef/>
      </w:r>
      <w:r w:rsidRPr="00487178">
        <w:rPr>
          <w:rFonts w:ascii="Arial" w:hAnsi="Arial" w:cs="Arial"/>
          <w:spacing w:val="-5"/>
          <w:sz w:val="24"/>
          <w:szCs w:val="24"/>
        </w:rPr>
        <w:t xml:space="preserve"> Thomas Hehir et al., </w:t>
      </w:r>
      <w:r w:rsidRPr="00487178">
        <w:rPr>
          <w:rFonts w:ascii="Arial" w:hAnsi="Arial" w:cs="Arial"/>
          <w:i/>
          <w:spacing w:val="-5"/>
          <w:sz w:val="24"/>
          <w:szCs w:val="24"/>
        </w:rPr>
        <w:t>A Summary of the Evidence on Inclusive Education</w:t>
      </w:r>
      <w:r w:rsidRPr="00487178">
        <w:rPr>
          <w:rFonts w:ascii="Arial" w:hAnsi="Arial" w:cs="Arial"/>
          <w:spacing w:val="-5"/>
          <w:sz w:val="24"/>
          <w:szCs w:val="24"/>
        </w:rPr>
        <w:t xml:space="preserve"> (São Paulo, Brazil: </w:t>
      </w:r>
      <w:proofErr w:type="spellStart"/>
      <w:r w:rsidRPr="00487178">
        <w:rPr>
          <w:rFonts w:ascii="Arial" w:hAnsi="Arial" w:cs="Arial"/>
          <w:spacing w:val="-5"/>
          <w:sz w:val="24"/>
          <w:szCs w:val="24"/>
        </w:rPr>
        <w:t>Instituto</w:t>
      </w:r>
      <w:proofErr w:type="spellEnd"/>
      <w:r w:rsidRPr="00487178">
        <w:rPr>
          <w:rFonts w:ascii="Arial" w:hAnsi="Arial" w:cs="Arial"/>
          <w:spacing w:val="-5"/>
          <w:sz w:val="24"/>
          <w:szCs w:val="24"/>
        </w:rPr>
        <w:t xml:space="preserve"> Alana, 2016), accessed on June 8, 2017, </w:t>
      </w:r>
      <w:hyperlink r:id="rId25" w:history="1">
        <w:r w:rsidRPr="00487178">
          <w:rPr>
            <w:rStyle w:val="Hyperlink"/>
            <w:rFonts w:ascii="Arial" w:hAnsi="Arial" w:cs="Arial"/>
            <w:color w:val="0000FF"/>
            <w:spacing w:val="-5"/>
            <w:sz w:val="24"/>
            <w:szCs w:val="24"/>
          </w:rPr>
          <w:t>https://www.researchgate.net/</w:t>
        </w:r>
        <w:r w:rsidRPr="00487178">
          <w:rPr>
            <w:rStyle w:val="Hyperlink"/>
            <w:rFonts w:ascii="Arial" w:hAnsi="Arial" w:cs="Arial"/>
            <w:color w:val="0000FF"/>
            <w:spacing w:val="-5"/>
            <w:sz w:val="24"/>
            <w:szCs w:val="24"/>
          </w:rPr>
          <w:br/>
          <w:t>publication/312084483_A_Summary_of_the_Research_Evidence_on_Inclusive_Education</w:t>
        </w:r>
      </w:hyperlink>
      <w:r w:rsidRPr="00487178">
        <w:rPr>
          <w:rFonts w:ascii="Arial" w:hAnsi="Arial" w:cs="Arial"/>
          <w:spacing w:val="-5"/>
          <w:sz w:val="24"/>
          <w:szCs w:val="24"/>
        </w:rPr>
        <w:t>.</w:t>
      </w:r>
    </w:p>
  </w:endnote>
  <w:endnote w:id="95">
    <w:p w14:paraId="4AD87291"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Edwin </w:t>
      </w:r>
      <w:proofErr w:type="spellStart"/>
      <w:r w:rsidRPr="001024F5">
        <w:rPr>
          <w:rFonts w:ascii="Arial" w:hAnsi="Arial" w:cs="Arial"/>
          <w:sz w:val="24"/>
          <w:szCs w:val="24"/>
        </w:rPr>
        <w:t>Helmstetter</w:t>
      </w:r>
      <w:proofErr w:type="spellEnd"/>
      <w:r w:rsidRPr="001024F5">
        <w:rPr>
          <w:rFonts w:ascii="Arial" w:hAnsi="Arial" w:cs="Arial"/>
          <w:sz w:val="24"/>
          <w:szCs w:val="24"/>
        </w:rPr>
        <w:t xml:space="preserve"> et al., “Comparison of General and Special Education Classrooms of Students with Severe Disabilities,” </w:t>
      </w:r>
      <w:r w:rsidRPr="001024F5">
        <w:rPr>
          <w:rFonts w:ascii="Arial" w:hAnsi="Arial" w:cs="Arial"/>
          <w:i/>
          <w:sz w:val="24"/>
          <w:szCs w:val="24"/>
        </w:rPr>
        <w:t xml:space="preserve">Education and Training in Mental Retardations and Developmental Disabilities </w:t>
      </w:r>
      <w:r w:rsidRPr="001024F5">
        <w:rPr>
          <w:rFonts w:ascii="Arial" w:hAnsi="Arial" w:cs="Arial"/>
          <w:sz w:val="24"/>
          <w:szCs w:val="24"/>
        </w:rPr>
        <w:t xml:space="preserve">33 (1988): 216–227; Pam Hunt et al., “Evaluating the Effects of Placement of Students with Severe Disabilities in General Education Versus Special Education Classes,” </w:t>
      </w:r>
      <w:r w:rsidRPr="001024F5">
        <w:rPr>
          <w:rFonts w:ascii="Arial" w:hAnsi="Arial" w:cs="Arial"/>
          <w:i/>
          <w:sz w:val="24"/>
          <w:szCs w:val="24"/>
        </w:rPr>
        <w:t xml:space="preserve">Journal of the Association for Persons with Severe Handicaps </w:t>
      </w:r>
      <w:r w:rsidRPr="001024F5">
        <w:rPr>
          <w:rFonts w:ascii="Arial" w:hAnsi="Arial" w:cs="Arial"/>
          <w:sz w:val="24"/>
          <w:szCs w:val="24"/>
        </w:rPr>
        <w:t>19, no. 3 (1988): 200–214.</w:t>
      </w:r>
    </w:p>
  </w:endnote>
  <w:endnote w:id="96">
    <w:p w14:paraId="6CAFFD17"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Mary D. Fisher and </w:t>
      </w:r>
      <w:proofErr w:type="spellStart"/>
      <w:r w:rsidRPr="001024F5">
        <w:rPr>
          <w:rFonts w:ascii="Arial" w:hAnsi="Arial" w:cs="Arial"/>
          <w:sz w:val="24"/>
          <w:szCs w:val="24"/>
        </w:rPr>
        <w:t>Luanna</w:t>
      </w:r>
      <w:proofErr w:type="spellEnd"/>
      <w:r w:rsidRPr="001024F5">
        <w:rPr>
          <w:rFonts w:ascii="Arial" w:hAnsi="Arial" w:cs="Arial"/>
          <w:sz w:val="24"/>
          <w:szCs w:val="24"/>
        </w:rPr>
        <w:t xml:space="preserve"> H. Meyer, “Development and Social Competence after Two Years for Students Enrolled in Inclusive and Self-Contained Educational Programs,” </w:t>
      </w:r>
      <w:r w:rsidRPr="001024F5">
        <w:rPr>
          <w:rFonts w:ascii="Arial" w:hAnsi="Arial" w:cs="Arial"/>
          <w:i/>
          <w:sz w:val="24"/>
          <w:szCs w:val="24"/>
        </w:rPr>
        <w:t>Research and Practice for Persons with Intellectual Disabilities</w:t>
      </w:r>
      <w:r w:rsidRPr="001024F5">
        <w:rPr>
          <w:rFonts w:ascii="Arial" w:hAnsi="Arial" w:cs="Arial"/>
          <w:sz w:val="24"/>
          <w:szCs w:val="24"/>
        </w:rPr>
        <w:t xml:space="preserve"> 27, no. 3 (2002): 165–174.</w:t>
      </w:r>
    </w:p>
  </w:endnote>
  <w:endnote w:id="97">
    <w:p w14:paraId="368D4215" w14:textId="77777777" w:rsidR="00304135" w:rsidRPr="001024F5" w:rsidRDefault="00304135" w:rsidP="001024F5">
      <w:pPr>
        <w:pStyle w:val="Heading4"/>
        <w:shd w:val="clear" w:color="auto" w:fill="FFFFFF"/>
        <w:spacing w:before="0" w:after="200" w:line="240" w:lineRule="auto"/>
        <w:rPr>
          <w:color w:val="auto"/>
        </w:rPr>
      </w:pPr>
      <w:r w:rsidRPr="001024F5">
        <w:rPr>
          <w:rStyle w:val="EndnoteReference"/>
          <w:color w:val="auto"/>
        </w:rPr>
        <w:endnoteRef/>
      </w:r>
      <w:r w:rsidRPr="001024F5">
        <w:rPr>
          <w:color w:val="auto"/>
        </w:rPr>
        <w:t xml:space="preserve"> </w:t>
      </w:r>
      <w:r w:rsidRPr="001024F5">
        <w:rPr>
          <w:bCs/>
          <w:color w:val="auto"/>
        </w:rPr>
        <w:t xml:space="preserve">Sue Buckley, Gillian Bird, Ben Sacks, and Tamsin Archer, </w:t>
      </w:r>
      <w:r w:rsidRPr="001024F5">
        <w:rPr>
          <w:color w:val="auto"/>
        </w:rPr>
        <w:t xml:space="preserve">“A Comparison of Mainstream and Special Education for Teenagers with Down Syndrome: Implications for Parents and Teachers,” </w:t>
      </w:r>
      <w:r w:rsidRPr="001024F5">
        <w:rPr>
          <w:i/>
          <w:color w:val="auto"/>
        </w:rPr>
        <w:t xml:space="preserve">Down Syndrome Research and Practice </w:t>
      </w:r>
      <w:r w:rsidRPr="001024F5">
        <w:rPr>
          <w:color w:val="auto"/>
        </w:rPr>
        <w:t xml:space="preserve">9, no. 3 (2006): 54–67; Diane L. </w:t>
      </w:r>
      <w:proofErr w:type="spellStart"/>
      <w:r w:rsidRPr="001024F5">
        <w:rPr>
          <w:color w:val="auto"/>
        </w:rPr>
        <w:t>Ryndak</w:t>
      </w:r>
      <w:proofErr w:type="spellEnd"/>
      <w:r w:rsidRPr="001024F5">
        <w:rPr>
          <w:color w:val="auto"/>
        </w:rPr>
        <w:t xml:space="preserve">, Andrea P. Morrison, and Lynne </w:t>
      </w:r>
      <w:proofErr w:type="spellStart"/>
      <w:r w:rsidRPr="001024F5">
        <w:rPr>
          <w:color w:val="auto"/>
        </w:rPr>
        <w:t>Sommerstein</w:t>
      </w:r>
      <w:proofErr w:type="spellEnd"/>
      <w:r w:rsidRPr="001024F5">
        <w:rPr>
          <w:color w:val="auto"/>
        </w:rPr>
        <w:t xml:space="preserve">, “Literacy Prior to and After Inclusion in General Education Settings,” </w:t>
      </w:r>
      <w:r w:rsidRPr="001024F5">
        <w:rPr>
          <w:i/>
          <w:iCs/>
          <w:color w:val="auto"/>
        </w:rPr>
        <w:t xml:space="preserve">Journal of the Association for Persons with Severe Handicaps </w:t>
      </w:r>
      <w:r w:rsidRPr="001024F5">
        <w:rPr>
          <w:iCs/>
          <w:color w:val="auto"/>
        </w:rPr>
        <w:t>24 (1999)</w:t>
      </w:r>
      <w:r w:rsidRPr="001024F5">
        <w:rPr>
          <w:color w:val="auto"/>
        </w:rPr>
        <w:t>: 5–22.</w:t>
      </w:r>
    </w:p>
  </w:endnote>
  <w:endnote w:id="98">
    <w:p w14:paraId="642CFAAA"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Michael </w:t>
      </w:r>
      <w:proofErr w:type="spellStart"/>
      <w:r w:rsidRPr="001024F5">
        <w:rPr>
          <w:rFonts w:ascii="Arial" w:hAnsi="Arial" w:cs="Arial"/>
          <w:sz w:val="24"/>
          <w:szCs w:val="24"/>
        </w:rPr>
        <w:t>Guralnick</w:t>
      </w:r>
      <w:proofErr w:type="spellEnd"/>
      <w:r w:rsidRPr="001024F5">
        <w:rPr>
          <w:rFonts w:ascii="Arial" w:hAnsi="Arial" w:cs="Arial"/>
          <w:sz w:val="24"/>
          <w:szCs w:val="24"/>
        </w:rPr>
        <w:t xml:space="preserve"> et al., “Immediate Effects of Mainstream Settings on the Social Interactions and Social Integration of Preschool Children,” </w:t>
      </w:r>
      <w:r w:rsidRPr="001024F5">
        <w:rPr>
          <w:rFonts w:ascii="Arial" w:hAnsi="Arial" w:cs="Arial"/>
          <w:i/>
          <w:sz w:val="24"/>
          <w:szCs w:val="24"/>
        </w:rPr>
        <w:t xml:space="preserve">American Journal on Mental Retardation </w:t>
      </w:r>
      <w:r w:rsidRPr="001024F5">
        <w:rPr>
          <w:rFonts w:ascii="Arial" w:hAnsi="Arial" w:cs="Arial"/>
          <w:sz w:val="24"/>
          <w:szCs w:val="24"/>
        </w:rPr>
        <w:t>100 (1996): 359–377.</w:t>
      </w:r>
    </w:p>
  </w:endnote>
  <w:endnote w:id="99">
    <w:p w14:paraId="2C994033"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Dale </w:t>
      </w:r>
      <w:proofErr w:type="spellStart"/>
      <w:r w:rsidRPr="001024F5">
        <w:rPr>
          <w:rFonts w:ascii="Arial" w:hAnsi="Arial" w:cs="Arial"/>
          <w:sz w:val="24"/>
          <w:szCs w:val="24"/>
        </w:rPr>
        <w:t>Fryxell</w:t>
      </w:r>
      <w:proofErr w:type="spellEnd"/>
      <w:r w:rsidRPr="001024F5">
        <w:rPr>
          <w:rFonts w:ascii="Arial" w:hAnsi="Arial" w:cs="Arial"/>
          <w:sz w:val="24"/>
          <w:szCs w:val="24"/>
        </w:rPr>
        <w:t xml:space="preserve"> and Craig H. Kennedy, “Placement Along the Continuum of Services and its Impact on Students’ Social Relationships,”</w:t>
      </w:r>
      <w:r w:rsidRPr="001024F5">
        <w:rPr>
          <w:rFonts w:ascii="Arial" w:hAnsi="Arial" w:cs="Arial"/>
          <w:i/>
          <w:sz w:val="24"/>
          <w:szCs w:val="24"/>
        </w:rPr>
        <w:t xml:space="preserve"> Journal of the Association for Persons with Severe Handicaps </w:t>
      </w:r>
      <w:r w:rsidRPr="001024F5">
        <w:rPr>
          <w:rFonts w:ascii="Arial" w:hAnsi="Arial" w:cs="Arial"/>
          <w:sz w:val="24"/>
          <w:szCs w:val="24"/>
        </w:rPr>
        <w:t xml:space="preserve">20, no. 4 (1995): 259–269; Diane L. </w:t>
      </w:r>
      <w:proofErr w:type="spellStart"/>
      <w:r w:rsidRPr="001024F5">
        <w:rPr>
          <w:rFonts w:ascii="Arial" w:hAnsi="Arial" w:cs="Arial"/>
          <w:sz w:val="24"/>
          <w:szCs w:val="24"/>
        </w:rPr>
        <w:t>Ryndak</w:t>
      </w:r>
      <w:proofErr w:type="spellEnd"/>
      <w:r w:rsidRPr="001024F5">
        <w:rPr>
          <w:rFonts w:ascii="Arial" w:hAnsi="Arial" w:cs="Arial"/>
          <w:sz w:val="24"/>
          <w:szCs w:val="24"/>
        </w:rPr>
        <w:t xml:space="preserve"> et al., “Long-Term Outcomes of Services for Two Persons with Significant Disabilities with Differing Educational Experiences: A Qualitative Consideration of the Impact of Educational Experiences,”</w:t>
      </w:r>
      <w:r w:rsidRPr="001024F5">
        <w:rPr>
          <w:rFonts w:ascii="Arial" w:hAnsi="Arial" w:cs="Arial"/>
          <w:i/>
          <w:iCs/>
          <w:sz w:val="24"/>
          <w:szCs w:val="24"/>
        </w:rPr>
        <w:t xml:space="preserve"> Education and Training in Autism and Developmental Disabilities </w:t>
      </w:r>
      <w:r w:rsidRPr="001024F5">
        <w:rPr>
          <w:rFonts w:ascii="Arial" w:hAnsi="Arial" w:cs="Arial"/>
          <w:iCs/>
          <w:sz w:val="24"/>
          <w:szCs w:val="24"/>
        </w:rPr>
        <w:t>45 (2010): 323–338</w:t>
      </w:r>
      <w:r w:rsidRPr="001024F5">
        <w:rPr>
          <w:rFonts w:ascii="Arial" w:hAnsi="Arial" w:cs="Arial"/>
          <w:i/>
          <w:iCs/>
          <w:sz w:val="24"/>
          <w:szCs w:val="24"/>
        </w:rPr>
        <w:t>.</w:t>
      </w:r>
    </w:p>
  </w:endnote>
  <w:endnote w:id="100">
    <w:p w14:paraId="0E40A259"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lang w:val="fr-FR"/>
        </w:rPr>
        <w:t xml:space="preserve"> Buckley et al. (2006); </w:t>
      </w:r>
      <w:proofErr w:type="spellStart"/>
      <w:r w:rsidRPr="001024F5">
        <w:rPr>
          <w:rFonts w:ascii="Arial" w:hAnsi="Arial" w:cs="Arial"/>
          <w:sz w:val="24"/>
          <w:szCs w:val="24"/>
          <w:lang w:val="fr-FR"/>
        </w:rPr>
        <w:t>Helmstetter</w:t>
      </w:r>
      <w:proofErr w:type="spellEnd"/>
      <w:r w:rsidRPr="001024F5">
        <w:rPr>
          <w:rFonts w:ascii="Arial" w:hAnsi="Arial" w:cs="Arial"/>
          <w:sz w:val="24"/>
          <w:szCs w:val="24"/>
          <w:lang w:val="fr-FR"/>
        </w:rPr>
        <w:t xml:space="preserve"> et al. </w:t>
      </w:r>
      <w:proofErr w:type="gramStart"/>
      <w:r w:rsidRPr="001024F5">
        <w:rPr>
          <w:rFonts w:ascii="Arial" w:hAnsi="Arial" w:cs="Arial"/>
          <w:sz w:val="24"/>
          <w:szCs w:val="24"/>
        </w:rPr>
        <w:t xml:space="preserve">(1998); </w:t>
      </w:r>
      <w:proofErr w:type="spellStart"/>
      <w:r w:rsidRPr="001024F5">
        <w:rPr>
          <w:rFonts w:ascii="Arial" w:hAnsi="Arial" w:cs="Arial"/>
          <w:sz w:val="24"/>
          <w:szCs w:val="24"/>
        </w:rPr>
        <w:t>Ryndak</w:t>
      </w:r>
      <w:proofErr w:type="spellEnd"/>
      <w:r w:rsidRPr="001024F5">
        <w:rPr>
          <w:rFonts w:ascii="Arial" w:hAnsi="Arial" w:cs="Arial"/>
          <w:sz w:val="24"/>
          <w:szCs w:val="24"/>
        </w:rPr>
        <w:t xml:space="preserve"> et al. (1999).</w:t>
      </w:r>
      <w:proofErr w:type="gramEnd"/>
    </w:p>
  </w:endnote>
  <w:endnote w:id="101">
    <w:p w14:paraId="60A0DE30"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Gail McGregor and R. </w:t>
      </w:r>
      <w:proofErr w:type="spellStart"/>
      <w:r w:rsidRPr="001024F5">
        <w:rPr>
          <w:rFonts w:ascii="Arial" w:hAnsi="Arial" w:cs="Arial"/>
          <w:sz w:val="24"/>
          <w:szCs w:val="24"/>
        </w:rPr>
        <w:t>Timm</w:t>
      </w:r>
      <w:proofErr w:type="spellEnd"/>
      <w:r w:rsidRPr="001024F5">
        <w:rPr>
          <w:rFonts w:ascii="Arial" w:hAnsi="Arial" w:cs="Arial"/>
          <w:sz w:val="24"/>
          <w:szCs w:val="24"/>
        </w:rPr>
        <w:t xml:space="preserve"> </w:t>
      </w:r>
      <w:proofErr w:type="spellStart"/>
      <w:r w:rsidRPr="001024F5">
        <w:rPr>
          <w:rFonts w:ascii="Arial" w:hAnsi="Arial" w:cs="Arial"/>
          <w:sz w:val="24"/>
          <w:szCs w:val="24"/>
        </w:rPr>
        <w:t>Vogelsberg</w:t>
      </w:r>
      <w:proofErr w:type="spellEnd"/>
      <w:r w:rsidRPr="001024F5">
        <w:rPr>
          <w:rFonts w:ascii="Arial" w:hAnsi="Arial" w:cs="Arial"/>
          <w:sz w:val="24"/>
          <w:szCs w:val="24"/>
        </w:rPr>
        <w:t xml:space="preserve">, </w:t>
      </w:r>
      <w:r w:rsidRPr="001024F5">
        <w:rPr>
          <w:rFonts w:ascii="Arial" w:hAnsi="Arial" w:cs="Arial"/>
          <w:i/>
          <w:sz w:val="24"/>
          <w:szCs w:val="24"/>
        </w:rPr>
        <w:t>Inclusive Schooling Practices: Pedagogical and Research Foundations: A Synthesis of the Literature that Informs Best Practices about Inclusive Schooling</w:t>
      </w:r>
      <w:r w:rsidRPr="001024F5">
        <w:rPr>
          <w:rFonts w:ascii="Arial" w:hAnsi="Arial" w:cs="Arial"/>
          <w:sz w:val="24"/>
          <w:szCs w:val="24"/>
        </w:rPr>
        <w:t xml:space="preserve"> (Missoula, MT: University of Montana, Rural Institute on Disabilities, 1998), 5–6; </w:t>
      </w:r>
      <w:proofErr w:type="spellStart"/>
      <w:r w:rsidRPr="001024F5">
        <w:rPr>
          <w:rFonts w:ascii="Arial" w:hAnsi="Arial" w:cs="Arial"/>
          <w:sz w:val="24"/>
          <w:szCs w:val="24"/>
        </w:rPr>
        <w:t>Ryndak</w:t>
      </w:r>
      <w:proofErr w:type="spellEnd"/>
      <w:r w:rsidRPr="001024F5">
        <w:rPr>
          <w:rFonts w:ascii="Arial" w:hAnsi="Arial" w:cs="Arial"/>
          <w:sz w:val="24"/>
          <w:szCs w:val="24"/>
        </w:rPr>
        <w:t xml:space="preserve"> et al. (2010).</w:t>
      </w:r>
    </w:p>
  </w:endnote>
  <w:endnote w:id="102">
    <w:p w14:paraId="1678B793" w14:textId="77777777" w:rsidR="00304135" w:rsidRPr="001024F5" w:rsidRDefault="00304135" w:rsidP="001024F5">
      <w:pPr>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Mary Wagner et al., “The Academic Achievement and Functional Performance of Youth with Disabilities,” in </w:t>
      </w:r>
      <w:proofErr w:type="gramStart"/>
      <w:r w:rsidRPr="001024F5">
        <w:rPr>
          <w:rFonts w:ascii="Arial" w:hAnsi="Arial" w:cs="Arial"/>
          <w:i/>
          <w:sz w:val="24"/>
          <w:szCs w:val="24"/>
        </w:rPr>
        <w:t>A</w:t>
      </w:r>
      <w:proofErr w:type="gramEnd"/>
      <w:r w:rsidRPr="001024F5">
        <w:rPr>
          <w:rFonts w:ascii="Arial" w:hAnsi="Arial" w:cs="Arial"/>
          <w:i/>
          <w:sz w:val="24"/>
          <w:szCs w:val="24"/>
        </w:rPr>
        <w:t xml:space="preserve"> Report of Findings from the National Longitudinal Transition Study-2 (NLTS2)</w:t>
      </w:r>
      <w:r w:rsidRPr="001024F5">
        <w:rPr>
          <w:rFonts w:ascii="Arial" w:hAnsi="Arial" w:cs="Arial"/>
          <w:sz w:val="24"/>
          <w:szCs w:val="24"/>
        </w:rPr>
        <w:t xml:space="preserve"> (Menlo Park, CA: SRI International, 2006).</w:t>
      </w:r>
    </w:p>
  </w:endnote>
  <w:endnote w:id="103">
    <w:p w14:paraId="3027379A"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Christopher </w:t>
      </w:r>
      <w:proofErr w:type="spellStart"/>
      <w:r w:rsidRPr="001024F5">
        <w:rPr>
          <w:rFonts w:ascii="Arial" w:hAnsi="Arial" w:cs="Arial"/>
          <w:sz w:val="24"/>
          <w:szCs w:val="24"/>
        </w:rPr>
        <w:t>Kliewer</w:t>
      </w:r>
      <w:proofErr w:type="spellEnd"/>
      <w:r w:rsidRPr="001024F5">
        <w:rPr>
          <w:rFonts w:ascii="Arial" w:hAnsi="Arial" w:cs="Arial"/>
          <w:sz w:val="24"/>
          <w:szCs w:val="24"/>
        </w:rPr>
        <w:t xml:space="preserve"> and Douglas </w:t>
      </w:r>
      <w:proofErr w:type="spellStart"/>
      <w:r w:rsidRPr="001024F5">
        <w:rPr>
          <w:rFonts w:ascii="Arial" w:hAnsi="Arial" w:cs="Arial"/>
          <w:sz w:val="24"/>
          <w:szCs w:val="24"/>
        </w:rPr>
        <w:t>Biklen</w:t>
      </w:r>
      <w:proofErr w:type="spellEnd"/>
      <w:r w:rsidRPr="001024F5">
        <w:rPr>
          <w:rFonts w:ascii="Arial" w:hAnsi="Arial" w:cs="Arial"/>
          <w:sz w:val="24"/>
          <w:szCs w:val="24"/>
        </w:rPr>
        <w:t>, “School’s Not Really a Place for Reading: A Research Synthesis of the Literate Lives of Students with Severe Disabilities,</w:t>
      </w:r>
      <w:r w:rsidRPr="001024F5">
        <w:rPr>
          <w:rFonts w:ascii="Arial" w:hAnsi="Arial" w:cs="Arial"/>
          <w:iCs/>
          <w:sz w:val="24"/>
          <w:szCs w:val="24"/>
        </w:rPr>
        <w:t>”</w:t>
      </w:r>
      <w:r w:rsidRPr="001024F5">
        <w:rPr>
          <w:rFonts w:ascii="Arial" w:hAnsi="Arial" w:cs="Arial"/>
          <w:i/>
          <w:iCs/>
          <w:sz w:val="24"/>
          <w:szCs w:val="24"/>
        </w:rPr>
        <w:t xml:space="preserve"> Journal of the Association for Persons with Severe Handicaps </w:t>
      </w:r>
      <w:r w:rsidRPr="001024F5">
        <w:rPr>
          <w:rFonts w:ascii="Arial" w:hAnsi="Arial" w:cs="Arial"/>
          <w:iCs/>
          <w:sz w:val="24"/>
          <w:szCs w:val="24"/>
        </w:rPr>
        <w:t>26 (2001)</w:t>
      </w:r>
      <w:r w:rsidRPr="001024F5">
        <w:rPr>
          <w:rFonts w:ascii="Arial" w:hAnsi="Arial" w:cs="Arial"/>
          <w:sz w:val="24"/>
          <w:szCs w:val="24"/>
        </w:rPr>
        <w:t>: 1–12.</w:t>
      </w:r>
    </w:p>
  </w:endnote>
  <w:endnote w:id="104">
    <w:p w14:paraId="6B8CE76F"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Hehir et al. (2016).</w:t>
      </w:r>
      <w:proofErr w:type="gramEnd"/>
    </w:p>
  </w:endnote>
  <w:endnote w:id="105">
    <w:p w14:paraId="17977B06" w14:textId="77777777" w:rsidR="00304135" w:rsidRPr="001024F5" w:rsidRDefault="00304135" w:rsidP="001024F5">
      <w:pPr>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Nancy Waldron, Cassandra M. Cole, and </w:t>
      </w:r>
      <w:proofErr w:type="spellStart"/>
      <w:r w:rsidRPr="001024F5">
        <w:rPr>
          <w:rFonts w:ascii="Arial" w:hAnsi="Arial" w:cs="Arial"/>
          <w:sz w:val="24"/>
          <w:szCs w:val="24"/>
        </w:rPr>
        <w:t>Massoumeh</w:t>
      </w:r>
      <w:proofErr w:type="spellEnd"/>
      <w:r w:rsidRPr="001024F5">
        <w:rPr>
          <w:rFonts w:ascii="Arial" w:hAnsi="Arial" w:cs="Arial"/>
          <w:sz w:val="24"/>
          <w:szCs w:val="24"/>
        </w:rPr>
        <w:t xml:space="preserve"> </w:t>
      </w:r>
      <w:proofErr w:type="spellStart"/>
      <w:r w:rsidRPr="001024F5">
        <w:rPr>
          <w:rFonts w:ascii="Arial" w:hAnsi="Arial" w:cs="Arial"/>
          <w:sz w:val="24"/>
          <w:szCs w:val="24"/>
        </w:rPr>
        <w:t>Majd</w:t>
      </w:r>
      <w:proofErr w:type="spellEnd"/>
      <w:r w:rsidRPr="001024F5">
        <w:rPr>
          <w:rFonts w:ascii="Arial" w:hAnsi="Arial" w:cs="Arial"/>
          <w:sz w:val="24"/>
          <w:szCs w:val="24"/>
        </w:rPr>
        <w:t xml:space="preserve">, </w:t>
      </w:r>
      <w:proofErr w:type="gramStart"/>
      <w:r w:rsidRPr="001024F5">
        <w:rPr>
          <w:rFonts w:ascii="Arial" w:hAnsi="Arial" w:cs="Arial"/>
          <w:i/>
          <w:sz w:val="24"/>
          <w:szCs w:val="24"/>
        </w:rPr>
        <w:t>The</w:t>
      </w:r>
      <w:proofErr w:type="gramEnd"/>
      <w:r w:rsidRPr="001024F5">
        <w:rPr>
          <w:rFonts w:ascii="Arial" w:hAnsi="Arial" w:cs="Arial"/>
          <w:i/>
          <w:sz w:val="24"/>
          <w:szCs w:val="24"/>
        </w:rPr>
        <w:t xml:space="preserve"> Academic Progress of Students Across Inclusive and Traditional Settings: A Two Year Indiana Inclusion Study</w:t>
      </w:r>
      <w:r w:rsidRPr="001024F5">
        <w:rPr>
          <w:rFonts w:ascii="Arial" w:hAnsi="Arial" w:cs="Arial"/>
          <w:sz w:val="24"/>
          <w:szCs w:val="24"/>
        </w:rPr>
        <w:t xml:space="preserve"> (Bloomington, IN: Indiana Institute on Disability &amp; Community, 2001).</w:t>
      </w:r>
    </w:p>
  </w:endnote>
  <w:endnote w:id="106">
    <w:p w14:paraId="295745A9"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Tia M. </w:t>
      </w:r>
      <w:proofErr w:type="spellStart"/>
      <w:r w:rsidRPr="001024F5">
        <w:rPr>
          <w:rFonts w:ascii="Arial" w:hAnsi="Arial" w:cs="Arial"/>
          <w:sz w:val="24"/>
          <w:szCs w:val="24"/>
        </w:rPr>
        <w:t>Hollowood</w:t>
      </w:r>
      <w:proofErr w:type="spellEnd"/>
      <w:r w:rsidRPr="001024F5">
        <w:rPr>
          <w:rFonts w:ascii="Arial" w:hAnsi="Arial" w:cs="Arial"/>
          <w:sz w:val="24"/>
          <w:szCs w:val="24"/>
        </w:rPr>
        <w:t xml:space="preserve"> et al., “Use of Instructional Time in Serving Students with and without Disabilities,” </w:t>
      </w:r>
      <w:r w:rsidRPr="001024F5">
        <w:rPr>
          <w:rFonts w:ascii="Arial" w:hAnsi="Arial" w:cs="Arial"/>
          <w:i/>
          <w:sz w:val="24"/>
          <w:szCs w:val="24"/>
        </w:rPr>
        <w:t>Exceptional Children</w:t>
      </w:r>
      <w:r w:rsidRPr="001024F5">
        <w:rPr>
          <w:rFonts w:ascii="Arial" w:hAnsi="Arial" w:cs="Arial"/>
          <w:sz w:val="24"/>
          <w:szCs w:val="24"/>
        </w:rPr>
        <w:t xml:space="preserve"> 61 (1995): 242–253; Gail McGregor and R. </w:t>
      </w:r>
      <w:proofErr w:type="spellStart"/>
      <w:r w:rsidRPr="001024F5">
        <w:rPr>
          <w:rFonts w:ascii="Arial" w:hAnsi="Arial" w:cs="Arial"/>
          <w:sz w:val="24"/>
          <w:szCs w:val="24"/>
        </w:rPr>
        <w:t>Timm</w:t>
      </w:r>
      <w:proofErr w:type="spellEnd"/>
      <w:r w:rsidRPr="001024F5">
        <w:rPr>
          <w:rFonts w:ascii="Arial" w:hAnsi="Arial" w:cs="Arial"/>
          <w:sz w:val="24"/>
          <w:szCs w:val="24"/>
        </w:rPr>
        <w:t xml:space="preserve"> </w:t>
      </w:r>
      <w:proofErr w:type="spellStart"/>
      <w:r w:rsidRPr="001024F5">
        <w:rPr>
          <w:rFonts w:ascii="Arial" w:hAnsi="Arial" w:cs="Arial"/>
          <w:sz w:val="24"/>
          <w:szCs w:val="24"/>
        </w:rPr>
        <w:t>Vogelsberg</w:t>
      </w:r>
      <w:proofErr w:type="spellEnd"/>
      <w:r w:rsidRPr="001024F5">
        <w:rPr>
          <w:rFonts w:ascii="Arial" w:hAnsi="Arial" w:cs="Arial"/>
          <w:sz w:val="24"/>
          <w:szCs w:val="24"/>
        </w:rPr>
        <w:t xml:space="preserve">, </w:t>
      </w:r>
      <w:r w:rsidRPr="001024F5">
        <w:rPr>
          <w:rFonts w:ascii="Arial" w:hAnsi="Arial" w:cs="Arial"/>
          <w:i/>
          <w:sz w:val="24"/>
          <w:szCs w:val="24"/>
        </w:rPr>
        <w:t>Inclusive Schooling Practices: Pedagogical and Research Foundations: A Synthesis of the Literature that Informs Best Practices about Inclusive Schooling</w:t>
      </w:r>
      <w:r w:rsidRPr="001024F5">
        <w:rPr>
          <w:rFonts w:ascii="Arial" w:hAnsi="Arial" w:cs="Arial"/>
          <w:sz w:val="24"/>
          <w:szCs w:val="24"/>
        </w:rPr>
        <w:t xml:space="preserve"> (Missoula, MT: University of Montana, Rural Institute on Disabilities, 1998), 5–6.</w:t>
      </w:r>
    </w:p>
  </w:endnote>
  <w:endnote w:id="107">
    <w:p w14:paraId="14182BE1"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Hehir et al. (2016).</w:t>
      </w:r>
      <w:proofErr w:type="gramEnd"/>
    </w:p>
  </w:endnote>
  <w:endnote w:id="108">
    <w:p w14:paraId="7E581526"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 xml:space="preserve">Debbie </w:t>
      </w:r>
      <w:proofErr w:type="spellStart"/>
      <w:r w:rsidRPr="001024F5">
        <w:rPr>
          <w:rFonts w:ascii="Arial" w:hAnsi="Arial" w:cs="Arial"/>
          <w:sz w:val="24"/>
          <w:szCs w:val="24"/>
        </w:rPr>
        <w:t>Staub</w:t>
      </w:r>
      <w:proofErr w:type="spellEnd"/>
      <w:r w:rsidRPr="001024F5">
        <w:rPr>
          <w:rFonts w:ascii="Arial" w:hAnsi="Arial" w:cs="Arial"/>
          <w:sz w:val="24"/>
          <w:szCs w:val="24"/>
        </w:rPr>
        <w:t xml:space="preserve"> and Charles A. Peck, “What Are the Outcomes for Nondisabled Students?”</w:t>
      </w:r>
      <w:proofErr w:type="gramEnd"/>
      <w:r w:rsidRPr="001024F5">
        <w:rPr>
          <w:rFonts w:ascii="Arial" w:hAnsi="Arial" w:cs="Arial"/>
          <w:sz w:val="24"/>
          <w:szCs w:val="24"/>
        </w:rPr>
        <w:t xml:space="preserve"> </w:t>
      </w:r>
      <w:r w:rsidRPr="001024F5">
        <w:rPr>
          <w:rFonts w:ascii="Arial" w:hAnsi="Arial" w:cs="Arial"/>
          <w:i/>
          <w:sz w:val="24"/>
          <w:szCs w:val="24"/>
        </w:rPr>
        <w:t>Educational Leadership</w:t>
      </w:r>
      <w:r w:rsidRPr="001024F5">
        <w:rPr>
          <w:rFonts w:ascii="Arial" w:hAnsi="Arial" w:cs="Arial"/>
          <w:sz w:val="24"/>
          <w:szCs w:val="24"/>
        </w:rPr>
        <w:t xml:space="preserve"> 52, no. 4 (1995): 36–40.</w:t>
      </w:r>
    </w:p>
  </w:endnote>
  <w:endnote w:id="109">
    <w:p w14:paraId="14305EC6"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June E. Downing and Kathryn D. </w:t>
      </w:r>
      <w:proofErr w:type="spellStart"/>
      <w:r w:rsidRPr="001024F5">
        <w:rPr>
          <w:rFonts w:ascii="Arial" w:hAnsi="Arial" w:cs="Arial"/>
          <w:sz w:val="24"/>
          <w:szCs w:val="24"/>
        </w:rPr>
        <w:t>Peckham</w:t>
      </w:r>
      <w:proofErr w:type="spellEnd"/>
      <w:r w:rsidRPr="001024F5">
        <w:rPr>
          <w:rFonts w:ascii="Arial" w:hAnsi="Arial" w:cs="Arial"/>
          <w:sz w:val="24"/>
          <w:szCs w:val="24"/>
        </w:rPr>
        <w:t xml:space="preserve">-Hardin, “Inclusive Education: What </w:t>
      </w:r>
      <w:proofErr w:type="gramStart"/>
      <w:r w:rsidRPr="001024F5">
        <w:rPr>
          <w:rFonts w:ascii="Arial" w:hAnsi="Arial" w:cs="Arial"/>
          <w:sz w:val="24"/>
          <w:szCs w:val="24"/>
        </w:rPr>
        <w:t>Makes</w:t>
      </w:r>
      <w:proofErr w:type="gramEnd"/>
      <w:r w:rsidRPr="001024F5">
        <w:rPr>
          <w:rFonts w:ascii="Arial" w:hAnsi="Arial" w:cs="Arial"/>
          <w:sz w:val="24"/>
          <w:szCs w:val="24"/>
        </w:rPr>
        <w:t xml:space="preserve"> it a Good Education for Students with Moderate to Severe Disabilities?” </w:t>
      </w:r>
      <w:r w:rsidRPr="001024F5">
        <w:rPr>
          <w:rFonts w:ascii="Arial" w:hAnsi="Arial" w:cs="Arial"/>
          <w:i/>
          <w:sz w:val="24"/>
          <w:szCs w:val="24"/>
        </w:rPr>
        <w:t xml:space="preserve">Research to Practice for Persons with Severe Disabilities </w:t>
      </w:r>
      <w:r w:rsidRPr="001024F5">
        <w:rPr>
          <w:rFonts w:ascii="Arial" w:hAnsi="Arial" w:cs="Arial"/>
          <w:sz w:val="24"/>
          <w:szCs w:val="24"/>
        </w:rPr>
        <w:t>32, no. 1 (2007): 16–30.</w:t>
      </w:r>
    </w:p>
  </w:endnote>
  <w:endnote w:id="110">
    <w:p w14:paraId="1EB09119"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spellStart"/>
      <w:proofErr w:type="gramStart"/>
      <w:r w:rsidRPr="001024F5">
        <w:rPr>
          <w:rFonts w:ascii="Arial" w:hAnsi="Arial" w:cs="Arial"/>
          <w:sz w:val="24"/>
          <w:szCs w:val="24"/>
        </w:rPr>
        <w:t>Helmstetter</w:t>
      </w:r>
      <w:proofErr w:type="spellEnd"/>
      <w:r w:rsidRPr="001024F5">
        <w:rPr>
          <w:rFonts w:ascii="Arial" w:hAnsi="Arial" w:cs="Arial"/>
          <w:sz w:val="24"/>
          <w:szCs w:val="24"/>
        </w:rPr>
        <w:t xml:space="preserve"> et al. (1998).</w:t>
      </w:r>
      <w:proofErr w:type="gramEnd"/>
    </w:p>
  </w:endnote>
  <w:endnote w:id="111">
    <w:p w14:paraId="76BB2446"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Jane H. </w:t>
      </w:r>
      <w:proofErr w:type="spellStart"/>
      <w:r w:rsidRPr="001024F5">
        <w:rPr>
          <w:rFonts w:ascii="Arial" w:hAnsi="Arial" w:cs="Arial"/>
          <w:sz w:val="24"/>
          <w:szCs w:val="24"/>
        </w:rPr>
        <w:t>Soukup</w:t>
      </w:r>
      <w:proofErr w:type="spellEnd"/>
      <w:r w:rsidRPr="001024F5">
        <w:rPr>
          <w:rFonts w:ascii="Arial" w:hAnsi="Arial" w:cs="Arial"/>
          <w:sz w:val="24"/>
          <w:szCs w:val="24"/>
        </w:rPr>
        <w:t xml:space="preserve">, Michael L. </w:t>
      </w:r>
      <w:proofErr w:type="spellStart"/>
      <w:r w:rsidRPr="001024F5">
        <w:rPr>
          <w:rFonts w:ascii="Arial" w:hAnsi="Arial" w:cs="Arial"/>
          <w:sz w:val="24"/>
          <w:szCs w:val="24"/>
        </w:rPr>
        <w:t>Weymeyer</w:t>
      </w:r>
      <w:proofErr w:type="spellEnd"/>
      <w:r w:rsidRPr="001024F5">
        <w:rPr>
          <w:rFonts w:ascii="Arial" w:hAnsi="Arial" w:cs="Arial"/>
          <w:sz w:val="24"/>
          <w:szCs w:val="24"/>
        </w:rPr>
        <w:t xml:space="preserve">, Susan M. </w:t>
      </w:r>
      <w:proofErr w:type="spellStart"/>
      <w:r w:rsidRPr="001024F5">
        <w:rPr>
          <w:rFonts w:ascii="Arial" w:hAnsi="Arial" w:cs="Arial"/>
          <w:sz w:val="24"/>
          <w:szCs w:val="24"/>
        </w:rPr>
        <w:t>Bashinski</w:t>
      </w:r>
      <w:proofErr w:type="spellEnd"/>
      <w:r w:rsidRPr="001024F5">
        <w:rPr>
          <w:rFonts w:ascii="Arial" w:hAnsi="Arial" w:cs="Arial"/>
          <w:sz w:val="24"/>
          <w:szCs w:val="24"/>
        </w:rPr>
        <w:t xml:space="preserve">, and James A. </w:t>
      </w:r>
      <w:proofErr w:type="spellStart"/>
      <w:r w:rsidRPr="001024F5">
        <w:rPr>
          <w:rFonts w:ascii="Arial" w:hAnsi="Arial" w:cs="Arial"/>
          <w:sz w:val="24"/>
          <w:szCs w:val="24"/>
        </w:rPr>
        <w:t>Boyaird</w:t>
      </w:r>
      <w:proofErr w:type="spellEnd"/>
      <w:r w:rsidRPr="001024F5">
        <w:rPr>
          <w:rFonts w:ascii="Arial" w:hAnsi="Arial" w:cs="Arial"/>
          <w:sz w:val="24"/>
          <w:szCs w:val="24"/>
        </w:rPr>
        <w:t xml:space="preserve">, “Classroom Variables and Access to the General Curriculum for Students with Disabilities,” </w:t>
      </w:r>
      <w:r w:rsidRPr="001024F5">
        <w:rPr>
          <w:rFonts w:ascii="Arial" w:hAnsi="Arial" w:cs="Arial"/>
          <w:i/>
          <w:sz w:val="24"/>
          <w:szCs w:val="24"/>
        </w:rPr>
        <w:t>Exceptional Children</w:t>
      </w:r>
      <w:r w:rsidRPr="001024F5">
        <w:rPr>
          <w:rFonts w:ascii="Arial" w:hAnsi="Arial" w:cs="Arial"/>
          <w:sz w:val="24"/>
          <w:szCs w:val="24"/>
        </w:rPr>
        <w:t xml:space="preserve"> 75 (2007): 101–120.</w:t>
      </w:r>
    </w:p>
  </w:endnote>
  <w:endnote w:id="112">
    <w:p w14:paraId="046B9A7A"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Jennifer A. </w:t>
      </w:r>
      <w:proofErr w:type="spellStart"/>
      <w:r w:rsidRPr="001024F5">
        <w:rPr>
          <w:rFonts w:ascii="Arial" w:hAnsi="Arial" w:cs="Arial"/>
          <w:sz w:val="24"/>
          <w:szCs w:val="24"/>
        </w:rPr>
        <w:t>Kurth</w:t>
      </w:r>
      <w:proofErr w:type="spellEnd"/>
      <w:r w:rsidRPr="001024F5">
        <w:rPr>
          <w:rFonts w:ascii="Arial" w:hAnsi="Arial" w:cs="Arial"/>
          <w:sz w:val="24"/>
          <w:szCs w:val="24"/>
        </w:rPr>
        <w:t>, Kiara Born, and Hailey Love, “</w:t>
      </w:r>
      <w:proofErr w:type="spellStart"/>
      <w:r w:rsidRPr="001024F5">
        <w:rPr>
          <w:rFonts w:ascii="Arial" w:hAnsi="Arial" w:cs="Arial"/>
          <w:sz w:val="24"/>
          <w:szCs w:val="24"/>
        </w:rPr>
        <w:t>Ecobehavioral</w:t>
      </w:r>
      <w:proofErr w:type="spellEnd"/>
      <w:r w:rsidRPr="001024F5">
        <w:rPr>
          <w:rFonts w:ascii="Arial" w:hAnsi="Arial" w:cs="Arial"/>
          <w:sz w:val="24"/>
          <w:szCs w:val="24"/>
        </w:rPr>
        <w:t xml:space="preserve"> Characteristics of Self-Contained High School Classrooms for Students with Severe Cognitive Disability,” </w:t>
      </w:r>
      <w:r w:rsidRPr="001024F5">
        <w:rPr>
          <w:rFonts w:ascii="Arial" w:hAnsi="Arial" w:cs="Arial"/>
          <w:i/>
          <w:sz w:val="24"/>
          <w:szCs w:val="24"/>
        </w:rPr>
        <w:t xml:space="preserve">Research and Practice for Persons with Severe Disabilities </w:t>
      </w:r>
      <w:r w:rsidRPr="001024F5">
        <w:rPr>
          <w:rFonts w:ascii="Arial" w:hAnsi="Arial" w:cs="Arial"/>
          <w:sz w:val="24"/>
          <w:szCs w:val="24"/>
        </w:rPr>
        <w:t>41 (2016): 227–243.</w:t>
      </w:r>
    </w:p>
  </w:endnote>
  <w:endnote w:id="113">
    <w:p w14:paraId="2F11F657"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John McDonnell, Nadine Thorson, and Camille </w:t>
      </w:r>
      <w:proofErr w:type="spellStart"/>
      <w:r w:rsidRPr="001024F5">
        <w:rPr>
          <w:rFonts w:ascii="Arial" w:hAnsi="Arial" w:cs="Arial"/>
          <w:sz w:val="24"/>
          <w:szCs w:val="24"/>
        </w:rPr>
        <w:t>McQuivey</w:t>
      </w:r>
      <w:proofErr w:type="spellEnd"/>
      <w:r w:rsidRPr="001024F5">
        <w:rPr>
          <w:rFonts w:ascii="Arial" w:hAnsi="Arial" w:cs="Arial"/>
          <w:sz w:val="24"/>
          <w:szCs w:val="24"/>
        </w:rPr>
        <w:t>, “Comparison of the Instructional Contexts of Students with Severe Disabilities and their Peers in General Education Classes,</w:t>
      </w:r>
      <w:r w:rsidRPr="001024F5">
        <w:rPr>
          <w:rFonts w:ascii="Arial" w:hAnsi="Arial" w:cs="Arial"/>
          <w:iCs/>
          <w:sz w:val="24"/>
          <w:szCs w:val="24"/>
        </w:rPr>
        <w:t>”</w:t>
      </w:r>
      <w:r w:rsidRPr="001024F5">
        <w:rPr>
          <w:rFonts w:ascii="Arial" w:hAnsi="Arial" w:cs="Arial"/>
          <w:i/>
          <w:iCs/>
          <w:sz w:val="24"/>
          <w:szCs w:val="24"/>
        </w:rPr>
        <w:t xml:space="preserve"> Journal of the Association for Persons with Severe Handicaps </w:t>
      </w:r>
      <w:r w:rsidRPr="001024F5">
        <w:rPr>
          <w:rFonts w:ascii="Arial" w:hAnsi="Arial" w:cs="Arial"/>
          <w:iCs/>
          <w:sz w:val="24"/>
          <w:szCs w:val="24"/>
        </w:rPr>
        <w:t xml:space="preserve">25 (2000): </w:t>
      </w:r>
      <w:r w:rsidRPr="001024F5">
        <w:rPr>
          <w:rFonts w:ascii="Arial" w:hAnsi="Arial" w:cs="Arial"/>
          <w:sz w:val="24"/>
          <w:szCs w:val="24"/>
        </w:rPr>
        <w:t>54–58.</w:t>
      </w:r>
    </w:p>
  </w:endnote>
  <w:endnote w:id="114">
    <w:p w14:paraId="5F242E09" w14:textId="77777777"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Lori L. Nelson  and Mindy Johnson, “The Role of Technology in Implementing Universal Design for Learning,” in </w:t>
      </w:r>
      <w:r w:rsidRPr="001024F5">
        <w:rPr>
          <w:rFonts w:ascii="Arial" w:hAnsi="Arial" w:cs="Arial"/>
          <w:i/>
          <w:sz w:val="24"/>
          <w:szCs w:val="24"/>
        </w:rPr>
        <w:t>Handbook of Research-Based Practices for Educating Students with Intellectual Disability</w:t>
      </w:r>
      <w:r w:rsidRPr="001024F5">
        <w:rPr>
          <w:rFonts w:ascii="Arial" w:hAnsi="Arial" w:cs="Arial"/>
          <w:sz w:val="24"/>
          <w:szCs w:val="24"/>
        </w:rPr>
        <w:t xml:space="preserve">, ed. Michael L. </w:t>
      </w:r>
      <w:proofErr w:type="spellStart"/>
      <w:r w:rsidRPr="001024F5">
        <w:rPr>
          <w:rFonts w:ascii="Arial" w:hAnsi="Arial" w:cs="Arial"/>
          <w:sz w:val="24"/>
          <w:szCs w:val="24"/>
        </w:rPr>
        <w:t>Wehmeyer</w:t>
      </w:r>
      <w:proofErr w:type="spellEnd"/>
      <w:r w:rsidRPr="001024F5">
        <w:rPr>
          <w:rFonts w:ascii="Arial" w:hAnsi="Arial" w:cs="Arial"/>
          <w:sz w:val="24"/>
          <w:szCs w:val="24"/>
        </w:rPr>
        <w:t xml:space="preserve"> and Karrie A. </w:t>
      </w:r>
      <w:proofErr w:type="spellStart"/>
      <w:r w:rsidRPr="001024F5">
        <w:rPr>
          <w:rFonts w:ascii="Arial" w:hAnsi="Arial" w:cs="Arial"/>
          <w:sz w:val="24"/>
          <w:szCs w:val="24"/>
        </w:rPr>
        <w:t>Shogren</w:t>
      </w:r>
      <w:proofErr w:type="spellEnd"/>
      <w:r w:rsidRPr="001024F5">
        <w:rPr>
          <w:rFonts w:ascii="Arial" w:hAnsi="Arial" w:cs="Arial"/>
          <w:sz w:val="24"/>
          <w:szCs w:val="24"/>
        </w:rPr>
        <w:t xml:space="preserve"> (New York: Routledge, 2017), 217–234.</w:t>
      </w:r>
    </w:p>
  </w:endnote>
  <w:endnote w:id="115">
    <w:p w14:paraId="0A070596"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r w:rsidRPr="001024F5">
        <w:rPr>
          <w:rFonts w:ascii="Arial" w:hAnsi="Arial" w:cs="Arial"/>
          <w:sz w:val="24"/>
          <w:szCs w:val="24"/>
          <w:shd w:val="clear" w:color="auto" w:fill="FFFFFF"/>
        </w:rPr>
        <w:t xml:space="preserve"> Robert E. </w:t>
      </w:r>
      <w:proofErr w:type="spellStart"/>
      <w:r w:rsidRPr="001024F5">
        <w:rPr>
          <w:rFonts w:ascii="Arial" w:hAnsi="Arial" w:cs="Arial"/>
          <w:sz w:val="24"/>
          <w:szCs w:val="24"/>
        </w:rPr>
        <w:t>Slavin</w:t>
      </w:r>
      <w:proofErr w:type="spellEnd"/>
      <w:r w:rsidRPr="001024F5">
        <w:rPr>
          <w:rFonts w:ascii="Arial" w:hAnsi="Arial" w:cs="Arial"/>
          <w:sz w:val="24"/>
          <w:szCs w:val="24"/>
        </w:rPr>
        <w:t xml:space="preserve">, “Students Motivating Students to Excel: Cooperative Incentives, Cooperative Tasks, and Student Achievement,” </w:t>
      </w:r>
      <w:r w:rsidRPr="001024F5">
        <w:rPr>
          <w:rFonts w:ascii="Arial" w:hAnsi="Arial" w:cs="Arial"/>
          <w:i/>
          <w:sz w:val="24"/>
          <w:szCs w:val="24"/>
        </w:rPr>
        <w:t xml:space="preserve">The Elementary School Journal </w:t>
      </w:r>
      <w:r w:rsidRPr="001024F5">
        <w:rPr>
          <w:rFonts w:ascii="Arial" w:hAnsi="Arial" w:cs="Arial"/>
          <w:sz w:val="24"/>
          <w:szCs w:val="24"/>
        </w:rPr>
        <w:t>85 (1984): 53–63.</w:t>
      </w:r>
    </w:p>
  </w:endnote>
  <w:endnote w:id="116">
    <w:p w14:paraId="4A6DF7B3"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Susan R. Copeland and Joanna </w:t>
      </w:r>
      <w:proofErr w:type="spellStart"/>
      <w:r w:rsidRPr="001024F5">
        <w:rPr>
          <w:rFonts w:ascii="Arial" w:hAnsi="Arial" w:cs="Arial"/>
          <w:sz w:val="24"/>
          <w:szCs w:val="24"/>
        </w:rPr>
        <w:t>Cosbey</w:t>
      </w:r>
      <w:proofErr w:type="spellEnd"/>
      <w:r w:rsidRPr="001024F5">
        <w:rPr>
          <w:rFonts w:ascii="Arial" w:hAnsi="Arial" w:cs="Arial"/>
          <w:sz w:val="24"/>
          <w:szCs w:val="24"/>
        </w:rPr>
        <w:t xml:space="preserve">, “Making Progress in the General Curriculum: Rethinking Effective Instructional Practices,” </w:t>
      </w:r>
      <w:r w:rsidRPr="001024F5">
        <w:rPr>
          <w:rFonts w:ascii="Arial" w:hAnsi="Arial" w:cs="Arial"/>
          <w:i/>
          <w:sz w:val="24"/>
          <w:szCs w:val="24"/>
        </w:rPr>
        <w:t xml:space="preserve">Research and Practice for Persons with Severe Disabilities </w:t>
      </w:r>
      <w:r w:rsidRPr="001024F5">
        <w:rPr>
          <w:rFonts w:ascii="Arial" w:hAnsi="Arial" w:cs="Arial"/>
          <w:sz w:val="24"/>
          <w:szCs w:val="24"/>
        </w:rPr>
        <w:t>33–34, no. 4–1 (2008–2009): 214–227.</w:t>
      </w:r>
    </w:p>
  </w:endnote>
  <w:endnote w:id="117">
    <w:p w14:paraId="77C46E4F"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Julie </w:t>
      </w:r>
      <w:proofErr w:type="spellStart"/>
      <w:r w:rsidRPr="001024F5">
        <w:rPr>
          <w:rFonts w:ascii="Arial" w:hAnsi="Arial" w:cs="Arial"/>
          <w:sz w:val="24"/>
          <w:szCs w:val="24"/>
        </w:rPr>
        <w:t>Causton-Theoharis</w:t>
      </w:r>
      <w:proofErr w:type="spellEnd"/>
      <w:r w:rsidRPr="001024F5">
        <w:rPr>
          <w:rFonts w:ascii="Arial" w:hAnsi="Arial" w:cs="Arial"/>
          <w:sz w:val="24"/>
          <w:szCs w:val="24"/>
        </w:rPr>
        <w:t xml:space="preserve">, George </w:t>
      </w:r>
      <w:proofErr w:type="spellStart"/>
      <w:r w:rsidRPr="001024F5">
        <w:rPr>
          <w:rFonts w:ascii="Arial" w:hAnsi="Arial" w:cs="Arial"/>
          <w:sz w:val="24"/>
          <w:szCs w:val="24"/>
        </w:rPr>
        <w:t>Theoharis</w:t>
      </w:r>
      <w:proofErr w:type="spellEnd"/>
      <w:r w:rsidRPr="001024F5">
        <w:rPr>
          <w:rFonts w:ascii="Arial" w:hAnsi="Arial" w:cs="Arial"/>
          <w:sz w:val="24"/>
          <w:szCs w:val="24"/>
        </w:rPr>
        <w:t xml:space="preserve">, Fernanda </w:t>
      </w:r>
      <w:proofErr w:type="spellStart"/>
      <w:r w:rsidRPr="001024F5">
        <w:rPr>
          <w:rFonts w:ascii="Arial" w:hAnsi="Arial" w:cs="Arial"/>
          <w:sz w:val="24"/>
          <w:szCs w:val="24"/>
        </w:rPr>
        <w:t>Orsati</w:t>
      </w:r>
      <w:proofErr w:type="spellEnd"/>
      <w:r w:rsidRPr="001024F5">
        <w:rPr>
          <w:rFonts w:ascii="Arial" w:hAnsi="Arial" w:cs="Arial"/>
          <w:sz w:val="24"/>
          <w:szCs w:val="24"/>
        </w:rPr>
        <w:t xml:space="preserve">, and Meghan </w:t>
      </w:r>
      <w:proofErr w:type="spellStart"/>
      <w:r w:rsidRPr="001024F5">
        <w:rPr>
          <w:rFonts w:ascii="Arial" w:hAnsi="Arial" w:cs="Arial"/>
          <w:sz w:val="24"/>
          <w:szCs w:val="24"/>
        </w:rPr>
        <w:t>Cosier</w:t>
      </w:r>
      <w:proofErr w:type="spellEnd"/>
      <w:r w:rsidRPr="001024F5">
        <w:rPr>
          <w:rFonts w:ascii="Arial" w:hAnsi="Arial" w:cs="Arial"/>
          <w:sz w:val="24"/>
          <w:szCs w:val="24"/>
        </w:rPr>
        <w:t xml:space="preserve">, “Does Self-Contained Special Education Deliver on its Promises? A Critical Inquiry into Research and Practice,” </w:t>
      </w:r>
      <w:r w:rsidRPr="001024F5">
        <w:rPr>
          <w:rFonts w:ascii="Arial" w:hAnsi="Arial" w:cs="Arial"/>
          <w:i/>
          <w:sz w:val="24"/>
          <w:szCs w:val="24"/>
        </w:rPr>
        <w:t xml:space="preserve">Journal of Special Education Leadership </w:t>
      </w:r>
      <w:r w:rsidRPr="001024F5">
        <w:rPr>
          <w:rFonts w:ascii="Arial" w:hAnsi="Arial" w:cs="Arial"/>
          <w:sz w:val="24"/>
          <w:szCs w:val="24"/>
        </w:rPr>
        <w:t>24 (2011): 61–77.</w:t>
      </w:r>
    </w:p>
  </w:endnote>
  <w:endnote w:id="118">
    <w:p w14:paraId="400292C7" w14:textId="3A186A5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gramStart"/>
      <w:r w:rsidRPr="001024F5">
        <w:rPr>
          <w:rFonts w:ascii="Arial" w:hAnsi="Arial" w:cs="Arial"/>
          <w:sz w:val="24"/>
          <w:szCs w:val="24"/>
        </w:rPr>
        <w:t xml:space="preserve">Tracey E. Hall et al., </w:t>
      </w:r>
      <w:r w:rsidRPr="001024F5">
        <w:rPr>
          <w:rFonts w:ascii="Arial" w:hAnsi="Arial" w:cs="Arial"/>
          <w:i/>
          <w:iCs/>
          <w:sz w:val="24"/>
          <w:szCs w:val="24"/>
        </w:rPr>
        <w:t>Differentiated Instruction and Implications for UDL Implementation</w:t>
      </w:r>
      <w:r w:rsidRPr="001024F5">
        <w:rPr>
          <w:rFonts w:ascii="Arial" w:hAnsi="Arial" w:cs="Arial"/>
          <w:sz w:val="24"/>
          <w:szCs w:val="24"/>
        </w:rPr>
        <w:t xml:space="preserve"> (National Center on Accessing the General Curriculum, 2002), accessing October 25, 2017, </w:t>
      </w:r>
      <w:hyperlink r:id="rId26" w:tooltip="http://www.cast.org/udlcourse/DifferInstruct.doc" w:history="1">
        <w:r w:rsidRPr="00CE54D7">
          <w:rPr>
            <w:rStyle w:val="Hyperlink"/>
            <w:rFonts w:ascii="Arial" w:hAnsi="Arial" w:cs="Arial"/>
            <w:color w:val="0000FF"/>
            <w:sz w:val="24"/>
            <w:szCs w:val="24"/>
          </w:rPr>
          <w:t>www.cast.org/udlcourse/DifferInstruct.doc</w:t>
        </w:r>
      </w:hyperlink>
      <w:r w:rsidRPr="00CE54D7">
        <w:rPr>
          <w:rStyle w:val="Hyperlink"/>
          <w:rFonts w:ascii="Arial" w:hAnsi="Arial" w:cs="Arial"/>
          <w:color w:val="0000FF"/>
          <w:sz w:val="24"/>
          <w:szCs w:val="24"/>
        </w:rPr>
        <w:t>.</w:t>
      </w:r>
      <w:proofErr w:type="gramEnd"/>
    </w:p>
  </w:endnote>
  <w:endnote w:id="119">
    <w:p w14:paraId="3DC5A460"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Tracy A. Huebner, “What Research Says About Differentiated Learning,” </w:t>
      </w:r>
      <w:r w:rsidRPr="001024F5">
        <w:rPr>
          <w:rFonts w:ascii="Arial" w:hAnsi="Arial" w:cs="Arial"/>
          <w:i/>
          <w:sz w:val="24"/>
          <w:szCs w:val="24"/>
        </w:rPr>
        <w:t xml:space="preserve">Education Leadership </w:t>
      </w:r>
      <w:r w:rsidRPr="001024F5">
        <w:rPr>
          <w:rFonts w:ascii="Arial" w:hAnsi="Arial" w:cs="Arial"/>
          <w:sz w:val="24"/>
          <w:szCs w:val="24"/>
        </w:rPr>
        <w:t>67, no. 5 (2010): 79–81.</w:t>
      </w:r>
    </w:p>
  </w:endnote>
  <w:endnote w:id="120">
    <w:p w14:paraId="623FC6AC"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Traci</w:t>
      </w:r>
      <w:r w:rsidRPr="001024F5">
        <w:rPr>
          <w:rFonts w:ascii="Arial" w:hAnsi="Arial" w:cs="Arial"/>
          <w:sz w:val="24"/>
          <w:szCs w:val="24"/>
          <w:shd w:val="clear" w:color="auto" w:fill="FFFFFF"/>
        </w:rPr>
        <w:t xml:space="preserve"> Baumgartner, Mary Beth </w:t>
      </w:r>
      <w:proofErr w:type="spellStart"/>
      <w:r w:rsidRPr="001024F5">
        <w:rPr>
          <w:rFonts w:ascii="Arial" w:hAnsi="Arial" w:cs="Arial"/>
          <w:sz w:val="24"/>
          <w:szCs w:val="24"/>
          <w:shd w:val="clear" w:color="auto" w:fill="FFFFFF"/>
        </w:rPr>
        <w:t>Lipowski</w:t>
      </w:r>
      <w:proofErr w:type="spellEnd"/>
      <w:r w:rsidRPr="001024F5">
        <w:rPr>
          <w:rFonts w:ascii="Arial" w:hAnsi="Arial" w:cs="Arial"/>
          <w:sz w:val="24"/>
          <w:szCs w:val="24"/>
          <w:shd w:val="clear" w:color="auto" w:fill="FFFFFF"/>
        </w:rPr>
        <w:t xml:space="preserve">, and Christy Rush, </w:t>
      </w:r>
      <w:r w:rsidRPr="001024F5">
        <w:rPr>
          <w:rStyle w:val="apple-converted-space"/>
          <w:rFonts w:ascii="Arial" w:hAnsi="Arial" w:cs="Arial"/>
          <w:sz w:val="24"/>
          <w:szCs w:val="24"/>
          <w:shd w:val="clear" w:color="auto" w:fill="FFFFFF"/>
        </w:rPr>
        <w:t>“</w:t>
      </w:r>
      <w:r w:rsidRPr="001024F5">
        <w:rPr>
          <w:rFonts w:ascii="Arial" w:hAnsi="Arial" w:cs="Arial"/>
          <w:iCs/>
          <w:sz w:val="24"/>
          <w:szCs w:val="24"/>
          <w:bdr w:val="none" w:sz="0" w:space="0" w:color="auto" w:frame="1"/>
          <w:shd w:val="clear" w:color="auto" w:fill="FFFFFF"/>
        </w:rPr>
        <w:t xml:space="preserve">Increasing Reading Achievement of Primary and Middle School Students </w:t>
      </w:r>
      <w:proofErr w:type="gramStart"/>
      <w:r w:rsidRPr="001024F5">
        <w:rPr>
          <w:rFonts w:ascii="Arial" w:hAnsi="Arial" w:cs="Arial"/>
          <w:iCs/>
          <w:sz w:val="24"/>
          <w:szCs w:val="24"/>
          <w:bdr w:val="none" w:sz="0" w:space="0" w:color="auto" w:frame="1"/>
          <w:shd w:val="clear" w:color="auto" w:fill="FFFFFF"/>
        </w:rPr>
        <w:t>Through</w:t>
      </w:r>
      <w:proofErr w:type="gramEnd"/>
      <w:r w:rsidRPr="001024F5">
        <w:rPr>
          <w:rFonts w:ascii="Arial" w:hAnsi="Arial" w:cs="Arial"/>
          <w:iCs/>
          <w:sz w:val="24"/>
          <w:szCs w:val="24"/>
          <w:bdr w:val="none" w:sz="0" w:space="0" w:color="auto" w:frame="1"/>
          <w:shd w:val="clear" w:color="auto" w:fill="FFFFFF"/>
        </w:rPr>
        <w:t xml:space="preserve"> Differentiated Instruction</w:t>
      </w:r>
      <w:r w:rsidRPr="001024F5">
        <w:rPr>
          <w:rFonts w:ascii="Arial" w:hAnsi="Arial" w:cs="Arial"/>
          <w:i/>
          <w:iCs/>
          <w:sz w:val="24"/>
          <w:szCs w:val="24"/>
          <w:bdr w:val="none" w:sz="0" w:space="0" w:color="auto" w:frame="1"/>
          <w:shd w:val="clear" w:color="auto" w:fill="FFFFFF"/>
        </w:rPr>
        <w:t>”</w:t>
      </w:r>
      <w:r w:rsidRPr="001024F5">
        <w:rPr>
          <w:rStyle w:val="apple-converted-space"/>
          <w:rFonts w:ascii="Arial" w:hAnsi="Arial" w:cs="Arial"/>
          <w:sz w:val="24"/>
          <w:szCs w:val="24"/>
          <w:shd w:val="clear" w:color="auto" w:fill="FFFFFF"/>
        </w:rPr>
        <w:t> (m</w:t>
      </w:r>
      <w:r w:rsidRPr="001024F5">
        <w:rPr>
          <w:rFonts w:ascii="Arial" w:hAnsi="Arial" w:cs="Arial"/>
          <w:sz w:val="24"/>
          <w:szCs w:val="24"/>
          <w:shd w:val="clear" w:color="auto" w:fill="FFFFFF"/>
        </w:rPr>
        <w:t xml:space="preserve">aster’s research, available from Education Resources Information Center, ERIC No. </w:t>
      </w:r>
      <w:proofErr w:type="gramStart"/>
      <w:r w:rsidRPr="001024F5">
        <w:rPr>
          <w:rFonts w:ascii="Arial" w:hAnsi="Arial" w:cs="Arial"/>
          <w:sz w:val="24"/>
          <w:szCs w:val="24"/>
          <w:shd w:val="clear" w:color="auto" w:fill="FFFFFF"/>
        </w:rPr>
        <w:t>ED479203, 2003).</w:t>
      </w:r>
      <w:proofErr w:type="gramEnd"/>
    </w:p>
  </w:endnote>
  <w:endnote w:id="121">
    <w:p w14:paraId="43B59F7B" w14:textId="55B46EF6"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spellStart"/>
      <w:r w:rsidRPr="00AD1612">
        <w:rPr>
          <w:rStyle w:val="Heading3Char"/>
          <w:b w:val="0"/>
          <w:i w:val="0"/>
          <w:color w:val="auto"/>
        </w:rPr>
        <w:t>Fredda</w:t>
      </w:r>
      <w:proofErr w:type="spellEnd"/>
      <w:r w:rsidRPr="001024F5">
        <w:rPr>
          <w:rFonts w:ascii="Arial" w:hAnsi="Arial" w:cs="Arial"/>
          <w:sz w:val="24"/>
          <w:szCs w:val="24"/>
        </w:rPr>
        <w:t xml:space="preserve"> Brown,</w:t>
      </w:r>
      <w:r w:rsidRPr="001024F5">
        <w:rPr>
          <w:rStyle w:val="Heading3Char"/>
          <w:color w:val="auto"/>
        </w:rPr>
        <w:t xml:space="preserve"> </w:t>
      </w:r>
      <w:r w:rsidRPr="001024F5">
        <w:rPr>
          <w:rFonts w:ascii="Arial" w:hAnsi="Arial" w:cs="Arial"/>
          <w:sz w:val="24"/>
          <w:szCs w:val="24"/>
        </w:rPr>
        <w:t xml:space="preserve">Jackie L. Anderson, and Randall L. </w:t>
      </w:r>
      <w:proofErr w:type="spellStart"/>
      <w:r w:rsidRPr="001024F5">
        <w:rPr>
          <w:rFonts w:ascii="Arial" w:hAnsi="Arial" w:cs="Arial"/>
          <w:sz w:val="24"/>
          <w:szCs w:val="24"/>
        </w:rPr>
        <w:t>DePry</w:t>
      </w:r>
      <w:proofErr w:type="spellEnd"/>
      <w:r w:rsidRPr="001024F5">
        <w:rPr>
          <w:rFonts w:ascii="Arial" w:hAnsi="Arial" w:cs="Arial"/>
          <w:sz w:val="24"/>
          <w:szCs w:val="24"/>
        </w:rPr>
        <w:t xml:space="preserve">, </w:t>
      </w:r>
      <w:r w:rsidRPr="001024F5">
        <w:rPr>
          <w:rFonts w:ascii="Arial" w:hAnsi="Arial" w:cs="Arial"/>
          <w:i/>
          <w:sz w:val="24"/>
          <w:szCs w:val="24"/>
        </w:rPr>
        <w:t>Individual Positive Behavior Support: A Standards-Based Guide to Practices in School and Community-Based Settings</w:t>
      </w:r>
      <w:r w:rsidRPr="001024F5">
        <w:rPr>
          <w:rFonts w:ascii="Arial" w:hAnsi="Arial" w:cs="Arial"/>
          <w:sz w:val="24"/>
          <w:szCs w:val="24"/>
        </w:rPr>
        <w:t xml:space="preserve"> (Baltimore, MD: Paul H. Brookes, 2015); </w:t>
      </w:r>
    </w:p>
    <w:p w14:paraId="29B41A36" w14:textId="77777777" w:rsidR="00304135" w:rsidRPr="001024F5" w:rsidRDefault="00304135" w:rsidP="001024F5">
      <w:pPr>
        <w:pStyle w:val="NoSpacing"/>
        <w:spacing w:after="200"/>
        <w:rPr>
          <w:rFonts w:ascii="Arial" w:hAnsi="Arial" w:cs="Arial"/>
          <w:sz w:val="24"/>
          <w:szCs w:val="24"/>
        </w:rPr>
      </w:pPr>
      <w:r w:rsidRPr="001024F5">
        <w:rPr>
          <w:rFonts w:ascii="Arial" w:hAnsi="Arial" w:cs="Arial"/>
          <w:sz w:val="24"/>
          <w:szCs w:val="24"/>
        </w:rPr>
        <w:t xml:space="preserve">Robert Horner, George </w:t>
      </w:r>
      <w:proofErr w:type="spellStart"/>
      <w:r w:rsidRPr="001024F5">
        <w:rPr>
          <w:rFonts w:ascii="Arial" w:hAnsi="Arial" w:cs="Arial"/>
          <w:sz w:val="24"/>
          <w:szCs w:val="24"/>
        </w:rPr>
        <w:t>Sugai</w:t>
      </w:r>
      <w:proofErr w:type="spellEnd"/>
      <w:r w:rsidRPr="001024F5">
        <w:rPr>
          <w:rFonts w:ascii="Arial" w:hAnsi="Arial" w:cs="Arial"/>
          <w:sz w:val="24"/>
          <w:szCs w:val="24"/>
        </w:rPr>
        <w:t xml:space="preserve">, Keith </w:t>
      </w:r>
      <w:proofErr w:type="spellStart"/>
      <w:r w:rsidRPr="001024F5">
        <w:rPr>
          <w:rFonts w:ascii="Arial" w:hAnsi="Arial" w:cs="Arial"/>
          <w:sz w:val="24"/>
          <w:szCs w:val="24"/>
        </w:rPr>
        <w:t>Smolkowski</w:t>
      </w:r>
      <w:proofErr w:type="spellEnd"/>
      <w:r w:rsidRPr="001024F5">
        <w:rPr>
          <w:rFonts w:ascii="Arial" w:hAnsi="Arial" w:cs="Arial"/>
          <w:sz w:val="24"/>
          <w:szCs w:val="24"/>
        </w:rPr>
        <w:t xml:space="preserve">, Anne W. Todd, Jean </w:t>
      </w:r>
      <w:proofErr w:type="spellStart"/>
      <w:r w:rsidRPr="001024F5">
        <w:rPr>
          <w:rFonts w:ascii="Arial" w:hAnsi="Arial" w:cs="Arial"/>
          <w:sz w:val="24"/>
          <w:szCs w:val="24"/>
        </w:rPr>
        <w:t>Nakasato</w:t>
      </w:r>
      <w:proofErr w:type="spellEnd"/>
      <w:r w:rsidRPr="001024F5">
        <w:rPr>
          <w:rFonts w:ascii="Arial" w:hAnsi="Arial" w:cs="Arial"/>
          <w:sz w:val="24"/>
          <w:szCs w:val="24"/>
        </w:rPr>
        <w:t xml:space="preserve">, and Jody Esperanza, “A Randomized Control Trial of School-Wide Positive Behavior Support in Elementary Schools,” </w:t>
      </w:r>
      <w:r w:rsidRPr="001024F5">
        <w:rPr>
          <w:rFonts w:ascii="Arial" w:hAnsi="Arial" w:cs="Arial"/>
          <w:i/>
          <w:sz w:val="24"/>
          <w:szCs w:val="24"/>
        </w:rPr>
        <w:t xml:space="preserve">Journal of Positive Behavior Interventions </w:t>
      </w:r>
      <w:r w:rsidRPr="001024F5">
        <w:rPr>
          <w:rFonts w:ascii="Arial" w:hAnsi="Arial" w:cs="Arial"/>
          <w:sz w:val="24"/>
          <w:szCs w:val="24"/>
        </w:rPr>
        <w:t>11 (2009): 113–144.</w:t>
      </w:r>
    </w:p>
  </w:endnote>
  <w:endnote w:id="122">
    <w:p w14:paraId="7D5E4C00" w14:textId="157B72B3"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“Positive Behavior Interventions and Supports,” accessed October 25, 2017, </w:t>
      </w:r>
      <w:hyperlink r:id="rId27" w:tooltip="http://www.pbis.org/" w:history="1">
        <w:r w:rsidRPr="00CE54D7">
          <w:rPr>
            <w:rStyle w:val="Hyperlink"/>
            <w:rFonts w:ascii="Arial" w:hAnsi="Arial" w:cs="Arial"/>
            <w:color w:val="0000FF"/>
            <w:sz w:val="24"/>
            <w:szCs w:val="24"/>
          </w:rPr>
          <w:t>www.pbis.org</w:t>
        </w:r>
      </w:hyperlink>
      <w:r w:rsidRPr="00CE54D7">
        <w:rPr>
          <w:rStyle w:val="Hyperlink"/>
          <w:rFonts w:ascii="Arial" w:hAnsi="Arial" w:cs="Arial"/>
          <w:color w:val="0000FF"/>
          <w:sz w:val="24"/>
          <w:szCs w:val="24"/>
        </w:rPr>
        <w:t>.</w:t>
      </w:r>
    </w:p>
  </w:endnote>
  <w:endnote w:id="123">
    <w:p w14:paraId="259699A8" w14:textId="6BDF2B22" w:rsidR="00304135" w:rsidRPr="001024F5" w:rsidRDefault="00304135" w:rsidP="001024F5">
      <w:pPr>
        <w:pStyle w:val="EndnoteText"/>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Trevor </w:t>
      </w:r>
      <w:proofErr w:type="spellStart"/>
      <w:r w:rsidRPr="001024F5">
        <w:rPr>
          <w:rFonts w:ascii="Arial" w:hAnsi="Arial" w:cs="Arial"/>
          <w:sz w:val="24"/>
          <w:szCs w:val="24"/>
        </w:rPr>
        <w:t>Fronius</w:t>
      </w:r>
      <w:proofErr w:type="spellEnd"/>
      <w:r w:rsidRPr="001024F5">
        <w:rPr>
          <w:rFonts w:ascii="Arial" w:hAnsi="Arial" w:cs="Arial"/>
          <w:sz w:val="24"/>
          <w:szCs w:val="24"/>
        </w:rPr>
        <w:t xml:space="preserve">, Hannah </w:t>
      </w:r>
      <w:proofErr w:type="spellStart"/>
      <w:r w:rsidRPr="001024F5">
        <w:rPr>
          <w:rFonts w:ascii="Arial" w:hAnsi="Arial" w:cs="Arial"/>
          <w:sz w:val="24"/>
          <w:szCs w:val="24"/>
        </w:rPr>
        <w:t>Persson</w:t>
      </w:r>
      <w:proofErr w:type="spellEnd"/>
      <w:r w:rsidRPr="001024F5">
        <w:rPr>
          <w:rFonts w:ascii="Arial" w:hAnsi="Arial" w:cs="Arial"/>
          <w:sz w:val="24"/>
          <w:szCs w:val="24"/>
        </w:rPr>
        <w:t xml:space="preserve">, Sarah </w:t>
      </w:r>
      <w:proofErr w:type="spellStart"/>
      <w:r w:rsidRPr="001024F5">
        <w:rPr>
          <w:rFonts w:ascii="Arial" w:hAnsi="Arial" w:cs="Arial"/>
          <w:sz w:val="24"/>
          <w:szCs w:val="24"/>
        </w:rPr>
        <w:t>Guckenburg</w:t>
      </w:r>
      <w:proofErr w:type="spellEnd"/>
      <w:r w:rsidRPr="001024F5">
        <w:rPr>
          <w:rFonts w:ascii="Arial" w:hAnsi="Arial" w:cs="Arial"/>
          <w:sz w:val="24"/>
          <w:szCs w:val="24"/>
        </w:rPr>
        <w:t xml:space="preserve">, Nancy Hurley, and Anthony </w:t>
      </w:r>
      <w:proofErr w:type="spellStart"/>
      <w:r w:rsidRPr="001024F5">
        <w:rPr>
          <w:rFonts w:ascii="Arial" w:hAnsi="Arial" w:cs="Arial"/>
          <w:sz w:val="24"/>
          <w:szCs w:val="24"/>
        </w:rPr>
        <w:t>Petrosin</w:t>
      </w:r>
      <w:proofErr w:type="spellEnd"/>
      <w:r w:rsidRPr="001024F5">
        <w:rPr>
          <w:rFonts w:ascii="Arial" w:hAnsi="Arial" w:cs="Arial"/>
          <w:sz w:val="24"/>
          <w:szCs w:val="24"/>
        </w:rPr>
        <w:t xml:space="preserve">, </w:t>
      </w:r>
      <w:r w:rsidRPr="001024F5">
        <w:rPr>
          <w:rFonts w:ascii="Arial" w:hAnsi="Arial" w:cs="Arial"/>
          <w:i/>
          <w:sz w:val="24"/>
          <w:szCs w:val="24"/>
        </w:rPr>
        <w:t xml:space="preserve">Restorative Justice in US Schools:  A Research Review </w:t>
      </w:r>
      <w:r w:rsidRPr="001024F5">
        <w:rPr>
          <w:rFonts w:ascii="Arial" w:hAnsi="Arial" w:cs="Arial"/>
          <w:sz w:val="24"/>
          <w:szCs w:val="24"/>
        </w:rPr>
        <w:t xml:space="preserve">(San Francisco, CA: </w:t>
      </w:r>
      <w:proofErr w:type="spellStart"/>
      <w:r w:rsidRPr="001024F5">
        <w:rPr>
          <w:rFonts w:ascii="Arial" w:hAnsi="Arial" w:cs="Arial"/>
          <w:sz w:val="24"/>
          <w:szCs w:val="24"/>
        </w:rPr>
        <w:t>WestEd</w:t>
      </w:r>
      <w:proofErr w:type="spellEnd"/>
      <w:r w:rsidRPr="001024F5">
        <w:rPr>
          <w:rFonts w:ascii="Arial" w:hAnsi="Arial" w:cs="Arial"/>
          <w:sz w:val="24"/>
          <w:szCs w:val="24"/>
        </w:rPr>
        <w:t xml:space="preserve">, 2016), accessed October 25, 2017, </w:t>
      </w:r>
      <w:hyperlink r:id="rId28" w:tooltip="https://jprc.wested.org/wp-content/uploads/2016/02/RJ_Literature-Review_20160217.pdf" w:history="1">
        <w:r w:rsidRPr="00CE54D7">
          <w:rPr>
            <w:rStyle w:val="Hyperlink"/>
            <w:rFonts w:ascii="Arial" w:hAnsi="Arial" w:cs="Arial"/>
            <w:color w:val="0000FF"/>
            <w:sz w:val="24"/>
            <w:szCs w:val="24"/>
          </w:rPr>
          <w:t>https://jprc.wested.org/wp-content/uploads/2016/02/RJ_Literature-Review_20160217.pdf</w:t>
        </w:r>
      </w:hyperlink>
      <w:r w:rsidRPr="001024F5">
        <w:rPr>
          <w:rFonts w:ascii="Arial" w:hAnsi="Arial" w:cs="Arial"/>
          <w:sz w:val="24"/>
          <w:szCs w:val="24"/>
        </w:rPr>
        <w:t xml:space="preserve">. </w:t>
      </w:r>
    </w:p>
  </w:endnote>
  <w:endnote w:id="124">
    <w:p w14:paraId="1D918D09" w14:textId="371014A6"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Eric W. Carter, Lisa S. Cushing, </w:t>
      </w:r>
      <w:proofErr w:type="spellStart"/>
      <w:r w:rsidRPr="001024F5">
        <w:rPr>
          <w:rFonts w:ascii="Arial" w:hAnsi="Arial" w:cs="Arial"/>
          <w:sz w:val="24"/>
          <w:szCs w:val="24"/>
        </w:rPr>
        <w:t>Nitasha</w:t>
      </w:r>
      <w:proofErr w:type="spellEnd"/>
      <w:r w:rsidRPr="001024F5">
        <w:rPr>
          <w:rFonts w:ascii="Arial" w:hAnsi="Arial" w:cs="Arial"/>
          <w:sz w:val="24"/>
          <w:szCs w:val="24"/>
        </w:rPr>
        <w:t xml:space="preserve"> M. Clark, and Craig H. Kennedy, “Effects of Peer Support Interventions on Students’ Access to the General Curriculum and Social Interactions,” </w:t>
      </w:r>
      <w:r w:rsidRPr="001024F5">
        <w:rPr>
          <w:rFonts w:ascii="Arial" w:hAnsi="Arial" w:cs="Arial"/>
          <w:i/>
          <w:sz w:val="24"/>
          <w:szCs w:val="24"/>
        </w:rPr>
        <w:t>Research and Practice for Persons with Severe Disabilities</w:t>
      </w:r>
      <w:r w:rsidRPr="001024F5">
        <w:rPr>
          <w:rFonts w:ascii="Arial" w:hAnsi="Arial" w:cs="Arial"/>
          <w:sz w:val="24"/>
          <w:szCs w:val="24"/>
        </w:rPr>
        <w:t xml:space="preserve"> 30 (2005): </w:t>
      </w:r>
      <w:r>
        <w:rPr>
          <w:rFonts w:ascii="Arial" w:hAnsi="Arial" w:cs="Arial"/>
          <w:sz w:val="24"/>
          <w:szCs w:val="24"/>
        </w:rPr>
        <w:br/>
      </w:r>
      <w:r w:rsidRPr="001024F5">
        <w:rPr>
          <w:rFonts w:ascii="Arial" w:hAnsi="Arial" w:cs="Arial"/>
          <w:sz w:val="24"/>
          <w:szCs w:val="24"/>
        </w:rPr>
        <w:t xml:space="preserve">15–25. </w:t>
      </w:r>
    </w:p>
  </w:endnote>
  <w:endnote w:id="125">
    <w:p w14:paraId="73DC654A" w14:textId="0D402A19"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John McDonnell, Connie </w:t>
      </w:r>
      <w:proofErr w:type="spellStart"/>
      <w:r w:rsidRPr="001024F5">
        <w:rPr>
          <w:rFonts w:ascii="Arial" w:hAnsi="Arial" w:cs="Arial"/>
          <w:sz w:val="24"/>
          <w:szCs w:val="24"/>
        </w:rPr>
        <w:t>Mathot</w:t>
      </w:r>
      <w:proofErr w:type="spellEnd"/>
      <w:r w:rsidRPr="001024F5">
        <w:rPr>
          <w:rFonts w:ascii="Arial" w:hAnsi="Arial" w:cs="Arial"/>
          <w:sz w:val="24"/>
          <w:szCs w:val="24"/>
        </w:rPr>
        <w:t xml:space="preserve">-Buckner, Nadine Thorson, and Susan </w:t>
      </w:r>
      <w:proofErr w:type="spellStart"/>
      <w:r w:rsidRPr="001024F5">
        <w:rPr>
          <w:rFonts w:ascii="Arial" w:hAnsi="Arial" w:cs="Arial"/>
          <w:sz w:val="24"/>
          <w:szCs w:val="24"/>
        </w:rPr>
        <w:t>Fister</w:t>
      </w:r>
      <w:proofErr w:type="spellEnd"/>
      <w:r w:rsidRPr="001024F5">
        <w:rPr>
          <w:rFonts w:ascii="Arial" w:hAnsi="Arial" w:cs="Arial"/>
          <w:sz w:val="24"/>
          <w:szCs w:val="24"/>
        </w:rPr>
        <w:t xml:space="preserve">, “Supporting the Inclusion of Students with Moderate and Severe Disabilities in Junior High School General Education Classes: The Effects of </w:t>
      </w:r>
      <w:proofErr w:type="spellStart"/>
      <w:r w:rsidRPr="001024F5">
        <w:rPr>
          <w:rFonts w:ascii="Arial" w:hAnsi="Arial" w:cs="Arial"/>
          <w:sz w:val="24"/>
          <w:szCs w:val="24"/>
        </w:rPr>
        <w:t>Classwide</w:t>
      </w:r>
      <w:proofErr w:type="spellEnd"/>
      <w:r w:rsidRPr="001024F5">
        <w:rPr>
          <w:rFonts w:ascii="Arial" w:hAnsi="Arial" w:cs="Arial"/>
          <w:sz w:val="24"/>
          <w:szCs w:val="24"/>
        </w:rPr>
        <w:t xml:space="preserve"> Peer Tutoring, </w:t>
      </w:r>
      <w:r w:rsidR="00060012">
        <w:rPr>
          <w:rFonts w:ascii="Arial" w:hAnsi="Arial" w:cs="Arial"/>
          <w:sz w:val="24"/>
          <w:szCs w:val="24"/>
        </w:rPr>
        <w:br/>
      </w:r>
      <w:r w:rsidRPr="001024F5">
        <w:rPr>
          <w:rFonts w:ascii="Arial" w:hAnsi="Arial" w:cs="Arial"/>
          <w:sz w:val="24"/>
          <w:szCs w:val="24"/>
        </w:rPr>
        <w:t xml:space="preserve">Multi-Element Curriculum and Accommodations,” </w:t>
      </w:r>
      <w:r w:rsidRPr="001024F5">
        <w:rPr>
          <w:rFonts w:ascii="Arial" w:hAnsi="Arial" w:cs="Arial"/>
          <w:i/>
          <w:sz w:val="24"/>
          <w:szCs w:val="24"/>
        </w:rPr>
        <w:t xml:space="preserve">Education and Treatment of Children </w:t>
      </w:r>
      <w:r w:rsidRPr="001024F5">
        <w:rPr>
          <w:rFonts w:ascii="Arial" w:hAnsi="Arial" w:cs="Arial"/>
          <w:sz w:val="24"/>
          <w:szCs w:val="24"/>
        </w:rPr>
        <w:t>24 (2001): 141–160.</w:t>
      </w:r>
    </w:p>
  </w:endnote>
  <w:endnote w:id="126">
    <w:p w14:paraId="6926AB9C"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Kristen L. McMaster, Douglas Fuchs, and Lynn S. Fuchs, “Promises and Limitations of Peer-Assisted Learning Strategies in Reading,” </w:t>
      </w:r>
      <w:r w:rsidRPr="001024F5">
        <w:rPr>
          <w:rFonts w:ascii="Arial" w:hAnsi="Arial" w:cs="Arial"/>
          <w:i/>
          <w:sz w:val="24"/>
          <w:szCs w:val="24"/>
        </w:rPr>
        <w:t>Learning Disabilities: A Contemporary Journal</w:t>
      </w:r>
      <w:r w:rsidRPr="001024F5">
        <w:rPr>
          <w:rFonts w:ascii="Arial" w:hAnsi="Arial" w:cs="Arial"/>
          <w:sz w:val="24"/>
          <w:szCs w:val="24"/>
        </w:rPr>
        <w:t xml:space="preserve"> 5 (2007): 97–112.</w:t>
      </w:r>
    </w:p>
  </w:endnote>
  <w:endnote w:id="127">
    <w:p w14:paraId="0B9276E3" w14:textId="516DFDE5"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w:t>
      </w:r>
      <w:proofErr w:type="spellStart"/>
      <w:r w:rsidRPr="001024F5">
        <w:rPr>
          <w:rFonts w:ascii="Arial" w:hAnsi="Arial" w:cs="Arial"/>
          <w:sz w:val="24"/>
          <w:szCs w:val="24"/>
        </w:rPr>
        <w:t>Terese</w:t>
      </w:r>
      <w:proofErr w:type="spellEnd"/>
      <w:r w:rsidRPr="001024F5">
        <w:rPr>
          <w:rFonts w:ascii="Arial" w:hAnsi="Arial" w:cs="Arial"/>
          <w:sz w:val="24"/>
          <w:szCs w:val="24"/>
        </w:rPr>
        <w:t xml:space="preserve"> C. </w:t>
      </w:r>
      <w:proofErr w:type="spellStart"/>
      <w:r w:rsidRPr="001024F5">
        <w:rPr>
          <w:rFonts w:ascii="Arial" w:hAnsi="Arial" w:cs="Arial"/>
          <w:sz w:val="24"/>
          <w:szCs w:val="24"/>
        </w:rPr>
        <w:t>Aceves</w:t>
      </w:r>
      <w:proofErr w:type="spellEnd"/>
      <w:r w:rsidRPr="001024F5">
        <w:rPr>
          <w:rFonts w:ascii="Arial" w:hAnsi="Arial" w:cs="Arial"/>
          <w:sz w:val="24"/>
          <w:szCs w:val="24"/>
        </w:rPr>
        <w:t xml:space="preserve"> and Michael J. </w:t>
      </w:r>
      <w:proofErr w:type="spellStart"/>
      <w:r w:rsidRPr="001024F5">
        <w:rPr>
          <w:rFonts w:ascii="Arial" w:hAnsi="Arial" w:cs="Arial"/>
          <w:sz w:val="24"/>
          <w:szCs w:val="24"/>
        </w:rPr>
        <w:t>Orosco</w:t>
      </w:r>
      <w:proofErr w:type="spellEnd"/>
      <w:r w:rsidRPr="001024F5">
        <w:rPr>
          <w:rFonts w:ascii="Arial" w:hAnsi="Arial" w:cs="Arial"/>
          <w:sz w:val="24"/>
          <w:szCs w:val="24"/>
        </w:rPr>
        <w:t xml:space="preserve">, “Culturally Responsive Teaching,” </w:t>
      </w:r>
      <w:r w:rsidRPr="001024F5">
        <w:rPr>
          <w:rFonts w:ascii="Arial" w:hAnsi="Arial" w:cs="Arial"/>
          <w:i/>
          <w:sz w:val="24"/>
          <w:szCs w:val="24"/>
        </w:rPr>
        <w:t xml:space="preserve">Document No. IC-2 </w:t>
      </w:r>
      <w:r w:rsidRPr="001024F5">
        <w:rPr>
          <w:rFonts w:ascii="Arial" w:hAnsi="Arial" w:cs="Arial"/>
          <w:sz w:val="24"/>
          <w:szCs w:val="24"/>
        </w:rPr>
        <w:t>(2014</w:t>
      </w:r>
      <w:proofErr w:type="gramStart"/>
      <w:r w:rsidRPr="001024F5">
        <w:rPr>
          <w:rFonts w:ascii="Arial" w:hAnsi="Arial" w:cs="Arial"/>
          <w:sz w:val="24"/>
          <w:szCs w:val="24"/>
        </w:rPr>
        <w:t>)</w:t>
      </w:r>
      <w:r w:rsidRPr="001024F5">
        <w:rPr>
          <w:rFonts w:ascii="Arial" w:hAnsi="Arial" w:cs="Arial"/>
          <w:i/>
          <w:sz w:val="24"/>
          <w:szCs w:val="24"/>
        </w:rPr>
        <w:t>,</w:t>
      </w:r>
      <w:proofErr w:type="gramEnd"/>
      <w:r w:rsidRPr="001024F5">
        <w:rPr>
          <w:rFonts w:ascii="Arial" w:hAnsi="Arial" w:cs="Arial"/>
          <w:i/>
          <w:sz w:val="24"/>
          <w:szCs w:val="24"/>
        </w:rPr>
        <w:t xml:space="preserve"> </w:t>
      </w:r>
      <w:r w:rsidRPr="001024F5">
        <w:rPr>
          <w:rFonts w:ascii="Arial" w:hAnsi="Arial" w:cs="Arial"/>
          <w:sz w:val="24"/>
          <w:szCs w:val="24"/>
        </w:rPr>
        <w:t xml:space="preserve">accessed October 25, 2017, </w:t>
      </w:r>
      <w:hyperlink r:id="rId29" w:tooltip="http://ceedar.education.ufl.edu/tools/innovation-configurations/" w:history="1">
        <w:r w:rsidRPr="00CE54D7">
          <w:rPr>
            <w:rStyle w:val="Hyperlink"/>
            <w:rFonts w:ascii="Arial" w:hAnsi="Arial" w:cs="Arial"/>
            <w:color w:val="0000FF"/>
            <w:sz w:val="24"/>
            <w:szCs w:val="24"/>
          </w:rPr>
          <w:t>http://ceedar.education.ufl.edu/tools/innovation-configurations/</w:t>
        </w:r>
      </w:hyperlink>
      <w:r w:rsidRPr="00CE54D7">
        <w:rPr>
          <w:rStyle w:val="Hyperlink"/>
          <w:rFonts w:ascii="Arial" w:hAnsi="Arial" w:cs="Arial"/>
          <w:color w:val="0000FF"/>
          <w:sz w:val="24"/>
          <w:szCs w:val="24"/>
        </w:rPr>
        <w:t xml:space="preserve">. </w:t>
      </w:r>
    </w:p>
  </w:endnote>
  <w:endnote w:id="128">
    <w:p w14:paraId="0CE79592" w14:textId="77777777"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Karrie A. </w:t>
      </w:r>
      <w:proofErr w:type="spellStart"/>
      <w:r w:rsidRPr="001024F5">
        <w:rPr>
          <w:rFonts w:ascii="Arial" w:hAnsi="Arial" w:cs="Arial"/>
          <w:sz w:val="24"/>
          <w:szCs w:val="24"/>
        </w:rPr>
        <w:t>Shogren</w:t>
      </w:r>
      <w:proofErr w:type="spellEnd"/>
      <w:r w:rsidRPr="001024F5">
        <w:rPr>
          <w:rFonts w:ascii="Arial" w:hAnsi="Arial" w:cs="Arial"/>
          <w:sz w:val="24"/>
          <w:szCs w:val="24"/>
        </w:rPr>
        <w:t xml:space="preserve">, Michael L. </w:t>
      </w:r>
      <w:proofErr w:type="spellStart"/>
      <w:r w:rsidRPr="001024F5">
        <w:rPr>
          <w:rFonts w:ascii="Arial" w:hAnsi="Arial" w:cs="Arial"/>
          <w:sz w:val="24"/>
          <w:szCs w:val="24"/>
        </w:rPr>
        <w:t>Wehmeyer</w:t>
      </w:r>
      <w:proofErr w:type="spellEnd"/>
      <w:r w:rsidRPr="001024F5">
        <w:rPr>
          <w:rFonts w:ascii="Arial" w:hAnsi="Arial" w:cs="Arial"/>
          <w:sz w:val="24"/>
          <w:szCs w:val="24"/>
        </w:rPr>
        <w:t>, Kathleen L. Lane, and Carol Quirk, “</w:t>
      </w:r>
      <w:proofErr w:type="spellStart"/>
      <w:r w:rsidRPr="001024F5">
        <w:rPr>
          <w:rFonts w:ascii="Arial" w:hAnsi="Arial" w:cs="Arial"/>
          <w:sz w:val="24"/>
          <w:szCs w:val="24"/>
        </w:rPr>
        <w:t>Multitiered</w:t>
      </w:r>
      <w:proofErr w:type="spellEnd"/>
      <w:r w:rsidRPr="001024F5">
        <w:rPr>
          <w:rFonts w:ascii="Arial" w:hAnsi="Arial" w:cs="Arial"/>
          <w:sz w:val="24"/>
          <w:szCs w:val="24"/>
        </w:rPr>
        <w:t xml:space="preserve"> Systems of Supports,” in </w:t>
      </w:r>
      <w:r w:rsidRPr="001024F5">
        <w:rPr>
          <w:rFonts w:ascii="Arial" w:hAnsi="Arial" w:cs="Arial"/>
          <w:i/>
          <w:sz w:val="24"/>
          <w:szCs w:val="24"/>
        </w:rPr>
        <w:t>Handbook of Research-Based Practices for Educating Students with Intellectual Disability</w:t>
      </w:r>
      <w:r w:rsidRPr="001024F5">
        <w:rPr>
          <w:rFonts w:ascii="Arial" w:hAnsi="Arial" w:cs="Arial"/>
          <w:sz w:val="24"/>
          <w:szCs w:val="24"/>
        </w:rPr>
        <w:t xml:space="preserve">, ed. Michael L. </w:t>
      </w:r>
      <w:proofErr w:type="spellStart"/>
      <w:r w:rsidRPr="001024F5">
        <w:rPr>
          <w:rFonts w:ascii="Arial" w:hAnsi="Arial" w:cs="Arial"/>
          <w:sz w:val="24"/>
          <w:szCs w:val="24"/>
        </w:rPr>
        <w:t>Wehmeyer</w:t>
      </w:r>
      <w:proofErr w:type="spellEnd"/>
      <w:r w:rsidRPr="001024F5">
        <w:rPr>
          <w:rFonts w:ascii="Arial" w:hAnsi="Arial" w:cs="Arial"/>
          <w:sz w:val="24"/>
          <w:szCs w:val="24"/>
        </w:rPr>
        <w:t xml:space="preserve"> and Karri A. </w:t>
      </w:r>
      <w:proofErr w:type="spellStart"/>
      <w:r w:rsidRPr="001024F5">
        <w:rPr>
          <w:rFonts w:ascii="Arial" w:hAnsi="Arial" w:cs="Arial"/>
          <w:sz w:val="24"/>
          <w:szCs w:val="24"/>
        </w:rPr>
        <w:t>Shogren</w:t>
      </w:r>
      <w:proofErr w:type="spellEnd"/>
      <w:r w:rsidRPr="001024F5">
        <w:rPr>
          <w:rFonts w:ascii="Arial" w:hAnsi="Arial" w:cs="Arial"/>
          <w:sz w:val="24"/>
          <w:szCs w:val="24"/>
        </w:rPr>
        <w:t xml:space="preserve"> (New York: Routledge, 2017), 185–198.</w:t>
      </w:r>
    </w:p>
  </w:endnote>
  <w:endnote w:id="129">
    <w:p w14:paraId="5DCB22A4" w14:textId="54FCE04B" w:rsidR="00304135" w:rsidRPr="001024F5" w:rsidRDefault="00304135" w:rsidP="001024F5">
      <w:pPr>
        <w:pStyle w:val="NoSpacing"/>
        <w:spacing w:after="200"/>
        <w:rPr>
          <w:rFonts w:ascii="Arial" w:hAnsi="Arial" w:cs="Arial"/>
          <w:sz w:val="24"/>
          <w:szCs w:val="24"/>
        </w:rPr>
      </w:pPr>
      <w:r w:rsidRPr="001024F5">
        <w:rPr>
          <w:rStyle w:val="EndnoteReference"/>
          <w:rFonts w:ascii="Arial" w:hAnsi="Arial" w:cs="Arial"/>
          <w:sz w:val="24"/>
          <w:szCs w:val="24"/>
        </w:rPr>
        <w:endnoteRef/>
      </w:r>
      <w:r w:rsidRPr="001024F5">
        <w:rPr>
          <w:rFonts w:ascii="Arial" w:hAnsi="Arial" w:cs="Arial"/>
          <w:sz w:val="24"/>
          <w:szCs w:val="24"/>
        </w:rPr>
        <w:t xml:space="preserve"> Kent McIntosh and Steve Goodman, </w:t>
      </w:r>
      <w:r w:rsidRPr="001024F5">
        <w:rPr>
          <w:rFonts w:ascii="Arial" w:hAnsi="Arial" w:cs="Arial"/>
          <w:bCs/>
          <w:i/>
          <w:sz w:val="24"/>
          <w:szCs w:val="24"/>
        </w:rPr>
        <w:t>Integrated Multi-Tiered Systems of Support: Blending RTI and PBIS</w:t>
      </w:r>
      <w:r w:rsidRPr="001024F5">
        <w:rPr>
          <w:rFonts w:ascii="Arial" w:hAnsi="Arial" w:cs="Arial"/>
          <w:bCs/>
          <w:sz w:val="24"/>
          <w:szCs w:val="24"/>
        </w:rPr>
        <w:t xml:space="preserve"> (New York: Guilford Press, 2016).</w:t>
      </w:r>
      <w:r w:rsidRPr="00CE54D7">
        <w:rPr>
          <w:rStyle w:val="Hyperlink"/>
          <w:rFonts w:ascii="Arial" w:eastAsia="Calibri" w:hAnsi="Arial" w:cs="Arial"/>
          <w:color w:val="0000FF"/>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605A6" w14:textId="77777777" w:rsidR="00304135" w:rsidRDefault="00304135" w:rsidP="00A437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53BA20" w14:textId="77777777" w:rsidR="00304135" w:rsidRDefault="00304135" w:rsidP="00A437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733696551"/>
      <w:docPartObj>
        <w:docPartGallery w:val="Page Numbers (Bottom of Page)"/>
        <w:docPartUnique/>
      </w:docPartObj>
    </w:sdtPr>
    <w:sdtEndPr>
      <w:rPr>
        <w:noProof/>
      </w:rPr>
    </w:sdtEndPr>
    <w:sdtContent>
      <w:p w14:paraId="740EF052" w14:textId="22D3D386" w:rsidR="00304135" w:rsidRPr="00964B3C" w:rsidRDefault="00304135" w:rsidP="00964B3C">
        <w:pPr>
          <w:pStyle w:val="Footer"/>
          <w:jc w:val="cente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EC3857">
          <w:rPr>
            <w:rFonts w:ascii="Arial" w:hAnsi="Arial" w:cs="Arial"/>
            <w:noProof/>
            <w:sz w:val="24"/>
            <w:szCs w:val="24"/>
          </w:rPr>
          <w:t>56</w:t>
        </w:r>
        <w:r w:rsidRPr="00964B3C">
          <w:rPr>
            <w:rFonts w:ascii="Arial" w:hAnsi="Arial" w:cs="Arial"/>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28580852"/>
      <w:docPartObj>
        <w:docPartGallery w:val="Page Numbers (Bottom of Page)"/>
        <w:docPartUnique/>
      </w:docPartObj>
    </w:sdtPr>
    <w:sdtEndPr>
      <w:rPr>
        <w:noProof/>
      </w:rPr>
    </w:sdtEndPr>
    <w:sdtContent>
      <w:p w14:paraId="6017AB29" w14:textId="472F5D96" w:rsidR="00304135" w:rsidRPr="00964B3C" w:rsidRDefault="00304135">
        <w:pPr>
          <w:pStyle w:val="Footer"/>
          <w:jc w:val="center"/>
          <w:rPr>
            <w:rFonts w:ascii="Arial" w:hAnsi="Arial" w:cs="Arial"/>
            <w:sz w:val="24"/>
            <w:szCs w:val="24"/>
          </w:rP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EC3857">
          <w:rPr>
            <w:rFonts w:ascii="Arial" w:hAnsi="Arial" w:cs="Arial"/>
            <w:noProof/>
            <w:sz w:val="24"/>
            <w:szCs w:val="24"/>
          </w:rPr>
          <w:t>1</w:t>
        </w:r>
        <w:r w:rsidRPr="00964B3C">
          <w:rPr>
            <w:rFonts w:ascii="Arial" w:hAnsi="Arial" w:cs="Arial"/>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BF516" w14:textId="77777777" w:rsidR="005B57E3" w:rsidRDefault="005B57E3" w:rsidP="00B1489F">
      <w:r>
        <w:separator/>
      </w:r>
    </w:p>
  </w:footnote>
  <w:footnote w:type="continuationSeparator" w:id="0">
    <w:p w14:paraId="368E2FF3" w14:textId="77777777" w:rsidR="005B57E3" w:rsidRDefault="005B57E3" w:rsidP="00B14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2571A"/>
    <w:multiLevelType w:val="hybridMultilevel"/>
    <w:tmpl w:val="520057AC"/>
    <w:lvl w:ilvl="0" w:tplc="CFD6FAA4">
      <w:start w:val="1"/>
      <w:numFmt w:val="decimal"/>
      <w:pStyle w:val="NCDNumberedLevel1"/>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2388"/>
    <w:multiLevelType w:val="hybridMultilevel"/>
    <w:tmpl w:val="C20254CC"/>
    <w:lvl w:ilvl="0" w:tplc="29B6A28A">
      <w:start w:val="1"/>
      <w:numFmt w:val="bullet"/>
      <w:pStyle w:val="NCDBulletsLevel2"/>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CD1138"/>
    <w:multiLevelType w:val="hybridMultilevel"/>
    <w:tmpl w:val="D660B258"/>
    <w:lvl w:ilvl="0" w:tplc="89643076">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27EBA"/>
    <w:multiLevelType w:val="hybridMultilevel"/>
    <w:tmpl w:val="3FEC9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080A58"/>
    <w:multiLevelType w:val="hybridMultilevel"/>
    <w:tmpl w:val="5780451E"/>
    <w:lvl w:ilvl="0" w:tplc="015EDFE0">
      <w:start w:val="1"/>
      <w:numFmt w:val="lowerLetter"/>
      <w:pStyle w:val="NCDloweralphaLevel2"/>
      <w:lvlText w:val="%1."/>
      <w:lvlJc w:val="left"/>
      <w:pPr>
        <w:ind w:left="72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3"/>
  </w:num>
  <w:num w:numId="11">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Torres-Davis">
    <w15:presenceInfo w15:providerId="None" w15:userId="Ana Torres-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05"/>
    <w:rsid w:val="00000D69"/>
    <w:rsid w:val="00001D15"/>
    <w:rsid w:val="00004C15"/>
    <w:rsid w:val="00006EBA"/>
    <w:rsid w:val="00011EFE"/>
    <w:rsid w:val="00023DCE"/>
    <w:rsid w:val="00023E07"/>
    <w:rsid w:val="00026778"/>
    <w:rsid w:val="00031F5B"/>
    <w:rsid w:val="00032A41"/>
    <w:rsid w:val="00041049"/>
    <w:rsid w:val="00042282"/>
    <w:rsid w:val="0004341D"/>
    <w:rsid w:val="0004638D"/>
    <w:rsid w:val="000465D0"/>
    <w:rsid w:val="00050A74"/>
    <w:rsid w:val="00054B70"/>
    <w:rsid w:val="0005654A"/>
    <w:rsid w:val="00057234"/>
    <w:rsid w:val="00060012"/>
    <w:rsid w:val="00062A23"/>
    <w:rsid w:val="00064545"/>
    <w:rsid w:val="00064E3B"/>
    <w:rsid w:val="000703EB"/>
    <w:rsid w:val="0007231F"/>
    <w:rsid w:val="000729BB"/>
    <w:rsid w:val="000736DB"/>
    <w:rsid w:val="00073CB2"/>
    <w:rsid w:val="000741AE"/>
    <w:rsid w:val="000754F1"/>
    <w:rsid w:val="00077610"/>
    <w:rsid w:val="000819A6"/>
    <w:rsid w:val="00085290"/>
    <w:rsid w:val="0009052B"/>
    <w:rsid w:val="000906D8"/>
    <w:rsid w:val="00093637"/>
    <w:rsid w:val="000947EF"/>
    <w:rsid w:val="000A07F5"/>
    <w:rsid w:val="000A0ACC"/>
    <w:rsid w:val="000A24DD"/>
    <w:rsid w:val="000A2D78"/>
    <w:rsid w:val="000A4E6D"/>
    <w:rsid w:val="000A7860"/>
    <w:rsid w:val="000B081C"/>
    <w:rsid w:val="000B28CE"/>
    <w:rsid w:val="000B298D"/>
    <w:rsid w:val="000B3C25"/>
    <w:rsid w:val="000C0355"/>
    <w:rsid w:val="000C22B9"/>
    <w:rsid w:val="000C32EB"/>
    <w:rsid w:val="000D355B"/>
    <w:rsid w:val="000D3601"/>
    <w:rsid w:val="000D3655"/>
    <w:rsid w:val="000D6E9E"/>
    <w:rsid w:val="000E1D07"/>
    <w:rsid w:val="000E2150"/>
    <w:rsid w:val="000E2F35"/>
    <w:rsid w:val="000E4997"/>
    <w:rsid w:val="000F5B87"/>
    <w:rsid w:val="001024F5"/>
    <w:rsid w:val="001105EA"/>
    <w:rsid w:val="00113FE9"/>
    <w:rsid w:val="001149BC"/>
    <w:rsid w:val="00124631"/>
    <w:rsid w:val="00132154"/>
    <w:rsid w:val="00136A74"/>
    <w:rsid w:val="001441C2"/>
    <w:rsid w:val="001452CF"/>
    <w:rsid w:val="001459BE"/>
    <w:rsid w:val="00147082"/>
    <w:rsid w:val="00147193"/>
    <w:rsid w:val="001510A2"/>
    <w:rsid w:val="0015178C"/>
    <w:rsid w:val="00151B32"/>
    <w:rsid w:val="00151B43"/>
    <w:rsid w:val="001525D6"/>
    <w:rsid w:val="0015285C"/>
    <w:rsid w:val="00152E8C"/>
    <w:rsid w:val="001548A0"/>
    <w:rsid w:val="00156308"/>
    <w:rsid w:val="00157183"/>
    <w:rsid w:val="001577E3"/>
    <w:rsid w:val="00160CF0"/>
    <w:rsid w:val="00161F9C"/>
    <w:rsid w:val="001627E3"/>
    <w:rsid w:val="0016726A"/>
    <w:rsid w:val="00177CAB"/>
    <w:rsid w:val="00180F33"/>
    <w:rsid w:val="00181AC7"/>
    <w:rsid w:val="0018413F"/>
    <w:rsid w:val="00185409"/>
    <w:rsid w:val="00191995"/>
    <w:rsid w:val="00192CAD"/>
    <w:rsid w:val="00193D14"/>
    <w:rsid w:val="001A0250"/>
    <w:rsid w:val="001A1DAC"/>
    <w:rsid w:val="001A6E1B"/>
    <w:rsid w:val="001A7110"/>
    <w:rsid w:val="001A7635"/>
    <w:rsid w:val="001B0AE4"/>
    <w:rsid w:val="001B3B05"/>
    <w:rsid w:val="001B4F6B"/>
    <w:rsid w:val="001B652A"/>
    <w:rsid w:val="001C1526"/>
    <w:rsid w:val="001C2CAA"/>
    <w:rsid w:val="001C6C75"/>
    <w:rsid w:val="001C730E"/>
    <w:rsid w:val="001D011E"/>
    <w:rsid w:val="001D0E5D"/>
    <w:rsid w:val="001D1BA4"/>
    <w:rsid w:val="001D20E1"/>
    <w:rsid w:val="001D7D6E"/>
    <w:rsid w:val="001E2ACA"/>
    <w:rsid w:val="001E4AE8"/>
    <w:rsid w:val="001E5DEE"/>
    <w:rsid w:val="001E62CB"/>
    <w:rsid w:val="001E772F"/>
    <w:rsid w:val="001F04DF"/>
    <w:rsid w:val="001F19BC"/>
    <w:rsid w:val="001F3E5D"/>
    <w:rsid w:val="001F4EFF"/>
    <w:rsid w:val="001F5EBE"/>
    <w:rsid w:val="001F70F1"/>
    <w:rsid w:val="00203632"/>
    <w:rsid w:val="00215349"/>
    <w:rsid w:val="0021592C"/>
    <w:rsid w:val="0022060A"/>
    <w:rsid w:val="00220FEC"/>
    <w:rsid w:val="00221AD3"/>
    <w:rsid w:val="00222512"/>
    <w:rsid w:val="002248D1"/>
    <w:rsid w:val="00226292"/>
    <w:rsid w:val="00235D11"/>
    <w:rsid w:val="00240C3E"/>
    <w:rsid w:val="0024172B"/>
    <w:rsid w:val="00243242"/>
    <w:rsid w:val="002437F9"/>
    <w:rsid w:val="00245550"/>
    <w:rsid w:val="002470EC"/>
    <w:rsid w:val="00247572"/>
    <w:rsid w:val="00250754"/>
    <w:rsid w:val="00255B69"/>
    <w:rsid w:val="00260518"/>
    <w:rsid w:val="002620C7"/>
    <w:rsid w:val="00265E8E"/>
    <w:rsid w:val="00276C9A"/>
    <w:rsid w:val="002817C9"/>
    <w:rsid w:val="00283860"/>
    <w:rsid w:val="002925E3"/>
    <w:rsid w:val="00293BEE"/>
    <w:rsid w:val="00295803"/>
    <w:rsid w:val="002A13C6"/>
    <w:rsid w:val="002A3851"/>
    <w:rsid w:val="002A5CB4"/>
    <w:rsid w:val="002A68A8"/>
    <w:rsid w:val="002B00AE"/>
    <w:rsid w:val="002B31D4"/>
    <w:rsid w:val="002B3DDC"/>
    <w:rsid w:val="002B446C"/>
    <w:rsid w:val="002B769B"/>
    <w:rsid w:val="002B7BE9"/>
    <w:rsid w:val="002C0009"/>
    <w:rsid w:val="002C23A2"/>
    <w:rsid w:val="002C2A09"/>
    <w:rsid w:val="002C3A4F"/>
    <w:rsid w:val="002C4450"/>
    <w:rsid w:val="002C45AF"/>
    <w:rsid w:val="002D1A95"/>
    <w:rsid w:val="002D6656"/>
    <w:rsid w:val="002D6DFC"/>
    <w:rsid w:val="002D6F79"/>
    <w:rsid w:val="002E1002"/>
    <w:rsid w:val="002E13ED"/>
    <w:rsid w:val="002E47FA"/>
    <w:rsid w:val="002F001B"/>
    <w:rsid w:val="002F0A66"/>
    <w:rsid w:val="002F4EDE"/>
    <w:rsid w:val="00303EAC"/>
    <w:rsid w:val="00304135"/>
    <w:rsid w:val="003042F8"/>
    <w:rsid w:val="003058D0"/>
    <w:rsid w:val="00306D75"/>
    <w:rsid w:val="00311B6C"/>
    <w:rsid w:val="00313F83"/>
    <w:rsid w:val="003205CD"/>
    <w:rsid w:val="00320C93"/>
    <w:rsid w:val="003225A1"/>
    <w:rsid w:val="00323989"/>
    <w:rsid w:val="00326671"/>
    <w:rsid w:val="0032788A"/>
    <w:rsid w:val="00330A94"/>
    <w:rsid w:val="00333687"/>
    <w:rsid w:val="003417DF"/>
    <w:rsid w:val="00342390"/>
    <w:rsid w:val="00352425"/>
    <w:rsid w:val="003528AA"/>
    <w:rsid w:val="00362F74"/>
    <w:rsid w:val="00363749"/>
    <w:rsid w:val="003642DB"/>
    <w:rsid w:val="00370515"/>
    <w:rsid w:val="003737B8"/>
    <w:rsid w:val="00374E41"/>
    <w:rsid w:val="003802DF"/>
    <w:rsid w:val="00380F1D"/>
    <w:rsid w:val="00387808"/>
    <w:rsid w:val="00387E16"/>
    <w:rsid w:val="0039308F"/>
    <w:rsid w:val="003937DD"/>
    <w:rsid w:val="003945E1"/>
    <w:rsid w:val="003A0D75"/>
    <w:rsid w:val="003A1B08"/>
    <w:rsid w:val="003A4D3A"/>
    <w:rsid w:val="003A64B1"/>
    <w:rsid w:val="003A7DDF"/>
    <w:rsid w:val="003C5FB3"/>
    <w:rsid w:val="003C71C1"/>
    <w:rsid w:val="003D0871"/>
    <w:rsid w:val="003D0987"/>
    <w:rsid w:val="003D67FF"/>
    <w:rsid w:val="003E0DB6"/>
    <w:rsid w:val="003E0E68"/>
    <w:rsid w:val="003E1B4A"/>
    <w:rsid w:val="003E1FA6"/>
    <w:rsid w:val="003E3025"/>
    <w:rsid w:val="003E5378"/>
    <w:rsid w:val="003E6BB1"/>
    <w:rsid w:val="003F0F91"/>
    <w:rsid w:val="003F376B"/>
    <w:rsid w:val="003F3C3F"/>
    <w:rsid w:val="003F46BB"/>
    <w:rsid w:val="003F4FFF"/>
    <w:rsid w:val="003F7D35"/>
    <w:rsid w:val="00400C20"/>
    <w:rsid w:val="004017DE"/>
    <w:rsid w:val="00402B3D"/>
    <w:rsid w:val="0040512A"/>
    <w:rsid w:val="004067E2"/>
    <w:rsid w:val="00411987"/>
    <w:rsid w:val="00413003"/>
    <w:rsid w:val="0041699F"/>
    <w:rsid w:val="00417445"/>
    <w:rsid w:val="00417A1C"/>
    <w:rsid w:val="00421375"/>
    <w:rsid w:val="00425393"/>
    <w:rsid w:val="004324F5"/>
    <w:rsid w:val="00432C4C"/>
    <w:rsid w:val="00435E7E"/>
    <w:rsid w:val="00441516"/>
    <w:rsid w:val="004415AE"/>
    <w:rsid w:val="00446B04"/>
    <w:rsid w:val="00451261"/>
    <w:rsid w:val="00451FE0"/>
    <w:rsid w:val="00452020"/>
    <w:rsid w:val="0045244F"/>
    <w:rsid w:val="00453A64"/>
    <w:rsid w:val="004604D5"/>
    <w:rsid w:val="004607E7"/>
    <w:rsid w:val="0046571C"/>
    <w:rsid w:val="004701C8"/>
    <w:rsid w:val="004708F7"/>
    <w:rsid w:val="00472763"/>
    <w:rsid w:val="00475231"/>
    <w:rsid w:val="004770AF"/>
    <w:rsid w:val="0047769D"/>
    <w:rsid w:val="00480041"/>
    <w:rsid w:val="004807E6"/>
    <w:rsid w:val="00481E67"/>
    <w:rsid w:val="00484620"/>
    <w:rsid w:val="00487178"/>
    <w:rsid w:val="00490645"/>
    <w:rsid w:val="004913FF"/>
    <w:rsid w:val="00492766"/>
    <w:rsid w:val="00493BA4"/>
    <w:rsid w:val="00495691"/>
    <w:rsid w:val="00495DC2"/>
    <w:rsid w:val="00496128"/>
    <w:rsid w:val="004A14C3"/>
    <w:rsid w:val="004A2737"/>
    <w:rsid w:val="004A34AA"/>
    <w:rsid w:val="004A5E4D"/>
    <w:rsid w:val="004A6204"/>
    <w:rsid w:val="004A735D"/>
    <w:rsid w:val="004C1FD9"/>
    <w:rsid w:val="004C5E0C"/>
    <w:rsid w:val="004C761A"/>
    <w:rsid w:val="004E4CAE"/>
    <w:rsid w:val="004E555C"/>
    <w:rsid w:val="004F0F98"/>
    <w:rsid w:val="004F1A79"/>
    <w:rsid w:val="004F22F7"/>
    <w:rsid w:val="004F51CB"/>
    <w:rsid w:val="005020F3"/>
    <w:rsid w:val="00503F0A"/>
    <w:rsid w:val="005043F4"/>
    <w:rsid w:val="0050521E"/>
    <w:rsid w:val="00505A4D"/>
    <w:rsid w:val="00506A8D"/>
    <w:rsid w:val="00510948"/>
    <w:rsid w:val="00513D98"/>
    <w:rsid w:val="00514E7B"/>
    <w:rsid w:val="00516DD3"/>
    <w:rsid w:val="00520E35"/>
    <w:rsid w:val="005247BF"/>
    <w:rsid w:val="0052755D"/>
    <w:rsid w:val="0053287E"/>
    <w:rsid w:val="0053503F"/>
    <w:rsid w:val="00536918"/>
    <w:rsid w:val="00537A5A"/>
    <w:rsid w:val="00537D18"/>
    <w:rsid w:val="005410C7"/>
    <w:rsid w:val="005439D2"/>
    <w:rsid w:val="0055091A"/>
    <w:rsid w:val="00550F63"/>
    <w:rsid w:val="00551896"/>
    <w:rsid w:val="00553737"/>
    <w:rsid w:val="0055542C"/>
    <w:rsid w:val="00555885"/>
    <w:rsid w:val="0055626A"/>
    <w:rsid w:val="00557211"/>
    <w:rsid w:val="00561E24"/>
    <w:rsid w:val="00564EFD"/>
    <w:rsid w:val="00564F90"/>
    <w:rsid w:val="0056665F"/>
    <w:rsid w:val="00567D51"/>
    <w:rsid w:val="00572E7B"/>
    <w:rsid w:val="00573A8D"/>
    <w:rsid w:val="00574AAC"/>
    <w:rsid w:val="00577DC2"/>
    <w:rsid w:val="00581AB2"/>
    <w:rsid w:val="00583C20"/>
    <w:rsid w:val="00584923"/>
    <w:rsid w:val="00584F16"/>
    <w:rsid w:val="00585426"/>
    <w:rsid w:val="00594809"/>
    <w:rsid w:val="00594EC7"/>
    <w:rsid w:val="00596162"/>
    <w:rsid w:val="005A04E5"/>
    <w:rsid w:val="005A08C2"/>
    <w:rsid w:val="005A6694"/>
    <w:rsid w:val="005A672F"/>
    <w:rsid w:val="005B0315"/>
    <w:rsid w:val="005B0851"/>
    <w:rsid w:val="005B1115"/>
    <w:rsid w:val="005B334F"/>
    <w:rsid w:val="005B374E"/>
    <w:rsid w:val="005B4EBC"/>
    <w:rsid w:val="005B57E3"/>
    <w:rsid w:val="005B6556"/>
    <w:rsid w:val="005C21C6"/>
    <w:rsid w:val="005C2E8B"/>
    <w:rsid w:val="005D0275"/>
    <w:rsid w:val="005D081A"/>
    <w:rsid w:val="005D2442"/>
    <w:rsid w:val="005D2A14"/>
    <w:rsid w:val="005D39B3"/>
    <w:rsid w:val="005D4DF8"/>
    <w:rsid w:val="005E1127"/>
    <w:rsid w:val="005E1354"/>
    <w:rsid w:val="005E281C"/>
    <w:rsid w:val="005E2873"/>
    <w:rsid w:val="005E2C7C"/>
    <w:rsid w:val="005E59AC"/>
    <w:rsid w:val="005E7348"/>
    <w:rsid w:val="005F30B9"/>
    <w:rsid w:val="005F40BE"/>
    <w:rsid w:val="005F418C"/>
    <w:rsid w:val="005F5591"/>
    <w:rsid w:val="005F5BA7"/>
    <w:rsid w:val="005F6817"/>
    <w:rsid w:val="00600F7C"/>
    <w:rsid w:val="00603BF6"/>
    <w:rsid w:val="00605984"/>
    <w:rsid w:val="0061284F"/>
    <w:rsid w:val="00615320"/>
    <w:rsid w:val="0062138A"/>
    <w:rsid w:val="006251DE"/>
    <w:rsid w:val="006255A9"/>
    <w:rsid w:val="006329EF"/>
    <w:rsid w:val="00633B31"/>
    <w:rsid w:val="00635B41"/>
    <w:rsid w:val="00642A44"/>
    <w:rsid w:val="00643D5B"/>
    <w:rsid w:val="0064483D"/>
    <w:rsid w:val="006504A3"/>
    <w:rsid w:val="0065059E"/>
    <w:rsid w:val="00654673"/>
    <w:rsid w:val="00655CDD"/>
    <w:rsid w:val="00664868"/>
    <w:rsid w:val="006703C6"/>
    <w:rsid w:val="00670865"/>
    <w:rsid w:val="00671D47"/>
    <w:rsid w:val="0067792D"/>
    <w:rsid w:val="0068107E"/>
    <w:rsid w:val="00682D44"/>
    <w:rsid w:val="006852E2"/>
    <w:rsid w:val="006862AF"/>
    <w:rsid w:val="00686C85"/>
    <w:rsid w:val="0068767D"/>
    <w:rsid w:val="006937B5"/>
    <w:rsid w:val="006945A0"/>
    <w:rsid w:val="00697A66"/>
    <w:rsid w:val="006A2C49"/>
    <w:rsid w:val="006A30EA"/>
    <w:rsid w:val="006A74CF"/>
    <w:rsid w:val="006B390A"/>
    <w:rsid w:val="006B6D8E"/>
    <w:rsid w:val="006B741E"/>
    <w:rsid w:val="006B7988"/>
    <w:rsid w:val="006C1575"/>
    <w:rsid w:val="006C5D6B"/>
    <w:rsid w:val="006C7521"/>
    <w:rsid w:val="006D0006"/>
    <w:rsid w:val="006D0B26"/>
    <w:rsid w:val="006D14EE"/>
    <w:rsid w:val="006D1B6B"/>
    <w:rsid w:val="006D32FB"/>
    <w:rsid w:val="006D511C"/>
    <w:rsid w:val="006E2782"/>
    <w:rsid w:val="006E3DA1"/>
    <w:rsid w:val="006F4AA0"/>
    <w:rsid w:val="006F639E"/>
    <w:rsid w:val="006F6976"/>
    <w:rsid w:val="006F6EB9"/>
    <w:rsid w:val="006F761D"/>
    <w:rsid w:val="00702BFE"/>
    <w:rsid w:val="00703464"/>
    <w:rsid w:val="00705EF0"/>
    <w:rsid w:val="00707929"/>
    <w:rsid w:val="00715ECD"/>
    <w:rsid w:val="00716B3D"/>
    <w:rsid w:val="00723ABA"/>
    <w:rsid w:val="00723E69"/>
    <w:rsid w:val="0072618A"/>
    <w:rsid w:val="00731E50"/>
    <w:rsid w:val="007347FE"/>
    <w:rsid w:val="00736A16"/>
    <w:rsid w:val="00742108"/>
    <w:rsid w:val="00742193"/>
    <w:rsid w:val="00742A8F"/>
    <w:rsid w:val="00745BB7"/>
    <w:rsid w:val="00745CDF"/>
    <w:rsid w:val="0074617F"/>
    <w:rsid w:val="007472CE"/>
    <w:rsid w:val="00750D5E"/>
    <w:rsid w:val="0075284B"/>
    <w:rsid w:val="00752ECD"/>
    <w:rsid w:val="007541E2"/>
    <w:rsid w:val="00755DCB"/>
    <w:rsid w:val="00756D96"/>
    <w:rsid w:val="00760E84"/>
    <w:rsid w:val="007612E2"/>
    <w:rsid w:val="0076468A"/>
    <w:rsid w:val="0077158D"/>
    <w:rsid w:val="00771D53"/>
    <w:rsid w:val="00775CC3"/>
    <w:rsid w:val="007853E1"/>
    <w:rsid w:val="00785D1D"/>
    <w:rsid w:val="00787120"/>
    <w:rsid w:val="00790D34"/>
    <w:rsid w:val="00792534"/>
    <w:rsid w:val="007932FD"/>
    <w:rsid w:val="00797522"/>
    <w:rsid w:val="007A2D9B"/>
    <w:rsid w:val="007A3564"/>
    <w:rsid w:val="007A366D"/>
    <w:rsid w:val="007A3B96"/>
    <w:rsid w:val="007A4F6C"/>
    <w:rsid w:val="007A6765"/>
    <w:rsid w:val="007A7A9D"/>
    <w:rsid w:val="007B0DD8"/>
    <w:rsid w:val="007B0F35"/>
    <w:rsid w:val="007B1ECE"/>
    <w:rsid w:val="007B3085"/>
    <w:rsid w:val="007B33CF"/>
    <w:rsid w:val="007B3F17"/>
    <w:rsid w:val="007B7BD6"/>
    <w:rsid w:val="007C0119"/>
    <w:rsid w:val="007C0169"/>
    <w:rsid w:val="007C077D"/>
    <w:rsid w:val="007C1593"/>
    <w:rsid w:val="007C3195"/>
    <w:rsid w:val="007C4D80"/>
    <w:rsid w:val="007C556F"/>
    <w:rsid w:val="007C5A41"/>
    <w:rsid w:val="007D12CC"/>
    <w:rsid w:val="007D4340"/>
    <w:rsid w:val="007D6539"/>
    <w:rsid w:val="007D6E20"/>
    <w:rsid w:val="007F5D7F"/>
    <w:rsid w:val="007F78E8"/>
    <w:rsid w:val="00802758"/>
    <w:rsid w:val="008066DC"/>
    <w:rsid w:val="008121F5"/>
    <w:rsid w:val="008136A7"/>
    <w:rsid w:val="00815F80"/>
    <w:rsid w:val="00823F29"/>
    <w:rsid w:val="00833E36"/>
    <w:rsid w:val="00836387"/>
    <w:rsid w:val="00840BAD"/>
    <w:rsid w:val="00845CF4"/>
    <w:rsid w:val="008476AC"/>
    <w:rsid w:val="00852A26"/>
    <w:rsid w:val="00855D3C"/>
    <w:rsid w:val="00864ED6"/>
    <w:rsid w:val="008651A7"/>
    <w:rsid w:val="00865EA8"/>
    <w:rsid w:val="00866CD0"/>
    <w:rsid w:val="00867818"/>
    <w:rsid w:val="00874864"/>
    <w:rsid w:val="008803DA"/>
    <w:rsid w:val="008816E9"/>
    <w:rsid w:val="00882019"/>
    <w:rsid w:val="00883BCC"/>
    <w:rsid w:val="008842E1"/>
    <w:rsid w:val="00891B92"/>
    <w:rsid w:val="00892026"/>
    <w:rsid w:val="008933AD"/>
    <w:rsid w:val="00896502"/>
    <w:rsid w:val="008974C2"/>
    <w:rsid w:val="008A36B8"/>
    <w:rsid w:val="008A5AF5"/>
    <w:rsid w:val="008A6826"/>
    <w:rsid w:val="008B0DE0"/>
    <w:rsid w:val="008B49E9"/>
    <w:rsid w:val="008B5DFA"/>
    <w:rsid w:val="008C2604"/>
    <w:rsid w:val="008C3483"/>
    <w:rsid w:val="008C42B7"/>
    <w:rsid w:val="008C6AF5"/>
    <w:rsid w:val="008C77A1"/>
    <w:rsid w:val="008C7DD6"/>
    <w:rsid w:val="008D1E41"/>
    <w:rsid w:val="008D4075"/>
    <w:rsid w:val="008D585F"/>
    <w:rsid w:val="008E1719"/>
    <w:rsid w:val="008E2237"/>
    <w:rsid w:val="008E4B34"/>
    <w:rsid w:val="008E7474"/>
    <w:rsid w:val="008E7B71"/>
    <w:rsid w:val="008F3072"/>
    <w:rsid w:val="008F6811"/>
    <w:rsid w:val="009025E4"/>
    <w:rsid w:val="009056D8"/>
    <w:rsid w:val="009056E4"/>
    <w:rsid w:val="00905AB7"/>
    <w:rsid w:val="00906F1E"/>
    <w:rsid w:val="009072FF"/>
    <w:rsid w:val="00911503"/>
    <w:rsid w:val="009122F3"/>
    <w:rsid w:val="00915123"/>
    <w:rsid w:val="00926302"/>
    <w:rsid w:val="00927CE0"/>
    <w:rsid w:val="009309D0"/>
    <w:rsid w:val="0093331B"/>
    <w:rsid w:val="00933CAE"/>
    <w:rsid w:val="00933E60"/>
    <w:rsid w:val="0093598E"/>
    <w:rsid w:val="00937110"/>
    <w:rsid w:val="009405A6"/>
    <w:rsid w:val="00940AAA"/>
    <w:rsid w:val="009438C4"/>
    <w:rsid w:val="00950466"/>
    <w:rsid w:val="00950487"/>
    <w:rsid w:val="00953955"/>
    <w:rsid w:val="009540A1"/>
    <w:rsid w:val="00954BB2"/>
    <w:rsid w:val="00957D7B"/>
    <w:rsid w:val="00961A41"/>
    <w:rsid w:val="00964B3C"/>
    <w:rsid w:val="00965875"/>
    <w:rsid w:val="0096687A"/>
    <w:rsid w:val="009708E4"/>
    <w:rsid w:val="00972519"/>
    <w:rsid w:val="0097290A"/>
    <w:rsid w:val="009740D6"/>
    <w:rsid w:val="00976233"/>
    <w:rsid w:val="0097762F"/>
    <w:rsid w:val="00984505"/>
    <w:rsid w:val="00985207"/>
    <w:rsid w:val="00987034"/>
    <w:rsid w:val="009938DD"/>
    <w:rsid w:val="00993B86"/>
    <w:rsid w:val="00995E03"/>
    <w:rsid w:val="00996D21"/>
    <w:rsid w:val="009A1A8F"/>
    <w:rsid w:val="009A4719"/>
    <w:rsid w:val="009A7062"/>
    <w:rsid w:val="009B0011"/>
    <w:rsid w:val="009B091A"/>
    <w:rsid w:val="009B1F9F"/>
    <w:rsid w:val="009B31D2"/>
    <w:rsid w:val="009B39D6"/>
    <w:rsid w:val="009C4467"/>
    <w:rsid w:val="009C4FEC"/>
    <w:rsid w:val="009C5245"/>
    <w:rsid w:val="009C5A96"/>
    <w:rsid w:val="009C64D7"/>
    <w:rsid w:val="009C7B16"/>
    <w:rsid w:val="009C7E95"/>
    <w:rsid w:val="009D32EC"/>
    <w:rsid w:val="009D3D0E"/>
    <w:rsid w:val="009D3F46"/>
    <w:rsid w:val="009D4AC2"/>
    <w:rsid w:val="009D5D05"/>
    <w:rsid w:val="009E165C"/>
    <w:rsid w:val="009E2A22"/>
    <w:rsid w:val="009E2AEE"/>
    <w:rsid w:val="009E63D8"/>
    <w:rsid w:val="009F0717"/>
    <w:rsid w:val="009F1D8C"/>
    <w:rsid w:val="009F4DA3"/>
    <w:rsid w:val="009F54C9"/>
    <w:rsid w:val="009F57CD"/>
    <w:rsid w:val="009F78B9"/>
    <w:rsid w:val="009F7D28"/>
    <w:rsid w:val="00A02D80"/>
    <w:rsid w:val="00A0544E"/>
    <w:rsid w:val="00A06CA3"/>
    <w:rsid w:val="00A1086E"/>
    <w:rsid w:val="00A12AB2"/>
    <w:rsid w:val="00A16501"/>
    <w:rsid w:val="00A16C4B"/>
    <w:rsid w:val="00A21DAD"/>
    <w:rsid w:val="00A22854"/>
    <w:rsid w:val="00A22F25"/>
    <w:rsid w:val="00A2477B"/>
    <w:rsid w:val="00A254F7"/>
    <w:rsid w:val="00A262BE"/>
    <w:rsid w:val="00A3317B"/>
    <w:rsid w:val="00A348D9"/>
    <w:rsid w:val="00A35065"/>
    <w:rsid w:val="00A370EB"/>
    <w:rsid w:val="00A40010"/>
    <w:rsid w:val="00A40023"/>
    <w:rsid w:val="00A41A97"/>
    <w:rsid w:val="00A437FD"/>
    <w:rsid w:val="00A466E6"/>
    <w:rsid w:val="00A47541"/>
    <w:rsid w:val="00A5266B"/>
    <w:rsid w:val="00A55F9C"/>
    <w:rsid w:val="00A637DA"/>
    <w:rsid w:val="00A639E6"/>
    <w:rsid w:val="00A63DA4"/>
    <w:rsid w:val="00A646DB"/>
    <w:rsid w:val="00A64F6D"/>
    <w:rsid w:val="00A7262E"/>
    <w:rsid w:val="00A75FA9"/>
    <w:rsid w:val="00A76420"/>
    <w:rsid w:val="00A76AD2"/>
    <w:rsid w:val="00A771CA"/>
    <w:rsid w:val="00A77B5D"/>
    <w:rsid w:val="00A809E5"/>
    <w:rsid w:val="00A81CB3"/>
    <w:rsid w:val="00A84955"/>
    <w:rsid w:val="00A870D2"/>
    <w:rsid w:val="00A91529"/>
    <w:rsid w:val="00A91944"/>
    <w:rsid w:val="00A91EE0"/>
    <w:rsid w:val="00A93ED2"/>
    <w:rsid w:val="00A947A3"/>
    <w:rsid w:val="00A94DE0"/>
    <w:rsid w:val="00A96A7E"/>
    <w:rsid w:val="00AA0397"/>
    <w:rsid w:val="00AA0FDC"/>
    <w:rsid w:val="00AA2A3B"/>
    <w:rsid w:val="00AA4050"/>
    <w:rsid w:val="00AA4BBF"/>
    <w:rsid w:val="00AA64C4"/>
    <w:rsid w:val="00AA7A0A"/>
    <w:rsid w:val="00AB11CD"/>
    <w:rsid w:val="00AB166C"/>
    <w:rsid w:val="00AB273C"/>
    <w:rsid w:val="00AB7C23"/>
    <w:rsid w:val="00AB7F05"/>
    <w:rsid w:val="00AC1C55"/>
    <w:rsid w:val="00AC3866"/>
    <w:rsid w:val="00AC3E8C"/>
    <w:rsid w:val="00AC4CDC"/>
    <w:rsid w:val="00AC7A2E"/>
    <w:rsid w:val="00AD08AE"/>
    <w:rsid w:val="00AD1612"/>
    <w:rsid w:val="00AD1AFD"/>
    <w:rsid w:val="00AD27EA"/>
    <w:rsid w:val="00AD2978"/>
    <w:rsid w:val="00AD2B7B"/>
    <w:rsid w:val="00AD64A9"/>
    <w:rsid w:val="00AD797D"/>
    <w:rsid w:val="00AE0B71"/>
    <w:rsid w:val="00AE3698"/>
    <w:rsid w:val="00AE4E6F"/>
    <w:rsid w:val="00AE6F49"/>
    <w:rsid w:val="00AF0FFF"/>
    <w:rsid w:val="00AF18D3"/>
    <w:rsid w:val="00AF2A3E"/>
    <w:rsid w:val="00AF5808"/>
    <w:rsid w:val="00AF726E"/>
    <w:rsid w:val="00B0235D"/>
    <w:rsid w:val="00B04480"/>
    <w:rsid w:val="00B066B7"/>
    <w:rsid w:val="00B1045B"/>
    <w:rsid w:val="00B10899"/>
    <w:rsid w:val="00B1489F"/>
    <w:rsid w:val="00B23122"/>
    <w:rsid w:val="00B2496C"/>
    <w:rsid w:val="00B254FE"/>
    <w:rsid w:val="00B2670B"/>
    <w:rsid w:val="00B305FB"/>
    <w:rsid w:val="00B3119F"/>
    <w:rsid w:val="00B31AFB"/>
    <w:rsid w:val="00B3512C"/>
    <w:rsid w:val="00B37B6A"/>
    <w:rsid w:val="00B40847"/>
    <w:rsid w:val="00B42375"/>
    <w:rsid w:val="00B42756"/>
    <w:rsid w:val="00B449BC"/>
    <w:rsid w:val="00B44A53"/>
    <w:rsid w:val="00B4592D"/>
    <w:rsid w:val="00B46ED8"/>
    <w:rsid w:val="00B4777C"/>
    <w:rsid w:val="00B567BE"/>
    <w:rsid w:val="00B57E3F"/>
    <w:rsid w:val="00B61109"/>
    <w:rsid w:val="00B65B8E"/>
    <w:rsid w:val="00B724FB"/>
    <w:rsid w:val="00B76D02"/>
    <w:rsid w:val="00B77386"/>
    <w:rsid w:val="00B81F7E"/>
    <w:rsid w:val="00B84ECB"/>
    <w:rsid w:val="00B85452"/>
    <w:rsid w:val="00B86F6A"/>
    <w:rsid w:val="00B91642"/>
    <w:rsid w:val="00B97C94"/>
    <w:rsid w:val="00BA10AE"/>
    <w:rsid w:val="00BA176F"/>
    <w:rsid w:val="00BA308D"/>
    <w:rsid w:val="00BA4BD3"/>
    <w:rsid w:val="00BA4C44"/>
    <w:rsid w:val="00BA537F"/>
    <w:rsid w:val="00BB0F8F"/>
    <w:rsid w:val="00BB2C18"/>
    <w:rsid w:val="00BB511F"/>
    <w:rsid w:val="00BB64EE"/>
    <w:rsid w:val="00BB67F2"/>
    <w:rsid w:val="00BC6C67"/>
    <w:rsid w:val="00BD01CD"/>
    <w:rsid w:val="00BD06A9"/>
    <w:rsid w:val="00BD2D36"/>
    <w:rsid w:val="00BD4F3B"/>
    <w:rsid w:val="00BE1C6C"/>
    <w:rsid w:val="00BE1EC4"/>
    <w:rsid w:val="00BF20CC"/>
    <w:rsid w:val="00BF5281"/>
    <w:rsid w:val="00BF562B"/>
    <w:rsid w:val="00BF6406"/>
    <w:rsid w:val="00BF6700"/>
    <w:rsid w:val="00C00009"/>
    <w:rsid w:val="00C01937"/>
    <w:rsid w:val="00C04506"/>
    <w:rsid w:val="00C111CD"/>
    <w:rsid w:val="00C1120F"/>
    <w:rsid w:val="00C14A25"/>
    <w:rsid w:val="00C14F9B"/>
    <w:rsid w:val="00C155DD"/>
    <w:rsid w:val="00C15C17"/>
    <w:rsid w:val="00C24721"/>
    <w:rsid w:val="00C265FD"/>
    <w:rsid w:val="00C26663"/>
    <w:rsid w:val="00C304E8"/>
    <w:rsid w:val="00C3428A"/>
    <w:rsid w:val="00C37B77"/>
    <w:rsid w:val="00C46AEC"/>
    <w:rsid w:val="00C50DCA"/>
    <w:rsid w:val="00C54C8E"/>
    <w:rsid w:val="00C57A3E"/>
    <w:rsid w:val="00C60BE6"/>
    <w:rsid w:val="00C637D7"/>
    <w:rsid w:val="00C743E1"/>
    <w:rsid w:val="00C81904"/>
    <w:rsid w:val="00C8202A"/>
    <w:rsid w:val="00C82842"/>
    <w:rsid w:val="00C82B51"/>
    <w:rsid w:val="00C87165"/>
    <w:rsid w:val="00C910B6"/>
    <w:rsid w:val="00C96D50"/>
    <w:rsid w:val="00CA4C95"/>
    <w:rsid w:val="00CA552F"/>
    <w:rsid w:val="00CB1899"/>
    <w:rsid w:val="00CB2677"/>
    <w:rsid w:val="00CB293F"/>
    <w:rsid w:val="00CB308A"/>
    <w:rsid w:val="00CB40F3"/>
    <w:rsid w:val="00CB4E3A"/>
    <w:rsid w:val="00CB6B48"/>
    <w:rsid w:val="00CC1D6E"/>
    <w:rsid w:val="00CC5632"/>
    <w:rsid w:val="00CD0CD2"/>
    <w:rsid w:val="00CD0D80"/>
    <w:rsid w:val="00CD13A6"/>
    <w:rsid w:val="00CD1C4B"/>
    <w:rsid w:val="00CD2A4B"/>
    <w:rsid w:val="00CD543D"/>
    <w:rsid w:val="00CD7FDC"/>
    <w:rsid w:val="00CE26E3"/>
    <w:rsid w:val="00CE53CE"/>
    <w:rsid w:val="00CE54D7"/>
    <w:rsid w:val="00CE6F35"/>
    <w:rsid w:val="00CF25CD"/>
    <w:rsid w:val="00CF2E8F"/>
    <w:rsid w:val="00CF7103"/>
    <w:rsid w:val="00D00172"/>
    <w:rsid w:val="00D016B4"/>
    <w:rsid w:val="00D020D9"/>
    <w:rsid w:val="00D02DA6"/>
    <w:rsid w:val="00D108DE"/>
    <w:rsid w:val="00D2630D"/>
    <w:rsid w:val="00D27B3C"/>
    <w:rsid w:val="00D313CF"/>
    <w:rsid w:val="00D31444"/>
    <w:rsid w:val="00D35053"/>
    <w:rsid w:val="00D35524"/>
    <w:rsid w:val="00D35711"/>
    <w:rsid w:val="00D421E8"/>
    <w:rsid w:val="00D4416D"/>
    <w:rsid w:val="00D4431A"/>
    <w:rsid w:val="00D463F9"/>
    <w:rsid w:val="00D51070"/>
    <w:rsid w:val="00D5125F"/>
    <w:rsid w:val="00D51A8F"/>
    <w:rsid w:val="00D5633A"/>
    <w:rsid w:val="00D6219B"/>
    <w:rsid w:val="00D62C86"/>
    <w:rsid w:val="00D65253"/>
    <w:rsid w:val="00D70252"/>
    <w:rsid w:val="00D72162"/>
    <w:rsid w:val="00D724B9"/>
    <w:rsid w:val="00D7310D"/>
    <w:rsid w:val="00D73328"/>
    <w:rsid w:val="00D83969"/>
    <w:rsid w:val="00D855A9"/>
    <w:rsid w:val="00D87976"/>
    <w:rsid w:val="00D91E56"/>
    <w:rsid w:val="00DA0A77"/>
    <w:rsid w:val="00DA17A9"/>
    <w:rsid w:val="00DA1FC6"/>
    <w:rsid w:val="00DA25FC"/>
    <w:rsid w:val="00DB1CCB"/>
    <w:rsid w:val="00DB35CE"/>
    <w:rsid w:val="00DB38DB"/>
    <w:rsid w:val="00DB4137"/>
    <w:rsid w:val="00DB6C78"/>
    <w:rsid w:val="00DC054D"/>
    <w:rsid w:val="00DC5150"/>
    <w:rsid w:val="00DC6423"/>
    <w:rsid w:val="00DC7279"/>
    <w:rsid w:val="00DC7C59"/>
    <w:rsid w:val="00DD0632"/>
    <w:rsid w:val="00DD3D65"/>
    <w:rsid w:val="00DD4A09"/>
    <w:rsid w:val="00DD500D"/>
    <w:rsid w:val="00DD5D58"/>
    <w:rsid w:val="00DE6691"/>
    <w:rsid w:val="00DE7754"/>
    <w:rsid w:val="00DE7D2E"/>
    <w:rsid w:val="00DF6CA1"/>
    <w:rsid w:val="00E00115"/>
    <w:rsid w:val="00E03D4C"/>
    <w:rsid w:val="00E134D8"/>
    <w:rsid w:val="00E13783"/>
    <w:rsid w:val="00E1435E"/>
    <w:rsid w:val="00E15C4B"/>
    <w:rsid w:val="00E16617"/>
    <w:rsid w:val="00E21271"/>
    <w:rsid w:val="00E252A8"/>
    <w:rsid w:val="00E27EFF"/>
    <w:rsid w:val="00E31AEA"/>
    <w:rsid w:val="00E328CE"/>
    <w:rsid w:val="00E32E3C"/>
    <w:rsid w:val="00E3385E"/>
    <w:rsid w:val="00E35546"/>
    <w:rsid w:val="00E370F7"/>
    <w:rsid w:val="00E44C5A"/>
    <w:rsid w:val="00E45318"/>
    <w:rsid w:val="00E457A2"/>
    <w:rsid w:val="00E46D09"/>
    <w:rsid w:val="00E508E7"/>
    <w:rsid w:val="00E51609"/>
    <w:rsid w:val="00E53ADF"/>
    <w:rsid w:val="00E646AB"/>
    <w:rsid w:val="00E71A02"/>
    <w:rsid w:val="00E71E17"/>
    <w:rsid w:val="00E73A3E"/>
    <w:rsid w:val="00E74BC5"/>
    <w:rsid w:val="00E74D31"/>
    <w:rsid w:val="00E75FE6"/>
    <w:rsid w:val="00E7728E"/>
    <w:rsid w:val="00E806B3"/>
    <w:rsid w:val="00E820D4"/>
    <w:rsid w:val="00E83E5C"/>
    <w:rsid w:val="00E84319"/>
    <w:rsid w:val="00E84855"/>
    <w:rsid w:val="00E90F1D"/>
    <w:rsid w:val="00E9100B"/>
    <w:rsid w:val="00E938D1"/>
    <w:rsid w:val="00E95314"/>
    <w:rsid w:val="00E9776B"/>
    <w:rsid w:val="00E97A82"/>
    <w:rsid w:val="00EA0A1F"/>
    <w:rsid w:val="00EA3B9B"/>
    <w:rsid w:val="00EA591A"/>
    <w:rsid w:val="00EA6267"/>
    <w:rsid w:val="00EA683A"/>
    <w:rsid w:val="00EB0534"/>
    <w:rsid w:val="00EB2100"/>
    <w:rsid w:val="00EB2600"/>
    <w:rsid w:val="00EB4094"/>
    <w:rsid w:val="00EB5924"/>
    <w:rsid w:val="00EB5DD7"/>
    <w:rsid w:val="00EB6CFB"/>
    <w:rsid w:val="00EB7436"/>
    <w:rsid w:val="00EC3857"/>
    <w:rsid w:val="00EC6785"/>
    <w:rsid w:val="00ED0AD2"/>
    <w:rsid w:val="00ED17DC"/>
    <w:rsid w:val="00ED1A70"/>
    <w:rsid w:val="00EE3794"/>
    <w:rsid w:val="00EE6270"/>
    <w:rsid w:val="00EE6DBE"/>
    <w:rsid w:val="00EF0D09"/>
    <w:rsid w:val="00EF2EB9"/>
    <w:rsid w:val="00F00A35"/>
    <w:rsid w:val="00F02EB0"/>
    <w:rsid w:val="00F02F79"/>
    <w:rsid w:val="00F044DC"/>
    <w:rsid w:val="00F1326E"/>
    <w:rsid w:val="00F14863"/>
    <w:rsid w:val="00F15E8D"/>
    <w:rsid w:val="00F2033F"/>
    <w:rsid w:val="00F2058E"/>
    <w:rsid w:val="00F25558"/>
    <w:rsid w:val="00F25B39"/>
    <w:rsid w:val="00F2691A"/>
    <w:rsid w:val="00F305CC"/>
    <w:rsid w:val="00F30607"/>
    <w:rsid w:val="00F321E2"/>
    <w:rsid w:val="00F35EAE"/>
    <w:rsid w:val="00F379FE"/>
    <w:rsid w:val="00F41920"/>
    <w:rsid w:val="00F428C5"/>
    <w:rsid w:val="00F4785E"/>
    <w:rsid w:val="00F525E8"/>
    <w:rsid w:val="00F5621B"/>
    <w:rsid w:val="00F5660A"/>
    <w:rsid w:val="00F61719"/>
    <w:rsid w:val="00F63BA9"/>
    <w:rsid w:val="00F71439"/>
    <w:rsid w:val="00F739CC"/>
    <w:rsid w:val="00F73A44"/>
    <w:rsid w:val="00F7722F"/>
    <w:rsid w:val="00F80808"/>
    <w:rsid w:val="00F85890"/>
    <w:rsid w:val="00F9180F"/>
    <w:rsid w:val="00F9272D"/>
    <w:rsid w:val="00F947E6"/>
    <w:rsid w:val="00F95399"/>
    <w:rsid w:val="00F97D3C"/>
    <w:rsid w:val="00FA0254"/>
    <w:rsid w:val="00FA51EA"/>
    <w:rsid w:val="00FA52AD"/>
    <w:rsid w:val="00FA57E7"/>
    <w:rsid w:val="00FA6CCB"/>
    <w:rsid w:val="00FB1BAF"/>
    <w:rsid w:val="00FB43A7"/>
    <w:rsid w:val="00FC0E68"/>
    <w:rsid w:val="00FC3421"/>
    <w:rsid w:val="00FC363D"/>
    <w:rsid w:val="00FD09A3"/>
    <w:rsid w:val="00FD0B3C"/>
    <w:rsid w:val="00FD375E"/>
    <w:rsid w:val="00FD3FFF"/>
    <w:rsid w:val="00FE0EB1"/>
    <w:rsid w:val="00FE10F6"/>
    <w:rsid w:val="00FE22BD"/>
    <w:rsid w:val="00FE3704"/>
    <w:rsid w:val="00FE5655"/>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332B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04"/>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uiPriority w:val="9"/>
    <w:qFormat/>
    <w:rsid w:val="00A93ED2"/>
    <w:pPr>
      <w:keepNext/>
      <w:keepLines/>
      <w:spacing w:before="280" w:after="80"/>
      <w:outlineLvl w:val="3"/>
    </w:pPr>
    <w:rPr>
      <w:color w:val="666666"/>
      <w:sz w:val="24"/>
      <w:szCs w:val="24"/>
    </w:rPr>
  </w:style>
  <w:style w:type="paragraph" w:styleId="Heading5">
    <w:name w:val="heading 5"/>
    <w:basedOn w:val="Normal1"/>
    <w:next w:val="Normal1"/>
    <w:link w:val="Heading5Char"/>
    <w:uiPriority w:val="9"/>
    <w:qFormat/>
    <w:rsid w:val="00A93ED2"/>
    <w:pPr>
      <w:keepNext/>
      <w:keepLines/>
      <w:spacing w:before="240" w:after="80"/>
      <w:outlineLvl w:val="4"/>
    </w:pPr>
    <w:rPr>
      <w:color w:val="666666"/>
    </w:rPr>
  </w:style>
  <w:style w:type="paragraph" w:styleId="Heading6">
    <w:name w:val="heading 6"/>
    <w:basedOn w:val="Normal1"/>
    <w:next w:val="Normal1"/>
    <w:link w:val="Heading6Char"/>
    <w:uiPriority w:val="9"/>
    <w:qFormat/>
    <w:rsid w:val="00A93ED2"/>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EF2EB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F2EB9"/>
    <w:pPr>
      <w:keepNext/>
      <w:keepLines/>
      <w:spacing w:before="80"/>
      <w:outlineLvl w:val="7"/>
    </w:pPr>
    <w:rPr>
      <w:rFonts w:asciiTheme="majorHAnsi" w:eastAsiaTheme="majorEastAsia" w:hAnsiTheme="majorHAnsi" w:cstheme="majorBidi"/>
      <w:caps/>
      <w:sz w:val="21"/>
      <w:szCs w:val="21"/>
    </w:rPr>
  </w:style>
  <w:style w:type="paragraph" w:styleId="Heading9">
    <w:name w:val="heading 9"/>
    <w:basedOn w:val="Normal"/>
    <w:next w:val="Normal"/>
    <w:link w:val="Heading9Char"/>
    <w:uiPriority w:val="9"/>
    <w:semiHidden/>
    <w:unhideWhenUsed/>
    <w:qFormat/>
    <w:rsid w:val="00EF2EB9"/>
    <w:pPr>
      <w:keepNext/>
      <w:keepLines/>
      <w:spacing w:before="80"/>
      <w:outlineLvl w:val="8"/>
    </w:pPr>
    <w:rPr>
      <w:rFonts w:asciiTheme="majorHAnsi" w:eastAsiaTheme="majorEastAsia" w:hAnsiTheme="majorHAnsi" w:cstheme="majorBidi"/>
      <w:i/>
      <w:iCs/>
      <w:cap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aliases w:val="No Indent"/>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A76AD2"/>
    <w:pPr>
      <w:tabs>
        <w:tab w:val="right" w:leader="dot" w:pos="9350"/>
      </w:tabs>
      <w:spacing w:after="100"/>
      <w:ind w:left="432"/>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DD3D65"/>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1"/>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A93ED2"/>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A93ED2"/>
    <w:rPr>
      <w:rFonts w:ascii="Arial" w:eastAsia="Arial" w:hAnsi="Arial" w:cs="Arial"/>
      <w:color w:val="666666"/>
    </w:rPr>
  </w:style>
  <w:style w:type="character" w:customStyle="1" w:styleId="Heading6Char">
    <w:name w:val="Heading 6 Char"/>
    <w:basedOn w:val="DefaultParagraphFont"/>
    <w:link w:val="Heading6"/>
    <w:uiPriority w:val="9"/>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uiPriority w:val="10"/>
    <w:qFormat/>
    <w:rsid w:val="00A93ED2"/>
    <w:pPr>
      <w:keepNext/>
      <w:keepLines/>
      <w:spacing w:after="60"/>
    </w:pPr>
    <w:rPr>
      <w:sz w:val="52"/>
      <w:szCs w:val="52"/>
    </w:rPr>
  </w:style>
  <w:style w:type="character" w:customStyle="1" w:styleId="TitleChar">
    <w:name w:val="Title Char"/>
    <w:basedOn w:val="DefaultParagraphFont"/>
    <w:link w:val="Title"/>
    <w:uiPriority w:val="10"/>
    <w:rsid w:val="00A93ED2"/>
    <w:rPr>
      <w:rFonts w:ascii="Arial" w:eastAsia="Arial" w:hAnsi="Arial" w:cs="Arial"/>
      <w:color w:val="000000"/>
      <w:sz w:val="52"/>
      <w:szCs w:val="52"/>
    </w:rPr>
  </w:style>
  <w:style w:type="paragraph" w:styleId="Subtitle">
    <w:name w:val="Subtitle"/>
    <w:basedOn w:val="Normal1"/>
    <w:next w:val="Normal1"/>
    <w:link w:val="SubtitleChar"/>
    <w:uiPriority w:val="11"/>
    <w:qFormat/>
    <w:rsid w:val="00A93ED2"/>
    <w:pPr>
      <w:keepNext/>
      <w:keepLines/>
      <w:spacing w:after="320"/>
    </w:pPr>
    <w:rPr>
      <w:color w:val="666666"/>
      <w:sz w:val="30"/>
      <w:szCs w:val="30"/>
    </w:rPr>
  </w:style>
  <w:style w:type="character" w:customStyle="1" w:styleId="SubtitleChar">
    <w:name w:val="Subtitle Char"/>
    <w:basedOn w:val="DefaultParagraphFont"/>
    <w:link w:val="Subtitle"/>
    <w:uiPriority w:val="11"/>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2"/>
      </w:numPr>
      <w:ind w:left="360"/>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styleId="TOC5">
    <w:name w:val="toc 5"/>
    <w:basedOn w:val="Normal"/>
    <w:next w:val="Normal"/>
    <w:autoRedefine/>
    <w:uiPriority w:val="39"/>
    <w:semiHidden/>
    <w:unhideWhenUsed/>
    <w:rsid w:val="009A1A8F"/>
    <w:pPr>
      <w:widowControl w:val="0"/>
      <w:spacing w:line="276" w:lineRule="auto"/>
      <w:ind w:left="880"/>
    </w:pPr>
    <w:rPr>
      <w:rFonts w:eastAsia="Arial" w:cs="Arial"/>
      <w:color w:val="000000"/>
      <w:sz w:val="20"/>
      <w:szCs w:val="20"/>
    </w:rPr>
  </w:style>
  <w:style w:type="paragraph" w:styleId="TOC6">
    <w:name w:val="toc 6"/>
    <w:basedOn w:val="Normal"/>
    <w:next w:val="Normal"/>
    <w:autoRedefine/>
    <w:uiPriority w:val="39"/>
    <w:semiHidden/>
    <w:unhideWhenUsed/>
    <w:rsid w:val="009A1A8F"/>
    <w:pPr>
      <w:widowControl w:val="0"/>
      <w:spacing w:line="276" w:lineRule="auto"/>
      <w:ind w:left="1100"/>
    </w:pPr>
    <w:rPr>
      <w:rFonts w:eastAsia="Arial" w:cs="Arial"/>
      <w:color w:val="000000"/>
      <w:sz w:val="20"/>
      <w:szCs w:val="20"/>
    </w:rPr>
  </w:style>
  <w:style w:type="paragraph" w:styleId="TOC7">
    <w:name w:val="toc 7"/>
    <w:basedOn w:val="Normal"/>
    <w:next w:val="Normal"/>
    <w:autoRedefine/>
    <w:uiPriority w:val="39"/>
    <w:semiHidden/>
    <w:unhideWhenUsed/>
    <w:rsid w:val="009A1A8F"/>
    <w:pPr>
      <w:widowControl w:val="0"/>
      <w:spacing w:line="276" w:lineRule="auto"/>
      <w:ind w:left="1320"/>
    </w:pPr>
    <w:rPr>
      <w:rFonts w:eastAsia="Arial" w:cs="Arial"/>
      <w:color w:val="000000"/>
      <w:sz w:val="20"/>
      <w:szCs w:val="20"/>
    </w:rPr>
  </w:style>
  <w:style w:type="paragraph" w:styleId="TOC8">
    <w:name w:val="toc 8"/>
    <w:basedOn w:val="Normal"/>
    <w:next w:val="Normal"/>
    <w:autoRedefine/>
    <w:uiPriority w:val="39"/>
    <w:semiHidden/>
    <w:unhideWhenUsed/>
    <w:rsid w:val="009A1A8F"/>
    <w:pPr>
      <w:widowControl w:val="0"/>
      <w:spacing w:line="276" w:lineRule="auto"/>
      <w:ind w:left="1540"/>
    </w:pPr>
    <w:rPr>
      <w:rFonts w:eastAsia="Arial" w:cs="Arial"/>
      <w:color w:val="000000"/>
      <w:sz w:val="20"/>
      <w:szCs w:val="20"/>
    </w:rPr>
  </w:style>
  <w:style w:type="paragraph" w:styleId="TOC9">
    <w:name w:val="toc 9"/>
    <w:basedOn w:val="Normal"/>
    <w:next w:val="Normal"/>
    <w:autoRedefine/>
    <w:uiPriority w:val="39"/>
    <w:semiHidden/>
    <w:unhideWhenUsed/>
    <w:rsid w:val="009A1A8F"/>
    <w:pPr>
      <w:widowControl w:val="0"/>
      <w:spacing w:line="276" w:lineRule="auto"/>
      <w:ind w:left="1760"/>
    </w:pPr>
    <w:rPr>
      <w:rFonts w:eastAsia="Arial" w:cs="Arial"/>
      <w:color w:val="000000"/>
      <w:sz w:val="20"/>
      <w:szCs w:val="20"/>
    </w:rPr>
  </w:style>
  <w:style w:type="character" w:customStyle="1" w:styleId="Mention2">
    <w:name w:val="Mention2"/>
    <w:basedOn w:val="DefaultParagraphFont"/>
    <w:uiPriority w:val="99"/>
    <w:semiHidden/>
    <w:unhideWhenUsed/>
    <w:rsid w:val="009A1A8F"/>
    <w:rPr>
      <w:color w:val="2B579A"/>
      <w:shd w:val="clear" w:color="auto" w:fill="E6E6E6"/>
    </w:rPr>
  </w:style>
  <w:style w:type="character" w:customStyle="1" w:styleId="greytext">
    <w:name w:val="grey_text"/>
    <w:basedOn w:val="DefaultParagraphFont"/>
    <w:rsid w:val="009A1A8F"/>
  </w:style>
  <w:style w:type="character" w:customStyle="1" w:styleId="UnresolvedMention3">
    <w:name w:val="Unresolved Mention3"/>
    <w:basedOn w:val="DefaultParagraphFont"/>
    <w:uiPriority w:val="99"/>
    <w:semiHidden/>
    <w:unhideWhenUsed/>
    <w:rsid w:val="009A1A8F"/>
    <w:rPr>
      <w:color w:val="808080"/>
      <w:shd w:val="clear" w:color="auto" w:fill="E6E6E6"/>
    </w:rPr>
  </w:style>
  <w:style w:type="paragraph" w:customStyle="1" w:styleId="ListParagraph2">
    <w:name w:val="List Paragraph 2"/>
    <w:basedOn w:val="ListParagraph"/>
    <w:qFormat/>
    <w:rsid w:val="009A1A8F"/>
    <w:pPr>
      <w:widowControl w:val="0"/>
      <w:spacing w:line="360" w:lineRule="auto"/>
      <w:ind w:left="1440" w:hanging="360"/>
    </w:pPr>
    <w:rPr>
      <w:rFonts w:ascii="Arial" w:eastAsia="Arial" w:hAnsi="Arial" w:cs="Arial"/>
      <w:color w:val="000000"/>
      <w:sz w:val="24"/>
    </w:rPr>
  </w:style>
  <w:style w:type="paragraph" w:customStyle="1" w:styleId="NCDBulletsLevel2">
    <w:name w:val="NCD.Bullets Level 2"/>
    <w:basedOn w:val="NCDBulletsLevel1"/>
    <w:qFormat/>
    <w:rsid w:val="00446B04"/>
    <w:pPr>
      <w:numPr>
        <w:numId w:val="3"/>
      </w:numPr>
    </w:pPr>
  </w:style>
  <w:style w:type="character" w:customStyle="1" w:styleId="Heading7Char">
    <w:name w:val="Heading 7 Char"/>
    <w:basedOn w:val="DefaultParagraphFont"/>
    <w:link w:val="Heading7"/>
    <w:uiPriority w:val="9"/>
    <w:semiHidden/>
    <w:rsid w:val="00EF2EB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F2EB9"/>
    <w:rPr>
      <w:rFonts w:asciiTheme="majorHAnsi" w:eastAsiaTheme="majorEastAsia" w:hAnsiTheme="majorHAnsi" w:cstheme="majorBidi"/>
      <w:caps/>
      <w:sz w:val="21"/>
      <w:szCs w:val="21"/>
    </w:rPr>
  </w:style>
  <w:style w:type="character" w:customStyle="1" w:styleId="Heading9Char">
    <w:name w:val="Heading 9 Char"/>
    <w:basedOn w:val="DefaultParagraphFont"/>
    <w:link w:val="Heading9"/>
    <w:uiPriority w:val="9"/>
    <w:semiHidden/>
    <w:rsid w:val="00EF2EB9"/>
    <w:rPr>
      <w:rFonts w:asciiTheme="majorHAnsi" w:eastAsiaTheme="majorEastAsia" w:hAnsiTheme="majorHAnsi" w:cstheme="majorBidi"/>
      <w:i/>
      <w:iCs/>
      <w:caps/>
      <w:sz w:val="21"/>
      <w:szCs w:val="21"/>
    </w:rPr>
  </w:style>
  <w:style w:type="paragraph" w:styleId="Caption">
    <w:name w:val="caption"/>
    <w:basedOn w:val="Normal"/>
    <w:next w:val="Normal"/>
    <w:uiPriority w:val="35"/>
    <w:semiHidden/>
    <w:unhideWhenUsed/>
    <w:qFormat/>
    <w:rsid w:val="00EF2EB9"/>
    <w:pPr>
      <w:spacing w:after="160"/>
    </w:pPr>
    <w:rPr>
      <w:rFonts w:eastAsiaTheme="minorEastAsia"/>
      <w:b/>
      <w:bCs/>
      <w:color w:val="ED7D31" w:themeColor="accent2"/>
      <w:spacing w:val="10"/>
      <w:sz w:val="16"/>
      <w:szCs w:val="16"/>
    </w:rPr>
  </w:style>
  <w:style w:type="paragraph" w:styleId="Quote">
    <w:name w:val="Quote"/>
    <w:basedOn w:val="Normal"/>
    <w:next w:val="Normal"/>
    <w:link w:val="QuoteChar"/>
    <w:uiPriority w:val="29"/>
    <w:qFormat/>
    <w:rsid w:val="00EF2EB9"/>
    <w:pPr>
      <w:spacing w:before="160" w:after="160" w:line="312" w:lineRule="auto"/>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F2EB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F2EB9"/>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F2EB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F2EB9"/>
    <w:rPr>
      <w:i/>
      <w:iCs/>
      <w:color w:val="auto"/>
    </w:rPr>
  </w:style>
  <w:style w:type="character" w:styleId="IntenseEmphasis">
    <w:name w:val="Intense Emphasis"/>
    <w:basedOn w:val="DefaultParagraphFont"/>
    <w:uiPriority w:val="21"/>
    <w:qFormat/>
    <w:rsid w:val="00EF2EB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F2EB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F2EB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F2EB9"/>
    <w:rPr>
      <w:rFonts w:asciiTheme="minorHAnsi" w:eastAsiaTheme="minorEastAsia" w:hAnsiTheme="minorHAnsi" w:cstheme="minorBidi"/>
      <w:b/>
      <w:bCs/>
      <w:i/>
      <w:iCs/>
      <w:caps w:val="0"/>
      <w:smallCaps w:val="0"/>
      <w:color w:val="auto"/>
      <w:spacing w:val="10"/>
      <w:w w:val="100"/>
      <w:sz w:val="20"/>
      <w:szCs w:val="20"/>
    </w:rPr>
  </w:style>
  <w:style w:type="character" w:customStyle="1" w:styleId="field-content">
    <w:name w:val="field-content"/>
    <w:basedOn w:val="DefaultParagraphFont"/>
    <w:rsid w:val="00EF2EB9"/>
  </w:style>
  <w:style w:type="paragraph" w:customStyle="1" w:styleId="CM51">
    <w:name w:val="CM51"/>
    <w:basedOn w:val="Default"/>
    <w:next w:val="Default"/>
    <w:uiPriority w:val="99"/>
    <w:rsid w:val="00EF2EB9"/>
    <w:pPr>
      <w:spacing w:line="283" w:lineRule="atLeast"/>
    </w:pPr>
    <w:rPr>
      <w:rFonts w:ascii="Times New Roman," w:hAnsi="Times New Roman," w:cstheme="minorBidi"/>
      <w:color w:val="auto"/>
    </w:rPr>
  </w:style>
  <w:style w:type="paragraph" w:customStyle="1" w:styleId="sublevel1">
    <w:name w:val="sublevel1"/>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sublevel2">
    <w:name w:val="sublevel2"/>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Pa4">
    <w:name w:val="Pa4"/>
    <w:basedOn w:val="Default"/>
    <w:next w:val="Default"/>
    <w:uiPriority w:val="99"/>
    <w:rsid w:val="00EF2EB9"/>
    <w:pPr>
      <w:spacing w:line="211" w:lineRule="atLeast"/>
    </w:pPr>
    <w:rPr>
      <w:rFonts w:ascii="NewCenturySchlbk" w:hAnsi="NewCenturySchlbk" w:cstheme="minorBidi"/>
      <w:color w:val="auto"/>
    </w:rPr>
  </w:style>
  <w:style w:type="paragraph" w:styleId="BodyText">
    <w:name w:val="Body Text"/>
    <w:basedOn w:val="Normal"/>
    <w:link w:val="BodyTextChar"/>
    <w:uiPriority w:val="1"/>
    <w:qFormat/>
    <w:rsid w:val="00EF2EB9"/>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EF2EB9"/>
    <w:rPr>
      <w:rFonts w:ascii="Arial" w:eastAsia="Arial" w:hAnsi="Arial" w:cs="Arial"/>
      <w:sz w:val="20"/>
      <w:szCs w:val="20"/>
    </w:rPr>
  </w:style>
  <w:style w:type="character" w:customStyle="1" w:styleId="contenttype">
    <w:name w:val="contenttype"/>
    <w:basedOn w:val="DefaultParagraphFont"/>
    <w:rsid w:val="00EF2EB9"/>
  </w:style>
  <w:style w:type="character" w:customStyle="1" w:styleId="file">
    <w:name w:val="file"/>
    <w:basedOn w:val="DefaultParagraphFont"/>
    <w:rsid w:val="00EF2EB9"/>
  </w:style>
  <w:style w:type="character" w:customStyle="1" w:styleId="UnresolvedMention4">
    <w:name w:val="Unresolved Mention4"/>
    <w:basedOn w:val="DefaultParagraphFont"/>
    <w:uiPriority w:val="99"/>
    <w:semiHidden/>
    <w:unhideWhenUsed/>
    <w:rsid w:val="00EF2EB9"/>
    <w:rPr>
      <w:color w:val="808080"/>
      <w:shd w:val="clear" w:color="auto" w:fill="E6E6E6"/>
    </w:rPr>
  </w:style>
  <w:style w:type="paragraph" w:customStyle="1" w:styleId="TableParagraph">
    <w:name w:val="Table Paragraph"/>
    <w:basedOn w:val="Normal"/>
    <w:uiPriority w:val="1"/>
    <w:qFormat/>
    <w:rsid w:val="00FC0E68"/>
    <w:pPr>
      <w:widowControl w:val="0"/>
      <w:spacing w:line="360" w:lineRule="auto"/>
    </w:pPr>
    <w:rPr>
      <w:rFonts w:ascii="Arial" w:hAnsi="Arial"/>
    </w:rPr>
  </w:style>
  <w:style w:type="paragraph" w:customStyle="1" w:styleId="p1">
    <w:name w:val="p1"/>
    <w:basedOn w:val="Normal"/>
    <w:rsid w:val="00FC0E68"/>
    <w:pPr>
      <w:spacing w:line="360" w:lineRule="auto"/>
    </w:pPr>
    <w:rPr>
      <w:rFonts w:ascii="Calibri" w:eastAsiaTheme="minorEastAsia" w:hAnsi="Calibri" w:cs="Times New Roman"/>
      <w:sz w:val="18"/>
      <w:szCs w:val="18"/>
    </w:rPr>
  </w:style>
  <w:style w:type="paragraph" w:customStyle="1" w:styleId="p2">
    <w:name w:val="p2"/>
    <w:basedOn w:val="Normal"/>
    <w:rsid w:val="00FC0E68"/>
    <w:pPr>
      <w:spacing w:line="360" w:lineRule="auto"/>
    </w:pPr>
    <w:rPr>
      <w:rFonts w:ascii="Calibri" w:eastAsiaTheme="minorEastAsia" w:hAnsi="Calibri" w:cs="Times New Roman"/>
      <w:sz w:val="17"/>
      <w:szCs w:val="17"/>
    </w:rPr>
  </w:style>
  <w:style w:type="paragraph" w:customStyle="1" w:styleId="Style1">
    <w:name w:val="Style1"/>
    <w:basedOn w:val="TOCHeading"/>
    <w:qFormat/>
    <w:rsid w:val="00FC0E68"/>
    <w:pPr>
      <w:spacing w:before="480" w:after="0" w:line="276" w:lineRule="auto"/>
      <w:jc w:val="left"/>
    </w:pPr>
    <w:rPr>
      <w:rFonts w:ascii="Arial" w:eastAsiaTheme="majorEastAsia" w:hAnsi="Arial" w:cstheme="majorBidi"/>
      <w:bCs/>
      <w:sz w:val="24"/>
      <w:szCs w:val="28"/>
    </w:rPr>
  </w:style>
  <w:style w:type="paragraph" w:customStyle="1" w:styleId="Style2">
    <w:name w:val="Style2"/>
    <w:basedOn w:val="Normal"/>
    <w:qFormat/>
    <w:rsid w:val="00FC0E68"/>
    <w:pPr>
      <w:spacing w:line="360" w:lineRule="auto"/>
    </w:pPr>
    <w:rPr>
      <w:rFonts w:ascii="Arial" w:hAnsi="Arial" w:cs="Arial"/>
      <w:sz w:val="24"/>
      <w:szCs w:val="24"/>
    </w:rPr>
  </w:style>
  <w:style w:type="paragraph" w:customStyle="1" w:styleId="Style3">
    <w:name w:val="Style3"/>
    <w:basedOn w:val="Normal"/>
    <w:next w:val="Style1"/>
    <w:qFormat/>
    <w:rsid w:val="00FC0E68"/>
    <w:pPr>
      <w:spacing w:line="360" w:lineRule="auto"/>
    </w:pPr>
    <w:rPr>
      <w:rFonts w:ascii="Arial" w:hAnsi="Arial"/>
      <w:sz w:val="24"/>
      <w:szCs w:val="24"/>
    </w:rPr>
  </w:style>
  <w:style w:type="paragraph" w:customStyle="1" w:styleId="Style4">
    <w:name w:val="Style4"/>
    <w:basedOn w:val="Normal"/>
    <w:qFormat/>
    <w:rsid w:val="00FC0E68"/>
    <w:pPr>
      <w:spacing w:line="360" w:lineRule="auto"/>
      <w:jc w:val="center"/>
    </w:pPr>
    <w:rPr>
      <w:rFonts w:ascii="Arial" w:hAnsi="Arial"/>
      <w:sz w:val="24"/>
      <w:szCs w:val="24"/>
    </w:rPr>
  </w:style>
  <w:style w:type="paragraph" w:customStyle="1" w:styleId="Style5">
    <w:name w:val="Style5"/>
    <w:basedOn w:val="Normal"/>
    <w:qFormat/>
    <w:rsid w:val="00FC0E68"/>
    <w:pPr>
      <w:spacing w:line="360" w:lineRule="auto"/>
      <w:jc w:val="center"/>
    </w:pPr>
    <w:rPr>
      <w:rFonts w:ascii="Arial" w:hAnsi="Arial" w:cs="Arial"/>
      <w:sz w:val="24"/>
      <w:szCs w:val="24"/>
    </w:rPr>
  </w:style>
  <w:style w:type="character" w:customStyle="1" w:styleId="date1">
    <w:name w:val="date1"/>
    <w:basedOn w:val="DefaultParagraphFont"/>
    <w:rsid w:val="00FC0E68"/>
  </w:style>
  <w:style w:type="character" w:customStyle="1" w:styleId="nlmstring-name">
    <w:name w:val="nlm_string-name"/>
    <w:basedOn w:val="DefaultParagraphFont"/>
    <w:rsid w:val="00FC0E68"/>
  </w:style>
  <w:style w:type="paragraph" w:customStyle="1" w:styleId="Colloquy">
    <w:name w:val="Colloquy"/>
    <w:basedOn w:val="Normal"/>
    <w:next w:val="Normal"/>
    <w:uiPriority w:val="99"/>
    <w:rsid w:val="00FC0E68"/>
    <w:pPr>
      <w:widowControl w:val="0"/>
      <w:autoSpaceDE w:val="0"/>
      <w:autoSpaceDN w:val="0"/>
      <w:adjustRightInd w:val="0"/>
      <w:spacing w:line="528" w:lineRule="atLeast"/>
      <w:ind w:right="-720"/>
    </w:pPr>
    <w:rPr>
      <w:rFonts w:ascii="Arial" w:eastAsiaTheme="minorEastAsia" w:hAnsi="Arial" w:cs="Arial"/>
      <w:sz w:val="24"/>
      <w:szCs w:val="24"/>
    </w:rPr>
  </w:style>
  <w:style w:type="character" w:customStyle="1" w:styleId="ae-compliance-indent">
    <w:name w:val="ae-compliance-indent"/>
    <w:basedOn w:val="DefaultParagraphFont"/>
    <w:rsid w:val="00FC0E68"/>
  </w:style>
  <w:style w:type="character" w:customStyle="1" w:styleId="hithighlight2">
    <w:name w:val="hithighlight2"/>
    <w:basedOn w:val="DefaultParagraphFont"/>
    <w:rsid w:val="00FC0E68"/>
    <w:rPr>
      <w:color w:val="000000"/>
      <w:shd w:val="clear" w:color="auto" w:fill="FFFF00"/>
    </w:rPr>
  </w:style>
  <w:style w:type="character" w:customStyle="1" w:styleId="xmsoendnotereference">
    <w:name w:val="xmsoendnotereference"/>
    <w:basedOn w:val="DefaultParagraphFont"/>
    <w:rsid w:val="00FC0E68"/>
  </w:style>
  <w:style w:type="character" w:customStyle="1" w:styleId="hangingindent">
    <w:name w:val="hangingindent"/>
    <w:basedOn w:val="DefaultParagraphFont"/>
    <w:rsid w:val="00FC0E68"/>
  </w:style>
  <w:style w:type="paragraph" w:customStyle="1" w:styleId="NCDloweralphaLevel2">
    <w:name w:val="NCD.loweralpha Level 2"/>
    <w:basedOn w:val="NCDBulletsLevel2"/>
    <w:qFormat/>
    <w:rsid w:val="00A77B5D"/>
    <w:pPr>
      <w:numPr>
        <w:numId w:val="11"/>
      </w:numPr>
      <w:spacing w:before="160" w:after="100"/>
    </w:pPr>
    <w:rPr>
      <w:color w:val="auto"/>
    </w:rPr>
  </w:style>
  <w:style w:type="paragraph" w:customStyle="1" w:styleId="NCDNationalCouncilStaff">
    <w:name w:val="NCD.National Council Staff"/>
    <w:qFormat/>
    <w:rsid w:val="009056E4"/>
    <w:pPr>
      <w:keepNext/>
      <w:keepLines/>
      <w:spacing w:before="480" w:line="276" w:lineRule="auto"/>
      <w:jc w:val="center"/>
      <w:outlineLvl w:val="0"/>
    </w:pPr>
    <w:rPr>
      <w:rFonts w:ascii="Arial" w:eastAsiaTheme="majorEastAsia" w:hAnsi="Arial" w:cs="Arial"/>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04"/>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uiPriority w:val="9"/>
    <w:qFormat/>
    <w:rsid w:val="00A93ED2"/>
    <w:pPr>
      <w:keepNext/>
      <w:keepLines/>
      <w:spacing w:before="280" w:after="80"/>
      <w:outlineLvl w:val="3"/>
    </w:pPr>
    <w:rPr>
      <w:color w:val="666666"/>
      <w:sz w:val="24"/>
      <w:szCs w:val="24"/>
    </w:rPr>
  </w:style>
  <w:style w:type="paragraph" w:styleId="Heading5">
    <w:name w:val="heading 5"/>
    <w:basedOn w:val="Normal1"/>
    <w:next w:val="Normal1"/>
    <w:link w:val="Heading5Char"/>
    <w:uiPriority w:val="9"/>
    <w:qFormat/>
    <w:rsid w:val="00A93ED2"/>
    <w:pPr>
      <w:keepNext/>
      <w:keepLines/>
      <w:spacing w:before="240" w:after="80"/>
      <w:outlineLvl w:val="4"/>
    </w:pPr>
    <w:rPr>
      <w:color w:val="666666"/>
    </w:rPr>
  </w:style>
  <w:style w:type="paragraph" w:styleId="Heading6">
    <w:name w:val="heading 6"/>
    <w:basedOn w:val="Normal1"/>
    <w:next w:val="Normal1"/>
    <w:link w:val="Heading6Char"/>
    <w:uiPriority w:val="9"/>
    <w:qFormat/>
    <w:rsid w:val="00A93ED2"/>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EF2EB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F2EB9"/>
    <w:pPr>
      <w:keepNext/>
      <w:keepLines/>
      <w:spacing w:before="80"/>
      <w:outlineLvl w:val="7"/>
    </w:pPr>
    <w:rPr>
      <w:rFonts w:asciiTheme="majorHAnsi" w:eastAsiaTheme="majorEastAsia" w:hAnsiTheme="majorHAnsi" w:cstheme="majorBidi"/>
      <w:caps/>
      <w:sz w:val="21"/>
      <w:szCs w:val="21"/>
    </w:rPr>
  </w:style>
  <w:style w:type="paragraph" w:styleId="Heading9">
    <w:name w:val="heading 9"/>
    <w:basedOn w:val="Normal"/>
    <w:next w:val="Normal"/>
    <w:link w:val="Heading9Char"/>
    <w:uiPriority w:val="9"/>
    <w:semiHidden/>
    <w:unhideWhenUsed/>
    <w:qFormat/>
    <w:rsid w:val="00EF2EB9"/>
    <w:pPr>
      <w:keepNext/>
      <w:keepLines/>
      <w:spacing w:before="80"/>
      <w:outlineLvl w:val="8"/>
    </w:pPr>
    <w:rPr>
      <w:rFonts w:asciiTheme="majorHAnsi" w:eastAsiaTheme="majorEastAsia" w:hAnsiTheme="majorHAnsi" w:cstheme="majorBidi"/>
      <w:i/>
      <w:iCs/>
      <w:cap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aliases w:val="No Indent"/>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A76AD2"/>
    <w:pPr>
      <w:tabs>
        <w:tab w:val="right" w:leader="dot" w:pos="9350"/>
      </w:tabs>
      <w:spacing w:after="100"/>
      <w:ind w:left="432"/>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DD3D65"/>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1"/>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A93ED2"/>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A93ED2"/>
    <w:rPr>
      <w:rFonts w:ascii="Arial" w:eastAsia="Arial" w:hAnsi="Arial" w:cs="Arial"/>
      <w:color w:val="666666"/>
    </w:rPr>
  </w:style>
  <w:style w:type="character" w:customStyle="1" w:styleId="Heading6Char">
    <w:name w:val="Heading 6 Char"/>
    <w:basedOn w:val="DefaultParagraphFont"/>
    <w:link w:val="Heading6"/>
    <w:uiPriority w:val="9"/>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uiPriority w:val="10"/>
    <w:qFormat/>
    <w:rsid w:val="00A93ED2"/>
    <w:pPr>
      <w:keepNext/>
      <w:keepLines/>
      <w:spacing w:after="60"/>
    </w:pPr>
    <w:rPr>
      <w:sz w:val="52"/>
      <w:szCs w:val="52"/>
    </w:rPr>
  </w:style>
  <w:style w:type="character" w:customStyle="1" w:styleId="TitleChar">
    <w:name w:val="Title Char"/>
    <w:basedOn w:val="DefaultParagraphFont"/>
    <w:link w:val="Title"/>
    <w:uiPriority w:val="10"/>
    <w:rsid w:val="00A93ED2"/>
    <w:rPr>
      <w:rFonts w:ascii="Arial" w:eastAsia="Arial" w:hAnsi="Arial" w:cs="Arial"/>
      <w:color w:val="000000"/>
      <w:sz w:val="52"/>
      <w:szCs w:val="52"/>
    </w:rPr>
  </w:style>
  <w:style w:type="paragraph" w:styleId="Subtitle">
    <w:name w:val="Subtitle"/>
    <w:basedOn w:val="Normal1"/>
    <w:next w:val="Normal1"/>
    <w:link w:val="SubtitleChar"/>
    <w:uiPriority w:val="11"/>
    <w:qFormat/>
    <w:rsid w:val="00A93ED2"/>
    <w:pPr>
      <w:keepNext/>
      <w:keepLines/>
      <w:spacing w:after="320"/>
    </w:pPr>
    <w:rPr>
      <w:color w:val="666666"/>
      <w:sz w:val="30"/>
      <w:szCs w:val="30"/>
    </w:rPr>
  </w:style>
  <w:style w:type="character" w:customStyle="1" w:styleId="SubtitleChar">
    <w:name w:val="Subtitle Char"/>
    <w:basedOn w:val="DefaultParagraphFont"/>
    <w:link w:val="Subtitle"/>
    <w:uiPriority w:val="11"/>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2"/>
      </w:numPr>
      <w:ind w:left="360"/>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styleId="TOC5">
    <w:name w:val="toc 5"/>
    <w:basedOn w:val="Normal"/>
    <w:next w:val="Normal"/>
    <w:autoRedefine/>
    <w:uiPriority w:val="39"/>
    <w:semiHidden/>
    <w:unhideWhenUsed/>
    <w:rsid w:val="009A1A8F"/>
    <w:pPr>
      <w:widowControl w:val="0"/>
      <w:spacing w:line="276" w:lineRule="auto"/>
      <w:ind w:left="880"/>
    </w:pPr>
    <w:rPr>
      <w:rFonts w:eastAsia="Arial" w:cs="Arial"/>
      <w:color w:val="000000"/>
      <w:sz w:val="20"/>
      <w:szCs w:val="20"/>
    </w:rPr>
  </w:style>
  <w:style w:type="paragraph" w:styleId="TOC6">
    <w:name w:val="toc 6"/>
    <w:basedOn w:val="Normal"/>
    <w:next w:val="Normal"/>
    <w:autoRedefine/>
    <w:uiPriority w:val="39"/>
    <w:semiHidden/>
    <w:unhideWhenUsed/>
    <w:rsid w:val="009A1A8F"/>
    <w:pPr>
      <w:widowControl w:val="0"/>
      <w:spacing w:line="276" w:lineRule="auto"/>
      <w:ind w:left="1100"/>
    </w:pPr>
    <w:rPr>
      <w:rFonts w:eastAsia="Arial" w:cs="Arial"/>
      <w:color w:val="000000"/>
      <w:sz w:val="20"/>
      <w:szCs w:val="20"/>
    </w:rPr>
  </w:style>
  <w:style w:type="paragraph" w:styleId="TOC7">
    <w:name w:val="toc 7"/>
    <w:basedOn w:val="Normal"/>
    <w:next w:val="Normal"/>
    <w:autoRedefine/>
    <w:uiPriority w:val="39"/>
    <w:semiHidden/>
    <w:unhideWhenUsed/>
    <w:rsid w:val="009A1A8F"/>
    <w:pPr>
      <w:widowControl w:val="0"/>
      <w:spacing w:line="276" w:lineRule="auto"/>
      <w:ind w:left="1320"/>
    </w:pPr>
    <w:rPr>
      <w:rFonts w:eastAsia="Arial" w:cs="Arial"/>
      <w:color w:val="000000"/>
      <w:sz w:val="20"/>
      <w:szCs w:val="20"/>
    </w:rPr>
  </w:style>
  <w:style w:type="paragraph" w:styleId="TOC8">
    <w:name w:val="toc 8"/>
    <w:basedOn w:val="Normal"/>
    <w:next w:val="Normal"/>
    <w:autoRedefine/>
    <w:uiPriority w:val="39"/>
    <w:semiHidden/>
    <w:unhideWhenUsed/>
    <w:rsid w:val="009A1A8F"/>
    <w:pPr>
      <w:widowControl w:val="0"/>
      <w:spacing w:line="276" w:lineRule="auto"/>
      <w:ind w:left="1540"/>
    </w:pPr>
    <w:rPr>
      <w:rFonts w:eastAsia="Arial" w:cs="Arial"/>
      <w:color w:val="000000"/>
      <w:sz w:val="20"/>
      <w:szCs w:val="20"/>
    </w:rPr>
  </w:style>
  <w:style w:type="paragraph" w:styleId="TOC9">
    <w:name w:val="toc 9"/>
    <w:basedOn w:val="Normal"/>
    <w:next w:val="Normal"/>
    <w:autoRedefine/>
    <w:uiPriority w:val="39"/>
    <w:semiHidden/>
    <w:unhideWhenUsed/>
    <w:rsid w:val="009A1A8F"/>
    <w:pPr>
      <w:widowControl w:val="0"/>
      <w:spacing w:line="276" w:lineRule="auto"/>
      <w:ind w:left="1760"/>
    </w:pPr>
    <w:rPr>
      <w:rFonts w:eastAsia="Arial" w:cs="Arial"/>
      <w:color w:val="000000"/>
      <w:sz w:val="20"/>
      <w:szCs w:val="20"/>
    </w:rPr>
  </w:style>
  <w:style w:type="character" w:customStyle="1" w:styleId="Mention2">
    <w:name w:val="Mention2"/>
    <w:basedOn w:val="DefaultParagraphFont"/>
    <w:uiPriority w:val="99"/>
    <w:semiHidden/>
    <w:unhideWhenUsed/>
    <w:rsid w:val="009A1A8F"/>
    <w:rPr>
      <w:color w:val="2B579A"/>
      <w:shd w:val="clear" w:color="auto" w:fill="E6E6E6"/>
    </w:rPr>
  </w:style>
  <w:style w:type="character" w:customStyle="1" w:styleId="greytext">
    <w:name w:val="grey_text"/>
    <w:basedOn w:val="DefaultParagraphFont"/>
    <w:rsid w:val="009A1A8F"/>
  </w:style>
  <w:style w:type="character" w:customStyle="1" w:styleId="UnresolvedMention3">
    <w:name w:val="Unresolved Mention3"/>
    <w:basedOn w:val="DefaultParagraphFont"/>
    <w:uiPriority w:val="99"/>
    <w:semiHidden/>
    <w:unhideWhenUsed/>
    <w:rsid w:val="009A1A8F"/>
    <w:rPr>
      <w:color w:val="808080"/>
      <w:shd w:val="clear" w:color="auto" w:fill="E6E6E6"/>
    </w:rPr>
  </w:style>
  <w:style w:type="paragraph" w:customStyle="1" w:styleId="ListParagraph2">
    <w:name w:val="List Paragraph 2"/>
    <w:basedOn w:val="ListParagraph"/>
    <w:qFormat/>
    <w:rsid w:val="009A1A8F"/>
    <w:pPr>
      <w:widowControl w:val="0"/>
      <w:spacing w:line="360" w:lineRule="auto"/>
      <w:ind w:left="1440" w:hanging="360"/>
    </w:pPr>
    <w:rPr>
      <w:rFonts w:ascii="Arial" w:eastAsia="Arial" w:hAnsi="Arial" w:cs="Arial"/>
      <w:color w:val="000000"/>
      <w:sz w:val="24"/>
    </w:rPr>
  </w:style>
  <w:style w:type="paragraph" w:customStyle="1" w:styleId="NCDBulletsLevel2">
    <w:name w:val="NCD.Bullets Level 2"/>
    <w:basedOn w:val="NCDBulletsLevel1"/>
    <w:qFormat/>
    <w:rsid w:val="00446B04"/>
    <w:pPr>
      <w:numPr>
        <w:numId w:val="3"/>
      </w:numPr>
    </w:pPr>
  </w:style>
  <w:style w:type="character" w:customStyle="1" w:styleId="Heading7Char">
    <w:name w:val="Heading 7 Char"/>
    <w:basedOn w:val="DefaultParagraphFont"/>
    <w:link w:val="Heading7"/>
    <w:uiPriority w:val="9"/>
    <w:semiHidden/>
    <w:rsid w:val="00EF2EB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F2EB9"/>
    <w:rPr>
      <w:rFonts w:asciiTheme="majorHAnsi" w:eastAsiaTheme="majorEastAsia" w:hAnsiTheme="majorHAnsi" w:cstheme="majorBidi"/>
      <w:caps/>
      <w:sz w:val="21"/>
      <w:szCs w:val="21"/>
    </w:rPr>
  </w:style>
  <w:style w:type="character" w:customStyle="1" w:styleId="Heading9Char">
    <w:name w:val="Heading 9 Char"/>
    <w:basedOn w:val="DefaultParagraphFont"/>
    <w:link w:val="Heading9"/>
    <w:uiPriority w:val="9"/>
    <w:semiHidden/>
    <w:rsid w:val="00EF2EB9"/>
    <w:rPr>
      <w:rFonts w:asciiTheme="majorHAnsi" w:eastAsiaTheme="majorEastAsia" w:hAnsiTheme="majorHAnsi" w:cstheme="majorBidi"/>
      <w:i/>
      <w:iCs/>
      <w:caps/>
      <w:sz w:val="21"/>
      <w:szCs w:val="21"/>
    </w:rPr>
  </w:style>
  <w:style w:type="paragraph" w:styleId="Caption">
    <w:name w:val="caption"/>
    <w:basedOn w:val="Normal"/>
    <w:next w:val="Normal"/>
    <w:uiPriority w:val="35"/>
    <w:semiHidden/>
    <w:unhideWhenUsed/>
    <w:qFormat/>
    <w:rsid w:val="00EF2EB9"/>
    <w:pPr>
      <w:spacing w:after="160"/>
    </w:pPr>
    <w:rPr>
      <w:rFonts w:eastAsiaTheme="minorEastAsia"/>
      <w:b/>
      <w:bCs/>
      <w:color w:val="ED7D31" w:themeColor="accent2"/>
      <w:spacing w:val="10"/>
      <w:sz w:val="16"/>
      <w:szCs w:val="16"/>
    </w:rPr>
  </w:style>
  <w:style w:type="paragraph" w:styleId="Quote">
    <w:name w:val="Quote"/>
    <w:basedOn w:val="Normal"/>
    <w:next w:val="Normal"/>
    <w:link w:val="QuoteChar"/>
    <w:uiPriority w:val="29"/>
    <w:qFormat/>
    <w:rsid w:val="00EF2EB9"/>
    <w:pPr>
      <w:spacing w:before="160" w:after="160" w:line="312" w:lineRule="auto"/>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F2EB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F2EB9"/>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F2EB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F2EB9"/>
    <w:rPr>
      <w:i/>
      <w:iCs/>
      <w:color w:val="auto"/>
    </w:rPr>
  </w:style>
  <w:style w:type="character" w:styleId="IntenseEmphasis">
    <w:name w:val="Intense Emphasis"/>
    <w:basedOn w:val="DefaultParagraphFont"/>
    <w:uiPriority w:val="21"/>
    <w:qFormat/>
    <w:rsid w:val="00EF2EB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F2EB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F2EB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F2EB9"/>
    <w:rPr>
      <w:rFonts w:asciiTheme="minorHAnsi" w:eastAsiaTheme="minorEastAsia" w:hAnsiTheme="minorHAnsi" w:cstheme="minorBidi"/>
      <w:b/>
      <w:bCs/>
      <w:i/>
      <w:iCs/>
      <w:caps w:val="0"/>
      <w:smallCaps w:val="0"/>
      <w:color w:val="auto"/>
      <w:spacing w:val="10"/>
      <w:w w:val="100"/>
      <w:sz w:val="20"/>
      <w:szCs w:val="20"/>
    </w:rPr>
  </w:style>
  <w:style w:type="character" w:customStyle="1" w:styleId="field-content">
    <w:name w:val="field-content"/>
    <w:basedOn w:val="DefaultParagraphFont"/>
    <w:rsid w:val="00EF2EB9"/>
  </w:style>
  <w:style w:type="paragraph" w:customStyle="1" w:styleId="CM51">
    <w:name w:val="CM51"/>
    <w:basedOn w:val="Default"/>
    <w:next w:val="Default"/>
    <w:uiPriority w:val="99"/>
    <w:rsid w:val="00EF2EB9"/>
    <w:pPr>
      <w:spacing w:line="283" w:lineRule="atLeast"/>
    </w:pPr>
    <w:rPr>
      <w:rFonts w:ascii="Times New Roman," w:hAnsi="Times New Roman," w:cstheme="minorBidi"/>
      <w:color w:val="auto"/>
    </w:rPr>
  </w:style>
  <w:style w:type="paragraph" w:customStyle="1" w:styleId="sublevel1">
    <w:name w:val="sublevel1"/>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sublevel2">
    <w:name w:val="sublevel2"/>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Pa4">
    <w:name w:val="Pa4"/>
    <w:basedOn w:val="Default"/>
    <w:next w:val="Default"/>
    <w:uiPriority w:val="99"/>
    <w:rsid w:val="00EF2EB9"/>
    <w:pPr>
      <w:spacing w:line="211" w:lineRule="atLeast"/>
    </w:pPr>
    <w:rPr>
      <w:rFonts w:ascii="NewCenturySchlbk" w:hAnsi="NewCenturySchlbk" w:cstheme="minorBidi"/>
      <w:color w:val="auto"/>
    </w:rPr>
  </w:style>
  <w:style w:type="paragraph" w:styleId="BodyText">
    <w:name w:val="Body Text"/>
    <w:basedOn w:val="Normal"/>
    <w:link w:val="BodyTextChar"/>
    <w:uiPriority w:val="1"/>
    <w:qFormat/>
    <w:rsid w:val="00EF2EB9"/>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EF2EB9"/>
    <w:rPr>
      <w:rFonts w:ascii="Arial" w:eastAsia="Arial" w:hAnsi="Arial" w:cs="Arial"/>
      <w:sz w:val="20"/>
      <w:szCs w:val="20"/>
    </w:rPr>
  </w:style>
  <w:style w:type="character" w:customStyle="1" w:styleId="contenttype">
    <w:name w:val="contenttype"/>
    <w:basedOn w:val="DefaultParagraphFont"/>
    <w:rsid w:val="00EF2EB9"/>
  </w:style>
  <w:style w:type="character" w:customStyle="1" w:styleId="file">
    <w:name w:val="file"/>
    <w:basedOn w:val="DefaultParagraphFont"/>
    <w:rsid w:val="00EF2EB9"/>
  </w:style>
  <w:style w:type="character" w:customStyle="1" w:styleId="UnresolvedMention4">
    <w:name w:val="Unresolved Mention4"/>
    <w:basedOn w:val="DefaultParagraphFont"/>
    <w:uiPriority w:val="99"/>
    <w:semiHidden/>
    <w:unhideWhenUsed/>
    <w:rsid w:val="00EF2EB9"/>
    <w:rPr>
      <w:color w:val="808080"/>
      <w:shd w:val="clear" w:color="auto" w:fill="E6E6E6"/>
    </w:rPr>
  </w:style>
  <w:style w:type="paragraph" w:customStyle="1" w:styleId="TableParagraph">
    <w:name w:val="Table Paragraph"/>
    <w:basedOn w:val="Normal"/>
    <w:uiPriority w:val="1"/>
    <w:qFormat/>
    <w:rsid w:val="00FC0E68"/>
    <w:pPr>
      <w:widowControl w:val="0"/>
      <w:spacing w:line="360" w:lineRule="auto"/>
    </w:pPr>
    <w:rPr>
      <w:rFonts w:ascii="Arial" w:hAnsi="Arial"/>
    </w:rPr>
  </w:style>
  <w:style w:type="paragraph" w:customStyle="1" w:styleId="p1">
    <w:name w:val="p1"/>
    <w:basedOn w:val="Normal"/>
    <w:rsid w:val="00FC0E68"/>
    <w:pPr>
      <w:spacing w:line="360" w:lineRule="auto"/>
    </w:pPr>
    <w:rPr>
      <w:rFonts w:ascii="Calibri" w:eastAsiaTheme="minorEastAsia" w:hAnsi="Calibri" w:cs="Times New Roman"/>
      <w:sz w:val="18"/>
      <w:szCs w:val="18"/>
    </w:rPr>
  </w:style>
  <w:style w:type="paragraph" w:customStyle="1" w:styleId="p2">
    <w:name w:val="p2"/>
    <w:basedOn w:val="Normal"/>
    <w:rsid w:val="00FC0E68"/>
    <w:pPr>
      <w:spacing w:line="360" w:lineRule="auto"/>
    </w:pPr>
    <w:rPr>
      <w:rFonts w:ascii="Calibri" w:eastAsiaTheme="minorEastAsia" w:hAnsi="Calibri" w:cs="Times New Roman"/>
      <w:sz w:val="17"/>
      <w:szCs w:val="17"/>
    </w:rPr>
  </w:style>
  <w:style w:type="paragraph" w:customStyle="1" w:styleId="Style1">
    <w:name w:val="Style1"/>
    <w:basedOn w:val="TOCHeading"/>
    <w:qFormat/>
    <w:rsid w:val="00FC0E68"/>
    <w:pPr>
      <w:spacing w:before="480" w:after="0" w:line="276" w:lineRule="auto"/>
      <w:jc w:val="left"/>
    </w:pPr>
    <w:rPr>
      <w:rFonts w:ascii="Arial" w:eastAsiaTheme="majorEastAsia" w:hAnsi="Arial" w:cstheme="majorBidi"/>
      <w:bCs/>
      <w:sz w:val="24"/>
      <w:szCs w:val="28"/>
    </w:rPr>
  </w:style>
  <w:style w:type="paragraph" w:customStyle="1" w:styleId="Style2">
    <w:name w:val="Style2"/>
    <w:basedOn w:val="Normal"/>
    <w:qFormat/>
    <w:rsid w:val="00FC0E68"/>
    <w:pPr>
      <w:spacing w:line="360" w:lineRule="auto"/>
    </w:pPr>
    <w:rPr>
      <w:rFonts w:ascii="Arial" w:hAnsi="Arial" w:cs="Arial"/>
      <w:sz w:val="24"/>
      <w:szCs w:val="24"/>
    </w:rPr>
  </w:style>
  <w:style w:type="paragraph" w:customStyle="1" w:styleId="Style3">
    <w:name w:val="Style3"/>
    <w:basedOn w:val="Normal"/>
    <w:next w:val="Style1"/>
    <w:qFormat/>
    <w:rsid w:val="00FC0E68"/>
    <w:pPr>
      <w:spacing w:line="360" w:lineRule="auto"/>
    </w:pPr>
    <w:rPr>
      <w:rFonts w:ascii="Arial" w:hAnsi="Arial"/>
      <w:sz w:val="24"/>
      <w:szCs w:val="24"/>
    </w:rPr>
  </w:style>
  <w:style w:type="paragraph" w:customStyle="1" w:styleId="Style4">
    <w:name w:val="Style4"/>
    <w:basedOn w:val="Normal"/>
    <w:qFormat/>
    <w:rsid w:val="00FC0E68"/>
    <w:pPr>
      <w:spacing w:line="360" w:lineRule="auto"/>
      <w:jc w:val="center"/>
    </w:pPr>
    <w:rPr>
      <w:rFonts w:ascii="Arial" w:hAnsi="Arial"/>
      <w:sz w:val="24"/>
      <w:szCs w:val="24"/>
    </w:rPr>
  </w:style>
  <w:style w:type="paragraph" w:customStyle="1" w:styleId="Style5">
    <w:name w:val="Style5"/>
    <w:basedOn w:val="Normal"/>
    <w:qFormat/>
    <w:rsid w:val="00FC0E68"/>
    <w:pPr>
      <w:spacing w:line="360" w:lineRule="auto"/>
      <w:jc w:val="center"/>
    </w:pPr>
    <w:rPr>
      <w:rFonts w:ascii="Arial" w:hAnsi="Arial" w:cs="Arial"/>
      <w:sz w:val="24"/>
      <w:szCs w:val="24"/>
    </w:rPr>
  </w:style>
  <w:style w:type="character" w:customStyle="1" w:styleId="date1">
    <w:name w:val="date1"/>
    <w:basedOn w:val="DefaultParagraphFont"/>
    <w:rsid w:val="00FC0E68"/>
  </w:style>
  <w:style w:type="character" w:customStyle="1" w:styleId="nlmstring-name">
    <w:name w:val="nlm_string-name"/>
    <w:basedOn w:val="DefaultParagraphFont"/>
    <w:rsid w:val="00FC0E68"/>
  </w:style>
  <w:style w:type="paragraph" w:customStyle="1" w:styleId="Colloquy">
    <w:name w:val="Colloquy"/>
    <w:basedOn w:val="Normal"/>
    <w:next w:val="Normal"/>
    <w:uiPriority w:val="99"/>
    <w:rsid w:val="00FC0E68"/>
    <w:pPr>
      <w:widowControl w:val="0"/>
      <w:autoSpaceDE w:val="0"/>
      <w:autoSpaceDN w:val="0"/>
      <w:adjustRightInd w:val="0"/>
      <w:spacing w:line="528" w:lineRule="atLeast"/>
      <w:ind w:right="-720"/>
    </w:pPr>
    <w:rPr>
      <w:rFonts w:ascii="Arial" w:eastAsiaTheme="minorEastAsia" w:hAnsi="Arial" w:cs="Arial"/>
      <w:sz w:val="24"/>
      <w:szCs w:val="24"/>
    </w:rPr>
  </w:style>
  <w:style w:type="character" w:customStyle="1" w:styleId="ae-compliance-indent">
    <w:name w:val="ae-compliance-indent"/>
    <w:basedOn w:val="DefaultParagraphFont"/>
    <w:rsid w:val="00FC0E68"/>
  </w:style>
  <w:style w:type="character" w:customStyle="1" w:styleId="hithighlight2">
    <w:name w:val="hithighlight2"/>
    <w:basedOn w:val="DefaultParagraphFont"/>
    <w:rsid w:val="00FC0E68"/>
    <w:rPr>
      <w:color w:val="000000"/>
      <w:shd w:val="clear" w:color="auto" w:fill="FFFF00"/>
    </w:rPr>
  </w:style>
  <w:style w:type="character" w:customStyle="1" w:styleId="xmsoendnotereference">
    <w:name w:val="xmsoendnotereference"/>
    <w:basedOn w:val="DefaultParagraphFont"/>
    <w:rsid w:val="00FC0E68"/>
  </w:style>
  <w:style w:type="character" w:customStyle="1" w:styleId="hangingindent">
    <w:name w:val="hangingindent"/>
    <w:basedOn w:val="DefaultParagraphFont"/>
    <w:rsid w:val="00FC0E68"/>
  </w:style>
  <w:style w:type="paragraph" w:customStyle="1" w:styleId="NCDloweralphaLevel2">
    <w:name w:val="NCD.loweralpha Level 2"/>
    <w:basedOn w:val="NCDBulletsLevel2"/>
    <w:qFormat/>
    <w:rsid w:val="00A77B5D"/>
    <w:pPr>
      <w:numPr>
        <w:numId w:val="11"/>
      </w:numPr>
      <w:spacing w:before="160" w:after="100"/>
    </w:pPr>
    <w:rPr>
      <w:color w:val="auto"/>
    </w:rPr>
  </w:style>
  <w:style w:type="paragraph" w:customStyle="1" w:styleId="NCDNationalCouncilStaff">
    <w:name w:val="NCD.National Council Staff"/>
    <w:qFormat/>
    <w:rsid w:val="009056E4"/>
    <w:pPr>
      <w:keepNext/>
      <w:keepLines/>
      <w:spacing w:before="480" w:line="276" w:lineRule="auto"/>
      <w:jc w:val="center"/>
      <w:outlineLvl w:val="0"/>
    </w:pPr>
    <w:rPr>
      <w:rFonts w:ascii="Arial" w:eastAsiaTheme="majorEastAsia" w:hAnsi="Arial" w:cs="Arial"/>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1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97388">
              <w:marLeft w:val="0"/>
              <w:marRight w:val="0"/>
              <w:marTop w:val="0"/>
              <w:marBottom w:val="0"/>
              <w:divBdr>
                <w:top w:val="none" w:sz="0" w:space="0" w:color="auto"/>
                <w:left w:val="none" w:sz="0" w:space="0" w:color="auto"/>
                <w:bottom w:val="none" w:sz="0" w:space="0" w:color="auto"/>
                <w:right w:val="none" w:sz="0" w:space="0" w:color="auto"/>
              </w:divBdr>
              <w:divsChild>
                <w:div w:id="43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480">
      <w:bodyDiv w:val="1"/>
      <w:marLeft w:val="0"/>
      <w:marRight w:val="0"/>
      <w:marTop w:val="0"/>
      <w:marBottom w:val="0"/>
      <w:divBdr>
        <w:top w:val="none" w:sz="0" w:space="0" w:color="auto"/>
        <w:left w:val="none" w:sz="0" w:space="0" w:color="auto"/>
        <w:bottom w:val="none" w:sz="0" w:space="0" w:color="auto"/>
        <w:right w:val="none" w:sz="0" w:space="0" w:color="auto"/>
      </w:divBdr>
    </w:div>
    <w:div w:id="256525669">
      <w:bodyDiv w:val="1"/>
      <w:marLeft w:val="0"/>
      <w:marRight w:val="0"/>
      <w:marTop w:val="0"/>
      <w:marBottom w:val="0"/>
      <w:divBdr>
        <w:top w:val="none" w:sz="0" w:space="0" w:color="auto"/>
        <w:left w:val="none" w:sz="0" w:space="0" w:color="auto"/>
        <w:bottom w:val="none" w:sz="0" w:space="0" w:color="auto"/>
        <w:right w:val="none" w:sz="0" w:space="0" w:color="auto"/>
      </w:divBdr>
    </w:div>
    <w:div w:id="442916696">
      <w:bodyDiv w:val="1"/>
      <w:marLeft w:val="0"/>
      <w:marRight w:val="0"/>
      <w:marTop w:val="0"/>
      <w:marBottom w:val="0"/>
      <w:divBdr>
        <w:top w:val="none" w:sz="0" w:space="0" w:color="auto"/>
        <w:left w:val="none" w:sz="0" w:space="0" w:color="auto"/>
        <w:bottom w:val="none" w:sz="0" w:space="0" w:color="auto"/>
        <w:right w:val="none" w:sz="0" w:space="0" w:color="auto"/>
      </w:divBdr>
    </w:div>
    <w:div w:id="537397776">
      <w:bodyDiv w:val="1"/>
      <w:marLeft w:val="0"/>
      <w:marRight w:val="0"/>
      <w:marTop w:val="0"/>
      <w:marBottom w:val="0"/>
      <w:divBdr>
        <w:top w:val="none" w:sz="0" w:space="0" w:color="auto"/>
        <w:left w:val="none" w:sz="0" w:space="0" w:color="auto"/>
        <w:bottom w:val="none" w:sz="0" w:space="0" w:color="auto"/>
        <w:right w:val="none" w:sz="0" w:space="0" w:color="auto"/>
      </w:divBdr>
      <w:divsChild>
        <w:div w:id="1280259810">
          <w:marLeft w:val="0"/>
          <w:marRight w:val="0"/>
          <w:marTop w:val="0"/>
          <w:marBottom w:val="0"/>
          <w:divBdr>
            <w:top w:val="none" w:sz="0" w:space="0" w:color="auto"/>
            <w:left w:val="none" w:sz="0" w:space="0" w:color="auto"/>
            <w:bottom w:val="none" w:sz="0" w:space="0" w:color="auto"/>
            <w:right w:val="none" w:sz="0" w:space="0" w:color="auto"/>
          </w:divBdr>
        </w:div>
      </w:divsChild>
    </w:div>
    <w:div w:id="550267450">
      <w:bodyDiv w:val="1"/>
      <w:marLeft w:val="0"/>
      <w:marRight w:val="0"/>
      <w:marTop w:val="0"/>
      <w:marBottom w:val="0"/>
      <w:divBdr>
        <w:top w:val="none" w:sz="0" w:space="0" w:color="auto"/>
        <w:left w:val="none" w:sz="0" w:space="0" w:color="auto"/>
        <w:bottom w:val="none" w:sz="0" w:space="0" w:color="auto"/>
        <w:right w:val="none" w:sz="0" w:space="0" w:color="auto"/>
      </w:divBdr>
    </w:div>
    <w:div w:id="566693816">
      <w:bodyDiv w:val="1"/>
      <w:marLeft w:val="0"/>
      <w:marRight w:val="0"/>
      <w:marTop w:val="0"/>
      <w:marBottom w:val="0"/>
      <w:divBdr>
        <w:top w:val="none" w:sz="0" w:space="0" w:color="auto"/>
        <w:left w:val="none" w:sz="0" w:space="0" w:color="auto"/>
        <w:bottom w:val="none" w:sz="0" w:space="0" w:color="auto"/>
        <w:right w:val="none" w:sz="0" w:space="0" w:color="auto"/>
      </w:divBdr>
    </w:div>
    <w:div w:id="742265580">
      <w:bodyDiv w:val="1"/>
      <w:marLeft w:val="0"/>
      <w:marRight w:val="0"/>
      <w:marTop w:val="0"/>
      <w:marBottom w:val="0"/>
      <w:divBdr>
        <w:top w:val="none" w:sz="0" w:space="0" w:color="auto"/>
        <w:left w:val="none" w:sz="0" w:space="0" w:color="auto"/>
        <w:bottom w:val="none" w:sz="0" w:space="0" w:color="auto"/>
        <w:right w:val="none" w:sz="0" w:space="0" w:color="auto"/>
      </w:divBdr>
    </w:div>
    <w:div w:id="889347656">
      <w:bodyDiv w:val="1"/>
      <w:marLeft w:val="0"/>
      <w:marRight w:val="0"/>
      <w:marTop w:val="0"/>
      <w:marBottom w:val="0"/>
      <w:divBdr>
        <w:top w:val="none" w:sz="0" w:space="0" w:color="auto"/>
        <w:left w:val="none" w:sz="0" w:space="0" w:color="auto"/>
        <w:bottom w:val="none" w:sz="0" w:space="0" w:color="auto"/>
        <w:right w:val="none" w:sz="0" w:space="0" w:color="auto"/>
      </w:divBdr>
    </w:div>
    <w:div w:id="930285522">
      <w:bodyDiv w:val="1"/>
      <w:marLeft w:val="0"/>
      <w:marRight w:val="0"/>
      <w:marTop w:val="0"/>
      <w:marBottom w:val="0"/>
      <w:divBdr>
        <w:top w:val="none" w:sz="0" w:space="0" w:color="auto"/>
        <w:left w:val="none" w:sz="0" w:space="0" w:color="auto"/>
        <w:bottom w:val="none" w:sz="0" w:space="0" w:color="auto"/>
        <w:right w:val="none" w:sz="0" w:space="0" w:color="auto"/>
      </w:divBdr>
    </w:div>
    <w:div w:id="934091836">
      <w:bodyDiv w:val="1"/>
      <w:marLeft w:val="0"/>
      <w:marRight w:val="0"/>
      <w:marTop w:val="0"/>
      <w:marBottom w:val="0"/>
      <w:divBdr>
        <w:top w:val="none" w:sz="0" w:space="0" w:color="auto"/>
        <w:left w:val="none" w:sz="0" w:space="0" w:color="auto"/>
        <w:bottom w:val="none" w:sz="0" w:space="0" w:color="auto"/>
        <w:right w:val="none" w:sz="0" w:space="0" w:color="auto"/>
      </w:divBdr>
    </w:div>
    <w:div w:id="1067387639">
      <w:bodyDiv w:val="1"/>
      <w:marLeft w:val="0"/>
      <w:marRight w:val="0"/>
      <w:marTop w:val="0"/>
      <w:marBottom w:val="0"/>
      <w:divBdr>
        <w:top w:val="none" w:sz="0" w:space="0" w:color="auto"/>
        <w:left w:val="none" w:sz="0" w:space="0" w:color="auto"/>
        <w:bottom w:val="none" w:sz="0" w:space="0" w:color="auto"/>
        <w:right w:val="none" w:sz="0" w:space="0" w:color="auto"/>
      </w:divBdr>
    </w:div>
    <w:div w:id="1106118758">
      <w:bodyDiv w:val="1"/>
      <w:marLeft w:val="0"/>
      <w:marRight w:val="0"/>
      <w:marTop w:val="0"/>
      <w:marBottom w:val="0"/>
      <w:divBdr>
        <w:top w:val="none" w:sz="0" w:space="0" w:color="auto"/>
        <w:left w:val="none" w:sz="0" w:space="0" w:color="auto"/>
        <w:bottom w:val="none" w:sz="0" w:space="0" w:color="auto"/>
        <w:right w:val="none" w:sz="0" w:space="0" w:color="auto"/>
      </w:divBdr>
    </w:div>
    <w:div w:id="1354041080">
      <w:bodyDiv w:val="1"/>
      <w:marLeft w:val="0"/>
      <w:marRight w:val="0"/>
      <w:marTop w:val="0"/>
      <w:marBottom w:val="0"/>
      <w:divBdr>
        <w:top w:val="none" w:sz="0" w:space="0" w:color="auto"/>
        <w:left w:val="none" w:sz="0" w:space="0" w:color="auto"/>
        <w:bottom w:val="none" w:sz="0" w:space="0" w:color="auto"/>
        <w:right w:val="none" w:sz="0" w:space="0" w:color="auto"/>
      </w:divBdr>
    </w:div>
    <w:div w:id="1443499617">
      <w:bodyDiv w:val="1"/>
      <w:marLeft w:val="0"/>
      <w:marRight w:val="0"/>
      <w:marTop w:val="0"/>
      <w:marBottom w:val="0"/>
      <w:divBdr>
        <w:top w:val="none" w:sz="0" w:space="0" w:color="auto"/>
        <w:left w:val="none" w:sz="0" w:space="0" w:color="auto"/>
        <w:bottom w:val="none" w:sz="0" w:space="0" w:color="auto"/>
        <w:right w:val="none" w:sz="0" w:space="0" w:color="auto"/>
      </w:divBdr>
    </w:div>
    <w:div w:id="1711958691">
      <w:bodyDiv w:val="1"/>
      <w:marLeft w:val="0"/>
      <w:marRight w:val="0"/>
      <w:marTop w:val="0"/>
      <w:marBottom w:val="0"/>
      <w:divBdr>
        <w:top w:val="none" w:sz="0" w:space="0" w:color="auto"/>
        <w:left w:val="none" w:sz="0" w:space="0" w:color="auto"/>
        <w:bottom w:val="none" w:sz="0" w:space="0" w:color="auto"/>
        <w:right w:val="none" w:sz="0" w:space="0" w:color="auto"/>
      </w:divBdr>
    </w:div>
    <w:div w:id="1779719307">
      <w:bodyDiv w:val="1"/>
      <w:marLeft w:val="0"/>
      <w:marRight w:val="0"/>
      <w:marTop w:val="0"/>
      <w:marBottom w:val="0"/>
      <w:divBdr>
        <w:top w:val="none" w:sz="0" w:space="0" w:color="auto"/>
        <w:left w:val="none" w:sz="0" w:space="0" w:color="auto"/>
        <w:bottom w:val="none" w:sz="0" w:space="0" w:color="auto"/>
        <w:right w:val="none" w:sz="0" w:space="0" w:color="auto"/>
      </w:divBdr>
    </w:div>
    <w:div w:id="1805155182">
      <w:bodyDiv w:val="1"/>
      <w:marLeft w:val="0"/>
      <w:marRight w:val="0"/>
      <w:marTop w:val="0"/>
      <w:marBottom w:val="0"/>
      <w:divBdr>
        <w:top w:val="none" w:sz="0" w:space="0" w:color="auto"/>
        <w:left w:val="none" w:sz="0" w:space="0" w:color="auto"/>
        <w:bottom w:val="none" w:sz="0" w:space="0" w:color="auto"/>
        <w:right w:val="none" w:sz="0" w:space="0" w:color="auto"/>
      </w:divBdr>
    </w:div>
    <w:div w:id="2037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ed.gov/programs/osepidea/618-data/index.html" TargetMode="Externa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pbi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2.ed.gov/programs/osepidea/618-data/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2.ed.gov/programs/osepidea/618-data/index.html" TargetMode="External"/><Relationship Id="rId22" Type="http://schemas.microsoft.com/office/2011/relationships/people" Target="people.xml"/></Relationships>
</file>

<file path=word/_rels/endnotes.xml.rels><?xml version="1.0" encoding="UTF-8" standalone="yes"?>
<Relationships xmlns="http://schemas.openxmlformats.org/package/2006/relationships"><Relationship Id="rId8" Type="http://schemas.openxmlformats.org/officeDocument/2006/relationships/hyperlink" Target="https://www2.ed.gov/policy/speced/guid/earlylearning/joint-statement-full-text.pdf" TargetMode="External"/><Relationship Id="rId13" Type="http://schemas.openxmlformats.org/officeDocument/2006/relationships/hyperlink" Target="http://www.leg.state.fl.us/statutes/index.cfm?mode=View%20Statutes&amp;SubMenu=1&amp;App_mode=Display_Statute&amp;Search_String=1003.57&amp;URL=1000-1099/1003/Sections/1003.57.html" TargetMode="External"/><Relationship Id="rId18" Type="http://schemas.openxmlformats.org/officeDocument/2006/relationships/hyperlink" Target="https://osep.grads360.org/services/PDCService.svc/GetPDCDocumentFile?fileId=24914" TargetMode="External"/><Relationship Id="rId26" Type="http://schemas.openxmlformats.org/officeDocument/2006/relationships/hyperlink" Target="http://www.cast.org/udlcourse/DifferInstruct.doc" TargetMode="External"/><Relationship Id="rId3" Type="http://schemas.openxmlformats.org/officeDocument/2006/relationships/hyperlink" Target="https://www2.ed.gov/fund/data/report/idea/ideafactsheet-determinations-2016.pdf" TargetMode="External"/><Relationship Id="rId21" Type="http://schemas.openxmlformats.org/officeDocument/2006/relationships/hyperlink" Target="https://www2.ed.gov/fund/data/report/idea/partbspap/2016/nj-aprltr-2016b.pdf" TargetMode="External"/><Relationship Id="rId7" Type="http://schemas.openxmlformats.org/officeDocument/2006/relationships/hyperlink" Target="https://www2.ed.gov/policy/speced/guid/idea/letters/2012-1/dearcolleague022912preschoollre1q2012.doc" TargetMode="External"/><Relationship Id="rId12" Type="http://schemas.openxmlformats.org/officeDocument/2006/relationships/hyperlink" Target="https://www.education.ne.gov/sped/technicalassist/Setting%20Goals%20Achieving%20Results%203-11-14.pdf" TargetMode="External"/><Relationship Id="rId17" Type="http://schemas.openxmlformats.org/officeDocument/2006/relationships/hyperlink" Target="http://www.nj.gov/education/code/current/title6a/chap14.pdf" TargetMode="External"/><Relationship Id="rId25" Type="http://schemas.openxmlformats.org/officeDocument/2006/relationships/hyperlink" Target="https://www.researchgate.net/publication/312084483_A_Summary_of_the_Research_Evidence_on_Inclusive_Education" TargetMode="External"/><Relationship Id="rId2" Type="http://schemas.openxmlformats.org/officeDocument/2006/relationships/hyperlink" Target="https://www.ncd.gov/rawmedia_repository/7bfb3c01_5c95_4d33_94b7_b80171d0b1bc.pdf" TargetMode="External"/><Relationship Id="rId16" Type="http://schemas.openxmlformats.org/officeDocument/2006/relationships/hyperlink" Target="http://www.k12.wa.us/SpecialEd/Families/LRE.aspx" TargetMode="External"/><Relationship Id="rId20" Type="http://schemas.openxmlformats.org/officeDocument/2006/relationships/hyperlink" Target="https://osep.grads360.org/" TargetMode="External"/><Relationship Id="rId29" Type="http://schemas.openxmlformats.org/officeDocument/2006/relationships/hyperlink" Target="http://ceedar.education.ufl.edu/tools/innovation-configurations/" TargetMode="External"/><Relationship Id="rId1" Type="http://schemas.openxmlformats.org/officeDocument/2006/relationships/hyperlink" Target="http://unesdoc.unesco.org/images/0023/002338/233813m.pdf" TargetMode="External"/><Relationship Id="rId6" Type="http://schemas.openxmlformats.org/officeDocument/2006/relationships/hyperlink" Target="https://www2.ed.gov/programs/osepidea/618-data/state-level-data-files/index.html" TargetMode="External"/><Relationship Id="rId11" Type="http://schemas.openxmlformats.org/officeDocument/2006/relationships/hyperlink" Target="https://www2.ed.gov/policy/speced/guid/idea/memosdcltrs/preschool-lre-dcl-1-10-17.pdf" TargetMode="External"/><Relationship Id="rId24" Type="http://schemas.openxmlformats.org/officeDocument/2006/relationships/hyperlink" Target="http://www.mcie.org/usermedia/application/6/inclusion_works_final.pdf" TargetMode="External"/><Relationship Id="rId5" Type="http://schemas.openxmlformats.org/officeDocument/2006/relationships/hyperlink" Target="https://www2.ed.gov/about/offices/list/ocr/docs/hq9806.html" TargetMode="External"/><Relationship Id="rId15" Type="http://schemas.openxmlformats.org/officeDocument/2006/relationships/hyperlink" Target="http://www.education.pa.gov/Documents/Codes%20and%20Regulations/Basic%20Education%20Circulars/PA%20Code/Least%20Restrictive%20Environment%20(LRE)%20and%20Educational%20Placement%20for%20Students%20with%20Individualized%20Education%20Programs%20(IEPs).pdf" TargetMode="External"/><Relationship Id="rId23" Type="http://schemas.openxmlformats.org/officeDocument/2006/relationships/hyperlink" Target="https://www.youtube.com/watch?v=KzVaecgNvlg" TargetMode="External"/><Relationship Id="rId28" Type="http://schemas.openxmlformats.org/officeDocument/2006/relationships/hyperlink" Target="https://jprc.wested.org/wp-content/uploads/2016/02/RJ_Literature-Review_20160217.pdf" TargetMode="External"/><Relationship Id="rId10" Type="http://schemas.openxmlformats.org/officeDocument/2006/relationships/hyperlink" Target="https://www2.ed.gov/policy/gen/guid/school-discipline/files/dcl-on-pbis-in-ieps--08-01-2016.pdf" TargetMode="External"/><Relationship Id="rId19" Type="http://schemas.openxmlformats.org/officeDocument/2006/relationships/hyperlink" Target="https://osep.grads360.org/" TargetMode="External"/><Relationship Id="rId4" Type="http://schemas.openxmlformats.org/officeDocument/2006/relationships/hyperlink" Target="https://www2.ed.gov/programs/osepidea/618-data/static-tables/index.html" TargetMode="External"/><Relationship Id="rId9" Type="http://schemas.openxmlformats.org/officeDocument/2006/relationships/hyperlink" Target="https://www2.ed.gov/policy/speced/guid/idea/memosdcltrs/guidance-on-fape-11-17-2015.pdf" TargetMode="External"/><Relationship Id="rId14" Type="http://schemas.openxmlformats.org/officeDocument/2006/relationships/hyperlink" Target="http://www.ksde.org/Portals/0/SES/PH/PH-Ch06.pdf?ver=2014-10-14-115539-767" TargetMode="External"/><Relationship Id="rId22" Type="http://schemas.openxmlformats.org/officeDocument/2006/relationships/hyperlink" Target="https://osep.grads360.org/services/PDCService.svc/GetPDCDocumentFile?fileId=20395" TargetMode="External"/><Relationship Id="rId27" Type="http://schemas.openxmlformats.org/officeDocument/2006/relationships/hyperlink" Target="http://www.pb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9161F-6CDD-4F24-AA1F-DBFA219A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74</Pages>
  <Words>15580</Words>
  <Characters>88807</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Advocacy Institute</dc:creator>
  <cp:lastModifiedBy>Rajesh S.</cp:lastModifiedBy>
  <cp:revision>114</cp:revision>
  <cp:lastPrinted>2017-12-20T04:17:00Z</cp:lastPrinted>
  <dcterms:created xsi:type="dcterms:W3CDTF">2017-11-27T13:24:00Z</dcterms:created>
  <dcterms:modified xsi:type="dcterms:W3CDTF">2017-12-20T04:18:00Z</dcterms:modified>
</cp:coreProperties>
</file>