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92" w:rsidRPr="000917F0" w:rsidRDefault="00445A92" w:rsidP="00445A92">
      <w:pPr>
        <w:pStyle w:val="Default"/>
        <w:tabs>
          <w:tab w:val="left" w:pos="873"/>
          <w:tab w:val="left" w:pos="945"/>
        </w:tabs>
        <w:spacing w:after="40"/>
        <w:rPr>
          <w:rFonts w:ascii="Arial Narrow" w:hAnsi="Arial Narrow"/>
          <w:b/>
          <w:sz w:val="32"/>
          <w:szCs w:val="32"/>
        </w:rPr>
      </w:pPr>
      <w:r>
        <w:rPr>
          <w:noProof/>
        </w:rPr>
        <w:drawing>
          <wp:anchor distT="0" distB="0" distL="114300" distR="114300" simplePos="0" relativeHeight="251662336" behindDoc="0" locked="0" layoutInCell="1" allowOverlap="1" wp14:anchorId="75799264" wp14:editId="53F20B2D">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ab/>
      </w:r>
      <w:r>
        <w:rPr>
          <w:rFonts w:ascii="Arial Narrow" w:hAnsi="Arial Narrow"/>
          <w:b/>
          <w:sz w:val="32"/>
          <w:szCs w:val="32"/>
        </w:rPr>
        <w:tab/>
        <w:t>National Council on Disability</w:t>
      </w:r>
    </w:p>
    <w:p w:rsidR="00445A92" w:rsidRPr="009F2663" w:rsidRDefault="00445A92" w:rsidP="00445A92">
      <w:pPr>
        <w:pStyle w:val="Default"/>
      </w:pPr>
      <w:r>
        <w:rPr>
          <w:noProof/>
        </w:rPr>
        <mc:AlternateContent>
          <mc:Choice Requires="wps">
            <w:drawing>
              <wp:anchor distT="0" distB="0" distL="114300" distR="114300" simplePos="0" relativeHeight="251661312" behindDoc="0" locked="0" layoutInCell="1" allowOverlap="1" wp14:anchorId="07A39923" wp14:editId="2A369AC0">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rsidR="00445A92" w:rsidRPr="00445A92" w:rsidRDefault="00445A92" w:rsidP="00445A92">
      <w:pPr>
        <w:shd w:val="solid" w:color="FFFFFF" w:fill="auto"/>
        <w:tabs>
          <w:tab w:val="right" w:pos="4781"/>
        </w:tabs>
        <w:spacing w:line="240" w:lineRule="auto"/>
        <w:rPr>
          <w:rFonts w:ascii="Arial" w:eastAsiaTheme="minorEastAsia" w:hAnsi="Arial" w:cs="Arial"/>
          <w:sz w:val="21"/>
          <w:szCs w:val="21"/>
        </w:rPr>
      </w:pPr>
      <w:proofErr w:type="gramStart"/>
      <w:r w:rsidRPr="00445A92">
        <w:rPr>
          <w:rFonts w:ascii="Arial" w:eastAsiaTheme="minorEastAsia" w:hAnsi="Arial" w:cs="Arial"/>
          <w:sz w:val="21"/>
          <w:szCs w:val="21"/>
        </w:rPr>
        <w:t>An independent federal agency making recommendations to the President and Congress to enhance the quality of life for all Americans with disabilities and their families.</w:t>
      </w:r>
      <w:proofErr w:type="gramEnd"/>
    </w:p>
    <w:p w:rsidR="00445A92" w:rsidRPr="00445A92" w:rsidRDefault="00445A92" w:rsidP="002E124F">
      <w:pPr>
        <w:pStyle w:val="Heading1"/>
      </w:pPr>
      <w:bookmarkStart w:id="0" w:name="_Toc493596656"/>
      <w:r w:rsidRPr="00445A92">
        <w:t>Letter of Transmittal</w:t>
      </w:r>
      <w:bookmarkEnd w:id="0"/>
    </w:p>
    <w:p w:rsidR="00445A92" w:rsidRPr="008F1C13" w:rsidRDefault="00445A92" w:rsidP="001C727B">
      <w:pPr>
        <w:autoSpaceDE w:val="0"/>
        <w:autoSpaceDN w:val="0"/>
        <w:spacing w:line="240" w:lineRule="auto"/>
        <w:rPr>
          <w:rFonts w:ascii="Arial" w:eastAsia="Times New Roman" w:hAnsi="Arial" w:cs="Arial"/>
          <w:color w:val="000000"/>
          <w:sz w:val="24"/>
          <w:szCs w:val="24"/>
        </w:rPr>
      </w:pPr>
      <w:r w:rsidRPr="008F1C13">
        <w:rPr>
          <w:rFonts w:ascii="Arial" w:eastAsia="Times New Roman" w:hAnsi="Arial" w:cs="Arial"/>
          <w:color w:val="000000"/>
          <w:sz w:val="24"/>
          <w:szCs w:val="24"/>
        </w:rPr>
        <w:t>October 26, 2017</w:t>
      </w:r>
    </w:p>
    <w:p w:rsidR="00445A92" w:rsidRPr="008F1C13" w:rsidRDefault="00445A92" w:rsidP="001C727B">
      <w:pPr>
        <w:spacing w:after="0" w:line="240" w:lineRule="auto"/>
        <w:rPr>
          <w:rFonts w:ascii="Arial" w:hAnsi="Arial" w:cs="Arial"/>
          <w:sz w:val="24"/>
          <w:szCs w:val="24"/>
        </w:rPr>
      </w:pPr>
      <w:r w:rsidRPr="008F1C13">
        <w:rPr>
          <w:rFonts w:ascii="Arial" w:hAnsi="Arial" w:cs="Arial"/>
          <w:sz w:val="24"/>
          <w:szCs w:val="24"/>
        </w:rPr>
        <w:t>President Donald J. Trump</w:t>
      </w:r>
    </w:p>
    <w:p w:rsidR="00445A92" w:rsidRPr="008F1C13" w:rsidRDefault="00445A92" w:rsidP="001C727B">
      <w:pPr>
        <w:spacing w:after="0" w:line="240" w:lineRule="auto"/>
        <w:rPr>
          <w:rFonts w:ascii="Arial" w:hAnsi="Arial" w:cs="Arial"/>
          <w:sz w:val="24"/>
          <w:szCs w:val="24"/>
        </w:rPr>
      </w:pPr>
      <w:r w:rsidRPr="008F1C13">
        <w:rPr>
          <w:rFonts w:ascii="Arial" w:hAnsi="Arial" w:cs="Arial"/>
          <w:sz w:val="24"/>
          <w:szCs w:val="24"/>
        </w:rPr>
        <w:t>The White House</w:t>
      </w:r>
    </w:p>
    <w:p w:rsidR="00445A92" w:rsidRPr="008F1C13" w:rsidRDefault="00445A92" w:rsidP="001C727B">
      <w:pPr>
        <w:spacing w:after="0" w:line="240" w:lineRule="auto"/>
        <w:rPr>
          <w:rFonts w:ascii="Arial" w:hAnsi="Arial" w:cs="Arial"/>
          <w:sz w:val="24"/>
          <w:szCs w:val="24"/>
        </w:rPr>
      </w:pPr>
      <w:r w:rsidRPr="008F1C13">
        <w:rPr>
          <w:rFonts w:ascii="Arial" w:hAnsi="Arial" w:cs="Arial"/>
          <w:sz w:val="24"/>
          <w:szCs w:val="24"/>
        </w:rPr>
        <w:t>1600 Pennsylvania Avenue NW</w:t>
      </w:r>
    </w:p>
    <w:p w:rsidR="00445A92" w:rsidRDefault="00445A92" w:rsidP="001C727B">
      <w:pPr>
        <w:spacing w:after="0" w:line="240" w:lineRule="auto"/>
        <w:rPr>
          <w:rFonts w:ascii="Arial" w:hAnsi="Arial" w:cs="Arial"/>
          <w:sz w:val="24"/>
          <w:szCs w:val="24"/>
        </w:rPr>
      </w:pPr>
      <w:r w:rsidRPr="008F1C13">
        <w:rPr>
          <w:rFonts w:ascii="Arial" w:hAnsi="Arial" w:cs="Arial"/>
          <w:sz w:val="24"/>
          <w:szCs w:val="24"/>
        </w:rPr>
        <w:t>Washington, DC 20500</w:t>
      </w:r>
    </w:p>
    <w:p w:rsidR="001C727B" w:rsidRPr="008F1C13" w:rsidRDefault="001C727B" w:rsidP="001C727B">
      <w:pPr>
        <w:spacing w:after="0" w:line="240" w:lineRule="auto"/>
        <w:rPr>
          <w:rFonts w:ascii="Arial" w:hAnsi="Arial" w:cs="Arial"/>
          <w:sz w:val="24"/>
          <w:szCs w:val="24"/>
        </w:rPr>
      </w:pPr>
    </w:p>
    <w:p w:rsidR="00445A92" w:rsidRPr="008F1C13" w:rsidRDefault="00445A92" w:rsidP="001C727B">
      <w:pPr>
        <w:spacing w:line="240" w:lineRule="auto"/>
        <w:rPr>
          <w:rFonts w:ascii="Arial" w:hAnsi="Arial" w:cs="Arial"/>
          <w:sz w:val="24"/>
          <w:szCs w:val="24"/>
        </w:rPr>
      </w:pPr>
      <w:r w:rsidRPr="008F1C13">
        <w:rPr>
          <w:rFonts w:ascii="Arial" w:hAnsi="Arial" w:cs="Arial"/>
          <w:sz w:val="24"/>
          <w:szCs w:val="24"/>
        </w:rPr>
        <w:t>Dear Mr. President:</w:t>
      </w:r>
    </w:p>
    <w:p w:rsidR="00445A92" w:rsidRPr="008F1C13" w:rsidRDefault="00445A92" w:rsidP="001C727B">
      <w:pPr>
        <w:pStyle w:val="CommentText"/>
        <w:spacing w:after="200"/>
        <w:rPr>
          <w:rFonts w:ascii="Arial" w:hAnsi="Arial" w:cs="Arial"/>
          <w:sz w:val="24"/>
          <w:szCs w:val="24"/>
        </w:rPr>
      </w:pPr>
      <w:r w:rsidRPr="008F1C13">
        <w:rPr>
          <w:rFonts w:ascii="Arial" w:hAnsi="Arial" w:cs="Arial"/>
          <w:sz w:val="24"/>
          <w:szCs w:val="24"/>
        </w:rPr>
        <w:t xml:space="preserve">The National Council on Disability (NCD) is pleased to present the 2017 edition of </w:t>
      </w:r>
      <w:r w:rsidRPr="008F1C13">
        <w:rPr>
          <w:rFonts w:ascii="Arial" w:hAnsi="Arial" w:cs="Arial"/>
          <w:i/>
          <w:sz w:val="24"/>
          <w:szCs w:val="24"/>
        </w:rPr>
        <w:t xml:space="preserve">National Disability Policy: A Progress Report. </w:t>
      </w:r>
      <w:r w:rsidRPr="008F1C13">
        <w:rPr>
          <w:rFonts w:ascii="Arial" w:hAnsi="Arial" w:cs="Arial"/>
          <w:sz w:val="24"/>
          <w:szCs w:val="24"/>
        </w:rPr>
        <w:t xml:space="preserve">Each year, NCD submits a statutorily mandated report to the White House and Congress to offer recommendations on new and emerging issues affecting the lives of people with disabilities. NCD identified one central topic as the </w:t>
      </w:r>
      <w:r w:rsidR="006F0871">
        <w:rPr>
          <w:rFonts w:ascii="Arial" w:hAnsi="Arial" w:cs="Arial"/>
          <w:sz w:val="24"/>
          <w:szCs w:val="24"/>
        </w:rPr>
        <w:t>theme</w:t>
      </w:r>
      <w:r w:rsidRPr="008F1C13">
        <w:rPr>
          <w:rFonts w:ascii="Arial" w:hAnsi="Arial" w:cs="Arial"/>
          <w:sz w:val="24"/>
          <w:szCs w:val="24"/>
        </w:rPr>
        <w:t xml:space="preserve"> for the 2017 </w:t>
      </w:r>
      <w:r w:rsidRPr="008F1C13">
        <w:rPr>
          <w:rFonts w:ascii="Arial" w:hAnsi="Arial" w:cs="Arial"/>
          <w:i/>
          <w:sz w:val="24"/>
          <w:szCs w:val="24"/>
        </w:rPr>
        <w:t>Progress Report</w:t>
      </w:r>
      <w:r w:rsidRPr="008F1C13">
        <w:rPr>
          <w:rFonts w:ascii="Arial" w:hAnsi="Arial" w:cs="Arial"/>
          <w:sz w:val="24"/>
          <w:szCs w:val="24"/>
        </w:rPr>
        <w:t xml:space="preserve">—poverty. The Council focused on poverty because it is the common thread that continues to compound many of the core concerns for people with disabilities. The report focuses on seven factors that are crucial for enhancing the economic independence of people with disabilities in our society: education, employment, financial assistance and incentives, health care, long-term services and supports, transportation, and housing. </w:t>
      </w:r>
    </w:p>
    <w:p w:rsidR="00445A92" w:rsidRPr="008F1C13" w:rsidRDefault="00445A92" w:rsidP="001C727B">
      <w:pPr>
        <w:pStyle w:val="NCDLetterofTransmittalBodyText"/>
        <w:spacing w:after="200"/>
      </w:pPr>
      <w:r w:rsidRPr="008F1C13">
        <w:t xml:space="preserve">NCD submits this report at a time when an increasing number of plans and initiatives to combat poverty have been announced. Poverty among people with disabilities has reached epidemic proportions. As a result, existing programs and policies must be revised to address the circumstances that keep Americans with disabilities from achieving economic self-sufficiency. This report addresses why people with disabilities are often destined to live in poverty and experience high unemployment despite existing federal regulations and public policies that are geared toward improving the lives of people with disabilities. </w:t>
      </w:r>
    </w:p>
    <w:p w:rsidR="00445A92" w:rsidRPr="008F1C13" w:rsidRDefault="00445A92" w:rsidP="001C727B">
      <w:pPr>
        <w:pStyle w:val="NCDLetterofTransmittalBodyText"/>
        <w:spacing w:after="200"/>
      </w:pPr>
      <w:r w:rsidRPr="008F1C13">
        <w:t xml:space="preserve">Issues reflected in the 2017 </w:t>
      </w:r>
      <w:r w:rsidRPr="008F1C13">
        <w:rPr>
          <w:i/>
        </w:rPr>
        <w:t>Progress Report</w:t>
      </w:r>
      <w:r w:rsidRPr="008F1C13">
        <w:t xml:space="preserve"> have implications for our society as a whole. With continuous advances in technology, health care, and education and ever-changing attitudes toward people with disabilities in society, there has never been a better time for Americans with disabilities to achieve economic independence. This report highlights the opportunities to improve existing policy as well as the need for forethought to ensure that any proposed policy changes in the fight against poverty do not inadvertently cause harm to people with disabilities but rather further our common goal of achieving economic self-sufficiency for all. </w:t>
      </w:r>
    </w:p>
    <w:p w:rsidR="00445A92" w:rsidRPr="008F1C13" w:rsidRDefault="00445A92" w:rsidP="001C727B">
      <w:pPr>
        <w:pStyle w:val="NCDLetterofTransmittalBodyText"/>
        <w:spacing w:after="200"/>
      </w:pPr>
      <w:r w:rsidRPr="008F1C13">
        <w:t xml:space="preserve">NCD appreciates the efforts of policymakers who continue to promote policies and practices that affect the economic self-sufficiency and independence of all people with </w:t>
      </w:r>
      <w:r w:rsidRPr="008F1C13">
        <w:lastRenderedPageBreak/>
        <w:t xml:space="preserve">disabilities. We invite Congress and the White House to continue this momentum by carefully considering the concerns and recommendations reflected here. </w:t>
      </w:r>
    </w:p>
    <w:p w:rsidR="00445A92" w:rsidRPr="008F1C13" w:rsidRDefault="00445A92" w:rsidP="001C727B">
      <w:pPr>
        <w:pStyle w:val="NCDLetterofTransmittalBodyText"/>
        <w:spacing w:after="200"/>
      </w:pPr>
      <w:r w:rsidRPr="008F1C13">
        <w:rPr>
          <w:noProof/>
        </w:rPr>
        <w:drawing>
          <wp:anchor distT="0" distB="0" distL="114300" distR="114300" simplePos="0" relativeHeight="251663360" behindDoc="1" locked="0" layoutInCell="1" allowOverlap="1" wp14:anchorId="359148BD" wp14:editId="21A050E8">
            <wp:simplePos x="0" y="0"/>
            <wp:positionH relativeFrom="column">
              <wp:posOffset>0</wp:posOffset>
            </wp:positionH>
            <wp:positionV relativeFrom="paragraph">
              <wp:posOffset>349250</wp:posOffset>
            </wp:positionV>
            <wp:extent cx="1682496" cy="786384"/>
            <wp:effectExtent l="0" t="0" r="0" b="0"/>
            <wp:wrapThrough wrapText="bothSides">
              <wp:wrapPolygon edited="0">
                <wp:start x="2691" y="0"/>
                <wp:lineTo x="0" y="3664"/>
                <wp:lineTo x="0" y="15703"/>
                <wp:lineTo x="11253" y="17796"/>
                <wp:lineTo x="11986" y="20414"/>
                <wp:lineTo x="14188" y="20414"/>
                <wp:lineTo x="15900" y="17796"/>
                <wp:lineTo x="20059" y="9422"/>
                <wp:lineTo x="21282" y="7851"/>
                <wp:lineTo x="19570" y="2094"/>
                <wp:lineTo x="3914" y="0"/>
                <wp:lineTo x="2691" y="0"/>
              </wp:wrapPolygon>
            </wp:wrapThrough>
            <wp:docPr id="5" name="Picture 5" descr="Clyde E. Terry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okley\AppData\Local\Microsoft\Windows\Temporary Internet Files\Content.Outlook\OMIQ3C26\ClydeSig-HighRes-Clean (0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496" cy="7863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1C13">
        <w:t>Respectfully,</w:t>
      </w:r>
    </w:p>
    <w:p w:rsidR="00445A92" w:rsidRPr="008F1C13" w:rsidRDefault="00445A92" w:rsidP="00467D9F">
      <w:pPr>
        <w:pStyle w:val="NCDLetterofTransmittalBodyText"/>
        <w:spacing w:before="1600" w:after="200"/>
        <w:rPr>
          <w:iCs/>
        </w:rPr>
      </w:pPr>
      <w:r w:rsidRPr="008F1C13">
        <w:rPr>
          <w:iCs/>
        </w:rPr>
        <w:t xml:space="preserve">Clyde E. Terry </w:t>
      </w:r>
    </w:p>
    <w:p w:rsidR="00445A92" w:rsidRPr="008F1C13" w:rsidRDefault="00445A92" w:rsidP="001C727B">
      <w:pPr>
        <w:pStyle w:val="NCDLetterofTransmittalBodyText"/>
        <w:spacing w:after="200"/>
      </w:pPr>
      <w:r w:rsidRPr="008F1C13">
        <w:t>Chairperson</w:t>
      </w:r>
    </w:p>
    <w:p w:rsidR="001C727B" w:rsidRPr="006212D8" w:rsidRDefault="001C727B" w:rsidP="009C0E39">
      <w:pPr>
        <w:pStyle w:val="LetterofTransmittalBodyText"/>
        <w:spacing w:before="9000" w:after="0"/>
      </w:pPr>
      <w:bookmarkStart w:id="1" w:name="_Toc308019618"/>
      <w:bookmarkStart w:id="2" w:name="_Toc367279636"/>
      <w:bookmarkStart w:id="3" w:name="_Toc334599290"/>
      <w:r w:rsidRPr="00D3063B">
        <w:rPr>
          <w:shd w:val="clear" w:color="auto" w:fill="FFFFFF"/>
        </w:rPr>
        <w:t>(The</w:t>
      </w:r>
      <w:r>
        <w:rPr>
          <w:shd w:val="clear" w:color="auto" w:fill="FFFFFF"/>
        </w:rPr>
        <w:t xml:space="preserve"> </w:t>
      </w:r>
      <w:r w:rsidRPr="00D3063B">
        <w:rPr>
          <w:shd w:val="clear" w:color="auto" w:fill="FFFFFF"/>
        </w:rPr>
        <w:t>same</w:t>
      </w:r>
      <w:r>
        <w:rPr>
          <w:shd w:val="clear" w:color="auto" w:fill="FFFFFF"/>
        </w:rPr>
        <w:t xml:space="preserve"> </w:t>
      </w:r>
      <w:r w:rsidRPr="00D3063B">
        <w:rPr>
          <w:shd w:val="clear" w:color="auto" w:fill="FFFFFF"/>
        </w:rPr>
        <w:t>letter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transmittal</w:t>
      </w:r>
      <w:r>
        <w:rPr>
          <w:shd w:val="clear" w:color="auto" w:fill="FFFFFF"/>
        </w:rPr>
        <w:t xml:space="preserve"> </w:t>
      </w:r>
      <w:r w:rsidRPr="00D3063B">
        <w:rPr>
          <w:shd w:val="clear" w:color="auto" w:fill="FFFFFF"/>
        </w:rPr>
        <w:t>was</w:t>
      </w:r>
      <w:r>
        <w:rPr>
          <w:shd w:val="clear" w:color="auto" w:fill="FFFFFF"/>
        </w:rPr>
        <w:t xml:space="preserve"> </w:t>
      </w:r>
      <w:r w:rsidRPr="00D3063B">
        <w:rPr>
          <w:shd w:val="clear" w:color="auto" w:fill="FFFFFF"/>
        </w:rPr>
        <w:t>sent</w:t>
      </w:r>
      <w:r>
        <w:rPr>
          <w:shd w:val="clear" w:color="auto" w:fill="FFFFFF"/>
        </w:rPr>
        <w:t xml:space="preserve"> </w:t>
      </w:r>
      <w:r w:rsidRPr="00D3063B">
        <w:rPr>
          <w:shd w:val="clear" w:color="auto" w:fill="FFFFFF"/>
        </w:rPr>
        <w:t>to</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President</w:t>
      </w:r>
      <w:r>
        <w:rPr>
          <w:shd w:val="clear" w:color="auto" w:fill="FFFFFF"/>
        </w:rPr>
        <w:t xml:space="preserve"> </w:t>
      </w:r>
      <w:r w:rsidRPr="00D3063B">
        <w:rPr>
          <w:shd w:val="clear" w:color="auto" w:fill="FFFFFF"/>
        </w:rPr>
        <w:t>Pro</w:t>
      </w:r>
      <w:r>
        <w:rPr>
          <w:shd w:val="clear" w:color="auto" w:fill="FFFFFF"/>
        </w:rPr>
        <w:t xml:space="preserve"> </w:t>
      </w:r>
      <w:r w:rsidRPr="00D3063B">
        <w:rPr>
          <w:shd w:val="clear" w:color="auto" w:fill="FFFFFF"/>
        </w:rPr>
        <w:t>Tempore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Senate</w:t>
      </w:r>
      <w:r>
        <w:rPr>
          <w:shd w:val="clear" w:color="auto" w:fill="FFFFFF"/>
        </w:rPr>
        <w:t xml:space="preserve"> </w:t>
      </w:r>
      <w:r w:rsidRPr="00D3063B">
        <w:rPr>
          <w:shd w:val="clear" w:color="auto" w:fill="FFFFFF"/>
        </w:rPr>
        <w:t>and</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Speaker</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the</w:t>
      </w:r>
      <w:r>
        <w:rPr>
          <w:shd w:val="clear" w:color="auto" w:fill="FFFFFF"/>
        </w:rPr>
        <w:t xml:space="preserve"> </w:t>
      </w:r>
      <w:r w:rsidRPr="00D3063B">
        <w:rPr>
          <w:shd w:val="clear" w:color="auto" w:fill="FFFFFF"/>
        </w:rPr>
        <w:t>U.S.</w:t>
      </w:r>
      <w:r>
        <w:rPr>
          <w:shd w:val="clear" w:color="auto" w:fill="FFFFFF"/>
        </w:rPr>
        <w:t xml:space="preserve"> </w:t>
      </w:r>
      <w:r w:rsidRPr="00D3063B">
        <w:rPr>
          <w:shd w:val="clear" w:color="auto" w:fill="FFFFFF"/>
        </w:rPr>
        <w:t>House</w:t>
      </w:r>
      <w:r>
        <w:rPr>
          <w:shd w:val="clear" w:color="auto" w:fill="FFFFFF"/>
        </w:rPr>
        <w:t xml:space="preserve"> </w:t>
      </w:r>
      <w:r w:rsidRPr="00D3063B">
        <w:rPr>
          <w:shd w:val="clear" w:color="auto" w:fill="FFFFFF"/>
        </w:rPr>
        <w:t>of</w:t>
      </w:r>
      <w:r>
        <w:rPr>
          <w:shd w:val="clear" w:color="auto" w:fill="FFFFFF"/>
        </w:rPr>
        <w:t xml:space="preserve"> </w:t>
      </w:r>
      <w:r w:rsidRPr="00D3063B">
        <w:rPr>
          <w:shd w:val="clear" w:color="auto" w:fill="FFFFFF"/>
        </w:rPr>
        <w:t>Representatives</w:t>
      </w:r>
      <w:r>
        <w:rPr>
          <w:shd w:val="clear" w:color="auto" w:fill="FFFFFF"/>
        </w:rPr>
        <w:t>.)</w:t>
      </w:r>
    </w:p>
    <w:p w:rsidR="00445A92" w:rsidRPr="005341F2" w:rsidRDefault="00445A92" w:rsidP="00445A92">
      <w:pPr>
        <w:pStyle w:val="NCDNationalCouncilStaff"/>
      </w:pPr>
      <w:r w:rsidRPr="005341F2">
        <w:lastRenderedPageBreak/>
        <w:t>National Council on Disability Members and Staff</w:t>
      </w:r>
      <w:bookmarkEnd w:id="1"/>
      <w:bookmarkEnd w:id="2"/>
    </w:p>
    <w:p w:rsidR="001C727B" w:rsidRDefault="001C727B" w:rsidP="00445A92">
      <w:pPr>
        <w:spacing w:before="240" w:line="240" w:lineRule="auto"/>
        <w:jc w:val="center"/>
        <w:rPr>
          <w:rFonts w:ascii="Arial" w:eastAsia="Times New Roman" w:hAnsi="Arial" w:cs="Arial"/>
          <w:b/>
          <w:szCs w:val="24"/>
          <w:lang w:bidi="en-US"/>
        </w:rPr>
      </w:pPr>
    </w:p>
    <w:p w:rsidR="00445A92" w:rsidRPr="001C727B" w:rsidRDefault="00445A92" w:rsidP="001C727B">
      <w:pPr>
        <w:pStyle w:val="NCDBodyText"/>
        <w:jc w:val="center"/>
        <w:rPr>
          <w:b/>
          <w:color w:val="000000"/>
          <w:lang w:bidi="en-US"/>
        </w:rPr>
      </w:pPr>
      <w:r w:rsidRPr="001C727B">
        <w:rPr>
          <w:b/>
          <w:color w:val="000000"/>
          <w:lang w:bidi="en-US"/>
        </w:rPr>
        <w:t>Members</w:t>
      </w:r>
    </w:p>
    <w:p w:rsidR="00F87112" w:rsidRPr="00F87112" w:rsidRDefault="001A47E5" w:rsidP="00F87112">
      <w:pPr>
        <w:pStyle w:val="NCDBodyText"/>
        <w:spacing w:after="0" w:line="240" w:lineRule="auto"/>
        <w:jc w:val="center"/>
      </w:pPr>
      <w:r w:rsidRPr="00DA0823">
        <w:rPr>
          <w:rFonts w:cs="Arial"/>
        </w:rPr>
        <w:t xml:space="preserve">Clyde E. Terry, </w:t>
      </w:r>
      <w:r w:rsidRPr="00DA0823">
        <w:rPr>
          <w:rFonts w:cs="Arial"/>
          <w:i/>
        </w:rPr>
        <w:t>Chairperson</w:t>
      </w:r>
    </w:p>
    <w:p w:rsidR="00F87112" w:rsidRPr="00F87112" w:rsidRDefault="001A47E5" w:rsidP="00F87112">
      <w:pPr>
        <w:pStyle w:val="NCDBodyText"/>
        <w:spacing w:after="0" w:line="240" w:lineRule="auto"/>
        <w:jc w:val="center"/>
      </w:pPr>
      <w:proofErr w:type="spellStart"/>
      <w:r w:rsidRPr="00DA0823">
        <w:rPr>
          <w:rFonts w:cs="Arial"/>
        </w:rPr>
        <w:t>Benro</w:t>
      </w:r>
      <w:proofErr w:type="spellEnd"/>
      <w:r w:rsidRPr="00DA0823">
        <w:rPr>
          <w:rFonts w:cs="Arial"/>
        </w:rPr>
        <w:t xml:space="preserve"> T. </w:t>
      </w:r>
      <w:proofErr w:type="spellStart"/>
      <w:r w:rsidRPr="00DA0823">
        <w:rPr>
          <w:rFonts w:cs="Arial"/>
        </w:rPr>
        <w:t>Ogunyipe</w:t>
      </w:r>
      <w:proofErr w:type="spellEnd"/>
      <w:r w:rsidRPr="00DA0823">
        <w:rPr>
          <w:rFonts w:cs="Arial"/>
        </w:rPr>
        <w:t xml:space="preserve">, </w:t>
      </w:r>
      <w:r w:rsidRPr="00DA0823">
        <w:rPr>
          <w:rFonts w:cs="Arial"/>
          <w:i/>
        </w:rPr>
        <w:t>Vice Chairperson</w:t>
      </w:r>
    </w:p>
    <w:p w:rsidR="00F87112" w:rsidRPr="00F87112" w:rsidRDefault="001A47E5" w:rsidP="00F87112">
      <w:pPr>
        <w:pStyle w:val="NCDBodyText"/>
        <w:spacing w:after="0" w:line="240" w:lineRule="auto"/>
        <w:jc w:val="center"/>
      </w:pPr>
      <w:r w:rsidRPr="00DA0823">
        <w:rPr>
          <w:rFonts w:cs="Arial"/>
        </w:rPr>
        <w:t xml:space="preserve">Billy </w:t>
      </w:r>
      <w:r>
        <w:rPr>
          <w:rFonts w:cs="Arial"/>
        </w:rPr>
        <w:t xml:space="preserve">W. </w:t>
      </w:r>
      <w:proofErr w:type="spellStart"/>
      <w:r w:rsidRPr="00DA0823">
        <w:rPr>
          <w:rFonts w:cs="Arial"/>
        </w:rPr>
        <w:t>Altom</w:t>
      </w:r>
      <w:proofErr w:type="spellEnd"/>
    </w:p>
    <w:p w:rsidR="00F87112" w:rsidRPr="00F87112" w:rsidRDefault="00F87112" w:rsidP="00F87112">
      <w:pPr>
        <w:pStyle w:val="NCDBodyText"/>
        <w:spacing w:after="0" w:line="240" w:lineRule="auto"/>
        <w:jc w:val="center"/>
      </w:pPr>
      <w:proofErr w:type="spellStart"/>
      <w:r w:rsidRPr="00F87112">
        <w:t>Rabia</w:t>
      </w:r>
      <w:proofErr w:type="spellEnd"/>
      <w:r w:rsidRPr="00F87112">
        <w:t xml:space="preserve"> Belt</w:t>
      </w:r>
    </w:p>
    <w:p w:rsidR="00F87112" w:rsidRPr="00F87112" w:rsidRDefault="001A47E5" w:rsidP="00F87112">
      <w:pPr>
        <w:pStyle w:val="NCDBodyText"/>
        <w:spacing w:after="0" w:line="240" w:lineRule="auto"/>
        <w:jc w:val="center"/>
      </w:pPr>
      <w:r w:rsidRPr="00DA0823">
        <w:rPr>
          <w:rFonts w:cs="Arial"/>
        </w:rPr>
        <w:t>James T. Brett</w:t>
      </w:r>
    </w:p>
    <w:p w:rsidR="00F87112" w:rsidRPr="00F87112" w:rsidRDefault="001A47E5" w:rsidP="00F87112">
      <w:pPr>
        <w:pStyle w:val="NCDBodyText"/>
        <w:spacing w:after="0" w:line="240" w:lineRule="auto"/>
        <w:jc w:val="center"/>
      </w:pPr>
      <w:r w:rsidRPr="00DA0823">
        <w:rPr>
          <w:rFonts w:cs="Arial"/>
        </w:rPr>
        <w:t>Bob Brown</w:t>
      </w:r>
    </w:p>
    <w:p w:rsidR="00F87112" w:rsidRPr="00F87112" w:rsidRDefault="001A47E5" w:rsidP="00F87112">
      <w:pPr>
        <w:pStyle w:val="NCDBodyText"/>
        <w:spacing w:after="0" w:line="240" w:lineRule="auto"/>
        <w:jc w:val="center"/>
      </w:pPr>
      <w:r w:rsidRPr="00DA0823">
        <w:rPr>
          <w:rFonts w:cs="Arial"/>
        </w:rPr>
        <w:t>Daniel</w:t>
      </w:r>
      <w:r>
        <w:rPr>
          <w:rFonts w:cs="Arial"/>
        </w:rPr>
        <w:t xml:space="preserve"> M.</w:t>
      </w:r>
      <w:r w:rsidRPr="00DA0823">
        <w:rPr>
          <w:rFonts w:cs="Arial"/>
        </w:rPr>
        <w:t xml:space="preserve"> </w:t>
      </w:r>
      <w:proofErr w:type="spellStart"/>
      <w:r w:rsidRPr="00DA0823">
        <w:rPr>
          <w:rFonts w:cs="Arial"/>
        </w:rPr>
        <w:t>Gade</w:t>
      </w:r>
      <w:proofErr w:type="spellEnd"/>
    </w:p>
    <w:p w:rsidR="00F87112" w:rsidRPr="00F87112" w:rsidRDefault="001A47E5" w:rsidP="00F87112">
      <w:pPr>
        <w:pStyle w:val="NCDBodyText"/>
        <w:spacing w:after="0" w:line="240" w:lineRule="auto"/>
        <w:jc w:val="center"/>
      </w:pPr>
      <w:r w:rsidRPr="00DA0823">
        <w:rPr>
          <w:rFonts w:cs="Arial"/>
        </w:rPr>
        <w:t xml:space="preserve">Wendy </w:t>
      </w:r>
      <w:r>
        <w:rPr>
          <w:rFonts w:cs="Arial"/>
        </w:rPr>
        <w:t xml:space="preserve">S. </w:t>
      </w:r>
      <w:proofErr w:type="spellStart"/>
      <w:r w:rsidRPr="00DA0823">
        <w:rPr>
          <w:rFonts w:cs="Arial"/>
        </w:rPr>
        <w:t>Harbour</w:t>
      </w:r>
      <w:proofErr w:type="spellEnd"/>
    </w:p>
    <w:p w:rsidR="00F87112" w:rsidRPr="00F87112" w:rsidRDefault="001A47E5" w:rsidP="00F87112">
      <w:pPr>
        <w:pStyle w:val="NCDBodyText"/>
        <w:spacing w:after="0" w:line="240" w:lineRule="auto"/>
        <w:jc w:val="center"/>
      </w:pPr>
      <w:r w:rsidRPr="00DA0823">
        <w:rPr>
          <w:rFonts w:cs="Arial"/>
        </w:rPr>
        <w:t>Neil Romano</w:t>
      </w:r>
    </w:p>
    <w:p w:rsidR="00445A92" w:rsidRPr="00B9617A" w:rsidRDefault="00445A92" w:rsidP="00B9617A">
      <w:pPr>
        <w:spacing w:before="240" w:line="240" w:lineRule="auto"/>
        <w:jc w:val="center"/>
        <w:rPr>
          <w:rFonts w:ascii="Arial" w:eastAsia="Times New Roman" w:hAnsi="Arial" w:cs="Arial"/>
          <w:b/>
          <w:szCs w:val="24"/>
          <w:lang w:bidi="en-US"/>
        </w:rPr>
      </w:pPr>
    </w:p>
    <w:p w:rsidR="00445A92" w:rsidRPr="001C727B" w:rsidRDefault="00445A92" w:rsidP="001C727B">
      <w:pPr>
        <w:pStyle w:val="NCDBodyText"/>
        <w:jc w:val="center"/>
        <w:rPr>
          <w:b/>
          <w:color w:val="000000"/>
          <w:lang w:bidi="en-US"/>
        </w:rPr>
      </w:pPr>
      <w:r w:rsidRPr="001C727B">
        <w:rPr>
          <w:b/>
          <w:color w:val="000000"/>
          <w:lang w:bidi="en-US"/>
        </w:rPr>
        <w:t>Staff</w:t>
      </w:r>
    </w:p>
    <w:p w:rsidR="001A47E5" w:rsidRPr="00B6211B" w:rsidRDefault="001A47E5" w:rsidP="001A47E5">
      <w:pPr>
        <w:pStyle w:val="NCDBodyText"/>
        <w:spacing w:after="0" w:line="240" w:lineRule="auto"/>
        <w:jc w:val="center"/>
        <w:rPr>
          <w:iCs/>
        </w:rPr>
      </w:pPr>
      <w:r>
        <w:rPr>
          <w:i/>
        </w:rPr>
        <w:t>Vacant</w:t>
      </w:r>
      <w:r w:rsidRPr="00B6211B">
        <w:t>,</w:t>
      </w:r>
      <w:r>
        <w:t xml:space="preserve"> </w:t>
      </w:r>
      <w:r w:rsidRPr="00B6211B">
        <w:t>Executive</w:t>
      </w:r>
      <w:r>
        <w:t xml:space="preserve"> </w:t>
      </w:r>
      <w:r w:rsidRPr="00B6211B">
        <w:t>Director</w:t>
      </w:r>
    </w:p>
    <w:p w:rsidR="001A47E5" w:rsidRPr="00B6211B" w:rsidRDefault="001A47E5" w:rsidP="001A47E5">
      <w:pPr>
        <w:pStyle w:val="NCDBodyText"/>
        <w:spacing w:after="0" w:line="240" w:lineRule="auto"/>
        <w:jc w:val="center"/>
        <w:rPr>
          <w:iCs/>
        </w:rPr>
      </w:pPr>
      <w:r w:rsidRPr="00B6211B">
        <w:t>Joan</w:t>
      </w:r>
      <w:r>
        <w:t xml:space="preserve"> </w:t>
      </w:r>
      <w:r w:rsidRPr="00B6211B">
        <w:t>M.</w:t>
      </w:r>
      <w:r>
        <w:t xml:space="preserve"> </w:t>
      </w:r>
      <w:r w:rsidRPr="00B6211B">
        <w:t>Durocher,</w:t>
      </w:r>
      <w:r>
        <w:t xml:space="preserve"> </w:t>
      </w:r>
      <w:r w:rsidRPr="00B6211B">
        <w:t>General</w:t>
      </w:r>
      <w:r>
        <w:t xml:space="preserve"> </w:t>
      </w:r>
      <w:r w:rsidRPr="00B6211B">
        <w:t>Counsel</w:t>
      </w:r>
      <w:r>
        <w:t xml:space="preserve"> </w:t>
      </w:r>
      <w:r w:rsidRPr="00B6211B">
        <w:t>&amp;</w:t>
      </w:r>
      <w:r>
        <w:t xml:space="preserve"> </w:t>
      </w:r>
      <w:r w:rsidRPr="00B6211B">
        <w:t>Director</w:t>
      </w:r>
      <w:r>
        <w:t xml:space="preserve"> </w:t>
      </w:r>
      <w:r w:rsidRPr="00B6211B">
        <w:t>of</w:t>
      </w:r>
      <w:r>
        <w:t xml:space="preserve"> </w:t>
      </w:r>
      <w:r w:rsidRPr="00B6211B">
        <w:t>Policy</w:t>
      </w:r>
    </w:p>
    <w:p w:rsidR="001A47E5" w:rsidRDefault="001A47E5" w:rsidP="001A47E5">
      <w:pPr>
        <w:pStyle w:val="NCDBodyText"/>
        <w:spacing w:after="0" w:line="240" w:lineRule="auto"/>
        <w:jc w:val="center"/>
      </w:pPr>
      <w:r w:rsidRPr="00B6211B">
        <w:t>Amy</w:t>
      </w:r>
      <w:r>
        <w:t xml:space="preserve"> </w:t>
      </w:r>
      <w:r w:rsidRPr="00B6211B">
        <w:t>Nicholas,</w:t>
      </w:r>
      <w:r>
        <w:t xml:space="preserve"> </w:t>
      </w:r>
      <w:r w:rsidRPr="00B6211B">
        <w:t>Attorney</w:t>
      </w:r>
      <w:r>
        <w:t xml:space="preserve"> </w:t>
      </w:r>
      <w:r w:rsidRPr="00B6211B">
        <w:t>Advisor</w:t>
      </w:r>
    </w:p>
    <w:p w:rsidR="001A47E5" w:rsidRPr="00B6211B" w:rsidRDefault="001A47E5" w:rsidP="001A47E5">
      <w:pPr>
        <w:pStyle w:val="NCDBodyText"/>
        <w:spacing w:after="0" w:line="240" w:lineRule="auto"/>
        <w:jc w:val="center"/>
        <w:rPr>
          <w:iCs/>
        </w:rPr>
      </w:pPr>
      <w:proofErr w:type="spellStart"/>
      <w:r>
        <w:t>Amged</w:t>
      </w:r>
      <w:proofErr w:type="spellEnd"/>
      <w:r>
        <w:t xml:space="preserve"> </w:t>
      </w:r>
      <w:proofErr w:type="spellStart"/>
      <w:r>
        <w:t>Soliman</w:t>
      </w:r>
      <w:proofErr w:type="spellEnd"/>
      <w:r>
        <w:t>, Attorney Advisor</w:t>
      </w:r>
    </w:p>
    <w:p w:rsidR="001A47E5" w:rsidRPr="00B6211B" w:rsidRDefault="001A47E5" w:rsidP="001A47E5">
      <w:pPr>
        <w:pStyle w:val="NCDBodyText"/>
        <w:spacing w:after="0" w:line="240" w:lineRule="auto"/>
        <w:jc w:val="center"/>
        <w:rPr>
          <w:iCs/>
        </w:rPr>
      </w:pPr>
      <w:r w:rsidRPr="00B6211B">
        <w:t>Ana</w:t>
      </w:r>
      <w:r>
        <w:t xml:space="preserve"> </w:t>
      </w:r>
      <w:r w:rsidRPr="00B6211B">
        <w:t>Torres-Davis,</w:t>
      </w:r>
      <w:r>
        <w:t xml:space="preserve"> </w:t>
      </w:r>
      <w:r w:rsidRPr="00B6211B">
        <w:t>Attorney</w:t>
      </w:r>
      <w:r>
        <w:t xml:space="preserve"> </w:t>
      </w:r>
      <w:r w:rsidRPr="00B6211B">
        <w:t>Advisor</w:t>
      </w:r>
    </w:p>
    <w:p w:rsidR="001A47E5" w:rsidRPr="00B6211B" w:rsidRDefault="001A47E5" w:rsidP="001A47E5">
      <w:pPr>
        <w:pStyle w:val="NCDBodyText"/>
        <w:spacing w:after="0" w:line="240" w:lineRule="auto"/>
        <w:jc w:val="center"/>
        <w:rPr>
          <w:iCs/>
        </w:rPr>
      </w:pPr>
      <w:r w:rsidRPr="00B6211B">
        <w:t>Anne</w:t>
      </w:r>
      <w:r>
        <w:t xml:space="preserve"> </w:t>
      </w:r>
      <w:proofErr w:type="spellStart"/>
      <w:r w:rsidRPr="00B6211B">
        <w:t>Sommers</w:t>
      </w:r>
      <w:proofErr w:type="spellEnd"/>
      <w:r w:rsidRPr="00B6211B">
        <w:t>,</w:t>
      </w:r>
      <w:r>
        <w:t xml:space="preserve"> </w:t>
      </w:r>
      <w:r w:rsidRPr="00B6211B">
        <w:t>Director</w:t>
      </w:r>
      <w:r>
        <w:t xml:space="preserve"> </w:t>
      </w:r>
      <w:r w:rsidRPr="00B6211B">
        <w:t>of</w:t>
      </w:r>
      <w:r>
        <w:t xml:space="preserve"> </w:t>
      </w:r>
      <w:r w:rsidRPr="00B6211B">
        <w:t>Legislative</w:t>
      </w:r>
      <w:r>
        <w:t xml:space="preserve"> </w:t>
      </w:r>
      <w:r w:rsidRPr="00B6211B">
        <w:t>Affairs</w:t>
      </w:r>
      <w:r>
        <w:t xml:space="preserve"> </w:t>
      </w:r>
      <w:r w:rsidRPr="00B6211B">
        <w:t>&amp;</w:t>
      </w:r>
      <w:r>
        <w:t xml:space="preserve"> </w:t>
      </w:r>
      <w:r w:rsidRPr="00B6211B">
        <w:t>Outreach</w:t>
      </w:r>
    </w:p>
    <w:p w:rsidR="001A47E5" w:rsidRPr="00B6211B" w:rsidRDefault="001A47E5" w:rsidP="001A47E5">
      <w:pPr>
        <w:pStyle w:val="NCDBodyText"/>
        <w:spacing w:after="0" w:line="240" w:lineRule="auto"/>
        <w:jc w:val="center"/>
        <w:rPr>
          <w:iCs/>
        </w:rPr>
      </w:pPr>
      <w:r w:rsidRPr="00B6211B">
        <w:t>Phoebe</w:t>
      </w:r>
      <w:r>
        <w:t xml:space="preserve"> </w:t>
      </w:r>
      <w:r w:rsidRPr="00B6211B">
        <w:t>Ball,</w:t>
      </w:r>
      <w:r>
        <w:t xml:space="preserve"> </w:t>
      </w:r>
      <w:r w:rsidRPr="00B6211B">
        <w:t>Legislative</w:t>
      </w:r>
      <w:r>
        <w:t xml:space="preserve"> </w:t>
      </w:r>
      <w:r w:rsidRPr="00B6211B">
        <w:t>Affairs</w:t>
      </w:r>
      <w:r>
        <w:t xml:space="preserve"> </w:t>
      </w:r>
      <w:r w:rsidRPr="00B6211B">
        <w:t>Specialist</w:t>
      </w:r>
    </w:p>
    <w:p w:rsidR="001A47E5" w:rsidRPr="00B6211B" w:rsidRDefault="001A47E5" w:rsidP="001A47E5">
      <w:pPr>
        <w:pStyle w:val="NCDBodyText"/>
        <w:spacing w:after="0" w:line="240" w:lineRule="auto"/>
        <w:jc w:val="center"/>
        <w:rPr>
          <w:iCs/>
        </w:rPr>
      </w:pPr>
      <w:r w:rsidRPr="00B6211B">
        <w:t>Lisa</w:t>
      </w:r>
      <w:r>
        <w:t xml:space="preserve"> </w:t>
      </w:r>
      <w:r w:rsidRPr="00B6211B">
        <w:t>Grubb,</w:t>
      </w:r>
      <w:r>
        <w:t xml:space="preserve"> Director of Operations and Administration</w:t>
      </w:r>
    </w:p>
    <w:p w:rsidR="001A47E5" w:rsidRDefault="001A47E5" w:rsidP="001A47E5">
      <w:pPr>
        <w:pStyle w:val="NCDBodyText"/>
        <w:spacing w:after="0" w:line="240" w:lineRule="auto"/>
        <w:jc w:val="center"/>
      </w:pPr>
      <w:r w:rsidRPr="00B6211B">
        <w:t>Stac</w:t>
      </w:r>
      <w:r>
        <w:t>e</w:t>
      </w:r>
      <w:r w:rsidRPr="00B6211B">
        <w:t>y</w:t>
      </w:r>
      <w:r>
        <w:t xml:space="preserve"> </w:t>
      </w:r>
      <w:r w:rsidRPr="00B6211B">
        <w:t>S.</w:t>
      </w:r>
      <w:r>
        <w:t xml:space="preserve"> </w:t>
      </w:r>
      <w:r w:rsidRPr="00B6211B">
        <w:t>Brown,</w:t>
      </w:r>
      <w:r>
        <w:t xml:space="preserve"> </w:t>
      </w:r>
      <w:r w:rsidRPr="00B6211B">
        <w:t>Staff</w:t>
      </w:r>
      <w:r>
        <w:t xml:space="preserve"> </w:t>
      </w:r>
      <w:r w:rsidRPr="00B6211B">
        <w:t>Assistant</w:t>
      </w:r>
    </w:p>
    <w:p w:rsidR="001A47E5" w:rsidRDefault="001A47E5" w:rsidP="001A47E5">
      <w:pPr>
        <w:pStyle w:val="NCDBodyText"/>
        <w:spacing w:after="0" w:line="240" w:lineRule="auto"/>
        <w:jc w:val="center"/>
      </w:pPr>
      <w:r w:rsidRPr="00B6211B">
        <w:t>Keith</w:t>
      </w:r>
      <w:r>
        <w:t xml:space="preserve"> </w:t>
      </w:r>
      <w:r w:rsidRPr="00B6211B">
        <w:t>Woods,</w:t>
      </w:r>
      <w:r>
        <w:t xml:space="preserve"> </w:t>
      </w:r>
      <w:r w:rsidRPr="00B6211B">
        <w:t>Financial</w:t>
      </w:r>
      <w:r>
        <w:t xml:space="preserve"> </w:t>
      </w:r>
      <w:r w:rsidRPr="00B6211B">
        <w:t>Management</w:t>
      </w:r>
      <w:r>
        <w:t xml:space="preserve"> </w:t>
      </w:r>
      <w:r w:rsidRPr="00B6211B">
        <w:t>Analyst</w:t>
      </w:r>
    </w:p>
    <w:p w:rsidR="00F87112" w:rsidRDefault="00F87112" w:rsidP="00F87112">
      <w:pPr>
        <w:pStyle w:val="NCDBodyText"/>
        <w:spacing w:after="0" w:line="240" w:lineRule="auto"/>
        <w:jc w:val="center"/>
      </w:pPr>
    </w:p>
    <w:p w:rsidR="00445A92" w:rsidRDefault="00445A92" w:rsidP="00445A92">
      <w:pPr>
        <w:rPr>
          <w:caps/>
          <w:color w:val="7F7F7F" w:themeColor="text1" w:themeTint="80"/>
          <w:sz w:val="36"/>
          <w:szCs w:val="32"/>
        </w:rPr>
      </w:pPr>
      <w:r>
        <w:rPr>
          <w:caps/>
          <w:color w:val="7F7F7F" w:themeColor="text1" w:themeTint="80"/>
          <w:sz w:val="36"/>
          <w:szCs w:val="32"/>
        </w:rPr>
        <w:br w:type="page"/>
      </w:r>
    </w:p>
    <w:p w:rsidR="00445A92" w:rsidRDefault="00445A92" w:rsidP="00445A92">
      <w:pPr>
        <w:rPr>
          <w:rFonts w:ascii="Arial" w:eastAsia="Times New Roman" w:hAnsi="Arial"/>
          <w:color w:val="7F7F7F" w:themeColor="text1" w:themeTint="80"/>
          <w:sz w:val="36"/>
          <w:szCs w:val="32"/>
        </w:rPr>
      </w:pPr>
      <w:bookmarkStart w:id="4" w:name="_Toc367279637"/>
      <w:r>
        <w:lastRenderedPageBreak/>
        <w:br w:type="page"/>
      </w:r>
    </w:p>
    <w:p w:rsidR="00445A92" w:rsidRPr="002E124F" w:rsidRDefault="00445A92" w:rsidP="002E124F">
      <w:pPr>
        <w:pStyle w:val="Heading1"/>
      </w:pPr>
      <w:bookmarkStart w:id="5" w:name="_Toc493596657"/>
      <w:r w:rsidRPr="002E124F">
        <w:lastRenderedPageBreak/>
        <w:t>Acknowledgments</w:t>
      </w:r>
      <w:bookmarkEnd w:id="3"/>
      <w:bookmarkEnd w:id="4"/>
      <w:bookmarkEnd w:id="5"/>
    </w:p>
    <w:p w:rsidR="00445A92" w:rsidRDefault="00445A92" w:rsidP="002E124F">
      <w:pPr>
        <w:pStyle w:val="NCDBodyText"/>
      </w:pPr>
      <w:r w:rsidRPr="00C74C60">
        <w:t>The National Council on Disability wishes to thank American Institutes for Research</w:t>
      </w:r>
      <w:r>
        <w:t xml:space="preserve"> (AIR)</w:t>
      </w:r>
      <w:r w:rsidRPr="00C74C60">
        <w:t xml:space="preserve">, particularly </w:t>
      </w:r>
      <w:r>
        <w:t xml:space="preserve">Mona </w:t>
      </w:r>
      <w:proofErr w:type="spellStart"/>
      <w:r>
        <w:t>Kilany</w:t>
      </w:r>
      <w:proofErr w:type="spellEnd"/>
      <w:r w:rsidRPr="00C74C60">
        <w:t xml:space="preserve"> and her team—</w:t>
      </w:r>
      <w:proofErr w:type="spellStart"/>
      <w:r>
        <w:t>Kaylie</w:t>
      </w:r>
      <w:proofErr w:type="spellEnd"/>
      <w:r>
        <w:t xml:space="preserve"> Clark, </w:t>
      </w:r>
      <w:proofErr w:type="spellStart"/>
      <w:r>
        <w:t>Tsion</w:t>
      </w:r>
      <w:proofErr w:type="spellEnd"/>
      <w:r>
        <w:t xml:space="preserve"> </w:t>
      </w:r>
      <w:proofErr w:type="spellStart"/>
      <w:r>
        <w:t>Ghedamu</w:t>
      </w:r>
      <w:proofErr w:type="spellEnd"/>
      <w:r>
        <w:t>, Rose Belanger</w:t>
      </w:r>
      <w:r w:rsidRPr="00C74C60">
        <w:t xml:space="preserve">, and </w:t>
      </w:r>
      <w:proofErr w:type="spellStart"/>
      <w:r w:rsidRPr="00C74C60">
        <w:t>Natanee</w:t>
      </w:r>
      <w:proofErr w:type="spellEnd"/>
      <w:r w:rsidRPr="00C74C60">
        <w:t xml:space="preserve"> </w:t>
      </w:r>
      <w:proofErr w:type="spellStart"/>
      <w:r w:rsidRPr="00C74C60">
        <w:t>Thawesaengskulthai</w:t>
      </w:r>
      <w:proofErr w:type="spellEnd"/>
      <w:r>
        <w:rPr>
          <w:rFonts w:cs="Arial"/>
        </w:rPr>
        <w:t>—</w:t>
      </w:r>
      <w:r>
        <w:t xml:space="preserve">as well as Nanette Goodman and Michael Morris from the National Disability Institute, </w:t>
      </w:r>
      <w:r w:rsidRPr="00C74C60">
        <w:t>for the research conducted in developing this report.</w:t>
      </w:r>
      <w:r>
        <w:t xml:space="preserve"> </w:t>
      </w:r>
      <w:r w:rsidRPr="00C74C60">
        <w:t xml:space="preserve">NCD also thanks those who shared their </w:t>
      </w:r>
      <w:r>
        <w:t>personal</w:t>
      </w:r>
      <w:r w:rsidRPr="00C74C60">
        <w:t xml:space="preserve"> experiences and offered expert input to inform this report</w:t>
      </w:r>
      <w:r>
        <w:t>.</w:t>
      </w:r>
    </w:p>
    <w:p w:rsidR="00445A92" w:rsidRDefault="00445A92" w:rsidP="00445A92">
      <w:pPr>
        <w:rPr>
          <w:rFonts w:ascii="Arial" w:hAnsi="Arial" w:cs="Calibri"/>
          <w:color w:val="000000" w:themeColor="text1"/>
          <w:szCs w:val="24"/>
          <w:u w:color="000000"/>
          <w:bdr w:val="nil"/>
        </w:rPr>
      </w:pPr>
      <w:r>
        <w:br w:type="page"/>
      </w:r>
    </w:p>
    <w:p w:rsidR="00445A92" w:rsidRDefault="00445A92" w:rsidP="00445A92">
      <w:pPr>
        <w:pStyle w:val="NCDBodyTextSpaceBefore"/>
      </w:pPr>
      <w:r>
        <w:lastRenderedPageBreak/>
        <w:br w:type="page"/>
      </w:r>
    </w:p>
    <w:p w:rsidR="00445A92" w:rsidRPr="005341F2" w:rsidRDefault="00445A92" w:rsidP="002E124F">
      <w:pPr>
        <w:pStyle w:val="Heading1"/>
      </w:pPr>
      <w:bookmarkStart w:id="6" w:name="_Toc493596658"/>
      <w:r w:rsidRPr="005341F2">
        <w:lastRenderedPageBreak/>
        <w:t>Contents</w:t>
      </w:r>
      <w:bookmarkEnd w:id="6"/>
    </w:p>
    <w:p w:rsidR="003B4366" w:rsidRDefault="003B4366">
      <w:pPr>
        <w:pStyle w:val="TOC1"/>
      </w:pPr>
    </w:p>
    <w:p w:rsidR="00195F12" w:rsidRDefault="0006294F">
      <w:pPr>
        <w:pStyle w:val="TOC1"/>
        <w:rPr>
          <w:rFonts w:asciiTheme="minorHAnsi" w:eastAsiaTheme="minorEastAsia" w:hAnsiTheme="minorHAnsi" w:cstheme="minorBidi"/>
          <w:sz w:val="22"/>
        </w:rPr>
      </w:pPr>
      <w:r>
        <w:fldChar w:fldCharType="begin"/>
      </w:r>
      <w:r>
        <w:instrText xml:space="preserve"> TOC \o "3-3" \h \z \t "Heading 1,1,Heading 2,2" </w:instrText>
      </w:r>
      <w:r>
        <w:fldChar w:fldCharType="separate"/>
      </w:r>
      <w:hyperlink w:anchor="_Toc493596657" w:history="1">
        <w:r w:rsidR="00195F12" w:rsidRPr="002117F6">
          <w:rPr>
            <w:rStyle w:val="Hyperlink"/>
          </w:rPr>
          <w:t>Acknowledgments</w:t>
        </w:r>
        <w:r w:rsidR="00195F12">
          <w:rPr>
            <w:webHidden/>
          </w:rPr>
          <w:tab/>
        </w:r>
        <w:r w:rsidR="00195F12">
          <w:rPr>
            <w:webHidden/>
          </w:rPr>
          <w:fldChar w:fldCharType="begin"/>
        </w:r>
        <w:r w:rsidR="00195F12">
          <w:rPr>
            <w:webHidden/>
          </w:rPr>
          <w:instrText xml:space="preserve"> PAGEREF _Toc493596657 \h </w:instrText>
        </w:r>
        <w:r w:rsidR="00195F12">
          <w:rPr>
            <w:webHidden/>
          </w:rPr>
        </w:r>
        <w:r w:rsidR="00195F12">
          <w:rPr>
            <w:webHidden/>
          </w:rPr>
          <w:fldChar w:fldCharType="separate"/>
        </w:r>
        <w:r w:rsidR="007C6446">
          <w:rPr>
            <w:webHidden/>
          </w:rPr>
          <w:t>5</w:t>
        </w:r>
        <w:r w:rsidR="00195F12">
          <w:rPr>
            <w:webHidden/>
          </w:rPr>
          <w:fldChar w:fldCharType="end"/>
        </w:r>
      </w:hyperlink>
    </w:p>
    <w:p w:rsidR="00195F12" w:rsidRDefault="00CC27C2">
      <w:pPr>
        <w:pStyle w:val="TOC1"/>
        <w:rPr>
          <w:rFonts w:asciiTheme="minorHAnsi" w:eastAsiaTheme="minorEastAsia" w:hAnsiTheme="minorHAnsi" w:cstheme="minorBidi"/>
          <w:sz w:val="22"/>
        </w:rPr>
      </w:pPr>
      <w:hyperlink w:anchor="_Toc493596658" w:history="1">
        <w:r w:rsidR="00195F12" w:rsidRPr="002117F6">
          <w:rPr>
            <w:rStyle w:val="Hyperlink"/>
          </w:rPr>
          <w:t>Contents</w:t>
        </w:r>
        <w:r w:rsidR="00195F12">
          <w:rPr>
            <w:webHidden/>
          </w:rPr>
          <w:tab/>
        </w:r>
        <w:r w:rsidR="00195F12">
          <w:rPr>
            <w:webHidden/>
          </w:rPr>
          <w:fldChar w:fldCharType="begin"/>
        </w:r>
        <w:r w:rsidR="00195F12">
          <w:rPr>
            <w:webHidden/>
          </w:rPr>
          <w:instrText xml:space="preserve"> PAGEREF _Toc493596658 \h </w:instrText>
        </w:r>
        <w:r w:rsidR="00195F12">
          <w:rPr>
            <w:webHidden/>
          </w:rPr>
        </w:r>
        <w:r w:rsidR="00195F12">
          <w:rPr>
            <w:webHidden/>
          </w:rPr>
          <w:fldChar w:fldCharType="separate"/>
        </w:r>
        <w:r w:rsidR="007C6446">
          <w:rPr>
            <w:webHidden/>
          </w:rPr>
          <w:t>7</w:t>
        </w:r>
        <w:r w:rsidR="00195F12">
          <w:rPr>
            <w:webHidden/>
          </w:rPr>
          <w:fldChar w:fldCharType="end"/>
        </w:r>
      </w:hyperlink>
    </w:p>
    <w:p w:rsidR="00195F12" w:rsidRDefault="00CC27C2">
      <w:pPr>
        <w:pStyle w:val="TOC1"/>
        <w:rPr>
          <w:rFonts w:asciiTheme="minorHAnsi" w:eastAsiaTheme="minorEastAsia" w:hAnsiTheme="minorHAnsi" w:cstheme="minorBidi"/>
          <w:sz w:val="22"/>
        </w:rPr>
      </w:pPr>
      <w:hyperlink w:anchor="_Toc493596659" w:history="1">
        <w:r w:rsidR="00195F12" w:rsidRPr="002117F6">
          <w:rPr>
            <w:rStyle w:val="Hyperlink"/>
          </w:rPr>
          <w:t>Executive Summary</w:t>
        </w:r>
        <w:r w:rsidR="00195F12">
          <w:rPr>
            <w:webHidden/>
          </w:rPr>
          <w:tab/>
        </w:r>
        <w:r w:rsidR="00195F12">
          <w:rPr>
            <w:webHidden/>
          </w:rPr>
          <w:fldChar w:fldCharType="begin"/>
        </w:r>
        <w:r w:rsidR="00195F12">
          <w:rPr>
            <w:webHidden/>
          </w:rPr>
          <w:instrText xml:space="preserve"> PAGEREF _Toc493596659 \h </w:instrText>
        </w:r>
        <w:r w:rsidR="00195F12">
          <w:rPr>
            <w:webHidden/>
          </w:rPr>
        </w:r>
        <w:r w:rsidR="00195F12">
          <w:rPr>
            <w:webHidden/>
          </w:rPr>
          <w:fldChar w:fldCharType="separate"/>
        </w:r>
        <w:r w:rsidR="007C6446">
          <w:rPr>
            <w:webHidden/>
          </w:rPr>
          <w:t>11</w:t>
        </w:r>
        <w:r w:rsidR="00195F12">
          <w:rPr>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60" w:history="1">
        <w:r w:rsidR="00195F12" w:rsidRPr="002117F6">
          <w:rPr>
            <w:rStyle w:val="Hyperlink"/>
            <w:noProof/>
          </w:rPr>
          <w:t>Collaboration and Data Collection</w:t>
        </w:r>
        <w:r w:rsidR="00195F12">
          <w:rPr>
            <w:noProof/>
            <w:webHidden/>
          </w:rPr>
          <w:tab/>
        </w:r>
        <w:r w:rsidR="00195F12">
          <w:rPr>
            <w:noProof/>
            <w:webHidden/>
          </w:rPr>
          <w:fldChar w:fldCharType="begin"/>
        </w:r>
        <w:r w:rsidR="00195F12">
          <w:rPr>
            <w:noProof/>
            <w:webHidden/>
          </w:rPr>
          <w:instrText xml:space="preserve"> PAGEREF _Toc493596660 \h </w:instrText>
        </w:r>
        <w:r w:rsidR="00195F12">
          <w:rPr>
            <w:noProof/>
            <w:webHidden/>
          </w:rPr>
        </w:r>
        <w:r w:rsidR="00195F12">
          <w:rPr>
            <w:noProof/>
            <w:webHidden/>
          </w:rPr>
          <w:fldChar w:fldCharType="separate"/>
        </w:r>
        <w:r w:rsidR="007C6446">
          <w:rPr>
            <w:noProof/>
            <w:webHidden/>
          </w:rPr>
          <w:t>12</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61" w:history="1">
        <w:r w:rsidR="00195F12" w:rsidRPr="002117F6">
          <w:rPr>
            <w:rStyle w:val="Hyperlink"/>
            <w:noProof/>
          </w:rPr>
          <w:t>Education</w:t>
        </w:r>
        <w:r w:rsidR="00195F12">
          <w:rPr>
            <w:noProof/>
            <w:webHidden/>
          </w:rPr>
          <w:tab/>
        </w:r>
        <w:r w:rsidR="00195F12">
          <w:rPr>
            <w:noProof/>
            <w:webHidden/>
          </w:rPr>
          <w:fldChar w:fldCharType="begin"/>
        </w:r>
        <w:r w:rsidR="00195F12">
          <w:rPr>
            <w:noProof/>
            <w:webHidden/>
          </w:rPr>
          <w:instrText xml:space="preserve"> PAGEREF _Toc493596661 \h </w:instrText>
        </w:r>
        <w:r w:rsidR="00195F12">
          <w:rPr>
            <w:noProof/>
            <w:webHidden/>
          </w:rPr>
        </w:r>
        <w:r w:rsidR="00195F12">
          <w:rPr>
            <w:noProof/>
            <w:webHidden/>
          </w:rPr>
          <w:fldChar w:fldCharType="separate"/>
        </w:r>
        <w:r w:rsidR="007C6446">
          <w:rPr>
            <w:noProof/>
            <w:webHidden/>
          </w:rPr>
          <w:t>12</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62" w:history="1">
        <w:r w:rsidR="00195F12" w:rsidRPr="002117F6">
          <w:rPr>
            <w:rStyle w:val="Hyperlink"/>
            <w:noProof/>
          </w:rPr>
          <w:t>Employment</w:t>
        </w:r>
        <w:r w:rsidR="00195F12">
          <w:rPr>
            <w:noProof/>
            <w:webHidden/>
          </w:rPr>
          <w:tab/>
        </w:r>
        <w:r w:rsidR="00195F12">
          <w:rPr>
            <w:noProof/>
            <w:webHidden/>
          </w:rPr>
          <w:fldChar w:fldCharType="begin"/>
        </w:r>
        <w:r w:rsidR="00195F12">
          <w:rPr>
            <w:noProof/>
            <w:webHidden/>
          </w:rPr>
          <w:instrText xml:space="preserve"> PAGEREF _Toc493596662 \h </w:instrText>
        </w:r>
        <w:r w:rsidR="00195F12">
          <w:rPr>
            <w:noProof/>
            <w:webHidden/>
          </w:rPr>
        </w:r>
        <w:r w:rsidR="00195F12">
          <w:rPr>
            <w:noProof/>
            <w:webHidden/>
          </w:rPr>
          <w:fldChar w:fldCharType="separate"/>
        </w:r>
        <w:r w:rsidR="007C6446">
          <w:rPr>
            <w:noProof/>
            <w:webHidden/>
          </w:rPr>
          <w:t>14</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63" w:history="1">
        <w:r w:rsidR="00195F12" w:rsidRPr="002117F6">
          <w:rPr>
            <w:rStyle w:val="Hyperlink"/>
            <w:noProof/>
          </w:rPr>
          <w:t>Financial Assistance and Incentives</w:t>
        </w:r>
        <w:r w:rsidR="00195F12">
          <w:rPr>
            <w:noProof/>
            <w:webHidden/>
          </w:rPr>
          <w:tab/>
        </w:r>
        <w:r w:rsidR="00195F12">
          <w:rPr>
            <w:noProof/>
            <w:webHidden/>
          </w:rPr>
          <w:fldChar w:fldCharType="begin"/>
        </w:r>
        <w:r w:rsidR="00195F12">
          <w:rPr>
            <w:noProof/>
            <w:webHidden/>
          </w:rPr>
          <w:instrText xml:space="preserve"> PAGEREF _Toc493596663 \h </w:instrText>
        </w:r>
        <w:r w:rsidR="00195F12">
          <w:rPr>
            <w:noProof/>
            <w:webHidden/>
          </w:rPr>
        </w:r>
        <w:r w:rsidR="00195F12">
          <w:rPr>
            <w:noProof/>
            <w:webHidden/>
          </w:rPr>
          <w:fldChar w:fldCharType="separate"/>
        </w:r>
        <w:r w:rsidR="007C6446">
          <w:rPr>
            <w:noProof/>
            <w:webHidden/>
          </w:rPr>
          <w:t>15</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64" w:history="1">
        <w:r w:rsidR="00195F12" w:rsidRPr="002117F6">
          <w:rPr>
            <w:rStyle w:val="Hyperlink"/>
            <w:noProof/>
          </w:rPr>
          <w:t>Health Care</w:t>
        </w:r>
        <w:r w:rsidR="00195F12">
          <w:rPr>
            <w:noProof/>
            <w:webHidden/>
          </w:rPr>
          <w:tab/>
        </w:r>
        <w:r w:rsidR="00195F12">
          <w:rPr>
            <w:noProof/>
            <w:webHidden/>
          </w:rPr>
          <w:fldChar w:fldCharType="begin"/>
        </w:r>
        <w:r w:rsidR="00195F12">
          <w:rPr>
            <w:noProof/>
            <w:webHidden/>
          </w:rPr>
          <w:instrText xml:space="preserve"> PAGEREF _Toc493596664 \h </w:instrText>
        </w:r>
        <w:r w:rsidR="00195F12">
          <w:rPr>
            <w:noProof/>
            <w:webHidden/>
          </w:rPr>
        </w:r>
        <w:r w:rsidR="00195F12">
          <w:rPr>
            <w:noProof/>
            <w:webHidden/>
          </w:rPr>
          <w:fldChar w:fldCharType="separate"/>
        </w:r>
        <w:r w:rsidR="007C6446">
          <w:rPr>
            <w:noProof/>
            <w:webHidden/>
          </w:rPr>
          <w:t>16</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65" w:history="1">
        <w:r w:rsidR="00195F12" w:rsidRPr="002117F6">
          <w:rPr>
            <w:rStyle w:val="Hyperlink"/>
            <w:noProof/>
          </w:rPr>
          <w:t>Housing</w:t>
        </w:r>
        <w:r w:rsidR="00195F12">
          <w:rPr>
            <w:noProof/>
            <w:webHidden/>
          </w:rPr>
          <w:tab/>
        </w:r>
        <w:r w:rsidR="00195F12">
          <w:rPr>
            <w:noProof/>
            <w:webHidden/>
          </w:rPr>
          <w:fldChar w:fldCharType="begin"/>
        </w:r>
        <w:r w:rsidR="00195F12">
          <w:rPr>
            <w:noProof/>
            <w:webHidden/>
          </w:rPr>
          <w:instrText xml:space="preserve"> PAGEREF _Toc493596665 \h </w:instrText>
        </w:r>
        <w:r w:rsidR="00195F12">
          <w:rPr>
            <w:noProof/>
            <w:webHidden/>
          </w:rPr>
        </w:r>
        <w:r w:rsidR="00195F12">
          <w:rPr>
            <w:noProof/>
            <w:webHidden/>
          </w:rPr>
          <w:fldChar w:fldCharType="separate"/>
        </w:r>
        <w:r w:rsidR="007C6446">
          <w:rPr>
            <w:noProof/>
            <w:webHidden/>
          </w:rPr>
          <w:t>17</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66" w:history="1">
        <w:r w:rsidR="00195F12" w:rsidRPr="002117F6">
          <w:rPr>
            <w:rStyle w:val="Hyperlink"/>
            <w:noProof/>
          </w:rPr>
          <w:t>Transportation</w:t>
        </w:r>
        <w:r w:rsidR="00195F12">
          <w:rPr>
            <w:noProof/>
            <w:webHidden/>
          </w:rPr>
          <w:tab/>
        </w:r>
        <w:r w:rsidR="00195F12">
          <w:rPr>
            <w:noProof/>
            <w:webHidden/>
          </w:rPr>
          <w:fldChar w:fldCharType="begin"/>
        </w:r>
        <w:r w:rsidR="00195F12">
          <w:rPr>
            <w:noProof/>
            <w:webHidden/>
          </w:rPr>
          <w:instrText xml:space="preserve"> PAGEREF _Toc493596666 \h </w:instrText>
        </w:r>
        <w:r w:rsidR="00195F12">
          <w:rPr>
            <w:noProof/>
            <w:webHidden/>
          </w:rPr>
        </w:r>
        <w:r w:rsidR="00195F12">
          <w:rPr>
            <w:noProof/>
            <w:webHidden/>
          </w:rPr>
          <w:fldChar w:fldCharType="separate"/>
        </w:r>
        <w:r w:rsidR="007C6446">
          <w:rPr>
            <w:noProof/>
            <w:webHidden/>
          </w:rPr>
          <w:t>17</w:t>
        </w:r>
        <w:r w:rsidR="00195F12">
          <w:rPr>
            <w:noProof/>
            <w:webHidden/>
          </w:rPr>
          <w:fldChar w:fldCharType="end"/>
        </w:r>
      </w:hyperlink>
    </w:p>
    <w:p w:rsidR="00195F12" w:rsidRDefault="00CC27C2">
      <w:pPr>
        <w:pStyle w:val="TOC1"/>
        <w:rPr>
          <w:rFonts w:asciiTheme="minorHAnsi" w:eastAsiaTheme="minorEastAsia" w:hAnsiTheme="minorHAnsi" w:cstheme="minorBidi"/>
          <w:sz w:val="22"/>
        </w:rPr>
      </w:pPr>
      <w:hyperlink w:anchor="_Toc493596667" w:history="1">
        <w:r w:rsidR="00195F12" w:rsidRPr="002117F6">
          <w:rPr>
            <w:rStyle w:val="Hyperlink"/>
          </w:rPr>
          <w:t>Acronym Glossary</w:t>
        </w:r>
        <w:r w:rsidR="00195F12">
          <w:rPr>
            <w:webHidden/>
          </w:rPr>
          <w:tab/>
        </w:r>
        <w:r w:rsidR="00195F12">
          <w:rPr>
            <w:webHidden/>
          </w:rPr>
          <w:fldChar w:fldCharType="begin"/>
        </w:r>
        <w:r w:rsidR="00195F12">
          <w:rPr>
            <w:webHidden/>
          </w:rPr>
          <w:instrText xml:space="preserve"> PAGEREF _Toc493596667 \h </w:instrText>
        </w:r>
        <w:r w:rsidR="00195F12">
          <w:rPr>
            <w:webHidden/>
          </w:rPr>
        </w:r>
        <w:r w:rsidR="00195F12">
          <w:rPr>
            <w:webHidden/>
          </w:rPr>
          <w:fldChar w:fldCharType="separate"/>
        </w:r>
        <w:r w:rsidR="007C6446">
          <w:rPr>
            <w:webHidden/>
          </w:rPr>
          <w:t>19</w:t>
        </w:r>
        <w:r w:rsidR="00195F12">
          <w:rPr>
            <w:webHidden/>
          </w:rPr>
          <w:fldChar w:fldCharType="end"/>
        </w:r>
      </w:hyperlink>
    </w:p>
    <w:p w:rsidR="00195F12" w:rsidRDefault="00CC27C2">
      <w:pPr>
        <w:pStyle w:val="TOC1"/>
        <w:rPr>
          <w:rFonts w:asciiTheme="minorHAnsi" w:eastAsiaTheme="minorEastAsia" w:hAnsiTheme="minorHAnsi" w:cstheme="minorBidi"/>
          <w:sz w:val="22"/>
        </w:rPr>
      </w:pPr>
      <w:hyperlink w:anchor="_Toc493596668" w:history="1">
        <w:r w:rsidR="00195F12" w:rsidRPr="002117F6">
          <w:rPr>
            <w:rStyle w:val="Hyperlink"/>
          </w:rPr>
          <w:t>Introduction</w:t>
        </w:r>
        <w:r w:rsidR="00195F12">
          <w:rPr>
            <w:webHidden/>
          </w:rPr>
          <w:tab/>
        </w:r>
        <w:r w:rsidR="00195F12">
          <w:rPr>
            <w:webHidden/>
          </w:rPr>
          <w:fldChar w:fldCharType="begin"/>
        </w:r>
        <w:r w:rsidR="00195F12">
          <w:rPr>
            <w:webHidden/>
          </w:rPr>
          <w:instrText xml:space="preserve"> PAGEREF _Toc493596668 \h </w:instrText>
        </w:r>
        <w:r w:rsidR="00195F12">
          <w:rPr>
            <w:webHidden/>
          </w:rPr>
        </w:r>
        <w:r w:rsidR="00195F12">
          <w:rPr>
            <w:webHidden/>
          </w:rPr>
          <w:fldChar w:fldCharType="separate"/>
        </w:r>
        <w:r w:rsidR="007C6446">
          <w:rPr>
            <w:webHidden/>
          </w:rPr>
          <w:t>21</w:t>
        </w:r>
        <w:r w:rsidR="00195F12">
          <w:rPr>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69" w:history="1">
        <w:r w:rsidR="00195F12" w:rsidRPr="002117F6">
          <w:rPr>
            <w:rStyle w:val="Hyperlink"/>
            <w:noProof/>
          </w:rPr>
          <w:t>Background</w:t>
        </w:r>
        <w:r w:rsidR="00195F12">
          <w:rPr>
            <w:noProof/>
            <w:webHidden/>
          </w:rPr>
          <w:tab/>
        </w:r>
        <w:r w:rsidR="00195F12">
          <w:rPr>
            <w:noProof/>
            <w:webHidden/>
          </w:rPr>
          <w:fldChar w:fldCharType="begin"/>
        </w:r>
        <w:r w:rsidR="00195F12">
          <w:rPr>
            <w:noProof/>
            <w:webHidden/>
          </w:rPr>
          <w:instrText xml:space="preserve"> PAGEREF _Toc493596669 \h </w:instrText>
        </w:r>
        <w:r w:rsidR="00195F12">
          <w:rPr>
            <w:noProof/>
            <w:webHidden/>
          </w:rPr>
        </w:r>
        <w:r w:rsidR="00195F12">
          <w:rPr>
            <w:noProof/>
            <w:webHidden/>
          </w:rPr>
          <w:fldChar w:fldCharType="separate"/>
        </w:r>
        <w:r w:rsidR="007C6446">
          <w:rPr>
            <w:noProof/>
            <w:webHidden/>
          </w:rPr>
          <w:t>21</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70" w:history="1">
        <w:r w:rsidR="00195F12" w:rsidRPr="002117F6">
          <w:rPr>
            <w:rStyle w:val="Hyperlink"/>
            <w:noProof/>
          </w:rPr>
          <w:t xml:space="preserve">The 2017 NCD </w:t>
        </w:r>
        <w:r w:rsidR="00195F12" w:rsidRPr="002117F6">
          <w:rPr>
            <w:rStyle w:val="Hyperlink"/>
            <w:i/>
            <w:noProof/>
          </w:rPr>
          <w:t>Progress Report</w:t>
        </w:r>
        <w:r w:rsidR="00195F12">
          <w:rPr>
            <w:noProof/>
            <w:webHidden/>
          </w:rPr>
          <w:tab/>
        </w:r>
        <w:r w:rsidR="00195F12">
          <w:rPr>
            <w:noProof/>
            <w:webHidden/>
          </w:rPr>
          <w:fldChar w:fldCharType="begin"/>
        </w:r>
        <w:r w:rsidR="00195F12">
          <w:rPr>
            <w:noProof/>
            <w:webHidden/>
          </w:rPr>
          <w:instrText xml:space="preserve"> PAGEREF _Toc493596670 \h </w:instrText>
        </w:r>
        <w:r w:rsidR="00195F12">
          <w:rPr>
            <w:noProof/>
            <w:webHidden/>
          </w:rPr>
        </w:r>
        <w:r w:rsidR="00195F12">
          <w:rPr>
            <w:noProof/>
            <w:webHidden/>
          </w:rPr>
          <w:fldChar w:fldCharType="separate"/>
        </w:r>
        <w:r w:rsidR="007C6446">
          <w:rPr>
            <w:noProof/>
            <w:webHidden/>
          </w:rPr>
          <w:t>25</w:t>
        </w:r>
        <w:r w:rsidR="00195F12">
          <w:rPr>
            <w:noProof/>
            <w:webHidden/>
          </w:rPr>
          <w:fldChar w:fldCharType="end"/>
        </w:r>
      </w:hyperlink>
    </w:p>
    <w:p w:rsidR="00195F12" w:rsidRDefault="00CC27C2">
      <w:pPr>
        <w:pStyle w:val="TOC1"/>
        <w:rPr>
          <w:rFonts w:asciiTheme="minorHAnsi" w:eastAsiaTheme="minorEastAsia" w:hAnsiTheme="minorHAnsi" w:cstheme="minorBidi"/>
          <w:sz w:val="22"/>
        </w:rPr>
      </w:pPr>
      <w:hyperlink w:anchor="_Toc493596671" w:history="1">
        <w:r w:rsidR="00195F12" w:rsidRPr="002117F6">
          <w:rPr>
            <w:rStyle w:val="Hyperlink"/>
          </w:rPr>
          <w:t>Chapter 1: How Public Policies, Programs, and Practices Help People with Disabilities Achieve Economic Self-Sufficiency</w:t>
        </w:r>
        <w:r w:rsidR="00195F12">
          <w:rPr>
            <w:webHidden/>
          </w:rPr>
          <w:tab/>
        </w:r>
        <w:r w:rsidR="00195F12">
          <w:rPr>
            <w:webHidden/>
          </w:rPr>
          <w:fldChar w:fldCharType="begin"/>
        </w:r>
        <w:r w:rsidR="00195F12">
          <w:rPr>
            <w:webHidden/>
          </w:rPr>
          <w:instrText xml:space="preserve"> PAGEREF _Toc493596671 \h </w:instrText>
        </w:r>
        <w:r w:rsidR="00195F12">
          <w:rPr>
            <w:webHidden/>
          </w:rPr>
        </w:r>
        <w:r w:rsidR="00195F12">
          <w:rPr>
            <w:webHidden/>
          </w:rPr>
          <w:fldChar w:fldCharType="separate"/>
        </w:r>
        <w:r w:rsidR="007C6446">
          <w:rPr>
            <w:webHidden/>
          </w:rPr>
          <w:t>27</w:t>
        </w:r>
        <w:r w:rsidR="00195F12">
          <w:rPr>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72" w:history="1">
        <w:r w:rsidR="00195F12" w:rsidRPr="002117F6">
          <w:rPr>
            <w:rStyle w:val="Hyperlink"/>
            <w:noProof/>
          </w:rPr>
          <w:t>Education</w:t>
        </w:r>
        <w:r w:rsidR="00195F12">
          <w:rPr>
            <w:noProof/>
            <w:webHidden/>
          </w:rPr>
          <w:tab/>
        </w:r>
        <w:r w:rsidR="00195F12">
          <w:rPr>
            <w:noProof/>
            <w:webHidden/>
          </w:rPr>
          <w:fldChar w:fldCharType="begin"/>
        </w:r>
        <w:r w:rsidR="00195F12">
          <w:rPr>
            <w:noProof/>
            <w:webHidden/>
          </w:rPr>
          <w:instrText xml:space="preserve"> PAGEREF _Toc493596672 \h </w:instrText>
        </w:r>
        <w:r w:rsidR="00195F12">
          <w:rPr>
            <w:noProof/>
            <w:webHidden/>
          </w:rPr>
        </w:r>
        <w:r w:rsidR="00195F12">
          <w:rPr>
            <w:noProof/>
            <w:webHidden/>
          </w:rPr>
          <w:fldChar w:fldCharType="separate"/>
        </w:r>
        <w:r w:rsidR="007C6446">
          <w:rPr>
            <w:noProof/>
            <w:webHidden/>
          </w:rPr>
          <w:t>28</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73" w:history="1">
        <w:r w:rsidR="00195F12" w:rsidRPr="002117F6">
          <w:rPr>
            <w:rStyle w:val="Hyperlink"/>
            <w:noProof/>
          </w:rPr>
          <w:t>Employment</w:t>
        </w:r>
        <w:r w:rsidR="00195F12">
          <w:rPr>
            <w:noProof/>
            <w:webHidden/>
          </w:rPr>
          <w:tab/>
        </w:r>
        <w:r w:rsidR="00195F12">
          <w:rPr>
            <w:noProof/>
            <w:webHidden/>
          </w:rPr>
          <w:fldChar w:fldCharType="begin"/>
        </w:r>
        <w:r w:rsidR="00195F12">
          <w:rPr>
            <w:noProof/>
            <w:webHidden/>
          </w:rPr>
          <w:instrText xml:space="preserve"> PAGEREF _Toc493596673 \h </w:instrText>
        </w:r>
        <w:r w:rsidR="00195F12">
          <w:rPr>
            <w:noProof/>
            <w:webHidden/>
          </w:rPr>
        </w:r>
        <w:r w:rsidR="00195F12">
          <w:rPr>
            <w:noProof/>
            <w:webHidden/>
          </w:rPr>
          <w:fldChar w:fldCharType="separate"/>
        </w:r>
        <w:r w:rsidR="007C6446">
          <w:rPr>
            <w:noProof/>
            <w:webHidden/>
          </w:rPr>
          <w:t>33</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74" w:history="1">
        <w:r w:rsidR="00195F12" w:rsidRPr="002117F6">
          <w:rPr>
            <w:rStyle w:val="Hyperlink"/>
            <w:noProof/>
          </w:rPr>
          <w:t>Health and Well-Being</w:t>
        </w:r>
        <w:r w:rsidR="00195F12">
          <w:rPr>
            <w:noProof/>
            <w:webHidden/>
          </w:rPr>
          <w:tab/>
        </w:r>
        <w:r w:rsidR="00195F12">
          <w:rPr>
            <w:noProof/>
            <w:webHidden/>
          </w:rPr>
          <w:fldChar w:fldCharType="begin"/>
        </w:r>
        <w:r w:rsidR="00195F12">
          <w:rPr>
            <w:noProof/>
            <w:webHidden/>
          </w:rPr>
          <w:instrText xml:space="preserve"> PAGEREF _Toc493596674 \h </w:instrText>
        </w:r>
        <w:r w:rsidR="00195F12">
          <w:rPr>
            <w:noProof/>
            <w:webHidden/>
          </w:rPr>
        </w:r>
        <w:r w:rsidR="00195F12">
          <w:rPr>
            <w:noProof/>
            <w:webHidden/>
          </w:rPr>
          <w:fldChar w:fldCharType="separate"/>
        </w:r>
        <w:r w:rsidR="007C6446">
          <w:rPr>
            <w:noProof/>
            <w:webHidden/>
          </w:rPr>
          <w:t>37</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75" w:history="1">
        <w:r w:rsidR="00195F12" w:rsidRPr="002117F6">
          <w:rPr>
            <w:rStyle w:val="Hyperlink"/>
            <w:noProof/>
          </w:rPr>
          <w:t>Financial Assistance and Incentives</w:t>
        </w:r>
        <w:r w:rsidR="00195F12">
          <w:rPr>
            <w:noProof/>
            <w:webHidden/>
          </w:rPr>
          <w:tab/>
        </w:r>
        <w:r w:rsidR="00195F12">
          <w:rPr>
            <w:noProof/>
            <w:webHidden/>
          </w:rPr>
          <w:fldChar w:fldCharType="begin"/>
        </w:r>
        <w:r w:rsidR="00195F12">
          <w:rPr>
            <w:noProof/>
            <w:webHidden/>
          </w:rPr>
          <w:instrText xml:space="preserve"> PAGEREF _Toc493596675 \h </w:instrText>
        </w:r>
        <w:r w:rsidR="00195F12">
          <w:rPr>
            <w:noProof/>
            <w:webHidden/>
          </w:rPr>
        </w:r>
        <w:r w:rsidR="00195F12">
          <w:rPr>
            <w:noProof/>
            <w:webHidden/>
          </w:rPr>
          <w:fldChar w:fldCharType="separate"/>
        </w:r>
        <w:r w:rsidR="007C6446">
          <w:rPr>
            <w:noProof/>
            <w:webHidden/>
          </w:rPr>
          <w:t>41</w:t>
        </w:r>
        <w:r w:rsidR="00195F12">
          <w:rPr>
            <w:noProof/>
            <w:webHidden/>
          </w:rPr>
          <w:fldChar w:fldCharType="end"/>
        </w:r>
      </w:hyperlink>
    </w:p>
    <w:p w:rsidR="00195F12" w:rsidRDefault="00CC27C2">
      <w:pPr>
        <w:pStyle w:val="TOC3"/>
        <w:tabs>
          <w:tab w:val="right" w:leader="dot" w:pos="9350"/>
        </w:tabs>
        <w:rPr>
          <w:rFonts w:asciiTheme="minorHAnsi" w:eastAsiaTheme="minorEastAsia" w:hAnsiTheme="minorHAnsi" w:cstheme="minorBidi"/>
          <w:i w:val="0"/>
          <w:noProof/>
          <w:sz w:val="22"/>
        </w:rPr>
      </w:pPr>
      <w:hyperlink w:anchor="_Toc493596676" w:history="1">
        <w:r w:rsidR="00195F12" w:rsidRPr="002117F6">
          <w:rPr>
            <w:rStyle w:val="Hyperlink"/>
            <w:noProof/>
          </w:rPr>
          <w:t xml:space="preserve">Social Security Disability Insurance (SSDI) and Supplemental Security </w:t>
        </w:r>
        <w:r w:rsidR="00B134D9">
          <w:rPr>
            <w:rStyle w:val="Hyperlink"/>
            <w:noProof/>
          </w:rPr>
          <w:br/>
        </w:r>
        <w:r w:rsidR="00195F12" w:rsidRPr="002117F6">
          <w:rPr>
            <w:rStyle w:val="Hyperlink"/>
            <w:noProof/>
          </w:rPr>
          <w:t>Income (SSI)</w:t>
        </w:r>
        <w:r w:rsidR="00195F12">
          <w:rPr>
            <w:noProof/>
            <w:webHidden/>
          </w:rPr>
          <w:tab/>
        </w:r>
        <w:r w:rsidR="00195F12" w:rsidRPr="00B134D9">
          <w:rPr>
            <w:i w:val="0"/>
            <w:noProof/>
            <w:webHidden/>
          </w:rPr>
          <w:fldChar w:fldCharType="begin"/>
        </w:r>
        <w:r w:rsidR="00195F12" w:rsidRPr="00B134D9">
          <w:rPr>
            <w:i w:val="0"/>
            <w:noProof/>
            <w:webHidden/>
          </w:rPr>
          <w:instrText xml:space="preserve"> PAGEREF _Toc493596676 \h </w:instrText>
        </w:r>
        <w:r w:rsidR="00195F12" w:rsidRPr="00B134D9">
          <w:rPr>
            <w:i w:val="0"/>
            <w:noProof/>
            <w:webHidden/>
          </w:rPr>
        </w:r>
        <w:r w:rsidR="00195F12" w:rsidRPr="00B134D9">
          <w:rPr>
            <w:i w:val="0"/>
            <w:noProof/>
            <w:webHidden/>
          </w:rPr>
          <w:fldChar w:fldCharType="separate"/>
        </w:r>
        <w:r w:rsidR="007C6446">
          <w:rPr>
            <w:i w:val="0"/>
            <w:noProof/>
            <w:webHidden/>
          </w:rPr>
          <w:t>41</w:t>
        </w:r>
        <w:r w:rsidR="00195F12" w:rsidRPr="00B134D9">
          <w:rPr>
            <w:i w:val="0"/>
            <w:noProof/>
            <w:webHidden/>
          </w:rPr>
          <w:fldChar w:fldCharType="end"/>
        </w:r>
      </w:hyperlink>
    </w:p>
    <w:p w:rsidR="00195F12" w:rsidRDefault="00CC27C2">
      <w:pPr>
        <w:pStyle w:val="TOC3"/>
        <w:tabs>
          <w:tab w:val="right" w:leader="dot" w:pos="9350"/>
        </w:tabs>
        <w:rPr>
          <w:rFonts w:asciiTheme="minorHAnsi" w:eastAsiaTheme="minorEastAsia" w:hAnsiTheme="minorHAnsi" w:cstheme="minorBidi"/>
          <w:i w:val="0"/>
          <w:noProof/>
          <w:sz w:val="22"/>
        </w:rPr>
      </w:pPr>
      <w:hyperlink w:anchor="_Toc493596677" w:history="1">
        <w:r w:rsidR="00195F12" w:rsidRPr="002117F6">
          <w:rPr>
            <w:rStyle w:val="Hyperlink"/>
            <w:noProof/>
          </w:rPr>
          <w:t>Earned Income Tax Credit (EITC)</w:t>
        </w:r>
        <w:r w:rsidR="00195F12">
          <w:rPr>
            <w:noProof/>
            <w:webHidden/>
          </w:rPr>
          <w:tab/>
        </w:r>
        <w:r w:rsidR="00195F12" w:rsidRPr="00B134D9">
          <w:rPr>
            <w:i w:val="0"/>
            <w:noProof/>
            <w:webHidden/>
          </w:rPr>
          <w:fldChar w:fldCharType="begin"/>
        </w:r>
        <w:r w:rsidR="00195F12" w:rsidRPr="00B134D9">
          <w:rPr>
            <w:i w:val="0"/>
            <w:noProof/>
            <w:webHidden/>
          </w:rPr>
          <w:instrText xml:space="preserve"> PAGEREF _Toc493596677 \h </w:instrText>
        </w:r>
        <w:r w:rsidR="00195F12" w:rsidRPr="00B134D9">
          <w:rPr>
            <w:i w:val="0"/>
            <w:noProof/>
            <w:webHidden/>
          </w:rPr>
        </w:r>
        <w:r w:rsidR="00195F12" w:rsidRPr="00B134D9">
          <w:rPr>
            <w:i w:val="0"/>
            <w:noProof/>
            <w:webHidden/>
          </w:rPr>
          <w:fldChar w:fldCharType="separate"/>
        </w:r>
        <w:r w:rsidR="007C6446">
          <w:rPr>
            <w:i w:val="0"/>
            <w:noProof/>
            <w:webHidden/>
          </w:rPr>
          <w:t>43</w:t>
        </w:r>
        <w:r w:rsidR="00195F12" w:rsidRPr="00B134D9">
          <w:rPr>
            <w:i w:val="0"/>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78" w:history="1">
        <w:r w:rsidR="00195F12" w:rsidRPr="002117F6">
          <w:rPr>
            <w:rStyle w:val="Hyperlink"/>
            <w:noProof/>
          </w:rPr>
          <w:t>Housing</w:t>
        </w:r>
        <w:r w:rsidR="00195F12">
          <w:rPr>
            <w:noProof/>
            <w:webHidden/>
          </w:rPr>
          <w:tab/>
        </w:r>
        <w:r w:rsidR="00195F12">
          <w:rPr>
            <w:noProof/>
            <w:webHidden/>
          </w:rPr>
          <w:fldChar w:fldCharType="begin"/>
        </w:r>
        <w:r w:rsidR="00195F12">
          <w:rPr>
            <w:noProof/>
            <w:webHidden/>
          </w:rPr>
          <w:instrText xml:space="preserve"> PAGEREF _Toc493596678 \h </w:instrText>
        </w:r>
        <w:r w:rsidR="00195F12">
          <w:rPr>
            <w:noProof/>
            <w:webHidden/>
          </w:rPr>
        </w:r>
        <w:r w:rsidR="00195F12">
          <w:rPr>
            <w:noProof/>
            <w:webHidden/>
          </w:rPr>
          <w:fldChar w:fldCharType="separate"/>
        </w:r>
        <w:r w:rsidR="007C6446">
          <w:rPr>
            <w:noProof/>
            <w:webHidden/>
          </w:rPr>
          <w:t>43</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79" w:history="1">
        <w:r w:rsidR="00195F12" w:rsidRPr="002117F6">
          <w:rPr>
            <w:rStyle w:val="Hyperlink"/>
            <w:noProof/>
          </w:rPr>
          <w:t>Transportation</w:t>
        </w:r>
        <w:r w:rsidR="00195F12">
          <w:rPr>
            <w:noProof/>
            <w:webHidden/>
          </w:rPr>
          <w:tab/>
        </w:r>
        <w:r w:rsidR="00195F12">
          <w:rPr>
            <w:noProof/>
            <w:webHidden/>
          </w:rPr>
          <w:fldChar w:fldCharType="begin"/>
        </w:r>
        <w:r w:rsidR="00195F12">
          <w:rPr>
            <w:noProof/>
            <w:webHidden/>
          </w:rPr>
          <w:instrText xml:space="preserve"> PAGEREF _Toc493596679 \h </w:instrText>
        </w:r>
        <w:r w:rsidR="00195F12">
          <w:rPr>
            <w:noProof/>
            <w:webHidden/>
          </w:rPr>
        </w:r>
        <w:r w:rsidR="00195F12">
          <w:rPr>
            <w:noProof/>
            <w:webHidden/>
          </w:rPr>
          <w:fldChar w:fldCharType="separate"/>
        </w:r>
        <w:r w:rsidR="007C6446">
          <w:rPr>
            <w:noProof/>
            <w:webHidden/>
          </w:rPr>
          <w:t>46</w:t>
        </w:r>
        <w:r w:rsidR="00195F12">
          <w:rPr>
            <w:noProof/>
            <w:webHidden/>
          </w:rPr>
          <w:fldChar w:fldCharType="end"/>
        </w:r>
      </w:hyperlink>
    </w:p>
    <w:p w:rsidR="00195F12" w:rsidRDefault="00CC27C2">
      <w:pPr>
        <w:pStyle w:val="TOC1"/>
        <w:rPr>
          <w:rFonts w:asciiTheme="minorHAnsi" w:eastAsiaTheme="minorEastAsia" w:hAnsiTheme="minorHAnsi" w:cstheme="minorBidi"/>
          <w:sz w:val="22"/>
        </w:rPr>
      </w:pPr>
      <w:hyperlink w:anchor="_Toc493596680" w:history="1">
        <w:r w:rsidR="00195F12" w:rsidRPr="002117F6">
          <w:rPr>
            <w:rStyle w:val="Hyperlink"/>
          </w:rPr>
          <w:t>Chapter 2: Barriers to Achieving Economic Self-Sufficiency for People with Disabilities</w:t>
        </w:r>
        <w:r w:rsidR="00195F12">
          <w:rPr>
            <w:webHidden/>
          </w:rPr>
          <w:tab/>
        </w:r>
        <w:r w:rsidR="00195F12">
          <w:rPr>
            <w:webHidden/>
          </w:rPr>
          <w:fldChar w:fldCharType="begin"/>
        </w:r>
        <w:r w:rsidR="00195F12">
          <w:rPr>
            <w:webHidden/>
          </w:rPr>
          <w:instrText xml:space="preserve"> PAGEREF _Toc493596680 \h </w:instrText>
        </w:r>
        <w:r w:rsidR="00195F12">
          <w:rPr>
            <w:webHidden/>
          </w:rPr>
        </w:r>
        <w:r w:rsidR="00195F12">
          <w:rPr>
            <w:webHidden/>
          </w:rPr>
          <w:fldChar w:fldCharType="separate"/>
        </w:r>
        <w:r w:rsidR="007C6446">
          <w:rPr>
            <w:webHidden/>
          </w:rPr>
          <w:t>49</w:t>
        </w:r>
        <w:r w:rsidR="00195F12">
          <w:rPr>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81" w:history="1">
        <w:r w:rsidR="00195F12" w:rsidRPr="002117F6">
          <w:rPr>
            <w:rStyle w:val="Hyperlink"/>
            <w:noProof/>
          </w:rPr>
          <w:t>Barriers to Adequate Education</w:t>
        </w:r>
        <w:r w:rsidR="00195F12">
          <w:rPr>
            <w:noProof/>
            <w:webHidden/>
          </w:rPr>
          <w:tab/>
        </w:r>
        <w:r w:rsidR="00195F12">
          <w:rPr>
            <w:noProof/>
            <w:webHidden/>
          </w:rPr>
          <w:fldChar w:fldCharType="begin"/>
        </w:r>
        <w:r w:rsidR="00195F12">
          <w:rPr>
            <w:noProof/>
            <w:webHidden/>
          </w:rPr>
          <w:instrText xml:space="preserve"> PAGEREF _Toc493596681 \h </w:instrText>
        </w:r>
        <w:r w:rsidR="00195F12">
          <w:rPr>
            <w:noProof/>
            <w:webHidden/>
          </w:rPr>
        </w:r>
        <w:r w:rsidR="00195F12">
          <w:rPr>
            <w:noProof/>
            <w:webHidden/>
          </w:rPr>
          <w:fldChar w:fldCharType="separate"/>
        </w:r>
        <w:r w:rsidR="007C6446">
          <w:rPr>
            <w:noProof/>
            <w:webHidden/>
          </w:rPr>
          <w:t>49</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82" w:history="1">
        <w:r w:rsidR="00195F12" w:rsidRPr="002117F6">
          <w:rPr>
            <w:rStyle w:val="Hyperlink"/>
            <w:noProof/>
          </w:rPr>
          <w:t>Barriers Related to the Transition to Employment</w:t>
        </w:r>
        <w:r w:rsidR="00195F12">
          <w:rPr>
            <w:noProof/>
            <w:webHidden/>
          </w:rPr>
          <w:tab/>
        </w:r>
        <w:r w:rsidR="00195F12">
          <w:rPr>
            <w:noProof/>
            <w:webHidden/>
          </w:rPr>
          <w:fldChar w:fldCharType="begin"/>
        </w:r>
        <w:r w:rsidR="00195F12">
          <w:rPr>
            <w:noProof/>
            <w:webHidden/>
          </w:rPr>
          <w:instrText xml:space="preserve"> PAGEREF _Toc493596682 \h </w:instrText>
        </w:r>
        <w:r w:rsidR="00195F12">
          <w:rPr>
            <w:noProof/>
            <w:webHidden/>
          </w:rPr>
        </w:r>
        <w:r w:rsidR="00195F12">
          <w:rPr>
            <w:noProof/>
            <w:webHidden/>
          </w:rPr>
          <w:fldChar w:fldCharType="separate"/>
        </w:r>
        <w:r w:rsidR="007C6446">
          <w:rPr>
            <w:noProof/>
            <w:webHidden/>
          </w:rPr>
          <w:t>51</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83" w:history="1">
        <w:r w:rsidR="00195F12" w:rsidRPr="002117F6">
          <w:rPr>
            <w:rStyle w:val="Hyperlink"/>
            <w:noProof/>
          </w:rPr>
          <w:t>Barriers Related to Complex Eligibility and Enrollment Procedures</w:t>
        </w:r>
        <w:r w:rsidR="00195F12">
          <w:rPr>
            <w:noProof/>
            <w:webHidden/>
          </w:rPr>
          <w:tab/>
        </w:r>
        <w:r w:rsidR="00195F12">
          <w:rPr>
            <w:noProof/>
            <w:webHidden/>
          </w:rPr>
          <w:fldChar w:fldCharType="begin"/>
        </w:r>
        <w:r w:rsidR="00195F12">
          <w:rPr>
            <w:noProof/>
            <w:webHidden/>
          </w:rPr>
          <w:instrText xml:space="preserve"> PAGEREF _Toc493596683 \h </w:instrText>
        </w:r>
        <w:r w:rsidR="00195F12">
          <w:rPr>
            <w:noProof/>
            <w:webHidden/>
          </w:rPr>
        </w:r>
        <w:r w:rsidR="00195F12">
          <w:rPr>
            <w:noProof/>
            <w:webHidden/>
          </w:rPr>
          <w:fldChar w:fldCharType="separate"/>
        </w:r>
        <w:r w:rsidR="007C6446">
          <w:rPr>
            <w:noProof/>
            <w:webHidden/>
          </w:rPr>
          <w:t>53</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84" w:history="1">
        <w:r w:rsidR="00195F12" w:rsidRPr="002117F6">
          <w:rPr>
            <w:rStyle w:val="Hyperlink"/>
            <w:noProof/>
          </w:rPr>
          <w:t>Barriers Related to Program Income and Asset Limits</w:t>
        </w:r>
        <w:r w:rsidR="00195F12">
          <w:rPr>
            <w:noProof/>
            <w:webHidden/>
          </w:rPr>
          <w:tab/>
        </w:r>
        <w:r w:rsidR="00195F12">
          <w:rPr>
            <w:noProof/>
            <w:webHidden/>
          </w:rPr>
          <w:fldChar w:fldCharType="begin"/>
        </w:r>
        <w:r w:rsidR="00195F12">
          <w:rPr>
            <w:noProof/>
            <w:webHidden/>
          </w:rPr>
          <w:instrText xml:space="preserve"> PAGEREF _Toc493596684 \h </w:instrText>
        </w:r>
        <w:r w:rsidR="00195F12">
          <w:rPr>
            <w:noProof/>
            <w:webHidden/>
          </w:rPr>
        </w:r>
        <w:r w:rsidR="00195F12">
          <w:rPr>
            <w:noProof/>
            <w:webHidden/>
          </w:rPr>
          <w:fldChar w:fldCharType="separate"/>
        </w:r>
        <w:r w:rsidR="007C6446">
          <w:rPr>
            <w:noProof/>
            <w:webHidden/>
          </w:rPr>
          <w:t>55</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85" w:history="1">
        <w:r w:rsidR="00195F12" w:rsidRPr="002117F6">
          <w:rPr>
            <w:rStyle w:val="Hyperlink"/>
            <w:noProof/>
          </w:rPr>
          <w:t>Barriers Related to Transportation in Rural Areas</w:t>
        </w:r>
        <w:r w:rsidR="00195F12">
          <w:rPr>
            <w:noProof/>
            <w:webHidden/>
          </w:rPr>
          <w:tab/>
        </w:r>
        <w:r w:rsidR="00195F12">
          <w:rPr>
            <w:noProof/>
            <w:webHidden/>
          </w:rPr>
          <w:fldChar w:fldCharType="begin"/>
        </w:r>
        <w:r w:rsidR="00195F12">
          <w:rPr>
            <w:noProof/>
            <w:webHidden/>
          </w:rPr>
          <w:instrText xml:space="preserve"> PAGEREF _Toc493596685 \h </w:instrText>
        </w:r>
        <w:r w:rsidR="00195F12">
          <w:rPr>
            <w:noProof/>
            <w:webHidden/>
          </w:rPr>
        </w:r>
        <w:r w:rsidR="00195F12">
          <w:rPr>
            <w:noProof/>
            <w:webHidden/>
          </w:rPr>
          <w:fldChar w:fldCharType="separate"/>
        </w:r>
        <w:r w:rsidR="007C6446">
          <w:rPr>
            <w:noProof/>
            <w:webHidden/>
          </w:rPr>
          <w:t>58</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86" w:history="1">
        <w:r w:rsidR="00195F12" w:rsidRPr="002117F6">
          <w:rPr>
            <w:rStyle w:val="Hyperlink"/>
            <w:noProof/>
          </w:rPr>
          <w:t>Barriers Related to Attitudes and Stereotypes</w:t>
        </w:r>
        <w:r w:rsidR="00195F12">
          <w:rPr>
            <w:noProof/>
            <w:webHidden/>
          </w:rPr>
          <w:tab/>
        </w:r>
        <w:r w:rsidR="00195F12">
          <w:rPr>
            <w:noProof/>
            <w:webHidden/>
          </w:rPr>
          <w:fldChar w:fldCharType="begin"/>
        </w:r>
        <w:r w:rsidR="00195F12">
          <w:rPr>
            <w:noProof/>
            <w:webHidden/>
          </w:rPr>
          <w:instrText xml:space="preserve"> PAGEREF _Toc493596686 \h </w:instrText>
        </w:r>
        <w:r w:rsidR="00195F12">
          <w:rPr>
            <w:noProof/>
            <w:webHidden/>
          </w:rPr>
        </w:r>
        <w:r w:rsidR="00195F12">
          <w:rPr>
            <w:noProof/>
            <w:webHidden/>
          </w:rPr>
          <w:fldChar w:fldCharType="separate"/>
        </w:r>
        <w:r w:rsidR="007C6446">
          <w:rPr>
            <w:noProof/>
            <w:webHidden/>
          </w:rPr>
          <w:t>59</w:t>
        </w:r>
        <w:r w:rsidR="00195F12">
          <w:rPr>
            <w:noProof/>
            <w:webHidden/>
          </w:rPr>
          <w:fldChar w:fldCharType="end"/>
        </w:r>
      </w:hyperlink>
    </w:p>
    <w:p w:rsidR="00392CAE" w:rsidRDefault="00392CAE">
      <w:pPr>
        <w:rPr>
          <w:rFonts w:ascii="Arial" w:eastAsia="Calibri" w:hAnsi="Arial" w:cs="Times New Roman"/>
          <w:noProof/>
          <w:sz w:val="24"/>
        </w:rPr>
      </w:pPr>
      <w:r>
        <w:br w:type="page"/>
      </w:r>
    </w:p>
    <w:p w:rsidR="00195F12" w:rsidRDefault="00CC27C2">
      <w:pPr>
        <w:pStyle w:val="TOC1"/>
        <w:rPr>
          <w:rFonts w:asciiTheme="minorHAnsi" w:eastAsiaTheme="minorEastAsia" w:hAnsiTheme="minorHAnsi" w:cstheme="minorBidi"/>
          <w:sz w:val="22"/>
        </w:rPr>
      </w:pPr>
      <w:hyperlink w:anchor="_Toc493596687" w:history="1">
        <w:r w:rsidR="00195F12" w:rsidRPr="002117F6">
          <w:rPr>
            <w:rStyle w:val="Hyperlink"/>
          </w:rPr>
          <w:t>Chapter 3: Emerging and Promising Practices for Achieving Economic Self-Sufficiency</w:t>
        </w:r>
        <w:r w:rsidR="00195F12">
          <w:rPr>
            <w:webHidden/>
          </w:rPr>
          <w:tab/>
        </w:r>
        <w:r w:rsidR="00195F12">
          <w:rPr>
            <w:webHidden/>
          </w:rPr>
          <w:fldChar w:fldCharType="begin"/>
        </w:r>
        <w:r w:rsidR="00195F12">
          <w:rPr>
            <w:webHidden/>
          </w:rPr>
          <w:instrText xml:space="preserve"> PAGEREF _Toc493596687 \h </w:instrText>
        </w:r>
        <w:r w:rsidR="00195F12">
          <w:rPr>
            <w:webHidden/>
          </w:rPr>
        </w:r>
        <w:r w:rsidR="00195F12">
          <w:rPr>
            <w:webHidden/>
          </w:rPr>
          <w:fldChar w:fldCharType="separate"/>
        </w:r>
        <w:r w:rsidR="007C6446">
          <w:rPr>
            <w:webHidden/>
          </w:rPr>
          <w:t>63</w:t>
        </w:r>
        <w:r w:rsidR="00195F12">
          <w:rPr>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88" w:history="1">
        <w:r w:rsidR="00195F12" w:rsidRPr="002117F6">
          <w:rPr>
            <w:rStyle w:val="Hyperlink"/>
            <w:noProof/>
          </w:rPr>
          <w:t>Education</w:t>
        </w:r>
        <w:r w:rsidR="00195F12">
          <w:rPr>
            <w:noProof/>
            <w:webHidden/>
          </w:rPr>
          <w:tab/>
        </w:r>
        <w:r w:rsidR="00195F12">
          <w:rPr>
            <w:noProof/>
            <w:webHidden/>
          </w:rPr>
          <w:fldChar w:fldCharType="begin"/>
        </w:r>
        <w:r w:rsidR="00195F12">
          <w:rPr>
            <w:noProof/>
            <w:webHidden/>
          </w:rPr>
          <w:instrText xml:space="preserve"> PAGEREF _Toc493596688 \h </w:instrText>
        </w:r>
        <w:r w:rsidR="00195F12">
          <w:rPr>
            <w:noProof/>
            <w:webHidden/>
          </w:rPr>
        </w:r>
        <w:r w:rsidR="00195F12">
          <w:rPr>
            <w:noProof/>
            <w:webHidden/>
          </w:rPr>
          <w:fldChar w:fldCharType="separate"/>
        </w:r>
        <w:r w:rsidR="007C6446">
          <w:rPr>
            <w:noProof/>
            <w:webHidden/>
          </w:rPr>
          <w:t>63</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89" w:history="1">
        <w:r w:rsidR="00195F12" w:rsidRPr="002117F6">
          <w:rPr>
            <w:rStyle w:val="Hyperlink"/>
            <w:noProof/>
          </w:rPr>
          <w:t>Financial Assistance and Incentives</w:t>
        </w:r>
        <w:r w:rsidR="00195F12">
          <w:rPr>
            <w:noProof/>
            <w:webHidden/>
          </w:rPr>
          <w:tab/>
        </w:r>
        <w:r w:rsidR="00195F12">
          <w:rPr>
            <w:noProof/>
            <w:webHidden/>
          </w:rPr>
          <w:fldChar w:fldCharType="begin"/>
        </w:r>
        <w:r w:rsidR="00195F12">
          <w:rPr>
            <w:noProof/>
            <w:webHidden/>
          </w:rPr>
          <w:instrText xml:space="preserve"> PAGEREF _Toc493596689 \h </w:instrText>
        </w:r>
        <w:r w:rsidR="00195F12">
          <w:rPr>
            <w:noProof/>
            <w:webHidden/>
          </w:rPr>
        </w:r>
        <w:r w:rsidR="00195F12">
          <w:rPr>
            <w:noProof/>
            <w:webHidden/>
          </w:rPr>
          <w:fldChar w:fldCharType="separate"/>
        </w:r>
        <w:r w:rsidR="007C6446">
          <w:rPr>
            <w:noProof/>
            <w:webHidden/>
          </w:rPr>
          <w:t>66</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90" w:history="1">
        <w:r w:rsidR="00195F12" w:rsidRPr="002117F6">
          <w:rPr>
            <w:rStyle w:val="Hyperlink"/>
            <w:noProof/>
          </w:rPr>
          <w:t>Employment</w:t>
        </w:r>
        <w:r w:rsidR="00195F12">
          <w:rPr>
            <w:noProof/>
            <w:webHidden/>
          </w:rPr>
          <w:tab/>
        </w:r>
        <w:r w:rsidR="00195F12">
          <w:rPr>
            <w:noProof/>
            <w:webHidden/>
          </w:rPr>
          <w:fldChar w:fldCharType="begin"/>
        </w:r>
        <w:r w:rsidR="00195F12">
          <w:rPr>
            <w:noProof/>
            <w:webHidden/>
          </w:rPr>
          <w:instrText xml:space="preserve"> PAGEREF _Toc493596690 \h </w:instrText>
        </w:r>
        <w:r w:rsidR="00195F12">
          <w:rPr>
            <w:noProof/>
            <w:webHidden/>
          </w:rPr>
        </w:r>
        <w:r w:rsidR="00195F12">
          <w:rPr>
            <w:noProof/>
            <w:webHidden/>
          </w:rPr>
          <w:fldChar w:fldCharType="separate"/>
        </w:r>
        <w:r w:rsidR="007C6446">
          <w:rPr>
            <w:noProof/>
            <w:webHidden/>
          </w:rPr>
          <w:t>68</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91" w:history="1">
        <w:r w:rsidR="00195F12" w:rsidRPr="002117F6">
          <w:rPr>
            <w:rStyle w:val="Hyperlink"/>
            <w:noProof/>
          </w:rPr>
          <w:t>Housing</w:t>
        </w:r>
        <w:r w:rsidR="00195F12">
          <w:rPr>
            <w:noProof/>
            <w:webHidden/>
          </w:rPr>
          <w:tab/>
        </w:r>
        <w:r w:rsidR="00195F12">
          <w:rPr>
            <w:noProof/>
            <w:webHidden/>
          </w:rPr>
          <w:fldChar w:fldCharType="begin"/>
        </w:r>
        <w:r w:rsidR="00195F12">
          <w:rPr>
            <w:noProof/>
            <w:webHidden/>
          </w:rPr>
          <w:instrText xml:space="preserve"> PAGEREF _Toc493596691 \h </w:instrText>
        </w:r>
        <w:r w:rsidR="00195F12">
          <w:rPr>
            <w:noProof/>
            <w:webHidden/>
          </w:rPr>
        </w:r>
        <w:r w:rsidR="00195F12">
          <w:rPr>
            <w:noProof/>
            <w:webHidden/>
          </w:rPr>
          <w:fldChar w:fldCharType="separate"/>
        </w:r>
        <w:r w:rsidR="007C6446">
          <w:rPr>
            <w:noProof/>
            <w:webHidden/>
          </w:rPr>
          <w:t>69</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92" w:history="1">
        <w:r w:rsidR="00195F12" w:rsidRPr="002117F6">
          <w:rPr>
            <w:rStyle w:val="Hyperlink"/>
            <w:noProof/>
          </w:rPr>
          <w:t>Underutilized Policies, Programs, and Practices</w:t>
        </w:r>
        <w:r w:rsidR="00195F12">
          <w:rPr>
            <w:noProof/>
            <w:webHidden/>
          </w:rPr>
          <w:tab/>
        </w:r>
        <w:r w:rsidR="00195F12">
          <w:rPr>
            <w:noProof/>
            <w:webHidden/>
          </w:rPr>
          <w:fldChar w:fldCharType="begin"/>
        </w:r>
        <w:r w:rsidR="00195F12">
          <w:rPr>
            <w:noProof/>
            <w:webHidden/>
          </w:rPr>
          <w:instrText xml:space="preserve"> PAGEREF _Toc493596692 \h </w:instrText>
        </w:r>
        <w:r w:rsidR="00195F12">
          <w:rPr>
            <w:noProof/>
            <w:webHidden/>
          </w:rPr>
        </w:r>
        <w:r w:rsidR="00195F12">
          <w:rPr>
            <w:noProof/>
            <w:webHidden/>
          </w:rPr>
          <w:fldChar w:fldCharType="separate"/>
        </w:r>
        <w:r w:rsidR="007C6446">
          <w:rPr>
            <w:noProof/>
            <w:webHidden/>
          </w:rPr>
          <w:t>72</w:t>
        </w:r>
        <w:r w:rsidR="00195F12">
          <w:rPr>
            <w:noProof/>
            <w:webHidden/>
          </w:rPr>
          <w:fldChar w:fldCharType="end"/>
        </w:r>
      </w:hyperlink>
    </w:p>
    <w:p w:rsidR="00195F12" w:rsidRDefault="00CC27C2">
      <w:pPr>
        <w:pStyle w:val="TOC1"/>
        <w:rPr>
          <w:rFonts w:asciiTheme="minorHAnsi" w:eastAsiaTheme="minorEastAsia" w:hAnsiTheme="minorHAnsi" w:cstheme="minorBidi"/>
          <w:sz w:val="22"/>
        </w:rPr>
      </w:pPr>
      <w:hyperlink w:anchor="_Toc493596693" w:history="1">
        <w:r w:rsidR="00195F12" w:rsidRPr="002117F6">
          <w:rPr>
            <w:rStyle w:val="Hyperlink"/>
          </w:rPr>
          <w:t>Chapter 4: Recommendations to Promote Economic Self-Sufficiency for People with Disabilities</w:t>
        </w:r>
        <w:r w:rsidR="00195F12">
          <w:rPr>
            <w:webHidden/>
          </w:rPr>
          <w:tab/>
        </w:r>
        <w:r w:rsidR="00195F12">
          <w:rPr>
            <w:webHidden/>
          </w:rPr>
          <w:fldChar w:fldCharType="begin"/>
        </w:r>
        <w:r w:rsidR="00195F12">
          <w:rPr>
            <w:webHidden/>
          </w:rPr>
          <w:instrText xml:space="preserve"> PAGEREF _Toc493596693 \h </w:instrText>
        </w:r>
        <w:r w:rsidR="00195F12">
          <w:rPr>
            <w:webHidden/>
          </w:rPr>
        </w:r>
        <w:r w:rsidR="00195F12">
          <w:rPr>
            <w:webHidden/>
          </w:rPr>
          <w:fldChar w:fldCharType="separate"/>
        </w:r>
        <w:r w:rsidR="007C6446">
          <w:rPr>
            <w:webHidden/>
          </w:rPr>
          <w:t>75</w:t>
        </w:r>
        <w:r w:rsidR="00195F12">
          <w:rPr>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94" w:history="1">
        <w:r w:rsidR="00195F12" w:rsidRPr="002117F6">
          <w:rPr>
            <w:rStyle w:val="Hyperlink"/>
            <w:noProof/>
          </w:rPr>
          <w:t>Collaboration and Data Collection</w:t>
        </w:r>
        <w:r w:rsidR="00195F12">
          <w:rPr>
            <w:noProof/>
            <w:webHidden/>
          </w:rPr>
          <w:tab/>
        </w:r>
        <w:r w:rsidR="00195F12">
          <w:rPr>
            <w:noProof/>
            <w:webHidden/>
          </w:rPr>
          <w:fldChar w:fldCharType="begin"/>
        </w:r>
        <w:r w:rsidR="00195F12">
          <w:rPr>
            <w:noProof/>
            <w:webHidden/>
          </w:rPr>
          <w:instrText xml:space="preserve"> PAGEREF _Toc493596694 \h </w:instrText>
        </w:r>
        <w:r w:rsidR="00195F12">
          <w:rPr>
            <w:noProof/>
            <w:webHidden/>
          </w:rPr>
        </w:r>
        <w:r w:rsidR="00195F12">
          <w:rPr>
            <w:noProof/>
            <w:webHidden/>
          </w:rPr>
          <w:fldChar w:fldCharType="separate"/>
        </w:r>
        <w:r w:rsidR="007C6446">
          <w:rPr>
            <w:noProof/>
            <w:webHidden/>
          </w:rPr>
          <w:t>75</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95" w:history="1">
        <w:r w:rsidR="00195F12" w:rsidRPr="002117F6">
          <w:rPr>
            <w:rStyle w:val="Hyperlink"/>
            <w:noProof/>
          </w:rPr>
          <w:t>Education</w:t>
        </w:r>
        <w:r w:rsidR="00195F12">
          <w:rPr>
            <w:noProof/>
            <w:webHidden/>
          </w:rPr>
          <w:tab/>
        </w:r>
        <w:r w:rsidR="00195F12">
          <w:rPr>
            <w:noProof/>
            <w:webHidden/>
          </w:rPr>
          <w:fldChar w:fldCharType="begin"/>
        </w:r>
        <w:r w:rsidR="00195F12">
          <w:rPr>
            <w:noProof/>
            <w:webHidden/>
          </w:rPr>
          <w:instrText xml:space="preserve"> PAGEREF _Toc493596695 \h </w:instrText>
        </w:r>
        <w:r w:rsidR="00195F12">
          <w:rPr>
            <w:noProof/>
            <w:webHidden/>
          </w:rPr>
        </w:r>
        <w:r w:rsidR="00195F12">
          <w:rPr>
            <w:noProof/>
            <w:webHidden/>
          </w:rPr>
          <w:fldChar w:fldCharType="separate"/>
        </w:r>
        <w:r w:rsidR="007C6446">
          <w:rPr>
            <w:noProof/>
            <w:webHidden/>
          </w:rPr>
          <w:t>76</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96" w:history="1">
        <w:r w:rsidR="00195F12" w:rsidRPr="002117F6">
          <w:rPr>
            <w:rStyle w:val="Hyperlink"/>
            <w:noProof/>
          </w:rPr>
          <w:t>Employment</w:t>
        </w:r>
        <w:r w:rsidR="00195F12">
          <w:rPr>
            <w:noProof/>
            <w:webHidden/>
          </w:rPr>
          <w:tab/>
        </w:r>
        <w:r w:rsidR="00195F12">
          <w:rPr>
            <w:noProof/>
            <w:webHidden/>
          </w:rPr>
          <w:fldChar w:fldCharType="begin"/>
        </w:r>
        <w:r w:rsidR="00195F12">
          <w:rPr>
            <w:noProof/>
            <w:webHidden/>
          </w:rPr>
          <w:instrText xml:space="preserve"> PAGEREF _Toc493596696 \h </w:instrText>
        </w:r>
        <w:r w:rsidR="00195F12">
          <w:rPr>
            <w:noProof/>
            <w:webHidden/>
          </w:rPr>
        </w:r>
        <w:r w:rsidR="00195F12">
          <w:rPr>
            <w:noProof/>
            <w:webHidden/>
          </w:rPr>
          <w:fldChar w:fldCharType="separate"/>
        </w:r>
        <w:r w:rsidR="007C6446">
          <w:rPr>
            <w:noProof/>
            <w:webHidden/>
          </w:rPr>
          <w:t>77</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97" w:history="1">
        <w:r w:rsidR="00195F12" w:rsidRPr="002117F6">
          <w:rPr>
            <w:rStyle w:val="Hyperlink"/>
            <w:noProof/>
          </w:rPr>
          <w:t>Financial Assistance and Incentives</w:t>
        </w:r>
        <w:r w:rsidR="00195F12">
          <w:rPr>
            <w:noProof/>
            <w:webHidden/>
          </w:rPr>
          <w:tab/>
        </w:r>
        <w:r w:rsidR="00195F12">
          <w:rPr>
            <w:noProof/>
            <w:webHidden/>
          </w:rPr>
          <w:fldChar w:fldCharType="begin"/>
        </w:r>
        <w:r w:rsidR="00195F12">
          <w:rPr>
            <w:noProof/>
            <w:webHidden/>
          </w:rPr>
          <w:instrText xml:space="preserve"> PAGEREF _Toc493596697 \h </w:instrText>
        </w:r>
        <w:r w:rsidR="00195F12">
          <w:rPr>
            <w:noProof/>
            <w:webHidden/>
          </w:rPr>
        </w:r>
        <w:r w:rsidR="00195F12">
          <w:rPr>
            <w:noProof/>
            <w:webHidden/>
          </w:rPr>
          <w:fldChar w:fldCharType="separate"/>
        </w:r>
        <w:r w:rsidR="007C6446">
          <w:rPr>
            <w:noProof/>
            <w:webHidden/>
          </w:rPr>
          <w:t>78</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98" w:history="1">
        <w:r w:rsidR="00195F12" w:rsidRPr="002117F6">
          <w:rPr>
            <w:rStyle w:val="Hyperlink"/>
            <w:noProof/>
          </w:rPr>
          <w:t>Health Care</w:t>
        </w:r>
        <w:r w:rsidR="00195F12">
          <w:rPr>
            <w:noProof/>
            <w:webHidden/>
          </w:rPr>
          <w:tab/>
        </w:r>
        <w:r w:rsidR="00195F12">
          <w:rPr>
            <w:noProof/>
            <w:webHidden/>
          </w:rPr>
          <w:fldChar w:fldCharType="begin"/>
        </w:r>
        <w:r w:rsidR="00195F12">
          <w:rPr>
            <w:noProof/>
            <w:webHidden/>
          </w:rPr>
          <w:instrText xml:space="preserve"> PAGEREF _Toc493596698 \h </w:instrText>
        </w:r>
        <w:r w:rsidR="00195F12">
          <w:rPr>
            <w:noProof/>
            <w:webHidden/>
          </w:rPr>
        </w:r>
        <w:r w:rsidR="00195F12">
          <w:rPr>
            <w:noProof/>
            <w:webHidden/>
          </w:rPr>
          <w:fldChar w:fldCharType="separate"/>
        </w:r>
        <w:r w:rsidR="007C6446">
          <w:rPr>
            <w:noProof/>
            <w:webHidden/>
          </w:rPr>
          <w:t>79</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699" w:history="1">
        <w:r w:rsidR="00195F12" w:rsidRPr="002117F6">
          <w:rPr>
            <w:rStyle w:val="Hyperlink"/>
            <w:noProof/>
          </w:rPr>
          <w:t>Housing</w:t>
        </w:r>
        <w:r w:rsidR="00195F12">
          <w:rPr>
            <w:noProof/>
            <w:webHidden/>
          </w:rPr>
          <w:tab/>
        </w:r>
        <w:r w:rsidR="00195F12">
          <w:rPr>
            <w:noProof/>
            <w:webHidden/>
          </w:rPr>
          <w:fldChar w:fldCharType="begin"/>
        </w:r>
        <w:r w:rsidR="00195F12">
          <w:rPr>
            <w:noProof/>
            <w:webHidden/>
          </w:rPr>
          <w:instrText xml:space="preserve"> PAGEREF _Toc493596699 \h </w:instrText>
        </w:r>
        <w:r w:rsidR="00195F12">
          <w:rPr>
            <w:noProof/>
            <w:webHidden/>
          </w:rPr>
        </w:r>
        <w:r w:rsidR="00195F12">
          <w:rPr>
            <w:noProof/>
            <w:webHidden/>
          </w:rPr>
          <w:fldChar w:fldCharType="separate"/>
        </w:r>
        <w:r w:rsidR="007C6446">
          <w:rPr>
            <w:noProof/>
            <w:webHidden/>
          </w:rPr>
          <w:t>80</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00" w:history="1">
        <w:r w:rsidR="00195F12" w:rsidRPr="002117F6">
          <w:rPr>
            <w:rStyle w:val="Hyperlink"/>
            <w:noProof/>
          </w:rPr>
          <w:t>Transportation</w:t>
        </w:r>
        <w:r w:rsidR="00195F12">
          <w:rPr>
            <w:noProof/>
            <w:webHidden/>
          </w:rPr>
          <w:tab/>
        </w:r>
        <w:r w:rsidR="00195F12">
          <w:rPr>
            <w:noProof/>
            <w:webHidden/>
          </w:rPr>
          <w:fldChar w:fldCharType="begin"/>
        </w:r>
        <w:r w:rsidR="00195F12">
          <w:rPr>
            <w:noProof/>
            <w:webHidden/>
          </w:rPr>
          <w:instrText xml:space="preserve"> PAGEREF _Toc493596700 \h </w:instrText>
        </w:r>
        <w:r w:rsidR="00195F12">
          <w:rPr>
            <w:noProof/>
            <w:webHidden/>
          </w:rPr>
        </w:r>
        <w:r w:rsidR="00195F12">
          <w:rPr>
            <w:noProof/>
            <w:webHidden/>
          </w:rPr>
          <w:fldChar w:fldCharType="separate"/>
        </w:r>
        <w:r w:rsidR="007C6446">
          <w:rPr>
            <w:noProof/>
            <w:webHidden/>
          </w:rPr>
          <w:t>81</w:t>
        </w:r>
        <w:r w:rsidR="00195F12">
          <w:rPr>
            <w:noProof/>
            <w:webHidden/>
          </w:rPr>
          <w:fldChar w:fldCharType="end"/>
        </w:r>
      </w:hyperlink>
    </w:p>
    <w:p w:rsidR="00195F12" w:rsidRDefault="00CC27C2">
      <w:pPr>
        <w:pStyle w:val="TOC1"/>
        <w:rPr>
          <w:rFonts w:asciiTheme="minorHAnsi" w:eastAsiaTheme="minorEastAsia" w:hAnsiTheme="minorHAnsi" w:cstheme="minorBidi"/>
          <w:sz w:val="22"/>
        </w:rPr>
      </w:pPr>
      <w:hyperlink w:anchor="_Toc493596701" w:history="1">
        <w:r w:rsidR="00195F12" w:rsidRPr="002117F6">
          <w:rPr>
            <w:rStyle w:val="Hyperlink"/>
          </w:rPr>
          <w:t>Conclusion</w:t>
        </w:r>
        <w:r w:rsidR="00195F12">
          <w:rPr>
            <w:webHidden/>
          </w:rPr>
          <w:tab/>
        </w:r>
        <w:r w:rsidR="00195F12">
          <w:rPr>
            <w:webHidden/>
          </w:rPr>
          <w:fldChar w:fldCharType="begin"/>
        </w:r>
        <w:r w:rsidR="00195F12">
          <w:rPr>
            <w:webHidden/>
          </w:rPr>
          <w:instrText xml:space="preserve"> PAGEREF _Toc493596701 \h </w:instrText>
        </w:r>
        <w:r w:rsidR="00195F12">
          <w:rPr>
            <w:webHidden/>
          </w:rPr>
        </w:r>
        <w:r w:rsidR="00195F12">
          <w:rPr>
            <w:webHidden/>
          </w:rPr>
          <w:fldChar w:fldCharType="separate"/>
        </w:r>
        <w:r w:rsidR="007C6446">
          <w:rPr>
            <w:webHidden/>
          </w:rPr>
          <w:t>83</w:t>
        </w:r>
        <w:r w:rsidR="00195F12">
          <w:rPr>
            <w:webHidden/>
          </w:rPr>
          <w:fldChar w:fldCharType="end"/>
        </w:r>
      </w:hyperlink>
    </w:p>
    <w:p w:rsidR="00195F12" w:rsidRDefault="00CC27C2">
      <w:pPr>
        <w:pStyle w:val="TOC1"/>
        <w:rPr>
          <w:rFonts w:asciiTheme="minorHAnsi" w:eastAsiaTheme="minorEastAsia" w:hAnsiTheme="minorHAnsi" w:cstheme="minorBidi"/>
          <w:sz w:val="22"/>
        </w:rPr>
      </w:pPr>
      <w:hyperlink w:anchor="_Toc493596702" w:history="1">
        <w:r w:rsidR="00195F12" w:rsidRPr="002117F6">
          <w:rPr>
            <w:rStyle w:val="Hyperlink"/>
          </w:rPr>
          <w:t>Appendix A: Focus Group Summary</w:t>
        </w:r>
        <w:r w:rsidR="00195F12">
          <w:rPr>
            <w:webHidden/>
          </w:rPr>
          <w:tab/>
        </w:r>
        <w:r w:rsidR="00195F12">
          <w:rPr>
            <w:webHidden/>
          </w:rPr>
          <w:fldChar w:fldCharType="begin"/>
        </w:r>
        <w:r w:rsidR="00195F12">
          <w:rPr>
            <w:webHidden/>
          </w:rPr>
          <w:instrText xml:space="preserve"> PAGEREF _Toc493596702 \h </w:instrText>
        </w:r>
        <w:r w:rsidR="00195F12">
          <w:rPr>
            <w:webHidden/>
          </w:rPr>
        </w:r>
        <w:r w:rsidR="00195F12">
          <w:rPr>
            <w:webHidden/>
          </w:rPr>
          <w:fldChar w:fldCharType="separate"/>
        </w:r>
        <w:r w:rsidR="007C6446">
          <w:rPr>
            <w:webHidden/>
          </w:rPr>
          <w:t>85</w:t>
        </w:r>
        <w:r w:rsidR="00195F12">
          <w:rPr>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03" w:history="1">
        <w:r w:rsidR="00195F12" w:rsidRPr="002117F6">
          <w:rPr>
            <w:rStyle w:val="Hyperlink"/>
            <w:noProof/>
          </w:rPr>
          <w:t>Focus Group Highlights</w:t>
        </w:r>
        <w:r w:rsidR="00195F12">
          <w:rPr>
            <w:noProof/>
            <w:webHidden/>
          </w:rPr>
          <w:tab/>
        </w:r>
        <w:r w:rsidR="00195F12">
          <w:rPr>
            <w:noProof/>
            <w:webHidden/>
          </w:rPr>
          <w:fldChar w:fldCharType="begin"/>
        </w:r>
        <w:r w:rsidR="00195F12">
          <w:rPr>
            <w:noProof/>
            <w:webHidden/>
          </w:rPr>
          <w:instrText xml:space="preserve"> PAGEREF _Toc493596703 \h </w:instrText>
        </w:r>
        <w:r w:rsidR="00195F12">
          <w:rPr>
            <w:noProof/>
            <w:webHidden/>
          </w:rPr>
        </w:r>
        <w:r w:rsidR="00195F12">
          <w:rPr>
            <w:noProof/>
            <w:webHidden/>
          </w:rPr>
          <w:fldChar w:fldCharType="separate"/>
        </w:r>
        <w:r w:rsidR="007C6446">
          <w:rPr>
            <w:noProof/>
            <w:webHidden/>
          </w:rPr>
          <w:t>85</w:t>
        </w:r>
        <w:r w:rsidR="00195F12">
          <w:rPr>
            <w:noProof/>
            <w:webHidden/>
          </w:rPr>
          <w:fldChar w:fldCharType="end"/>
        </w:r>
      </w:hyperlink>
    </w:p>
    <w:p w:rsidR="00195F12" w:rsidRDefault="00CC27C2">
      <w:pPr>
        <w:pStyle w:val="TOC3"/>
        <w:tabs>
          <w:tab w:val="right" w:leader="dot" w:pos="9350"/>
        </w:tabs>
        <w:rPr>
          <w:rFonts w:asciiTheme="minorHAnsi" w:eastAsiaTheme="minorEastAsia" w:hAnsiTheme="minorHAnsi" w:cstheme="minorBidi"/>
          <w:i w:val="0"/>
          <w:noProof/>
          <w:sz w:val="22"/>
        </w:rPr>
      </w:pPr>
      <w:hyperlink w:anchor="_Toc493596704" w:history="1">
        <w:r w:rsidR="00195F12" w:rsidRPr="002117F6">
          <w:rPr>
            <w:rStyle w:val="Hyperlink"/>
            <w:noProof/>
          </w:rPr>
          <w:t>Recruitment and Participants</w:t>
        </w:r>
        <w:r w:rsidR="00195F12">
          <w:rPr>
            <w:noProof/>
            <w:webHidden/>
          </w:rPr>
          <w:tab/>
        </w:r>
        <w:r w:rsidR="00195F12">
          <w:rPr>
            <w:noProof/>
            <w:webHidden/>
          </w:rPr>
          <w:fldChar w:fldCharType="begin"/>
        </w:r>
        <w:r w:rsidR="00195F12">
          <w:rPr>
            <w:noProof/>
            <w:webHidden/>
          </w:rPr>
          <w:instrText xml:space="preserve"> PAGEREF _Toc493596704 \h </w:instrText>
        </w:r>
        <w:r w:rsidR="00195F12">
          <w:rPr>
            <w:noProof/>
            <w:webHidden/>
          </w:rPr>
        </w:r>
        <w:r w:rsidR="00195F12">
          <w:rPr>
            <w:noProof/>
            <w:webHidden/>
          </w:rPr>
          <w:fldChar w:fldCharType="separate"/>
        </w:r>
        <w:r w:rsidR="007C6446">
          <w:rPr>
            <w:noProof/>
            <w:webHidden/>
          </w:rPr>
          <w:t>85</w:t>
        </w:r>
        <w:r w:rsidR="00195F12">
          <w:rPr>
            <w:noProof/>
            <w:webHidden/>
          </w:rPr>
          <w:fldChar w:fldCharType="end"/>
        </w:r>
      </w:hyperlink>
    </w:p>
    <w:p w:rsidR="00195F12" w:rsidRDefault="00CC27C2">
      <w:pPr>
        <w:pStyle w:val="TOC3"/>
        <w:tabs>
          <w:tab w:val="right" w:leader="dot" w:pos="9350"/>
        </w:tabs>
        <w:rPr>
          <w:rFonts w:asciiTheme="minorHAnsi" w:eastAsiaTheme="minorEastAsia" w:hAnsiTheme="minorHAnsi" w:cstheme="minorBidi"/>
          <w:i w:val="0"/>
          <w:noProof/>
          <w:sz w:val="22"/>
        </w:rPr>
      </w:pPr>
      <w:hyperlink w:anchor="_Toc493596705" w:history="1">
        <w:r w:rsidR="00195F12" w:rsidRPr="002117F6">
          <w:rPr>
            <w:rStyle w:val="Hyperlink"/>
            <w:noProof/>
          </w:rPr>
          <w:t>Relevant Highlights</w:t>
        </w:r>
        <w:r w:rsidR="00195F12">
          <w:rPr>
            <w:noProof/>
            <w:webHidden/>
          </w:rPr>
          <w:tab/>
        </w:r>
        <w:r w:rsidR="00195F12">
          <w:rPr>
            <w:noProof/>
            <w:webHidden/>
          </w:rPr>
          <w:fldChar w:fldCharType="begin"/>
        </w:r>
        <w:r w:rsidR="00195F12">
          <w:rPr>
            <w:noProof/>
            <w:webHidden/>
          </w:rPr>
          <w:instrText xml:space="preserve"> PAGEREF _Toc493596705 \h </w:instrText>
        </w:r>
        <w:r w:rsidR="00195F12">
          <w:rPr>
            <w:noProof/>
            <w:webHidden/>
          </w:rPr>
        </w:r>
        <w:r w:rsidR="00195F12">
          <w:rPr>
            <w:noProof/>
            <w:webHidden/>
          </w:rPr>
          <w:fldChar w:fldCharType="separate"/>
        </w:r>
        <w:r w:rsidR="007C6446">
          <w:rPr>
            <w:noProof/>
            <w:webHidden/>
          </w:rPr>
          <w:t>85</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06" w:history="1">
        <w:r w:rsidR="00195F12" w:rsidRPr="002117F6">
          <w:rPr>
            <w:rStyle w:val="Hyperlink"/>
            <w:noProof/>
          </w:rPr>
          <w:t>Lessons from Focus Group Discussions</w:t>
        </w:r>
        <w:r w:rsidR="00195F12">
          <w:rPr>
            <w:noProof/>
            <w:webHidden/>
          </w:rPr>
          <w:tab/>
        </w:r>
        <w:r w:rsidR="00195F12">
          <w:rPr>
            <w:noProof/>
            <w:webHidden/>
          </w:rPr>
          <w:fldChar w:fldCharType="begin"/>
        </w:r>
        <w:r w:rsidR="00195F12">
          <w:rPr>
            <w:noProof/>
            <w:webHidden/>
          </w:rPr>
          <w:instrText xml:space="preserve"> PAGEREF _Toc493596706 \h </w:instrText>
        </w:r>
        <w:r w:rsidR="00195F12">
          <w:rPr>
            <w:noProof/>
            <w:webHidden/>
          </w:rPr>
        </w:r>
        <w:r w:rsidR="00195F12">
          <w:rPr>
            <w:noProof/>
            <w:webHidden/>
          </w:rPr>
          <w:fldChar w:fldCharType="separate"/>
        </w:r>
        <w:r w:rsidR="007C6446">
          <w:rPr>
            <w:noProof/>
            <w:webHidden/>
          </w:rPr>
          <w:t>86</w:t>
        </w:r>
        <w:r w:rsidR="00195F12">
          <w:rPr>
            <w:noProof/>
            <w:webHidden/>
          </w:rPr>
          <w:fldChar w:fldCharType="end"/>
        </w:r>
      </w:hyperlink>
    </w:p>
    <w:p w:rsidR="00195F12" w:rsidRDefault="00CC27C2">
      <w:pPr>
        <w:pStyle w:val="TOC1"/>
        <w:rPr>
          <w:rFonts w:asciiTheme="minorHAnsi" w:eastAsiaTheme="minorEastAsia" w:hAnsiTheme="minorHAnsi" w:cstheme="minorBidi"/>
          <w:sz w:val="22"/>
        </w:rPr>
      </w:pPr>
      <w:hyperlink w:anchor="_Toc493596707" w:history="1">
        <w:r w:rsidR="00195F12" w:rsidRPr="002117F6">
          <w:rPr>
            <w:rStyle w:val="Hyperlink"/>
          </w:rPr>
          <w:t>Appendix B: Policies, Poverty, and  People with Disabilities</w:t>
        </w:r>
        <w:r w:rsidR="00195F12">
          <w:rPr>
            <w:webHidden/>
          </w:rPr>
          <w:tab/>
        </w:r>
        <w:r w:rsidR="00195F12">
          <w:rPr>
            <w:webHidden/>
          </w:rPr>
          <w:fldChar w:fldCharType="begin"/>
        </w:r>
        <w:r w:rsidR="00195F12">
          <w:rPr>
            <w:webHidden/>
          </w:rPr>
          <w:instrText xml:space="preserve"> PAGEREF _Toc493596707 \h </w:instrText>
        </w:r>
        <w:r w:rsidR="00195F12">
          <w:rPr>
            <w:webHidden/>
          </w:rPr>
        </w:r>
        <w:r w:rsidR="00195F12">
          <w:rPr>
            <w:webHidden/>
          </w:rPr>
          <w:fldChar w:fldCharType="separate"/>
        </w:r>
        <w:r w:rsidR="007C6446">
          <w:rPr>
            <w:webHidden/>
          </w:rPr>
          <w:t>87</w:t>
        </w:r>
        <w:r w:rsidR="00195F12">
          <w:rPr>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08" w:history="1">
        <w:r w:rsidR="00195F12" w:rsidRPr="002117F6">
          <w:rPr>
            <w:rStyle w:val="Hyperlink"/>
            <w:noProof/>
          </w:rPr>
          <w:t>Americans with Disabilities Act (ADA)</w:t>
        </w:r>
        <w:r w:rsidR="00195F12">
          <w:rPr>
            <w:noProof/>
            <w:webHidden/>
          </w:rPr>
          <w:tab/>
        </w:r>
        <w:r w:rsidR="00195F12">
          <w:rPr>
            <w:noProof/>
            <w:webHidden/>
          </w:rPr>
          <w:fldChar w:fldCharType="begin"/>
        </w:r>
        <w:r w:rsidR="00195F12">
          <w:rPr>
            <w:noProof/>
            <w:webHidden/>
          </w:rPr>
          <w:instrText xml:space="preserve"> PAGEREF _Toc493596708 \h </w:instrText>
        </w:r>
        <w:r w:rsidR="00195F12">
          <w:rPr>
            <w:noProof/>
            <w:webHidden/>
          </w:rPr>
        </w:r>
        <w:r w:rsidR="00195F12">
          <w:rPr>
            <w:noProof/>
            <w:webHidden/>
          </w:rPr>
          <w:fldChar w:fldCharType="separate"/>
        </w:r>
        <w:r w:rsidR="007C6446">
          <w:rPr>
            <w:noProof/>
            <w:webHidden/>
          </w:rPr>
          <w:t>87</w:t>
        </w:r>
        <w:r w:rsidR="00195F12">
          <w:rPr>
            <w:noProof/>
            <w:webHidden/>
          </w:rPr>
          <w:fldChar w:fldCharType="end"/>
        </w:r>
      </w:hyperlink>
    </w:p>
    <w:p w:rsidR="00195F12" w:rsidRDefault="00CC27C2">
      <w:pPr>
        <w:pStyle w:val="TOC3"/>
        <w:tabs>
          <w:tab w:val="right" w:leader="dot" w:pos="9350"/>
        </w:tabs>
        <w:rPr>
          <w:rFonts w:asciiTheme="minorHAnsi" w:eastAsiaTheme="minorEastAsia" w:hAnsiTheme="minorHAnsi" w:cstheme="minorBidi"/>
          <w:i w:val="0"/>
          <w:noProof/>
          <w:sz w:val="22"/>
        </w:rPr>
      </w:pPr>
      <w:hyperlink w:anchor="_Toc493596709" w:history="1">
        <w:r w:rsidR="00195F12" w:rsidRPr="002117F6">
          <w:rPr>
            <w:rStyle w:val="Hyperlink"/>
            <w:noProof/>
          </w:rPr>
          <w:t>Title I: Employment</w:t>
        </w:r>
        <w:r w:rsidR="00195F12">
          <w:rPr>
            <w:noProof/>
            <w:webHidden/>
          </w:rPr>
          <w:tab/>
        </w:r>
        <w:r w:rsidR="00195F12">
          <w:rPr>
            <w:noProof/>
            <w:webHidden/>
          </w:rPr>
          <w:fldChar w:fldCharType="begin"/>
        </w:r>
        <w:r w:rsidR="00195F12">
          <w:rPr>
            <w:noProof/>
            <w:webHidden/>
          </w:rPr>
          <w:instrText xml:space="preserve"> PAGEREF _Toc493596709 \h </w:instrText>
        </w:r>
        <w:r w:rsidR="00195F12">
          <w:rPr>
            <w:noProof/>
            <w:webHidden/>
          </w:rPr>
        </w:r>
        <w:r w:rsidR="00195F12">
          <w:rPr>
            <w:noProof/>
            <w:webHidden/>
          </w:rPr>
          <w:fldChar w:fldCharType="separate"/>
        </w:r>
        <w:r w:rsidR="007C6446">
          <w:rPr>
            <w:noProof/>
            <w:webHidden/>
          </w:rPr>
          <w:t>87</w:t>
        </w:r>
        <w:r w:rsidR="00195F12">
          <w:rPr>
            <w:noProof/>
            <w:webHidden/>
          </w:rPr>
          <w:fldChar w:fldCharType="end"/>
        </w:r>
      </w:hyperlink>
    </w:p>
    <w:p w:rsidR="00195F12" w:rsidRDefault="00CC27C2">
      <w:pPr>
        <w:pStyle w:val="TOC3"/>
        <w:tabs>
          <w:tab w:val="right" w:leader="dot" w:pos="9350"/>
        </w:tabs>
        <w:rPr>
          <w:rFonts w:asciiTheme="minorHAnsi" w:eastAsiaTheme="minorEastAsia" w:hAnsiTheme="minorHAnsi" w:cstheme="minorBidi"/>
          <w:i w:val="0"/>
          <w:noProof/>
          <w:sz w:val="22"/>
        </w:rPr>
      </w:pPr>
      <w:hyperlink w:anchor="_Toc493596710" w:history="1">
        <w:r w:rsidR="00195F12" w:rsidRPr="002117F6">
          <w:rPr>
            <w:rStyle w:val="Hyperlink"/>
            <w:noProof/>
          </w:rPr>
          <w:t>Title II: State and Local Governments</w:t>
        </w:r>
        <w:r w:rsidR="00195F12">
          <w:rPr>
            <w:noProof/>
            <w:webHidden/>
          </w:rPr>
          <w:tab/>
        </w:r>
        <w:r w:rsidR="00195F12">
          <w:rPr>
            <w:noProof/>
            <w:webHidden/>
          </w:rPr>
          <w:fldChar w:fldCharType="begin"/>
        </w:r>
        <w:r w:rsidR="00195F12">
          <w:rPr>
            <w:noProof/>
            <w:webHidden/>
          </w:rPr>
          <w:instrText xml:space="preserve"> PAGEREF _Toc493596710 \h </w:instrText>
        </w:r>
        <w:r w:rsidR="00195F12">
          <w:rPr>
            <w:noProof/>
            <w:webHidden/>
          </w:rPr>
        </w:r>
        <w:r w:rsidR="00195F12">
          <w:rPr>
            <w:noProof/>
            <w:webHidden/>
          </w:rPr>
          <w:fldChar w:fldCharType="separate"/>
        </w:r>
        <w:r w:rsidR="007C6446">
          <w:rPr>
            <w:noProof/>
            <w:webHidden/>
          </w:rPr>
          <w:t>87</w:t>
        </w:r>
        <w:r w:rsidR="00195F12">
          <w:rPr>
            <w:noProof/>
            <w:webHidden/>
          </w:rPr>
          <w:fldChar w:fldCharType="end"/>
        </w:r>
      </w:hyperlink>
    </w:p>
    <w:p w:rsidR="00195F12" w:rsidRDefault="00CC27C2">
      <w:pPr>
        <w:pStyle w:val="TOC3"/>
        <w:tabs>
          <w:tab w:val="right" w:leader="dot" w:pos="9350"/>
        </w:tabs>
        <w:rPr>
          <w:rFonts w:asciiTheme="minorHAnsi" w:eastAsiaTheme="minorEastAsia" w:hAnsiTheme="minorHAnsi" w:cstheme="minorBidi"/>
          <w:i w:val="0"/>
          <w:noProof/>
          <w:sz w:val="22"/>
        </w:rPr>
      </w:pPr>
      <w:hyperlink w:anchor="_Toc493596711" w:history="1">
        <w:r w:rsidR="00195F12" w:rsidRPr="002117F6">
          <w:rPr>
            <w:rStyle w:val="Hyperlink"/>
            <w:noProof/>
          </w:rPr>
          <w:t>Title III: Public Accommodations and Commercial Facilities</w:t>
        </w:r>
        <w:r w:rsidR="00195F12">
          <w:rPr>
            <w:noProof/>
            <w:webHidden/>
          </w:rPr>
          <w:tab/>
        </w:r>
        <w:r w:rsidR="00195F12">
          <w:rPr>
            <w:noProof/>
            <w:webHidden/>
          </w:rPr>
          <w:fldChar w:fldCharType="begin"/>
        </w:r>
        <w:r w:rsidR="00195F12">
          <w:rPr>
            <w:noProof/>
            <w:webHidden/>
          </w:rPr>
          <w:instrText xml:space="preserve"> PAGEREF _Toc493596711 \h </w:instrText>
        </w:r>
        <w:r w:rsidR="00195F12">
          <w:rPr>
            <w:noProof/>
            <w:webHidden/>
          </w:rPr>
        </w:r>
        <w:r w:rsidR="00195F12">
          <w:rPr>
            <w:noProof/>
            <w:webHidden/>
          </w:rPr>
          <w:fldChar w:fldCharType="separate"/>
        </w:r>
        <w:r w:rsidR="007C6446">
          <w:rPr>
            <w:noProof/>
            <w:webHidden/>
          </w:rPr>
          <w:t>88</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12" w:history="1">
        <w:r w:rsidR="00195F12" w:rsidRPr="002117F6">
          <w:rPr>
            <w:rStyle w:val="Hyperlink"/>
            <w:noProof/>
          </w:rPr>
          <w:t>Individuals with Disabilities Education Act (IDEA)</w:t>
        </w:r>
        <w:r w:rsidR="00195F12">
          <w:rPr>
            <w:noProof/>
            <w:webHidden/>
          </w:rPr>
          <w:tab/>
        </w:r>
        <w:r w:rsidR="00195F12">
          <w:rPr>
            <w:noProof/>
            <w:webHidden/>
          </w:rPr>
          <w:fldChar w:fldCharType="begin"/>
        </w:r>
        <w:r w:rsidR="00195F12">
          <w:rPr>
            <w:noProof/>
            <w:webHidden/>
          </w:rPr>
          <w:instrText xml:space="preserve"> PAGEREF _Toc493596712 \h </w:instrText>
        </w:r>
        <w:r w:rsidR="00195F12">
          <w:rPr>
            <w:noProof/>
            <w:webHidden/>
          </w:rPr>
        </w:r>
        <w:r w:rsidR="00195F12">
          <w:rPr>
            <w:noProof/>
            <w:webHidden/>
          </w:rPr>
          <w:fldChar w:fldCharType="separate"/>
        </w:r>
        <w:r w:rsidR="007C6446">
          <w:rPr>
            <w:noProof/>
            <w:webHidden/>
          </w:rPr>
          <w:t>88</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13" w:history="1">
        <w:r w:rsidR="00195F12" w:rsidRPr="002117F6">
          <w:rPr>
            <w:rStyle w:val="Hyperlink"/>
            <w:noProof/>
          </w:rPr>
          <w:t>Workforce Innovation and Opportunity Act (WIOA)</w:t>
        </w:r>
        <w:r w:rsidR="00195F12">
          <w:rPr>
            <w:noProof/>
            <w:webHidden/>
          </w:rPr>
          <w:tab/>
        </w:r>
        <w:r w:rsidR="00195F12">
          <w:rPr>
            <w:noProof/>
            <w:webHidden/>
          </w:rPr>
          <w:fldChar w:fldCharType="begin"/>
        </w:r>
        <w:r w:rsidR="00195F12">
          <w:rPr>
            <w:noProof/>
            <w:webHidden/>
          </w:rPr>
          <w:instrText xml:space="preserve"> PAGEREF _Toc493596713 \h </w:instrText>
        </w:r>
        <w:r w:rsidR="00195F12">
          <w:rPr>
            <w:noProof/>
            <w:webHidden/>
          </w:rPr>
        </w:r>
        <w:r w:rsidR="00195F12">
          <w:rPr>
            <w:noProof/>
            <w:webHidden/>
          </w:rPr>
          <w:fldChar w:fldCharType="separate"/>
        </w:r>
        <w:r w:rsidR="007C6446">
          <w:rPr>
            <w:noProof/>
            <w:webHidden/>
          </w:rPr>
          <w:t>88</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14" w:history="1">
        <w:r w:rsidR="00195F12" w:rsidRPr="002117F6">
          <w:rPr>
            <w:rStyle w:val="Hyperlink"/>
            <w:noProof/>
          </w:rPr>
          <w:t>Supplemental Security Income (SSI)</w:t>
        </w:r>
        <w:r w:rsidR="00195F12">
          <w:rPr>
            <w:noProof/>
            <w:webHidden/>
          </w:rPr>
          <w:tab/>
        </w:r>
        <w:r w:rsidR="00195F12">
          <w:rPr>
            <w:noProof/>
            <w:webHidden/>
          </w:rPr>
          <w:fldChar w:fldCharType="begin"/>
        </w:r>
        <w:r w:rsidR="00195F12">
          <w:rPr>
            <w:noProof/>
            <w:webHidden/>
          </w:rPr>
          <w:instrText xml:space="preserve"> PAGEREF _Toc493596714 \h </w:instrText>
        </w:r>
        <w:r w:rsidR="00195F12">
          <w:rPr>
            <w:noProof/>
            <w:webHidden/>
          </w:rPr>
        </w:r>
        <w:r w:rsidR="00195F12">
          <w:rPr>
            <w:noProof/>
            <w:webHidden/>
          </w:rPr>
          <w:fldChar w:fldCharType="separate"/>
        </w:r>
        <w:r w:rsidR="007C6446">
          <w:rPr>
            <w:noProof/>
            <w:webHidden/>
          </w:rPr>
          <w:t>89</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15" w:history="1">
        <w:r w:rsidR="00195F12" w:rsidRPr="002117F6">
          <w:rPr>
            <w:rStyle w:val="Hyperlink"/>
            <w:noProof/>
          </w:rPr>
          <w:t>Social Security Disability Insurance (SSDI)</w:t>
        </w:r>
        <w:r w:rsidR="00195F12">
          <w:rPr>
            <w:noProof/>
            <w:webHidden/>
          </w:rPr>
          <w:tab/>
        </w:r>
        <w:r w:rsidR="00195F12">
          <w:rPr>
            <w:noProof/>
            <w:webHidden/>
          </w:rPr>
          <w:fldChar w:fldCharType="begin"/>
        </w:r>
        <w:r w:rsidR="00195F12">
          <w:rPr>
            <w:noProof/>
            <w:webHidden/>
          </w:rPr>
          <w:instrText xml:space="preserve"> PAGEREF _Toc493596715 \h </w:instrText>
        </w:r>
        <w:r w:rsidR="00195F12">
          <w:rPr>
            <w:noProof/>
            <w:webHidden/>
          </w:rPr>
        </w:r>
        <w:r w:rsidR="00195F12">
          <w:rPr>
            <w:noProof/>
            <w:webHidden/>
          </w:rPr>
          <w:fldChar w:fldCharType="separate"/>
        </w:r>
        <w:r w:rsidR="007C6446">
          <w:rPr>
            <w:noProof/>
            <w:webHidden/>
          </w:rPr>
          <w:t>90</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16" w:history="1">
        <w:r w:rsidR="00195F12" w:rsidRPr="002117F6">
          <w:rPr>
            <w:rStyle w:val="Hyperlink"/>
            <w:noProof/>
          </w:rPr>
          <w:t>Ticket to Work and Work Incentives Improvement Act</w:t>
        </w:r>
        <w:r w:rsidR="00195F12">
          <w:rPr>
            <w:noProof/>
            <w:webHidden/>
          </w:rPr>
          <w:tab/>
        </w:r>
        <w:r w:rsidR="00195F12">
          <w:rPr>
            <w:noProof/>
            <w:webHidden/>
          </w:rPr>
          <w:fldChar w:fldCharType="begin"/>
        </w:r>
        <w:r w:rsidR="00195F12">
          <w:rPr>
            <w:noProof/>
            <w:webHidden/>
          </w:rPr>
          <w:instrText xml:space="preserve"> PAGEREF _Toc493596716 \h </w:instrText>
        </w:r>
        <w:r w:rsidR="00195F12">
          <w:rPr>
            <w:noProof/>
            <w:webHidden/>
          </w:rPr>
        </w:r>
        <w:r w:rsidR="00195F12">
          <w:rPr>
            <w:noProof/>
            <w:webHidden/>
          </w:rPr>
          <w:fldChar w:fldCharType="separate"/>
        </w:r>
        <w:r w:rsidR="007C6446">
          <w:rPr>
            <w:noProof/>
            <w:webHidden/>
          </w:rPr>
          <w:t>90</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17" w:history="1">
        <w:r w:rsidR="00195F12" w:rsidRPr="002117F6">
          <w:rPr>
            <w:rStyle w:val="Hyperlink"/>
            <w:noProof/>
          </w:rPr>
          <w:t>Work Incentives Planning and Assistance (WIPA)</w:t>
        </w:r>
        <w:r w:rsidR="00195F12">
          <w:rPr>
            <w:noProof/>
            <w:webHidden/>
          </w:rPr>
          <w:tab/>
        </w:r>
        <w:r w:rsidR="00195F12">
          <w:rPr>
            <w:noProof/>
            <w:webHidden/>
          </w:rPr>
          <w:fldChar w:fldCharType="begin"/>
        </w:r>
        <w:r w:rsidR="00195F12">
          <w:rPr>
            <w:noProof/>
            <w:webHidden/>
          </w:rPr>
          <w:instrText xml:space="preserve"> PAGEREF _Toc493596717 \h </w:instrText>
        </w:r>
        <w:r w:rsidR="00195F12">
          <w:rPr>
            <w:noProof/>
            <w:webHidden/>
          </w:rPr>
        </w:r>
        <w:r w:rsidR="00195F12">
          <w:rPr>
            <w:noProof/>
            <w:webHidden/>
          </w:rPr>
          <w:fldChar w:fldCharType="separate"/>
        </w:r>
        <w:r w:rsidR="007C6446">
          <w:rPr>
            <w:noProof/>
            <w:webHidden/>
          </w:rPr>
          <w:t>91</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18" w:history="1">
        <w:r w:rsidR="00195F12" w:rsidRPr="002117F6">
          <w:rPr>
            <w:rStyle w:val="Hyperlink"/>
            <w:noProof/>
          </w:rPr>
          <w:t>Medicaid Buy-In</w:t>
        </w:r>
        <w:r w:rsidR="00195F12">
          <w:rPr>
            <w:noProof/>
            <w:webHidden/>
          </w:rPr>
          <w:tab/>
        </w:r>
        <w:r w:rsidR="00195F12">
          <w:rPr>
            <w:noProof/>
            <w:webHidden/>
          </w:rPr>
          <w:fldChar w:fldCharType="begin"/>
        </w:r>
        <w:r w:rsidR="00195F12">
          <w:rPr>
            <w:noProof/>
            <w:webHidden/>
          </w:rPr>
          <w:instrText xml:space="preserve"> PAGEREF _Toc493596718 \h </w:instrText>
        </w:r>
        <w:r w:rsidR="00195F12">
          <w:rPr>
            <w:noProof/>
            <w:webHidden/>
          </w:rPr>
        </w:r>
        <w:r w:rsidR="00195F12">
          <w:rPr>
            <w:noProof/>
            <w:webHidden/>
          </w:rPr>
          <w:fldChar w:fldCharType="separate"/>
        </w:r>
        <w:r w:rsidR="007C6446">
          <w:rPr>
            <w:noProof/>
            <w:webHidden/>
          </w:rPr>
          <w:t>91</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19" w:history="1">
        <w:r w:rsidR="00195F12" w:rsidRPr="002117F6">
          <w:rPr>
            <w:rStyle w:val="Hyperlink"/>
            <w:noProof/>
          </w:rPr>
          <w:t>Achieving a Better Life Experience Act of 2013 (ABLE Act)</w:t>
        </w:r>
        <w:r w:rsidR="00195F12">
          <w:rPr>
            <w:noProof/>
            <w:webHidden/>
          </w:rPr>
          <w:tab/>
        </w:r>
        <w:r w:rsidR="00195F12">
          <w:rPr>
            <w:noProof/>
            <w:webHidden/>
          </w:rPr>
          <w:fldChar w:fldCharType="begin"/>
        </w:r>
        <w:r w:rsidR="00195F12">
          <w:rPr>
            <w:noProof/>
            <w:webHidden/>
          </w:rPr>
          <w:instrText xml:space="preserve"> PAGEREF _Toc493596719 \h </w:instrText>
        </w:r>
        <w:r w:rsidR="00195F12">
          <w:rPr>
            <w:noProof/>
            <w:webHidden/>
          </w:rPr>
        </w:r>
        <w:r w:rsidR="00195F12">
          <w:rPr>
            <w:noProof/>
            <w:webHidden/>
          </w:rPr>
          <w:fldChar w:fldCharType="separate"/>
        </w:r>
        <w:r w:rsidR="007C6446">
          <w:rPr>
            <w:noProof/>
            <w:webHidden/>
          </w:rPr>
          <w:t>92</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20" w:history="1">
        <w:r w:rsidR="00195F12" w:rsidRPr="002117F6">
          <w:rPr>
            <w:rStyle w:val="Hyperlink"/>
            <w:noProof/>
          </w:rPr>
          <w:t>Patient Protection and Affordable Care Act (ACA)</w:t>
        </w:r>
        <w:r w:rsidR="00195F12">
          <w:rPr>
            <w:noProof/>
            <w:webHidden/>
          </w:rPr>
          <w:tab/>
        </w:r>
        <w:r w:rsidR="00195F12">
          <w:rPr>
            <w:noProof/>
            <w:webHidden/>
          </w:rPr>
          <w:fldChar w:fldCharType="begin"/>
        </w:r>
        <w:r w:rsidR="00195F12">
          <w:rPr>
            <w:noProof/>
            <w:webHidden/>
          </w:rPr>
          <w:instrText xml:space="preserve"> PAGEREF _Toc493596720 \h </w:instrText>
        </w:r>
        <w:r w:rsidR="00195F12">
          <w:rPr>
            <w:noProof/>
            <w:webHidden/>
          </w:rPr>
        </w:r>
        <w:r w:rsidR="00195F12">
          <w:rPr>
            <w:noProof/>
            <w:webHidden/>
          </w:rPr>
          <w:fldChar w:fldCharType="separate"/>
        </w:r>
        <w:r w:rsidR="007C6446">
          <w:rPr>
            <w:noProof/>
            <w:webHidden/>
          </w:rPr>
          <w:t>93</w:t>
        </w:r>
        <w:r w:rsidR="00195F12">
          <w:rPr>
            <w:noProof/>
            <w:webHidden/>
          </w:rPr>
          <w:fldChar w:fldCharType="end"/>
        </w:r>
      </w:hyperlink>
    </w:p>
    <w:p w:rsidR="00195F12" w:rsidRDefault="00195F12">
      <w:pPr>
        <w:rPr>
          <w:rStyle w:val="Hyperlink"/>
          <w:rFonts w:eastAsia="Calibri" w:cs="Times New Roman"/>
          <w:noProof/>
        </w:rPr>
      </w:pPr>
      <w:r>
        <w:rPr>
          <w:rStyle w:val="Hyperlink"/>
        </w:rPr>
        <w:br w:type="page"/>
      </w:r>
    </w:p>
    <w:p w:rsidR="00195F12" w:rsidRDefault="00CC27C2">
      <w:pPr>
        <w:pStyle w:val="TOC1"/>
        <w:rPr>
          <w:rFonts w:asciiTheme="minorHAnsi" w:eastAsiaTheme="minorEastAsia" w:hAnsiTheme="minorHAnsi" w:cstheme="minorBidi"/>
          <w:sz w:val="22"/>
        </w:rPr>
      </w:pPr>
      <w:hyperlink w:anchor="_Toc493596721" w:history="1">
        <w:r w:rsidR="00195F12" w:rsidRPr="002117F6">
          <w:rPr>
            <w:rStyle w:val="Hyperlink"/>
          </w:rPr>
          <w:t>Appendix C: Select NCD Resources</w:t>
        </w:r>
        <w:r w:rsidR="00195F12">
          <w:rPr>
            <w:webHidden/>
          </w:rPr>
          <w:tab/>
        </w:r>
        <w:r w:rsidR="00195F12">
          <w:rPr>
            <w:webHidden/>
          </w:rPr>
          <w:fldChar w:fldCharType="begin"/>
        </w:r>
        <w:r w:rsidR="00195F12">
          <w:rPr>
            <w:webHidden/>
          </w:rPr>
          <w:instrText xml:space="preserve"> PAGEREF _Toc493596721 \h </w:instrText>
        </w:r>
        <w:r w:rsidR="00195F12">
          <w:rPr>
            <w:webHidden/>
          </w:rPr>
        </w:r>
        <w:r w:rsidR="00195F12">
          <w:rPr>
            <w:webHidden/>
          </w:rPr>
          <w:fldChar w:fldCharType="separate"/>
        </w:r>
        <w:r w:rsidR="007C6446">
          <w:rPr>
            <w:webHidden/>
          </w:rPr>
          <w:t>95</w:t>
        </w:r>
        <w:r w:rsidR="00195F12">
          <w:rPr>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22" w:history="1">
        <w:r w:rsidR="00195F12" w:rsidRPr="002117F6">
          <w:rPr>
            <w:rStyle w:val="Hyperlink"/>
            <w:noProof/>
          </w:rPr>
          <w:t>2017</w:t>
        </w:r>
        <w:r w:rsidR="00195F12">
          <w:rPr>
            <w:noProof/>
            <w:webHidden/>
          </w:rPr>
          <w:tab/>
        </w:r>
        <w:r w:rsidR="00195F12">
          <w:rPr>
            <w:noProof/>
            <w:webHidden/>
          </w:rPr>
          <w:fldChar w:fldCharType="begin"/>
        </w:r>
        <w:r w:rsidR="00195F12">
          <w:rPr>
            <w:noProof/>
            <w:webHidden/>
          </w:rPr>
          <w:instrText xml:space="preserve"> PAGEREF _Toc493596722 \h </w:instrText>
        </w:r>
        <w:r w:rsidR="00195F12">
          <w:rPr>
            <w:noProof/>
            <w:webHidden/>
          </w:rPr>
        </w:r>
        <w:r w:rsidR="00195F12">
          <w:rPr>
            <w:noProof/>
            <w:webHidden/>
          </w:rPr>
          <w:fldChar w:fldCharType="separate"/>
        </w:r>
        <w:r w:rsidR="007C6446">
          <w:rPr>
            <w:noProof/>
            <w:webHidden/>
          </w:rPr>
          <w:t>95</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23" w:history="1">
        <w:r w:rsidR="00195F12" w:rsidRPr="002117F6">
          <w:rPr>
            <w:rStyle w:val="Hyperlink"/>
            <w:noProof/>
          </w:rPr>
          <w:t>2016</w:t>
        </w:r>
        <w:r w:rsidR="00195F12">
          <w:rPr>
            <w:noProof/>
            <w:webHidden/>
          </w:rPr>
          <w:tab/>
        </w:r>
        <w:r w:rsidR="00195F12">
          <w:rPr>
            <w:noProof/>
            <w:webHidden/>
          </w:rPr>
          <w:fldChar w:fldCharType="begin"/>
        </w:r>
        <w:r w:rsidR="00195F12">
          <w:rPr>
            <w:noProof/>
            <w:webHidden/>
          </w:rPr>
          <w:instrText xml:space="preserve"> PAGEREF _Toc493596723 \h </w:instrText>
        </w:r>
        <w:r w:rsidR="00195F12">
          <w:rPr>
            <w:noProof/>
            <w:webHidden/>
          </w:rPr>
        </w:r>
        <w:r w:rsidR="00195F12">
          <w:rPr>
            <w:noProof/>
            <w:webHidden/>
          </w:rPr>
          <w:fldChar w:fldCharType="separate"/>
        </w:r>
        <w:r w:rsidR="007C6446">
          <w:rPr>
            <w:noProof/>
            <w:webHidden/>
          </w:rPr>
          <w:t>95</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24" w:history="1">
        <w:r w:rsidR="00195F12" w:rsidRPr="002117F6">
          <w:rPr>
            <w:rStyle w:val="Hyperlink"/>
            <w:noProof/>
          </w:rPr>
          <w:t>2015</w:t>
        </w:r>
        <w:r w:rsidR="00195F12">
          <w:rPr>
            <w:noProof/>
            <w:webHidden/>
          </w:rPr>
          <w:tab/>
        </w:r>
        <w:r w:rsidR="00195F12">
          <w:rPr>
            <w:noProof/>
            <w:webHidden/>
          </w:rPr>
          <w:fldChar w:fldCharType="begin"/>
        </w:r>
        <w:r w:rsidR="00195F12">
          <w:rPr>
            <w:noProof/>
            <w:webHidden/>
          </w:rPr>
          <w:instrText xml:space="preserve"> PAGEREF _Toc493596724 \h </w:instrText>
        </w:r>
        <w:r w:rsidR="00195F12">
          <w:rPr>
            <w:noProof/>
            <w:webHidden/>
          </w:rPr>
        </w:r>
        <w:r w:rsidR="00195F12">
          <w:rPr>
            <w:noProof/>
            <w:webHidden/>
          </w:rPr>
          <w:fldChar w:fldCharType="separate"/>
        </w:r>
        <w:r w:rsidR="007C6446">
          <w:rPr>
            <w:noProof/>
            <w:webHidden/>
          </w:rPr>
          <w:t>95</w:t>
        </w:r>
        <w:r w:rsidR="00195F12">
          <w:rPr>
            <w:noProof/>
            <w:webHidden/>
          </w:rPr>
          <w:fldChar w:fldCharType="end"/>
        </w:r>
      </w:hyperlink>
    </w:p>
    <w:p w:rsidR="00195F12" w:rsidRDefault="00CC27C2">
      <w:pPr>
        <w:pStyle w:val="TOC2"/>
        <w:tabs>
          <w:tab w:val="right" w:leader="dot" w:pos="9350"/>
        </w:tabs>
        <w:rPr>
          <w:rFonts w:asciiTheme="minorHAnsi" w:eastAsiaTheme="minorEastAsia" w:hAnsiTheme="minorHAnsi" w:cstheme="minorBidi"/>
          <w:noProof/>
          <w:sz w:val="22"/>
        </w:rPr>
      </w:pPr>
      <w:hyperlink w:anchor="_Toc493596725" w:history="1">
        <w:r w:rsidR="00195F12" w:rsidRPr="002117F6">
          <w:rPr>
            <w:rStyle w:val="Hyperlink"/>
            <w:noProof/>
          </w:rPr>
          <w:t>2013 and Earlier</w:t>
        </w:r>
        <w:r w:rsidR="00195F12">
          <w:rPr>
            <w:noProof/>
            <w:webHidden/>
          </w:rPr>
          <w:tab/>
        </w:r>
        <w:r w:rsidR="00195F12">
          <w:rPr>
            <w:noProof/>
            <w:webHidden/>
          </w:rPr>
          <w:fldChar w:fldCharType="begin"/>
        </w:r>
        <w:r w:rsidR="00195F12">
          <w:rPr>
            <w:noProof/>
            <w:webHidden/>
          </w:rPr>
          <w:instrText xml:space="preserve"> PAGEREF _Toc493596725 \h </w:instrText>
        </w:r>
        <w:r w:rsidR="00195F12">
          <w:rPr>
            <w:noProof/>
            <w:webHidden/>
          </w:rPr>
        </w:r>
        <w:r w:rsidR="00195F12">
          <w:rPr>
            <w:noProof/>
            <w:webHidden/>
          </w:rPr>
          <w:fldChar w:fldCharType="separate"/>
        </w:r>
        <w:r w:rsidR="007C6446">
          <w:rPr>
            <w:noProof/>
            <w:webHidden/>
          </w:rPr>
          <w:t>96</w:t>
        </w:r>
        <w:r w:rsidR="00195F12">
          <w:rPr>
            <w:noProof/>
            <w:webHidden/>
          </w:rPr>
          <w:fldChar w:fldCharType="end"/>
        </w:r>
      </w:hyperlink>
    </w:p>
    <w:p w:rsidR="00195F12" w:rsidRDefault="00CC27C2">
      <w:pPr>
        <w:pStyle w:val="TOC1"/>
        <w:rPr>
          <w:rFonts w:asciiTheme="minorHAnsi" w:eastAsiaTheme="minorEastAsia" w:hAnsiTheme="minorHAnsi" w:cstheme="minorBidi"/>
          <w:sz w:val="22"/>
        </w:rPr>
      </w:pPr>
      <w:hyperlink w:anchor="_Toc493596726" w:history="1">
        <w:r w:rsidR="00195F12" w:rsidRPr="002117F6">
          <w:rPr>
            <w:rStyle w:val="Hyperlink"/>
          </w:rPr>
          <w:t>Appendix D: Institutions of Higher Education with Transition and Postsecondary Programs for Students with Intellectual Disabilities</w:t>
        </w:r>
        <w:r w:rsidR="00195F12">
          <w:rPr>
            <w:webHidden/>
          </w:rPr>
          <w:tab/>
        </w:r>
        <w:r w:rsidR="00195F12">
          <w:rPr>
            <w:webHidden/>
          </w:rPr>
          <w:fldChar w:fldCharType="begin"/>
        </w:r>
        <w:r w:rsidR="00195F12">
          <w:rPr>
            <w:webHidden/>
          </w:rPr>
          <w:instrText xml:space="preserve"> PAGEREF _Toc493596726 \h </w:instrText>
        </w:r>
        <w:r w:rsidR="00195F12">
          <w:rPr>
            <w:webHidden/>
          </w:rPr>
        </w:r>
        <w:r w:rsidR="00195F12">
          <w:rPr>
            <w:webHidden/>
          </w:rPr>
          <w:fldChar w:fldCharType="separate"/>
        </w:r>
        <w:r w:rsidR="007C6446">
          <w:rPr>
            <w:webHidden/>
          </w:rPr>
          <w:t>97</w:t>
        </w:r>
        <w:r w:rsidR="00195F12">
          <w:rPr>
            <w:webHidden/>
          </w:rPr>
          <w:fldChar w:fldCharType="end"/>
        </w:r>
      </w:hyperlink>
    </w:p>
    <w:p w:rsidR="00195F12" w:rsidRDefault="00CC27C2">
      <w:pPr>
        <w:pStyle w:val="TOC1"/>
        <w:rPr>
          <w:rFonts w:asciiTheme="minorHAnsi" w:eastAsiaTheme="minorEastAsia" w:hAnsiTheme="minorHAnsi" w:cstheme="minorBidi"/>
          <w:sz w:val="22"/>
        </w:rPr>
      </w:pPr>
      <w:hyperlink w:anchor="_Toc493596727" w:history="1">
        <w:r w:rsidR="00195F12" w:rsidRPr="002117F6">
          <w:rPr>
            <w:rStyle w:val="Hyperlink"/>
          </w:rPr>
          <w:t>Endnotes</w:t>
        </w:r>
        <w:r w:rsidR="00195F12">
          <w:rPr>
            <w:webHidden/>
          </w:rPr>
          <w:tab/>
        </w:r>
        <w:r w:rsidR="00195F12">
          <w:rPr>
            <w:webHidden/>
          </w:rPr>
          <w:fldChar w:fldCharType="begin"/>
        </w:r>
        <w:r w:rsidR="00195F12">
          <w:rPr>
            <w:webHidden/>
          </w:rPr>
          <w:instrText xml:space="preserve"> PAGEREF _Toc493596727 \h </w:instrText>
        </w:r>
        <w:r w:rsidR="00195F12">
          <w:rPr>
            <w:webHidden/>
          </w:rPr>
        </w:r>
        <w:r w:rsidR="00195F12">
          <w:rPr>
            <w:webHidden/>
          </w:rPr>
          <w:fldChar w:fldCharType="separate"/>
        </w:r>
        <w:r w:rsidR="007C6446">
          <w:rPr>
            <w:webHidden/>
          </w:rPr>
          <w:t>99</w:t>
        </w:r>
        <w:r w:rsidR="00195F12">
          <w:rPr>
            <w:webHidden/>
          </w:rPr>
          <w:fldChar w:fldCharType="end"/>
        </w:r>
      </w:hyperlink>
    </w:p>
    <w:p w:rsidR="0006294F" w:rsidRDefault="0006294F" w:rsidP="0006294F">
      <w:r>
        <w:rPr>
          <w:rFonts w:cs="Times New Roman"/>
          <w:noProof/>
        </w:rPr>
        <w:fldChar w:fldCharType="end"/>
      </w:r>
    </w:p>
    <w:p w:rsidR="00987115" w:rsidRDefault="00987115">
      <w:pPr>
        <w:rPr>
          <w:rFonts w:ascii="Arial" w:eastAsia="Calibri" w:hAnsi="Arial" w:cs="Times New Roman"/>
          <w:noProof/>
          <w:sz w:val="24"/>
        </w:rPr>
      </w:pPr>
      <w:r>
        <w:br w:type="page"/>
      </w:r>
    </w:p>
    <w:p w:rsidR="0006294F" w:rsidRDefault="0006294F">
      <w:pPr>
        <w:rPr>
          <w:rFonts w:ascii="Arial" w:hAnsi="Arial" w:cs="Arial"/>
          <w:b/>
          <w:sz w:val="36"/>
          <w:szCs w:val="32"/>
        </w:rPr>
      </w:pPr>
      <w:r>
        <w:lastRenderedPageBreak/>
        <w:br w:type="page"/>
      </w:r>
    </w:p>
    <w:p w:rsidR="00445A92" w:rsidRPr="005341F2" w:rsidRDefault="00445A92" w:rsidP="002E124F">
      <w:pPr>
        <w:pStyle w:val="Heading1"/>
      </w:pPr>
      <w:bookmarkStart w:id="7" w:name="_Toc493596659"/>
      <w:r w:rsidRPr="006A72E5">
        <w:lastRenderedPageBreak/>
        <w:t>Executive Summary</w:t>
      </w:r>
      <w:bookmarkEnd w:id="7"/>
    </w:p>
    <w:p w:rsidR="00445A92" w:rsidRDefault="00445A92" w:rsidP="002E124F">
      <w:pPr>
        <w:pStyle w:val="NCDBodyText"/>
      </w:pPr>
      <w:r>
        <w:rPr>
          <w:rFonts w:cs="Arial"/>
        </w:rPr>
        <w:t xml:space="preserve">The National Council on Disability (NCD) recognizes that </w:t>
      </w:r>
      <w:r>
        <w:t>a</w:t>
      </w:r>
      <w:r w:rsidRPr="00D530B9">
        <w:t>ll Americans have the right to</w:t>
      </w:r>
      <w:r>
        <w:t xml:space="preserve"> pursue</w:t>
      </w:r>
      <w:r w:rsidRPr="00D530B9">
        <w:t xml:space="preserve"> lives with equal opportunity, full community participation, independent living, and economic self-sufficiency</w:t>
      </w:r>
      <w:r>
        <w:t>. However,</w:t>
      </w:r>
      <w:r>
        <w:rPr>
          <w:rFonts w:cs="Arial"/>
        </w:rPr>
        <w:t xml:space="preserve"> </w:t>
      </w:r>
      <w:r>
        <w:t xml:space="preserve">people with disabilities live in poverty at more than twice the rate of people without disabilities. It is imperative that we examine the interconnected nature of poverty and the barriers that people with disabilities face in order to determine how existing programmatic structures can be improved to better meet the needs of people with disabilities. NCD has committed the 2017 </w:t>
      </w:r>
      <w:r w:rsidRPr="00BE5CBB">
        <w:rPr>
          <w:i/>
        </w:rPr>
        <w:t>Progress Report</w:t>
      </w:r>
      <w:r>
        <w:t xml:space="preserve"> to poverty. The report examines public policies, programs, and practices across the areas of education, employment, financial assistance and incentives, health care, long-term services and supports, transportation, and housing, as access to each of these areas is necessary in order for people with disabilities </w:t>
      </w:r>
      <w:r w:rsidRPr="0097745E">
        <w:t>to achieve independent living and inclusion in all aspects of society</w:t>
      </w:r>
      <w:r>
        <w:t>.</w:t>
      </w:r>
    </w:p>
    <w:p w:rsidR="00445A92" w:rsidRDefault="00445A92" w:rsidP="00445A92">
      <w:pPr>
        <w:pStyle w:val="NCDBodyText"/>
      </w:pPr>
      <w:r>
        <w:t xml:space="preserve">The 2017 </w:t>
      </w:r>
      <w:r w:rsidRPr="00BE5CBB">
        <w:rPr>
          <w:i/>
        </w:rPr>
        <w:t>Progress Report</w:t>
      </w:r>
      <w:r>
        <w:t xml:space="preserve"> offers insight into how existing public policies and programs are designed to provide economic support for people with disabilities, but often create barriers that impede upward mobility. The report begins with a review of how existing public policies, programs, and practices can assist people with disabilities in achieving economic self-sufficiency. Next, the report identifies and describes the common barriers that </w:t>
      </w:r>
      <w:r w:rsidRPr="00E87874">
        <w:t xml:space="preserve">perpetuate the cycle of poverty </w:t>
      </w:r>
      <w:r>
        <w:t xml:space="preserve">for people with disabilities. The report then looks at a number of promising practices that lift people with disabilities out of poverty. It discusses how these practices </w:t>
      </w:r>
      <w:r w:rsidRPr="00D5117E">
        <w:t>address barriers</w:t>
      </w:r>
      <w:r>
        <w:t xml:space="preserve"> </w:t>
      </w:r>
      <w:r w:rsidRPr="00D5117E">
        <w:t>that people with disabilities experience</w:t>
      </w:r>
      <w:r>
        <w:t xml:space="preserve"> with the goal </w:t>
      </w:r>
      <w:r w:rsidRPr="00BD575E">
        <w:rPr>
          <w:rFonts w:cs="Arial"/>
        </w:rPr>
        <w:t xml:space="preserve">of </w:t>
      </w:r>
      <w:r w:rsidRPr="008E6A69">
        <w:rPr>
          <w:rFonts w:cs="Arial"/>
        </w:rPr>
        <w:t>improving the lives of people with disabilities</w:t>
      </w:r>
      <w:r w:rsidRPr="00BD575E">
        <w:rPr>
          <w:rFonts w:cs="Arial"/>
        </w:rPr>
        <w:t>.</w:t>
      </w:r>
      <w:r>
        <w:t xml:space="preserve"> Finally, the report offers recommendations that </w:t>
      </w:r>
      <w:r w:rsidRPr="00D530B9">
        <w:t>help ensure people with disabilities are able to achieve economic self-sufficiency</w:t>
      </w:r>
      <w:r>
        <w:t>.</w:t>
      </w:r>
    </w:p>
    <w:p w:rsidR="00445A92" w:rsidRDefault="00445A92" w:rsidP="00445A92">
      <w:pPr>
        <w:pStyle w:val="NCDBodyText"/>
      </w:pPr>
      <w:r>
        <w:t>A summary of recommendations to promote economic self-sufficiency and lift people with disabilities out of poverty follows:</w:t>
      </w:r>
    </w:p>
    <w:p w:rsidR="00445A92" w:rsidRPr="002E124F" w:rsidRDefault="00445A92" w:rsidP="002E124F">
      <w:pPr>
        <w:pStyle w:val="Heading2"/>
      </w:pPr>
      <w:bookmarkStart w:id="8" w:name="_Toc493507461"/>
      <w:bookmarkStart w:id="9" w:name="_Toc493596660"/>
      <w:r w:rsidRPr="002E124F">
        <w:lastRenderedPageBreak/>
        <w:t>Collaboration and Data Collection</w:t>
      </w:r>
      <w:bookmarkEnd w:id="8"/>
      <w:bookmarkEnd w:id="9"/>
    </w:p>
    <w:p w:rsidR="00445A92" w:rsidRPr="00892B17" w:rsidRDefault="00445A92" w:rsidP="00445A92">
      <w:pPr>
        <w:pStyle w:val="NCDBulletsLevel1"/>
        <w:rPr>
          <w:u w:color="000000"/>
          <w:bdr w:val="nil"/>
        </w:rPr>
      </w:pPr>
      <w:r w:rsidRPr="00892B17">
        <w:rPr>
          <w:u w:color="000000"/>
          <w:bdr w:val="nil"/>
        </w:rPr>
        <w:t xml:space="preserve">Congress should appropriate funds for the creation of a coordinated review of all federal disability programs to </w:t>
      </w:r>
      <w:r>
        <w:rPr>
          <w:u w:color="000000"/>
          <w:bdr w:val="nil"/>
        </w:rPr>
        <w:t>enhance</w:t>
      </w:r>
      <w:r w:rsidRPr="00892B17">
        <w:rPr>
          <w:u w:color="000000"/>
          <w:bdr w:val="nil"/>
        </w:rPr>
        <w:t xml:space="preserve"> the efficiency and ability of existing structures to break down silos between federal agencies </w:t>
      </w:r>
      <w:r>
        <w:rPr>
          <w:u w:color="000000"/>
          <w:bdr w:val="nil"/>
        </w:rPr>
        <w:t xml:space="preserve">in order </w:t>
      </w:r>
      <w:r w:rsidRPr="00892B17">
        <w:rPr>
          <w:u w:color="000000"/>
          <w:bdr w:val="nil"/>
        </w:rPr>
        <w:t>to improve the economic picture for people with disabilities.</w:t>
      </w:r>
    </w:p>
    <w:p w:rsidR="00445A92" w:rsidRPr="00892B17" w:rsidRDefault="00445A92" w:rsidP="00445A92">
      <w:pPr>
        <w:pStyle w:val="NCDBulletsLevel2"/>
      </w:pPr>
      <w:r w:rsidRPr="00892B17">
        <w:t>The Office of Management and Budget (OMB) should direct all cabinet</w:t>
      </w:r>
      <w:r>
        <w:t>-</w:t>
      </w:r>
      <w:r w:rsidRPr="00892B17">
        <w:t xml:space="preserve">level federal agencies to </w:t>
      </w:r>
      <w:r>
        <w:t>submit</w:t>
      </w:r>
      <w:r w:rsidRPr="00892B17">
        <w:t xml:space="preserve"> their Agency Reform Plans pertaining to their disability programs to NCD for review.</w:t>
      </w:r>
    </w:p>
    <w:p w:rsidR="00445A92" w:rsidRPr="00892B17" w:rsidRDefault="00445A92" w:rsidP="00445A92">
      <w:pPr>
        <w:pStyle w:val="NCDBulletsLevel2"/>
      </w:pPr>
      <w:r w:rsidRPr="00892B17">
        <w:t>All federal agencies should be directed to include measures of cross</w:t>
      </w:r>
      <w:r>
        <w:t>-</w:t>
      </w:r>
      <w:r w:rsidRPr="00892B17">
        <w:t>agency collaboration within their Government Performance and Results Act (GPRA) performance measurement standards. OMB should report on measures of cross</w:t>
      </w:r>
      <w:r>
        <w:t>-</w:t>
      </w:r>
      <w:r w:rsidRPr="00892B17">
        <w:t xml:space="preserve">agency collaboration in </w:t>
      </w:r>
      <w:r>
        <w:t>its</w:t>
      </w:r>
      <w:r w:rsidRPr="00892B17">
        <w:t xml:space="preserve"> annual reports on agency performance.</w:t>
      </w:r>
    </w:p>
    <w:p w:rsidR="00445A92" w:rsidRPr="00892B17" w:rsidRDefault="00445A92" w:rsidP="00445A92">
      <w:pPr>
        <w:pStyle w:val="NCDBulletsLevel2"/>
      </w:pPr>
      <w:r w:rsidRPr="00892B17">
        <w:t>All federal agencies</w:t>
      </w:r>
      <w:r>
        <w:t>,</w:t>
      </w:r>
      <w:r w:rsidRPr="00892B17">
        <w:t xml:space="preserve"> including but not limited to the U.S. Departments of Education, Labor, Health and Human Services, and Housing and Urban Development</w:t>
      </w:r>
      <w:r>
        <w:t>,</w:t>
      </w:r>
      <w:r w:rsidRPr="00892B17">
        <w:t xml:space="preserve"> should improve data collection related to people with disabilities </w:t>
      </w:r>
      <w:r>
        <w:t xml:space="preserve">in order </w:t>
      </w:r>
      <w:r w:rsidRPr="00892B17">
        <w:t xml:space="preserve">to </w:t>
      </w:r>
      <w:r>
        <w:t>enhance</w:t>
      </w:r>
      <w:r w:rsidRPr="00892B17">
        <w:t xml:space="preserve"> knowledge </w:t>
      </w:r>
      <w:r>
        <w:t>of</w:t>
      </w:r>
      <w:r w:rsidRPr="00892B17">
        <w:t xml:space="preserve"> how people with disabilities are assisted by existing programs. Data collection should include information about people with disabilities who use federally funded programs to </w:t>
      </w:r>
      <w:r>
        <w:t>determine</w:t>
      </w:r>
      <w:r w:rsidRPr="00892B17">
        <w:t xml:space="preserve"> where programs can be modified and improved to promote employment and economic self-sufficiency.</w:t>
      </w:r>
    </w:p>
    <w:p w:rsidR="00445A92" w:rsidRPr="00892B17" w:rsidRDefault="00445A92" w:rsidP="00445A92">
      <w:pPr>
        <w:pStyle w:val="NCDBulletsLevel1"/>
        <w:rPr>
          <w:u w:color="000000"/>
          <w:bdr w:val="nil"/>
        </w:rPr>
      </w:pPr>
      <w:r w:rsidRPr="00892B17">
        <w:rPr>
          <w:u w:color="000000"/>
          <w:bdr w:val="nil"/>
        </w:rPr>
        <w:t xml:space="preserve">Congress should continue investments in the U.S. Census Bureau’s development of the Supplemental Poverty Measure and annual reports to ensure </w:t>
      </w:r>
      <w:r>
        <w:rPr>
          <w:u w:color="000000"/>
          <w:bdr w:val="nil"/>
        </w:rPr>
        <w:t xml:space="preserve">an </w:t>
      </w:r>
      <w:r w:rsidRPr="00892B17">
        <w:rPr>
          <w:u w:color="000000"/>
          <w:bdr w:val="nil"/>
        </w:rPr>
        <w:t>adequate assessment of how the cost of necessary expenses that people with disabilities face (like medical or long-term services and support expenses) affect</w:t>
      </w:r>
      <w:r>
        <w:rPr>
          <w:u w:color="000000"/>
          <w:bdr w:val="nil"/>
        </w:rPr>
        <w:t>s</w:t>
      </w:r>
      <w:r w:rsidRPr="00892B17">
        <w:rPr>
          <w:u w:color="000000"/>
          <w:bdr w:val="nil"/>
        </w:rPr>
        <w:t xml:space="preserve"> their opportunities and ability to achieve economic self-sufficiency.</w:t>
      </w:r>
    </w:p>
    <w:p w:rsidR="00445A92" w:rsidRPr="00892B17" w:rsidRDefault="00445A92" w:rsidP="002E124F">
      <w:pPr>
        <w:pStyle w:val="Heading2"/>
      </w:pPr>
      <w:bookmarkStart w:id="10" w:name="_Toc483910939"/>
      <w:bookmarkStart w:id="11" w:name="_Toc483934327"/>
      <w:bookmarkStart w:id="12" w:name="_Toc484357133"/>
      <w:bookmarkStart w:id="13" w:name="_Toc493507462"/>
      <w:bookmarkStart w:id="14" w:name="_Toc493596661"/>
      <w:r w:rsidRPr="00892B17">
        <w:t>Education</w:t>
      </w:r>
      <w:bookmarkEnd w:id="10"/>
      <w:bookmarkEnd w:id="11"/>
      <w:bookmarkEnd w:id="12"/>
      <w:bookmarkEnd w:id="13"/>
      <w:bookmarkEnd w:id="14"/>
    </w:p>
    <w:p w:rsidR="00445A92" w:rsidRPr="00892B17" w:rsidRDefault="00445A92" w:rsidP="00445A92">
      <w:pPr>
        <w:pStyle w:val="NCDBulletsLevel1"/>
        <w:rPr>
          <w:u w:color="000000"/>
          <w:bdr w:val="nil"/>
        </w:rPr>
      </w:pPr>
      <w:r w:rsidRPr="00892B17">
        <w:rPr>
          <w:u w:color="000000"/>
          <w:bdr w:val="nil"/>
        </w:rPr>
        <w:t xml:space="preserve">Congress should reauthorize the Individuals with Disabilities Education Act (IDEA) in a manner that facilitates the meaningful inclusion of all students with disabilities. Reauthorization should reinforce the assertions under IDEA to provide </w:t>
      </w:r>
      <w:r>
        <w:rPr>
          <w:u w:color="000000"/>
          <w:bdr w:val="nil"/>
        </w:rPr>
        <w:t xml:space="preserve">a </w:t>
      </w:r>
      <w:r w:rsidRPr="00892B17">
        <w:rPr>
          <w:u w:color="000000"/>
          <w:bdr w:val="nil"/>
        </w:rPr>
        <w:t xml:space="preserve">free and </w:t>
      </w:r>
      <w:r w:rsidRPr="00892B17">
        <w:rPr>
          <w:u w:color="000000"/>
          <w:bdr w:val="nil"/>
        </w:rPr>
        <w:lastRenderedPageBreak/>
        <w:t>appropriate education to students with disabilities, including language</w:t>
      </w:r>
      <w:r>
        <w:rPr>
          <w:u w:color="000000"/>
          <w:bdr w:val="nil"/>
        </w:rPr>
        <w:t xml:space="preserve"> to ensure</w:t>
      </w:r>
      <w:r w:rsidRPr="00892B17">
        <w:rPr>
          <w:u w:color="000000"/>
          <w:bdr w:val="nil"/>
        </w:rPr>
        <w:t xml:space="preserve"> that students with disabilities from diverse</w:t>
      </w:r>
      <w:r>
        <w:rPr>
          <w:u w:color="000000"/>
          <w:bdr w:val="nil"/>
        </w:rPr>
        <w:t xml:space="preserve"> ethnic</w:t>
      </w:r>
      <w:r w:rsidRPr="00892B17">
        <w:rPr>
          <w:u w:color="000000"/>
          <w:bdr w:val="nil"/>
        </w:rPr>
        <w:t xml:space="preserve"> backgrounds and students who exhibit challenging behaviors are not disproportionately placed outside of the least restrictive environment. </w:t>
      </w:r>
    </w:p>
    <w:p w:rsidR="00445A92" w:rsidRPr="00892B17" w:rsidRDefault="00445A92" w:rsidP="00445A92">
      <w:pPr>
        <w:pStyle w:val="NCDBulletsLevel1"/>
        <w:rPr>
          <w:u w:color="000000"/>
          <w:bdr w:val="nil"/>
        </w:rPr>
      </w:pPr>
      <w:r w:rsidRPr="00892B17">
        <w:rPr>
          <w:u w:color="000000"/>
          <w:bdr w:val="nil"/>
        </w:rPr>
        <w:t>The U.S. Department of Education</w:t>
      </w:r>
      <w:r>
        <w:rPr>
          <w:u w:color="000000"/>
          <w:bdr w:val="nil"/>
        </w:rPr>
        <w:t xml:space="preserve"> (ED)</w:t>
      </w:r>
      <w:r w:rsidRPr="00892B17">
        <w:rPr>
          <w:u w:color="000000"/>
          <w:bdr w:val="nil"/>
        </w:rPr>
        <w:t xml:space="preserve"> should issue guidelines to local education agencies and state education agencies on the inclusion of universal design for learning (UDL) principles and recommend </w:t>
      </w:r>
      <w:r>
        <w:rPr>
          <w:u w:color="000000"/>
          <w:bdr w:val="nil"/>
        </w:rPr>
        <w:t>giving</w:t>
      </w:r>
      <w:r w:rsidRPr="00892B17">
        <w:rPr>
          <w:u w:color="000000"/>
          <w:bdr w:val="nil"/>
        </w:rPr>
        <w:t xml:space="preserve"> teachers flexibility to implement UDL with state and district curricula and lesson plans to promote broader integration of students with disabilities in the classroom.</w:t>
      </w:r>
    </w:p>
    <w:p w:rsidR="00445A92" w:rsidRPr="00892B17" w:rsidRDefault="00445A92" w:rsidP="00445A92">
      <w:pPr>
        <w:pStyle w:val="NCDBulletsLevel1"/>
        <w:rPr>
          <w:u w:color="000000"/>
          <w:bdr w:val="nil"/>
        </w:rPr>
      </w:pPr>
      <w:r>
        <w:rPr>
          <w:u w:color="000000"/>
          <w:bdr w:val="nil"/>
        </w:rPr>
        <w:t>ED</w:t>
      </w:r>
      <w:r w:rsidRPr="00892B17">
        <w:rPr>
          <w:u w:color="000000"/>
          <w:bdr w:val="nil"/>
        </w:rPr>
        <w:t xml:space="preserve"> and state education agencies should issue guidelines to local school districts to give all students with disabilities an opportunity to obtain a standard high school diploma. The guidelines should reinforce that the use of alternative high school diplomas or certificates of completion should be considered a last resort </w:t>
      </w:r>
      <w:r>
        <w:rPr>
          <w:u w:color="000000"/>
          <w:bdr w:val="nil"/>
        </w:rPr>
        <w:t>for students with disabilities.</w:t>
      </w:r>
    </w:p>
    <w:p w:rsidR="00445A92" w:rsidRPr="00892B17" w:rsidRDefault="00445A92" w:rsidP="00445A92">
      <w:pPr>
        <w:pStyle w:val="NCDBulletsLevel1"/>
      </w:pPr>
      <w:r>
        <w:rPr>
          <w:u w:color="000000"/>
          <w:bdr w:val="nil"/>
        </w:rPr>
        <w:t>ED</w:t>
      </w:r>
      <w:r w:rsidRPr="00892B17">
        <w:rPr>
          <w:u w:color="000000"/>
          <w:bdr w:val="nil"/>
        </w:rPr>
        <w:t xml:space="preserve"> </w:t>
      </w:r>
      <w:r>
        <w:rPr>
          <w:u w:color="000000"/>
          <w:bdr w:val="nil"/>
        </w:rPr>
        <w:t xml:space="preserve">Institute on Education Sciences </w:t>
      </w:r>
      <w:r w:rsidRPr="00892B17">
        <w:rPr>
          <w:u w:color="000000"/>
          <w:bdr w:val="nil"/>
        </w:rPr>
        <w:t xml:space="preserve">should fund national research </w:t>
      </w:r>
      <w:r>
        <w:rPr>
          <w:u w:color="000000"/>
          <w:bdr w:val="nil"/>
        </w:rPr>
        <w:t xml:space="preserve">that explores the </w:t>
      </w:r>
      <w:r w:rsidRPr="00892B17">
        <w:rPr>
          <w:u w:color="000000"/>
          <w:bdr w:val="nil"/>
        </w:rPr>
        <w:t>educational and employment outcomes of alternative high school diplomas for students with individualized education programs (IEP</w:t>
      </w:r>
      <w:r>
        <w:rPr>
          <w:u w:color="000000"/>
          <w:bdr w:val="nil"/>
        </w:rPr>
        <w:t>s</w:t>
      </w:r>
      <w:r w:rsidRPr="00892B17">
        <w:rPr>
          <w:u w:color="000000"/>
          <w:bdr w:val="nil"/>
        </w:rPr>
        <w:t xml:space="preserve">) and Section 504 plans as well as </w:t>
      </w:r>
      <w:r>
        <w:rPr>
          <w:u w:color="000000"/>
          <w:bdr w:val="nil"/>
        </w:rPr>
        <w:t xml:space="preserve">the </w:t>
      </w:r>
      <w:r w:rsidRPr="00892B17">
        <w:rPr>
          <w:u w:color="000000"/>
          <w:bdr w:val="nil"/>
        </w:rPr>
        <w:t>demographic characteristics of students receiving the</w:t>
      </w:r>
      <w:r>
        <w:rPr>
          <w:u w:color="000000"/>
          <w:bdr w:val="nil"/>
        </w:rPr>
        <w:t>se alternative diplomas.</w:t>
      </w:r>
    </w:p>
    <w:p w:rsidR="00445A92" w:rsidRPr="00892B17" w:rsidRDefault="00445A92" w:rsidP="00445A92">
      <w:pPr>
        <w:pStyle w:val="NCDBulletsLevel1"/>
      </w:pPr>
      <w:r>
        <w:t>ED</w:t>
      </w:r>
      <w:r w:rsidRPr="00892B17">
        <w:t xml:space="preserve"> should </w:t>
      </w:r>
      <w:r>
        <w:t>continue</w:t>
      </w:r>
      <w:r w:rsidRPr="00892B17">
        <w:t xml:space="preserve"> funding </w:t>
      </w:r>
      <w:r>
        <w:t>for</w:t>
      </w:r>
      <w:r w:rsidRPr="00892B17">
        <w:t xml:space="preserve"> model programs like the Transition and Postsecondary Programs for Students with Intellectual Disabilities (TPSID)</w:t>
      </w:r>
      <w:r>
        <w:t xml:space="preserve"> program,</w:t>
      </w:r>
      <w:r w:rsidRPr="00892B17">
        <w:t xml:space="preserve"> </w:t>
      </w:r>
      <w:r>
        <w:t>which</w:t>
      </w:r>
      <w:r w:rsidRPr="00892B17">
        <w:t xml:space="preserve"> can help reduce poverty among people with intellectual disabilities.</w:t>
      </w:r>
    </w:p>
    <w:p w:rsidR="00445A92" w:rsidRPr="00892B17" w:rsidRDefault="00445A92" w:rsidP="00445A92">
      <w:pPr>
        <w:pStyle w:val="NCDBulletsLevel1"/>
        <w:rPr>
          <w:u w:color="000000"/>
          <w:bdr w:val="nil"/>
        </w:rPr>
      </w:pPr>
      <w:r>
        <w:rPr>
          <w:u w:color="000000"/>
          <w:bdr w:val="nil"/>
        </w:rPr>
        <w:t>Congress</w:t>
      </w:r>
      <w:r w:rsidRPr="00892B17">
        <w:rPr>
          <w:u w:color="000000"/>
          <w:bdr w:val="nil"/>
        </w:rPr>
        <w:t xml:space="preserve"> </w:t>
      </w:r>
      <w:r>
        <w:rPr>
          <w:u w:color="000000"/>
          <w:bdr w:val="nil"/>
        </w:rPr>
        <w:t>should amend the Higher Education Act to</w:t>
      </w:r>
      <w:r w:rsidRPr="00892B17">
        <w:rPr>
          <w:u w:color="000000"/>
          <w:bdr w:val="nil"/>
        </w:rPr>
        <w:t xml:space="preserve"> modify existing higher education financial assistance program guidelines so that they are adequately accessible and students with disabilities are not penalized when a qualifying disability limits their ability to maintain a full course load or work</w:t>
      </w:r>
      <w:r>
        <w:rPr>
          <w:u w:color="000000"/>
          <w:bdr w:val="nil"/>
        </w:rPr>
        <w:t>-</w:t>
      </w:r>
      <w:r w:rsidRPr="00892B17">
        <w:rPr>
          <w:u w:color="000000"/>
          <w:bdr w:val="nil"/>
        </w:rPr>
        <w:t>study requirements as determined by campus disability services programs. This should include but not be limited to Pell grants, federal work</w:t>
      </w:r>
      <w:r>
        <w:rPr>
          <w:u w:color="000000"/>
          <w:bdr w:val="nil"/>
        </w:rPr>
        <w:t>-</w:t>
      </w:r>
      <w:r w:rsidRPr="00892B17">
        <w:rPr>
          <w:u w:color="000000"/>
          <w:bdr w:val="nil"/>
        </w:rPr>
        <w:t xml:space="preserve">study programs, and student loan repayment. </w:t>
      </w:r>
    </w:p>
    <w:p w:rsidR="00445A92" w:rsidRPr="00892B17" w:rsidRDefault="00445A92" w:rsidP="00445A92">
      <w:pPr>
        <w:pStyle w:val="NCDBulletsLevel1"/>
        <w:rPr>
          <w:u w:color="000000"/>
          <w:bdr w:val="nil"/>
        </w:rPr>
      </w:pPr>
      <w:r w:rsidRPr="00892B17">
        <w:rPr>
          <w:u w:color="000000"/>
          <w:bdr w:val="nil"/>
        </w:rPr>
        <w:lastRenderedPageBreak/>
        <w:t xml:space="preserve">The Internal Revenue Service </w:t>
      </w:r>
      <w:r>
        <w:rPr>
          <w:u w:color="000000"/>
          <w:bdr w:val="nil"/>
        </w:rPr>
        <w:t xml:space="preserve">(IRS) </w:t>
      </w:r>
      <w:r w:rsidRPr="00892B17">
        <w:rPr>
          <w:u w:color="000000"/>
          <w:bdr w:val="nil"/>
        </w:rPr>
        <w:t>should provide guidance that waives the tax debt on student loan forgiveness for students with disabilities so that they do not incur a tax debt from a forgiven loan.</w:t>
      </w:r>
    </w:p>
    <w:p w:rsidR="00445A92" w:rsidRPr="00892B17" w:rsidRDefault="00445A92" w:rsidP="002E124F">
      <w:pPr>
        <w:pStyle w:val="Heading2"/>
      </w:pPr>
      <w:bookmarkStart w:id="15" w:name="_Toc483910940"/>
      <w:bookmarkStart w:id="16" w:name="_Toc483934328"/>
      <w:bookmarkStart w:id="17" w:name="_Toc484357134"/>
      <w:bookmarkStart w:id="18" w:name="_Toc493507463"/>
      <w:bookmarkStart w:id="19" w:name="_Toc493596662"/>
      <w:r w:rsidRPr="00892B17">
        <w:t>Employment</w:t>
      </w:r>
      <w:bookmarkEnd w:id="15"/>
      <w:bookmarkEnd w:id="16"/>
      <w:bookmarkEnd w:id="17"/>
      <w:bookmarkEnd w:id="18"/>
      <w:bookmarkEnd w:id="19"/>
    </w:p>
    <w:p w:rsidR="00445A92" w:rsidRPr="00892B17" w:rsidRDefault="00445A92" w:rsidP="00445A92">
      <w:pPr>
        <w:pStyle w:val="NCDBulletsLevel1"/>
        <w:rPr>
          <w:u w:color="000000"/>
          <w:bdr w:val="nil"/>
        </w:rPr>
      </w:pPr>
      <w:r w:rsidRPr="00892B17">
        <w:rPr>
          <w:u w:color="000000"/>
          <w:bdr w:val="nil"/>
        </w:rPr>
        <w:t>The U.S. Department of Labor</w:t>
      </w:r>
      <w:r>
        <w:rPr>
          <w:u w:color="000000"/>
          <w:bdr w:val="nil"/>
        </w:rPr>
        <w:t xml:space="preserve"> (DOL)</w:t>
      </w:r>
      <w:r w:rsidRPr="00892B17">
        <w:rPr>
          <w:u w:color="000000"/>
          <w:bdr w:val="nil"/>
        </w:rPr>
        <w:t xml:space="preserve">, the </w:t>
      </w:r>
      <w:r>
        <w:rPr>
          <w:u w:color="000000"/>
          <w:bdr w:val="nil"/>
        </w:rPr>
        <w:t xml:space="preserve">U.S. </w:t>
      </w:r>
      <w:r w:rsidRPr="00892B17">
        <w:rPr>
          <w:u w:color="000000"/>
          <w:bdr w:val="nil"/>
        </w:rPr>
        <w:t xml:space="preserve">Access Board, the </w:t>
      </w:r>
      <w:r>
        <w:rPr>
          <w:u w:color="000000"/>
          <w:bdr w:val="nil"/>
        </w:rPr>
        <w:t xml:space="preserve">U.S. </w:t>
      </w:r>
      <w:r w:rsidRPr="00892B17">
        <w:rPr>
          <w:u w:color="000000"/>
          <w:bdr w:val="nil"/>
        </w:rPr>
        <w:t>Department of Justice</w:t>
      </w:r>
      <w:r>
        <w:rPr>
          <w:u w:color="000000"/>
          <w:bdr w:val="nil"/>
        </w:rPr>
        <w:t xml:space="preserve"> (DOJ)</w:t>
      </w:r>
      <w:r w:rsidRPr="00892B17">
        <w:rPr>
          <w:u w:color="000000"/>
          <w:bdr w:val="nil"/>
        </w:rPr>
        <w:t xml:space="preserve">, and the Equal Employment Opportunity Commission (EEOC) should dictate that all policies and regulations </w:t>
      </w:r>
      <w:r>
        <w:rPr>
          <w:u w:color="000000"/>
          <w:bdr w:val="nil"/>
        </w:rPr>
        <w:t>related to</w:t>
      </w:r>
      <w:r w:rsidRPr="00892B17">
        <w:rPr>
          <w:u w:color="000000"/>
          <w:bdr w:val="nil"/>
        </w:rPr>
        <w:t xml:space="preserve"> Section</w:t>
      </w:r>
      <w:r>
        <w:rPr>
          <w:u w:color="000000"/>
          <w:bdr w:val="nil"/>
        </w:rPr>
        <w:t>s</w:t>
      </w:r>
      <w:r w:rsidRPr="00892B17">
        <w:rPr>
          <w:u w:color="000000"/>
          <w:bdr w:val="nil"/>
        </w:rPr>
        <w:t xml:space="preserve"> 503 and 511 of the Rehabilitation Act </w:t>
      </w:r>
      <w:r>
        <w:rPr>
          <w:u w:color="000000"/>
          <w:bdr w:val="nil"/>
        </w:rPr>
        <w:t>of 1973 be</w:t>
      </w:r>
      <w:r w:rsidRPr="00892B17">
        <w:rPr>
          <w:u w:color="000000"/>
          <w:bdr w:val="nil"/>
        </w:rPr>
        <w:t xml:space="preserve"> prioritized for nationwide enforcement. This includes an annual report to Congress on activities and the impact on employment for people with disabilities. </w:t>
      </w:r>
    </w:p>
    <w:p w:rsidR="00445A92" w:rsidRPr="00892B17" w:rsidRDefault="00445A92" w:rsidP="00445A92">
      <w:pPr>
        <w:pStyle w:val="NCDBulletsLevel1"/>
        <w:rPr>
          <w:u w:color="000000"/>
          <w:bdr w:val="nil"/>
        </w:rPr>
      </w:pPr>
      <w:r w:rsidRPr="00892B17">
        <w:rPr>
          <w:u w:color="000000"/>
          <w:bdr w:val="nil"/>
        </w:rPr>
        <w:t>Congress should amend the Small Business Act to expand the Small Business Administration’s 8(a) Business Development Program to include people with disabilities as a presumed socially disadvantaged group to be in line with the findings in the Americans with Disabilities Act (ADA), which states that people with disabilities are disadvantaged socially, economically, vocationally</w:t>
      </w:r>
      <w:r>
        <w:rPr>
          <w:u w:color="000000"/>
          <w:bdr w:val="nil"/>
        </w:rPr>
        <w:t>,</w:t>
      </w:r>
      <w:r w:rsidRPr="00892B17">
        <w:rPr>
          <w:u w:color="000000"/>
          <w:bdr w:val="nil"/>
        </w:rPr>
        <w:t xml:space="preserve"> and educationally.</w:t>
      </w:r>
    </w:p>
    <w:p w:rsidR="00445A92" w:rsidRPr="00892B17" w:rsidRDefault="00445A92" w:rsidP="00445A92">
      <w:pPr>
        <w:pStyle w:val="NCDBulletsLevel1"/>
        <w:rPr>
          <w:u w:color="000000"/>
          <w:bdr w:val="nil"/>
        </w:rPr>
      </w:pPr>
      <w:r w:rsidRPr="00892B17">
        <w:rPr>
          <w:u w:color="000000"/>
          <w:bdr w:val="nil"/>
        </w:rPr>
        <w:t>The U.S. D</w:t>
      </w:r>
      <w:r w:rsidR="00682A71">
        <w:rPr>
          <w:u w:color="000000"/>
          <w:bdr w:val="nil"/>
        </w:rPr>
        <w:t>OL</w:t>
      </w:r>
      <w:r w:rsidRPr="00892B17">
        <w:rPr>
          <w:u w:color="000000"/>
          <w:bdr w:val="nil"/>
        </w:rPr>
        <w:t xml:space="preserve"> and Education should issue guidelines </w:t>
      </w:r>
      <w:r>
        <w:rPr>
          <w:u w:color="000000"/>
          <w:bdr w:val="nil"/>
        </w:rPr>
        <w:t>to</w:t>
      </w:r>
      <w:r w:rsidRPr="00892B17">
        <w:rPr>
          <w:u w:color="000000"/>
          <w:bdr w:val="nil"/>
        </w:rPr>
        <w:t xml:space="preserve"> develop partnerships across state vocational rehabilitation agencies, local education agencies, institutes of higher education, and employers that promote paid internships for college graduates and students</w:t>
      </w:r>
      <w:r>
        <w:rPr>
          <w:u w:color="000000"/>
          <w:bdr w:val="nil"/>
        </w:rPr>
        <w:t xml:space="preserve"> with disabilities</w:t>
      </w:r>
      <w:r w:rsidRPr="00892B17">
        <w:rPr>
          <w:u w:color="000000"/>
          <w:bdr w:val="nil"/>
        </w:rPr>
        <w:t xml:space="preserve"> in postsecondary education as a gateway to full-time employment. </w:t>
      </w:r>
    </w:p>
    <w:p w:rsidR="00445A92" w:rsidRDefault="00445A92" w:rsidP="00445A92">
      <w:pPr>
        <w:pStyle w:val="NCDBulletsLevel1"/>
        <w:rPr>
          <w:u w:color="000000"/>
          <w:bdr w:val="nil"/>
        </w:rPr>
      </w:pPr>
      <w:r w:rsidRPr="00892B17">
        <w:rPr>
          <w:u w:color="000000"/>
          <w:bdr w:val="nil"/>
        </w:rPr>
        <w:t xml:space="preserve">All federal agencies should be the model in hiring, retention, and integration of people with disabilities in the workplace. In accordance with the </w:t>
      </w:r>
      <w:r>
        <w:rPr>
          <w:u w:color="000000"/>
          <w:bdr w:val="nil"/>
        </w:rPr>
        <w:t xml:space="preserve">U.S. </w:t>
      </w:r>
      <w:r w:rsidRPr="00892B17">
        <w:rPr>
          <w:u w:color="000000"/>
          <w:bdr w:val="nil"/>
        </w:rPr>
        <w:t xml:space="preserve">Office of </w:t>
      </w:r>
      <w:r>
        <w:rPr>
          <w:u w:color="000000"/>
          <w:bdr w:val="nil"/>
        </w:rPr>
        <w:t xml:space="preserve">Personnel </w:t>
      </w:r>
      <w:r w:rsidRPr="00892B17">
        <w:rPr>
          <w:u w:color="000000"/>
          <w:bdr w:val="nil"/>
        </w:rPr>
        <w:t xml:space="preserve">Management (OPM), all federal agencies should </w:t>
      </w:r>
      <w:r>
        <w:rPr>
          <w:u w:color="000000"/>
          <w:bdr w:val="nil"/>
        </w:rPr>
        <w:t>increase coordination</w:t>
      </w:r>
      <w:r w:rsidRPr="00892B17">
        <w:rPr>
          <w:u w:color="000000"/>
          <w:bdr w:val="nil"/>
        </w:rPr>
        <w:t xml:space="preserve"> between their Selective Placement Program Coordinator</w:t>
      </w:r>
      <w:r>
        <w:rPr>
          <w:u w:color="000000"/>
          <w:bdr w:val="nil"/>
        </w:rPr>
        <w:t>s</w:t>
      </w:r>
      <w:r w:rsidRPr="00892B17">
        <w:rPr>
          <w:u w:color="000000"/>
          <w:bdr w:val="nil"/>
        </w:rPr>
        <w:t xml:space="preserve"> (SPPC</w:t>
      </w:r>
      <w:r>
        <w:rPr>
          <w:u w:color="000000"/>
          <w:bdr w:val="nil"/>
        </w:rPr>
        <w:t>s</w:t>
      </w:r>
      <w:r w:rsidRPr="00892B17">
        <w:rPr>
          <w:u w:color="000000"/>
          <w:bdr w:val="nil"/>
        </w:rPr>
        <w:t>). This will bridge the gap between managers and employees with disabilities and enhance understanding of reasonable accommodations and their effect on productivity and retention of people with disabilities. To attain this goal, mandatory training for human resources staff, managers, and supervisors should be required.</w:t>
      </w:r>
    </w:p>
    <w:p w:rsidR="00445A92" w:rsidRPr="004F12EF" w:rsidRDefault="00445A92" w:rsidP="00445A92">
      <w:pPr>
        <w:pStyle w:val="NCDBulletsLevel1"/>
        <w:rPr>
          <w:u w:color="000000"/>
          <w:bdr w:val="nil"/>
        </w:rPr>
      </w:pPr>
      <w:r>
        <w:lastRenderedPageBreak/>
        <w:t>States should mandate Employment First initiatives to reflect stronger legislative and policy support of competitive integrated employment to increase opportunities for economic independence for youth and adults with disabilities.</w:t>
      </w:r>
    </w:p>
    <w:p w:rsidR="00445A92" w:rsidRPr="00892B17" w:rsidRDefault="00445A92" w:rsidP="002E124F">
      <w:pPr>
        <w:pStyle w:val="Heading2"/>
      </w:pPr>
      <w:bookmarkStart w:id="20" w:name="_Toc483910941"/>
      <w:bookmarkStart w:id="21" w:name="_Toc483934329"/>
      <w:bookmarkStart w:id="22" w:name="_Toc484357135"/>
      <w:bookmarkStart w:id="23" w:name="_Toc493507464"/>
      <w:bookmarkStart w:id="24" w:name="_Toc493596663"/>
      <w:r w:rsidRPr="00892B17">
        <w:t>Financial Assistance and Incentives</w:t>
      </w:r>
      <w:bookmarkEnd w:id="20"/>
      <w:bookmarkEnd w:id="21"/>
      <w:bookmarkEnd w:id="22"/>
      <w:bookmarkEnd w:id="23"/>
      <w:bookmarkEnd w:id="24"/>
    </w:p>
    <w:p w:rsidR="00445A92" w:rsidRPr="00892B17" w:rsidRDefault="00445A92" w:rsidP="002E124F">
      <w:pPr>
        <w:pStyle w:val="NCDBulletsLevel1"/>
        <w:rPr>
          <w:u w:color="000000"/>
          <w:bdr w:val="nil"/>
        </w:rPr>
      </w:pPr>
      <w:r w:rsidRPr="00892B17">
        <w:rPr>
          <w:u w:color="000000"/>
          <w:bdr w:val="nil"/>
        </w:rPr>
        <w:t>Congress should expand opportunities for people with disabilities who need to pay for personal care services to benefit from tax deductions when medical expenses are less than 10 percent of adjusted gross income or deductions cannot be itemized.</w:t>
      </w:r>
    </w:p>
    <w:p w:rsidR="00445A92" w:rsidRPr="00892B17" w:rsidRDefault="00445A92" w:rsidP="002E124F">
      <w:pPr>
        <w:pStyle w:val="NCDBulletsLevel1"/>
        <w:rPr>
          <w:u w:color="000000"/>
          <w:bdr w:val="nil"/>
        </w:rPr>
      </w:pPr>
      <w:r w:rsidRPr="00892B17">
        <w:rPr>
          <w:u w:color="000000"/>
          <w:bdr w:val="nil"/>
        </w:rPr>
        <w:t>Congress should approve three amendments to the Achieving a Better Life Experience (ABLE) Act:</w:t>
      </w:r>
    </w:p>
    <w:p w:rsidR="00445A92" w:rsidRPr="00892B17" w:rsidRDefault="00445A92" w:rsidP="002E124F">
      <w:pPr>
        <w:pStyle w:val="NCDBulletsLevel2"/>
      </w:pPr>
      <w:r w:rsidRPr="00892B17">
        <w:t>The ABLE Financial Planning Act, which would allow 529 educational savings accounts to be transitioned to qualifying people with disabilities without incurring penalties or taxes.</w:t>
      </w:r>
    </w:p>
    <w:p w:rsidR="00445A92" w:rsidRPr="00892B17" w:rsidRDefault="00445A92" w:rsidP="002E124F">
      <w:pPr>
        <w:pStyle w:val="NCDBulletsLevel2"/>
      </w:pPr>
      <w:r w:rsidRPr="00892B17">
        <w:t xml:space="preserve">The ABLE Age Adjustment Act, which would increase the qualifying age </w:t>
      </w:r>
      <w:r>
        <w:t xml:space="preserve">threshold for eligibility for </w:t>
      </w:r>
      <w:r w:rsidRPr="00892B17">
        <w:t xml:space="preserve">an ABLE account from </w:t>
      </w:r>
      <w:r>
        <w:t xml:space="preserve">26 to 46. </w:t>
      </w:r>
    </w:p>
    <w:p w:rsidR="00445A92" w:rsidRPr="00892B17" w:rsidRDefault="00445A92" w:rsidP="002E124F">
      <w:pPr>
        <w:pStyle w:val="NCDBulletsLevel2"/>
      </w:pPr>
      <w:r w:rsidRPr="00892B17">
        <w:t xml:space="preserve">The ABLE to Work Act, which would allow </w:t>
      </w:r>
      <w:r>
        <w:t xml:space="preserve">employed </w:t>
      </w:r>
      <w:r w:rsidRPr="00892B17">
        <w:t xml:space="preserve">people with disabilities to contribute funds </w:t>
      </w:r>
      <w:r>
        <w:t xml:space="preserve">to an ABLE account in an amount </w:t>
      </w:r>
      <w:r w:rsidRPr="00892B17">
        <w:t>above the $14,000 per year cap</w:t>
      </w:r>
      <w:r>
        <w:t>.</w:t>
      </w:r>
      <w:r w:rsidRPr="00892B17">
        <w:t xml:space="preserve"> </w:t>
      </w:r>
      <w:r>
        <w:t>A</w:t>
      </w:r>
      <w:r w:rsidRPr="00892B17">
        <w:t xml:space="preserve">dditional contributions </w:t>
      </w:r>
      <w:r>
        <w:t xml:space="preserve">would </w:t>
      </w:r>
      <w:r w:rsidRPr="00892B17">
        <w:t xml:space="preserve">not exceed the equivalent of the determined federal poverty level for that year (the maximum allowable amount </w:t>
      </w:r>
      <w:r>
        <w:t>wa</w:t>
      </w:r>
      <w:r w:rsidRPr="00892B17">
        <w:t xml:space="preserve">s $26,060 in 2017). </w:t>
      </w:r>
    </w:p>
    <w:p w:rsidR="00445A92" w:rsidRPr="00892B17" w:rsidRDefault="00445A92" w:rsidP="002E124F">
      <w:pPr>
        <w:pStyle w:val="NCDBulletsLevel1"/>
        <w:rPr>
          <w:u w:color="000000"/>
          <w:bdr w:val="nil"/>
        </w:rPr>
      </w:pPr>
      <w:r w:rsidRPr="00892B17">
        <w:rPr>
          <w:u w:color="000000"/>
          <w:bdr w:val="nil"/>
        </w:rPr>
        <w:t xml:space="preserve"> All states should implement ABLE programs and actively inform people with disabilities and </w:t>
      </w:r>
      <w:r>
        <w:rPr>
          <w:u w:color="000000"/>
          <w:bdr w:val="nil"/>
        </w:rPr>
        <w:t xml:space="preserve">their </w:t>
      </w:r>
      <w:r w:rsidRPr="00892B17">
        <w:rPr>
          <w:u w:color="000000"/>
          <w:bdr w:val="nil"/>
        </w:rPr>
        <w:t xml:space="preserve">caregivers of this legislation </w:t>
      </w:r>
      <w:r>
        <w:rPr>
          <w:u w:color="000000"/>
          <w:bdr w:val="nil"/>
        </w:rPr>
        <w:t xml:space="preserve">in order </w:t>
      </w:r>
      <w:r w:rsidRPr="00892B17">
        <w:rPr>
          <w:u w:color="000000"/>
          <w:bdr w:val="nil"/>
        </w:rPr>
        <w:t xml:space="preserve">to provide people with disabilities the opportunity to build individual savings and invest their money in ways that will enhance their </w:t>
      </w:r>
      <w:r>
        <w:rPr>
          <w:u w:color="000000"/>
          <w:bdr w:val="nil"/>
        </w:rPr>
        <w:t xml:space="preserve">economic </w:t>
      </w:r>
      <w:r w:rsidRPr="00892B17">
        <w:rPr>
          <w:u w:color="000000"/>
          <w:bdr w:val="nil"/>
        </w:rPr>
        <w:t>self-sufficiency.</w:t>
      </w:r>
    </w:p>
    <w:p w:rsidR="00445A92" w:rsidRPr="00892B17" w:rsidRDefault="00445A92" w:rsidP="002E124F">
      <w:pPr>
        <w:pStyle w:val="NCDBulletsLevel1"/>
        <w:rPr>
          <w:u w:color="000000"/>
          <w:bdr w:val="nil"/>
        </w:rPr>
      </w:pPr>
      <w:r w:rsidRPr="00892B17">
        <w:rPr>
          <w:u w:color="000000"/>
          <w:bdr w:val="nil"/>
        </w:rPr>
        <w:t xml:space="preserve">The </w:t>
      </w:r>
      <w:r>
        <w:rPr>
          <w:u w:color="000000"/>
          <w:bdr w:val="nil"/>
        </w:rPr>
        <w:t>IRS</w:t>
      </w:r>
      <w:r w:rsidRPr="00892B17">
        <w:rPr>
          <w:u w:color="000000"/>
          <w:bdr w:val="nil"/>
        </w:rPr>
        <w:t xml:space="preserve"> should issue final regulations to Section 529A of the Internal Revenue Code on how states or state agencies can establish a qualified ABLE program. </w:t>
      </w:r>
    </w:p>
    <w:p w:rsidR="00445A92" w:rsidRPr="00892B17" w:rsidRDefault="00445A92" w:rsidP="002E124F">
      <w:pPr>
        <w:pStyle w:val="NCDBulletsLevel1"/>
        <w:rPr>
          <w:u w:color="000000"/>
          <w:bdr w:val="nil"/>
        </w:rPr>
      </w:pPr>
      <w:r w:rsidRPr="00892B17">
        <w:rPr>
          <w:u w:color="000000"/>
          <w:bdr w:val="nil"/>
        </w:rPr>
        <w:t xml:space="preserve">Congress should pass legislation that decouples eligibility for health care benefits from eligibility for cash benefits like Supplemental Security Income (SSI) and Social </w:t>
      </w:r>
      <w:r w:rsidRPr="00892B17">
        <w:rPr>
          <w:u w:color="000000"/>
          <w:bdr w:val="nil"/>
        </w:rPr>
        <w:lastRenderedPageBreak/>
        <w:t xml:space="preserve">Security Disability </w:t>
      </w:r>
      <w:r>
        <w:rPr>
          <w:u w:color="000000"/>
          <w:bdr w:val="nil"/>
        </w:rPr>
        <w:t>Insurance</w:t>
      </w:r>
      <w:r w:rsidRPr="00892B17">
        <w:rPr>
          <w:u w:color="000000"/>
          <w:bdr w:val="nil"/>
        </w:rPr>
        <w:t xml:space="preserve"> (SSDI) to prevent people with disabilities from being forced to choose between getting a job </w:t>
      </w:r>
      <w:proofErr w:type="gramStart"/>
      <w:r w:rsidRPr="00892B17">
        <w:rPr>
          <w:u w:color="000000"/>
          <w:bdr w:val="nil"/>
        </w:rPr>
        <w:t>or</w:t>
      </w:r>
      <w:proofErr w:type="gramEnd"/>
      <w:r w:rsidRPr="00892B17">
        <w:rPr>
          <w:u w:color="000000"/>
          <w:bdr w:val="nil"/>
        </w:rPr>
        <w:t xml:space="preserve"> </w:t>
      </w:r>
      <w:r>
        <w:rPr>
          <w:u w:color="000000"/>
          <w:bdr w:val="nil"/>
        </w:rPr>
        <w:t xml:space="preserve">having access to </w:t>
      </w:r>
      <w:r w:rsidRPr="00892B17">
        <w:rPr>
          <w:u w:color="000000"/>
          <w:bdr w:val="nil"/>
        </w:rPr>
        <w:t>health care.</w:t>
      </w:r>
    </w:p>
    <w:p w:rsidR="00445A92" w:rsidRPr="00892B17" w:rsidRDefault="00445A92" w:rsidP="002E124F">
      <w:pPr>
        <w:pStyle w:val="NCDBulletsLevel1"/>
        <w:rPr>
          <w:u w:color="000000"/>
          <w:bdr w:val="nil"/>
        </w:rPr>
      </w:pPr>
      <w:r w:rsidRPr="00892B17">
        <w:rPr>
          <w:u w:color="000000"/>
          <w:bdr w:val="nil"/>
        </w:rPr>
        <w:t xml:space="preserve">Congress should amend the Earned Income Tax Credit (EITC) to lower the age of eligibility from 25 to 18 years old and increase the benefit for childless adults to provide greater incentive to work and advance self-sufficiency. </w:t>
      </w:r>
    </w:p>
    <w:p w:rsidR="00445A92" w:rsidRPr="00E47FAE" w:rsidRDefault="00445A92" w:rsidP="002E124F">
      <w:pPr>
        <w:pStyle w:val="Heading2"/>
      </w:pPr>
      <w:bookmarkStart w:id="25" w:name="_Toc483910942"/>
      <w:bookmarkStart w:id="26" w:name="_Toc483934330"/>
      <w:bookmarkStart w:id="27" w:name="_Toc484357136"/>
      <w:bookmarkStart w:id="28" w:name="_Toc493507465"/>
      <w:bookmarkStart w:id="29" w:name="_Toc493596664"/>
      <w:r w:rsidRPr="00E47FAE">
        <w:t>Health Care</w:t>
      </w:r>
      <w:bookmarkEnd w:id="25"/>
      <w:bookmarkEnd w:id="26"/>
      <w:bookmarkEnd w:id="27"/>
      <w:bookmarkEnd w:id="28"/>
      <w:bookmarkEnd w:id="29"/>
    </w:p>
    <w:p w:rsidR="00445A92" w:rsidRPr="00892B17" w:rsidRDefault="00445A92" w:rsidP="002E124F">
      <w:pPr>
        <w:pStyle w:val="NCDBulletsLevel1"/>
        <w:rPr>
          <w:u w:color="000000"/>
          <w:bdr w:val="nil"/>
        </w:rPr>
      </w:pPr>
      <w:r w:rsidRPr="00892B17">
        <w:rPr>
          <w:u w:color="000000"/>
          <w:bdr w:val="nil"/>
        </w:rPr>
        <w:t>Congress should maintain protections that prohibit insurance companies from denying coverage because of preexisting conditions to ensure affordable health insurance coverage for people with disabilities.</w:t>
      </w:r>
    </w:p>
    <w:p w:rsidR="00445A92" w:rsidRPr="00892B17" w:rsidRDefault="00445A92" w:rsidP="002E124F">
      <w:pPr>
        <w:pStyle w:val="NCDBulletsLevel1"/>
        <w:rPr>
          <w:u w:color="000000"/>
          <w:bdr w:val="nil"/>
        </w:rPr>
      </w:pPr>
      <w:r w:rsidRPr="00892B17">
        <w:rPr>
          <w:u w:color="000000"/>
          <w:bdr w:val="nil"/>
        </w:rPr>
        <w:t>Congress should ensure that Medicaid reforms</w:t>
      </w:r>
      <w:r>
        <w:rPr>
          <w:u w:color="000000"/>
          <w:bdr w:val="nil"/>
        </w:rPr>
        <w:t>,</w:t>
      </w:r>
      <w:r w:rsidRPr="00892B17">
        <w:rPr>
          <w:u w:color="000000"/>
          <w:bdr w:val="nil"/>
        </w:rPr>
        <w:t xml:space="preserve"> including but not limited to block grants or per capita caps</w:t>
      </w:r>
      <w:r>
        <w:rPr>
          <w:u w:color="000000"/>
          <w:bdr w:val="nil"/>
        </w:rPr>
        <w:t>,</w:t>
      </w:r>
      <w:r w:rsidRPr="00892B17">
        <w:rPr>
          <w:u w:color="000000"/>
          <w:bdr w:val="nil"/>
        </w:rPr>
        <w:t xml:space="preserve"> will be robust enough to</w:t>
      </w:r>
      <w:r>
        <w:rPr>
          <w:u w:color="000000"/>
          <w:bdr w:val="nil"/>
        </w:rPr>
        <w:t>: a) prevent</w:t>
      </w:r>
      <w:r w:rsidRPr="00892B17">
        <w:rPr>
          <w:u w:color="000000"/>
          <w:bdr w:val="nil"/>
        </w:rPr>
        <w:t xml:space="preserve"> dramatic cutbacks in services</w:t>
      </w:r>
      <w:r>
        <w:rPr>
          <w:u w:color="000000"/>
          <w:bdr w:val="nil"/>
        </w:rPr>
        <w:t xml:space="preserve"> and prevent</w:t>
      </w:r>
      <w:r w:rsidRPr="00892B17">
        <w:rPr>
          <w:u w:color="000000"/>
          <w:bdr w:val="nil"/>
        </w:rPr>
        <w:t xml:space="preserve"> lower reimbursement rates</w:t>
      </w:r>
      <w:r>
        <w:rPr>
          <w:u w:color="000000"/>
          <w:bdr w:val="nil"/>
        </w:rPr>
        <w:t xml:space="preserve"> for providers</w:t>
      </w:r>
      <w:r w:rsidRPr="00892B17">
        <w:rPr>
          <w:u w:color="000000"/>
          <w:bdr w:val="nil"/>
        </w:rPr>
        <w:t xml:space="preserve"> and limits on </w:t>
      </w:r>
      <w:r>
        <w:rPr>
          <w:u w:color="000000"/>
          <w:bdr w:val="nil"/>
        </w:rPr>
        <w:t xml:space="preserve">Medicaid </w:t>
      </w:r>
      <w:r w:rsidRPr="00892B17">
        <w:rPr>
          <w:u w:color="000000"/>
          <w:bdr w:val="nil"/>
        </w:rPr>
        <w:t>eligibility</w:t>
      </w:r>
      <w:r>
        <w:rPr>
          <w:u w:color="000000"/>
          <w:bdr w:val="nil"/>
        </w:rPr>
        <w:t>;</w:t>
      </w:r>
      <w:r w:rsidRPr="00892B17">
        <w:rPr>
          <w:u w:color="000000"/>
          <w:bdr w:val="nil"/>
        </w:rPr>
        <w:t xml:space="preserve"> </w:t>
      </w:r>
      <w:r>
        <w:rPr>
          <w:u w:color="000000"/>
          <w:bdr w:val="nil"/>
        </w:rPr>
        <w:t xml:space="preserve">and b) </w:t>
      </w:r>
      <w:r w:rsidRPr="00892B17">
        <w:rPr>
          <w:u w:color="000000"/>
          <w:bdr w:val="nil"/>
        </w:rPr>
        <w:t>safeguard access to home and community-based services waivers</w:t>
      </w:r>
      <w:r>
        <w:rPr>
          <w:u w:color="000000"/>
          <w:bdr w:val="nil"/>
        </w:rPr>
        <w:t>,</w:t>
      </w:r>
      <w:r w:rsidRPr="00892B17">
        <w:rPr>
          <w:u w:color="000000"/>
          <w:bdr w:val="nil"/>
        </w:rPr>
        <w:t xml:space="preserve"> </w:t>
      </w:r>
      <w:r>
        <w:rPr>
          <w:u w:color="000000"/>
          <w:bdr w:val="nil"/>
        </w:rPr>
        <w:t>which</w:t>
      </w:r>
      <w:r w:rsidRPr="00892B17">
        <w:rPr>
          <w:u w:color="000000"/>
          <w:bdr w:val="nil"/>
        </w:rPr>
        <w:t xml:space="preserve"> are essential to promoting independent living, employment, and economic self-sufficiency for people with disabilities. Any increases to state flexibility through block grants or per capita caps should include meaningful accountability to the Centers for Medicare and Medicaid Services </w:t>
      </w:r>
      <w:r>
        <w:rPr>
          <w:u w:color="000000"/>
          <w:bdr w:val="nil"/>
        </w:rPr>
        <w:t xml:space="preserve">(CMS) </w:t>
      </w:r>
      <w:r w:rsidRPr="00892B17">
        <w:rPr>
          <w:u w:color="000000"/>
          <w:bdr w:val="nil"/>
        </w:rPr>
        <w:t>to ensure a minimum level of coverage</w:t>
      </w:r>
      <w:r>
        <w:rPr>
          <w:u w:color="000000"/>
          <w:bdr w:val="nil"/>
        </w:rPr>
        <w:t>,</w:t>
      </w:r>
      <w:r w:rsidRPr="00892B17">
        <w:rPr>
          <w:u w:color="000000"/>
          <w:bdr w:val="nil"/>
        </w:rPr>
        <w:t xml:space="preserve"> services</w:t>
      </w:r>
      <w:r>
        <w:rPr>
          <w:u w:color="000000"/>
          <w:bdr w:val="nil"/>
        </w:rPr>
        <w:t>,</w:t>
      </w:r>
      <w:r w:rsidRPr="00892B17">
        <w:rPr>
          <w:u w:color="000000"/>
          <w:bdr w:val="nil"/>
        </w:rPr>
        <w:t xml:space="preserve"> and consistency </w:t>
      </w:r>
      <w:r>
        <w:rPr>
          <w:u w:color="000000"/>
          <w:bdr w:val="nil"/>
        </w:rPr>
        <w:t xml:space="preserve">are provided </w:t>
      </w:r>
      <w:r w:rsidRPr="00892B17">
        <w:rPr>
          <w:u w:color="000000"/>
          <w:bdr w:val="nil"/>
        </w:rPr>
        <w:t xml:space="preserve">across state Medicaid programs. </w:t>
      </w:r>
    </w:p>
    <w:p w:rsidR="00445A92" w:rsidRPr="00892B17" w:rsidRDefault="00445A92" w:rsidP="002E124F">
      <w:pPr>
        <w:pStyle w:val="NCDBulletsLevel1"/>
        <w:rPr>
          <w:u w:color="000000"/>
          <w:bdr w:val="nil"/>
        </w:rPr>
      </w:pPr>
      <w:r w:rsidRPr="00892B17">
        <w:rPr>
          <w:u w:color="000000"/>
          <w:bdr w:val="nil"/>
        </w:rPr>
        <w:t xml:space="preserve">Congress should maintain Medicaid expansion for individuals whose conditions did not meet the severity requirements for </w:t>
      </w:r>
      <w:r>
        <w:rPr>
          <w:u w:color="000000"/>
          <w:bdr w:val="nil"/>
        </w:rPr>
        <w:t xml:space="preserve">disability-based Medicaid prior to passage of the </w:t>
      </w:r>
      <w:r w:rsidRPr="00892B17">
        <w:rPr>
          <w:u w:color="000000"/>
          <w:bdr w:val="nil"/>
        </w:rPr>
        <w:t>Patient Protection and Affordable Care Act (ACA) and those falling within the two-year waiting period before qualifying for disability-based Medicare.</w:t>
      </w:r>
    </w:p>
    <w:p w:rsidR="00445A92" w:rsidRPr="00892B17" w:rsidRDefault="00445A92" w:rsidP="002E124F">
      <w:pPr>
        <w:pStyle w:val="NCDBulletsLevel1"/>
        <w:rPr>
          <w:u w:color="000000"/>
          <w:bdr w:val="nil"/>
        </w:rPr>
      </w:pPr>
      <w:r w:rsidRPr="00892B17">
        <w:rPr>
          <w:u w:color="000000"/>
          <w:bdr w:val="nil"/>
        </w:rPr>
        <w:t>Congress should remove the 18</w:t>
      </w:r>
      <w:r>
        <w:rPr>
          <w:u w:color="000000"/>
          <w:bdr w:val="nil"/>
        </w:rPr>
        <w:t xml:space="preserve"> to </w:t>
      </w:r>
      <w:r w:rsidRPr="00892B17">
        <w:rPr>
          <w:u w:color="000000"/>
          <w:bdr w:val="nil"/>
        </w:rPr>
        <w:t xml:space="preserve">64 age limits for </w:t>
      </w:r>
      <w:r>
        <w:rPr>
          <w:u w:color="000000"/>
          <w:bdr w:val="nil"/>
        </w:rPr>
        <w:t>b</w:t>
      </w:r>
      <w:r w:rsidRPr="00892B17">
        <w:rPr>
          <w:u w:color="000000"/>
          <w:bdr w:val="nil"/>
        </w:rPr>
        <w:t>uy-</w:t>
      </w:r>
      <w:r>
        <w:rPr>
          <w:u w:color="000000"/>
          <w:bdr w:val="nil"/>
        </w:rPr>
        <w:t>i</w:t>
      </w:r>
      <w:r w:rsidRPr="00892B17">
        <w:rPr>
          <w:u w:color="000000"/>
          <w:bdr w:val="nil"/>
        </w:rPr>
        <w:t xml:space="preserve">n options in Medicaid to promote work among people with disabilities after age 65 without </w:t>
      </w:r>
      <w:r>
        <w:rPr>
          <w:u w:color="000000"/>
          <w:bdr w:val="nil"/>
        </w:rPr>
        <w:t xml:space="preserve">requiring them </w:t>
      </w:r>
      <w:r w:rsidRPr="00892B17">
        <w:rPr>
          <w:u w:color="000000"/>
          <w:bdr w:val="nil"/>
        </w:rPr>
        <w:t>to spend down to be eligible for Medicaid or exclude their buy-in assets from being counted for eligibility purposes.</w:t>
      </w:r>
    </w:p>
    <w:p w:rsidR="00445A92" w:rsidRPr="00892B17" w:rsidRDefault="00445A92" w:rsidP="002E124F">
      <w:pPr>
        <w:pStyle w:val="Heading2"/>
      </w:pPr>
      <w:bookmarkStart w:id="30" w:name="_Toc483910943"/>
      <w:bookmarkStart w:id="31" w:name="_Toc483934331"/>
      <w:bookmarkStart w:id="32" w:name="_Toc484357137"/>
      <w:bookmarkStart w:id="33" w:name="_Toc493507466"/>
      <w:bookmarkStart w:id="34" w:name="_Toc493596665"/>
      <w:r w:rsidRPr="00892B17">
        <w:lastRenderedPageBreak/>
        <w:t>Housing</w:t>
      </w:r>
      <w:bookmarkEnd w:id="30"/>
      <w:bookmarkEnd w:id="31"/>
      <w:bookmarkEnd w:id="32"/>
      <w:bookmarkEnd w:id="33"/>
      <w:bookmarkEnd w:id="34"/>
    </w:p>
    <w:p w:rsidR="00445A92" w:rsidRPr="00892B17" w:rsidRDefault="00445A92" w:rsidP="002E124F">
      <w:pPr>
        <w:pStyle w:val="NCDBulletsLevel1"/>
        <w:rPr>
          <w:u w:color="000000"/>
          <w:bdr w:val="nil"/>
        </w:rPr>
      </w:pPr>
      <w:r w:rsidRPr="00892B17">
        <w:rPr>
          <w:u w:color="000000"/>
          <w:bdr w:val="nil"/>
        </w:rPr>
        <w:t xml:space="preserve">The U.S. Department of Housing and Urban Development </w:t>
      </w:r>
      <w:r>
        <w:rPr>
          <w:u w:color="000000"/>
          <w:bdr w:val="nil"/>
        </w:rPr>
        <w:t xml:space="preserve">(HUD) </w:t>
      </w:r>
      <w:r w:rsidRPr="00892B17">
        <w:rPr>
          <w:u w:color="000000"/>
          <w:bdr w:val="nil"/>
        </w:rPr>
        <w:t xml:space="preserve">should require that all federally assisted housing units follow universal design principles and ensure that accessible housing units are in line with the percentage of people with disabilities requesting federal housing assistance. This </w:t>
      </w:r>
      <w:r>
        <w:rPr>
          <w:u w:color="000000"/>
          <w:bdr w:val="nil"/>
        </w:rPr>
        <w:t>goal can be achieved by increasing the percentage of required</w:t>
      </w:r>
      <w:r w:rsidRPr="00892B17">
        <w:rPr>
          <w:u w:color="000000"/>
          <w:bdr w:val="nil"/>
        </w:rPr>
        <w:t xml:space="preserve"> new housing </w:t>
      </w:r>
      <w:r>
        <w:rPr>
          <w:u w:color="000000"/>
          <w:bdr w:val="nil"/>
        </w:rPr>
        <w:t>units</w:t>
      </w:r>
      <w:r w:rsidRPr="00892B17">
        <w:rPr>
          <w:u w:color="000000"/>
          <w:bdr w:val="nil"/>
        </w:rPr>
        <w:t xml:space="preserve"> </w:t>
      </w:r>
      <w:r>
        <w:rPr>
          <w:u w:color="000000"/>
          <w:bdr w:val="nil"/>
        </w:rPr>
        <w:t xml:space="preserve">that are </w:t>
      </w:r>
      <w:r w:rsidRPr="00892B17">
        <w:rPr>
          <w:u w:color="000000"/>
          <w:bdr w:val="nil"/>
        </w:rPr>
        <w:t>accessible for people with mobility disabilities and accessible for people with sensory disabilities</w:t>
      </w:r>
      <w:r>
        <w:rPr>
          <w:u w:color="000000"/>
          <w:bdr w:val="nil"/>
        </w:rPr>
        <w:t xml:space="preserve"> from the current rate of 5 percent and 2 percent, respectively</w:t>
      </w:r>
      <w:r w:rsidRPr="00892B17">
        <w:rPr>
          <w:u w:color="000000"/>
          <w:bdr w:val="nil"/>
        </w:rPr>
        <w:t xml:space="preserve">. </w:t>
      </w:r>
    </w:p>
    <w:p w:rsidR="00445A92" w:rsidRPr="00892B17" w:rsidRDefault="00445A92" w:rsidP="00445A92">
      <w:pPr>
        <w:pStyle w:val="NCDBulletsLevel1"/>
        <w:rPr>
          <w:u w:color="000000"/>
          <w:bdr w:val="nil"/>
        </w:rPr>
      </w:pPr>
      <w:r>
        <w:t xml:space="preserve">Local communities should enact ordinances requiring developers to include a percentage of accessible </w:t>
      </w:r>
      <w:r w:rsidRPr="00FF7DC5">
        <w:t xml:space="preserve">homes </w:t>
      </w:r>
      <w:r>
        <w:t xml:space="preserve">of varying price </w:t>
      </w:r>
      <w:r w:rsidRPr="00FF7DC5">
        <w:t>in any new</w:t>
      </w:r>
      <w:r>
        <w:t xml:space="preserve"> development, similar to Montgomery County, Maryland’s</w:t>
      </w:r>
      <w:r>
        <w:rPr>
          <w:i/>
          <w:iCs/>
        </w:rPr>
        <w:t xml:space="preserve"> Moderately Priced Housing </w:t>
      </w:r>
      <w:r>
        <w:t xml:space="preserve">law, which requires 12.5 to 15 percent of the total number of units in a new development to be moderately priced. </w:t>
      </w:r>
      <w:r>
        <w:rPr>
          <w:u w:color="000000"/>
          <w:bdr w:val="nil"/>
        </w:rPr>
        <w:t>HUD</w:t>
      </w:r>
      <w:r w:rsidRPr="00892B17">
        <w:rPr>
          <w:u w:color="000000"/>
          <w:bdr w:val="nil"/>
        </w:rPr>
        <w:t xml:space="preserve"> should provide guidance to local communities to promote greater investment in housing developments incorporating universal design</w:t>
      </w:r>
      <w:r>
        <w:rPr>
          <w:u w:color="000000"/>
          <w:bdr w:val="nil"/>
        </w:rPr>
        <w:t xml:space="preserve">, </w:t>
      </w:r>
      <w:r w:rsidRPr="00892B17">
        <w:rPr>
          <w:u w:color="000000"/>
          <w:bdr w:val="nil"/>
        </w:rPr>
        <w:t>to ensure greater availability of accessible housing units</w:t>
      </w:r>
      <w:r>
        <w:rPr>
          <w:u w:color="000000"/>
          <w:bdr w:val="nil"/>
        </w:rPr>
        <w:t>,</w:t>
      </w:r>
      <w:r w:rsidRPr="00892B17">
        <w:rPr>
          <w:u w:color="000000"/>
          <w:bdr w:val="nil"/>
        </w:rPr>
        <w:t xml:space="preserve"> and</w:t>
      </w:r>
      <w:r>
        <w:rPr>
          <w:u w:color="000000"/>
          <w:bdr w:val="nil"/>
        </w:rPr>
        <w:t xml:space="preserve"> to</w:t>
      </w:r>
      <w:r w:rsidRPr="00892B17">
        <w:rPr>
          <w:u w:color="000000"/>
          <w:bdr w:val="nil"/>
        </w:rPr>
        <w:t xml:space="preserve"> promote opportunities for aging in place.</w:t>
      </w:r>
    </w:p>
    <w:p w:rsidR="00445A92" w:rsidRPr="00892B17" w:rsidRDefault="00445A92" w:rsidP="002E124F">
      <w:pPr>
        <w:pStyle w:val="Heading2"/>
      </w:pPr>
      <w:bookmarkStart w:id="35" w:name="_Toc483910944"/>
      <w:bookmarkStart w:id="36" w:name="_Toc483934332"/>
      <w:bookmarkStart w:id="37" w:name="_Toc484357138"/>
      <w:bookmarkStart w:id="38" w:name="_Toc493507467"/>
      <w:bookmarkStart w:id="39" w:name="_Toc493596666"/>
      <w:r w:rsidRPr="00892B17">
        <w:t>Transportation</w:t>
      </w:r>
      <w:bookmarkEnd w:id="35"/>
      <w:bookmarkEnd w:id="36"/>
      <w:bookmarkEnd w:id="37"/>
      <w:bookmarkEnd w:id="38"/>
      <w:bookmarkEnd w:id="39"/>
    </w:p>
    <w:p w:rsidR="00445A92" w:rsidRPr="00892B17" w:rsidRDefault="00445A92" w:rsidP="00445A92">
      <w:pPr>
        <w:pStyle w:val="NCDBulletsLevel1"/>
        <w:rPr>
          <w:u w:color="000000"/>
          <w:bdr w:val="nil"/>
        </w:rPr>
      </w:pPr>
      <w:r>
        <w:rPr>
          <w:u w:color="000000"/>
          <w:bdr w:val="nil"/>
        </w:rPr>
        <w:t>DOJ</w:t>
      </w:r>
      <w:r w:rsidRPr="00892B17">
        <w:rPr>
          <w:u w:color="000000"/>
          <w:bdr w:val="nil"/>
        </w:rPr>
        <w:t xml:space="preserve"> should issue regulations </w:t>
      </w:r>
      <w:r>
        <w:rPr>
          <w:u w:color="000000"/>
          <w:bdr w:val="nil"/>
        </w:rPr>
        <w:t xml:space="preserve">that require </w:t>
      </w:r>
      <w:r w:rsidRPr="00892B17">
        <w:rPr>
          <w:u w:color="000000"/>
          <w:bdr w:val="nil"/>
        </w:rPr>
        <w:t xml:space="preserve">privately funded transit </w:t>
      </w:r>
      <w:r>
        <w:rPr>
          <w:u w:color="000000"/>
          <w:bdr w:val="nil"/>
        </w:rPr>
        <w:t xml:space="preserve">agencies </w:t>
      </w:r>
      <w:r w:rsidRPr="00892B17">
        <w:rPr>
          <w:u w:color="000000"/>
          <w:bdr w:val="nil"/>
        </w:rPr>
        <w:t>to provide accessible transportation options for people with disabilities in all communities. This includes</w:t>
      </w:r>
      <w:r>
        <w:rPr>
          <w:u w:color="000000"/>
          <w:bdr w:val="nil"/>
        </w:rPr>
        <w:t xml:space="preserve"> </w:t>
      </w:r>
      <w:r w:rsidRPr="00892B17">
        <w:rPr>
          <w:u w:color="000000"/>
          <w:bdr w:val="nil"/>
        </w:rPr>
        <w:t>but is not limited to taxi</w:t>
      </w:r>
      <w:r>
        <w:rPr>
          <w:u w:color="000000"/>
          <w:bdr w:val="nil"/>
        </w:rPr>
        <w:t>cab</w:t>
      </w:r>
      <w:r w:rsidRPr="00892B17">
        <w:rPr>
          <w:u w:color="000000"/>
          <w:bdr w:val="nil"/>
        </w:rPr>
        <w:t xml:space="preserve">s and transportation </w:t>
      </w:r>
      <w:r>
        <w:rPr>
          <w:u w:color="000000"/>
          <w:bdr w:val="nil"/>
        </w:rPr>
        <w:t xml:space="preserve">arranged through </w:t>
      </w:r>
      <w:r w:rsidRPr="00892B17">
        <w:rPr>
          <w:u w:color="000000"/>
          <w:bdr w:val="nil"/>
        </w:rPr>
        <w:t>smartphone applications.</w:t>
      </w:r>
    </w:p>
    <w:p w:rsidR="00445A92" w:rsidRPr="00892B17" w:rsidRDefault="00445A92" w:rsidP="00445A92">
      <w:pPr>
        <w:pStyle w:val="NCDBulletsLevel1"/>
        <w:rPr>
          <w:u w:color="000000"/>
          <w:bdr w:val="nil"/>
        </w:rPr>
      </w:pPr>
      <w:r w:rsidRPr="00892B17">
        <w:rPr>
          <w:u w:color="000000"/>
          <w:bdr w:val="nil"/>
        </w:rPr>
        <w:t xml:space="preserve">Local </w:t>
      </w:r>
      <w:r>
        <w:rPr>
          <w:u w:color="000000"/>
          <w:bdr w:val="nil"/>
        </w:rPr>
        <w:t>municipalities should require</w:t>
      </w:r>
      <w:r w:rsidRPr="00892B17">
        <w:rPr>
          <w:u w:color="000000"/>
          <w:bdr w:val="nil"/>
        </w:rPr>
        <w:t xml:space="preserve"> </w:t>
      </w:r>
      <w:r>
        <w:rPr>
          <w:u w:color="000000"/>
          <w:bdr w:val="nil"/>
        </w:rPr>
        <w:t>t</w:t>
      </w:r>
      <w:r w:rsidRPr="00892B17">
        <w:rPr>
          <w:u w:color="000000"/>
          <w:bdr w:val="nil"/>
        </w:rPr>
        <w:t xml:space="preserve">axicab </w:t>
      </w:r>
      <w:r>
        <w:rPr>
          <w:u w:color="000000"/>
          <w:bdr w:val="nil"/>
        </w:rPr>
        <w:t>a</w:t>
      </w:r>
      <w:r w:rsidRPr="00892B17">
        <w:rPr>
          <w:u w:color="000000"/>
          <w:bdr w:val="nil"/>
        </w:rPr>
        <w:t xml:space="preserve">uthorities </w:t>
      </w:r>
      <w:r>
        <w:rPr>
          <w:u w:color="000000"/>
          <w:bdr w:val="nil"/>
        </w:rPr>
        <w:t>to</w:t>
      </w:r>
      <w:r w:rsidRPr="00892B17">
        <w:rPr>
          <w:u w:color="000000"/>
          <w:bdr w:val="nil"/>
        </w:rPr>
        <w:t xml:space="preserve"> provide mandatory training for taxicab operators about the proper ramp deployment and securement policies and procedures so that people with mobility disabilities can safely and effectively use privately funded transit options.</w:t>
      </w:r>
    </w:p>
    <w:p w:rsidR="00445A92" w:rsidRPr="00D530B9" w:rsidRDefault="00445A92" w:rsidP="00445A92">
      <w:pPr>
        <w:pStyle w:val="NCDBulletsLevel1"/>
      </w:pPr>
      <w:r w:rsidRPr="00D530B9">
        <w:t xml:space="preserve">Local communities should </w:t>
      </w:r>
      <w:r>
        <w:t>provide guidance</w:t>
      </w:r>
      <w:r w:rsidRPr="00D530B9">
        <w:t xml:space="preserve"> that clarif</w:t>
      </w:r>
      <w:r>
        <w:t>ies</w:t>
      </w:r>
      <w:r w:rsidRPr="00D530B9">
        <w:t xml:space="preserve"> and bolster</w:t>
      </w:r>
      <w:r>
        <w:t>s t</w:t>
      </w:r>
      <w:r w:rsidRPr="00534504">
        <w:t>he</w:t>
      </w:r>
      <w:r w:rsidRPr="00D530B9">
        <w:t xml:space="preserve"> ADA nondiscrimination standards </w:t>
      </w:r>
      <w:r>
        <w:t xml:space="preserve">in order </w:t>
      </w:r>
      <w:r w:rsidRPr="00D530B9">
        <w:t xml:space="preserve">to address </w:t>
      </w:r>
      <w:r>
        <w:t>issues</w:t>
      </w:r>
      <w:r w:rsidRPr="00D530B9">
        <w:t xml:space="preserve"> faced by people with disabilities </w:t>
      </w:r>
      <w:r>
        <w:t>who require assistance to use transportation</w:t>
      </w:r>
      <w:r w:rsidRPr="00D530B9">
        <w:t xml:space="preserve"> services because of their </w:t>
      </w:r>
      <w:r w:rsidRPr="00D530B9">
        <w:lastRenderedPageBreak/>
        <w:t>disability. This includes</w:t>
      </w:r>
      <w:r>
        <w:t xml:space="preserve"> but is not limited to</w:t>
      </w:r>
      <w:r w:rsidRPr="00D530B9">
        <w:t xml:space="preserve"> </w:t>
      </w:r>
      <w:r>
        <w:t>refusal to accommodate service animals</w:t>
      </w:r>
      <w:r w:rsidRPr="00D530B9">
        <w:t xml:space="preserve">, </w:t>
      </w:r>
      <w:r>
        <w:t xml:space="preserve">claims of broken lifts and ramps, </w:t>
      </w:r>
      <w:r w:rsidRPr="00D530B9">
        <w:t>and</w:t>
      </w:r>
      <w:r>
        <w:t xml:space="preserve"> late pickup or no shows.</w:t>
      </w:r>
    </w:p>
    <w:p w:rsidR="00445A92" w:rsidRPr="00892B17" w:rsidRDefault="00445A92" w:rsidP="00445A92">
      <w:pPr>
        <w:pStyle w:val="NCDBulletsLevel1"/>
        <w:rPr>
          <w:u w:color="000000"/>
          <w:bdr w:val="nil"/>
        </w:rPr>
      </w:pPr>
      <w:r w:rsidRPr="00892B17">
        <w:rPr>
          <w:u w:color="000000"/>
          <w:bdr w:val="nil"/>
        </w:rPr>
        <w:t>The U.S. Department of Transportation</w:t>
      </w:r>
      <w:r>
        <w:rPr>
          <w:u w:color="000000"/>
          <w:bdr w:val="nil"/>
        </w:rPr>
        <w:t>’s</w:t>
      </w:r>
      <w:r w:rsidRPr="00892B17">
        <w:rPr>
          <w:u w:color="000000"/>
          <w:bdr w:val="nil"/>
        </w:rPr>
        <w:t xml:space="preserve"> (DOT) Federal Transit Administration should work with local communities so that the DOT ADA regulations are followed to </w:t>
      </w:r>
      <w:r>
        <w:rPr>
          <w:u w:color="000000"/>
          <w:bdr w:val="nil"/>
        </w:rPr>
        <w:t>guarantee that</w:t>
      </w:r>
      <w:r w:rsidRPr="00892B17">
        <w:rPr>
          <w:u w:color="000000"/>
          <w:bdr w:val="nil"/>
        </w:rPr>
        <w:t xml:space="preserve"> all public transit stations and bus stops</w:t>
      </w:r>
      <w:r>
        <w:rPr>
          <w:u w:color="000000"/>
          <w:bdr w:val="nil"/>
        </w:rPr>
        <w:t xml:space="preserve"> are accessible</w:t>
      </w:r>
      <w:r w:rsidRPr="00892B17">
        <w:rPr>
          <w:u w:color="000000"/>
          <w:bdr w:val="nil"/>
        </w:rPr>
        <w:t>. This includes but is not limited to ensuring the detectability of bus stops through tactile signage or unique bus stop pole designs for people who are blind or have visual impairments</w:t>
      </w:r>
      <w:r>
        <w:rPr>
          <w:u w:color="000000"/>
          <w:bdr w:val="nil"/>
        </w:rPr>
        <w:t>,</w:t>
      </w:r>
      <w:r w:rsidRPr="00892B17">
        <w:rPr>
          <w:u w:color="000000"/>
          <w:bdr w:val="nil"/>
        </w:rPr>
        <w:t xml:space="preserve"> and installation and maintenance of shelters and level concrete pads for people with mobility disabilities.</w:t>
      </w:r>
    </w:p>
    <w:p w:rsidR="00445A92" w:rsidRPr="00892B17" w:rsidRDefault="00445A92" w:rsidP="00445A92">
      <w:pPr>
        <w:pStyle w:val="NCDBulletsLevel1"/>
        <w:rPr>
          <w:u w:color="000000"/>
          <w:bdr w:val="nil"/>
        </w:rPr>
      </w:pPr>
      <w:r w:rsidRPr="00892B17">
        <w:rPr>
          <w:u w:color="000000"/>
          <w:bdr w:val="nil"/>
        </w:rPr>
        <w:t xml:space="preserve">Congress should place greater emphasis on funding transportation programs in rural areas to address minimal or nonexistent public and privately funded accessible transportation options for people with disabilities. </w:t>
      </w:r>
    </w:p>
    <w:p w:rsidR="00445A92" w:rsidRDefault="00445A92" w:rsidP="00445A92">
      <w:pPr>
        <w:pStyle w:val="NCDBulletsLevel1"/>
        <w:rPr>
          <w:u w:color="000000"/>
          <w:bdr w:val="nil"/>
        </w:rPr>
      </w:pPr>
      <w:r w:rsidRPr="0020760F">
        <w:rPr>
          <w:u w:color="000000"/>
          <w:bdr w:val="nil"/>
        </w:rPr>
        <w:t xml:space="preserve">Neighboring </w:t>
      </w:r>
      <w:proofErr w:type="spellStart"/>
      <w:r w:rsidRPr="0020760F">
        <w:rPr>
          <w:u w:color="000000"/>
          <w:bdr w:val="nil"/>
        </w:rPr>
        <w:t>paratransit</w:t>
      </w:r>
      <w:proofErr w:type="spellEnd"/>
      <w:r w:rsidRPr="0020760F">
        <w:rPr>
          <w:u w:color="000000"/>
          <w:bdr w:val="nil"/>
        </w:rPr>
        <w:t xml:space="preserve"> agencies should coordinate with each other to eliminate the arbitrary line between </w:t>
      </w:r>
      <w:proofErr w:type="spellStart"/>
      <w:r w:rsidRPr="0020760F">
        <w:rPr>
          <w:u w:color="000000"/>
          <w:bdr w:val="nil"/>
        </w:rPr>
        <w:t>paratransit</w:t>
      </w:r>
      <w:proofErr w:type="spellEnd"/>
      <w:r w:rsidRPr="0020760F">
        <w:rPr>
          <w:u w:color="000000"/>
          <w:bdr w:val="nil"/>
        </w:rPr>
        <w:t xml:space="preserve"> jurisdictions, which would provide people with disabilities with increased job opportunities in major business hubs. </w:t>
      </w:r>
    </w:p>
    <w:p w:rsidR="00445A92" w:rsidRDefault="00445A92" w:rsidP="00445A92">
      <w:pPr>
        <w:rPr>
          <w:rFonts w:ascii="Arial" w:hAnsi="Arial" w:cs="Arial"/>
          <w:color w:val="000000" w:themeColor="text1"/>
          <w:szCs w:val="24"/>
          <w:u w:color="000000"/>
          <w:bdr w:val="nil"/>
        </w:rPr>
      </w:pPr>
      <w:r>
        <w:rPr>
          <w:u w:color="000000"/>
          <w:bdr w:val="nil"/>
        </w:rPr>
        <w:br w:type="page"/>
      </w:r>
    </w:p>
    <w:p w:rsidR="00445A92" w:rsidRPr="005341F2" w:rsidRDefault="00445A92" w:rsidP="002E124F">
      <w:pPr>
        <w:pStyle w:val="Heading1"/>
      </w:pPr>
      <w:bookmarkStart w:id="40" w:name="_Toc493596667"/>
      <w:bookmarkStart w:id="41" w:name="_Toc478555107"/>
      <w:r>
        <w:lastRenderedPageBreak/>
        <w:t>Acronym Glossary</w:t>
      </w:r>
      <w:bookmarkEnd w:id="40"/>
    </w:p>
    <w:p w:rsidR="00445A92" w:rsidRPr="00E91DB4" w:rsidRDefault="00445A92" w:rsidP="002E124F">
      <w:pPr>
        <w:pStyle w:val="NCDBodyText"/>
        <w:tabs>
          <w:tab w:val="left" w:pos="1354"/>
        </w:tabs>
        <w:spacing w:after="0"/>
      </w:pPr>
      <w:r w:rsidRPr="00E91DB4">
        <w:t>ABLE</w:t>
      </w:r>
      <w:r w:rsidRPr="00E91DB4">
        <w:tab/>
      </w:r>
      <w:r w:rsidRPr="005744DE">
        <w:t>Achieving a Better Life Experience</w:t>
      </w:r>
      <w:r w:rsidRPr="00E91DB4">
        <w:t xml:space="preserve"> Act</w:t>
      </w:r>
    </w:p>
    <w:p w:rsidR="00445A92" w:rsidRPr="00E91DB4" w:rsidRDefault="00445A92" w:rsidP="002E124F">
      <w:pPr>
        <w:pStyle w:val="NCDBodyText"/>
        <w:tabs>
          <w:tab w:val="left" w:pos="1354"/>
        </w:tabs>
        <w:spacing w:after="0"/>
      </w:pPr>
      <w:r w:rsidRPr="00E91DB4">
        <w:t>ACA</w:t>
      </w:r>
      <w:r w:rsidRPr="00E91DB4">
        <w:tab/>
      </w:r>
      <w:r w:rsidRPr="005744DE">
        <w:t>Affordable Care Act</w:t>
      </w:r>
    </w:p>
    <w:p w:rsidR="00445A92" w:rsidRPr="00E91DB4" w:rsidRDefault="00445A92" w:rsidP="002E124F">
      <w:pPr>
        <w:pStyle w:val="NCDBodyText"/>
        <w:tabs>
          <w:tab w:val="left" w:pos="1354"/>
        </w:tabs>
        <w:spacing w:after="0"/>
      </w:pPr>
      <w:r w:rsidRPr="00E91DB4">
        <w:t>ADA</w:t>
      </w:r>
      <w:r w:rsidRPr="00E91DB4">
        <w:tab/>
        <w:t>Americans with Disabilities Act</w:t>
      </w:r>
    </w:p>
    <w:p w:rsidR="00445A92" w:rsidRPr="00310A1B" w:rsidRDefault="00445A92" w:rsidP="002E124F">
      <w:pPr>
        <w:pStyle w:val="NCDBodyText"/>
        <w:tabs>
          <w:tab w:val="left" w:pos="1354"/>
        </w:tabs>
        <w:spacing w:after="0"/>
      </w:pPr>
      <w:r w:rsidRPr="00E91DB4">
        <w:rPr>
          <w:shd w:val="clear" w:color="auto" w:fill="FFFFFF"/>
        </w:rPr>
        <w:t>AJC</w:t>
      </w:r>
      <w:r w:rsidRPr="00E91DB4">
        <w:rPr>
          <w:shd w:val="clear" w:color="auto" w:fill="FFFFFF"/>
        </w:rPr>
        <w:tab/>
        <w:t xml:space="preserve">American Job Centers </w:t>
      </w:r>
    </w:p>
    <w:p w:rsidR="00445A92" w:rsidRPr="00DB02A4" w:rsidRDefault="00445A92" w:rsidP="002E124F">
      <w:pPr>
        <w:pStyle w:val="NCDBodyText"/>
        <w:tabs>
          <w:tab w:val="left" w:pos="1354"/>
        </w:tabs>
        <w:spacing w:after="0"/>
      </w:pPr>
      <w:r w:rsidRPr="00E91DB4">
        <w:t>BPAO</w:t>
      </w:r>
      <w:r w:rsidRPr="00E91DB4">
        <w:tab/>
        <w:t xml:space="preserve">Benefit Planning, Assistance, and Outreach </w:t>
      </w:r>
    </w:p>
    <w:p w:rsidR="00445A92" w:rsidRPr="00F971F0" w:rsidRDefault="00445A92" w:rsidP="002E124F">
      <w:pPr>
        <w:pStyle w:val="NCDBodyText"/>
        <w:tabs>
          <w:tab w:val="left" w:pos="1354"/>
        </w:tabs>
        <w:spacing w:after="0"/>
      </w:pPr>
      <w:r w:rsidRPr="00E91DB4">
        <w:t>CDR</w:t>
      </w:r>
      <w:r w:rsidRPr="00E91DB4">
        <w:tab/>
        <w:t xml:space="preserve">continuing disability reviews </w:t>
      </w:r>
    </w:p>
    <w:p w:rsidR="00445A92" w:rsidRPr="00DB02A4" w:rsidRDefault="00445A92" w:rsidP="002E124F">
      <w:pPr>
        <w:pStyle w:val="NCDBodyText"/>
        <w:tabs>
          <w:tab w:val="left" w:pos="1354"/>
        </w:tabs>
        <w:spacing w:after="0"/>
      </w:pPr>
      <w:r w:rsidRPr="00E91DB4">
        <w:t>CWIC</w:t>
      </w:r>
      <w:r w:rsidRPr="00E91DB4">
        <w:tab/>
        <w:t xml:space="preserve">Community Work Incentives Coordinators </w:t>
      </w:r>
    </w:p>
    <w:p w:rsidR="00445A92" w:rsidRPr="00E91DB4" w:rsidRDefault="00445A92" w:rsidP="002E124F">
      <w:pPr>
        <w:pStyle w:val="NCDBodyText"/>
        <w:tabs>
          <w:tab w:val="left" w:pos="1354"/>
        </w:tabs>
        <w:spacing w:after="0"/>
      </w:pPr>
      <w:r w:rsidRPr="00E91DB4">
        <w:t>DOJ</w:t>
      </w:r>
      <w:r w:rsidRPr="00E91DB4">
        <w:tab/>
        <w:t>U.S. Department of Justice</w:t>
      </w:r>
    </w:p>
    <w:p w:rsidR="00445A92" w:rsidRPr="00E91DB4" w:rsidRDefault="00445A92" w:rsidP="002E124F">
      <w:pPr>
        <w:pStyle w:val="NCDBodyText"/>
        <w:tabs>
          <w:tab w:val="left" w:pos="1354"/>
        </w:tabs>
        <w:spacing w:after="0"/>
      </w:pPr>
      <w:r w:rsidRPr="00E91DB4">
        <w:t xml:space="preserve">DOT </w:t>
      </w:r>
      <w:r w:rsidRPr="00E91DB4">
        <w:tab/>
        <w:t>U.S. Department of Transportation</w:t>
      </w:r>
    </w:p>
    <w:p w:rsidR="00445A92" w:rsidRPr="00E91DB4" w:rsidRDefault="00445A92" w:rsidP="002E124F">
      <w:pPr>
        <w:pStyle w:val="NCDBodyText"/>
        <w:tabs>
          <w:tab w:val="left" w:pos="1354"/>
        </w:tabs>
        <w:spacing w:after="0"/>
      </w:pPr>
      <w:r w:rsidRPr="00E91DB4">
        <w:t>ED</w:t>
      </w:r>
      <w:r w:rsidRPr="00E91DB4">
        <w:tab/>
        <w:t>U.S. Department of Education</w:t>
      </w:r>
    </w:p>
    <w:p w:rsidR="00445A92" w:rsidRPr="00E91DB4" w:rsidRDefault="00445A92" w:rsidP="002E124F">
      <w:pPr>
        <w:pStyle w:val="NCDBodyText"/>
        <w:tabs>
          <w:tab w:val="left" w:pos="1354"/>
        </w:tabs>
        <w:spacing w:after="0"/>
      </w:pPr>
      <w:r w:rsidRPr="00E91DB4">
        <w:t>EEOC</w:t>
      </w:r>
      <w:r w:rsidRPr="00E91DB4">
        <w:tab/>
        <w:t>Equal Employment Opportunity Commission</w:t>
      </w:r>
    </w:p>
    <w:p w:rsidR="00445A92" w:rsidRPr="00E91DB4" w:rsidRDefault="00445A92" w:rsidP="002E124F">
      <w:pPr>
        <w:pStyle w:val="NCDBodyText"/>
        <w:tabs>
          <w:tab w:val="left" w:pos="1354"/>
        </w:tabs>
        <w:spacing w:after="0"/>
      </w:pPr>
      <w:r w:rsidRPr="00E91DB4">
        <w:t>EITC</w:t>
      </w:r>
      <w:r w:rsidRPr="00E91DB4">
        <w:tab/>
        <w:t>Earned Income Tax Credit</w:t>
      </w:r>
    </w:p>
    <w:p w:rsidR="00445A92" w:rsidRDefault="00445A92" w:rsidP="002E124F">
      <w:pPr>
        <w:pStyle w:val="NCDBodyText"/>
        <w:tabs>
          <w:tab w:val="left" w:pos="1354"/>
        </w:tabs>
        <w:spacing w:after="0"/>
      </w:pPr>
      <w:r>
        <w:t>EN</w:t>
      </w:r>
      <w:r>
        <w:tab/>
        <w:t>employment network</w:t>
      </w:r>
    </w:p>
    <w:p w:rsidR="00445A92" w:rsidRDefault="00445A92" w:rsidP="002E124F">
      <w:pPr>
        <w:pStyle w:val="NCDBodyText"/>
        <w:tabs>
          <w:tab w:val="left" w:pos="1354"/>
        </w:tabs>
        <w:spacing w:after="0"/>
      </w:pPr>
      <w:r>
        <w:t>FPL</w:t>
      </w:r>
      <w:r>
        <w:tab/>
        <w:t>federal poverty level</w:t>
      </w:r>
    </w:p>
    <w:p w:rsidR="00445A92" w:rsidRPr="004862BD" w:rsidRDefault="00445A92" w:rsidP="002E124F">
      <w:pPr>
        <w:pStyle w:val="NCDBodyText"/>
        <w:tabs>
          <w:tab w:val="left" w:pos="1354"/>
        </w:tabs>
        <w:spacing w:after="0"/>
      </w:pPr>
      <w:r w:rsidRPr="00546B3E">
        <w:t>GAO</w:t>
      </w:r>
      <w:r>
        <w:tab/>
      </w:r>
      <w:r w:rsidRPr="00E91DB4">
        <w:t>Government Accountability Office</w:t>
      </w:r>
    </w:p>
    <w:p w:rsidR="00445A92" w:rsidRPr="00E91DB4" w:rsidRDefault="00445A92" w:rsidP="002E124F">
      <w:pPr>
        <w:pStyle w:val="NCDBodyText"/>
        <w:tabs>
          <w:tab w:val="left" w:pos="1354"/>
        </w:tabs>
        <w:spacing w:after="0"/>
      </w:pPr>
      <w:r w:rsidRPr="00E91DB4">
        <w:t>GPRA</w:t>
      </w:r>
      <w:r w:rsidRPr="00E91DB4">
        <w:tab/>
        <w:t>Government Performance and Results Act</w:t>
      </w:r>
    </w:p>
    <w:p w:rsidR="00445A92" w:rsidRPr="006A7C83" w:rsidRDefault="00445A92" w:rsidP="002E124F">
      <w:pPr>
        <w:pStyle w:val="NCDBodyText"/>
        <w:tabs>
          <w:tab w:val="left" w:pos="1354"/>
        </w:tabs>
        <w:spacing w:after="0"/>
      </w:pPr>
      <w:r w:rsidRPr="00E91DB4">
        <w:t>HCBS</w:t>
      </w:r>
      <w:r w:rsidRPr="00E91DB4">
        <w:tab/>
        <w:t xml:space="preserve">home and community-based services </w:t>
      </w:r>
    </w:p>
    <w:p w:rsidR="00445A92" w:rsidRPr="00E91DB4" w:rsidRDefault="00445A92" w:rsidP="002E124F">
      <w:pPr>
        <w:pStyle w:val="NCDBodyText"/>
        <w:tabs>
          <w:tab w:val="left" w:pos="1354"/>
        </w:tabs>
        <w:spacing w:after="0"/>
      </w:pPr>
      <w:r w:rsidRPr="00E91DB4">
        <w:t>HUD</w:t>
      </w:r>
      <w:r w:rsidRPr="00E91DB4">
        <w:tab/>
        <w:t>U.S. Department of Housing and Urban Development</w:t>
      </w:r>
    </w:p>
    <w:p w:rsidR="00445A92" w:rsidRPr="00E91DB4" w:rsidRDefault="00445A92" w:rsidP="002E124F">
      <w:pPr>
        <w:pStyle w:val="NCDBodyText"/>
        <w:tabs>
          <w:tab w:val="left" w:pos="1354"/>
        </w:tabs>
        <w:spacing w:after="0"/>
      </w:pPr>
      <w:r w:rsidRPr="00E91DB4">
        <w:t>IDEA</w:t>
      </w:r>
      <w:r w:rsidRPr="00E91DB4">
        <w:tab/>
        <w:t>Individuals with Disabilities Education Act</w:t>
      </w:r>
    </w:p>
    <w:p w:rsidR="00445A92" w:rsidRPr="00E91DB4" w:rsidRDefault="00445A92" w:rsidP="002E124F">
      <w:pPr>
        <w:pStyle w:val="NCDBodyText"/>
        <w:tabs>
          <w:tab w:val="left" w:pos="1354"/>
        </w:tabs>
        <w:spacing w:after="0"/>
      </w:pPr>
      <w:r w:rsidRPr="00E91DB4">
        <w:t>IEP</w:t>
      </w:r>
      <w:r w:rsidRPr="00E91DB4">
        <w:tab/>
        <w:t>individualized education programs</w:t>
      </w:r>
    </w:p>
    <w:p w:rsidR="00445A92" w:rsidRDefault="00445A92" w:rsidP="002E124F">
      <w:pPr>
        <w:pStyle w:val="NCDBodyText"/>
        <w:tabs>
          <w:tab w:val="left" w:pos="1354"/>
        </w:tabs>
        <w:spacing w:after="0"/>
      </w:pPr>
      <w:r>
        <w:t>IEEI</w:t>
      </w:r>
      <w:r>
        <w:tab/>
        <w:t xml:space="preserve">Initiative for Empowerment and Economic Independence </w:t>
      </w:r>
    </w:p>
    <w:p w:rsidR="00445A92" w:rsidRDefault="00445A92" w:rsidP="002E124F">
      <w:pPr>
        <w:pStyle w:val="NCDBodyText"/>
        <w:tabs>
          <w:tab w:val="left" w:pos="1354"/>
        </w:tabs>
        <w:spacing w:after="0"/>
      </w:pPr>
      <w:r>
        <w:t>IRS</w:t>
      </w:r>
      <w:r>
        <w:tab/>
        <w:t>Internal Revenue Service</w:t>
      </w:r>
    </w:p>
    <w:p w:rsidR="00445A92" w:rsidRPr="00F905E3" w:rsidRDefault="00445A92" w:rsidP="002E124F">
      <w:pPr>
        <w:pStyle w:val="NCDBodyText"/>
        <w:tabs>
          <w:tab w:val="left" w:pos="1354"/>
        </w:tabs>
        <w:spacing w:after="0"/>
      </w:pPr>
      <w:r w:rsidRPr="00E91DB4">
        <w:t>IRWE</w:t>
      </w:r>
      <w:r w:rsidRPr="00E91DB4">
        <w:tab/>
        <w:t xml:space="preserve">impairment-related work expense </w:t>
      </w:r>
    </w:p>
    <w:p w:rsidR="00445A92" w:rsidRPr="0031427C" w:rsidRDefault="00445A92" w:rsidP="002E124F">
      <w:pPr>
        <w:pStyle w:val="NCDBodyText"/>
        <w:tabs>
          <w:tab w:val="left" w:pos="1354"/>
        </w:tabs>
        <w:spacing w:after="0"/>
      </w:pPr>
      <w:r w:rsidRPr="00E91DB4">
        <w:t>MPH</w:t>
      </w:r>
      <w:r w:rsidRPr="00E91DB4">
        <w:tab/>
      </w:r>
      <w:r>
        <w:t>m</w:t>
      </w:r>
      <w:r w:rsidRPr="00E91DB4">
        <w:t xml:space="preserve">oderately </w:t>
      </w:r>
      <w:r>
        <w:t>p</w:t>
      </w:r>
      <w:r w:rsidRPr="00E91DB4">
        <w:t xml:space="preserve">riced </w:t>
      </w:r>
      <w:r>
        <w:t>h</w:t>
      </w:r>
      <w:r w:rsidRPr="00E91DB4">
        <w:t xml:space="preserve">ousing </w:t>
      </w:r>
    </w:p>
    <w:p w:rsidR="00445A92" w:rsidRPr="00E91DB4" w:rsidRDefault="00445A92" w:rsidP="002E124F">
      <w:pPr>
        <w:pStyle w:val="NCDBodyText"/>
        <w:tabs>
          <w:tab w:val="left" w:pos="1354"/>
        </w:tabs>
        <w:spacing w:after="0"/>
      </w:pPr>
      <w:r w:rsidRPr="00E91DB4">
        <w:t>NCD</w:t>
      </w:r>
      <w:r w:rsidRPr="00E91DB4">
        <w:tab/>
        <w:t>National Council on Disability</w:t>
      </w:r>
    </w:p>
    <w:p w:rsidR="00445A92" w:rsidRPr="000F4707" w:rsidRDefault="00445A92" w:rsidP="002E124F">
      <w:pPr>
        <w:pStyle w:val="NCDBodyText"/>
        <w:tabs>
          <w:tab w:val="left" w:pos="1354"/>
        </w:tabs>
        <w:spacing w:after="0"/>
      </w:pPr>
      <w:r>
        <w:t>NCI</w:t>
      </w:r>
      <w:r>
        <w:tab/>
      </w:r>
      <w:r w:rsidRPr="00E91DB4">
        <w:t>National Core Indicators</w:t>
      </w:r>
    </w:p>
    <w:p w:rsidR="00445A92" w:rsidRPr="00C05CD4" w:rsidRDefault="00445A92" w:rsidP="002E124F">
      <w:pPr>
        <w:pStyle w:val="NCDBodyText"/>
        <w:tabs>
          <w:tab w:val="left" w:pos="1354"/>
        </w:tabs>
        <w:spacing w:after="0"/>
      </w:pPr>
      <w:r w:rsidRPr="00E91DB4">
        <w:t>ODIC</w:t>
      </w:r>
      <w:r w:rsidRPr="00E91DB4">
        <w:tab/>
        <w:t xml:space="preserve">Office of Disability Integration and Coordination </w:t>
      </w:r>
    </w:p>
    <w:p w:rsidR="00445A92" w:rsidRPr="00E91DB4" w:rsidRDefault="00445A92" w:rsidP="002E124F">
      <w:pPr>
        <w:pStyle w:val="NCDBodyText"/>
        <w:tabs>
          <w:tab w:val="left" w:pos="1354"/>
        </w:tabs>
        <w:spacing w:after="0"/>
      </w:pPr>
      <w:r w:rsidRPr="00E91DB4">
        <w:t>OMB</w:t>
      </w:r>
      <w:r w:rsidRPr="00E91DB4">
        <w:tab/>
        <w:t>Office of Management and Budget</w:t>
      </w:r>
    </w:p>
    <w:p w:rsidR="00445A92" w:rsidRPr="00E91DB4" w:rsidRDefault="00445A92" w:rsidP="002E124F">
      <w:pPr>
        <w:pStyle w:val="NCDBodyText"/>
        <w:tabs>
          <w:tab w:val="left" w:pos="1354"/>
        </w:tabs>
        <w:spacing w:after="0"/>
      </w:pPr>
      <w:r w:rsidRPr="00E91DB4">
        <w:t>OPM</w:t>
      </w:r>
      <w:r w:rsidRPr="00E91DB4">
        <w:tab/>
        <w:t>U.S. Office of Personnel Management</w:t>
      </w:r>
    </w:p>
    <w:p w:rsidR="00445A92" w:rsidRPr="00F905E3" w:rsidRDefault="00445A92" w:rsidP="002E124F">
      <w:pPr>
        <w:pStyle w:val="NCDBodyText"/>
        <w:tabs>
          <w:tab w:val="left" w:pos="1354"/>
        </w:tabs>
        <w:spacing w:after="0"/>
      </w:pPr>
      <w:r w:rsidRPr="00E91DB4">
        <w:lastRenderedPageBreak/>
        <w:t>PASS</w:t>
      </w:r>
      <w:r w:rsidRPr="00E91DB4">
        <w:tab/>
        <w:t xml:space="preserve">plans for achieving self-support </w:t>
      </w:r>
    </w:p>
    <w:p w:rsidR="00445A92" w:rsidRPr="006216D6" w:rsidRDefault="00445A92" w:rsidP="002E124F">
      <w:pPr>
        <w:pStyle w:val="NCDBodyText"/>
        <w:tabs>
          <w:tab w:val="left" w:pos="1354"/>
        </w:tabs>
        <w:spacing w:after="0"/>
      </w:pPr>
      <w:r w:rsidRPr="00E91DB4">
        <w:t>PHA</w:t>
      </w:r>
      <w:r w:rsidRPr="00E91DB4">
        <w:tab/>
        <w:t>public housing a</w:t>
      </w:r>
      <w:r w:rsidRPr="006216D6">
        <w:t>uthorit</w:t>
      </w:r>
      <w:r>
        <w:t>y</w:t>
      </w:r>
      <w:r w:rsidRPr="00E91DB4">
        <w:t xml:space="preserve"> </w:t>
      </w:r>
    </w:p>
    <w:p w:rsidR="00445A92" w:rsidRDefault="00445A92" w:rsidP="002E124F">
      <w:pPr>
        <w:pStyle w:val="NCDBodyText"/>
        <w:tabs>
          <w:tab w:val="left" w:pos="1354"/>
        </w:tabs>
        <w:spacing w:after="0"/>
      </w:pPr>
      <w:r>
        <w:t>RSA</w:t>
      </w:r>
      <w:r>
        <w:tab/>
      </w:r>
      <w:r w:rsidRPr="00E91DB4">
        <w:t>Rehabilitation Services Administration</w:t>
      </w:r>
    </w:p>
    <w:p w:rsidR="00445A92" w:rsidRPr="00CE655E" w:rsidRDefault="00445A92" w:rsidP="002E124F">
      <w:pPr>
        <w:pStyle w:val="NCDBodyText"/>
        <w:tabs>
          <w:tab w:val="left" w:pos="1354"/>
        </w:tabs>
        <w:spacing w:after="0"/>
      </w:pPr>
      <w:r w:rsidRPr="00E91DB4">
        <w:t>SGA</w:t>
      </w:r>
      <w:r w:rsidRPr="00E91DB4">
        <w:tab/>
        <w:t>substantial gainful activity</w:t>
      </w:r>
    </w:p>
    <w:p w:rsidR="00445A92" w:rsidRPr="00E91DB4" w:rsidRDefault="00445A92" w:rsidP="002E124F">
      <w:pPr>
        <w:pStyle w:val="NCDBodyText"/>
        <w:tabs>
          <w:tab w:val="left" w:pos="1354"/>
        </w:tabs>
        <w:spacing w:after="0"/>
      </w:pPr>
      <w:r w:rsidRPr="00E91DB4">
        <w:t>SPPC</w:t>
      </w:r>
      <w:r w:rsidRPr="00E91DB4">
        <w:tab/>
        <w:t>Selective Placement Program Coordinator</w:t>
      </w:r>
    </w:p>
    <w:p w:rsidR="00445A92" w:rsidRPr="006A7C83" w:rsidRDefault="00445A92" w:rsidP="002E124F">
      <w:pPr>
        <w:pStyle w:val="NCDBodyText"/>
        <w:tabs>
          <w:tab w:val="left" w:pos="1354"/>
        </w:tabs>
        <w:spacing w:after="0"/>
      </w:pPr>
      <w:r w:rsidRPr="00E91DB4">
        <w:t>SSA</w:t>
      </w:r>
      <w:r w:rsidRPr="00E91DB4">
        <w:tab/>
        <w:t xml:space="preserve">Social Security Administration </w:t>
      </w:r>
    </w:p>
    <w:p w:rsidR="00445A92" w:rsidRPr="00E91DB4" w:rsidRDefault="00445A92" w:rsidP="002E124F">
      <w:pPr>
        <w:pStyle w:val="NCDBodyText"/>
        <w:tabs>
          <w:tab w:val="left" w:pos="1354"/>
        </w:tabs>
        <w:spacing w:after="0"/>
      </w:pPr>
      <w:r w:rsidRPr="00E91DB4">
        <w:t>SSI</w:t>
      </w:r>
      <w:r w:rsidRPr="00E91DB4">
        <w:tab/>
        <w:t>Supplemental Security Income</w:t>
      </w:r>
    </w:p>
    <w:p w:rsidR="00445A92" w:rsidRPr="00E91DB4" w:rsidRDefault="00445A92" w:rsidP="002E124F">
      <w:pPr>
        <w:pStyle w:val="NCDBodyText"/>
        <w:tabs>
          <w:tab w:val="left" w:pos="1354"/>
        </w:tabs>
        <w:spacing w:after="0"/>
      </w:pPr>
      <w:r w:rsidRPr="00E91DB4">
        <w:t>SSDI</w:t>
      </w:r>
      <w:r w:rsidRPr="00E91DB4">
        <w:tab/>
        <w:t>Social Security Disability Insurance</w:t>
      </w:r>
    </w:p>
    <w:p w:rsidR="00445A92" w:rsidRPr="006216D6" w:rsidRDefault="00445A92" w:rsidP="002E124F">
      <w:pPr>
        <w:pStyle w:val="NCDBodyText"/>
        <w:tabs>
          <w:tab w:val="left" w:pos="1354"/>
        </w:tabs>
        <w:spacing w:after="0"/>
      </w:pPr>
      <w:r w:rsidRPr="00E91DB4">
        <w:t>TANF</w:t>
      </w:r>
      <w:r w:rsidRPr="00E91DB4">
        <w:tab/>
        <w:t>Temporary Aid to Needy Families</w:t>
      </w:r>
    </w:p>
    <w:p w:rsidR="00445A92" w:rsidRPr="00E91DB4" w:rsidRDefault="00445A92" w:rsidP="002E124F">
      <w:pPr>
        <w:pStyle w:val="NCDBodyText"/>
        <w:tabs>
          <w:tab w:val="left" w:pos="1354"/>
        </w:tabs>
        <w:spacing w:after="0"/>
        <w:ind w:left="1350" w:hanging="1350"/>
      </w:pPr>
      <w:r w:rsidRPr="00E91DB4">
        <w:t>TPSID</w:t>
      </w:r>
      <w:r w:rsidRPr="00E91DB4">
        <w:tab/>
        <w:t>Transition and Postsecondary Programs for Students with Intellectual Disabilities</w:t>
      </w:r>
    </w:p>
    <w:p w:rsidR="00445A92" w:rsidRPr="006A7C83" w:rsidRDefault="00445A92" w:rsidP="002E124F">
      <w:pPr>
        <w:pStyle w:val="NCDBodyText"/>
        <w:tabs>
          <w:tab w:val="left" w:pos="1354"/>
        </w:tabs>
        <w:spacing w:after="0"/>
      </w:pPr>
      <w:r w:rsidRPr="00E91DB4">
        <w:t>TTW</w:t>
      </w:r>
      <w:r w:rsidRPr="00E91DB4">
        <w:tab/>
        <w:t xml:space="preserve">Ticket to Work </w:t>
      </w:r>
    </w:p>
    <w:p w:rsidR="00445A92" w:rsidRPr="00E91DB4" w:rsidRDefault="00445A92" w:rsidP="002E124F">
      <w:pPr>
        <w:pStyle w:val="NCDBodyText"/>
        <w:tabs>
          <w:tab w:val="left" w:pos="1354"/>
        </w:tabs>
        <w:spacing w:after="0"/>
      </w:pPr>
      <w:r w:rsidRPr="00E91DB4">
        <w:t>UDL</w:t>
      </w:r>
      <w:r w:rsidRPr="00E91DB4">
        <w:tab/>
        <w:t>universal design for learning</w:t>
      </w:r>
    </w:p>
    <w:p w:rsidR="00445A92" w:rsidRPr="00E91DB4" w:rsidRDefault="00445A92" w:rsidP="002E124F">
      <w:pPr>
        <w:pStyle w:val="NCDBodyText"/>
        <w:tabs>
          <w:tab w:val="left" w:pos="1354"/>
        </w:tabs>
        <w:spacing w:after="0"/>
      </w:pPr>
      <w:r w:rsidRPr="00E91DB4">
        <w:t>USDA</w:t>
      </w:r>
      <w:r w:rsidRPr="00E91DB4">
        <w:tab/>
        <w:t xml:space="preserve">U.S. Department of Agriculture </w:t>
      </w:r>
    </w:p>
    <w:p w:rsidR="00445A92" w:rsidRPr="00E91DB4" w:rsidRDefault="00445A92" w:rsidP="002E124F">
      <w:pPr>
        <w:pStyle w:val="NCDBodyText"/>
        <w:tabs>
          <w:tab w:val="left" w:pos="1354"/>
        </w:tabs>
        <w:spacing w:after="0"/>
      </w:pPr>
      <w:r w:rsidRPr="00E91DB4">
        <w:t>VR</w:t>
      </w:r>
      <w:r w:rsidRPr="00E91DB4">
        <w:tab/>
        <w:t xml:space="preserve">vocational rehabilitation </w:t>
      </w:r>
    </w:p>
    <w:p w:rsidR="00445A92" w:rsidRPr="0031427C" w:rsidRDefault="00445A92" w:rsidP="002E124F">
      <w:pPr>
        <w:pStyle w:val="NCDBodyText"/>
        <w:tabs>
          <w:tab w:val="left" w:pos="1354"/>
        </w:tabs>
        <w:spacing w:after="0"/>
      </w:pPr>
      <w:r>
        <w:t>WIOA</w:t>
      </w:r>
      <w:r>
        <w:tab/>
        <w:t xml:space="preserve">Workforce </w:t>
      </w:r>
      <w:r w:rsidRPr="0087438F">
        <w:t>Innovation and Opportunity Act</w:t>
      </w:r>
    </w:p>
    <w:p w:rsidR="00445A92" w:rsidRDefault="00445A92" w:rsidP="00445A92">
      <w:pPr>
        <w:rPr>
          <w:rFonts w:ascii="Arial" w:hAnsi="Arial" w:cs="Calibri"/>
          <w:color w:val="000000" w:themeColor="text1"/>
          <w:szCs w:val="24"/>
          <w:u w:color="000000"/>
          <w:bdr w:val="nil"/>
        </w:rPr>
      </w:pPr>
      <w:r>
        <w:br w:type="page"/>
      </w:r>
    </w:p>
    <w:p w:rsidR="00445A92" w:rsidRPr="005341F2" w:rsidRDefault="00445A92" w:rsidP="002E124F">
      <w:pPr>
        <w:pStyle w:val="Heading1"/>
      </w:pPr>
      <w:bookmarkStart w:id="42" w:name="_Toc493596668"/>
      <w:r w:rsidRPr="006A72E5">
        <w:lastRenderedPageBreak/>
        <w:t>Introduction</w:t>
      </w:r>
      <w:bookmarkEnd w:id="41"/>
      <w:bookmarkEnd w:id="42"/>
    </w:p>
    <w:p w:rsidR="00445A92" w:rsidRDefault="00445A92" w:rsidP="002E124F">
      <w:pPr>
        <w:pStyle w:val="Heading2"/>
      </w:pPr>
      <w:bookmarkStart w:id="43" w:name="_Toc493507468"/>
      <w:bookmarkStart w:id="44" w:name="_Toc493596669"/>
      <w:bookmarkStart w:id="45" w:name="_Toc478320928"/>
      <w:r>
        <w:t>Background</w:t>
      </w:r>
      <w:bookmarkEnd w:id="43"/>
      <w:bookmarkEnd w:id="44"/>
    </w:p>
    <w:p w:rsidR="008C6F97" w:rsidRDefault="00445A92" w:rsidP="00445A92">
      <w:pPr>
        <w:pStyle w:val="NCDBodyText"/>
      </w:pPr>
      <w:r>
        <w:t>Disability and poverty are inextricably tied together. Poverty causes disability by exacerbating physical and mental health issues, while people with disabilities achieve lower rates of education, employment, and financial independence, resulting in a scarcity of resources. In fact, people with disabilities live in poverty at more than twice the rate of people without disabilities (29 percent compared to 12 percent).</w:t>
      </w:r>
      <w:bookmarkEnd w:id="45"/>
      <w:r w:rsidR="008C6F97">
        <w:rPr>
          <w:rStyle w:val="EndnoteReference"/>
        </w:rPr>
        <w:endnoteReference w:id="1"/>
      </w:r>
      <w:r w:rsidR="008C6F97">
        <w:t xml:space="preserve"> While people with disabilities continue to seek economic self-sufficiency, independent living, and integration into all aspects of society, public policies need to better meet the challenges faced by people with disabilities to break the link with poverty.</w:t>
      </w:r>
    </w:p>
    <w:p w:rsidR="008C6F97" w:rsidRDefault="008C6F97" w:rsidP="00445A92">
      <w:pPr>
        <w:pStyle w:val="NCDBodyText"/>
        <w:rPr>
          <w:rStyle w:val="BodyTextChar"/>
          <w:rFonts w:eastAsia="Calibri"/>
        </w:rPr>
      </w:pPr>
      <w:r>
        <w:t>People with disabilities make up approximately 12</w:t>
      </w:r>
      <w:r w:rsidRPr="00504C41">
        <w:t xml:space="preserve"> percent of the </w:t>
      </w:r>
      <w:r>
        <w:t>U.S. working-age</w:t>
      </w:r>
      <w:r w:rsidRPr="00504C41">
        <w:t xml:space="preserve"> population</w:t>
      </w:r>
      <w:r>
        <w:t>;</w:t>
      </w:r>
      <w:r>
        <w:rPr>
          <w:rStyle w:val="EndnoteReference"/>
        </w:rPr>
        <w:endnoteReference w:id="2"/>
      </w:r>
      <w:r>
        <w:t xml:space="preserve"> however,</w:t>
      </w:r>
      <w:r w:rsidRPr="00504C41">
        <w:t xml:space="preserve"> they </w:t>
      </w:r>
      <w:r>
        <w:rPr>
          <w:rFonts w:cs="Arial"/>
        </w:rPr>
        <w:t>account for more than half of those living in</w:t>
      </w:r>
      <w:r w:rsidRPr="00504C41">
        <w:rPr>
          <w:rFonts w:cs="Arial"/>
        </w:rPr>
        <w:t xml:space="preserve"> </w:t>
      </w:r>
      <w:r>
        <w:rPr>
          <w:rFonts w:cs="Arial"/>
        </w:rPr>
        <w:t>long-term poverty.</w:t>
      </w:r>
      <w:r>
        <w:rPr>
          <w:rStyle w:val="EndnoteReference"/>
          <w:rFonts w:cs="Arial"/>
        </w:rPr>
        <w:endnoteReference w:id="3"/>
      </w:r>
      <w:r w:rsidRPr="00750B98">
        <w:rPr>
          <w:rFonts w:cs="Arial"/>
        </w:rPr>
        <w:t xml:space="preserve"> </w:t>
      </w:r>
      <w:r>
        <w:rPr>
          <w:rFonts w:cs="Arial"/>
        </w:rPr>
        <w:t xml:space="preserve">In addition to </w:t>
      </w:r>
      <w:r w:rsidRPr="00504C41">
        <w:rPr>
          <w:rStyle w:val="BodyTextChar"/>
          <w:rFonts w:eastAsia="Calibri"/>
        </w:rPr>
        <w:t>exacerbat</w:t>
      </w:r>
      <w:r>
        <w:rPr>
          <w:rStyle w:val="BodyTextChar"/>
          <w:rFonts w:eastAsia="Calibri"/>
        </w:rPr>
        <w:t>ing</w:t>
      </w:r>
      <w:r w:rsidRPr="00504C41">
        <w:rPr>
          <w:rStyle w:val="BodyTextChar"/>
          <w:rFonts w:eastAsia="Calibri"/>
        </w:rPr>
        <w:t xml:space="preserve"> poor physical or mental health</w:t>
      </w:r>
      <w:r>
        <w:rPr>
          <w:rStyle w:val="BodyTextChar"/>
          <w:rFonts w:eastAsia="Calibri"/>
        </w:rPr>
        <w:t xml:space="preserve">, poverty can lead to disabling chronic health conditions including childhood asthma, heart disease, and obesity </w:t>
      </w:r>
      <w:r w:rsidRPr="00504C41">
        <w:rPr>
          <w:rStyle w:val="BodyTextChar"/>
          <w:rFonts w:eastAsia="Calibri"/>
        </w:rPr>
        <w:t xml:space="preserve">in situations </w:t>
      </w:r>
      <w:r>
        <w:rPr>
          <w:rStyle w:val="BodyTextChar"/>
          <w:rFonts w:eastAsia="Calibri"/>
        </w:rPr>
        <w:t>characterized by</w:t>
      </w:r>
      <w:r w:rsidRPr="00504C41">
        <w:rPr>
          <w:rStyle w:val="BodyTextChar"/>
          <w:rFonts w:eastAsia="Calibri"/>
        </w:rPr>
        <w:t xml:space="preserve"> limited basic </w:t>
      </w:r>
      <w:r>
        <w:rPr>
          <w:rStyle w:val="BodyTextChar"/>
          <w:rFonts w:eastAsia="Calibri"/>
        </w:rPr>
        <w:t xml:space="preserve">supports </w:t>
      </w:r>
      <w:r w:rsidRPr="00504C41">
        <w:rPr>
          <w:rStyle w:val="BodyTextChar"/>
          <w:rFonts w:eastAsia="Calibri"/>
        </w:rPr>
        <w:t xml:space="preserve">and </w:t>
      </w:r>
      <w:r>
        <w:rPr>
          <w:rStyle w:val="BodyTextChar"/>
          <w:rFonts w:eastAsia="Calibri"/>
        </w:rPr>
        <w:t xml:space="preserve">long-term </w:t>
      </w:r>
      <w:r w:rsidRPr="00504C41">
        <w:rPr>
          <w:rStyle w:val="BodyTextChar"/>
          <w:rFonts w:eastAsia="Calibri"/>
        </w:rPr>
        <w:t>exposure to environmental stressors</w:t>
      </w:r>
      <w:r>
        <w:rPr>
          <w:rStyle w:val="BodyTextChar"/>
          <w:rFonts w:eastAsia="Calibri"/>
        </w:rPr>
        <w:t>.</w:t>
      </w:r>
      <w:r>
        <w:rPr>
          <w:rStyle w:val="EndnoteReference"/>
          <w:rFonts w:cs="Times New Roman"/>
        </w:rPr>
        <w:endnoteReference w:id="4"/>
      </w:r>
      <w:r w:rsidRPr="00504C41">
        <w:rPr>
          <w:rStyle w:val="BodyTextChar"/>
          <w:rFonts w:eastAsia="Calibri"/>
        </w:rPr>
        <w:t xml:space="preserve"> </w:t>
      </w:r>
      <w:r>
        <w:rPr>
          <w:rStyle w:val="BodyTextChar"/>
          <w:rFonts w:eastAsia="Calibri"/>
        </w:rPr>
        <w:t>At the same time, some current public policies and attitudes about disability lead to poverty among people with disabilities. The impact of these public policies and attitudes is illustrated by data showing that 17.5 percent of people with disabilities participate in the workforce compared to 65 percent of people without disabilities, directly resulting in higher rates of poverty for this population.</w:t>
      </w:r>
      <w:r>
        <w:rPr>
          <w:rStyle w:val="EndnoteReference"/>
          <w:rFonts w:cs="Times New Roman"/>
        </w:rPr>
        <w:endnoteReference w:id="5"/>
      </w:r>
      <w:r>
        <w:rPr>
          <w:rStyle w:val="BodyTextChar"/>
          <w:rFonts w:eastAsia="Calibri"/>
        </w:rPr>
        <w:t xml:space="preserve"> </w:t>
      </w:r>
    </w:p>
    <w:p w:rsidR="008C6F97" w:rsidRDefault="008C6F97" w:rsidP="00445A92">
      <w:pPr>
        <w:pStyle w:val="NCDBodyText"/>
        <w:rPr>
          <w:rFonts w:eastAsiaTheme="minorHAnsi" w:cs="Arial"/>
        </w:rPr>
      </w:pPr>
      <w:r>
        <w:t>Public policies like the ADA, the IDEA, and the Rehabilitation Act of 1973 (as amended) set standards for protecting civil rights for people with disabilities so that they may enjoy the benefit of full access and inclusion throughout society. However, people with disabilities often encounter significant</w:t>
      </w:r>
      <w:r w:rsidRPr="00504C41">
        <w:t xml:space="preserve"> obstacles </w:t>
      </w:r>
      <w:r>
        <w:t xml:space="preserve">in their quest toward these goals including </w:t>
      </w:r>
      <w:r>
        <w:rPr>
          <w:rFonts w:eastAsiaTheme="minorHAnsi" w:cs="Arial"/>
        </w:rPr>
        <w:t xml:space="preserve">physical access barriers, lack of available programs, complex relationships between programs and eligibility requirements, and inaccurate perceptions of their capabilities. </w:t>
      </w:r>
    </w:p>
    <w:p w:rsidR="008C6F97" w:rsidRDefault="008C6F97" w:rsidP="00445A92">
      <w:pPr>
        <w:pStyle w:val="NCDBodyText"/>
      </w:pPr>
      <w:r>
        <w:lastRenderedPageBreak/>
        <w:t xml:space="preserve">The complex relationship </w:t>
      </w:r>
      <w:r w:rsidRPr="00504C41">
        <w:t>between poverty and disability</w:t>
      </w:r>
      <w:r>
        <w:t xml:space="preserve"> can lead to </w:t>
      </w:r>
      <w:r w:rsidRPr="00504C41">
        <w:t xml:space="preserve">obstacles </w:t>
      </w:r>
      <w:r>
        <w:t>that affect people with disabilities throughout their lives</w:t>
      </w:r>
      <w:r w:rsidRPr="00504C41">
        <w:t xml:space="preserve">. </w:t>
      </w:r>
      <w:r>
        <w:t xml:space="preserve">For example, </w:t>
      </w:r>
      <w:r w:rsidRPr="00504C41">
        <w:t>students with disabilities often graduate from high school at rates nearly 20 percentage points lower than students without disabilities</w:t>
      </w:r>
      <w:r>
        <w:t>.</w:t>
      </w:r>
      <w:r>
        <w:rPr>
          <w:rStyle w:val="EndnoteReference"/>
        </w:rPr>
        <w:endnoteReference w:id="6"/>
      </w:r>
      <w:r w:rsidRPr="00504C41">
        <w:t xml:space="preserve"> </w:t>
      </w:r>
      <w:r>
        <w:t>P</w:t>
      </w:r>
      <w:r w:rsidRPr="00504C41">
        <w:t xml:space="preserve">ostsecondary education is important for employment, with </w:t>
      </w:r>
      <w:r>
        <w:t xml:space="preserve">estimates indicating that </w:t>
      </w:r>
      <w:r w:rsidRPr="00504C41">
        <w:t>56 percent of workers need at least some co</w:t>
      </w:r>
      <w:r>
        <w:t>llege education for their jobs.</w:t>
      </w:r>
      <w:r>
        <w:rPr>
          <w:rStyle w:val="EndnoteReference"/>
        </w:rPr>
        <w:endnoteReference w:id="7"/>
      </w:r>
      <w:r w:rsidRPr="00504C41">
        <w:t xml:space="preserve"> </w:t>
      </w:r>
      <w:r>
        <w:t>Yet</w:t>
      </w:r>
      <w:r w:rsidRPr="00504C41">
        <w:t xml:space="preserve"> only 55 percent of students with disabilities enroll in postsecondary education</w:t>
      </w:r>
      <w:r>
        <w:t>,</w:t>
      </w:r>
      <w:r w:rsidRPr="00504C41">
        <w:t xml:space="preserve"> compared with 62 percent of</w:t>
      </w:r>
      <w:r>
        <w:t xml:space="preserve"> students without disabilities, while students with disabilities graduate from postsecondary schools at a rate of 38 percent compared to a 41 percent graduation rate for the general population.</w:t>
      </w:r>
      <w:r>
        <w:rPr>
          <w:rStyle w:val="EndnoteReference"/>
        </w:rPr>
        <w:endnoteReference w:id="8"/>
      </w:r>
      <w:r>
        <w:t xml:space="preserve"> Disparities are compounded for people with disabilities who are from diverse backgrounds. For example, only 50.6 percent of African Americans with disabilities enroll in postsecondary education within six years of high school graduation.</w:t>
      </w:r>
      <w:r>
        <w:rPr>
          <w:rStyle w:val="EndnoteReference"/>
        </w:rPr>
        <w:endnoteReference w:id="9"/>
      </w:r>
      <w:r>
        <w:t xml:space="preserve"> Even after obtaining a postsecondary education, people with disabilities earn 38 percent less than their peers without disabilities.</w:t>
      </w:r>
      <w:r>
        <w:rPr>
          <w:rStyle w:val="EndnoteReference"/>
        </w:rPr>
        <w:endnoteReference w:id="10"/>
      </w:r>
      <w:r>
        <w:t xml:space="preserve"> </w:t>
      </w:r>
    </w:p>
    <w:p w:rsidR="008C6F97" w:rsidRDefault="008C6F97" w:rsidP="00445A92">
      <w:pPr>
        <w:pStyle w:val="NCDBodyText"/>
      </w:pPr>
      <w:r>
        <w:t xml:space="preserve">Established public programs seek to address the challenges of poverty and disability. More than 65 percent of the 17.9 million working-age adults with disabilities participate in at least one safety net or income support program such as SSI, SSDI, Medicaid, Medicare, </w:t>
      </w:r>
      <w:r w:rsidRPr="00794CE8">
        <w:t>Supplemental Nutrition Assistance Program</w:t>
      </w:r>
      <w:r>
        <w:t xml:space="preserve"> (SNAP), or Temporary Assistance for Needy Families (TANF), and many participate in multiple programs.</w:t>
      </w:r>
      <w:r>
        <w:fldChar w:fldCharType="begin"/>
      </w:r>
      <w:r>
        <w:instrText xml:space="preserve"> ADDIN EN.CITE &lt;EndNote&gt;&lt;Cite&gt;&lt;Author&gt;Houtenville&lt;/Author&gt;&lt;Year&gt;2014&lt;/Year&gt;&lt;RecNum&gt;177&lt;/RecNum&gt;&lt;DisplayText&gt;&lt;style face="superscript"&gt;8&lt;/style&gt;&lt;/DisplayText&gt;&lt;record&gt;&lt;rec-number&gt;177&lt;/rec-number&gt;&lt;foreign-keys&gt;&lt;key app="EN" db-id="xz25e52t9z5v06etx2i50fpf5aa9tvs0dadd" timestamp="1490903815"&gt;177&lt;/key&gt;&lt;/foreign-keys&gt;&lt;ref-type name="Journal Article"&gt;17&lt;/ref-type&gt;&lt;contributors&gt;&lt;authors&gt;&lt;author&gt;Houtenville, Andrew J.&lt;/author&gt;&lt;author&gt;Brucker, Debra L.&lt;/author&gt;&lt;/authors&gt;&lt;/contributors&gt;&lt;titles&gt;&lt;title&gt;Participation in Safety-Net Programs and the Utilization of Employment Services Among Working-Age Persons With Disabilities&lt;/title&gt;&lt;secondary-title&gt;Journal of Disability Policy Studies&lt;/secondary-title&gt;&lt;/titles&gt;&lt;periodical&gt;&lt;full-title&gt;Journal of Disability Policy Studies&lt;/full-title&gt;&lt;/periodical&gt;&lt;pages&gt;91–105&lt;/pages&gt;&lt;volume&gt;25&lt;/volume&gt;&lt;number&gt;2&lt;/number&gt;&lt;dates&gt;&lt;year&gt;2014&lt;/year&gt;&lt;/dates&gt;&lt;isbn&gt;1044-2073&lt;/isbn&gt;&lt;urls&gt;&lt;/urls&gt;&lt;/record&gt;&lt;/Cite&gt;&lt;/EndNote&gt;</w:instrText>
      </w:r>
      <w:r>
        <w:fldChar w:fldCharType="separate"/>
      </w:r>
      <w:r>
        <w:rPr>
          <w:rStyle w:val="EndnoteReference"/>
        </w:rPr>
        <w:endnoteReference w:id="11"/>
      </w:r>
      <w:r>
        <w:fldChar w:fldCharType="end"/>
      </w:r>
      <w:r>
        <w:t xml:space="preserve"> They may also get job search support from the vocational rehabilitation system, the DOL’s Office of Workforce Investment, or their state’s developmental disabilities or mental health systems. However, these programs are not well integrated with each other and may work at cross purposes. Although some programs support work goals, other programs penalize people with disabilities who attempt to find work by basing access to housing, food, and medical care on maintaining a very low income.</w:t>
      </w:r>
    </w:p>
    <w:p w:rsidR="008C6F97" w:rsidRPr="00B90D1B" w:rsidRDefault="008C6F97" w:rsidP="002E124F">
      <w:pPr>
        <w:pStyle w:val="NCDBodyText"/>
        <w:spacing w:after="360"/>
      </w:pPr>
      <w:bookmarkStart w:id="46" w:name="_Toc478320929"/>
      <w:r w:rsidRPr="00B90D1B">
        <w:t>Similarly, some existing policies may interact with needed public services in ways that perpetuate a cycle of poverty among people with disabilities. The lack of health insurance coverage, long-term supports and services, and reliable transportation can hinder participation in the labor force, thus disconnecting people with disabilities from the primary strategy (i.e., employment) that is most effective in combating poverty.</w:t>
      </w:r>
      <w:r w:rsidRPr="00B90D1B">
        <w:rPr>
          <w:rStyle w:val="EndnoteReference"/>
          <w:rFonts w:cs="Arial"/>
        </w:rPr>
        <w:endnoteReference w:id="12"/>
      </w:r>
      <w:bookmarkEnd w:id="46"/>
      <w:r w:rsidRPr="00B90D1B">
        <w:t xml:space="preserve"> </w:t>
      </w:r>
      <w:r w:rsidRPr="00B90D1B">
        <w:lastRenderedPageBreak/>
        <w:t>Policies intended to economically support people with disabilities must consider both the opportunities and barriers to public assistance so that effective and improved programs can be put into place to create a better path to economic self-sufficiency.</w:t>
      </w:r>
      <w:r>
        <w:t xml:space="preserve"> This is imperative if people with disabilities are to achieve independent living and inclusion in all aspects of society.</w:t>
      </w:r>
    </w:p>
    <w:tbl>
      <w:tblPr>
        <w:tblStyle w:val="TableGrid"/>
        <w:tblW w:w="9350" w:type="dxa"/>
        <w:shd w:val="clear" w:color="auto" w:fill="C6D9F1"/>
        <w:tblLook w:val="04A0" w:firstRow="1" w:lastRow="0" w:firstColumn="1" w:lastColumn="0" w:noHBand="0" w:noVBand="1"/>
        <w:tblDescription w:val="BOX TEXT"/>
      </w:tblPr>
      <w:tblGrid>
        <w:gridCol w:w="9350"/>
      </w:tblGrid>
      <w:tr w:rsidR="008C6F97" w:rsidTr="000F7AF9">
        <w:trPr>
          <w:tblHeader/>
        </w:trPr>
        <w:tc>
          <w:tcPr>
            <w:tcW w:w="9350" w:type="dxa"/>
            <w:shd w:val="clear" w:color="auto" w:fill="C6D9F1"/>
          </w:tcPr>
          <w:p w:rsidR="008C6F97" w:rsidRDefault="008C6F97" w:rsidP="002E124F">
            <w:pPr>
              <w:pStyle w:val="NCDResourcesBoxHeader"/>
              <w:spacing w:before="240"/>
            </w:pPr>
            <w:proofErr w:type="spellStart"/>
            <w:r>
              <w:t>Cinda’s</w:t>
            </w:r>
            <w:proofErr w:type="spellEnd"/>
            <w:r>
              <w:t xml:space="preserve"> Story</w:t>
            </w:r>
          </w:p>
          <w:p w:rsidR="008C6F97" w:rsidRPr="00FE4B74" w:rsidRDefault="008C6F97" w:rsidP="002A3282">
            <w:pPr>
              <w:pStyle w:val="NCDBodyText"/>
              <w:spacing w:after="200"/>
              <w:rPr>
                <w:b/>
                <w:i/>
              </w:rPr>
            </w:pPr>
            <w:r w:rsidRPr="00FE4B74">
              <w:rPr>
                <w:b/>
                <w:i/>
              </w:rPr>
              <w:t>What kind of supports do people with disabilities need to achieve economic self-sufficiency? Consider this example:</w:t>
            </w:r>
          </w:p>
          <w:p w:rsidR="008C6F97" w:rsidRPr="002A3282" w:rsidRDefault="008C6F97" w:rsidP="002E124F">
            <w:pPr>
              <w:pStyle w:val="NCDBodyText"/>
              <w:rPr>
                <w:b/>
                <w:spacing w:val="-4"/>
                <w:lang w:val="en"/>
              </w:rPr>
            </w:pPr>
            <w:proofErr w:type="spellStart"/>
            <w:r w:rsidRPr="002A3282">
              <w:rPr>
                <w:spacing w:val="-4"/>
              </w:rPr>
              <w:t>Cinda</w:t>
            </w:r>
            <w:proofErr w:type="spellEnd"/>
            <w:r w:rsidRPr="002A3282">
              <w:rPr>
                <w:spacing w:val="-4"/>
              </w:rPr>
              <w:t xml:space="preserve">, 55, has been quadriplegic since birth. She lives in Alexandria, Virginia. She currently works part-time with a contracting firm to conduct training and makes $36,000 per year. </w:t>
            </w:r>
            <w:proofErr w:type="spellStart"/>
            <w:r w:rsidRPr="002A3282">
              <w:rPr>
                <w:spacing w:val="-4"/>
              </w:rPr>
              <w:t>Cinda</w:t>
            </w:r>
            <w:proofErr w:type="spellEnd"/>
            <w:r w:rsidRPr="002A3282">
              <w:rPr>
                <w:spacing w:val="-4"/>
              </w:rPr>
              <w:t xml:space="preserve"> uses a power wheelchair to get around and has a personal care assistant to help with her daily living needs. Her power wheelchair costs $30,000 and needs to be replaced every four to five years. Additionally, ongoing needed repairs to her power wheelchair cost $1,900 per year. She is currently uninsured, so she pays for all her wheelchair repairs out of pocket. She does not qualify for Medicaid because her income is too high. She also pays $500 per month for a family member to serve as her personal care attendant. </w:t>
            </w:r>
            <w:proofErr w:type="spellStart"/>
            <w:r w:rsidRPr="002A3282">
              <w:rPr>
                <w:spacing w:val="-4"/>
              </w:rPr>
              <w:t>Cinda</w:t>
            </w:r>
            <w:proofErr w:type="spellEnd"/>
            <w:r w:rsidRPr="002A3282">
              <w:rPr>
                <w:spacing w:val="-4"/>
              </w:rPr>
              <w:t xml:space="preserve"> completed three years of college, but she was unable to finish college because she frequently missed classes because of her personal care attendants showing up late or not showing up at all. She received $700 per month in SSI from age 14 to 32, but her SSI payments stopped as soon as she began earning a living wage. Additional costs for </w:t>
            </w:r>
            <w:proofErr w:type="spellStart"/>
            <w:r w:rsidRPr="002A3282">
              <w:rPr>
                <w:spacing w:val="-4"/>
              </w:rPr>
              <w:t>Cinda</w:t>
            </w:r>
            <w:proofErr w:type="spellEnd"/>
            <w:r w:rsidRPr="002A3282">
              <w:rPr>
                <w:spacing w:val="-4"/>
              </w:rPr>
              <w:t xml:space="preserve"> include $60</w:t>
            </w:r>
            <w:r w:rsidRPr="002A3282">
              <w:rPr>
                <w:rFonts w:cs="Arial"/>
                <w:spacing w:val="-4"/>
              </w:rPr>
              <w:t xml:space="preserve"> to $</w:t>
            </w:r>
            <w:r w:rsidRPr="002A3282">
              <w:rPr>
                <w:spacing w:val="-4"/>
              </w:rPr>
              <w:t xml:space="preserve">80 per month for public transportation and $1,560 per month in rent, which she only can afford with help from her church. She does not live in an accessible apartment because it would cost an extra $500 per month. </w:t>
            </w:r>
            <w:proofErr w:type="spellStart"/>
            <w:r w:rsidRPr="002A3282">
              <w:rPr>
                <w:spacing w:val="-4"/>
              </w:rPr>
              <w:t>Cinda</w:t>
            </w:r>
            <w:proofErr w:type="spellEnd"/>
            <w:r w:rsidRPr="002A3282">
              <w:rPr>
                <w:spacing w:val="-4"/>
              </w:rPr>
              <w:t xml:space="preserve"> has never had a savings account because her day-to-day costs related to her disability regularly exceed her income.</w:t>
            </w:r>
          </w:p>
        </w:tc>
      </w:tr>
    </w:tbl>
    <w:p w:rsidR="008C6F97" w:rsidRPr="00CB2D1C" w:rsidRDefault="008C6F97" w:rsidP="002E124F">
      <w:pPr>
        <w:pStyle w:val="NCDBodyText"/>
        <w:spacing w:before="360"/>
        <w:rPr>
          <w:rStyle w:val="BodyTextChar"/>
          <w:rFonts w:ascii="Calibri" w:eastAsia="Calibri" w:hAnsi="Calibri" w:cs="Calibri"/>
          <w:bdr w:val="none" w:sz="0" w:space="0" w:color="auto"/>
        </w:rPr>
      </w:pPr>
      <w:r w:rsidRPr="00CB2D1C">
        <w:t>To fully understand how to modify existing programs and create new ones</w:t>
      </w:r>
      <w:r>
        <w:t xml:space="preserve"> that can address the disability-poverty link</w:t>
      </w:r>
      <w:r w:rsidRPr="00CB2D1C">
        <w:t xml:space="preserve">, it is helpful to understand the history of poverty measures and how these measures affect supports for people with disabilities. The </w:t>
      </w:r>
      <w:r w:rsidRPr="00CB2D1C">
        <w:lastRenderedPageBreak/>
        <w:t>official measure of poverty</w:t>
      </w:r>
      <w:r>
        <w:t xml:space="preserve"> in the United States</w:t>
      </w:r>
      <w:r w:rsidRPr="00CB2D1C">
        <w:t xml:space="preserve"> was developed in the 1960s. It estimates poverty rates by looking at an individual’s or a family’s cash income from wages, salaries, or Social Security benefits or interest. The amount of cash income that people have is then used to calculate the poverty line. Specifically, the poverty line is based on the minimum level of cash resources people would need to meet their basic needs. In the official poverty measure, basic needs are measured </w:t>
      </w:r>
      <w:r>
        <w:t>by a formula that calculates</w:t>
      </w:r>
      <w:r w:rsidRPr="00CB2D1C">
        <w:t xml:space="preserve"> three times the cost of a minimum diet in 1963, adjusted for current prices</w:t>
      </w:r>
      <w:r>
        <w:t>.</w:t>
      </w:r>
      <w:r>
        <w:rPr>
          <w:rStyle w:val="EndnoteReference"/>
        </w:rPr>
        <w:endnoteReference w:id="13"/>
      </w:r>
      <w:r w:rsidRPr="00CB2D1C">
        <w:t xml:space="preserve"> In 2016, the poverty line for a family of four was $24,300</w:t>
      </w:r>
      <w:r>
        <w:t>.</w:t>
      </w:r>
      <w:r>
        <w:rPr>
          <w:rStyle w:val="EndnoteReference"/>
        </w:rPr>
        <w:endnoteReference w:id="14"/>
      </w:r>
      <w:r w:rsidRPr="00CB2D1C">
        <w:t xml:space="preserve"> </w:t>
      </w:r>
      <w:r>
        <w:t>T</w:t>
      </w:r>
      <w:r w:rsidRPr="00CB2D1C">
        <w:t xml:space="preserve">his definition of poverty is used </w:t>
      </w:r>
      <w:r>
        <w:t xml:space="preserve">most often </w:t>
      </w:r>
      <w:r w:rsidRPr="00CB2D1C">
        <w:t>to determine eligibility for participation in public programs</w:t>
      </w:r>
      <w:r w:rsidRPr="00CB2D1C">
        <w:rPr>
          <w:rStyle w:val="BodyTextChar"/>
          <w:rFonts w:eastAsia="Calibri" w:cs="Calibri"/>
        </w:rPr>
        <w:t>.</w:t>
      </w:r>
    </w:p>
    <w:p w:rsidR="008C6F97" w:rsidRPr="00CB2D1C" w:rsidRDefault="008C6F97" w:rsidP="00445A92">
      <w:pPr>
        <w:pStyle w:val="NCDBodyText"/>
      </w:pPr>
      <w:r w:rsidRPr="00CB2D1C">
        <w:rPr>
          <w:rStyle w:val="BodyTextChar"/>
          <w:rFonts w:eastAsia="Calibri" w:cs="Calibri"/>
        </w:rPr>
        <w:t xml:space="preserve">However, </w:t>
      </w:r>
      <w:proofErr w:type="spellStart"/>
      <w:r>
        <w:t>Cinda’s</w:t>
      </w:r>
      <w:proofErr w:type="spellEnd"/>
      <w:r>
        <w:t xml:space="preserve"> story highlights how the basic needs for people with disabilities go beyond what is covered in the official U.S. definition of poverty.</w:t>
      </w:r>
      <w:r w:rsidRPr="00CB2D1C">
        <w:rPr>
          <w:rStyle w:val="BodyTextChar"/>
          <w:rFonts w:eastAsia="Calibri" w:cs="Calibri"/>
        </w:rPr>
        <w:t xml:space="preserve"> </w:t>
      </w:r>
      <w:r>
        <w:rPr>
          <w:rStyle w:val="BodyTextChar"/>
          <w:rFonts w:eastAsia="Calibri" w:cs="Calibri"/>
        </w:rPr>
        <w:t xml:space="preserve">In addition, </w:t>
      </w:r>
      <w:r w:rsidRPr="00CB2D1C">
        <w:rPr>
          <w:rStyle w:val="BodyTextChar"/>
          <w:rFonts w:eastAsia="Calibri" w:cs="Calibri"/>
        </w:rPr>
        <w:t>the official U</w:t>
      </w:r>
      <w:r>
        <w:rPr>
          <w:rStyle w:val="BodyTextChar"/>
          <w:rFonts w:eastAsia="Calibri" w:cs="Calibri"/>
        </w:rPr>
        <w:t>.</w:t>
      </w:r>
      <w:r w:rsidRPr="00CB2D1C">
        <w:rPr>
          <w:rStyle w:val="BodyTextChar"/>
          <w:rFonts w:eastAsia="Calibri" w:cs="Calibri"/>
        </w:rPr>
        <w:t>S</w:t>
      </w:r>
      <w:r>
        <w:rPr>
          <w:rStyle w:val="BodyTextChar"/>
          <w:rFonts w:eastAsia="Calibri" w:cs="Calibri"/>
        </w:rPr>
        <w:t>. </w:t>
      </w:r>
      <w:r w:rsidRPr="00CB2D1C">
        <w:rPr>
          <w:rStyle w:val="BodyTextChar"/>
          <w:rFonts w:eastAsia="Calibri" w:cs="Calibri"/>
        </w:rPr>
        <w:t xml:space="preserve">definition </w:t>
      </w:r>
      <w:r>
        <w:rPr>
          <w:rStyle w:val="BodyTextChar"/>
          <w:rFonts w:eastAsia="Calibri" w:cs="Calibri"/>
        </w:rPr>
        <w:t>of poverty does</w:t>
      </w:r>
      <w:r w:rsidRPr="00CB2D1C">
        <w:rPr>
          <w:rStyle w:val="BodyTextChar"/>
          <w:rFonts w:eastAsia="Calibri" w:cs="Calibri"/>
        </w:rPr>
        <w:t xml:space="preserve"> not account for geographic differences in </w:t>
      </w:r>
      <w:r>
        <w:rPr>
          <w:rStyle w:val="BodyTextChar"/>
          <w:rFonts w:eastAsia="Calibri" w:cs="Calibri"/>
        </w:rPr>
        <w:t xml:space="preserve">the </w:t>
      </w:r>
      <w:r w:rsidRPr="00CB2D1C">
        <w:rPr>
          <w:rStyle w:val="BodyTextChar"/>
          <w:rFonts w:eastAsia="Calibri" w:cs="Calibri"/>
        </w:rPr>
        <w:t xml:space="preserve">cost </w:t>
      </w:r>
      <w:r>
        <w:rPr>
          <w:rStyle w:val="BodyTextChar"/>
          <w:rFonts w:eastAsia="Calibri" w:cs="Calibri"/>
        </w:rPr>
        <w:t>of</w:t>
      </w:r>
      <w:r w:rsidRPr="00CB2D1C">
        <w:rPr>
          <w:rStyle w:val="BodyTextChar"/>
          <w:rFonts w:eastAsia="Calibri" w:cs="Calibri"/>
        </w:rPr>
        <w:t xml:space="preserve"> food, housing, </w:t>
      </w:r>
      <w:r>
        <w:rPr>
          <w:rStyle w:val="BodyTextChar"/>
          <w:rFonts w:eastAsia="Calibri" w:cs="Calibri"/>
        </w:rPr>
        <w:t xml:space="preserve">or </w:t>
      </w:r>
      <w:r w:rsidRPr="00CB2D1C">
        <w:rPr>
          <w:rStyle w:val="BodyTextChar"/>
          <w:rFonts w:eastAsia="Calibri" w:cs="Calibri"/>
        </w:rPr>
        <w:t>utilities</w:t>
      </w:r>
      <w:r>
        <w:rPr>
          <w:rStyle w:val="BodyTextChar"/>
          <w:rFonts w:eastAsia="Calibri" w:cs="Calibri"/>
        </w:rPr>
        <w:t xml:space="preserve"> or the value of public benefits</w:t>
      </w:r>
      <w:r w:rsidRPr="00CB2D1C">
        <w:rPr>
          <w:rStyle w:val="BodyTextChar"/>
          <w:rFonts w:eastAsia="Calibri" w:cs="Calibri"/>
        </w:rPr>
        <w:t xml:space="preserve">. As a result, an </w:t>
      </w:r>
      <w:r w:rsidRPr="00CB2D1C">
        <w:t xml:space="preserve">interagency technical working group that includes the </w:t>
      </w:r>
      <w:r>
        <w:t xml:space="preserve">U.S. </w:t>
      </w:r>
      <w:r w:rsidRPr="00CB2D1C">
        <w:t>Census Bureau and the Bureau of Labor Statistics developed a supplemental poverty measure</w:t>
      </w:r>
      <w:r>
        <w:t>.</w:t>
      </w:r>
      <w:r>
        <w:rPr>
          <w:rStyle w:val="EndnoteReference"/>
        </w:rPr>
        <w:endnoteReference w:id="15"/>
      </w:r>
      <w:r w:rsidRPr="00CB2D1C">
        <w:t xml:space="preserve"> </w:t>
      </w:r>
      <w:r>
        <w:t xml:space="preserve">The working group defined poverty as the lack of economic resources for the consumption of basic needs. </w:t>
      </w:r>
      <w:r w:rsidRPr="00CB2D1C">
        <w:t xml:space="preserve">This supplemental </w:t>
      </w:r>
      <w:r>
        <w:t>poverty</w:t>
      </w:r>
      <w:r w:rsidRPr="00CB2D1C">
        <w:t xml:space="preserve"> measure considers the value of cash income from all sources plus the value of nutritional assistance, subsidized housing, and home energy assistance. The supplemental poverty measure subtracts expenses like income taxes, </w:t>
      </w:r>
      <w:r>
        <w:t>S</w:t>
      </w:r>
      <w:r w:rsidRPr="00CB2D1C">
        <w:t xml:space="preserve">ocial </w:t>
      </w:r>
      <w:r>
        <w:t>S</w:t>
      </w:r>
      <w:r w:rsidRPr="00CB2D1C">
        <w:t xml:space="preserve">ecurity payroll taxes, child care and other work-related expenses, child support payments to another household, and contributions toward the </w:t>
      </w:r>
      <w:r>
        <w:t xml:space="preserve">out-of-pocket </w:t>
      </w:r>
      <w:r w:rsidRPr="00CB2D1C">
        <w:t>cost</w:t>
      </w:r>
      <w:r>
        <w:t>s</w:t>
      </w:r>
      <w:r w:rsidRPr="00CB2D1C">
        <w:t xml:space="preserve"> </w:t>
      </w:r>
      <w:r>
        <w:t>for</w:t>
      </w:r>
      <w:r w:rsidRPr="00CB2D1C">
        <w:t xml:space="preserve"> </w:t>
      </w:r>
      <w:r w:rsidRPr="00C64C47">
        <w:t>medical care</w:t>
      </w:r>
      <w:r w:rsidRPr="00CB2D1C">
        <w:t xml:space="preserve"> and health insurance premiums.</w:t>
      </w:r>
    </w:p>
    <w:p w:rsidR="008C6F97" w:rsidRPr="002E124F" w:rsidRDefault="008C6F97" w:rsidP="002E124F">
      <w:pPr>
        <w:pStyle w:val="NCDBodyText"/>
      </w:pPr>
      <w:r w:rsidRPr="002E124F">
        <w:t xml:space="preserve">Unfortunately, neither poverty definition addresses the additional costs associated with having a disability as described in </w:t>
      </w:r>
      <w:proofErr w:type="spellStart"/>
      <w:r w:rsidRPr="002E124F">
        <w:t>Cinda’s</w:t>
      </w:r>
      <w:proofErr w:type="spellEnd"/>
      <w:r w:rsidRPr="002E124F">
        <w:t xml:space="preserve"> story, such as medical care, accessible transportation, home modifications, and personal assistants. One recent study estimated that 40 percent of people with disabilities experience material hardship because of the extra costs of living with a disability.</w:t>
      </w:r>
      <w:r w:rsidRPr="002E124F">
        <w:rPr>
          <w:vertAlign w:val="superscript"/>
        </w:rPr>
        <w:endnoteReference w:id="16"/>
      </w:r>
      <w:r w:rsidRPr="002E124F">
        <w:t xml:space="preserve"> Such material hardship means that many people with disabilities cannot meet daily living expenses, do not experience sustained food security, are unable to get needed medical care, or live in housing that is below acceptable housing quality standards.</w:t>
      </w:r>
      <w:r w:rsidRPr="002E124F">
        <w:rPr>
          <w:vertAlign w:val="superscript"/>
        </w:rPr>
        <w:endnoteReference w:id="17"/>
      </w:r>
    </w:p>
    <w:p w:rsidR="008C6F97" w:rsidRPr="00CB2D1C" w:rsidRDefault="008C6F97" w:rsidP="002E124F">
      <w:pPr>
        <w:pStyle w:val="NCDBodyText"/>
      </w:pPr>
      <w:bookmarkStart w:id="47" w:name="_Toc478320932"/>
      <w:r w:rsidRPr="002E124F">
        <w:rPr>
          <w:b/>
        </w:rPr>
        <w:lastRenderedPageBreak/>
        <w:t>NCD recommends that Congress continue investment in the U.S. Census Bureau’s development of the supplemental poverty measure and annual report to ensure an adequate assessment of how the cost of necessary expenses that people with disabilities face (like medical or long-term services and support expenses) affects their opportunities and ability to achieve economic self-sufficiency.</w:t>
      </w:r>
      <w:r w:rsidRPr="00D37C28">
        <w:rPr>
          <w:rStyle w:val="BodyTextChar"/>
          <w:rFonts w:eastAsia="Calibri" w:cs="Calibri"/>
          <w:b/>
        </w:rPr>
        <w:t xml:space="preserve"> </w:t>
      </w:r>
      <w:r w:rsidRPr="00CB2D1C">
        <w:t>People with disabilities tend to have higher unmet basic needs than people without disabilities. Basic needs include adequate education, health care</w:t>
      </w:r>
      <w:r>
        <w:t>, long-term services and supports</w:t>
      </w:r>
      <w:r w:rsidRPr="00CB2D1C">
        <w:t>, technology, housing, and transportation. People with disabilities may need medications, home health care, personal care attendants, and assistive technologies. A new definition of poverty</w:t>
      </w:r>
      <w:r>
        <w:t xml:space="preserve"> </w:t>
      </w:r>
      <w:r w:rsidRPr="00CB2D1C">
        <w:t xml:space="preserve">could help </w:t>
      </w:r>
      <w:r>
        <w:t>highlight the financial challenges facing</w:t>
      </w:r>
      <w:r w:rsidRPr="00CB2D1C">
        <w:t xml:space="preserve"> people with disabilities</w:t>
      </w:r>
      <w:r>
        <w:t xml:space="preserve"> and</w:t>
      </w:r>
      <w:r w:rsidRPr="00CB2D1C">
        <w:t xml:space="preserve"> </w:t>
      </w:r>
      <w:r>
        <w:t>influence changes in policy</w:t>
      </w:r>
      <w:r w:rsidRPr="00CB2D1C">
        <w:t xml:space="preserve">. </w:t>
      </w:r>
      <w:r w:rsidRPr="0033789A">
        <w:t xml:space="preserve">Changes to the definition of poverty in existing policies </w:t>
      </w:r>
      <w:r w:rsidRPr="00F44338">
        <w:t>could give people with disabilities a better chance of having enough resources to achieve economic self-sufficiency</w:t>
      </w:r>
      <w:r w:rsidRPr="00CB2D1C">
        <w:t xml:space="preserve">. </w:t>
      </w:r>
    </w:p>
    <w:p w:rsidR="008C6F97" w:rsidRDefault="008C6F97" w:rsidP="00445A92">
      <w:pPr>
        <w:pStyle w:val="NCDBodyText"/>
        <w:rPr>
          <w:rFonts w:cs="Arial"/>
        </w:rPr>
      </w:pPr>
      <w:r>
        <w:rPr>
          <w:rFonts w:cs="Arial"/>
        </w:rPr>
        <w:t>F</w:t>
      </w:r>
      <w:r>
        <w:t xml:space="preserve">or people with disabilities, poverty affects all areas of life from access to education, employment, health </w:t>
      </w:r>
      <w:proofErr w:type="gramStart"/>
      <w:r>
        <w:t>care,</w:t>
      </w:r>
      <w:proofErr w:type="gramEnd"/>
      <w:r>
        <w:t xml:space="preserve"> and long-term services and supports to housing and transportation. To provide people with disabilities with every opportunity to achieve economic self-sufficiency and independence requires an understanding of the interconnected nature of poverty and the barriers that people with disabilities experience across these areas. There is an urgent need to look at which policies and practices work and which do not and how existing programmatic structures can be improved to better meet the needs of people with disabilities. </w:t>
      </w:r>
    </w:p>
    <w:p w:rsidR="008C6F97" w:rsidRDefault="008C6F97" w:rsidP="002E124F">
      <w:pPr>
        <w:pStyle w:val="Heading2"/>
      </w:pPr>
      <w:bookmarkStart w:id="48" w:name="_Toc493507469"/>
      <w:bookmarkStart w:id="49" w:name="_Toc493596670"/>
      <w:r>
        <w:t xml:space="preserve">The 2017 NCD </w:t>
      </w:r>
      <w:r w:rsidRPr="002E124F">
        <w:rPr>
          <w:i/>
        </w:rPr>
        <w:t>Progress Report</w:t>
      </w:r>
      <w:bookmarkEnd w:id="48"/>
      <w:bookmarkEnd w:id="49"/>
    </w:p>
    <w:bookmarkEnd w:id="47"/>
    <w:p w:rsidR="008C6F97" w:rsidRDefault="008C6F97" w:rsidP="00445A92">
      <w:pPr>
        <w:pStyle w:val="NCDBodyText"/>
      </w:pPr>
      <w:r>
        <w:t xml:space="preserve">NCD affirms </w:t>
      </w:r>
      <w:r w:rsidRPr="00504C41">
        <w:t xml:space="preserve">the need to reorient public policies and programs </w:t>
      </w:r>
      <w:r>
        <w:t xml:space="preserve">in order </w:t>
      </w:r>
      <w:r w:rsidRPr="00504C41">
        <w:t>to dismantl</w:t>
      </w:r>
      <w:r>
        <w:t>e</w:t>
      </w:r>
      <w:r w:rsidRPr="00504C41">
        <w:t xml:space="preserve"> the poverty trap associated with disability and public program participation. </w:t>
      </w:r>
      <w:r>
        <w:t>This need is reflected throughout this report, which focuses on how existing public policies and programs are designed to help people with disabilities achieve economic self-sufficiency but often create barriers that impede upward mobility for this population.</w:t>
      </w:r>
    </w:p>
    <w:p w:rsidR="008C6F97" w:rsidRDefault="008C6F97" w:rsidP="00445A92">
      <w:pPr>
        <w:pStyle w:val="NCDBodyText"/>
      </w:pPr>
      <w:r>
        <w:t xml:space="preserve">The 2017 </w:t>
      </w:r>
      <w:r w:rsidRPr="00750B98">
        <w:rPr>
          <w:i/>
        </w:rPr>
        <w:t>Progress Report</w:t>
      </w:r>
      <w:r>
        <w:t xml:space="preserve"> benefited from the input of people with disabilities who have experience with the policies and programs that provide economic support. NCD solicited </w:t>
      </w:r>
      <w:r>
        <w:lastRenderedPageBreak/>
        <w:t xml:space="preserve">these perspectives through focus groups with people with a variety of disabilities. Select responses from focus group participants appear throughout the report to illustrate the effects of poverty and disability. A synthesis of the focus group discussions appears in Appendix A. </w:t>
      </w:r>
    </w:p>
    <w:p w:rsidR="008C6F97" w:rsidRDefault="008C6F97" w:rsidP="00445A92">
      <w:pPr>
        <w:pStyle w:val="NCDBodyText"/>
      </w:pPr>
      <w:r>
        <w:t xml:space="preserve">The 2017 </w:t>
      </w:r>
      <w:r w:rsidRPr="007B6DDD">
        <w:rPr>
          <w:i/>
        </w:rPr>
        <w:t>Progress Report</w:t>
      </w:r>
      <w:r>
        <w:t xml:space="preserve"> updates the Administration and Congress on policy issues related to people with disabilities and those related to poverty. NCD expects the 2017 </w:t>
      </w:r>
      <w:r w:rsidRPr="007B6DDD">
        <w:rPr>
          <w:i/>
        </w:rPr>
        <w:t>Progress Report</w:t>
      </w:r>
      <w:r>
        <w:t xml:space="preserve"> also to be relevant to people with disabilities and advocates who have direct experience with both the challenges of poverty and opportunities for economic self-sufficiency. Uses for the report include:</w:t>
      </w:r>
    </w:p>
    <w:p w:rsidR="008C6F97" w:rsidRPr="002E124F" w:rsidRDefault="008C6F97" w:rsidP="002E124F">
      <w:pPr>
        <w:pStyle w:val="NCDBulletsLevel1"/>
      </w:pPr>
      <w:r w:rsidRPr="002E124F">
        <w:t xml:space="preserve">Providing insight and guidance to federal policymakers on reauthorizing existing legislation and initiating and supporting new legislation. </w:t>
      </w:r>
    </w:p>
    <w:p w:rsidR="008C6F97" w:rsidRPr="002E124F" w:rsidRDefault="008C6F97" w:rsidP="002E124F">
      <w:pPr>
        <w:pStyle w:val="NCDBulletsLevel1"/>
      </w:pPr>
      <w:r w:rsidRPr="002E124F">
        <w:t>Giving federal policymakers a deeper understanding of the challenges people with disabilities face while also clarifying and reversing stereotypes and misinformation about people with disabilities.</w:t>
      </w:r>
    </w:p>
    <w:p w:rsidR="008C6F97" w:rsidRPr="00A45129" w:rsidRDefault="008C6F97" w:rsidP="002E124F">
      <w:pPr>
        <w:pStyle w:val="NCDBulletsLevel1"/>
      </w:pPr>
      <w:r w:rsidRPr="002E124F">
        <w:t>Providing ideas and opportunities to federal policymakers, employers,</w:t>
      </w:r>
      <w:r w:rsidRPr="002E124F" w:rsidDel="008364BF">
        <w:t xml:space="preserve"> </w:t>
      </w:r>
      <w:r w:rsidRPr="002E124F">
        <w:t>and people with disabilities to initiate new policies or amend existing policies to increase the number of people with disabilities</w:t>
      </w:r>
      <w:r w:rsidRPr="00A45129">
        <w:t xml:space="preserve"> in the workplace, leading to economic self-sufficiency for this population.</w:t>
      </w:r>
    </w:p>
    <w:p w:rsidR="008C6F97" w:rsidRDefault="008C6F97" w:rsidP="00445A92">
      <w:pPr>
        <w:pStyle w:val="NCDBodyText"/>
      </w:pPr>
      <w:r>
        <w:t xml:space="preserve">Appendix B includes an overview of select policies and programs and the way they apply to poverty and disability throughout the 2017 </w:t>
      </w:r>
      <w:r w:rsidRPr="003D09AD">
        <w:rPr>
          <w:i/>
        </w:rPr>
        <w:t>Progress Report</w:t>
      </w:r>
      <w:r>
        <w:t xml:space="preserve">. Appendix C </w:t>
      </w:r>
      <w:r w:rsidRPr="00DD3BF4">
        <w:t xml:space="preserve">contains </w:t>
      </w:r>
      <w:r>
        <w:t>select</w:t>
      </w:r>
      <w:r w:rsidRPr="00DD3BF4">
        <w:t xml:space="preserve"> NCD </w:t>
      </w:r>
      <w:r>
        <w:t>resources</w:t>
      </w:r>
      <w:r w:rsidRPr="00DD3BF4">
        <w:t xml:space="preserve"> that address</w:t>
      </w:r>
      <w:r>
        <w:t xml:space="preserve"> the topics discussed in this report. </w:t>
      </w:r>
    </w:p>
    <w:p w:rsidR="008C6F97" w:rsidRDefault="008C6F97" w:rsidP="00445A92">
      <w:r>
        <w:br w:type="page"/>
      </w:r>
    </w:p>
    <w:p w:rsidR="008C6F97" w:rsidRDefault="008C6F97" w:rsidP="002E124F">
      <w:pPr>
        <w:pStyle w:val="Heading1"/>
      </w:pPr>
      <w:bookmarkStart w:id="50" w:name="_Toc472950635"/>
      <w:bookmarkStart w:id="51" w:name="_Toc478555110"/>
      <w:bookmarkStart w:id="52" w:name="_Toc493596671"/>
      <w:r w:rsidRPr="00C11F46">
        <w:lastRenderedPageBreak/>
        <w:t xml:space="preserve">Chapter 1: How </w:t>
      </w:r>
      <w:r>
        <w:t>P</w:t>
      </w:r>
      <w:r w:rsidRPr="00C11F46">
        <w:t xml:space="preserve">ublic </w:t>
      </w:r>
      <w:r>
        <w:t>P</w:t>
      </w:r>
      <w:r w:rsidRPr="00C11F46">
        <w:t xml:space="preserve">olicies, </w:t>
      </w:r>
      <w:r>
        <w:t>P</w:t>
      </w:r>
      <w:r w:rsidRPr="00C11F46">
        <w:t xml:space="preserve">rograms, and </w:t>
      </w:r>
      <w:r>
        <w:t>P</w:t>
      </w:r>
      <w:r w:rsidRPr="00C11F46">
        <w:t xml:space="preserve">ractices </w:t>
      </w:r>
      <w:r>
        <w:t>H</w:t>
      </w:r>
      <w:r w:rsidRPr="00C11F46">
        <w:t xml:space="preserve">elp </w:t>
      </w:r>
      <w:r>
        <w:t>P</w:t>
      </w:r>
      <w:r w:rsidRPr="00C11F46">
        <w:t xml:space="preserve">eople </w:t>
      </w:r>
      <w:r>
        <w:t>with</w:t>
      </w:r>
      <w:r w:rsidRPr="00C11F46">
        <w:t xml:space="preserve"> </w:t>
      </w:r>
      <w:r>
        <w:t>D</w:t>
      </w:r>
      <w:r w:rsidRPr="00C11F46">
        <w:t xml:space="preserve">isabilities </w:t>
      </w:r>
      <w:r>
        <w:t>A</w:t>
      </w:r>
      <w:r w:rsidRPr="00C11F46">
        <w:t xml:space="preserve">chieve </w:t>
      </w:r>
      <w:r>
        <w:t>E</w:t>
      </w:r>
      <w:r w:rsidRPr="00C11F46">
        <w:t xml:space="preserve">conomic </w:t>
      </w:r>
      <w:r>
        <w:t>S</w:t>
      </w:r>
      <w:r w:rsidRPr="00C11F46">
        <w:t>elf-</w:t>
      </w:r>
      <w:r>
        <w:t>S</w:t>
      </w:r>
      <w:r w:rsidRPr="00C11F46">
        <w:t>ufficiency</w:t>
      </w:r>
      <w:bookmarkEnd w:id="50"/>
      <w:bookmarkEnd w:id="51"/>
      <w:bookmarkEnd w:id="52"/>
    </w:p>
    <w:p w:rsidR="008C6F97" w:rsidRDefault="008C6F97" w:rsidP="00445A92">
      <w:pPr>
        <w:pStyle w:val="NCDBodyText"/>
      </w:pPr>
      <w:bookmarkStart w:id="53" w:name="_Toc478555111"/>
      <w:r>
        <w:t>This chapter illustrates the importance of public policies, programs, and practices in helping people with disabilities achieve economic self-sufficiency across education, employment, health care, f</w:t>
      </w:r>
      <w:r w:rsidRPr="000A1CF5">
        <w:t xml:space="preserve">inancial </w:t>
      </w:r>
      <w:r>
        <w:t>a</w:t>
      </w:r>
      <w:r w:rsidRPr="000A1CF5">
        <w:t xml:space="preserve">ssistance and </w:t>
      </w:r>
      <w:r>
        <w:t>i</w:t>
      </w:r>
      <w:r w:rsidRPr="000A1CF5">
        <w:t>ncentives</w:t>
      </w:r>
      <w:r>
        <w:t xml:space="preserve">, housing, and transportation. Addressing all of the aspects that drive poverty and disability extends beyond the reach of this report; instead, the topics covered here are intended to help illustrate how existing public policies, programs, and practices can assist people with disabilities. NCD’s website contains a comprehensive list of topic areas that readers can reference for more information about economic self-sufficiency and poverty among people with disabilities. </w:t>
      </w:r>
      <w:r w:rsidRPr="00F44338">
        <w:t xml:space="preserve">Appendix </w:t>
      </w:r>
      <w:r>
        <w:t>B contains an overview of select legislation and how it relates to economic self-sufficiency.</w:t>
      </w:r>
    </w:p>
    <w:tbl>
      <w:tblPr>
        <w:tblStyle w:val="TableGrid"/>
        <w:tblW w:w="9583" w:type="dxa"/>
        <w:shd w:val="clear" w:color="auto" w:fill="C6D9F1"/>
        <w:tblCellMar>
          <w:top w:w="86" w:type="dxa"/>
          <w:left w:w="115" w:type="dxa"/>
          <w:bottom w:w="86" w:type="dxa"/>
          <w:right w:w="115" w:type="dxa"/>
        </w:tblCellMar>
        <w:tblLook w:val="04A0" w:firstRow="1" w:lastRow="0" w:firstColumn="1" w:lastColumn="0" w:noHBand="0" w:noVBand="1"/>
        <w:tblDescription w:val="Michael’s Story"/>
      </w:tblPr>
      <w:tblGrid>
        <w:gridCol w:w="7"/>
        <w:gridCol w:w="9343"/>
        <w:gridCol w:w="233"/>
      </w:tblGrid>
      <w:tr w:rsidR="008C6F97" w:rsidTr="000F7AF9">
        <w:trPr>
          <w:gridAfter w:val="1"/>
          <w:wAfter w:w="233" w:type="dxa"/>
          <w:tblHeader/>
        </w:trPr>
        <w:tc>
          <w:tcPr>
            <w:tcW w:w="9350" w:type="dxa"/>
            <w:gridSpan w:val="2"/>
            <w:shd w:val="clear" w:color="auto" w:fill="C6D9F1"/>
          </w:tcPr>
          <w:p w:rsidR="008C6F97" w:rsidRDefault="008C6F97" w:rsidP="002E124F">
            <w:pPr>
              <w:pStyle w:val="NCDResourcesBoxHeader"/>
              <w:spacing w:before="240"/>
            </w:pPr>
            <w:r>
              <w:t>Michael’s Story</w:t>
            </w:r>
          </w:p>
          <w:p w:rsidR="008C6F97" w:rsidRPr="00FE4B74" w:rsidRDefault="008C6F97" w:rsidP="002E124F">
            <w:pPr>
              <w:pStyle w:val="NCDBodyText"/>
              <w:spacing w:after="200"/>
              <w:rPr>
                <w:b/>
                <w:i/>
              </w:rPr>
            </w:pPr>
            <w:r w:rsidRPr="00FE4B74">
              <w:rPr>
                <w:b/>
                <w:i/>
              </w:rPr>
              <w:t>What kind of supports do people with disabilities need to achieve economic self-sufficiency? Consider this example:</w:t>
            </w:r>
          </w:p>
          <w:p w:rsidR="008C6F97" w:rsidRPr="006E641C" w:rsidRDefault="008C6F97" w:rsidP="00BF32FE">
            <w:pPr>
              <w:pStyle w:val="NCDBodyText"/>
              <w:rPr>
                <w:b/>
                <w:lang w:val="en"/>
              </w:rPr>
            </w:pPr>
            <w:r>
              <w:t xml:space="preserve">Michael, 57, has a degenerative eye condition and has been visually impaired since childhood. He lives in Baltimore, Maryland. Michael completed three years of college with support from Pell grants and financial aid but left college because of insufficient funding. He took disability retirement from a 20-year career with the Federal Bureau of Investigation in 2011 and currently hosts an independent radio talk show. Michael made $85,000 per year in his Federal Government job. After his disability retirement, he depleted his saving while waiting nine months for his SSDI application to be approved. His current monthly income is $3,135 per month after taxes and paying for health care ($2,088 from SSDI and $1,047 from disability retirement). Michael uses software to magnify and read documents on the computer ($500–$600 initial purchase, $100 for software upgrades), a CCTV magnifier ($1,700 bought used, but </w:t>
            </w:r>
          </w:p>
        </w:tc>
      </w:tr>
      <w:tr w:rsidR="008C6F97" w:rsidTr="000F7AF9">
        <w:tblPrEx>
          <w:tblCellMar>
            <w:left w:w="108" w:type="dxa"/>
            <w:bottom w:w="0" w:type="dxa"/>
            <w:right w:w="108" w:type="dxa"/>
          </w:tblCellMar>
        </w:tblPrEx>
        <w:trPr>
          <w:gridBefore w:val="1"/>
          <w:wBefore w:w="7" w:type="dxa"/>
          <w:tblHeader/>
        </w:trPr>
        <w:tc>
          <w:tcPr>
            <w:tcW w:w="9576" w:type="dxa"/>
            <w:gridSpan w:val="2"/>
            <w:shd w:val="clear" w:color="auto" w:fill="C6D9F1"/>
          </w:tcPr>
          <w:p w:rsidR="008C6F97" w:rsidRDefault="008C6F97" w:rsidP="00BF32FE">
            <w:pPr>
              <w:pStyle w:val="NCDBodyText"/>
              <w:pBdr>
                <w:top w:val="none" w:sz="0" w:space="0" w:color="auto"/>
                <w:left w:val="none" w:sz="0" w:space="0" w:color="auto"/>
                <w:bottom w:val="none" w:sz="0" w:space="0" w:color="auto"/>
                <w:right w:val="none" w:sz="0" w:space="0" w:color="auto"/>
                <w:between w:val="none" w:sz="0" w:space="0" w:color="auto"/>
                <w:bar w:val="none" w:sz="0" w:color="auto"/>
              </w:pBdr>
            </w:pPr>
            <w:proofErr w:type="gramStart"/>
            <w:r>
              <w:lastRenderedPageBreak/>
              <w:t>usually</w:t>
            </w:r>
            <w:proofErr w:type="gramEnd"/>
            <w:r>
              <w:t xml:space="preserve"> $3,400 brand new), a note taker (hardware, $2,500), ID Mate bar code reader ($600 refurbished), and a color identifier ($200). He purchased these devices on his own or with help from the Maryland Division of Rehabilitation Services. At home, family members helped him identify appliances to show start or stop buttons or numbers so he can do daily household tasks on his own. Michael uses </w:t>
            </w:r>
            <w:proofErr w:type="spellStart"/>
            <w:r>
              <w:t>paratransit</w:t>
            </w:r>
            <w:proofErr w:type="spellEnd"/>
            <w:r>
              <w:t xml:space="preserve"> services to get around within Baltimore. If he needs to travel outside of Baltimore, he takes taxicabs, </w:t>
            </w:r>
            <w:proofErr w:type="spellStart"/>
            <w:r>
              <w:t>Uber</w:t>
            </w:r>
            <w:proofErr w:type="spellEnd"/>
            <w:r>
              <w:t xml:space="preserve">, or has a family member drive because the </w:t>
            </w:r>
            <w:proofErr w:type="spellStart"/>
            <w:r>
              <w:t>paratransit</w:t>
            </w:r>
            <w:proofErr w:type="spellEnd"/>
            <w:r>
              <w:t xml:space="preserve"> system does not take him across counties. Michael owns his own condo and pays $953 per month for mortgage payments and condo fees. Michael has a checking account, and he tries to save a few hundred dollars per month to build up his savings again.</w:t>
            </w:r>
          </w:p>
        </w:tc>
      </w:tr>
    </w:tbl>
    <w:p w:rsidR="008C6F97" w:rsidRPr="009C00A6" w:rsidRDefault="008C6F97" w:rsidP="002E124F">
      <w:pPr>
        <w:pStyle w:val="Heading2"/>
        <w:spacing w:before="360"/>
      </w:pPr>
      <w:bookmarkStart w:id="54" w:name="_Toc493507470"/>
      <w:bookmarkStart w:id="55" w:name="_Toc493596672"/>
      <w:r w:rsidRPr="009C00A6">
        <w:t>Education</w:t>
      </w:r>
      <w:bookmarkEnd w:id="53"/>
      <w:bookmarkEnd w:id="54"/>
      <w:bookmarkEnd w:id="55"/>
    </w:p>
    <w:p w:rsidR="008C6F97" w:rsidRPr="004D4F75" w:rsidRDefault="008C6F97" w:rsidP="00445A92">
      <w:pPr>
        <w:pStyle w:val="NCDBodyText"/>
      </w:pPr>
      <w:r>
        <w:t xml:space="preserve">People with disabilities can </w:t>
      </w:r>
      <w:r w:rsidRPr="004D4F75">
        <w:t xml:space="preserve">work if the proper supports and </w:t>
      </w:r>
      <w:r>
        <w:t>accommodation</w:t>
      </w:r>
      <w:r w:rsidRPr="004D4F75">
        <w:t>s are in place</w:t>
      </w:r>
      <w:r>
        <w:t>. In today’s world, an e</w:t>
      </w:r>
      <w:r w:rsidRPr="004D4F75">
        <w:t xml:space="preserve">ffective education is </w:t>
      </w:r>
      <w:r>
        <w:t xml:space="preserve">also </w:t>
      </w:r>
      <w:r w:rsidRPr="004D4F75">
        <w:t>essential for preparing</w:t>
      </w:r>
      <w:r>
        <w:t xml:space="preserve"> people </w:t>
      </w:r>
      <w:r w:rsidRPr="004D4F75">
        <w:t xml:space="preserve">with disabilities </w:t>
      </w:r>
      <w:r>
        <w:t>for jobs</w:t>
      </w:r>
      <w:r w:rsidRPr="004D4F75">
        <w:t xml:space="preserve">. Sixty years ago, 73 percent of jobs in the United States were classified as </w:t>
      </w:r>
      <w:r>
        <w:t>“</w:t>
      </w:r>
      <w:r w:rsidRPr="004D4F75">
        <w:t>unskilled</w:t>
      </w:r>
      <w:r>
        <w:t xml:space="preserve">,” requiring no more than a </w:t>
      </w:r>
      <w:r w:rsidRPr="004D4F75">
        <w:t>high school</w:t>
      </w:r>
      <w:r>
        <w:t xml:space="preserve"> diploma</w:t>
      </w:r>
      <w:r w:rsidRPr="004D4F75">
        <w:t xml:space="preserve">. </w:t>
      </w:r>
      <w:r>
        <w:t xml:space="preserve">By </w:t>
      </w:r>
      <w:r w:rsidRPr="004D4F75">
        <w:t>2002</w:t>
      </w:r>
      <w:r>
        <w:t>,</w:t>
      </w:r>
      <w:r w:rsidRPr="004D4F75">
        <w:t xml:space="preserve"> </w:t>
      </w:r>
      <w:r>
        <w:t xml:space="preserve">the number of jobs that were defined as “skilled” jobs or professions reached </w:t>
      </w:r>
      <w:r w:rsidRPr="004D4F75">
        <w:t>70 percent</w:t>
      </w:r>
      <w:r>
        <w:t>.</w:t>
      </w:r>
      <w:r>
        <w:rPr>
          <w:rStyle w:val="EndnoteReference"/>
        </w:rPr>
        <w:endnoteReference w:id="18"/>
      </w:r>
      <w:r w:rsidRPr="004D4F75">
        <w:t xml:space="preserve"> </w:t>
      </w:r>
      <w:r>
        <w:t>In other words, the statistics have reversed. A</w:t>
      </w:r>
      <w:r w:rsidRPr="004D4F75">
        <w:t xml:space="preserve">ccess to quality education is more important than ever. </w:t>
      </w:r>
      <w:r>
        <w:t xml:space="preserve">People </w:t>
      </w:r>
      <w:r w:rsidRPr="004D4F75">
        <w:t xml:space="preserve">with disabilities often need </w:t>
      </w:r>
      <w:r>
        <w:t>accommodations and services to access the same level of education as their peers without disabilities and to be prepared for</w:t>
      </w:r>
      <w:r w:rsidRPr="004D4F75">
        <w:t xml:space="preserve"> higher education and the workforce. When </w:t>
      </w:r>
      <w:r>
        <w:t xml:space="preserve">accommodations and services </w:t>
      </w:r>
      <w:r w:rsidRPr="004D4F75">
        <w:t xml:space="preserve">are effective, </w:t>
      </w:r>
      <w:r>
        <w:t>people</w:t>
      </w:r>
      <w:r w:rsidRPr="004D4F75">
        <w:t xml:space="preserve"> with disabilities can </w:t>
      </w:r>
      <w:r>
        <w:t>use their education to achieve</w:t>
      </w:r>
      <w:r w:rsidRPr="004D4F75">
        <w:t xml:space="preserve"> gainful employment</w:t>
      </w:r>
      <w:r>
        <w:t xml:space="preserve"> and economic </w:t>
      </w:r>
      <w:r w:rsidRPr="004D4F75">
        <w:t>self-sufficiency</w:t>
      </w:r>
      <w:r>
        <w:t>, thus avoiding</w:t>
      </w:r>
      <w:r w:rsidRPr="004D4F75" w:rsidDel="0065500C">
        <w:t xml:space="preserve"> </w:t>
      </w:r>
      <w:r w:rsidRPr="004D4F75">
        <w:t>poverty.</w:t>
      </w:r>
    </w:p>
    <w:p w:rsidR="008C6F97" w:rsidRDefault="008C6F97" w:rsidP="00445A92">
      <w:pPr>
        <w:pStyle w:val="NCDBodyText"/>
      </w:pPr>
      <w:r w:rsidRPr="007B7C80">
        <w:rPr>
          <w:rFonts w:cs="Arial"/>
        </w:rPr>
        <w:t xml:space="preserve">Several pieces of legislation prohibit discrimination and address the disability-related needs of students. The IDEA </w:t>
      </w:r>
      <w:r>
        <w:rPr>
          <w:rFonts w:cs="Arial"/>
        </w:rPr>
        <w:t>(</w:t>
      </w:r>
      <w:r w:rsidRPr="007B7C80">
        <w:rPr>
          <w:rFonts w:cs="Arial"/>
        </w:rPr>
        <w:t xml:space="preserve">P.L. 108-446) mandates that students with disabilities who attend public schools receive a free appropriate public education in local schools with nondisabled peers to the maximum extent possible, with needed accommodations and services. </w:t>
      </w:r>
      <w:r>
        <w:t>However, t</w:t>
      </w:r>
      <w:r w:rsidRPr="004D4F75">
        <w:t xml:space="preserve">he </w:t>
      </w:r>
      <w:r>
        <w:t>reauthorization</w:t>
      </w:r>
      <w:r w:rsidRPr="004D4F75">
        <w:t xml:space="preserve"> of </w:t>
      </w:r>
      <w:r>
        <w:t>IDEA has been delayed and it has never been fully funded. To continue protecting the rights</w:t>
      </w:r>
      <w:r w:rsidRPr="004D4F75">
        <w:t xml:space="preserve"> of </w:t>
      </w:r>
      <w:r>
        <w:t xml:space="preserve">students with disabilities, </w:t>
      </w:r>
      <w:r w:rsidRPr="00DE3ACA">
        <w:rPr>
          <w:b/>
        </w:rPr>
        <w:t>NCD recommends that Congress make reauthorization of IDEA a priority</w:t>
      </w:r>
      <w:r w:rsidRPr="00FD5679">
        <w:rPr>
          <w:b/>
        </w:rPr>
        <w:t>.</w:t>
      </w:r>
      <w:r>
        <w:t xml:space="preserve"> In addition to </w:t>
      </w:r>
      <w:r>
        <w:lastRenderedPageBreak/>
        <w:t xml:space="preserve">IDEA, the ADA and </w:t>
      </w:r>
      <w:r w:rsidRPr="004D4F75">
        <w:t>Section 504 of the Rehabilitation Act of 1973 prohibit</w:t>
      </w:r>
      <w:r>
        <w:t xml:space="preserve"> </w:t>
      </w:r>
      <w:r w:rsidRPr="004D4F75">
        <w:t>discrimination against</w:t>
      </w:r>
      <w:r>
        <w:t xml:space="preserve"> people </w:t>
      </w:r>
      <w:r w:rsidRPr="004D4F75">
        <w:t>with disabilities</w:t>
      </w:r>
      <w:r>
        <w:t xml:space="preserve"> in educational settings, including private schools and postsecondary education settings</w:t>
      </w:r>
      <w:r w:rsidRPr="004D4F75">
        <w:t xml:space="preserve">. </w:t>
      </w:r>
      <w:r>
        <w:t>There are also m</w:t>
      </w:r>
      <w:r w:rsidRPr="004D4F75">
        <w:t>any state</w:t>
      </w:r>
      <w:r>
        <w:t xml:space="preserve"> laws</w:t>
      </w:r>
      <w:r w:rsidRPr="004D4F75">
        <w:t xml:space="preserve"> </w:t>
      </w:r>
      <w:r>
        <w:t>that reinforce and strengthen federal disability antidiscrimination laws in education.</w:t>
      </w:r>
    </w:p>
    <w:p w:rsidR="008C6F97" w:rsidRPr="004D4F75" w:rsidRDefault="008C6F97" w:rsidP="00445A92">
      <w:pPr>
        <w:pStyle w:val="NCDBodyText"/>
      </w:pPr>
      <w:r>
        <w:t>Public policy has already made a significant impact on the education of students with disabilities. For example, the number of s</w:t>
      </w:r>
      <w:r w:rsidRPr="004D4F75">
        <w:t xml:space="preserve">tudents </w:t>
      </w:r>
      <w:r>
        <w:t xml:space="preserve">with disabilities who </w:t>
      </w:r>
      <w:r w:rsidRPr="004D4F75">
        <w:t xml:space="preserve">spend 80 percent </w:t>
      </w:r>
      <w:r>
        <w:t>or</w:t>
      </w:r>
      <w:r w:rsidRPr="004D4F75">
        <w:t xml:space="preserve"> more </w:t>
      </w:r>
      <w:r>
        <w:t xml:space="preserve">of their </w:t>
      </w:r>
      <w:r w:rsidRPr="004D4F75">
        <w:t>time inside a general education classroom has been rising over time</w:t>
      </w:r>
      <w:r>
        <w:t>.</w:t>
      </w:r>
      <w:r>
        <w:rPr>
          <w:rStyle w:val="EndnoteReference"/>
        </w:rPr>
        <w:endnoteReference w:id="19"/>
      </w:r>
      <w:r>
        <w:t xml:space="preserve"> </w:t>
      </w:r>
      <w:r w:rsidRPr="004D4F75">
        <w:t xml:space="preserve">From 1989 to 2013, the percentage rose from 32 </w:t>
      </w:r>
      <w:r>
        <w:t xml:space="preserve">percent </w:t>
      </w:r>
      <w:r w:rsidRPr="004D4F75">
        <w:t>to nearly 62 percent</w:t>
      </w:r>
      <w:r>
        <w:t>.</w:t>
      </w:r>
      <w:r>
        <w:rPr>
          <w:rStyle w:val="EndnoteReference"/>
        </w:rPr>
        <w:endnoteReference w:id="20"/>
      </w:r>
      <w:r w:rsidRPr="004D4F75">
        <w:t xml:space="preserve"> Spending as much time in the general education classroom as possible gives students with disabilities access to the general curriculum</w:t>
      </w:r>
      <w:r>
        <w:t xml:space="preserve"> while holding them to the same standard as students without disabilities. This approach better prepares students with disabilities</w:t>
      </w:r>
      <w:r w:rsidRPr="004D4F75">
        <w:t xml:space="preserve"> for success in future </w:t>
      </w:r>
      <w:r>
        <w:t xml:space="preserve">postsecondary </w:t>
      </w:r>
      <w:r w:rsidRPr="004D4F75">
        <w:t>education and work</w:t>
      </w:r>
      <w:r>
        <w:t>, and also prepares students without disabilities to expect the inclusion of people with disabilities in the community and workforce</w:t>
      </w:r>
      <w:r w:rsidRPr="004D4F75">
        <w:t xml:space="preserve">. </w:t>
      </w:r>
    </w:p>
    <w:p w:rsidR="008C6F97" w:rsidRPr="004D4F75" w:rsidRDefault="008C6F97" w:rsidP="00445A92">
      <w:pPr>
        <w:pStyle w:val="NCDBodyText"/>
      </w:pPr>
      <w:r>
        <w:t xml:space="preserve">Another strategy designed </w:t>
      </w:r>
      <w:r w:rsidRPr="004D4F75">
        <w:t xml:space="preserve">to help </w:t>
      </w:r>
      <w:r>
        <w:t>students</w:t>
      </w:r>
      <w:r w:rsidRPr="004D4F75">
        <w:t xml:space="preserve"> with disabilities</w:t>
      </w:r>
      <w:r>
        <w:t xml:space="preserve"> achieve educational success is the </w:t>
      </w:r>
      <w:r w:rsidRPr="004D4F75">
        <w:t>multiple diploma option. States are responsible for</w:t>
      </w:r>
      <w:r>
        <w:t xml:space="preserve"> determining</w:t>
      </w:r>
      <w:r w:rsidRPr="004D4F75">
        <w:t xml:space="preserve"> the types of diplomas that are available to students</w:t>
      </w:r>
      <w:r>
        <w:t>.</w:t>
      </w:r>
      <w:r w:rsidRPr="004D4F75">
        <w:t xml:space="preserve"> </w:t>
      </w:r>
      <w:r>
        <w:t xml:space="preserve">They </w:t>
      </w:r>
      <w:r w:rsidRPr="004D4F75">
        <w:t xml:space="preserve">have experimented with </w:t>
      </w:r>
      <w:r>
        <w:t xml:space="preserve">a </w:t>
      </w:r>
      <w:r w:rsidRPr="004D4F75">
        <w:t>variety of diploma options</w:t>
      </w:r>
      <w:r>
        <w:t>,</w:t>
      </w:r>
      <w:r w:rsidRPr="004D4F75">
        <w:t xml:space="preserve"> </w:t>
      </w:r>
      <w:r>
        <w:t>including</w:t>
      </w:r>
      <w:r w:rsidRPr="004D4F75">
        <w:t xml:space="preserve"> honors diplomas, standard diploma</w:t>
      </w:r>
      <w:r>
        <w:t>s,</w:t>
      </w:r>
      <w:r w:rsidRPr="004D4F75">
        <w:t xml:space="preserve"> </w:t>
      </w:r>
      <w:proofErr w:type="gramStart"/>
      <w:r w:rsidRPr="004D4F75">
        <w:t>certificates</w:t>
      </w:r>
      <w:proofErr w:type="gramEnd"/>
      <w:r w:rsidRPr="004D4F75">
        <w:t xml:space="preserve"> of completion, special education diplomas, and </w:t>
      </w:r>
      <w:r w:rsidRPr="00967597">
        <w:t>others.</w:t>
      </w:r>
      <w:r>
        <w:rPr>
          <w:rStyle w:val="EndnoteReference"/>
        </w:rPr>
        <w:endnoteReference w:id="21"/>
      </w:r>
      <w:r w:rsidRPr="004D4F75">
        <w:t xml:space="preserve"> Most states offer diploma options </w:t>
      </w:r>
      <w:r>
        <w:t>to students completing</w:t>
      </w:r>
      <w:r w:rsidRPr="004D4F75">
        <w:t xml:space="preserve"> less rigorous coursework</w:t>
      </w:r>
      <w:r>
        <w:t xml:space="preserve"> or </w:t>
      </w:r>
      <w:r w:rsidRPr="004D4F75">
        <w:t>students with disabilities who are unable to complete the standard coursework</w:t>
      </w:r>
      <w:r>
        <w:t>, even with accommodations</w:t>
      </w:r>
      <w:r w:rsidRPr="004D4F75">
        <w:t xml:space="preserve">. </w:t>
      </w:r>
      <w:r>
        <w:t>M</w:t>
      </w:r>
      <w:r w:rsidRPr="004D4F75">
        <w:t xml:space="preserve">ultiple diploma options </w:t>
      </w:r>
      <w:r>
        <w:t>may</w:t>
      </w:r>
      <w:r w:rsidRPr="004D4F75">
        <w:t xml:space="preserve"> provid</w:t>
      </w:r>
      <w:r>
        <w:t>e</w:t>
      </w:r>
      <w:r w:rsidRPr="004D4F75">
        <w:t xml:space="preserve"> an</w:t>
      </w:r>
      <w:r>
        <w:t xml:space="preserve">other path </w:t>
      </w:r>
      <w:r w:rsidRPr="004D4F75">
        <w:t>to graduation</w:t>
      </w:r>
      <w:r>
        <w:t xml:space="preserve"> and reduce drop-out rates for these students</w:t>
      </w:r>
      <w:r w:rsidRPr="004D4F75">
        <w:t xml:space="preserve">. </w:t>
      </w:r>
      <w:r>
        <w:t xml:space="preserve">The multiple diploma option may also </w:t>
      </w:r>
      <w:r w:rsidRPr="004D4F75">
        <w:t>allow states to maintain high standards for the standard diploma while also allowing students with less ability to graduate</w:t>
      </w:r>
      <w:r>
        <w:t>.</w:t>
      </w:r>
      <w:r>
        <w:rPr>
          <w:rStyle w:val="EndnoteReference"/>
        </w:rPr>
        <w:endnoteReference w:id="22"/>
      </w:r>
      <w:r>
        <w:t xml:space="preserve"> However, </w:t>
      </w:r>
      <w:r w:rsidRPr="006762C9">
        <w:rPr>
          <w:b/>
        </w:rPr>
        <w:t xml:space="preserve">NCD recommends </w:t>
      </w:r>
      <w:r>
        <w:rPr>
          <w:b/>
        </w:rPr>
        <w:t xml:space="preserve">that the </w:t>
      </w:r>
      <w:r w:rsidRPr="0042328A">
        <w:rPr>
          <w:b/>
        </w:rPr>
        <w:t>U.S</w:t>
      </w:r>
      <w:r>
        <w:rPr>
          <w:b/>
        </w:rPr>
        <w:t>.</w:t>
      </w:r>
      <w:r w:rsidRPr="0042328A">
        <w:rPr>
          <w:b/>
        </w:rPr>
        <w:t xml:space="preserve"> Department of Education Institute on Education Sciences fund</w:t>
      </w:r>
      <w:r>
        <w:rPr>
          <w:b/>
        </w:rPr>
        <w:t xml:space="preserve"> </w:t>
      </w:r>
      <w:r w:rsidRPr="006762C9">
        <w:rPr>
          <w:b/>
        </w:rPr>
        <w:t>more research to better understand how multiple diploma options affect students’ inclusion in schools and their ability to find gainful employment after graduation</w:t>
      </w:r>
      <w:r w:rsidRPr="00FD5679">
        <w:rPr>
          <w:b/>
        </w:rPr>
        <w:t>.</w:t>
      </w:r>
    </w:p>
    <w:p w:rsidR="008C6F97" w:rsidRPr="00BF32FE" w:rsidRDefault="008C6F97" w:rsidP="00445A92">
      <w:pPr>
        <w:pStyle w:val="NCDBodyText"/>
        <w:rPr>
          <w:spacing w:val="-4"/>
        </w:rPr>
      </w:pPr>
      <w:r w:rsidRPr="00BF32FE">
        <w:rPr>
          <w:spacing w:val="-4"/>
        </w:rPr>
        <w:t xml:space="preserve">The evolution of technology and its use in the classroom has been especially beneficial for students with disabilities. Technology has allowed teachers to customize classroom </w:t>
      </w:r>
      <w:r w:rsidRPr="00BF32FE">
        <w:rPr>
          <w:spacing w:val="-4"/>
        </w:rPr>
        <w:lastRenderedPageBreak/>
        <w:t>materials to meet the unique needs of students with disabilities. For example, electronic textbooks that are compatible with screen-readers make it easier for a student who may be blind or have low vision to be independent in the classroom. One focus group participant who was blind throughout his childhood said that when he was in school, he would often have his mother or sisters sit with him and read him his textbooks. With digital textbooks, students today do not have the same limitations or dependencies. Making course materials such as syllabi, reading lists, and assignments available in an electronic format is an easy way to customize these materials for students who require different types of access.</w:t>
      </w:r>
      <w:r w:rsidRPr="00BF32FE">
        <w:rPr>
          <w:rStyle w:val="EndnoteReference"/>
          <w:spacing w:val="-4"/>
        </w:rPr>
        <w:endnoteReference w:id="23"/>
      </w:r>
      <w:r w:rsidRPr="00BF32FE">
        <w:rPr>
          <w:spacing w:val="-4"/>
        </w:rPr>
        <w:t xml:space="preserve"> This also prepares students with disabilities for the continued use of technology, assistive and otherwise, that they will use throughout their education and careers.</w:t>
      </w:r>
    </w:p>
    <w:p w:rsidR="008C6F97" w:rsidRDefault="008C6F97" w:rsidP="00445A92">
      <w:pPr>
        <w:pStyle w:val="NCDBodyText"/>
      </w:pPr>
      <w:r>
        <w:t>The transition from high school to postsecondary education, training, or work is a critical time in which schools can provide support for students with disabilities. Transition planning services provided by schools may address many paths and opportunities, including transitioning to college and other postsecondary education settings, career and technical education programs, vocational rehabilitation services (when needed), supported living arrangements, or behavioral health services.</w:t>
      </w:r>
      <w:r>
        <w:rPr>
          <w:rStyle w:val="EndnoteReference"/>
        </w:rPr>
        <w:endnoteReference w:id="24"/>
      </w:r>
      <w:r w:rsidRPr="00696E6F">
        <w:t xml:space="preserve"> </w:t>
      </w:r>
    </w:p>
    <w:p w:rsidR="008C6F97" w:rsidRDefault="008C6F97" w:rsidP="00445A92">
      <w:pPr>
        <w:pStyle w:val="NCDBodyText"/>
      </w:pPr>
      <w:r>
        <w:t>Although IDEA mandates transition planning services for all students with an IEP (i.e., students with disabilities), local communities and businesses can also play an important role by offering summer employment, internships, service learning, and part-time work. These opportunities can help students with disabilities gain work experience and experience advocating for their own needs and accommodations in the workplace.</w:t>
      </w:r>
      <w:r>
        <w:fldChar w:fldCharType="begin"/>
      </w:r>
      <w:r>
        <w:instrText xml:space="preserve"> ADDIN EN.CITE &lt;EndNote&gt;&lt;Cite&gt;&lt;Author&gt;Hoover&lt;/Author&gt;&lt;Year&gt;2016&lt;/Year&gt;&lt;RecNum&gt;127&lt;/RecNum&gt;&lt;DisplayText&gt;&lt;style face="superscript"&gt;21&lt;/style&gt;&lt;/DisplayText&gt;&lt;record&gt;&lt;rec-number&gt;127&lt;/rec-number&gt;&lt;foreign-keys&gt;&lt;key app="EN" db-id="xz25e52t9z5v06etx2i50fpf5aa9tvs0dadd" timestamp="1490735045"&gt;127&lt;/key&gt;&lt;/foreign-keys&gt;&lt;ref-type name="Journal Article"&gt;17&lt;/ref-type&gt;&lt;contributors&gt;&lt;authors&gt;&lt;author&gt;Hoover, Ariel&lt;/author&gt;&lt;/authors&gt;&lt;/contributors&gt;&lt;titles&gt;&lt;title&gt;The Role of the Community in Transition to the Adult World for Students with Disabilities&lt;/title&gt;&lt;secondary-title&gt;American Secondary Education&lt;/secondary-title&gt;&lt;/titles&gt;&lt;periodical&gt;&lt;full-title&gt;American Secondary Education&lt;/full-title&gt;&lt;/periodical&gt;&lt;pages&gt;21&lt;/pages&gt;&lt;volume&gt;44&lt;/volume&gt;&lt;number&gt;2&lt;/number&gt;&lt;dates&gt;&lt;year&gt;2016&lt;/year&gt;&lt;/dates&gt;&lt;isbn&gt;0003-1003&lt;/isbn&gt;&lt;urls&gt;&lt;/urls&gt;&lt;/record&gt;&lt;/Cite&gt;&lt;/EndNote&gt;</w:instrText>
      </w:r>
      <w:r>
        <w:fldChar w:fldCharType="end"/>
      </w:r>
      <w:r>
        <w:rPr>
          <w:rStyle w:val="EndnoteReference"/>
        </w:rPr>
        <w:endnoteReference w:id="25"/>
      </w:r>
      <w:r>
        <w:t xml:space="preserve"> For some students with disabilities, services that help them acquire daily living skills are also a central part of transitioning from high school and beyond, but skills like using transportation, working with money, and following a schedule can all be acquired in work settings within the community. </w:t>
      </w:r>
    </w:p>
    <w:p w:rsidR="008C6F97" w:rsidRDefault="008C6F97" w:rsidP="00445A92">
      <w:pPr>
        <w:pStyle w:val="NCDBodyText"/>
      </w:pPr>
      <w:r>
        <w:t xml:space="preserve">Public policies and programs have also resulted in more opportunities for students with disabilities to pursue postsecondary education. In 2012, the most recent year for which data is available, 11.1 percent of undergraduate students who were enrolled in postsecondary institutions had a disability (Exhibit 1.1). Although the number of students with disabilities in postsecondary programs remains low compared with the </w:t>
      </w:r>
      <w:r>
        <w:lastRenderedPageBreak/>
        <w:t xml:space="preserve">number of students without disabilities, this data underscore the importance of supportive educational policies at the national and state level, as the educational attainment of students with disabilities at the high school and community college levels is now equivalent to or greater than the levels of peers without disabilities. </w:t>
      </w:r>
    </w:p>
    <w:p w:rsidR="008C6F97" w:rsidRDefault="008C6F97" w:rsidP="00445A92">
      <w:pPr>
        <w:pStyle w:val="NCDExhibitTitle"/>
        <w:keepLines/>
      </w:pPr>
      <w:proofErr w:type="gramStart"/>
      <w:r>
        <w:t>Exhibit</w:t>
      </w:r>
      <w:r w:rsidRPr="005341F2">
        <w:t xml:space="preserve"> 1.</w:t>
      </w:r>
      <w:r>
        <w:t>1.</w:t>
      </w:r>
      <w:proofErr w:type="gramEnd"/>
      <w:r w:rsidRPr="005341F2">
        <w:t xml:space="preserve"> </w:t>
      </w:r>
      <w:r>
        <w:t>Postsecondary Education by Disability Status and Select Characteristics</w:t>
      </w:r>
    </w:p>
    <w:tbl>
      <w:tblPr>
        <w:tblStyle w:val="TableGrid"/>
        <w:tblW w:w="9360" w:type="dxa"/>
        <w:jc w:val="center"/>
        <w:tblLook w:val="04A0" w:firstRow="1" w:lastRow="0" w:firstColumn="1" w:lastColumn="0" w:noHBand="0" w:noVBand="1"/>
        <w:tblDescription w:val="Exhibit 1.1. Postsecondary Education by Disability Status and Select Characteristics"/>
      </w:tblPr>
      <w:tblGrid>
        <w:gridCol w:w="4018"/>
        <w:gridCol w:w="2671"/>
        <w:gridCol w:w="2671"/>
      </w:tblGrid>
      <w:tr w:rsidR="008C6F97" w:rsidRPr="007409F0" w:rsidTr="00BF32FE">
        <w:trPr>
          <w:tblHeader/>
          <w:jc w:val="center"/>
        </w:trPr>
        <w:tc>
          <w:tcPr>
            <w:tcW w:w="4018" w:type="dxa"/>
            <w:tcBorders>
              <w:top w:val="single" w:sz="18" w:space="0" w:color="auto"/>
              <w:bottom w:val="single" w:sz="18" w:space="0" w:color="auto"/>
            </w:tcBorders>
            <w:shd w:val="clear" w:color="auto" w:fill="D9D9D9" w:themeFill="background1" w:themeFillShade="D9"/>
            <w:tcMar>
              <w:top w:w="29" w:type="dxa"/>
              <w:left w:w="86" w:type="dxa"/>
              <w:bottom w:w="29" w:type="dxa"/>
              <w:right w:w="86" w:type="dxa"/>
            </w:tcMar>
          </w:tcPr>
          <w:p w:rsidR="008C6F97" w:rsidRPr="007409F0" w:rsidRDefault="008C6F97" w:rsidP="002E124F">
            <w:pPr>
              <w:pStyle w:val="NCDTableColumnHeadLeft"/>
              <w:rPr>
                <w:rFonts w:cs="Arial"/>
                <w:sz w:val="24"/>
                <w:szCs w:val="24"/>
              </w:rPr>
            </w:pPr>
            <w:r w:rsidRPr="007409F0">
              <w:rPr>
                <w:rFonts w:cs="Arial"/>
                <w:sz w:val="24"/>
                <w:szCs w:val="24"/>
              </w:rPr>
              <w:t>Selected Student Characteristics (as of 2012 Unless Otherwise Stated)</w:t>
            </w:r>
          </w:p>
        </w:tc>
        <w:tc>
          <w:tcPr>
            <w:tcW w:w="2671" w:type="dxa"/>
            <w:tcBorders>
              <w:top w:val="single" w:sz="18" w:space="0" w:color="auto"/>
              <w:bottom w:val="single" w:sz="18" w:space="0" w:color="auto"/>
            </w:tcBorders>
            <w:shd w:val="clear" w:color="auto" w:fill="D9D9D9" w:themeFill="background1" w:themeFillShade="D9"/>
            <w:tcMar>
              <w:top w:w="29" w:type="dxa"/>
              <w:left w:w="86" w:type="dxa"/>
              <w:bottom w:w="29" w:type="dxa"/>
              <w:right w:w="86" w:type="dxa"/>
            </w:tcMar>
            <w:vAlign w:val="center"/>
          </w:tcPr>
          <w:p w:rsidR="008C6F97" w:rsidRPr="007409F0" w:rsidRDefault="008C6F97" w:rsidP="002E124F">
            <w:pPr>
              <w:pStyle w:val="NCDTableColumnHeadRight"/>
              <w:jc w:val="center"/>
              <w:rPr>
                <w:rFonts w:cs="Arial"/>
                <w:sz w:val="24"/>
                <w:szCs w:val="24"/>
              </w:rPr>
            </w:pPr>
            <w:r w:rsidRPr="007409F0">
              <w:rPr>
                <w:rFonts w:cs="Arial"/>
                <w:sz w:val="24"/>
                <w:szCs w:val="24"/>
              </w:rPr>
              <w:t>Students with Disabilities</w:t>
            </w:r>
          </w:p>
        </w:tc>
        <w:tc>
          <w:tcPr>
            <w:tcW w:w="2671" w:type="dxa"/>
            <w:tcBorders>
              <w:top w:val="single" w:sz="18" w:space="0" w:color="auto"/>
              <w:bottom w:val="single" w:sz="18" w:space="0" w:color="auto"/>
            </w:tcBorders>
            <w:shd w:val="clear" w:color="auto" w:fill="D9D9D9" w:themeFill="background1" w:themeFillShade="D9"/>
            <w:tcMar>
              <w:top w:w="29" w:type="dxa"/>
              <w:left w:w="86" w:type="dxa"/>
              <w:bottom w:w="29" w:type="dxa"/>
              <w:right w:w="86" w:type="dxa"/>
            </w:tcMar>
            <w:vAlign w:val="center"/>
          </w:tcPr>
          <w:p w:rsidR="008C6F97" w:rsidRPr="007409F0" w:rsidRDefault="008C6F97" w:rsidP="002E124F">
            <w:pPr>
              <w:pStyle w:val="NCDTableColumnHeadRight"/>
              <w:jc w:val="center"/>
              <w:rPr>
                <w:rFonts w:cs="Arial"/>
                <w:sz w:val="24"/>
                <w:szCs w:val="24"/>
              </w:rPr>
            </w:pPr>
            <w:r w:rsidRPr="007409F0">
              <w:rPr>
                <w:rFonts w:cs="Arial"/>
                <w:sz w:val="24"/>
                <w:szCs w:val="24"/>
              </w:rPr>
              <w:t>Students Without Disabilities</w:t>
            </w:r>
          </w:p>
        </w:tc>
      </w:tr>
      <w:tr w:rsidR="008C6F97" w:rsidRPr="007409F0" w:rsidTr="002E124F">
        <w:trPr>
          <w:jc w:val="center"/>
        </w:trPr>
        <w:tc>
          <w:tcPr>
            <w:tcW w:w="4018" w:type="dxa"/>
            <w:tcBorders>
              <w:top w:val="single" w:sz="18" w:space="0" w:color="auto"/>
            </w:tcBorders>
            <w:shd w:val="clear" w:color="auto" w:fill="E6E6E6"/>
            <w:tcMar>
              <w:top w:w="29" w:type="dxa"/>
              <w:left w:w="86" w:type="dxa"/>
              <w:bottom w:w="29" w:type="dxa"/>
              <w:right w:w="86" w:type="dxa"/>
            </w:tcMar>
          </w:tcPr>
          <w:p w:rsidR="008C6F97" w:rsidRPr="007409F0" w:rsidRDefault="008C6F97" w:rsidP="002E124F">
            <w:pPr>
              <w:pStyle w:val="NCDTableTextNew"/>
              <w:rPr>
                <w:rFonts w:cs="Arial"/>
                <w:sz w:val="24"/>
                <w:szCs w:val="24"/>
              </w:rPr>
            </w:pPr>
            <w:r w:rsidRPr="007409F0">
              <w:rPr>
                <w:rFonts w:cs="Arial"/>
                <w:sz w:val="24"/>
                <w:szCs w:val="24"/>
              </w:rPr>
              <w:t>Percentage of students</w:t>
            </w:r>
          </w:p>
        </w:tc>
        <w:tc>
          <w:tcPr>
            <w:tcW w:w="2671" w:type="dxa"/>
            <w:tcBorders>
              <w:top w:val="single" w:sz="18"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11%</w:t>
            </w:r>
          </w:p>
        </w:tc>
        <w:tc>
          <w:tcPr>
            <w:tcW w:w="2671" w:type="dxa"/>
            <w:tcBorders>
              <w:top w:val="single" w:sz="18"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89%</w:t>
            </w:r>
          </w:p>
        </w:tc>
      </w:tr>
      <w:tr w:rsidR="008C6F97" w:rsidRPr="007409F0" w:rsidTr="002E124F">
        <w:trPr>
          <w:jc w:val="center"/>
        </w:trPr>
        <w:tc>
          <w:tcPr>
            <w:tcW w:w="4018" w:type="dxa"/>
            <w:tcBorders>
              <w:top w:val="single" w:sz="4" w:space="0" w:color="auto"/>
            </w:tcBorders>
            <w:shd w:val="clear" w:color="auto" w:fill="E6E6E6"/>
            <w:tcMar>
              <w:top w:w="29" w:type="dxa"/>
              <w:left w:w="86" w:type="dxa"/>
              <w:bottom w:w="29" w:type="dxa"/>
              <w:right w:w="86" w:type="dxa"/>
            </w:tcMar>
          </w:tcPr>
          <w:p w:rsidR="008C6F97" w:rsidRPr="007409F0" w:rsidRDefault="008C6F97" w:rsidP="002E124F">
            <w:pPr>
              <w:pStyle w:val="NCDTableTextNew"/>
              <w:rPr>
                <w:rFonts w:cs="Arial"/>
                <w:sz w:val="24"/>
                <w:szCs w:val="24"/>
              </w:rPr>
            </w:pPr>
            <w:r w:rsidRPr="007409F0">
              <w:rPr>
                <w:rFonts w:cs="Arial"/>
                <w:sz w:val="24"/>
                <w:szCs w:val="24"/>
              </w:rPr>
              <w:t>Educational attainment*</w:t>
            </w:r>
          </w:p>
        </w:tc>
        <w:tc>
          <w:tcPr>
            <w:tcW w:w="2671" w:type="dxa"/>
            <w:tcBorders>
              <w:top w:val="single" w:sz="4"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p>
        </w:tc>
        <w:tc>
          <w:tcPr>
            <w:tcW w:w="2671" w:type="dxa"/>
            <w:tcBorders>
              <w:top w:val="single" w:sz="4"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p>
        </w:tc>
      </w:tr>
      <w:tr w:rsidR="008C6F97" w:rsidRPr="007409F0" w:rsidTr="002E124F">
        <w:trPr>
          <w:jc w:val="center"/>
        </w:trPr>
        <w:tc>
          <w:tcPr>
            <w:tcW w:w="4018" w:type="dxa"/>
            <w:tcBorders>
              <w:top w:val="single" w:sz="4" w:space="0" w:color="auto"/>
            </w:tcBorders>
            <w:shd w:val="clear" w:color="auto" w:fill="E6E6E6"/>
            <w:tcMar>
              <w:top w:w="29" w:type="dxa"/>
              <w:left w:w="86" w:type="dxa"/>
              <w:bottom w:w="29" w:type="dxa"/>
              <w:right w:w="86" w:type="dxa"/>
            </w:tcMar>
          </w:tcPr>
          <w:p w:rsidR="008C6F97" w:rsidRPr="007409F0" w:rsidRDefault="008C6F97" w:rsidP="002E124F">
            <w:pPr>
              <w:pStyle w:val="TableBullet1"/>
              <w:rPr>
                <w:rFonts w:cs="Arial"/>
                <w:sz w:val="24"/>
              </w:rPr>
            </w:pPr>
            <w:r w:rsidRPr="007409F0">
              <w:rPr>
                <w:rFonts w:cs="Arial"/>
                <w:sz w:val="24"/>
              </w:rPr>
              <w:t>High school diploma</w:t>
            </w:r>
          </w:p>
        </w:tc>
        <w:tc>
          <w:tcPr>
            <w:tcW w:w="2671" w:type="dxa"/>
            <w:tcBorders>
              <w:top w:val="single" w:sz="4"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34%</w:t>
            </w:r>
          </w:p>
        </w:tc>
        <w:tc>
          <w:tcPr>
            <w:tcW w:w="2671" w:type="dxa"/>
            <w:tcBorders>
              <w:top w:val="single" w:sz="4"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25%</w:t>
            </w:r>
          </w:p>
        </w:tc>
      </w:tr>
      <w:tr w:rsidR="008C6F97" w:rsidRPr="007409F0" w:rsidTr="002E124F">
        <w:trPr>
          <w:jc w:val="center"/>
        </w:trPr>
        <w:tc>
          <w:tcPr>
            <w:tcW w:w="4018" w:type="dxa"/>
            <w:tcBorders>
              <w:top w:val="single" w:sz="4" w:space="0" w:color="auto"/>
            </w:tcBorders>
            <w:shd w:val="clear" w:color="auto" w:fill="E6E6E6"/>
            <w:tcMar>
              <w:top w:w="29" w:type="dxa"/>
              <w:left w:w="86" w:type="dxa"/>
              <w:bottom w:w="29" w:type="dxa"/>
              <w:right w:w="86" w:type="dxa"/>
            </w:tcMar>
          </w:tcPr>
          <w:p w:rsidR="008C6F97" w:rsidRPr="007409F0" w:rsidRDefault="008C6F97" w:rsidP="002E124F">
            <w:pPr>
              <w:pStyle w:val="TableBullet1"/>
              <w:rPr>
                <w:rFonts w:cs="Arial"/>
                <w:sz w:val="24"/>
              </w:rPr>
            </w:pPr>
            <w:r w:rsidRPr="007409F0">
              <w:rPr>
                <w:rFonts w:cs="Arial"/>
                <w:sz w:val="24"/>
              </w:rPr>
              <w:t>Some college or associate’s degree</w:t>
            </w:r>
          </w:p>
        </w:tc>
        <w:tc>
          <w:tcPr>
            <w:tcW w:w="2671" w:type="dxa"/>
            <w:tcBorders>
              <w:top w:val="single" w:sz="4"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32%</w:t>
            </w:r>
          </w:p>
        </w:tc>
        <w:tc>
          <w:tcPr>
            <w:tcW w:w="2671" w:type="dxa"/>
            <w:tcBorders>
              <w:top w:val="single" w:sz="4"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32%</w:t>
            </w:r>
          </w:p>
        </w:tc>
      </w:tr>
      <w:tr w:rsidR="008C6F97" w:rsidRPr="007409F0" w:rsidTr="002E124F">
        <w:trPr>
          <w:jc w:val="center"/>
        </w:trPr>
        <w:tc>
          <w:tcPr>
            <w:tcW w:w="4018" w:type="dxa"/>
            <w:tcBorders>
              <w:top w:val="single" w:sz="4" w:space="0" w:color="auto"/>
            </w:tcBorders>
            <w:shd w:val="clear" w:color="auto" w:fill="E6E6E6"/>
            <w:tcMar>
              <w:top w:w="29" w:type="dxa"/>
              <w:left w:w="86" w:type="dxa"/>
              <w:bottom w:w="29" w:type="dxa"/>
              <w:right w:w="86" w:type="dxa"/>
            </w:tcMar>
          </w:tcPr>
          <w:p w:rsidR="008C6F97" w:rsidRPr="007409F0" w:rsidRDefault="008C6F97" w:rsidP="002E124F">
            <w:pPr>
              <w:pStyle w:val="TableBullet1"/>
              <w:rPr>
                <w:rFonts w:cs="Arial"/>
                <w:sz w:val="24"/>
              </w:rPr>
            </w:pPr>
            <w:r w:rsidRPr="007409F0">
              <w:rPr>
                <w:rFonts w:cs="Arial"/>
                <w:sz w:val="24"/>
              </w:rPr>
              <w:t>Bachelor’s degree or higher</w:t>
            </w:r>
          </w:p>
        </w:tc>
        <w:tc>
          <w:tcPr>
            <w:tcW w:w="2671" w:type="dxa"/>
            <w:tcBorders>
              <w:top w:val="single" w:sz="4"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14%</w:t>
            </w:r>
          </w:p>
        </w:tc>
        <w:tc>
          <w:tcPr>
            <w:tcW w:w="2671" w:type="dxa"/>
            <w:tcBorders>
              <w:top w:val="single" w:sz="4"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33%</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NCDTableTextNew"/>
              <w:rPr>
                <w:rFonts w:cs="Arial"/>
                <w:sz w:val="24"/>
                <w:szCs w:val="24"/>
              </w:rPr>
            </w:pPr>
            <w:r w:rsidRPr="007409F0">
              <w:rPr>
                <w:rFonts w:cs="Arial"/>
                <w:sz w:val="24"/>
                <w:szCs w:val="24"/>
              </w:rPr>
              <w:t>Sex</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rFonts w:cs="Arial"/>
                <w:sz w:val="24"/>
              </w:rPr>
            </w:pPr>
            <w:r w:rsidRPr="007409F0">
              <w:rPr>
                <w:rFonts w:cs="Arial"/>
                <w:sz w:val="24"/>
              </w:rPr>
              <w:t>Male</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11%</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89%</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rFonts w:cs="Arial"/>
                <w:sz w:val="24"/>
              </w:rPr>
            </w:pPr>
            <w:r w:rsidRPr="007409F0">
              <w:rPr>
                <w:rFonts w:cs="Arial"/>
                <w:sz w:val="24"/>
              </w:rPr>
              <w:t>Female</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11%</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89%</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NCDTableTextNew"/>
              <w:rPr>
                <w:rFonts w:cs="Arial"/>
                <w:sz w:val="24"/>
                <w:szCs w:val="24"/>
              </w:rPr>
            </w:pPr>
            <w:r w:rsidRPr="007409F0">
              <w:rPr>
                <w:rFonts w:cs="Arial"/>
                <w:sz w:val="24"/>
                <w:szCs w:val="24"/>
              </w:rPr>
              <w:t>Race/ethnicity</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rFonts w:cs="Arial"/>
                <w:sz w:val="24"/>
              </w:rPr>
            </w:pPr>
            <w:r w:rsidRPr="007409F0">
              <w:rPr>
                <w:rFonts w:cs="Arial"/>
                <w:sz w:val="24"/>
              </w:rPr>
              <w:t>White</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11.1%</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89%</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rFonts w:cs="Arial"/>
                <w:sz w:val="24"/>
              </w:rPr>
            </w:pPr>
            <w:r w:rsidRPr="007409F0">
              <w:rPr>
                <w:rFonts w:cs="Arial"/>
                <w:sz w:val="24"/>
              </w:rPr>
              <w:t>African American</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12.2%</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88%</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rFonts w:cs="Arial"/>
                <w:sz w:val="24"/>
              </w:rPr>
            </w:pPr>
            <w:r w:rsidRPr="007409F0">
              <w:rPr>
                <w:rFonts w:cs="Arial"/>
                <w:sz w:val="24"/>
              </w:rPr>
              <w:t>Hispanic</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10.4%</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90%</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rFonts w:cs="Arial"/>
                <w:sz w:val="24"/>
              </w:rPr>
            </w:pPr>
            <w:r w:rsidRPr="007409F0">
              <w:rPr>
                <w:rFonts w:cs="Arial"/>
                <w:sz w:val="24"/>
              </w:rPr>
              <w:t>Asian</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8.0%</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92%</w:t>
            </w:r>
          </w:p>
        </w:tc>
      </w:tr>
      <w:tr w:rsidR="008C6F97" w:rsidRPr="007409F0" w:rsidTr="002E124F">
        <w:trPr>
          <w:jc w:val="center"/>
        </w:trPr>
        <w:tc>
          <w:tcPr>
            <w:tcW w:w="4018" w:type="dxa"/>
            <w:tcBorders>
              <w:bottom w:val="single" w:sz="18" w:space="0" w:color="auto"/>
            </w:tcBorders>
            <w:shd w:val="clear" w:color="auto" w:fill="E6E6E6"/>
            <w:tcMar>
              <w:top w:w="29" w:type="dxa"/>
              <w:left w:w="86" w:type="dxa"/>
              <w:bottom w:w="29" w:type="dxa"/>
              <w:right w:w="86" w:type="dxa"/>
            </w:tcMar>
          </w:tcPr>
          <w:p w:rsidR="008C6F97" w:rsidRPr="007409F0" w:rsidRDefault="008C6F97" w:rsidP="002E124F">
            <w:pPr>
              <w:pStyle w:val="NCDTableTextNew"/>
              <w:rPr>
                <w:rFonts w:cs="Arial"/>
                <w:sz w:val="24"/>
                <w:szCs w:val="24"/>
              </w:rPr>
            </w:pPr>
            <w:r w:rsidRPr="007409F0">
              <w:rPr>
                <w:rFonts w:cs="Arial"/>
                <w:sz w:val="24"/>
                <w:szCs w:val="24"/>
              </w:rPr>
              <w:t>Veteran</w:t>
            </w:r>
          </w:p>
        </w:tc>
        <w:tc>
          <w:tcPr>
            <w:tcW w:w="2671" w:type="dxa"/>
            <w:tcBorders>
              <w:bottom w:val="single" w:sz="18"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20.6%</w:t>
            </w:r>
          </w:p>
        </w:tc>
        <w:tc>
          <w:tcPr>
            <w:tcW w:w="2671" w:type="dxa"/>
            <w:tcBorders>
              <w:bottom w:val="single" w:sz="18" w:space="0" w:color="auto"/>
            </w:tcBorders>
            <w:tcMar>
              <w:top w:w="29" w:type="dxa"/>
              <w:left w:w="86" w:type="dxa"/>
              <w:bottom w:w="29" w:type="dxa"/>
              <w:right w:w="86" w:type="dxa"/>
            </w:tcMar>
            <w:vAlign w:val="center"/>
          </w:tcPr>
          <w:p w:rsidR="008C6F97" w:rsidRPr="007409F0" w:rsidRDefault="008C6F97" w:rsidP="002E124F">
            <w:pPr>
              <w:pStyle w:val="NCDTableTextNew"/>
              <w:jc w:val="center"/>
              <w:rPr>
                <w:rFonts w:cs="Arial"/>
                <w:sz w:val="24"/>
                <w:szCs w:val="24"/>
              </w:rPr>
            </w:pPr>
            <w:r w:rsidRPr="007409F0">
              <w:rPr>
                <w:rFonts w:cs="Arial"/>
                <w:sz w:val="24"/>
                <w:szCs w:val="24"/>
              </w:rPr>
              <w:t>79%</w:t>
            </w:r>
          </w:p>
        </w:tc>
      </w:tr>
    </w:tbl>
    <w:p w:rsidR="008C6F97" w:rsidRDefault="008C6F97" w:rsidP="00445A92">
      <w:pPr>
        <w:pStyle w:val="NCDTableSource"/>
        <w:spacing w:after="0"/>
      </w:pPr>
      <w:r w:rsidRPr="00A55901">
        <w:rPr>
          <w:i/>
        </w:rPr>
        <w:t>Source</w:t>
      </w:r>
      <w:r>
        <w:rPr>
          <w:i/>
        </w:rPr>
        <w:t>s</w:t>
      </w:r>
      <w:r w:rsidRPr="00A55901">
        <w:rPr>
          <w:i/>
        </w:rPr>
        <w:t>:</w:t>
      </w:r>
      <w:r w:rsidRPr="00CC2653">
        <w:t xml:space="preserve"> </w:t>
      </w:r>
      <w:r>
        <w:t>Data from Snyder et al. (2016); Erickson et al. (2017).</w:t>
      </w:r>
      <w:r>
        <w:rPr>
          <w:rStyle w:val="EndnoteReference"/>
        </w:rPr>
        <w:endnoteReference w:id="26"/>
      </w:r>
    </w:p>
    <w:p w:rsidR="008C6F97" w:rsidRPr="002A1447" w:rsidRDefault="008C6F97" w:rsidP="00445A92">
      <w:pPr>
        <w:pStyle w:val="NCDTableSource"/>
      </w:pPr>
      <w:r w:rsidRPr="00544D8C">
        <w:t>*</w:t>
      </w:r>
      <w:r>
        <w:t xml:space="preserve">Based on 2015 data for </w:t>
      </w:r>
      <w:proofErr w:type="spellStart"/>
      <w:r>
        <w:t>n</w:t>
      </w:r>
      <w:r w:rsidRPr="002A1447">
        <w:t>oninstitutionalized</w:t>
      </w:r>
      <w:proofErr w:type="spellEnd"/>
      <w:r w:rsidRPr="002A1447">
        <w:t xml:space="preserve"> persons aged 21 to 64 years</w:t>
      </w:r>
      <w:r>
        <w:t xml:space="preserve"> from Erickson </w:t>
      </w:r>
      <w:r>
        <w:br/>
        <w:t xml:space="preserve">et al. (2017). </w:t>
      </w:r>
    </w:p>
    <w:p w:rsidR="008C6F97" w:rsidRPr="003F7AB7" w:rsidRDefault="008C6F97" w:rsidP="00445A92">
      <w:pPr>
        <w:pStyle w:val="NCDBodyText"/>
      </w:pPr>
      <w:r>
        <w:t xml:space="preserve">As students with disabilities move into higher education, cost becomes a factor in whether they can pursue a postsecondary degree and enter the labor market with competitive skills. Pell grants and other federal aid programs have played a major role in expanding access to postsecondary education for all students, including people with </w:t>
      </w:r>
      <w:r w:rsidRPr="00967597">
        <w:lastRenderedPageBreak/>
        <w:t>disabilities.</w:t>
      </w:r>
      <w:r>
        <w:rPr>
          <w:rStyle w:val="EndnoteReference"/>
        </w:rPr>
        <w:endnoteReference w:id="27"/>
      </w:r>
      <w:r>
        <w:t xml:space="preserve"> The federal work-study program provides part-time jobs for any undergraduate or graduate student who has financial need, including students with disabilities, who can earn money to help with their education expenses. On average, undergraduate students earn $2,400 per academic year in wages.</w:t>
      </w:r>
      <w:r>
        <w:rPr>
          <w:rStyle w:val="EndnoteReference"/>
        </w:rPr>
        <w:endnoteReference w:id="28"/>
      </w:r>
      <w:r>
        <w:t xml:space="preserve"> Also, under the Federal Supplemental Educational Opportunity Grant program, any student with financial need can apply for grants between $100 and $4,000 a year to support additional educational expenses. The amount of the award depends on their financial need, the amount of other aid they receive, and the availability of school funds</w:t>
      </w:r>
      <w:r>
        <w:fldChar w:fldCharType="begin"/>
      </w:r>
      <w:r>
        <w:instrText xml:space="preserve"> ADDIN EN.CITE &lt;EndNote&gt;&lt;Cite&gt;&lt;Author&gt;Federal Student Aid&lt;/Author&gt;&lt;RecNum&gt;6&lt;/RecNum&gt;&lt;DisplayText&gt;&lt;style face="superscript"&gt;24&lt;/style&gt;&lt;/DisplayText&gt;&lt;record&gt;&lt;rec-number&gt;6&lt;/rec-number&gt;&lt;foreign-keys&gt;&lt;key app="EN" db-id="xz25e52t9z5v06etx2i50fpf5aa9tvs0dadd" timestamp="1490289765"&gt;6&lt;/key&gt;&lt;/foreign-keys&gt;&lt;ref-type name="Report"&gt;27&lt;/ref-type&gt;&lt;contributors&gt;&lt;authors&gt;&lt;author&gt;Federal Student Aid, &lt;/author&gt;&lt;/authors&gt;&lt;/contributors&gt;&lt;titles&gt;&lt;/titles&gt;&lt;edition&gt;A Federal Supplemental Educational Opportunity Grant (FSEOG) is a Grant for Undergraduate Students with Exceptional Financial Need&lt;/edition&gt;&lt;dates&gt;&lt;/dates&gt;&lt;work-type&gt;U.S. Department of Education, accessed May 15, 2017, https://studentaid.ed.gov/sa/types/grants-scholarships/fseog.&lt;/work-type&gt;&lt;urls&gt;&lt;/urls&gt;&lt;/record&gt;&lt;/Cite&gt;&lt;/EndNote&gt;</w:instrText>
      </w:r>
      <w:r>
        <w:fldChar w:fldCharType="end"/>
      </w:r>
      <w:r>
        <w:t>.</w:t>
      </w:r>
      <w:r>
        <w:rPr>
          <w:rStyle w:val="EndnoteReference"/>
        </w:rPr>
        <w:endnoteReference w:id="29"/>
      </w:r>
      <w:r>
        <w:t xml:space="preserve"> All federal work-study opportunities must be accessible to students with disabilities. However, there is no available data that provides a breakdown of students with and without disabilities who participate in these programs. </w:t>
      </w:r>
      <w:r w:rsidRPr="006762C9">
        <w:rPr>
          <w:b/>
        </w:rPr>
        <w:t xml:space="preserve">NCD recommends that </w:t>
      </w:r>
      <w:r>
        <w:rPr>
          <w:b/>
        </w:rPr>
        <w:t xml:space="preserve">the U.S. Department of Education </w:t>
      </w:r>
      <w:r w:rsidRPr="006762C9">
        <w:rPr>
          <w:b/>
        </w:rPr>
        <w:t>collect</w:t>
      </w:r>
      <w:r>
        <w:rPr>
          <w:b/>
        </w:rPr>
        <w:t xml:space="preserve"> data</w:t>
      </w:r>
      <w:r w:rsidRPr="006762C9">
        <w:rPr>
          <w:b/>
        </w:rPr>
        <w:t xml:space="preserve"> on the participation of students with and without disabilities in these programs</w:t>
      </w:r>
      <w:r w:rsidRPr="00FD5679">
        <w:rPr>
          <w:b/>
        </w:rPr>
        <w:t>.</w:t>
      </w:r>
      <w:r>
        <w:t xml:space="preserve"> Furthermore, many students with disabilities do not know how to disclose disability-</w:t>
      </w:r>
      <w:r w:rsidRPr="003F7AB7">
        <w:t>related expenses to financial aid officers, which means that these expenses are not</w:t>
      </w:r>
      <w:r w:rsidRPr="003F7AB7">
        <w:rPr>
          <w:spacing w:val="-6"/>
        </w:rPr>
        <w:t xml:space="preserve"> considered when determining financial aid packages. Many financial aid options also require </w:t>
      </w:r>
      <w:r w:rsidRPr="003F7AB7">
        <w:t xml:space="preserve">students to </w:t>
      </w:r>
      <w:r>
        <w:t>attend</w:t>
      </w:r>
      <w:r w:rsidRPr="003F7AB7">
        <w:t xml:space="preserve"> school full time, although some disabilities make this difficult.</w:t>
      </w:r>
      <w:r>
        <w:t xml:space="preserve"> </w:t>
      </w:r>
      <w:r w:rsidRPr="006762C9">
        <w:rPr>
          <w:b/>
        </w:rPr>
        <w:t>NCD recommends</w:t>
      </w:r>
      <w:r>
        <w:rPr>
          <w:b/>
        </w:rPr>
        <w:t xml:space="preserve"> that Congress amend the Higher Education Act to modify </w:t>
      </w:r>
      <w:r w:rsidRPr="006762C9">
        <w:rPr>
          <w:b/>
        </w:rPr>
        <w:t>financial assistance program guidelines</w:t>
      </w:r>
      <w:r>
        <w:rPr>
          <w:b/>
        </w:rPr>
        <w:t xml:space="preserve"> </w:t>
      </w:r>
      <w:r w:rsidRPr="006762C9">
        <w:rPr>
          <w:b/>
        </w:rPr>
        <w:t>so that students with disabilities are not penalized if they cannot maintain a full course load</w:t>
      </w:r>
      <w:r w:rsidRPr="00FD5679">
        <w:rPr>
          <w:b/>
        </w:rPr>
        <w:t>.</w:t>
      </w:r>
    </w:p>
    <w:p w:rsidR="008C6F97" w:rsidRDefault="008C6F97" w:rsidP="00445A92">
      <w:pPr>
        <w:pStyle w:val="NCDBodyText"/>
      </w:pPr>
      <w:r>
        <w:t xml:space="preserve">Students with intellectual disabilities have traditionally been excluded from postsecondary education opportunities. One promising initiative that is addressing the needs of students with intellectual disabilities is the TPSID program. TPSID, which is funded by ED, provides grants to institutions of higher education for model comprehensive transition and postsecondary programs for students with intellectual disabilities. Through these programs, students with intellectual disabilities learn academic, career, and independent living skills while auditing classes on university campuses. Between 2012 and 2015, the program expanded to 45 colleges and universities and has served 1,379 students with intellectual disabilities across 24 states (see Appendix D for a list of participating colleges and universities). The TPSID program offers structured academic advising and curriculum for students with intellectual disabilities. While in the program, many students with intellectual disabilities at certain </w:t>
      </w:r>
      <w:r>
        <w:lastRenderedPageBreak/>
        <w:t xml:space="preserve">institutions have access to paid internships and participate in career development activities. After leaving their college-based programs, 36 percent of the </w:t>
      </w:r>
      <w:proofErr w:type="gramStart"/>
      <w:r>
        <w:t>students</w:t>
      </w:r>
      <w:proofErr w:type="gramEnd"/>
      <w:r>
        <w:t xml:space="preserve"> secured paid jobs, of which 89 percent paid minimum wage or higher.</w:t>
      </w:r>
      <w:r>
        <w:rPr>
          <w:rStyle w:val="EndnoteReference"/>
        </w:rPr>
        <w:endnoteReference w:id="30"/>
      </w:r>
      <w:r>
        <w:t xml:space="preserve"> To ensure the quality of these programs, Think College, </w:t>
      </w:r>
      <w:r w:rsidRPr="00CE6306">
        <w:t>a project of the Institute for Community Inclusion at the University of Massachusetts Boston</w:t>
      </w:r>
      <w:r>
        <w:t xml:space="preserve">, provides support, coordination, training, and evaluation services to TPSID grantees and </w:t>
      </w:r>
      <w:r w:rsidRPr="00967597">
        <w:t>others.</w:t>
      </w:r>
      <w:r>
        <w:rPr>
          <w:rStyle w:val="EndnoteReference"/>
        </w:rPr>
        <w:endnoteReference w:id="31"/>
      </w:r>
      <w:r>
        <w:t xml:space="preserve"> TPSID is an example of a disability-specific program that can help reduce poverty and increase opportunities for students with disabilities to obtain jobs.</w:t>
      </w:r>
      <w:r>
        <w:fldChar w:fldCharType="begin"/>
      </w:r>
      <w:r>
        <w:instrText xml:space="preserve"> ADDIN EN.CITE &lt;EndNote&gt;&lt;Cite&gt;&lt;Author&gt;Association of University Centers on Disabilities&lt;/Author&gt;&lt;Year&gt;2015&lt;/Year&gt;&lt;RecNum&gt;178&lt;/RecNum&gt;&lt;DisplayText&gt;&lt;style face="superscript"&gt;25&lt;/style&gt;&lt;/DisplayText&gt;&lt;record&gt;&lt;rec-number&gt;178&lt;/rec-number&gt;&lt;foreign-keys&gt;&lt;key app="EN" db-id="xz25e52t9z5v06etx2i50fpf5aa9tvs0dadd" timestamp="1490906592"&gt;178&lt;/key&gt;&lt;/foreign-keys&gt;&lt;ref-type name="Generic"&gt;13&lt;/ref-type&gt;&lt;contributors&gt;&lt;authors&gt;&lt;author&gt;Association of University Centers on Disabilities, &lt;/author&gt;&lt;/authors&gt;&lt;/contributors&gt;&lt;titles&gt;&lt;title&gt;Transition Programs for Students with Intellectual Disability (TPSID) Model Demonstrations &amp;amp; TPSID National Coordinating Center (NCC)&lt;/title&gt;&lt;/titles&gt;&lt;dates&gt;&lt;year&gt;2015&lt;/year&gt;&lt;/dates&gt;&lt;urls&gt;&lt;related-urls&gt;&lt;url&gt;https://www.aucd.org/docs/policy/appropriations/TPSID_FY15_Brief.pdf&lt;/url&gt;&lt;/related-urls&gt;&lt;/urls&gt;&lt;access-date&gt;March 20, 2017&lt;/access-date&gt;&lt;/record&gt;&lt;/Cite&gt;&lt;/EndNote&gt;</w:instrText>
      </w:r>
      <w:r>
        <w:fldChar w:fldCharType="end"/>
      </w:r>
      <w:r>
        <w:rPr>
          <w:rStyle w:val="EndnoteReference"/>
        </w:rPr>
        <w:endnoteReference w:id="32"/>
      </w:r>
      <w:r>
        <w:t xml:space="preserve"> Therefore, </w:t>
      </w:r>
      <w:r w:rsidRPr="00C76166">
        <w:rPr>
          <w:b/>
        </w:rPr>
        <w:t xml:space="preserve">NCD recommends that the U.S. Department of Education </w:t>
      </w:r>
      <w:r>
        <w:rPr>
          <w:b/>
        </w:rPr>
        <w:t xml:space="preserve">continue </w:t>
      </w:r>
      <w:r w:rsidRPr="00C76166">
        <w:rPr>
          <w:b/>
        </w:rPr>
        <w:t xml:space="preserve">funding </w:t>
      </w:r>
      <w:r>
        <w:rPr>
          <w:b/>
        </w:rPr>
        <w:t>for</w:t>
      </w:r>
      <w:r w:rsidRPr="00C76166">
        <w:rPr>
          <w:b/>
        </w:rPr>
        <w:t xml:space="preserve"> model programs like TPSID to provide students with disabilities </w:t>
      </w:r>
      <w:r>
        <w:rPr>
          <w:b/>
        </w:rPr>
        <w:t xml:space="preserve">with </w:t>
      </w:r>
      <w:r w:rsidRPr="00C76166">
        <w:rPr>
          <w:b/>
        </w:rPr>
        <w:t>the opportunity to attain economic independence</w:t>
      </w:r>
      <w:r w:rsidRPr="00FD5679">
        <w:rPr>
          <w:b/>
        </w:rPr>
        <w:t>.</w:t>
      </w:r>
    </w:p>
    <w:p w:rsidR="008C6F97" w:rsidRDefault="008C6F97" w:rsidP="007409F0">
      <w:pPr>
        <w:pStyle w:val="Heading2"/>
      </w:pPr>
      <w:bookmarkStart w:id="56" w:name="_Toc478555112"/>
      <w:bookmarkStart w:id="57" w:name="_Toc493507471"/>
      <w:bookmarkStart w:id="58" w:name="_Toc493596673"/>
      <w:r>
        <w:t>Employment</w:t>
      </w:r>
      <w:bookmarkEnd w:id="56"/>
      <w:bookmarkEnd w:id="57"/>
      <w:bookmarkEnd w:id="58"/>
    </w:p>
    <w:p w:rsidR="008C6F97" w:rsidRPr="00B65101" w:rsidRDefault="008C6F97" w:rsidP="00445A92">
      <w:pPr>
        <w:pStyle w:val="NCDBodyText"/>
        <w:rPr>
          <w:color w:val="auto"/>
        </w:rPr>
      </w:pPr>
      <w:r>
        <w:t xml:space="preserve">Employment is the most direct and cost-effective way to empower all individuals, including those with disabilities, to achieve independence and economic self-sufficiency. </w:t>
      </w:r>
      <w:r w:rsidRPr="003C01D5">
        <w:t xml:space="preserve">Although many adults and youth with disabilities have </w:t>
      </w:r>
      <w:r>
        <w:t xml:space="preserve">the </w:t>
      </w:r>
      <w:r w:rsidRPr="003C01D5">
        <w:t>desire and willingness to work, only 3</w:t>
      </w:r>
      <w:r>
        <w:t>2</w:t>
      </w:r>
      <w:r w:rsidRPr="003C01D5">
        <w:t xml:space="preserve"> percent of working-age people with disabilities are employed compared with 7</w:t>
      </w:r>
      <w:r>
        <w:t>3</w:t>
      </w:r>
      <w:r w:rsidRPr="003C01D5">
        <w:t xml:space="preserve"> percent of those without disabilities. This </w:t>
      </w:r>
      <w:r>
        <w:t xml:space="preserve">employment rate </w:t>
      </w:r>
      <w:r w:rsidRPr="003C01D5">
        <w:t>varies by disability type.</w:t>
      </w:r>
      <w:r>
        <w:t xml:space="preserve"> </w:t>
      </w:r>
      <w:r w:rsidRPr="003C01D5">
        <w:t>For example, 52 percent of people with hearing impairments and 24</w:t>
      </w:r>
      <w:r>
        <w:t xml:space="preserve"> </w:t>
      </w:r>
      <w:r w:rsidRPr="003C01D5">
        <w:t xml:space="preserve">percent </w:t>
      </w:r>
      <w:r>
        <w:t xml:space="preserve">of people </w:t>
      </w:r>
      <w:r w:rsidRPr="003C01D5">
        <w:t xml:space="preserve">with ambulatory difficulties are </w:t>
      </w:r>
      <w:r w:rsidRPr="00967597">
        <w:t>employed.</w:t>
      </w:r>
      <w:r>
        <w:rPr>
          <w:rStyle w:val="EndnoteReference"/>
        </w:rPr>
        <w:endnoteReference w:id="33"/>
      </w:r>
      <w:r>
        <w:t xml:space="preserve"> </w:t>
      </w:r>
      <w:r w:rsidRPr="003C01D5">
        <w:t xml:space="preserve">For people with </w:t>
      </w:r>
      <w:r>
        <w:t>intellectual disabilities</w:t>
      </w:r>
      <w:r w:rsidRPr="003C01D5">
        <w:t xml:space="preserve">, the disparity in employment participation is even more dramatic. Data from the National Core Indicators (NCI) </w:t>
      </w:r>
      <w:r>
        <w:t>p</w:t>
      </w:r>
      <w:r w:rsidRPr="003C01D5">
        <w:t>roject suggest</w:t>
      </w:r>
      <w:r>
        <w:t>s</w:t>
      </w:r>
      <w:r w:rsidRPr="003C01D5">
        <w:t xml:space="preserve"> that in 2014–2015, only 15</w:t>
      </w:r>
      <w:r>
        <w:t xml:space="preserve"> percent</w:t>
      </w:r>
      <w:r w:rsidRPr="003C01D5">
        <w:t xml:space="preserve"> of working-age adults who </w:t>
      </w:r>
      <w:r>
        <w:t>were</w:t>
      </w:r>
      <w:r w:rsidRPr="003C01D5">
        <w:t xml:space="preserve"> supported by state </w:t>
      </w:r>
      <w:r>
        <w:t>intellectual disability</w:t>
      </w:r>
      <w:r w:rsidRPr="003C01D5">
        <w:t xml:space="preserve"> agencies and who live</w:t>
      </w:r>
      <w:r>
        <w:t>d</w:t>
      </w:r>
      <w:r w:rsidRPr="003C01D5">
        <w:t xml:space="preserve"> in the community were employed in a paid job in the community</w:t>
      </w:r>
      <w:r>
        <w:t>.</w:t>
      </w:r>
      <w:r>
        <w:fldChar w:fldCharType="begin"/>
      </w:r>
      <w:r>
        <w:instrText xml:space="preserve"> ADDIN EN.CITE &lt;EndNote&gt;&lt;Cite&gt;&lt;Author&gt;Bershadsky&lt;/Author&gt;&lt;Year&gt;2016&lt;/Year&gt;&lt;RecNum&gt;179&lt;/RecNum&gt;&lt;DisplayText&gt;&lt;style face="superscript"&gt;29&lt;/style&gt;&lt;/DisplayText&gt;&lt;record&gt;&lt;rec-number&gt;179&lt;/rec-number&gt;&lt;foreign-keys&gt;&lt;key app="EN" db-id="xz25e52t9z5v06etx2i50fpf5aa9tvs0dadd" timestamp="1490906994"&gt;179&lt;/key&gt;&lt;/foreign-keys&gt;&lt;ref-type name="Generic"&gt;13&lt;/ref-type&gt;&lt;contributors&gt;&lt;authors&gt;&lt;author&gt;Hiersteiner, Dorothy&lt;/author&gt;&lt;author&gt;Butterworth, John&lt;/author&gt;&lt;author&gt;Bershadsky, Julie&lt;/author&gt;&lt;author&gt;Bonardi, Alixe&lt;/author&gt;&lt;/authors&gt;&lt;/contributors&gt;&lt;titles&gt;&lt;title&gt;Working in the Community: The Status and Outcomes of People with Intellectual and Developmental Disabilities in Integrated Employment–Update 2. NCI Data Brief&lt;/title&gt;&lt;/titles&gt;&lt;dates&gt;&lt;year&gt;2016&lt;/year&gt;&lt;/dates&gt;&lt;pub-location&gt;Cambridge, MA&lt;/pub-location&gt;&lt;publisher&gt;Human Services Research Institute&lt;/publisher&gt;&lt;urls&gt;&lt;related-urls&gt;&lt;url&gt;https://www.statedata.info/sites/statedata.info/files/files/NCI_DataBrief_Employment_Update_2014_2015%200516.pdf&lt;/url&gt;&lt;/related-urls&gt;&lt;/urls&gt;&lt;/record&gt;&lt;/Cite&gt;&lt;/EndNote&gt;</w:instrText>
      </w:r>
      <w:r>
        <w:fldChar w:fldCharType="end"/>
      </w:r>
      <w:r>
        <w:rPr>
          <w:rStyle w:val="EndnoteReference"/>
        </w:rPr>
        <w:endnoteReference w:id="34"/>
      </w:r>
      <w:r>
        <w:t xml:space="preserve"> </w:t>
      </w:r>
    </w:p>
    <w:p w:rsidR="008C6F97" w:rsidRDefault="008C6F97">
      <w:pPr>
        <w:rPr>
          <w:rFonts w:ascii="Arial" w:eastAsia="Calibri" w:hAnsi="Arial" w:cs="Calibri"/>
          <w:b/>
          <w:color w:val="000000"/>
          <w:sz w:val="24"/>
          <w:szCs w:val="24"/>
          <w:u w:color="000000"/>
          <w:bdr w:val="nil"/>
        </w:rPr>
      </w:pPr>
      <w:r>
        <w:br w:type="page"/>
      </w:r>
    </w:p>
    <w:p w:rsidR="008C6F97" w:rsidRDefault="008C6F97" w:rsidP="00445A92">
      <w:pPr>
        <w:pStyle w:val="NCDExhibitTitle"/>
        <w:keepLines/>
      </w:pPr>
      <w:proofErr w:type="gramStart"/>
      <w:r>
        <w:lastRenderedPageBreak/>
        <w:t>Exhibit</w:t>
      </w:r>
      <w:r w:rsidRPr="005341F2">
        <w:t xml:space="preserve"> </w:t>
      </w:r>
      <w:r>
        <w:t>1.2</w:t>
      </w:r>
      <w:r w:rsidRPr="005341F2">
        <w:t>.</w:t>
      </w:r>
      <w:proofErr w:type="gramEnd"/>
      <w:r w:rsidRPr="005341F2">
        <w:t xml:space="preserve"> </w:t>
      </w:r>
      <w:r w:rsidRPr="004F1EEB">
        <w:t xml:space="preserve">Employment </w:t>
      </w:r>
      <w:r>
        <w:t>R</w:t>
      </w:r>
      <w:r w:rsidRPr="004F1EEB">
        <w:t xml:space="preserve">ate of </w:t>
      </w:r>
      <w:r>
        <w:t>W</w:t>
      </w:r>
      <w:r w:rsidRPr="004F1EEB">
        <w:t>orking-</w:t>
      </w:r>
      <w:r>
        <w:t>A</w:t>
      </w:r>
      <w:r w:rsidRPr="004F1EEB">
        <w:t xml:space="preserve">ge </w:t>
      </w:r>
      <w:r>
        <w:t>A</w:t>
      </w:r>
      <w:r w:rsidRPr="004F1EEB">
        <w:t>dults (18</w:t>
      </w:r>
      <w:r>
        <w:rPr>
          <w:rFonts w:cs="Arial"/>
        </w:rPr>
        <w:t>–</w:t>
      </w:r>
      <w:r w:rsidRPr="004F1EEB">
        <w:t xml:space="preserve">64), by </w:t>
      </w:r>
      <w:r>
        <w:t>D</w:t>
      </w:r>
      <w:r w:rsidRPr="004F1EEB">
        <w:t xml:space="preserve">isability </w:t>
      </w:r>
      <w:r>
        <w:t>S</w:t>
      </w:r>
      <w:r w:rsidRPr="004F1EEB">
        <w:t xml:space="preserve">tatus and </w:t>
      </w:r>
      <w:r>
        <w:t>S</w:t>
      </w:r>
      <w:r w:rsidRPr="004F1EEB">
        <w:t xml:space="preserve">elected </w:t>
      </w:r>
      <w:r>
        <w:t>S</w:t>
      </w:r>
      <w:r w:rsidRPr="004F1EEB">
        <w:t xml:space="preserve">ocioeconomic </w:t>
      </w:r>
      <w:r>
        <w:t>C</w:t>
      </w:r>
      <w:r w:rsidRPr="004F1EEB">
        <w:t>haracteristics</w:t>
      </w:r>
    </w:p>
    <w:tbl>
      <w:tblPr>
        <w:tblStyle w:val="TableGrid"/>
        <w:tblW w:w="9360" w:type="dxa"/>
        <w:jc w:val="center"/>
        <w:tblLook w:val="04A0" w:firstRow="1" w:lastRow="0" w:firstColumn="1" w:lastColumn="0" w:noHBand="0" w:noVBand="1"/>
        <w:tblDescription w:val="Exhibit 1.2. Employment Rate of Working-Age Adults (18–64), by Disability Status and Selected Socioeconomic Characteristics"/>
      </w:tblPr>
      <w:tblGrid>
        <w:gridCol w:w="4018"/>
        <w:gridCol w:w="2671"/>
        <w:gridCol w:w="2671"/>
      </w:tblGrid>
      <w:tr w:rsidR="008C6F97" w:rsidRPr="007409F0" w:rsidTr="00BF32FE">
        <w:trPr>
          <w:tblHeader/>
          <w:jc w:val="center"/>
        </w:trPr>
        <w:tc>
          <w:tcPr>
            <w:tcW w:w="4018" w:type="dxa"/>
            <w:tcBorders>
              <w:top w:val="single" w:sz="18" w:space="0" w:color="auto"/>
              <w:bottom w:val="single" w:sz="18" w:space="0" w:color="auto"/>
            </w:tcBorders>
            <w:shd w:val="clear" w:color="auto" w:fill="D9D9D9" w:themeFill="background1" w:themeFillShade="D9"/>
            <w:tcMar>
              <w:top w:w="29" w:type="dxa"/>
              <w:left w:w="86" w:type="dxa"/>
              <w:bottom w:w="29" w:type="dxa"/>
              <w:right w:w="86" w:type="dxa"/>
            </w:tcMar>
          </w:tcPr>
          <w:p w:rsidR="008C6F97" w:rsidRPr="007409F0" w:rsidRDefault="008C6F97" w:rsidP="002E124F">
            <w:pPr>
              <w:pStyle w:val="NCDTableColumnHeadLeft"/>
              <w:keepNext/>
              <w:rPr>
                <w:sz w:val="24"/>
                <w:szCs w:val="24"/>
              </w:rPr>
            </w:pPr>
            <w:r w:rsidRPr="007409F0">
              <w:rPr>
                <w:sz w:val="24"/>
                <w:szCs w:val="24"/>
              </w:rPr>
              <w:t>Selected Student Characteristics</w:t>
            </w:r>
          </w:p>
        </w:tc>
        <w:tc>
          <w:tcPr>
            <w:tcW w:w="2671" w:type="dxa"/>
            <w:tcBorders>
              <w:top w:val="single" w:sz="18" w:space="0" w:color="auto"/>
              <w:bottom w:val="single" w:sz="18" w:space="0" w:color="auto"/>
            </w:tcBorders>
            <w:shd w:val="clear" w:color="auto" w:fill="D9D9D9" w:themeFill="background1" w:themeFillShade="D9"/>
            <w:tcMar>
              <w:top w:w="29" w:type="dxa"/>
              <w:left w:w="86" w:type="dxa"/>
              <w:bottom w:w="29" w:type="dxa"/>
              <w:right w:w="86" w:type="dxa"/>
            </w:tcMar>
            <w:vAlign w:val="center"/>
          </w:tcPr>
          <w:p w:rsidR="008C6F97" w:rsidRPr="007409F0" w:rsidRDefault="008C6F97" w:rsidP="002E124F">
            <w:pPr>
              <w:pStyle w:val="NCDTableColumnHeadRight"/>
              <w:keepNext/>
              <w:jc w:val="center"/>
              <w:rPr>
                <w:sz w:val="24"/>
                <w:szCs w:val="24"/>
              </w:rPr>
            </w:pPr>
            <w:r w:rsidRPr="007409F0">
              <w:rPr>
                <w:sz w:val="24"/>
                <w:szCs w:val="24"/>
              </w:rPr>
              <w:t>With Disabilities</w:t>
            </w:r>
          </w:p>
        </w:tc>
        <w:tc>
          <w:tcPr>
            <w:tcW w:w="2671" w:type="dxa"/>
            <w:tcBorders>
              <w:top w:val="single" w:sz="18" w:space="0" w:color="auto"/>
              <w:bottom w:val="single" w:sz="18" w:space="0" w:color="auto"/>
            </w:tcBorders>
            <w:shd w:val="clear" w:color="auto" w:fill="D9D9D9" w:themeFill="background1" w:themeFillShade="D9"/>
            <w:tcMar>
              <w:top w:w="29" w:type="dxa"/>
              <w:left w:w="86" w:type="dxa"/>
              <w:bottom w:w="29" w:type="dxa"/>
              <w:right w:w="86" w:type="dxa"/>
            </w:tcMar>
            <w:vAlign w:val="center"/>
          </w:tcPr>
          <w:p w:rsidR="008C6F97" w:rsidRPr="007409F0" w:rsidRDefault="008C6F97" w:rsidP="002E124F">
            <w:pPr>
              <w:pStyle w:val="NCDTableColumnHeadRight"/>
              <w:keepNext/>
              <w:jc w:val="center"/>
              <w:rPr>
                <w:sz w:val="24"/>
                <w:szCs w:val="24"/>
              </w:rPr>
            </w:pPr>
            <w:r w:rsidRPr="007409F0">
              <w:rPr>
                <w:sz w:val="24"/>
                <w:szCs w:val="24"/>
              </w:rPr>
              <w:t>Without Disabilities</w:t>
            </w:r>
          </w:p>
        </w:tc>
      </w:tr>
      <w:tr w:rsidR="008C6F97" w:rsidRPr="007409F0" w:rsidTr="002E124F">
        <w:trPr>
          <w:jc w:val="center"/>
        </w:trPr>
        <w:tc>
          <w:tcPr>
            <w:tcW w:w="4018" w:type="dxa"/>
            <w:tcBorders>
              <w:top w:val="single" w:sz="18" w:space="0" w:color="auto"/>
            </w:tcBorders>
            <w:shd w:val="clear" w:color="auto" w:fill="E6E6E6"/>
            <w:tcMar>
              <w:top w:w="29" w:type="dxa"/>
              <w:left w:w="86" w:type="dxa"/>
              <w:bottom w:w="29" w:type="dxa"/>
              <w:right w:w="86" w:type="dxa"/>
            </w:tcMar>
          </w:tcPr>
          <w:p w:rsidR="008C6F97" w:rsidRPr="007409F0" w:rsidRDefault="008C6F97" w:rsidP="002E124F">
            <w:pPr>
              <w:pStyle w:val="NCDTableTextNew"/>
              <w:keepNext/>
              <w:rPr>
                <w:sz w:val="24"/>
                <w:szCs w:val="24"/>
              </w:rPr>
            </w:pPr>
            <w:r w:rsidRPr="007409F0">
              <w:rPr>
                <w:sz w:val="24"/>
                <w:szCs w:val="24"/>
              </w:rPr>
              <w:t>Total</w:t>
            </w:r>
          </w:p>
        </w:tc>
        <w:tc>
          <w:tcPr>
            <w:tcW w:w="2671" w:type="dxa"/>
            <w:tcBorders>
              <w:top w:val="single" w:sz="18" w:space="0" w:color="auto"/>
            </w:tcBorders>
            <w:tcMar>
              <w:top w:w="29" w:type="dxa"/>
              <w:left w:w="86" w:type="dxa"/>
              <w:bottom w:w="29" w:type="dxa"/>
              <w:right w:w="86" w:type="dxa"/>
            </w:tcMar>
            <w:vAlign w:val="center"/>
          </w:tcPr>
          <w:p w:rsidR="008C6F97" w:rsidRPr="007409F0" w:rsidRDefault="008C6F97" w:rsidP="002E124F">
            <w:pPr>
              <w:pStyle w:val="NCDTableTextNew"/>
              <w:keepNext/>
              <w:jc w:val="center"/>
              <w:rPr>
                <w:sz w:val="24"/>
                <w:szCs w:val="24"/>
              </w:rPr>
            </w:pPr>
            <w:r w:rsidRPr="007409F0">
              <w:rPr>
                <w:sz w:val="24"/>
                <w:szCs w:val="24"/>
              </w:rPr>
              <w:t>32%</w:t>
            </w:r>
          </w:p>
        </w:tc>
        <w:tc>
          <w:tcPr>
            <w:tcW w:w="2671" w:type="dxa"/>
            <w:tcBorders>
              <w:top w:val="single" w:sz="18" w:space="0" w:color="auto"/>
            </w:tcBorders>
            <w:tcMar>
              <w:top w:w="29" w:type="dxa"/>
              <w:left w:w="86" w:type="dxa"/>
              <w:bottom w:w="29" w:type="dxa"/>
              <w:right w:w="86" w:type="dxa"/>
            </w:tcMar>
            <w:vAlign w:val="center"/>
          </w:tcPr>
          <w:p w:rsidR="008C6F97" w:rsidRPr="007409F0" w:rsidRDefault="008C6F97" w:rsidP="002E124F">
            <w:pPr>
              <w:pStyle w:val="NCDTableTextNew"/>
              <w:keepNext/>
              <w:jc w:val="center"/>
              <w:rPr>
                <w:sz w:val="24"/>
                <w:szCs w:val="24"/>
              </w:rPr>
            </w:pPr>
            <w:r w:rsidRPr="007409F0">
              <w:rPr>
                <w:sz w:val="24"/>
                <w:szCs w:val="24"/>
              </w:rPr>
              <w:t>73%</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NCDTableTextNew"/>
              <w:rPr>
                <w:sz w:val="24"/>
                <w:szCs w:val="24"/>
              </w:rPr>
            </w:pPr>
            <w:r w:rsidRPr="007409F0">
              <w:rPr>
                <w:sz w:val="24"/>
                <w:szCs w:val="24"/>
              </w:rPr>
              <w:t>Sex</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sz w:val="24"/>
              </w:rPr>
            </w:pPr>
            <w:r w:rsidRPr="007409F0">
              <w:rPr>
                <w:sz w:val="24"/>
              </w:rPr>
              <w:t>Male</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34%</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78%</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sz w:val="24"/>
              </w:rPr>
            </w:pPr>
            <w:r w:rsidRPr="007409F0">
              <w:rPr>
                <w:sz w:val="24"/>
              </w:rPr>
              <w:t>Female</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31%</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69%</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NCDTableTextNew"/>
              <w:rPr>
                <w:sz w:val="24"/>
                <w:szCs w:val="24"/>
              </w:rPr>
            </w:pPr>
            <w:r w:rsidRPr="007409F0">
              <w:rPr>
                <w:sz w:val="24"/>
                <w:szCs w:val="24"/>
              </w:rPr>
              <w:t>Race/Ethnicity</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sz w:val="24"/>
              </w:rPr>
            </w:pPr>
            <w:r w:rsidRPr="007409F0">
              <w:rPr>
                <w:sz w:val="24"/>
              </w:rPr>
              <w:t>White</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34%</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76%</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sz w:val="24"/>
              </w:rPr>
            </w:pPr>
            <w:r w:rsidRPr="007409F0">
              <w:rPr>
                <w:sz w:val="24"/>
              </w:rPr>
              <w:t>African American</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24%</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66%</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sz w:val="24"/>
              </w:rPr>
            </w:pPr>
            <w:r w:rsidRPr="007409F0">
              <w:rPr>
                <w:sz w:val="24"/>
              </w:rPr>
              <w:t>Hispanic</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34%</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71%</w:t>
            </w:r>
          </w:p>
        </w:tc>
      </w:tr>
      <w:tr w:rsidR="008C6F97" w:rsidRPr="007409F0" w:rsidTr="002E124F">
        <w:trPr>
          <w:jc w:val="center"/>
        </w:trPr>
        <w:tc>
          <w:tcPr>
            <w:tcW w:w="4018" w:type="dxa"/>
            <w:shd w:val="clear" w:color="auto" w:fill="E6E6E6"/>
            <w:tcMar>
              <w:top w:w="29" w:type="dxa"/>
              <w:left w:w="86" w:type="dxa"/>
              <w:bottom w:w="29" w:type="dxa"/>
              <w:right w:w="86" w:type="dxa"/>
            </w:tcMar>
          </w:tcPr>
          <w:p w:rsidR="008C6F97" w:rsidRPr="007409F0" w:rsidRDefault="008C6F97" w:rsidP="002E124F">
            <w:pPr>
              <w:pStyle w:val="TableBullet1"/>
              <w:rPr>
                <w:sz w:val="24"/>
              </w:rPr>
            </w:pPr>
            <w:r w:rsidRPr="007409F0">
              <w:rPr>
                <w:sz w:val="24"/>
              </w:rPr>
              <w:t>Asian</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38%</w:t>
            </w:r>
          </w:p>
        </w:tc>
        <w:tc>
          <w:tcPr>
            <w:tcW w:w="2671" w:type="dxa"/>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71%</w:t>
            </w:r>
          </w:p>
        </w:tc>
      </w:tr>
      <w:tr w:rsidR="008C6F97" w:rsidRPr="007409F0" w:rsidTr="002E124F">
        <w:trPr>
          <w:jc w:val="center"/>
        </w:trPr>
        <w:tc>
          <w:tcPr>
            <w:tcW w:w="4018" w:type="dxa"/>
            <w:tcBorders>
              <w:bottom w:val="single" w:sz="18" w:space="0" w:color="auto"/>
            </w:tcBorders>
            <w:shd w:val="clear" w:color="auto" w:fill="E6E6E6"/>
            <w:tcMar>
              <w:top w:w="29" w:type="dxa"/>
              <w:left w:w="86" w:type="dxa"/>
              <w:bottom w:w="29" w:type="dxa"/>
              <w:right w:w="86" w:type="dxa"/>
            </w:tcMar>
          </w:tcPr>
          <w:p w:rsidR="008C6F97" w:rsidRPr="007409F0" w:rsidRDefault="008C6F97" w:rsidP="002E124F">
            <w:pPr>
              <w:pStyle w:val="NCDTableTextNew"/>
              <w:rPr>
                <w:sz w:val="24"/>
                <w:szCs w:val="24"/>
              </w:rPr>
            </w:pPr>
            <w:r w:rsidRPr="007409F0">
              <w:rPr>
                <w:sz w:val="24"/>
                <w:szCs w:val="24"/>
              </w:rPr>
              <w:t>Veteran</w:t>
            </w:r>
          </w:p>
        </w:tc>
        <w:tc>
          <w:tcPr>
            <w:tcW w:w="2671" w:type="dxa"/>
            <w:tcBorders>
              <w:bottom w:val="single" w:sz="18" w:space="0" w:color="auto"/>
            </w:tcBorders>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35%</w:t>
            </w:r>
          </w:p>
        </w:tc>
        <w:tc>
          <w:tcPr>
            <w:tcW w:w="2671" w:type="dxa"/>
            <w:tcBorders>
              <w:bottom w:val="single" w:sz="18" w:space="0" w:color="auto"/>
            </w:tcBorders>
            <w:tcMar>
              <w:top w:w="29" w:type="dxa"/>
              <w:left w:w="86" w:type="dxa"/>
              <w:bottom w:w="29" w:type="dxa"/>
              <w:right w:w="86" w:type="dxa"/>
            </w:tcMar>
            <w:vAlign w:val="center"/>
          </w:tcPr>
          <w:p w:rsidR="008C6F97" w:rsidRPr="007409F0" w:rsidRDefault="008C6F97" w:rsidP="002E124F">
            <w:pPr>
              <w:pStyle w:val="NCDTableTextNew"/>
              <w:jc w:val="center"/>
              <w:rPr>
                <w:sz w:val="24"/>
                <w:szCs w:val="24"/>
              </w:rPr>
            </w:pPr>
            <w:r w:rsidRPr="007409F0">
              <w:rPr>
                <w:sz w:val="24"/>
                <w:szCs w:val="24"/>
              </w:rPr>
              <w:t>77%</w:t>
            </w:r>
          </w:p>
        </w:tc>
      </w:tr>
    </w:tbl>
    <w:p w:rsidR="008C6F97" w:rsidRDefault="008C6F97" w:rsidP="00445A92">
      <w:pPr>
        <w:pStyle w:val="NCDTableSource"/>
      </w:pPr>
      <w:r w:rsidRPr="00D14A0F">
        <w:rPr>
          <w:i/>
        </w:rPr>
        <w:t>Source</w:t>
      </w:r>
      <w:r>
        <w:t xml:space="preserve">: Data from </w:t>
      </w:r>
      <w:r w:rsidRPr="003B6F76">
        <w:t>U</w:t>
      </w:r>
      <w:r>
        <w:t>.</w:t>
      </w:r>
      <w:r w:rsidRPr="003B6F76">
        <w:t>S</w:t>
      </w:r>
      <w:r>
        <w:t>.</w:t>
      </w:r>
      <w:r w:rsidRPr="003B6F76">
        <w:t xml:space="preserve"> Census Bureau</w:t>
      </w:r>
      <w:r>
        <w:t xml:space="preserve"> (2015).</w:t>
      </w:r>
      <w:r>
        <w:rPr>
          <w:rStyle w:val="EndnoteReference"/>
        </w:rPr>
        <w:endnoteReference w:id="35"/>
      </w:r>
    </w:p>
    <w:p w:rsidR="008C6F97" w:rsidRDefault="008C6F97" w:rsidP="00445A92">
      <w:pPr>
        <w:pStyle w:val="NCDBodyText"/>
      </w:pPr>
      <w:r>
        <w:t>For people with disabilities, barriers to joining the labor force include</w:t>
      </w:r>
      <w:r w:rsidRPr="003C01D5">
        <w:t xml:space="preserve"> </w:t>
      </w:r>
      <w:r>
        <w:t>the belief that</w:t>
      </w:r>
      <w:r w:rsidRPr="003C01D5">
        <w:t xml:space="preserve"> employment is</w:t>
      </w:r>
      <w:r>
        <w:t xml:space="preserve"> not</w:t>
      </w:r>
      <w:r w:rsidRPr="003C01D5">
        <w:t xml:space="preserve"> a viable option given their disability or </w:t>
      </w:r>
      <w:r>
        <w:t>fear</w:t>
      </w:r>
      <w:r w:rsidRPr="003C01D5">
        <w:t xml:space="preserve"> of losing public benefits</w:t>
      </w:r>
      <w:r>
        <w:t xml:space="preserve"> like </w:t>
      </w:r>
      <w:r w:rsidRPr="00AD420E">
        <w:t>SSDI</w:t>
      </w:r>
      <w:r>
        <w:t>,</w:t>
      </w:r>
      <w:r w:rsidRPr="00AD420E">
        <w:t xml:space="preserve"> SSI</w:t>
      </w:r>
      <w:r>
        <w:t>, or enhanced disability compensation (</w:t>
      </w:r>
      <w:proofErr w:type="spellStart"/>
      <w:r>
        <w:t>unemployability</w:t>
      </w:r>
      <w:proofErr w:type="spellEnd"/>
      <w:r>
        <w:t xml:space="preserve"> benefits) available to some veterans</w:t>
      </w:r>
      <w:r w:rsidRPr="003C01D5">
        <w:t xml:space="preserve">. </w:t>
      </w:r>
      <w:r>
        <w:t xml:space="preserve">Many simply give </w:t>
      </w:r>
      <w:r w:rsidRPr="003C01D5">
        <w:t xml:space="preserve">up after unsuccessfully searching for </w:t>
      </w:r>
      <w:r>
        <w:t>a job; for this reason, this population is often referred to as “discouraged workers.” For those that do persist, their employment options are often limited to jobs with low pay, few or no benefits, and no career opportunities.</w:t>
      </w:r>
      <w:r>
        <w:rPr>
          <w:rStyle w:val="EndnoteReference"/>
        </w:rPr>
        <w:endnoteReference w:id="36"/>
      </w:r>
      <w:r>
        <w:t xml:space="preserve"> </w:t>
      </w:r>
    </w:p>
    <w:p w:rsidR="008C6F97" w:rsidRPr="007B7C80" w:rsidRDefault="008C6F97" w:rsidP="00445A92">
      <w:pPr>
        <w:pStyle w:val="BlockQuote"/>
        <w:spacing w:line="360" w:lineRule="auto"/>
        <w:ind w:left="0"/>
        <w:rPr>
          <w:rFonts w:ascii="Arial" w:hAnsi="Arial" w:cs="Arial"/>
        </w:rPr>
      </w:pPr>
      <w:r w:rsidRPr="007B7C80">
        <w:rPr>
          <w:rFonts w:ascii="Arial" w:hAnsi="Arial" w:cs="Arial"/>
        </w:rPr>
        <w:t>Job training and job placement services can help to address the employment disparities for people with disabilities. In 2010, the Government Accountability Office (GAO) identified 45 federal programs that supported employment for people with disabilities.</w:t>
      </w:r>
      <w:r w:rsidRPr="007B7C80">
        <w:rPr>
          <w:rStyle w:val="EndnoteReference"/>
          <w:rFonts w:ascii="Arial" w:hAnsi="Arial" w:cs="Arial"/>
        </w:rPr>
        <w:endnoteReference w:id="37"/>
      </w:r>
      <w:r w:rsidRPr="007B7C80">
        <w:rPr>
          <w:rFonts w:ascii="Arial" w:hAnsi="Arial" w:cs="Arial"/>
        </w:rPr>
        <w:t xml:space="preserve"> Although some of the policies and programs serve people with disabilities exclusively, others serve a broader population. GAO concluded that the number of programs resulted in a fragmented system of services. Others described the system similarly: “The current national approach involves various agencies administering multiple funding streams at a federal, state, and local level. Each service delivery system was created in response to varying public policy priorities and is governed by separate federal statutes </w:t>
      </w:r>
      <w:r w:rsidRPr="007B7C80">
        <w:rPr>
          <w:rFonts w:ascii="Arial" w:hAnsi="Arial" w:cs="Arial"/>
        </w:rPr>
        <w:lastRenderedPageBreak/>
        <w:t>and regulations. Each system has a specific set of rules to determine eligibility for services and support, define scope of services, and allocate resources. No single source of funding or resource is able to respond effectively to all the diverse needs of people with disabilities who often face multiple barriers to employment and economic advancement.</w:t>
      </w:r>
      <w:r w:rsidRPr="007B7C80">
        <w:rPr>
          <w:rStyle w:val="EndnoteReference"/>
          <w:rFonts w:ascii="Arial" w:hAnsi="Arial" w:cs="Arial"/>
        </w:rPr>
        <w:endnoteReference w:id="38"/>
      </w:r>
      <w:r w:rsidRPr="007B7C80">
        <w:rPr>
          <w:rFonts w:ascii="Arial" w:hAnsi="Arial" w:cs="Arial"/>
        </w:rPr>
        <w:t xml:space="preserve"> </w:t>
      </w:r>
    </w:p>
    <w:p w:rsidR="008C6F97" w:rsidRDefault="008C6F97" w:rsidP="00445A92">
      <w:pPr>
        <w:pStyle w:val="NCDBodyText"/>
      </w:pPr>
      <w:r>
        <w:t>The</w:t>
      </w:r>
      <w:r w:rsidRPr="005C51FF">
        <w:t xml:space="preserve"> </w:t>
      </w:r>
      <w:r>
        <w:t xml:space="preserve">Workforce </w:t>
      </w:r>
      <w:r w:rsidRPr="0087438F">
        <w:rPr>
          <w:rFonts w:cs="Arial"/>
          <w:bCs/>
          <w:color w:val="222222"/>
          <w:shd w:val="clear" w:color="auto" w:fill="FFFFFF"/>
        </w:rPr>
        <w:t>Innovation and Opportunity Act</w:t>
      </w:r>
      <w:r>
        <w:t xml:space="preserve"> (WIOA) </w:t>
      </w:r>
      <w:r w:rsidRPr="003F7484">
        <w:t>(P</w:t>
      </w:r>
      <w:r>
        <w:t>.</w:t>
      </w:r>
      <w:r w:rsidRPr="003F7484">
        <w:t>L. 113-128</w:t>
      </w:r>
      <w:r>
        <w:t xml:space="preserve">) </w:t>
      </w:r>
      <w:r w:rsidRPr="005C51FF">
        <w:t xml:space="preserve">reaffirmed the role of </w:t>
      </w:r>
      <w:r>
        <w:t xml:space="preserve">a </w:t>
      </w:r>
      <w:r w:rsidRPr="005C51FF">
        <w:t>customer-focused</w:t>
      </w:r>
      <w:r>
        <w:t>,</w:t>
      </w:r>
      <w:r w:rsidRPr="005C51FF">
        <w:t xml:space="preserve"> one-stop delivery system </w:t>
      </w:r>
      <w:r>
        <w:t>for job seekers and</w:t>
      </w:r>
      <w:r w:rsidRPr="005C51FF">
        <w:t xml:space="preserve"> expanded the responsibility of the system</w:t>
      </w:r>
      <w:r>
        <w:t xml:space="preserve"> to serve job seekers with disabilities. WIOA was designed to increase access to and opportunities for the employment, education, training, and support services that people with disabilities need to succeed in the labor market. </w:t>
      </w:r>
    </w:p>
    <w:p w:rsidR="008C6F97" w:rsidRDefault="008C6F97" w:rsidP="00445A92">
      <w:pPr>
        <w:pStyle w:val="NCDBodyText"/>
      </w:pPr>
      <w:r>
        <w:t>The workforce system made up of a</w:t>
      </w:r>
      <w:r w:rsidRPr="005C51FF">
        <w:t>pproximately 3,000 One</w:t>
      </w:r>
      <w:r>
        <w:t>-</w:t>
      </w:r>
      <w:r w:rsidRPr="005C51FF">
        <w:t>Stop Centers (also known as American Job Centers) bring</w:t>
      </w:r>
      <w:r>
        <w:t>s</w:t>
      </w:r>
      <w:r w:rsidRPr="005C51FF">
        <w:t xml:space="preserve"> resources from multiple agencies under one roof</w:t>
      </w:r>
      <w:r>
        <w:t xml:space="preserve">. As a result, </w:t>
      </w:r>
      <w:r w:rsidRPr="005C51FF">
        <w:t>One</w:t>
      </w:r>
      <w:r>
        <w:t>-</w:t>
      </w:r>
      <w:r w:rsidRPr="005C51FF">
        <w:t>Stop Centers</w:t>
      </w:r>
      <w:r>
        <w:t xml:space="preserve"> are well-positioned to address the fragmentation of employment services and to serve people with disabilities who may have multiple barriers to employment</w:t>
      </w:r>
      <w:r w:rsidRPr="005C51FF">
        <w:t xml:space="preserve">. In 2014, </w:t>
      </w:r>
      <w:r>
        <w:t xml:space="preserve">the system served </w:t>
      </w:r>
      <w:r w:rsidRPr="005C51FF">
        <w:t xml:space="preserve">494,413 </w:t>
      </w:r>
      <w:r>
        <w:t>people</w:t>
      </w:r>
      <w:r w:rsidRPr="005C51FF">
        <w:t xml:space="preserve"> with disabilities</w:t>
      </w:r>
      <w:r>
        <w:t>.</w:t>
      </w:r>
      <w:r w:rsidRPr="005C51FF">
        <w:t xml:space="preserve"> </w:t>
      </w:r>
      <w:r>
        <w:t>WIOA includes</w:t>
      </w:r>
      <w:r w:rsidRPr="005C51FF">
        <w:t xml:space="preserve"> provisions specifically designed to enhance opportunities for job</w:t>
      </w:r>
      <w:r>
        <w:t xml:space="preserve"> </w:t>
      </w:r>
      <w:r w:rsidRPr="005C51FF">
        <w:t xml:space="preserve">seekers with disabilities. </w:t>
      </w:r>
      <w:r>
        <w:rPr>
          <w:color w:val="000000"/>
        </w:rPr>
        <w:t>In addition to specific antidiscrimination language included in Section 188 that prohibits the exclusion of job seekers with disabilities from full access to services,</w:t>
      </w:r>
      <w:r w:rsidRPr="005C51FF">
        <w:t xml:space="preserve"> WIOA specifies that</w:t>
      </w:r>
      <w:r>
        <w:t>:</w:t>
      </w:r>
      <w:r w:rsidRPr="005C51FF">
        <w:t xml:space="preserve"> </w:t>
      </w:r>
      <w:r>
        <w:t>(1) l</w:t>
      </w:r>
      <w:r w:rsidRPr="005C51FF">
        <w:t xml:space="preserve">ocal workforce development boards must ensure </w:t>
      </w:r>
      <w:r>
        <w:t xml:space="preserve">that </w:t>
      </w:r>
      <w:r w:rsidRPr="005C51FF">
        <w:t xml:space="preserve">there are sufficient service providers in the local area with expertise in assisting </w:t>
      </w:r>
      <w:r>
        <w:t>people</w:t>
      </w:r>
      <w:r w:rsidRPr="005C51FF">
        <w:t xml:space="preserve"> with disabilities with their career and training needs; </w:t>
      </w:r>
      <w:r>
        <w:t xml:space="preserve">(2) </w:t>
      </w:r>
      <w:r w:rsidRPr="005C51FF">
        <w:t>state workforce development board</w:t>
      </w:r>
      <w:r>
        <w:t>s</w:t>
      </w:r>
      <w:r w:rsidRPr="005C51FF">
        <w:t xml:space="preserve"> must develop strategies to support career pathways for </w:t>
      </w:r>
      <w:r>
        <w:t>people</w:t>
      </w:r>
      <w:r w:rsidRPr="005C51FF">
        <w:t xml:space="preserve"> with disabilities to enter and retain employment; and </w:t>
      </w:r>
      <w:r>
        <w:t xml:space="preserve">(3) </w:t>
      </w:r>
      <w:r w:rsidRPr="005C51FF">
        <w:t>the general workforce system has an obligation to serve youth with disabilities.</w:t>
      </w:r>
    </w:p>
    <w:p w:rsidR="008C6F97" w:rsidRDefault="008C6F97" w:rsidP="00445A92">
      <w:pPr>
        <w:pStyle w:val="NCDBodyText"/>
      </w:pPr>
      <w:r>
        <w:t>WIOA legislation also provides guidance to the v</w:t>
      </w:r>
      <w:r w:rsidRPr="003719AB">
        <w:t xml:space="preserve">ocational rehabilitation </w:t>
      </w:r>
      <w:r>
        <w:t>(VR) system</w:t>
      </w:r>
      <w:r w:rsidRPr="003719AB">
        <w:t xml:space="preserve">, </w:t>
      </w:r>
      <w:r>
        <w:t xml:space="preserve">which is </w:t>
      </w:r>
      <w:r w:rsidRPr="003719AB">
        <w:t xml:space="preserve">funded by the </w:t>
      </w:r>
      <w:r>
        <w:t>Rehabilitation Services Administration (RSA) in the ED.</w:t>
      </w:r>
      <w:r w:rsidRPr="00310C28">
        <w:t xml:space="preserve"> </w:t>
      </w:r>
      <w:r>
        <w:t>State VR agencies receive funding from RSA</w:t>
      </w:r>
      <w:r w:rsidRPr="003719AB">
        <w:t xml:space="preserve"> and state governments </w:t>
      </w:r>
      <w:r>
        <w:t xml:space="preserve">and serve as </w:t>
      </w:r>
      <w:r w:rsidRPr="003719AB">
        <w:t xml:space="preserve">one of the largest state–federal </w:t>
      </w:r>
      <w:r>
        <w:t xml:space="preserve">partnerships, </w:t>
      </w:r>
      <w:r w:rsidRPr="003719AB">
        <w:t>offering employment services and supports for people with disabilities</w:t>
      </w:r>
      <w:r>
        <w:t xml:space="preserve"> with </w:t>
      </w:r>
      <w:r w:rsidRPr="003719AB">
        <w:t xml:space="preserve">nearly </w:t>
      </w:r>
      <w:r>
        <w:t>506</w:t>
      </w:r>
      <w:r w:rsidRPr="003719AB">
        <w:t>,000 annual ap</w:t>
      </w:r>
      <w:r w:rsidRPr="00F502FD">
        <w:t>plicants</w:t>
      </w:r>
      <w:r>
        <w:t>.</w:t>
      </w:r>
      <w:r>
        <w:rPr>
          <w:rStyle w:val="EndnoteReference"/>
        </w:rPr>
        <w:endnoteReference w:id="39"/>
      </w:r>
      <w:r>
        <w:t xml:space="preserve"> In fiscal year 2016</w:t>
      </w:r>
      <w:r w:rsidRPr="003719AB">
        <w:t>, expenditures for the program were $3</w:t>
      </w:r>
      <w:r>
        <w:t>.2 billion.</w:t>
      </w:r>
      <w:r>
        <w:rPr>
          <w:rStyle w:val="EndnoteReference"/>
        </w:rPr>
        <w:endnoteReference w:id="40"/>
      </w:r>
      <w:r>
        <w:t xml:space="preserve"> </w:t>
      </w:r>
    </w:p>
    <w:p w:rsidR="008C6F97" w:rsidRDefault="008C6F97" w:rsidP="00445A92">
      <w:pPr>
        <w:pStyle w:val="NCDBodyText"/>
      </w:pPr>
      <w:r>
        <w:lastRenderedPageBreak/>
        <w:t>Although the VR system is effective for at least some clients,</w:t>
      </w:r>
      <w:r>
        <w:rPr>
          <w:rStyle w:val="EndnoteReference"/>
        </w:rPr>
        <w:endnoteReference w:id="41"/>
      </w:r>
      <w:r>
        <w:t xml:space="preserve"> the level of effectiveness varies by state, client characteristics, and the definition of “effective.” VR’s primary outcome is competitive employment, defined as full-time or part-time employment for at least 90 days, during which the individual is compensated at or above the minimum wage. However, VR agencies do not often consider longer term outcomes or whether the job provides a sustainable income given individual client characteristics. </w:t>
      </w:r>
      <w:r w:rsidRPr="00C76166">
        <w:rPr>
          <w:b/>
        </w:rPr>
        <w:t xml:space="preserve">NCD recommends </w:t>
      </w:r>
      <w:r>
        <w:rPr>
          <w:b/>
        </w:rPr>
        <w:t xml:space="preserve">that </w:t>
      </w:r>
      <w:r w:rsidRPr="00C76166">
        <w:rPr>
          <w:b/>
        </w:rPr>
        <w:t>the U.S. Department of Education</w:t>
      </w:r>
      <w:r>
        <w:rPr>
          <w:b/>
        </w:rPr>
        <w:t>’s</w:t>
      </w:r>
      <w:r w:rsidRPr="00C76166">
        <w:rPr>
          <w:b/>
        </w:rPr>
        <w:t xml:space="preserve"> Rehabilitation Services Administration collect data on long-term outcomes and income levels of clients they serve.</w:t>
      </w:r>
      <w:r>
        <w:t xml:space="preserve"> </w:t>
      </w:r>
      <w:r w:rsidRPr="003719AB">
        <w:t xml:space="preserve">In evaluating the </w:t>
      </w:r>
      <w:r>
        <w:t xml:space="preserve">VR system </w:t>
      </w:r>
      <w:r w:rsidRPr="003719AB">
        <w:t>for SSI/SSDI beneficiaries</w:t>
      </w:r>
      <w:r>
        <w:t>,</w:t>
      </w:r>
      <w:r w:rsidRPr="003719AB">
        <w:t xml:space="preserve"> GAO found that earnings increased for many Social Security beneficiaries</w:t>
      </w:r>
      <w:r>
        <w:t>.</w:t>
      </w:r>
      <w:r w:rsidRPr="003719AB">
        <w:t xml:space="preserve"> </w:t>
      </w:r>
      <w:r>
        <w:t xml:space="preserve">However, </w:t>
      </w:r>
      <w:r w:rsidRPr="003719AB">
        <w:t xml:space="preserve">few earned above the </w:t>
      </w:r>
      <w:r>
        <w:t>set</w:t>
      </w:r>
      <w:r w:rsidRPr="006B0CE6">
        <w:t xml:space="preserve"> monthly amount </w:t>
      </w:r>
      <w:r>
        <w:t>that is based on the nature of a person’s disability (i.e., substantial gainful activity).</w:t>
      </w:r>
      <w:r>
        <w:rPr>
          <w:rStyle w:val="EndnoteReference"/>
        </w:rPr>
        <w:endnoteReference w:id="42"/>
      </w:r>
      <w:r>
        <w:t xml:space="preserve"> </w:t>
      </w:r>
    </w:p>
    <w:p w:rsidR="008C6F97" w:rsidRDefault="008C6F97" w:rsidP="00445A92">
      <w:pPr>
        <w:pStyle w:val="NCDBodyText"/>
      </w:pPr>
      <w:r w:rsidRPr="003719AB">
        <w:t>Recent changes enacted under Title IV of the WIOA</w:t>
      </w:r>
      <w:r>
        <w:t xml:space="preserve"> of 2014</w:t>
      </w:r>
      <w:r w:rsidRPr="003719AB">
        <w:t xml:space="preserve"> seek to </w:t>
      </w:r>
      <w:r>
        <w:t>bolster</w:t>
      </w:r>
      <w:r w:rsidRPr="003719AB">
        <w:t xml:space="preserve"> the </w:t>
      </w:r>
      <w:r>
        <w:t>VR</w:t>
      </w:r>
      <w:r w:rsidRPr="003719AB">
        <w:t xml:space="preserve"> system by strengthening the alignment of </w:t>
      </w:r>
      <w:r>
        <w:t>core s</w:t>
      </w:r>
      <w:r w:rsidRPr="003719AB">
        <w:t xml:space="preserve">tate </w:t>
      </w:r>
      <w:r>
        <w:t>agencies, such as VR, labor, and adult education agencies, and advocating for partnerships with other state human services agencies, local workforce investment boards, and employers.</w:t>
      </w:r>
      <w:r>
        <w:rPr>
          <w:rStyle w:val="EndnoteReference"/>
        </w:rPr>
        <w:endnoteReference w:id="43"/>
      </w:r>
      <w:r>
        <w:t xml:space="preserve"> WIOA has specifically focused on youth with disabilities by requiring that 15 percent of VR funds be spent on this population. Overall, strengthening the alignment of public service agencies and businesses </w:t>
      </w:r>
      <w:r w:rsidRPr="003719AB">
        <w:t>increas</w:t>
      </w:r>
      <w:r>
        <w:t>es</w:t>
      </w:r>
      <w:r w:rsidRPr="003719AB">
        <w:t xml:space="preserve"> </w:t>
      </w:r>
      <w:r>
        <w:t>the</w:t>
      </w:r>
      <w:r w:rsidRPr="003719AB">
        <w:t xml:space="preserve"> </w:t>
      </w:r>
      <w:r>
        <w:t xml:space="preserve">opportunities for </w:t>
      </w:r>
      <w:r w:rsidRPr="003719AB">
        <w:t>transition-age youth and emphasiz</w:t>
      </w:r>
      <w:r>
        <w:t>es</w:t>
      </w:r>
      <w:r w:rsidRPr="003719AB">
        <w:t xml:space="preserve"> competitive integrated employment</w:t>
      </w:r>
      <w:r>
        <w:t xml:space="preserve">. NCD will be issuing a report </w:t>
      </w:r>
      <w:r w:rsidRPr="004C5534">
        <w:t xml:space="preserve">with more detailed recommendations </w:t>
      </w:r>
      <w:r>
        <w:t>about p</w:t>
      </w:r>
      <w:r w:rsidRPr="001877C7">
        <w:t>re-</w:t>
      </w:r>
      <w:r>
        <w:t>e</w:t>
      </w:r>
      <w:r w:rsidRPr="001877C7">
        <w:t xml:space="preserve">mployment </w:t>
      </w:r>
      <w:r>
        <w:t>t</w:t>
      </w:r>
      <w:r w:rsidRPr="001877C7">
        <w:t xml:space="preserve">ransition </w:t>
      </w:r>
      <w:r>
        <w:t>s</w:t>
      </w:r>
      <w:r w:rsidRPr="001877C7">
        <w:t>ervices</w:t>
      </w:r>
      <w:r>
        <w:t xml:space="preserve"> in the fall of 2017.</w:t>
      </w:r>
    </w:p>
    <w:p w:rsidR="008C6F97" w:rsidRPr="005C51FF" w:rsidRDefault="008C6F97" w:rsidP="00445A92">
      <w:pPr>
        <w:pStyle w:val="NCDBodyText"/>
        <w:rPr>
          <w:b/>
        </w:rPr>
      </w:pPr>
      <w:r>
        <w:t>Self-employment is another viable option for people with disabilities to earn an income that can lift them out of poverty. Self-employment provides flexibility through customized work requirements and settings that meet the needs of the person with a disability. S</w:t>
      </w:r>
      <w:r w:rsidRPr="005C51FF">
        <w:t xml:space="preserve">elf-employment is </w:t>
      </w:r>
      <w:r>
        <w:t xml:space="preserve">an </w:t>
      </w:r>
      <w:r w:rsidRPr="005C51FF">
        <w:t xml:space="preserve">especially </w:t>
      </w:r>
      <w:r>
        <w:t xml:space="preserve">valuable option </w:t>
      </w:r>
      <w:r w:rsidRPr="005C51FF">
        <w:t xml:space="preserve">for rural residents with disabilities who face additional barriers to employment </w:t>
      </w:r>
      <w:r>
        <w:t xml:space="preserve">through </w:t>
      </w:r>
      <w:r w:rsidRPr="005C51FF">
        <w:t>limited transportation and a narrower range of competitive employment options</w:t>
      </w:r>
      <w:r>
        <w:t>.</w:t>
      </w:r>
      <w:r>
        <w:rPr>
          <w:rStyle w:val="EndnoteReference"/>
        </w:rPr>
        <w:endnoteReference w:id="44"/>
      </w:r>
      <w:r w:rsidRPr="00967597">
        <w:t xml:space="preserve"> </w:t>
      </w:r>
    </w:p>
    <w:p w:rsidR="008C6F97" w:rsidRDefault="008C6F97" w:rsidP="00445A92">
      <w:pPr>
        <w:pStyle w:val="NCDBodyText"/>
      </w:pPr>
      <w:r w:rsidRPr="005C51FF">
        <w:t xml:space="preserve">The availability and accessibility of support for entrepreneurs with disabilities </w:t>
      </w:r>
      <w:r>
        <w:t xml:space="preserve">who wish to establish </w:t>
      </w:r>
      <w:r w:rsidRPr="005C51FF">
        <w:t xml:space="preserve">small businesses varies and relies on </w:t>
      </w:r>
      <w:r>
        <w:t xml:space="preserve">a mix of resources. </w:t>
      </w:r>
      <w:r w:rsidRPr="005C51FF">
        <w:t xml:space="preserve">The Small Business Administration’s 8(a) Business Development program provides a vehicle </w:t>
      </w:r>
      <w:r w:rsidRPr="005C51FF">
        <w:lastRenderedPageBreak/>
        <w:t xml:space="preserve">through which </w:t>
      </w:r>
      <w:r>
        <w:t>f</w:t>
      </w:r>
      <w:r w:rsidRPr="005C51FF">
        <w:t>ederal agencies can use set-asides and sole source awards to small businesses owned and controlled by individuals certified as socially and economically disadvantaged</w:t>
      </w:r>
      <w:r>
        <w:t>.</w:t>
      </w:r>
      <w:r>
        <w:rPr>
          <w:rStyle w:val="EndnoteReference"/>
        </w:rPr>
        <w:endnoteReference w:id="45"/>
      </w:r>
      <w:r w:rsidRPr="00310C28">
        <w:t xml:space="preserve"> </w:t>
      </w:r>
      <w:r>
        <w:t>The 8(a) Business Development program is geared toward</w:t>
      </w:r>
      <w:r w:rsidRPr="005C51FF">
        <w:t xml:space="preserve"> African Americans, Hispanic Americans, Asian Pacific Americans, Native Americans, and Subcontinent Asian Americans presumed to be socially disadvantaged. </w:t>
      </w:r>
      <w:r>
        <w:t xml:space="preserve">However, people with disabilities need to show through a preponderance of the evidence that they are socially </w:t>
      </w:r>
      <w:r w:rsidRPr="005C51FF">
        <w:t xml:space="preserve">disadvantaged because </w:t>
      </w:r>
      <w:r>
        <w:t>of their disability</w:t>
      </w:r>
      <w:r w:rsidRPr="005C51FF">
        <w:t xml:space="preserve">. The absence of disability as a presumed group </w:t>
      </w:r>
      <w:r>
        <w:t xml:space="preserve">in the 8(a) program </w:t>
      </w:r>
      <w:r w:rsidRPr="005C51FF">
        <w:t>limits this important program for small busi</w:t>
      </w:r>
      <w:r>
        <w:t xml:space="preserve">ness owners with disabilities. </w:t>
      </w:r>
      <w:r w:rsidRPr="00C76166">
        <w:rPr>
          <w:b/>
        </w:rPr>
        <w:t>NCD recommends that Congress amend the Small Business Act to include disability as one of the presumed socially disadvantaged groups.</w:t>
      </w:r>
    </w:p>
    <w:p w:rsidR="008C6F97" w:rsidRDefault="008C6F97" w:rsidP="007409F0">
      <w:pPr>
        <w:pStyle w:val="Heading2"/>
      </w:pPr>
      <w:bookmarkStart w:id="59" w:name="_Toc478555113"/>
      <w:bookmarkStart w:id="60" w:name="_Toc493507472"/>
      <w:bookmarkStart w:id="61" w:name="_Toc493596674"/>
      <w:r>
        <w:t>Health and Well-Being</w:t>
      </w:r>
      <w:bookmarkEnd w:id="59"/>
      <w:bookmarkEnd w:id="60"/>
      <w:bookmarkEnd w:id="61"/>
    </w:p>
    <w:p w:rsidR="008C6F97" w:rsidRDefault="008C6F97" w:rsidP="007409F0">
      <w:pPr>
        <w:pStyle w:val="NCDBodyText"/>
        <w:spacing w:after="4500"/>
      </w:pPr>
      <w:r>
        <w:t>People with disabilities are not a homogenous group. With varying types of disabilities, their needs for health care and support services to address medical concerns are wide ranging. Historically, h</w:t>
      </w:r>
      <w:r w:rsidRPr="00504C41">
        <w:t>ealth insurance</w:t>
      </w:r>
      <w:r>
        <w:t xml:space="preserve"> in the United States</w:t>
      </w:r>
      <w:r w:rsidRPr="00504C41">
        <w:t xml:space="preserve"> </w:t>
      </w:r>
      <w:r>
        <w:t>has been</w:t>
      </w:r>
      <w:r w:rsidRPr="00504C41">
        <w:t xml:space="preserve"> primarily tied to employment</w:t>
      </w:r>
      <w:r>
        <w:t xml:space="preserve">, which limits the availability of health care for people with disabilities who are not employed or who have little or no benefits through their work. In addition, working-age people with disabilities have higher expenditures than people without disabilities and experience higher out-of-pocket </w:t>
      </w:r>
      <w:r w:rsidRPr="00967597">
        <w:t>costs.</w:t>
      </w:r>
      <w:r>
        <w:rPr>
          <w:rStyle w:val="EndnoteReference"/>
        </w:rPr>
        <w:endnoteReference w:id="46"/>
      </w:r>
      <w:r>
        <w:t xml:space="preserve"> The kinds of long-term services and supports that enable people with disabilities to work and fully participate in society are generally expensive and almost never covered through private health insurance policies. This serves as a catch-22 for people with disabilities who have significant health care issues: if they are not receiving health care services, then they cannot work, and if they do not have jobs, then they cannot access or afford health care. For some, the only way they can access the health care services they need is through Medicaid, which is tied to having a low income. Again, the challenges are interconnected as both health care and employment are essential for people with disabilities to attain economic self-sufficiency and maintain their independence.</w:t>
      </w:r>
    </w:p>
    <w:tbl>
      <w:tblPr>
        <w:tblStyle w:val="TableGrid"/>
        <w:tblW w:w="0" w:type="auto"/>
        <w:shd w:val="clear" w:color="auto" w:fill="C6D9F1"/>
        <w:tblLook w:val="04A0" w:firstRow="1" w:lastRow="0" w:firstColumn="1" w:lastColumn="0" w:noHBand="0" w:noVBand="1"/>
        <w:tblDescription w:val="Pull Quote"/>
      </w:tblPr>
      <w:tblGrid>
        <w:gridCol w:w="9350"/>
      </w:tblGrid>
      <w:tr w:rsidR="008C6F97" w:rsidTr="00BF32FE">
        <w:trPr>
          <w:tblHeader/>
        </w:trPr>
        <w:tc>
          <w:tcPr>
            <w:tcW w:w="9350" w:type="dxa"/>
            <w:shd w:val="clear" w:color="auto" w:fill="C6D9F1"/>
            <w:tcMar>
              <w:top w:w="130" w:type="dxa"/>
              <w:left w:w="144" w:type="dxa"/>
              <w:bottom w:w="29" w:type="dxa"/>
              <w:right w:w="144" w:type="dxa"/>
            </w:tcMar>
          </w:tcPr>
          <w:p w:rsidR="008C6F97" w:rsidRPr="001B6385" w:rsidRDefault="008C6F97" w:rsidP="00F704ED">
            <w:pPr>
              <w:pStyle w:val="NCDTextBoxText"/>
            </w:pPr>
            <w:r>
              <w:lastRenderedPageBreak/>
              <w:t xml:space="preserve">“Everything is about cost . . . all of the things that we have talked </w:t>
            </w:r>
            <w:proofErr w:type="gramStart"/>
            <w:r>
              <w:t>about,</w:t>
            </w:r>
            <w:proofErr w:type="gramEnd"/>
            <w:r>
              <w:t xml:space="preserve"> there has always been a cost issue involved. And it costs twice as much for us to live as it does anybody else.”</w:t>
            </w:r>
          </w:p>
          <w:p w:rsidR="008C6F97" w:rsidRPr="00B27A93" w:rsidRDefault="008C6F97" w:rsidP="00F704ED">
            <w:pPr>
              <w:pStyle w:val="NCDTextBoxText"/>
              <w:jc w:val="right"/>
              <w:rPr>
                <w:i/>
              </w:rPr>
            </w:pPr>
            <w:r w:rsidRPr="00DC48E3">
              <w:t>—</w:t>
            </w:r>
            <w:r w:rsidRPr="00B27A93">
              <w:rPr>
                <w:i/>
              </w:rPr>
              <w:t>Focus Group Participant</w:t>
            </w:r>
          </w:p>
        </w:tc>
      </w:tr>
    </w:tbl>
    <w:p w:rsidR="008C6F97" w:rsidRDefault="008C6F97" w:rsidP="00445A92">
      <w:pPr>
        <w:pStyle w:val="NCDBodyTextSpaceBefore"/>
        <w:spacing w:before="360"/>
      </w:pPr>
      <w:r>
        <w:t>For millions of people with disabilities, Medicaid and Medicare are essential health insurance programs. Medicaid serves low-income children, seniors, adults, and people with disabilities; it is funded at both the federal and state level. There are more people with disabilities on Medicaid than are privately insured and, in comparison with people with private insurance, those receiving Medicaid are more likely to report fair or poor health and are unable to work or have a limited ability to work because of their health.</w:t>
      </w:r>
      <w:r>
        <w:rPr>
          <w:rStyle w:val="EndnoteReference"/>
        </w:rPr>
        <w:endnoteReference w:id="47"/>
      </w:r>
      <w:r>
        <w:t xml:space="preserve"> As of fiscal year 2011, 10 million adults and children with disabilities were covered by Medicaid. Although the share of adults with disabilities accounts for 12 percent of Medicaid enrollment, they account for 36 percent of Medicaid spending, largely because of higher health care and long-term services and support needs.</w:t>
      </w:r>
      <w:r>
        <w:rPr>
          <w:rStyle w:val="EndnoteReference"/>
        </w:rPr>
        <w:endnoteReference w:id="48"/>
      </w:r>
    </w:p>
    <w:p w:rsidR="008C6F97" w:rsidRPr="000C1F89" w:rsidRDefault="000C1F89" w:rsidP="00445A92">
      <w:pPr>
        <w:spacing w:line="360" w:lineRule="auto"/>
        <w:rPr>
          <w:rFonts w:ascii="Arial" w:hAnsi="Arial" w:cs="Arial"/>
          <w:color w:val="1F497D"/>
          <w:spacing w:val="-4"/>
          <w:sz w:val="24"/>
          <w:szCs w:val="24"/>
        </w:rPr>
      </w:pPr>
      <w:r w:rsidRPr="000C1F89">
        <w:rPr>
          <w:rFonts w:ascii="Arial" w:hAnsi="Arial" w:cs="Arial"/>
          <w:sz w:val="24"/>
          <w:szCs w:val="24"/>
        </w:rPr>
        <w:t>The path to Medicaid coverage for people with disabilities is through SSI. In addition, people who are deemed “medically needy” but who have countable income and nonexempt property (e.g., cash, bank accounts, and stocks) that disqualify them from Medicaid may be considered for health coverage by “spending down.” The spend-down process involves deducting medical expenses from the individual’s countable income until they reach the eligible income level for Medicaid. Once they “spend down” to the eligibility level, the individual’s medical bills will be covered for a set three or six month period. However, this process can be complicated and can leave individuals impoverished in order to qualify for Medicaid.</w:t>
      </w:r>
    </w:p>
    <w:p w:rsidR="008C6F97" w:rsidRDefault="008C6F97" w:rsidP="00445A92">
      <w:pPr>
        <w:pStyle w:val="NCDBodyText"/>
      </w:pPr>
      <w:r w:rsidRPr="00D65313">
        <w:t xml:space="preserve">Medicare is the </w:t>
      </w:r>
      <w:r>
        <w:t>f</w:t>
      </w:r>
      <w:r w:rsidRPr="00D65313">
        <w:t xml:space="preserve">ederal health insurance program for </w:t>
      </w:r>
      <w:r>
        <w:t>seniors</w:t>
      </w:r>
      <w:r w:rsidRPr="00D65313">
        <w:t xml:space="preserve"> and people with disabilities</w:t>
      </w:r>
      <w:r>
        <w:t>. Those who receive SSDI benefits are eligible for Medicare. To qualify for SSDI and Medicare, people with disabilities under the age of 65 must not be able to participate in “substantial gainful activity” because of a medical condition for a period of at least 12 months and must be on SSDI for 24 months before they are eligible for Medicare.</w:t>
      </w:r>
      <w:r>
        <w:rPr>
          <w:rStyle w:val="EndnoteReference"/>
        </w:rPr>
        <w:endnoteReference w:id="49"/>
      </w:r>
      <w:r>
        <w:t xml:space="preserve"> In addition, Medicare provides limited access to durable medical equipment and does not provide long-term care services that are often critical for people with </w:t>
      </w:r>
      <w:r>
        <w:lastRenderedPageBreak/>
        <w:t xml:space="preserve">disabilities to maintain their independence. (For more detailed analysis of Medicaid and Medicare policies, see Appendix C for NCD’s work in this area.) </w:t>
      </w:r>
    </w:p>
    <w:p w:rsidR="008C6F97" w:rsidRDefault="008C6F97" w:rsidP="00445A92">
      <w:pPr>
        <w:pStyle w:val="NCDBodyText"/>
      </w:pPr>
      <w:r>
        <w:t>There are many cases in which people with disabilities are still not able to afford health care coverage or receive all the services they need with Medicare alone. These individuals may be eligible for assistance from their state’s Medicaid program. People who are dually eligible for Medicare and Medicaid often have higher medical costs and needs. In fiscal year 2010, about 9.6 million Americans were covered under both Medicare and Medicaid. People with disabilities under the age of 65 constituted 40 percent (3.9 million) of these dual eligible beneficiaries. However, 60 percent of Medicaid’s adult enrollees with disabilities were not eligible for Medicare coverage and a number of these enrollees were still in the two-year waiting period to receive Medicare based on their SSDI eligibility.</w:t>
      </w:r>
      <w:r>
        <w:rPr>
          <w:rStyle w:val="EndnoteReference"/>
        </w:rPr>
        <w:endnoteReference w:id="50"/>
      </w:r>
      <w:r>
        <w:t xml:space="preserve"> </w:t>
      </w:r>
    </w:p>
    <w:p w:rsidR="008C6F97" w:rsidRPr="000C0C2E" w:rsidRDefault="008C6F97" w:rsidP="00445A92">
      <w:pPr>
        <w:pStyle w:val="NCDBodyText"/>
      </w:pPr>
      <w:r>
        <w:t xml:space="preserve">The existing eligibility criteria for SSDI and SSI may force people with disabilities to choose between getting a job and taking care of their health. </w:t>
      </w:r>
      <w:r w:rsidRPr="00C74A4E">
        <w:rPr>
          <w:b/>
        </w:rPr>
        <w:t>NCD recommends that Congress decouple eligibility for health care benefits from eligibility for cash benefits like SSI and SSDI</w:t>
      </w:r>
      <w:r w:rsidRPr="00FD5679">
        <w:rPr>
          <w:b/>
        </w:rPr>
        <w:t>.</w:t>
      </w:r>
      <w:r>
        <w:t xml:space="preserve"> (For more information, see Appendix C, which provides a link to NCD’s report, </w:t>
      </w:r>
      <w:proofErr w:type="gramStart"/>
      <w:r w:rsidRPr="0002078F">
        <w:rPr>
          <w:i/>
        </w:rPr>
        <w:t>Securing</w:t>
      </w:r>
      <w:proofErr w:type="gramEnd"/>
      <w:r w:rsidRPr="0002078F">
        <w:rPr>
          <w:i/>
        </w:rPr>
        <w:t xml:space="preserve"> the Social Contract: Reforming Social Security Disability</w:t>
      </w:r>
      <w:r>
        <w:t>.)</w:t>
      </w:r>
      <w:r w:rsidRPr="001D3C78">
        <w:t xml:space="preserve"> </w:t>
      </w:r>
      <w:r>
        <w:t>This is a disincentive to work, and it can be addressed through changes to federal policy. For example, p</w:t>
      </w:r>
      <w:r w:rsidRPr="00725711">
        <w:t xml:space="preserve">rior to </w:t>
      </w:r>
      <w:r>
        <w:t xml:space="preserve">passage of </w:t>
      </w:r>
      <w:r w:rsidRPr="00725711">
        <w:t>the ACA</w:t>
      </w:r>
      <w:r>
        <w:t>, people with disabilities were more likely to be uninsured even if they were employed, with only 22 percent of people with disabilities having private insurance coverage compared with 70 percent of people without disabilities.</w:t>
      </w:r>
      <w:r>
        <w:rPr>
          <w:rStyle w:val="EndnoteReference"/>
        </w:rPr>
        <w:endnoteReference w:id="51"/>
      </w:r>
      <w:r>
        <w:t xml:space="preserve"> The ACA created new ways for working-age adults to obtain public assistance for health care coverage and also prohibited discrimination based on disability. The ACA expanded Medicaid eligibility for working-age adults with incomes up to 138 percent of the federal poverty level (FPL) and provides subsidies for people with incomes up to 400 percent of the FPL to buy health insurance on a state health insurance exchange. It also changed the enrollment rules to make eligibility determinations much easier.</w:t>
      </w:r>
      <w:r>
        <w:rPr>
          <w:rStyle w:val="EndnoteReference"/>
        </w:rPr>
        <w:endnoteReference w:id="52"/>
      </w:r>
    </w:p>
    <w:p w:rsidR="008C6F97" w:rsidRDefault="008C6F97" w:rsidP="00445A92">
      <w:pPr>
        <w:pStyle w:val="NCDBodyText"/>
      </w:pPr>
      <w:r>
        <w:t xml:space="preserve">The expansion of Medicaid eligibility up to 138 percent of the FPL allowed more people in poverty, including those with disabilities, to work more and gain an income without </w:t>
      </w:r>
      <w:r>
        <w:lastRenderedPageBreak/>
        <w:t>being penalized by losing their health care benefits. This change provides a stronger start toward financial independence for people with disabilities while allowing them to retain their health care coverage. Under the current system, Medicaid guarantees federal matching dollars to states with no waiting list or caps;</w:t>
      </w:r>
      <w:r>
        <w:rPr>
          <w:rStyle w:val="EndnoteReference"/>
        </w:rPr>
        <w:endnoteReference w:id="53"/>
      </w:r>
      <w:r>
        <w:t xml:space="preserve"> however, </w:t>
      </w:r>
      <w:r w:rsidRPr="00E551A1">
        <w:t xml:space="preserve">the </w:t>
      </w:r>
      <w:r>
        <w:t xml:space="preserve">2012 </w:t>
      </w:r>
      <w:r w:rsidRPr="00E551A1">
        <w:t>Supreme Court</w:t>
      </w:r>
      <w:r w:rsidRPr="00E107CC">
        <w:t xml:space="preserve"> decision </w:t>
      </w:r>
      <w:r>
        <w:t xml:space="preserve">in </w:t>
      </w:r>
      <w:r w:rsidRPr="003D09AD">
        <w:rPr>
          <w:i/>
        </w:rPr>
        <w:t xml:space="preserve">National Federation of Independent Business (NFIB) v. </w:t>
      </w:r>
      <w:proofErr w:type="spellStart"/>
      <w:r w:rsidRPr="003D09AD">
        <w:rPr>
          <w:i/>
        </w:rPr>
        <w:t>Sebelius</w:t>
      </w:r>
      <w:proofErr w:type="spellEnd"/>
      <w:r>
        <w:t xml:space="preserve"> decided that states were not mandated to expand Medicaid coverage.</w:t>
      </w:r>
      <w:r>
        <w:rPr>
          <w:rStyle w:val="EndnoteReference"/>
        </w:rPr>
        <w:endnoteReference w:id="54"/>
      </w:r>
      <w:r>
        <w:t xml:space="preserve"> As a result, 18 states opted not to expand the program. Recent data shows that people with disabilities in Medicaid expansion states are more likely to be employed versus people living in non-Medicaid expansion states.</w:t>
      </w:r>
      <w:r>
        <w:rPr>
          <w:rStyle w:val="EndnoteReference"/>
        </w:rPr>
        <w:endnoteReference w:id="55"/>
      </w:r>
      <w:r>
        <w:t xml:space="preserve"> </w:t>
      </w:r>
      <w:r w:rsidRPr="00C32BE2">
        <w:rPr>
          <w:b/>
        </w:rPr>
        <w:t>NCD recommends maintaining the Medicaid expansion for individuals whose conditions did not meet the severity requirements for pre-ACA disability-based Medicaid, as well as for those falling within the two-year waiting period before qualifying for disability-based Medicare</w:t>
      </w:r>
      <w:r>
        <w:t xml:space="preserve">. </w:t>
      </w:r>
      <w:r w:rsidRPr="00C32BE2">
        <w:rPr>
          <w:b/>
        </w:rPr>
        <w:t>NCD also recommends maintaining protections that prohibit insurance companies from denying coverage because of preexisting conditions</w:t>
      </w:r>
      <w:r w:rsidRPr="00FD5679">
        <w:rPr>
          <w:b/>
        </w:rPr>
        <w:t>.</w:t>
      </w:r>
      <w:r>
        <w:t xml:space="preserve"> (See Appendix C for more information about NCD’s analysis of current health reform plans.)</w:t>
      </w:r>
    </w:p>
    <w:p w:rsidR="008C6F97" w:rsidRDefault="008C6F97" w:rsidP="00445A92">
      <w:pPr>
        <w:pStyle w:val="NCDBodyText"/>
      </w:pPr>
      <w:r>
        <w:t xml:space="preserve">Long-term services and supports are another vital aspect of health care for people with disabilities, and advances in medical knowledge and technology have allowed this population to live more independently with these services. This is important for an aging population as data shows that, between the ages of </w:t>
      </w:r>
      <w:r w:rsidRPr="007E4F56">
        <w:t xml:space="preserve">40 and 50, almost one in </w:t>
      </w:r>
      <w:r>
        <w:t xml:space="preserve">10 people </w:t>
      </w:r>
      <w:r w:rsidRPr="007E4F56">
        <w:t xml:space="preserve">will have a disability that may require </w:t>
      </w:r>
      <w:r>
        <w:t>long-term services and supports.</w:t>
      </w:r>
      <w:r>
        <w:rPr>
          <w:rStyle w:val="EndnoteReference"/>
        </w:rPr>
        <w:endnoteReference w:id="56"/>
      </w:r>
      <w:r>
        <w:t xml:space="preserve"> Many people with disabilities are able to access these services through Medicaid home and community-based services (HCBS) waivers. These waivers allow states to provide nonmedical services such as personal care services and habilitation services. Without these HCBS services, many beneficiaries would be at risk of becoming institutionalized in a nursing home or hospital facility. </w:t>
      </w:r>
      <w:r w:rsidRPr="00C32BE2">
        <w:rPr>
          <w:b/>
        </w:rPr>
        <w:t xml:space="preserve">NCD recommends that Congress expand opportunities for people with disabilities who need to pay for personal care services </w:t>
      </w:r>
      <w:r>
        <w:rPr>
          <w:b/>
        </w:rPr>
        <w:t xml:space="preserve">in order </w:t>
      </w:r>
      <w:r w:rsidRPr="00C32BE2">
        <w:rPr>
          <w:b/>
        </w:rPr>
        <w:t>to benefit from tax deductions</w:t>
      </w:r>
      <w:r w:rsidRPr="00FD5679">
        <w:rPr>
          <w:b/>
        </w:rPr>
        <w:t>.</w:t>
      </w:r>
      <w:r w:rsidRPr="00D530B9">
        <w:t xml:space="preserve"> </w:t>
      </w:r>
      <w:r>
        <w:t xml:space="preserve">The ACA also gives states the option to include home and community-based services as part of their benefits instead of providing them through a waiver. HCBS waivers can cover important services such as case management, personal care, adult day health services, habilitation, and respite care, which often are not available through private insurance plans. The kinds of HCBS </w:t>
      </w:r>
      <w:r>
        <w:lastRenderedPageBreak/>
        <w:t>services states offer varies greatly, with 17 states offering targeted HCBS services to those at risk of future institutional care, 32 states offering personal care services, and eight states offering Community First Choice attendant care services and supports.</w:t>
      </w:r>
      <w:r>
        <w:rPr>
          <w:rStyle w:val="EndnoteReference"/>
        </w:rPr>
        <w:endnoteReference w:id="57"/>
      </w:r>
      <w:r w:rsidRPr="00276AB5">
        <w:t xml:space="preserve"> </w:t>
      </w:r>
      <w:r>
        <w:t>These services support people with disabilities in their home and/or community instead of in institutional settings.</w:t>
      </w:r>
    </w:p>
    <w:p w:rsidR="008C6F97" w:rsidRDefault="008C6F97" w:rsidP="00445A92">
      <w:pPr>
        <w:pStyle w:val="NCDBodyText"/>
      </w:pPr>
      <w:r>
        <w:t xml:space="preserve">Current health care reform discussions will have a greater impact on people with disabilities than any other group because of the major role both Medicaid and Medicare play in covering their health care costs. </w:t>
      </w:r>
      <w:r w:rsidRPr="00FC2E51">
        <w:t>Per</w:t>
      </w:r>
      <w:r>
        <w:t xml:space="preserve"> capita caps would reduce the amount that states receive from the F</w:t>
      </w:r>
      <w:r w:rsidRPr="00FC2E51">
        <w:t xml:space="preserve">ederal </w:t>
      </w:r>
      <w:r>
        <w:t>G</w:t>
      </w:r>
      <w:r w:rsidRPr="00FC2E51">
        <w:t>overnment</w:t>
      </w:r>
      <w:r>
        <w:t xml:space="preserve"> for Medicaid and, in many </w:t>
      </w:r>
      <w:proofErr w:type="gramStart"/>
      <w:r>
        <w:t>cases,</w:t>
      </w:r>
      <w:proofErr w:type="gramEnd"/>
      <w:r>
        <w:t xml:space="preserve"> states would reduce the amount of the state’s share of</w:t>
      </w:r>
      <w:r w:rsidRPr="00FC2E51">
        <w:t xml:space="preserve"> spend</w:t>
      </w:r>
      <w:r>
        <w:t>ing</w:t>
      </w:r>
      <w:r w:rsidRPr="00FC2E51">
        <w:t xml:space="preserve"> on Medicaid. </w:t>
      </w:r>
      <w:r>
        <w:t>The proposed</w:t>
      </w:r>
      <w:r w:rsidRPr="00FC2E51">
        <w:t xml:space="preserve"> </w:t>
      </w:r>
      <w:r>
        <w:t xml:space="preserve">per capita </w:t>
      </w:r>
      <w:r w:rsidRPr="00FC2E51">
        <w:t xml:space="preserve">caps </w:t>
      </w:r>
      <w:r>
        <w:t>are estimated to</w:t>
      </w:r>
      <w:r w:rsidRPr="00FC2E51">
        <w:t xml:space="preserve"> reduce federal Medicaid support by $149 billi</w:t>
      </w:r>
      <w:r>
        <w:t>on</w:t>
      </w:r>
      <w:r w:rsidRPr="00FC2E51">
        <w:t xml:space="preserve"> by 2026 </w:t>
      </w:r>
      <w:r>
        <w:t>to</w:t>
      </w:r>
      <w:r w:rsidRPr="00FC2E51">
        <w:t xml:space="preserve"> states </w:t>
      </w:r>
      <w:r>
        <w:t xml:space="preserve">that </w:t>
      </w:r>
      <w:r w:rsidRPr="00FC2E51">
        <w:t>would have used</w:t>
      </w:r>
      <w:r>
        <w:t xml:space="preserve"> the funding</w:t>
      </w:r>
      <w:r w:rsidRPr="00FC2E51">
        <w:t xml:space="preserve"> to support Medicaid programs.</w:t>
      </w:r>
      <w:r>
        <w:rPr>
          <w:rStyle w:val="EndnoteReference"/>
        </w:rPr>
        <w:endnoteReference w:id="58"/>
      </w:r>
      <w:r w:rsidRPr="00FC2E51">
        <w:t xml:space="preserve"> </w:t>
      </w:r>
      <w:r>
        <w:t>These reductions would have a significant impact on people with disabilities, many of whom rely on this safety net</w:t>
      </w:r>
      <w:r w:rsidRPr="00FC2E51">
        <w:t xml:space="preserve"> </w:t>
      </w:r>
      <w:r>
        <w:t xml:space="preserve">system and who have, on average, higher health care costs and long-term support needs. </w:t>
      </w:r>
      <w:r w:rsidRPr="00FD2F58">
        <w:rPr>
          <w:b/>
        </w:rPr>
        <w:t>NCD recommends that any changes to federal and state funding for Medicaid should consider how to safeguard health care for this population</w:t>
      </w:r>
      <w:r w:rsidRPr="00FD5679">
        <w:rPr>
          <w:b/>
        </w:rPr>
        <w:t>.</w:t>
      </w:r>
      <w:r>
        <w:rPr>
          <w:rStyle w:val="EndnoteReference"/>
        </w:rPr>
        <w:endnoteReference w:id="59"/>
      </w:r>
      <w:r>
        <w:t xml:space="preserve"> (See Appendix C for more information about NCD’s analysis of current health reform plans.) </w:t>
      </w:r>
    </w:p>
    <w:p w:rsidR="008C6F97" w:rsidRDefault="008C6F97" w:rsidP="00F704ED">
      <w:pPr>
        <w:pStyle w:val="Heading2"/>
      </w:pPr>
      <w:bookmarkStart w:id="62" w:name="_Toc493507473"/>
      <w:bookmarkStart w:id="63" w:name="_Toc493596675"/>
      <w:r>
        <w:t>Financial Assistance and Incentives</w:t>
      </w:r>
      <w:bookmarkEnd w:id="62"/>
      <w:bookmarkEnd w:id="63"/>
    </w:p>
    <w:p w:rsidR="008C6F97" w:rsidRPr="009C00A6" w:rsidRDefault="008C6F97" w:rsidP="00F704ED">
      <w:pPr>
        <w:pStyle w:val="Heading3"/>
      </w:pPr>
      <w:bookmarkStart w:id="64" w:name="_Toc493507474"/>
      <w:bookmarkStart w:id="65" w:name="_Toc493596676"/>
      <w:r w:rsidRPr="009C00A6">
        <w:t xml:space="preserve">Social Security Disability Insurance (SSDI) </w:t>
      </w:r>
      <w:r>
        <w:t>and</w:t>
      </w:r>
      <w:r w:rsidRPr="009C00A6">
        <w:t xml:space="preserve"> Supplemental Security </w:t>
      </w:r>
      <w:r w:rsidR="007D2AF6">
        <w:br/>
      </w:r>
      <w:r w:rsidRPr="009C00A6">
        <w:t>Income (SSI)</w:t>
      </w:r>
      <w:bookmarkEnd w:id="64"/>
      <w:bookmarkEnd w:id="65"/>
    </w:p>
    <w:p w:rsidR="008C6F97" w:rsidRPr="00926A16" w:rsidRDefault="008C6F97" w:rsidP="007409F0">
      <w:pPr>
        <w:pStyle w:val="NCDBodyText"/>
        <w:spacing w:after="360"/>
        <w:rPr>
          <w:shd w:val="clear" w:color="auto" w:fill="FFFFFF"/>
        </w:rPr>
      </w:pPr>
      <w:r>
        <w:rPr>
          <w:shd w:val="clear" w:color="auto" w:fill="FFFFFF"/>
        </w:rPr>
        <w:t xml:space="preserve">In addition to serving as an entry point for federal health insurance (i.e., Medicare and Medicaid), </w:t>
      </w:r>
      <w:r w:rsidRPr="00926A16">
        <w:rPr>
          <w:shd w:val="clear" w:color="auto" w:fill="FFFFFF"/>
        </w:rPr>
        <w:t>SSDI</w:t>
      </w:r>
      <w:r>
        <w:rPr>
          <w:shd w:val="clear" w:color="auto" w:fill="FFFFFF"/>
        </w:rPr>
        <w:t xml:space="preserve"> and </w:t>
      </w:r>
      <w:r w:rsidRPr="00926A16">
        <w:rPr>
          <w:shd w:val="clear" w:color="auto" w:fill="FFFFFF"/>
        </w:rPr>
        <w:t xml:space="preserve">SSI provide essential cash supports for </w:t>
      </w:r>
      <w:r>
        <w:rPr>
          <w:shd w:val="clear" w:color="auto" w:fill="FFFFFF"/>
        </w:rPr>
        <w:t>more than</w:t>
      </w:r>
      <w:r w:rsidRPr="00926A16">
        <w:rPr>
          <w:shd w:val="clear" w:color="auto" w:fill="FFFFFF"/>
        </w:rPr>
        <w:t xml:space="preserve"> 13 million Americans with disabilities and their families</w:t>
      </w:r>
      <w:r>
        <w:rPr>
          <w:shd w:val="clear" w:color="auto" w:fill="FFFFFF"/>
        </w:rPr>
        <w:t>.</w:t>
      </w:r>
      <w:r>
        <w:rPr>
          <w:rStyle w:val="EndnoteReference"/>
          <w:shd w:val="clear" w:color="auto" w:fill="FFFFFF"/>
        </w:rPr>
        <w:endnoteReference w:id="60"/>
      </w:r>
      <w:r w:rsidRPr="00926A16">
        <w:rPr>
          <w:shd w:val="clear" w:color="auto" w:fill="FFFFFF"/>
        </w:rPr>
        <w:t xml:space="preserve"> </w:t>
      </w:r>
      <w:r>
        <w:rPr>
          <w:shd w:val="clear" w:color="auto" w:fill="FFFFFF"/>
        </w:rPr>
        <w:t xml:space="preserve">These programs </w:t>
      </w:r>
      <w:r w:rsidRPr="00926A16">
        <w:rPr>
          <w:shd w:val="clear" w:color="auto" w:fill="FFFFFF"/>
        </w:rPr>
        <w:t xml:space="preserve">offer financial support to help cover living expenses and other costs when individuals are </w:t>
      </w:r>
      <w:r>
        <w:rPr>
          <w:shd w:val="clear" w:color="auto" w:fill="FFFFFF"/>
        </w:rPr>
        <w:t>“</w:t>
      </w:r>
      <w:r w:rsidRPr="00926A16">
        <w:rPr>
          <w:shd w:val="clear" w:color="auto" w:fill="FFFFFF"/>
        </w:rPr>
        <w:t xml:space="preserve">unable to work due to severe physical and/or </w:t>
      </w:r>
      <w:r w:rsidRPr="008F2840">
        <w:t>mental limitations.</w:t>
      </w:r>
      <w:r>
        <w:t>”</w:t>
      </w:r>
      <w:r w:rsidRPr="008F2840">
        <w:t xml:space="preserve"> </w:t>
      </w:r>
      <w:r>
        <w:t xml:space="preserve">Although </w:t>
      </w:r>
      <w:r w:rsidRPr="008F2840">
        <w:t xml:space="preserve">the average benefit is modest, </w:t>
      </w:r>
      <w:r w:rsidRPr="00926A16">
        <w:rPr>
          <w:shd w:val="clear" w:color="auto" w:fill="FFFFFF"/>
        </w:rPr>
        <w:t>without it</w:t>
      </w:r>
      <w:r>
        <w:rPr>
          <w:shd w:val="clear" w:color="auto" w:fill="FFFFFF"/>
        </w:rPr>
        <w:t>,</w:t>
      </w:r>
      <w:r w:rsidRPr="00926A16">
        <w:rPr>
          <w:shd w:val="clear" w:color="auto" w:fill="FFFFFF"/>
        </w:rPr>
        <w:t xml:space="preserve"> many individuals and families would be in deep financial distress. Both programs provide cash payments to engage in </w:t>
      </w:r>
      <w:r>
        <w:rPr>
          <w:shd w:val="clear" w:color="auto" w:fill="FFFFFF"/>
        </w:rPr>
        <w:t>“</w:t>
      </w:r>
      <w:r w:rsidRPr="00926A16">
        <w:rPr>
          <w:shd w:val="clear" w:color="auto" w:fill="FFFFFF"/>
        </w:rPr>
        <w:t>substantial gainful activity</w:t>
      </w:r>
      <w:r>
        <w:rPr>
          <w:shd w:val="clear" w:color="auto" w:fill="FFFFFF"/>
        </w:rPr>
        <w:t xml:space="preserve">” because of </w:t>
      </w:r>
      <w:r w:rsidRPr="00926A16">
        <w:rPr>
          <w:shd w:val="clear" w:color="auto" w:fill="FFFFFF"/>
        </w:rPr>
        <w:t>one or more severe physical or mental impairments that are expected to last at le</w:t>
      </w:r>
      <w:r>
        <w:rPr>
          <w:shd w:val="clear" w:color="auto" w:fill="FFFFFF"/>
        </w:rPr>
        <w:t xml:space="preserve">ast a </w:t>
      </w:r>
      <w:r>
        <w:rPr>
          <w:shd w:val="clear" w:color="auto" w:fill="FFFFFF"/>
        </w:rPr>
        <w:lastRenderedPageBreak/>
        <w:t>year or result in death.</w:t>
      </w:r>
      <w:r w:rsidRPr="00926A16">
        <w:rPr>
          <w:shd w:val="clear" w:color="auto" w:fill="FFFFFF"/>
        </w:rPr>
        <w:t xml:space="preserve"> </w:t>
      </w:r>
      <w:r>
        <w:rPr>
          <w:shd w:val="clear" w:color="auto" w:fill="FFFFFF"/>
        </w:rPr>
        <w:t xml:space="preserve">In 2017, substantial gainful activity was defined as the ability to </w:t>
      </w:r>
      <w:r w:rsidRPr="00926A16">
        <w:rPr>
          <w:shd w:val="clear" w:color="auto" w:fill="FFFFFF"/>
        </w:rPr>
        <w:t xml:space="preserve">earn $1,170 </w:t>
      </w:r>
      <w:r>
        <w:rPr>
          <w:shd w:val="clear" w:color="auto" w:fill="FFFFFF"/>
        </w:rPr>
        <w:t xml:space="preserve">per </w:t>
      </w:r>
      <w:r w:rsidRPr="00926A16">
        <w:rPr>
          <w:shd w:val="clear" w:color="auto" w:fill="FFFFFF"/>
        </w:rPr>
        <w:t xml:space="preserve">month ($1,950 </w:t>
      </w:r>
      <w:r>
        <w:rPr>
          <w:shd w:val="clear" w:color="auto" w:fill="FFFFFF"/>
        </w:rPr>
        <w:t xml:space="preserve">per month </w:t>
      </w:r>
      <w:r w:rsidRPr="00926A16">
        <w:rPr>
          <w:shd w:val="clear" w:color="auto" w:fill="FFFFFF"/>
        </w:rPr>
        <w:t>for b</w:t>
      </w:r>
      <w:r>
        <w:rPr>
          <w:shd w:val="clear" w:color="auto" w:fill="FFFFFF"/>
        </w:rPr>
        <w:t>lind individuals).</w:t>
      </w:r>
    </w:p>
    <w:tbl>
      <w:tblPr>
        <w:tblStyle w:val="TableGrid"/>
        <w:tblW w:w="0" w:type="auto"/>
        <w:shd w:val="clear" w:color="auto" w:fill="C6D9F1"/>
        <w:tblLook w:val="04A0" w:firstRow="1" w:lastRow="0" w:firstColumn="1" w:lastColumn="0" w:noHBand="0" w:noVBand="1"/>
        <w:tblDescription w:val="Pull Quote"/>
      </w:tblPr>
      <w:tblGrid>
        <w:gridCol w:w="9350"/>
      </w:tblGrid>
      <w:tr w:rsidR="008C6F97" w:rsidTr="00BF32FE">
        <w:trPr>
          <w:tblHeader/>
        </w:trPr>
        <w:tc>
          <w:tcPr>
            <w:tcW w:w="9350" w:type="dxa"/>
            <w:shd w:val="clear" w:color="auto" w:fill="C6D9F1"/>
            <w:tcMar>
              <w:top w:w="130" w:type="dxa"/>
              <w:left w:w="144" w:type="dxa"/>
              <w:bottom w:w="29" w:type="dxa"/>
              <w:right w:w="144" w:type="dxa"/>
            </w:tcMar>
          </w:tcPr>
          <w:p w:rsidR="008C6F97" w:rsidRPr="001B6385" w:rsidRDefault="008C6F97" w:rsidP="00F704ED">
            <w:pPr>
              <w:pStyle w:val="NCDTextBoxText"/>
            </w:pPr>
            <w:r>
              <w:t>“No one enjoys having to be on one of those programs [SSDI or SSI]. And yet, it is a vital survival tool.”</w:t>
            </w:r>
          </w:p>
          <w:p w:rsidR="008C6F97" w:rsidRPr="00B27A93" w:rsidRDefault="008C6F97" w:rsidP="00F704ED">
            <w:pPr>
              <w:pStyle w:val="NCDTextBoxText"/>
              <w:jc w:val="right"/>
              <w:rPr>
                <w:i/>
              </w:rPr>
            </w:pPr>
            <w:r>
              <w:rPr>
                <w:i/>
              </w:rPr>
              <w:t>—</w:t>
            </w:r>
            <w:r w:rsidRPr="00B27A93">
              <w:rPr>
                <w:i/>
              </w:rPr>
              <w:t>Focus Group Participant</w:t>
            </w:r>
          </w:p>
        </w:tc>
      </w:tr>
    </w:tbl>
    <w:p w:rsidR="008C6F97" w:rsidRPr="00C83A6C" w:rsidRDefault="008C6F97" w:rsidP="007409F0">
      <w:pPr>
        <w:pStyle w:val="NCDBodyTextSpaceBefore"/>
        <w:spacing w:before="360"/>
        <w:rPr>
          <w:rFonts w:cs="TimesNewRoman"/>
        </w:rPr>
      </w:pPr>
      <w:r w:rsidRPr="004F1779">
        <w:rPr>
          <w:rStyle w:val="NCDBodyTextSpaceBeforeChar"/>
        </w:rPr>
        <w:t>In 2015, 8.9 million SSDI beneficiaries received an average of $1,166 per month or less</w:t>
      </w:r>
      <w:r w:rsidRPr="00926A16">
        <w:rPr>
          <w:shd w:val="clear" w:color="auto" w:fill="FFFFFF"/>
        </w:rPr>
        <w:t xml:space="preserve"> than $14,000 per year—marginally above the poverty guideline for individuals living alone ($11,771 in 2015)</w:t>
      </w:r>
      <w:r>
        <w:rPr>
          <w:shd w:val="clear" w:color="auto" w:fill="FFFFFF"/>
        </w:rPr>
        <w:t>.</w:t>
      </w:r>
      <w:r>
        <w:rPr>
          <w:rStyle w:val="EndnoteReference"/>
          <w:shd w:val="clear" w:color="auto" w:fill="FFFFFF"/>
        </w:rPr>
        <w:endnoteReference w:id="61"/>
      </w:r>
      <w:r w:rsidRPr="00926A16">
        <w:rPr>
          <w:shd w:val="clear" w:color="auto" w:fill="FFFFFF"/>
        </w:rPr>
        <w:t xml:space="preserve"> </w:t>
      </w:r>
      <w:r>
        <w:rPr>
          <w:shd w:val="clear" w:color="auto" w:fill="FFFFFF"/>
        </w:rPr>
        <w:t xml:space="preserve">Although this seems like a small sum, the </w:t>
      </w:r>
      <w:r w:rsidRPr="00926A16">
        <w:rPr>
          <w:shd w:val="clear" w:color="auto" w:fill="FFFFFF"/>
        </w:rPr>
        <w:t>program provides crucial economic support</w:t>
      </w:r>
      <w:r>
        <w:rPr>
          <w:shd w:val="clear" w:color="auto" w:fill="FFFFFF"/>
        </w:rPr>
        <w:t xml:space="preserve"> for people with disabilities</w:t>
      </w:r>
      <w:r w:rsidRPr="00926A16">
        <w:rPr>
          <w:shd w:val="clear" w:color="auto" w:fill="FFFFFF"/>
        </w:rPr>
        <w:t>.</w:t>
      </w:r>
      <w:r>
        <w:rPr>
          <w:shd w:val="clear" w:color="auto" w:fill="FFFFFF"/>
        </w:rPr>
        <w:t xml:space="preserve"> </w:t>
      </w:r>
      <w:r>
        <w:t>Approximately</w:t>
      </w:r>
      <w:r w:rsidRPr="00CB46CB">
        <w:t xml:space="preserve"> 80</w:t>
      </w:r>
      <w:r>
        <w:t xml:space="preserve"> </w:t>
      </w:r>
      <w:r w:rsidRPr="00CB46CB">
        <w:t xml:space="preserve">percent of beneficiaries get at least half of their income from </w:t>
      </w:r>
      <w:r>
        <w:t>the SSDI program</w:t>
      </w:r>
      <w:r w:rsidRPr="00CB46CB">
        <w:t xml:space="preserve">, </w:t>
      </w:r>
      <w:r>
        <w:t xml:space="preserve">while </w:t>
      </w:r>
      <w:r w:rsidRPr="00CB46CB">
        <w:t>3</w:t>
      </w:r>
      <w:r>
        <w:t xml:space="preserve">6 </w:t>
      </w:r>
      <w:r w:rsidRPr="00CB46CB">
        <w:t>percent of beneficiaries rely on</w:t>
      </w:r>
      <w:r>
        <w:t xml:space="preserve"> SS</w:t>
      </w:r>
      <w:r w:rsidRPr="00CB46CB">
        <w:t>DI</w:t>
      </w:r>
      <w:r>
        <w:t xml:space="preserve"> </w:t>
      </w:r>
      <w:r w:rsidRPr="00CB46CB">
        <w:t>benefits as their sole source of income</w:t>
      </w:r>
      <w:r>
        <w:t>.</w:t>
      </w:r>
      <w:r>
        <w:rPr>
          <w:rStyle w:val="EndnoteReference"/>
        </w:rPr>
        <w:endnoteReference w:id="62"/>
      </w:r>
      <w:r>
        <w:t xml:space="preserve"> Estimates suggest that SSDI pulled 2.7 million households out of poverty in 2015 </w:t>
      </w:r>
      <w:r w:rsidRPr="00CB46CB">
        <w:t>(</w:t>
      </w:r>
      <w:r>
        <w:t xml:space="preserve">calculation based on </w:t>
      </w:r>
      <w:r w:rsidRPr="00CB46CB">
        <w:t xml:space="preserve">Bailey and </w:t>
      </w:r>
      <w:proofErr w:type="spellStart"/>
      <w:r w:rsidRPr="00CB46CB">
        <w:t>Hemmeter</w:t>
      </w:r>
      <w:proofErr w:type="spellEnd"/>
      <w:r w:rsidRPr="00CB46CB">
        <w:t xml:space="preserve"> </w:t>
      </w:r>
      <w:r>
        <w:t>(2015</w:t>
      </w:r>
      <w:r w:rsidRPr="00CB46CB">
        <w:t>).</w:t>
      </w:r>
      <w:r>
        <w:rPr>
          <w:rStyle w:val="EndnoteReference"/>
        </w:rPr>
        <w:endnoteReference w:id="63"/>
      </w:r>
      <w:r>
        <w:t xml:space="preserve"> In that same year, </w:t>
      </w:r>
      <w:r w:rsidRPr="00926A16">
        <w:rPr>
          <w:shd w:val="clear" w:color="auto" w:fill="FFFFFF"/>
        </w:rPr>
        <w:t>4.9 million working-age SSI beneficiaries receive</w:t>
      </w:r>
      <w:r>
        <w:rPr>
          <w:shd w:val="clear" w:color="auto" w:fill="FFFFFF"/>
        </w:rPr>
        <w:t>d</w:t>
      </w:r>
      <w:r w:rsidRPr="00926A16">
        <w:rPr>
          <w:shd w:val="clear" w:color="auto" w:fill="FFFFFF"/>
        </w:rPr>
        <w:t xml:space="preserve"> an average of $561</w:t>
      </w:r>
      <w:r>
        <w:rPr>
          <w:shd w:val="clear" w:color="auto" w:fill="FFFFFF"/>
        </w:rPr>
        <w:t xml:space="preserve"> per month.</w:t>
      </w:r>
      <w:r>
        <w:rPr>
          <w:rStyle w:val="EndnoteReference"/>
          <w:shd w:val="clear" w:color="auto" w:fill="FFFFFF"/>
        </w:rPr>
        <w:endnoteReference w:id="64"/>
      </w:r>
      <w:r>
        <w:rPr>
          <w:shd w:val="clear" w:color="auto" w:fill="FFFFFF"/>
        </w:rPr>
        <w:t xml:space="preserve"> Estimates suggest that </w:t>
      </w:r>
      <w:r w:rsidRPr="00926A16">
        <w:t>SSI payments pull</w:t>
      </w:r>
      <w:r>
        <w:t>ed</w:t>
      </w:r>
      <w:r w:rsidRPr="00926A16">
        <w:t xml:space="preserve"> </w:t>
      </w:r>
      <w:r>
        <w:t>one</w:t>
      </w:r>
      <w:r w:rsidRPr="00926A16">
        <w:t xml:space="preserve"> million </w:t>
      </w:r>
      <w:r w:rsidRPr="00CB733C">
        <w:t xml:space="preserve">households out of extreme poverty, yet most </w:t>
      </w:r>
      <w:r w:rsidRPr="00D57B91">
        <w:t>remain within 150</w:t>
      </w:r>
      <w:r w:rsidRPr="00926A16">
        <w:rPr>
          <w:sz w:val="23"/>
          <w:szCs w:val="23"/>
        </w:rPr>
        <w:t xml:space="preserve"> </w:t>
      </w:r>
      <w:r w:rsidRPr="00D57B91">
        <w:t>percent of the poverty threshold</w:t>
      </w:r>
      <w:r w:rsidRPr="00926A16">
        <w:rPr>
          <w:sz w:val="23"/>
          <w:szCs w:val="23"/>
        </w:rPr>
        <w:t xml:space="preserve"> </w:t>
      </w:r>
      <w:r w:rsidRPr="00CB46CB">
        <w:t>(</w:t>
      </w:r>
      <w:r>
        <w:t xml:space="preserve">calculation based on </w:t>
      </w:r>
      <w:r w:rsidRPr="00CB46CB">
        <w:t xml:space="preserve">Bailey and </w:t>
      </w:r>
      <w:proofErr w:type="spellStart"/>
      <w:r w:rsidRPr="00CB46CB">
        <w:t>Hemmeter</w:t>
      </w:r>
      <w:proofErr w:type="spellEnd"/>
      <w:r>
        <w:t>,</w:t>
      </w:r>
      <w:r w:rsidRPr="00CB46CB">
        <w:t xml:space="preserve"> </w:t>
      </w:r>
      <w:r>
        <w:t>2015).</w:t>
      </w:r>
      <w:r>
        <w:rPr>
          <w:rStyle w:val="EndnoteReference"/>
        </w:rPr>
        <w:endnoteReference w:id="65"/>
      </w:r>
      <w:r>
        <w:t xml:space="preserve"> The Social Security Administration (SSA) publishes program statistics about the characteristics of SSI and SSDI beneficiaries by age, sex, and type of disability. However, SSA discontinued </w:t>
      </w:r>
      <w:r>
        <w:rPr>
          <w:rFonts w:cs="Arial"/>
          <w:color w:val="000000"/>
        </w:rPr>
        <w:t>publication of beneficiary characteristic by race for the SSI</w:t>
      </w:r>
      <w:r>
        <w:rPr>
          <w:rStyle w:val="apple-converted-space"/>
          <w:rFonts w:cs="Arial"/>
          <w:color w:val="000000"/>
        </w:rPr>
        <w:t xml:space="preserve"> </w:t>
      </w:r>
      <w:r>
        <w:rPr>
          <w:rFonts w:cs="Arial"/>
          <w:color w:val="000000"/>
        </w:rPr>
        <w:t>program after 2002 and after 2009 for the</w:t>
      </w:r>
      <w:r>
        <w:rPr>
          <w:rStyle w:val="apple-converted-space"/>
          <w:rFonts w:cs="Arial"/>
          <w:color w:val="000000"/>
        </w:rPr>
        <w:t xml:space="preserve"> </w:t>
      </w:r>
      <w:r>
        <w:rPr>
          <w:rFonts w:cs="Arial"/>
          <w:color w:val="000000"/>
        </w:rPr>
        <w:t>SSDI</w:t>
      </w:r>
      <w:r>
        <w:rPr>
          <w:rStyle w:val="apple-converted-space"/>
          <w:rFonts w:cs="Arial"/>
          <w:color w:val="000000"/>
        </w:rPr>
        <w:t xml:space="preserve"> </w:t>
      </w:r>
      <w:r>
        <w:rPr>
          <w:rFonts w:cs="Arial"/>
          <w:color w:val="000000"/>
        </w:rPr>
        <w:t>program largely because of the challenge of collecting race information when Social Security numbers are assigned.</w:t>
      </w:r>
      <w:r>
        <w:rPr>
          <w:rStyle w:val="EndnoteReference"/>
          <w:rFonts w:cs="Arial"/>
          <w:color w:val="000000"/>
        </w:rPr>
        <w:endnoteReference w:id="66"/>
      </w:r>
      <w:r>
        <w:rPr>
          <w:rFonts w:cs="Arial"/>
          <w:color w:val="000000"/>
        </w:rPr>
        <w:t xml:space="preserve"> </w:t>
      </w:r>
    </w:p>
    <w:p w:rsidR="008C6F97" w:rsidRPr="004F1779" w:rsidRDefault="008C6F97" w:rsidP="00445A92">
      <w:pPr>
        <w:pStyle w:val="NCDBodyText"/>
      </w:pPr>
      <w:r>
        <w:t xml:space="preserve">Despite the importance of SSI and SSDI in providing a safety net for people with disabilities, these programs can keep people in poverty or near poverty by setting up low expectations and perverse economic incentives. The disability determination process is often so long and daunting that, after becoming eligible, beneficiaries begin to believe that they cannot work and they fear running afoul of the complicated rules and losing their benefits. </w:t>
      </w:r>
      <w:r>
        <w:rPr>
          <w:shd w:val="clear" w:color="auto" w:fill="FFFFFF"/>
        </w:rPr>
        <w:t>In discussions with stakeholders, the situation has been described as follows: “</w:t>
      </w:r>
      <w:r w:rsidRPr="00BA5373">
        <w:rPr>
          <w:shd w:val="clear" w:color="auto" w:fill="FFFFFF"/>
        </w:rPr>
        <w:t>We teach a</w:t>
      </w:r>
      <w:r>
        <w:rPr>
          <w:shd w:val="clear" w:color="auto" w:fill="FFFFFF"/>
        </w:rPr>
        <w:t xml:space="preserve"> group of people </w:t>
      </w:r>
      <w:r w:rsidRPr="00052E97">
        <w:rPr>
          <w:shd w:val="clear" w:color="auto" w:fill="FFFFFF"/>
        </w:rPr>
        <w:t xml:space="preserve">that they cannot work and cannot build assets and </w:t>
      </w:r>
      <w:r>
        <w:rPr>
          <w:shd w:val="clear" w:color="auto" w:fill="FFFFFF"/>
        </w:rPr>
        <w:t xml:space="preserve">that they shouldn’t even try.” </w:t>
      </w:r>
    </w:p>
    <w:p w:rsidR="008C6F97" w:rsidRPr="00C83A6C" w:rsidRDefault="008C6F97" w:rsidP="007409F0">
      <w:pPr>
        <w:pStyle w:val="Heading3"/>
      </w:pPr>
      <w:bookmarkStart w:id="66" w:name="_Toc493507475"/>
      <w:bookmarkStart w:id="67" w:name="_Toc493596677"/>
      <w:r>
        <w:lastRenderedPageBreak/>
        <w:t>Earned Income Tax Credit (EITC)</w:t>
      </w:r>
      <w:bookmarkEnd w:id="66"/>
      <w:bookmarkEnd w:id="67"/>
    </w:p>
    <w:p w:rsidR="008C6F97" w:rsidRDefault="008C6F97" w:rsidP="00445A92">
      <w:pPr>
        <w:pStyle w:val="NCDBodyText"/>
      </w:pPr>
      <w:r>
        <w:t xml:space="preserve">The EITC is the largest cash assistance program in the United States. For the general U.S. population, the EITC has become the centerpiece of antipoverty initiatives. In 2016, </w:t>
      </w:r>
      <w:r w:rsidRPr="00457DFD">
        <w:t xml:space="preserve">27 million eligible workers and families received more than $67 billion in </w:t>
      </w:r>
      <w:r>
        <w:t>the form of reduced taxes and tax refunds. Speaker Paul Ryan’s antipoverty plan recommends increasing the EITC.</w:t>
      </w:r>
      <w:r>
        <w:rPr>
          <w:rStyle w:val="EndnoteReference"/>
        </w:rPr>
        <w:endnoteReference w:id="67"/>
      </w:r>
    </w:p>
    <w:p w:rsidR="008C6F97" w:rsidRDefault="008C6F97" w:rsidP="00445A92">
      <w:pPr>
        <w:pStyle w:val="NCDBodyText"/>
      </w:pPr>
      <w:r>
        <w:t>Although more than 10 percent of working-age adults with disabilities take advantage of the tax credit,</w:t>
      </w:r>
      <w:r>
        <w:rPr>
          <w:rStyle w:val="EndnoteReference"/>
        </w:rPr>
        <w:endnoteReference w:id="68"/>
      </w:r>
      <w:r>
        <w:t xml:space="preserve"> the structure of the EITC does not serve the needs of low-income people with disabilities as well as it serves low-income people without disabilities. In 2012, adults with disabilities were nearly equally as likely to claim the EITC as those without disabilities, but they received a much lower average benefit. The average annual tax credit benefit for people without disabilities was $2,072, while the average for people with disabilities was $1,301, and more than 60 percent of people with disabilities received less than $500 from the EITC benefit.</w:t>
      </w:r>
      <w:r>
        <w:rPr>
          <w:rStyle w:val="EndnoteReference"/>
        </w:rPr>
        <w:endnoteReference w:id="69"/>
      </w:r>
      <w:r>
        <w:t xml:space="preserve"> This disparity is the result of a mismatch between the structure of the program and two important socioeconomic characteristics of people with disabilities: (1) being older and (2) having no qualifying children. The EITC is designed to reduce poverty, especially childhood poverty, and discourage the use of welfare programs such as TANF. As a result, the EITC offers a much larger benefit for workers with “qualifying children” than for those with either no children or children who are older than 19. Because people with disabilities tend to be older and are less likely to have qualifying children, the EITC has limited benefits for them. </w:t>
      </w:r>
      <w:r w:rsidRPr="005A1FF2">
        <w:rPr>
          <w:b/>
        </w:rPr>
        <w:t>NCD recommends increasing the EITC for individuals and families without qualifying children to help low-income workers with disabilities lift themselves out of poverty</w:t>
      </w:r>
      <w:r w:rsidRPr="00081E29">
        <w:rPr>
          <w:b/>
        </w:rPr>
        <w:t>.</w:t>
      </w:r>
    </w:p>
    <w:p w:rsidR="008C6F97" w:rsidRDefault="008C6F97" w:rsidP="00170CD3">
      <w:pPr>
        <w:pStyle w:val="Heading2"/>
      </w:pPr>
      <w:bookmarkStart w:id="68" w:name="_Toc493507476"/>
      <w:bookmarkStart w:id="69" w:name="_Toc493596678"/>
      <w:r>
        <w:t>Housing</w:t>
      </w:r>
      <w:bookmarkEnd w:id="68"/>
      <w:bookmarkEnd w:id="69"/>
    </w:p>
    <w:p w:rsidR="008C6F97" w:rsidRDefault="008C6F97" w:rsidP="00445A92">
      <w:pPr>
        <w:pStyle w:val="NCDBodyText"/>
      </w:pPr>
      <w:r w:rsidRPr="00A96CAE">
        <w:t xml:space="preserve">Housing is one of the largest budgetary expenditures for most households </w:t>
      </w:r>
      <w:r>
        <w:t xml:space="preserve">and </w:t>
      </w:r>
      <w:r w:rsidRPr="00A96CAE">
        <w:t>is strongly linked to overall health and well-being</w:t>
      </w:r>
      <w:r>
        <w:t>.</w:t>
      </w:r>
      <w:r w:rsidRPr="00A96CAE">
        <w:t xml:space="preserve"> </w:t>
      </w:r>
      <w:r>
        <w:t xml:space="preserve">Housing also serves as </w:t>
      </w:r>
      <w:r w:rsidRPr="00A96CAE">
        <w:t xml:space="preserve">a mechanism for accumulating personal wealth. </w:t>
      </w:r>
      <w:r>
        <w:t>A</w:t>
      </w:r>
      <w:r w:rsidRPr="00A96CAE">
        <w:t>ccess to stable, safe, appropriate</w:t>
      </w:r>
      <w:r>
        <w:t>,</w:t>
      </w:r>
      <w:r w:rsidRPr="00A96CAE">
        <w:t xml:space="preserve"> and affordable housing can provide the foundation for the layers of activities and services necessary to </w:t>
      </w:r>
      <w:r w:rsidRPr="00A96CAE">
        <w:lastRenderedPageBreak/>
        <w:t>promote health, educational attainment, employment</w:t>
      </w:r>
      <w:r>
        <w:t>,</w:t>
      </w:r>
      <w:r w:rsidRPr="00A96CAE">
        <w:t xml:space="preserve"> economic mobility</w:t>
      </w:r>
      <w:r>
        <w:t>,</w:t>
      </w:r>
      <w:r w:rsidRPr="00A96CAE">
        <w:t xml:space="preserve"> and improved quality of life for low-income individuals</w:t>
      </w:r>
      <w:r>
        <w:t xml:space="preserve"> or </w:t>
      </w:r>
      <w:r w:rsidRPr="00A96CAE">
        <w:t>households</w:t>
      </w:r>
      <w:r>
        <w:t>,</w:t>
      </w:r>
      <w:r w:rsidRPr="00A96CAE">
        <w:t xml:space="preserve"> including people with disabilities</w:t>
      </w:r>
      <w:r>
        <w:t>.</w:t>
      </w:r>
      <w:r>
        <w:rPr>
          <w:rStyle w:val="EndnoteReference"/>
        </w:rPr>
        <w:endnoteReference w:id="70"/>
      </w:r>
      <w:r w:rsidRPr="00A96CAE">
        <w:t xml:space="preserve"> </w:t>
      </w:r>
      <w:r>
        <w:t>An i</w:t>
      </w:r>
      <w:r w:rsidRPr="00A96CAE">
        <w:t xml:space="preserve">ntegrated </w:t>
      </w:r>
      <w:r>
        <w:t xml:space="preserve">policy approach to </w:t>
      </w:r>
      <w:r w:rsidRPr="00A96CAE">
        <w:t xml:space="preserve">housing and service provision </w:t>
      </w:r>
      <w:r>
        <w:t>is thought</w:t>
      </w:r>
      <w:r w:rsidRPr="00A96CAE">
        <w:t xml:space="preserve"> </w:t>
      </w:r>
      <w:r>
        <w:t>to reduce</w:t>
      </w:r>
      <w:r w:rsidRPr="00A96CAE">
        <w:t xml:space="preserve"> the cost of addressing multiple needs and challenges </w:t>
      </w:r>
      <w:r w:rsidRPr="008554FA">
        <w:t>(e.g., poverty, health care utilization, economic mobility)</w:t>
      </w:r>
      <w:r>
        <w:t xml:space="preserve"> that affect</w:t>
      </w:r>
      <w:r w:rsidRPr="00A96CAE">
        <w:t xml:space="preserve"> individuals, families</w:t>
      </w:r>
      <w:r>
        <w:t>,</w:t>
      </w:r>
      <w:r w:rsidRPr="00A96CAE">
        <w:t xml:space="preserve"> and communities</w:t>
      </w:r>
      <w:r>
        <w:t>.</w:t>
      </w:r>
      <w:r>
        <w:rPr>
          <w:rStyle w:val="EndnoteReference"/>
        </w:rPr>
        <w:endnoteReference w:id="71"/>
      </w:r>
      <w:r w:rsidRPr="004E1F33">
        <w:t xml:space="preserve"> </w:t>
      </w:r>
      <w:r w:rsidRPr="00A96CAE">
        <w:t xml:space="preserve">However, </w:t>
      </w:r>
      <w:r>
        <w:t xml:space="preserve">current </w:t>
      </w:r>
      <w:r w:rsidRPr="00A96CAE">
        <w:t xml:space="preserve">federal housing assistance programs </w:t>
      </w:r>
      <w:r>
        <w:t>are</w:t>
      </w:r>
      <w:r w:rsidRPr="00A96CAE">
        <w:t xml:space="preserve"> substantially underfunded</w:t>
      </w:r>
      <w:r>
        <w:t>,</w:t>
      </w:r>
      <w:r w:rsidRPr="00A96CAE">
        <w:t xml:space="preserve"> and only one in four income</w:t>
      </w:r>
      <w:r>
        <w:t>-</w:t>
      </w:r>
      <w:r w:rsidRPr="00A96CAE">
        <w:t>eligible families receive any form of housing assistance.</w:t>
      </w:r>
    </w:p>
    <w:p w:rsidR="008C6F97" w:rsidRPr="00A96CAE" w:rsidRDefault="008C6F97" w:rsidP="00170CD3">
      <w:pPr>
        <w:pStyle w:val="NCDBodyText"/>
        <w:spacing w:after="360"/>
      </w:pPr>
      <w:r>
        <w:t>Several</w:t>
      </w:r>
      <w:r w:rsidRPr="00A96CAE">
        <w:t xml:space="preserve"> programs </w:t>
      </w:r>
      <w:r>
        <w:t>available through</w:t>
      </w:r>
      <w:r w:rsidRPr="00A96CAE">
        <w:t xml:space="preserve"> HUD </w:t>
      </w:r>
      <w:r>
        <w:t xml:space="preserve">provide rental assistance for low-income households. </w:t>
      </w:r>
      <w:r w:rsidRPr="00A96CAE">
        <w:t xml:space="preserve">These programs serve approximately 90 percent of the </w:t>
      </w:r>
      <w:r>
        <w:t>five</w:t>
      </w:r>
      <w:r w:rsidRPr="00A96CAE">
        <w:t xml:space="preserve"> million low-income households receiving federal rental assistance. The </w:t>
      </w:r>
      <w:r>
        <w:t>m</w:t>
      </w:r>
      <w:r w:rsidRPr="00A96CAE">
        <w:t>edian annual income for households receiving federal rental assistance from the three primary HUD programs is $13,500.</w:t>
      </w:r>
    </w:p>
    <w:tbl>
      <w:tblPr>
        <w:tblStyle w:val="TableGrid"/>
        <w:tblW w:w="0" w:type="auto"/>
        <w:shd w:val="clear" w:color="auto" w:fill="C6D9F1"/>
        <w:tblLook w:val="04A0" w:firstRow="1" w:lastRow="0" w:firstColumn="1" w:lastColumn="0" w:noHBand="0" w:noVBand="1"/>
        <w:tblDescription w:val="Pull Quote"/>
      </w:tblPr>
      <w:tblGrid>
        <w:gridCol w:w="9350"/>
      </w:tblGrid>
      <w:tr w:rsidR="008C6F97" w:rsidRPr="00170CD3" w:rsidTr="00BF32FE">
        <w:trPr>
          <w:tblHeader/>
        </w:trPr>
        <w:tc>
          <w:tcPr>
            <w:tcW w:w="9350" w:type="dxa"/>
            <w:shd w:val="clear" w:color="auto" w:fill="C6D9F1"/>
            <w:tcMar>
              <w:top w:w="130" w:type="dxa"/>
              <w:left w:w="144" w:type="dxa"/>
              <w:bottom w:w="29" w:type="dxa"/>
              <w:right w:w="144" w:type="dxa"/>
            </w:tcMar>
          </w:tcPr>
          <w:p w:rsidR="008C6F97" w:rsidRPr="00170CD3" w:rsidRDefault="008C6F97" w:rsidP="002E124F">
            <w:pPr>
              <w:pStyle w:val="NCDTextBoxText"/>
            </w:pPr>
            <w:r w:rsidRPr="00170CD3">
              <w:t>“I can’t afford to live in accessible housing. It costs up to $500 more. I have to use a regular apartment and use a bench to use the bathroom.”</w:t>
            </w:r>
          </w:p>
          <w:p w:rsidR="008C6F97" w:rsidRPr="00170CD3" w:rsidRDefault="008C6F97" w:rsidP="002E124F">
            <w:pPr>
              <w:pStyle w:val="NCDTextBoxBullets"/>
              <w:numPr>
                <w:ilvl w:val="0"/>
                <w:numId w:val="0"/>
              </w:numPr>
              <w:ind w:left="360"/>
              <w:jc w:val="right"/>
              <w:rPr>
                <w:i/>
              </w:rPr>
            </w:pPr>
            <w:r w:rsidRPr="00170CD3">
              <w:rPr>
                <w:i/>
              </w:rPr>
              <w:t>—Focus Group Participant</w:t>
            </w:r>
          </w:p>
        </w:tc>
      </w:tr>
    </w:tbl>
    <w:p w:rsidR="008C6F97" w:rsidRDefault="008C6F97" w:rsidP="00445A92">
      <w:pPr>
        <w:pStyle w:val="NCDBodyText"/>
        <w:spacing w:before="360"/>
      </w:pPr>
      <w:r w:rsidRPr="00A96CAE">
        <w:t xml:space="preserve">HUD housing programs are operated through local </w:t>
      </w:r>
      <w:r>
        <w:t>p</w:t>
      </w:r>
      <w:r w:rsidRPr="00A96CAE">
        <w:t xml:space="preserve">ublic </w:t>
      </w:r>
      <w:r>
        <w:t>h</w:t>
      </w:r>
      <w:r w:rsidRPr="00A96CAE">
        <w:t xml:space="preserve">ousing </w:t>
      </w:r>
      <w:r>
        <w:t>a</w:t>
      </w:r>
      <w:r w:rsidRPr="00A96CAE">
        <w:t>uthorities (</w:t>
      </w:r>
      <w:r>
        <w:t xml:space="preserve">PHAs). </w:t>
      </w:r>
      <w:r w:rsidRPr="00A96CAE">
        <w:t xml:space="preserve">Two of the three primary HUD programs </w:t>
      </w:r>
      <w:r>
        <w:t>provide funding for</w:t>
      </w:r>
      <w:r w:rsidRPr="00A96CAE">
        <w:t xml:space="preserve"> multifamily</w:t>
      </w:r>
      <w:r>
        <w:t>,</w:t>
      </w:r>
      <w:r w:rsidRPr="00A96CAE">
        <w:t xml:space="preserve"> apartment complex</w:t>
      </w:r>
      <w:r>
        <w:t xml:space="preserve">-, or </w:t>
      </w:r>
      <w:r w:rsidRPr="00A96CAE">
        <w:t>house</w:t>
      </w:r>
      <w:r>
        <w:t>-</w:t>
      </w:r>
      <w:r w:rsidRPr="00A96CAE">
        <w:t>based rental units.</w:t>
      </w:r>
      <w:r>
        <w:t xml:space="preserve"> </w:t>
      </w:r>
      <w:r w:rsidRPr="00A96CAE">
        <w:t>Project</w:t>
      </w:r>
      <w:r>
        <w:t>-</w:t>
      </w:r>
      <w:r w:rsidRPr="00A96CAE">
        <w:t>Based</w:t>
      </w:r>
      <w:r>
        <w:t xml:space="preserve"> </w:t>
      </w:r>
      <w:r w:rsidRPr="00A96CAE">
        <w:t xml:space="preserve">Section 8 </w:t>
      </w:r>
      <w:r>
        <w:t xml:space="preserve">is a voucher program in which </w:t>
      </w:r>
      <w:r w:rsidRPr="00A96CAE">
        <w:t xml:space="preserve">rental units </w:t>
      </w:r>
      <w:r>
        <w:t xml:space="preserve">for low-income households </w:t>
      </w:r>
      <w:r w:rsidRPr="00A96CAE">
        <w:t>are included in an apartment house or develo</w:t>
      </w:r>
      <w:r>
        <w:t xml:space="preserve">pment that is privately owned. </w:t>
      </w:r>
      <w:r w:rsidRPr="00A96CAE">
        <w:t xml:space="preserve">Private companies </w:t>
      </w:r>
      <w:r>
        <w:t>and</w:t>
      </w:r>
      <w:r w:rsidRPr="00A96CAE">
        <w:t xml:space="preserve"> development corporations can apply for subsidies in the form of tax credits or other cost-offsets </w:t>
      </w:r>
      <w:r>
        <w:t xml:space="preserve">when they </w:t>
      </w:r>
      <w:r w:rsidRPr="00A96CAE">
        <w:t>include a certain number of units in the</w:t>
      </w:r>
      <w:r>
        <w:t>ir</w:t>
      </w:r>
      <w:r w:rsidRPr="00A96CAE">
        <w:t xml:space="preserve"> development</w:t>
      </w:r>
      <w:r>
        <w:t>s</w:t>
      </w:r>
      <w:r w:rsidRPr="00A96CAE">
        <w:t xml:space="preserve"> that are designated as </w:t>
      </w:r>
      <w:r w:rsidRPr="004B3978">
        <w:t xml:space="preserve">affordable. </w:t>
      </w:r>
      <w:r w:rsidRPr="00A96CAE">
        <w:t xml:space="preserve">In addition to the offsets </w:t>
      </w:r>
      <w:r>
        <w:t xml:space="preserve">for </w:t>
      </w:r>
      <w:r w:rsidRPr="00A96CAE">
        <w:t>includ</w:t>
      </w:r>
      <w:r>
        <w:t>ing</w:t>
      </w:r>
      <w:r w:rsidRPr="00A96CAE">
        <w:t xml:space="preserve"> affordable units</w:t>
      </w:r>
      <w:r>
        <w:t>,</w:t>
      </w:r>
      <w:r w:rsidRPr="00A96CAE">
        <w:t xml:space="preserve"> developers can receive contracts for ongoing monthly rental assistance subsidies</w:t>
      </w:r>
      <w:r>
        <w:t>.</w:t>
      </w:r>
      <w:r w:rsidRPr="00A96CAE">
        <w:t xml:space="preserve"> </w:t>
      </w:r>
      <w:r>
        <w:t xml:space="preserve">Another HUD program is the Housing Choice Voucher Program, which </w:t>
      </w:r>
      <w:r w:rsidRPr="00A96CAE">
        <w:t>consists of buildings or housing developments that are HUD</w:t>
      </w:r>
      <w:r>
        <w:t>-</w:t>
      </w:r>
      <w:r w:rsidRPr="00A96CAE">
        <w:t xml:space="preserve">owned or operated. Individuals or households </w:t>
      </w:r>
      <w:r>
        <w:t xml:space="preserve">that </w:t>
      </w:r>
      <w:r w:rsidRPr="00A96CAE">
        <w:t xml:space="preserve">are eligible and awarded federal rental assistance funds are </w:t>
      </w:r>
      <w:r>
        <w:t xml:space="preserve">then </w:t>
      </w:r>
      <w:r w:rsidRPr="00A96CAE">
        <w:t>assigned to a specific rental subsidized unit in a specific HUD</w:t>
      </w:r>
      <w:r>
        <w:t>-</w:t>
      </w:r>
      <w:r w:rsidRPr="00A96CAE">
        <w:t>owned building. Renters are assigned a unit (1</w:t>
      </w:r>
      <w:r>
        <w:t>-</w:t>
      </w:r>
      <w:r w:rsidRPr="00A96CAE">
        <w:t>, 2</w:t>
      </w:r>
      <w:r>
        <w:t>-</w:t>
      </w:r>
      <w:r w:rsidRPr="00A96CAE">
        <w:t xml:space="preserve">, </w:t>
      </w:r>
      <w:r>
        <w:t xml:space="preserve">or </w:t>
      </w:r>
      <w:r w:rsidRPr="00A96CAE">
        <w:t>3</w:t>
      </w:r>
      <w:r>
        <w:t>-</w:t>
      </w:r>
      <w:r w:rsidRPr="00A96CAE">
        <w:t xml:space="preserve">bedroom) in one of these buildings based on family composition and HUD guidelines. </w:t>
      </w:r>
      <w:r>
        <w:t xml:space="preserve">People with </w:t>
      </w:r>
      <w:r>
        <w:lastRenderedPageBreak/>
        <w:t>disabilities may also qualify for h</w:t>
      </w:r>
      <w:r w:rsidRPr="00A96CAE">
        <w:t>ousing choice vouchers</w:t>
      </w:r>
      <w:r>
        <w:t>. These vouchers</w:t>
      </w:r>
      <w:r w:rsidRPr="00A96CAE">
        <w:t xml:space="preserve"> are portable </w:t>
      </w:r>
      <w:r>
        <w:t xml:space="preserve">in </w:t>
      </w:r>
      <w:r w:rsidRPr="00A96CAE">
        <w:t xml:space="preserve">that eligible renter households can use </w:t>
      </w:r>
      <w:r>
        <w:t xml:space="preserve">them </w:t>
      </w:r>
      <w:r w:rsidRPr="00A96CAE">
        <w:t xml:space="preserve">to find housing in any unit that meets HUD occupancy standards </w:t>
      </w:r>
      <w:r>
        <w:t xml:space="preserve">where </w:t>
      </w:r>
      <w:r w:rsidRPr="00A96CAE">
        <w:t>the property landlord agrees to accept the voucher and comply with HUD standards and regulations.</w:t>
      </w:r>
    </w:p>
    <w:p w:rsidR="008C6F97" w:rsidRDefault="008C6F97" w:rsidP="00445A92">
      <w:pPr>
        <w:pStyle w:val="NCDBodyText"/>
      </w:pPr>
      <w:r w:rsidRPr="0000169C">
        <w:t>HUD also offers Section 811 funds, which are targete</w:t>
      </w:r>
      <w:r w:rsidRPr="00577A6B">
        <w:t xml:space="preserve">d to both develop and then subsidize rental units that specifically address the needs of low-income </w:t>
      </w:r>
      <w:r>
        <w:t>people</w:t>
      </w:r>
      <w:r w:rsidRPr="00577A6B">
        <w:t xml:space="preserve"> with disabilities who require additional supports and services to live in</w:t>
      </w:r>
      <w:r>
        <w:t xml:space="preserve">dependently </w:t>
      </w:r>
      <w:r w:rsidRPr="00577A6B">
        <w:t>in the</w:t>
      </w:r>
      <w:r>
        <w:t xml:space="preserve"> </w:t>
      </w:r>
      <w:r w:rsidRPr="00577A6B">
        <w:t>communit</w:t>
      </w:r>
      <w:r>
        <w:t>y</w:t>
      </w:r>
      <w:r w:rsidRPr="00577A6B">
        <w:t xml:space="preserve">. </w:t>
      </w:r>
      <w:r>
        <w:t xml:space="preserve">Prior to 2010, Section 811 housing was not working as needed for people with disabilities because it was </w:t>
      </w:r>
      <w:r w:rsidRPr="008004AD">
        <w:t xml:space="preserve">creating fewer than 1,000 new </w:t>
      </w:r>
      <w:r>
        <w:t xml:space="preserve">housing </w:t>
      </w:r>
      <w:r w:rsidRPr="008004AD">
        <w:t>units per year</w:t>
      </w:r>
      <w:r>
        <w:t>.</w:t>
      </w:r>
      <w:r>
        <w:rPr>
          <w:rStyle w:val="EndnoteReference"/>
        </w:rPr>
        <w:endnoteReference w:id="72"/>
      </w:r>
    </w:p>
    <w:p w:rsidR="008C6F97" w:rsidRPr="00577A6B" w:rsidRDefault="008C6F97" w:rsidP="00445A92">
      <w:pPr>
        <w:pStyle w:val="NCDBodyText"/>
        <w:rPr>
          <w:rFonts w:cs="Arial"/>
        </w:rPr>
      </w:pPr>
      <w:r w:rsidRPr="00A96CAE">
        <w:rPr>
          <w:rFonts w:cs="Arial"/>
        </w:rPr>
        <w:t>The Frank Melville Supportive Housing</w:t>
      </w:r>
      <w:r>
        <w:rPr>
          <w:rFonts w:cs="Arial"/>
        </w:rPr>
        <w:t xml:space="preserve"> Investment</w:t>
      </w:r>
      <w:r w:rsidRPr="00A96CAE">
        <w:rPr>
          <w:rFonts w:cs="Arial"/>
        </w:rPr>
        <w:t xml:space="preserve"> Act of 2010</w:t>
      </w:r>
      <w:r>
        <w:rPr>
          <w:rFonts w:cs="Arial"/>
        </w:rPr>
        <w:t>, signed into law in 2011,</w:t>
      </w:r>
      <w:r w:rsidRPr="00A96CAE">
        <w:rPr>
          <w:rFonts w:cs="Arial"/>
        </w:rPr>
        <w:t xml:space="preserve"> served to </w:t>
      </w:r>
      <w:r>
        <w:rPr>
          <w:rFonts w:cs="Arial"/>
        </w:rPr>
        <w:t>reform the Section 811 program. In the long term, the law will</w:t>
      </w:r>
      <w:r w:rsidRPr="00A96CAE">
        <w:rPr>
          <w:rFonts w:cs="Arial"/>
        </w:rPr>
        <w:t xml:space="preserve"> fund the development of thousands of permanent supportive housing units integrated within affordable housing properties each year. Further, the </w:t>
      </w:r>
      <w:r>
        <w:rPr>
          <w:rFonts w:cs="Arial"/>
        </w:rPr>
        <w:t>law</w:t>
      </w:r>
      <w:r w:rsidRPr="00A96CAE">
        <w:rPr>
          <w:rFonts w:cs="Arial"/>
        </w:rPr>
        <w:t xml:space="preserve"> supports and promotes a community integration model for people </w:t>
      </w:r>
      <w:r>
        <w:rPr>
          <w:rFonts w:cs="Arial"/>
        </w:rPr>
        <w:t xml:space="preserve">with </w:t>
      </w:r>
      <w:r w:rsidRPr="00A96CAE">
        <w:rPr>
          <w:rFonts w:cs="Arial"/>
        </w:rPr>
        <w:t>significant and long-term disabilities with the stipulation that no more than 25</w:t>
      </w:r>
      <w:r>
        <w:rPr>
          <w:rFonts w:cs="Arial"/>
        </w:rPr>
        <w:t xml:space="preserve"> percent</w:t>
      </w:r>
      <w:r w:rsidRPr="00A96CAE">
        <w:rPr>
          <w:rFonts w:cs="Arial"/>
        </w:rPr>
        <w:t xml:space="preserve"> of units in properties funded through Section 811 be set aside for people with disabilities</w:t>
      </w:r>
      <w:r>
        <w:rPr>
          <w:rFonts w:cs="Arial"/>
        </w:rPr>
        <w:t>, which seeks to expand the supply of long-term affordable, integrated housing</w:t>
      </w:r>
      <w:r w:rsidRPr="00A96CAE">
        <w:rPr>
          <w:rFonts w:cs="Arial"/>
        </w:rPr>
        <w:t>.</w:t>
      </w:r>
      <w:r>
        <w:rPr>
          <w:rFonts w:cs="Arial"/>
        </w:rPr>
        <w:t xml:space="preserve"> </w:t>
      </w:r>
      <w:r>
        <w:t>I</w:t>
      </w:r>
      <w:r w:rsidRPr="00A96CAE">
        <w:t>n 2011</w:t>
      </w:r>
      <w:r>
        <w:t>,</w:t>
      </w:r>
      <w:r w:rsidRPr="00A96CAE">
        <w:t xml:space="preserve"> the Frank Melville Act statutes were amended and HUD </w:t>
      </w:r>
      <w:r>
        <w:t xml:space="preserve">developed </w:t>
      </w:r>
      <w:r w:rsidRPr="00A96CAE">
        <w:t xml:space="preserve">guidance </w:t>
      </w:r>
      <w:r>
        <w:t>for</w:t>
      </w:r>
      <w:r w:rsidRPr="00A96CAE">
        <w:t xml:space="preserve"> housing authorities </w:t>
      </w:r>
      <w:r>
        <w:t>to address turnover of Section 811 as well as Section 8 vouchers. The guidance focused on ensuring that the Section 811 and Section 8 vouchers would</w:t>
      </w:r>
      <w:r w:rsidRPr="00A96CAE">
        <w:t xml:space="preserve"> continue to be made available to </w:t>
      </w:r>
      <w:r>
        <w:t>people</w:t>
      </w:r>
      <w:r w:rsidRPr="00A96CAE">
        <w:t xml:space="preserve"> with disabilities and not awarded on a first</w:t>
      </w:r>
      <w:r>
        <w:t>-</w:t>
      </w:r>
      <w:r w:rsidRPr="00A96CAE">
        <w:t>come</w:t>
      </w:r>
      <w:r>
        <w:t xml:space="preserve">, </w:t>
      </w:r>
      <w:r w:rsidRPr="00A96CAE">
        <w:t>first</w:t>
      </w:r>
      <w:r>
        <w:t>-</w:t>
      </w:r>
      <w:r w:rsidRPr="00A96CAE">
        <w:t>served basis.</w:t>
      </w:r>
      <w:r>
        <w:t xml:space="preserve"> By 2013, 13 state housing finance agencies received funding from HUD for the development</w:t>
      </w:r>
      <w:r w:rsidRPr="008004AD">
        <w:t xml:space="preserve"> </w:t>
      </w:r>
      <w:r>
        <w:t>of 3,006 housing units.</w:t>
      </w:r>
      <w:r>
        <w:rPr>
          <w:rStyle w:val="EndnoteReference"/>
        </w:rPr>
        <w:endnoteReference w:id="73"/>
      </w:r>
      <w:r>
        <w:t xml:space="preserve"> </w:t>
      </w:r>
    </w:p>
    <w:p w:rsidR="008C6F97" w:rsidRPr="00B30880" w:rsidRDefault="008C6F97" w:rsidP="00445A92">
      <w:pPr>
        <w:pStyle w:val="NCDBodyText"/>
      </w:pPr>
      <w:r w:rsidRPr="00B30880">
        <w:t xml:space="preserve">The U.S. Department of Agriculture (USDA) also provides housing assistance through its Rural Development program. This program funds housing and rental assistance programs for rural and farmworker households. In 2016, approximately 46 million Americans lived in rural areas. The USDA Rural Development program was established in the 1990 farm bill amending the previous Farm and Rural Development Act of 1972. The program focuses on the needs of rural areas, particularly impoverished and remote communities, through various initiatives that are targeted toward strengthening rural </w:t>
      </w:r>
      <w:r w:rsidRPr="00B30880">
        <w:lastRenderedPageBreak/>
        <w:t xml:space="preserve">communities. </w:t>
      </w:r>
      <w:r w:rsidR="00B30880" w:rsidRPr="00B30880">
        <w:rPr>
          <w:rFonts w:cs="Arial"/>
          <w:shd w:val="clear" w:color="auto" w:fill="FFFFFF"/>
        </w:rPr>
        <w:t xml:space="preserve">USDA </w:t>
      </w:r>
      <w:r w:rsidR="00B30880" w:rsidRPr="00B30880">
        <w:rPr>
          <w:rFonts w:cs="Arial"/>
        </w:rPr>
        <w:t>Rural Development’s low-interest home repair loans and grants enable seniors and people with disabilities to</w:t>
      </w:r>
      <w:r w:rsidR="00B30880" w:rsidRPr="00B30880">
        <w:rPr>
          <w:rFonts w:cs="Arial"/>
          <w:color w:val="000000"/>
          <w:shd w:val="clear" w:color="auto" w:fill="FFFFFF"/>
        </w:rPr>
        <w:t xml:space="preserve"> remove health and safety hazards, perform necessary repairs, improve or modernize a home, make homes accessible for people with disabilities, or make homes more energy efficient so these very-low-income families use less of their income on utility bills, allowing them to live independently and/or age in place.</w:t>
      </w:r>
      <w:r w:rsidR="00B30880" w:rsidRPr="00B30880">
        <w:rPr>
          <w:rFonts w:cs="Arial"/>
        </w:rPr>
        <w:t xml:space="preserve"> </w:t>
      </w:r>
      <w:r w:rsidRPr="00B30880">
        <w:rPr>
          <w:rFonts w:cs="Arial"/>
        </w:rPr>
        <w:t>USDA Rural Development has also developed collaborations across 19 other federal agencies to target high-poverty tribal communities, both urban and rural. These collaborations address housing, education, health care, and other critical needs for tribal communities.</w:t>
      </w:r>
    </w:p>
    <w:p w:rsidR="008C6F97" w:rsidRDefault="008C6F97" w:rsidP="00445A92">
      <w:pPr>
        <w:pStyle w:val="NCDBodyText"/>
      </w:pPr>
      <w:r w:rsidRPr="00A96CAE">
        <w:t>The HUD and USDA rental and housing assistance programs help lift low-income households out of poverty, including the approximately 1.1 million households that have an adult between the ages of 18 and 62 with a disability and approximately 73,000</w:t>
      </w:r>
      <w:r>
        <w:t xml:space="preserve"> v</w:t>
      </w:r>
      <w:r w:rsidRPr="00A96CAE">
        <w:t xml:space="preserve">eterans </w:t>
      </w:r>
      <w:r>
        <w:t xml:space="preserve">with disabilities </w:t>
      </w:r>
      <w:r w:rsidRPr="00A96CAE">
        <w:t>that receive housing</w:t>
      </w:r>
      <w:r>
        <w:t xml:space="preserve"> or </w:t>
      </w:r>
      <w:r w:rsidRPr="00A96CAE">
        <w:t>rental assistance benefits. In addition</w:t>
      </w:r>
      <w:r>
        <w:t>,</w:t>
      </w:r>
      <w:r w:rsidRPr="00A96CAE">
        <w:t xml:space="preserve"> the programs reduce homelessness and housing instability among vulnerable families</w:t>
      </w:r>
      <w:r>
        <w:t>.</w:t>
      </w:r>
      <w:r>
        <w:rPr>
          <w:rStyle w:val="EndnoteReference"/>
        </w:rPr>
        <w:endnoteReference w:id="74"/>
      </w:r>
      <w:r>
        <w:t xml:space="preserve"> </w:t>
      </w:r>
      <w:r w:rsidRPr="00A96CAE">
        <w:t>There is growing evidence that access to decent, stable, affordable housing may be the platform or intersection for better outcomes in economic mobility, educational attainment, and quality of life</w:t>
      </w:r>
      <w:r>
        <w:t>,</w:t>
      </w:r>
      <w:r w:rsidRPr="00A96CAE">
        <w:t xml:space="preserve"> including better physical and mental </w:t>
      </w:r>
      <w:r w:rsidRPr="00967597">
        <w:t>health.</w:t>
      </w:r>
      <w:r>
        <w:rPr>
          <w:rStyle w:val="EndnoteReference"/>
        </w:rPr>
        <w:endnoteReference w:id="75"/>
      </w:r>
      <w:r w:rsidRPr="00A96CAE">
        <w:t xml:space="preserve"> </w:t>
      </w:r>
      <w:r>
        <w:t>H</w:t>
      </w:r>
      <w:r w:rsidRPr="00A96CAE">
        <w:t>ousing plays a substantial role in improving outcomes at all levels from the individual to the community at large.</w:t>
      </w:r>
      <w:r>
        <w:t xml:space="preserve"> As first noted in our 2010 “The State of housing in America in the 21</w:t>
      </w:r>
      <w:r w:rsidRPr="00FD5679">
        <w:t>st</w:t>
      </w:r>
      <w:r>
        <w:t xml:space="preserve"> Century” report,</w:t>
      </w:r>
      <w:r>
        <w:rPr>
          <w:rStyle w:val="EndnoteReference"/>
        </w:rPr>
        <w:endnoteReference w:id="76"/>
      </w:r>
      <w:r>
        <w:t xml:space="preserve"> </w:t>
      </w:r>
      <w:r w:rsidRPr="005A1FF2">
        <w:rPr>
          <w:b/>
        </w:rPr>
        <w:t>NCD recommends the implementation of integrated housing policies, which can be critically instrumental in addressing the economic well-being of the increasing number of low-income households</w:t>
      </w:r>
      <w:r w:rsidRPr="00FD5679">
        <w:rPr>
          <w:b/>
        </w:rPr>
        <w:t>.</w:t>
      </w:r>
      <w:r>
        <w:rPr>
          <w:rStyle w:val="EndnoteReference"/>
        </w:rPr>
        <w:endnoteReference w:id="77"/>
      </w:r>
    </w:p>
    <w:p w:rsidR="008C6F97" w:rsidRPr="009204FB" w:rsidRDefault="008C6F97" w:rsidP="00170CD3">
      <w:pPr>
        <w:pStyle w:val="Heading2"/>
      </w:pPr>
      <w:bookmarkStart w:id="70" w:name="_Toc493507477"/>
      <w:bookmarkStart w:id="71" w:name="_Toc493596679"/>
      <w:r>
        <w:t>Transportation</w:t>
      </w:r>
      <w:bookmarkEnd w:id="70"/>
      <w:bookmarkEnd w:id="71"/>
    </w:p>
    <w:p w:rsidR="008C6F97" w:rsidRDefault="008C6F97" w:rsidP="00445A92">
      <w:pPr>
        <w:pStyle w:val="NCDBodyText"/>
      </w:pPr>
      <w:r>
        <w:t xml:space="preserve">Accessible transportation options, including accessible buses, ADA complementary </w:t>
      </w:r>
      <w:proofErr w:type="spellStart"/>
      <w:r>
        <w:t>paratransit</w:t>
      </w:r>
      <w:proofErr w:type="spellEnd"/>
      <w:r>
        <w:t xml:space="preserve"> (</w:t>
      </w:r>
      <w:proofErr w:type="spellStart"/>
      <w:r>
        <w:t>paratransit</w:t>
      </w:r>
      <w:proofErr w:type="spellEnd"/>
      <w:r>
        <w:t xml:space="preserve">), taxicabs, and railway systems provide people with disabilities with opportunities to participate in employment, education, health care, housing, and other community activities. The passage of the ADA led to major improvements in transit systems across the United States. Nationwide, </w:t>
      </w:r>
      <w:r w:rsidRPr="005C3C3F">
        <w:rPr>
          <w:spacing w:val="-8"/>
        </w:rPr>
        <w:t>approximately 6,800 agencies provide bus and rail services or other modes of transportation.</w:t>
      </w:r>
      <w:r w:rsidRPr="005C3C3F">
        <w:rPr>
          <w:rStyle w:val="EndnoteReference"/>
          <w:spacing w:val="-8"/>
        </w:rPr>
        <w:endnoteReference w:id="78"/>
      </w:r>
      <w:r w:rsidRPr="005C3C3F">
        <w:rPr>
          <w:spacing w:val="-8"/>
        </w:rPr>
        <w:t xml:space="preserve"> </w:t>
      </w:r>
    </w:p>
    <w:p w:rsidR="008C6F97" w:rsidRDefault="008C6F97" w:rsidP="00445A92">
      <w:pPr>
        <w:pStyle w:val="NCDBodyText"/>
      </w:pPr>
      <w:r>
        <w:lastRenderedPageBreak/>
        <w:t xml:space="preserve">Title II of the ADA prohibits discrimination based on disability in public transportation services such as city buses and public rail (e.g., subways, commuter trains, and so forth). Under the ADA, all new fixed-route vehicles used in public transit must be accessible. In addition, existing rail stations that were altered after the passage of the ADA must be made accessible if technically feasible and all new rail stations and facilities must be accessible. </w:t>
      </w:r>
      <w:proofErr w:type="spellStart"/>
      <w:r>
        <w:t>Paratransit</w:t>
      </w:r>
      <w:proofErr w:type="spellEnd"/>
      <w:r>
        <w:t xml:space="preserve"> (on-demand, door-to-door) services are required for </w:t>
      </w:r>
      <w:proofErr w:type="spellStart"/>
      <w:r>
        <w:t>noncommuter</w:t>
      </w:r>
      <w:proofErr w:type="spellEnd"/>
      <w:r>
        <w:t xml:space="preserve"> fixed-route bus or rail services.</w:t>
      </w:r>
      <w:r>
        <w:rPr>
          <w:rStyle w:val="EndnoteReference"/>
        </w:rPr>
        <w:endnoteReference w:id="79"/>
      </w:r>
      <w:r>
        <w:t xml:space="preserve"> </w:t>
      </w:r>
    </w:p>
    <w:p w:rsidR="008C6F97" w:rsidRDefault="008C6F97" w:rsidP="00445A92">
      <w:pPr>
        <w:pStyle w:val="NCDBodyText"/>
      </w:pPr>
      <w:r>
        <w:t>With the enactment of the ADA, accessible transportation options for people with disabilities using fixed-route transportation, including public buses and rail systems, have increased. Bus service has also improved. For example, low-floor buses with ramps, floor markings, and other design features, such as additional grab bars, audible stop announcements when more than one route is served at the same location, larger destination signs, and monitors that show upcoming stops have significantly bolstered bus accessibility.</w:t>
      </w:r>
      <w:r>
        <w:rPr>
          <w:rStyle w:val="EndnoteReference"/>
        </w:rPr>
        <w:endnoteReference w:id="80"/>
      </w:r>
      <w:r>
        <w:t xml:space="preserve"> </w:t>
      </w:r>
      <w:proofErr w:type="spellStart"/>
      <w:r>
        <w:t>Paratransit</w:t>
      </w:r>
      <w:proofErr w:type="spellEnd"/>
      <w:r>
        <w:t xml:space="preserve"> transportation is often provided by minibuses and door-to-door shared rides upon request for eligible people with disabilities who cannot use fixed-route services. Although the use of </w:t>
      </w:r>
      <w:proofErr w:type="spellStart"/>
      <w:r>
        <w:t>paratransit</w:t>
      </w:r>
      <w:proofErr w:type="spellEnd"/>
      <w:r>
        <w:t xml:space="preserve"> among people with disabilities has increased consistently in the past 20 years, a 2009 analysis of ridership from seven selected systems showed that, on average, fixed-route ridership by people with disabilities was higher than </w:t>
      </w:r>
      <w:proofErr w:type="spellStart"/>
      <w:r>
        <w:t>paratransit</w:t>
      </w:r>
      <w:proofErr w:type="spellEnd"/>
      <w:r>
        <w:t xml:space="preserve"> ridership.</w:t>
      </w:r>
      <w:r>
        <w:rPr>
          <w:rStyle w:val="EndnoteReference"/>
        </w:rPr>
        <w:endnoteReference w:id="81"/>
      </w:r>
      <w:r>
        <w:t xml:space="preserve"> Use of public transit is increasing and playing a major role in providing increased independence and mobility to people with disabilities. One concern regarding </w:t>
      </w:r>
      <w:proofErr w:type="spellStart"/>
      <w:r>
        <w:t>paratransit</w:t>
      </w:r>
      <w:proofErr w:type="spellEnd"/>
      <w:r>
        <w:t xml:space="preserve"> service is DOT’s ADA regulations for passenger pickup. According to these standards, </w:t>
      </w:r>
      <w:proofErr w:type="spellStart"/>
      <w:r>
        <w:t>paratransit</w:t>
      </w:r>
      <w:proofErr w:type="spellEnd"/>
      <w:r>
        <w:t xml:space="preserve"> service is only provided within a three-quarter-mile radius of a fixed-route bus stop, to be comparable to fixed-route transit. This limitation places a burden on people with disabilities who depend on </w:t>
      </w:r>
      <w:proofErr w:type="spellStart"/>
      <w:r>
        <w:t>paratransit</w:t>
      </w:r>
      <w:proofErr w:type="spellEnd"/>
      <w:r>
        <w:t xml:space="preserve"> service and may cause them to have difficulty finding employment as well as access to the community.</w:t>
      </w:r>
      <w:r>
        <w:rPr>
          <w:rStyle w:val="EndnoteReference"/>
        </w:rPr>
        <w:endnoteReference w:id="82"/>
      </w:r>
    </w:p>
    <w:p w:rsidR="008C6F97" w:rsidRDefault="008C6F97" w:rsidP="00445A92">
      <w:pPr>
        <w:pStyle w:val="NCDBodyText"/>
      </w:pPr>
      <w:r w:rsidRPr="006673B5">
        <w:t xml:space="preserve">Private transportation is another important alternative that provides people with disabilities with greater flexibility and independence than public transportation. This is particularly true for people with disabilities who live in areas where public transit is unavailable or inaccessible. Many people with disabilities who cannot drive or afford a </w:t>
      </w:r>
      <w:r w:rsidRPr="006673B5">
        <w:lastRenderedPageBreak/>
        <w:t>car use taxi</w:t>
      </w:r>
      <w:r>
        <w:t>cab</w:t>
      </w:r>
      <w:r w:rsidRPr="006673B5">
        <w:t xml:space="preserve"> services. Furthermore, some cities such as </w:t>
      </w:r>
      <w:r w:rsidRPr="00284606">
        <w:t xml:space="preserve">New York City, </w:t>
      </w:r>
      <w:r w:rsidRPr="006673B5">
        <w:t>Chicago, Boston, Las Vegas, San Francisco, Seattle, and Portland have made improvements to their accessible taxi</w:t>
      </w:r>
      <w:r>
        <w:t>cab</w:t>
      </w:r>
      <w:r w:rsidRPr="006673B5">
        <w:t xml:space="preserve"> programs.</w:t>
      </w:r>
      <w:r w:rsidRPr="006673B5">
        <w:rPr>
          <w:rStyle w:val="EndnoteReference"/>
        </w:rPr>
        <w:endnoteReference w:id="83"/>
      </w:r>
      <w:r>
        <w:t xml:space="preserve"> For example, a </w:t>
      </w:r>
      <w:r w:rsidRPr="006673B5">
        <w:t xml:space="preserve">settlement agreement </w:t>
      </w:r>
      <w:r>
        <w:t>in New York City is expected</w:t>
      </w:r>
      <w:r w:rsidRPr="006673B5">
        <w:t xml:space="preserve"> to phase in wheelchair-accessible taxicabs</w:t>
      </w:r>
      <w:r>
        <w:t>, via attrition of old vehicles,</w:t>
      </w:r>
      <w:r w:rsidRPr="006673B5">
        <w:t xml:space="preserve"> so that</w:t>
      </w:r>
      <w:r>
        <w:t>, by 2020,</w:t>
      </w:r>
      <w:r w:rsidRPr="006673B5">
        <w:t xml:space="preserve"> 50 percent </w:t>
      </w:r>
      <w:r>
        <w:t xml:space="preserve">of taxicabs </w:t>
      </w:r>
      <w:r w:rsidRPr="006673B5">
        <w:t xml:space="preserve">will be accessible to </w:t>
      </w:r>
      <w:r>
        <w:t xml:space="preserve">people </w:t>
      </w:r>
      <w:r w:rsidRPr="006673B5">
        <w:t>who use wheelchairs and scooters.</w:t>
      </w:r>
      <w:r>
        <w:rPr>
          <w:rStyle w:val="EndnoteReference"/>
        </w:rPr>
        <w:endnoteReference w:id="84"/>
      </w:r>
      <w:r>
        <w:t xml:space="preserve"> Although, as the option of using taxicabs increases, greater attention is needed for training taxicab operators about ramp deployment and securement procedures. </w:t>
      </w:r>
      <w:r w:rsidRPr="005A1FF2">
        <w:rPr>
          <w:b/>
        </w:rPr>
        <w:t>NCD recommends</w:t>
      </w:r>
      <w:r>
        <w:rPr>
          <w:b/>
        </w:rPr>
        <w:t xml:space="preserve"> local municipalities require taxicab a</w:t>
      </w:r>
      <w:r w:rsidRPr="005A1FF2">
        <w:rPr>
          <w:b/>
        </w:rPr>
        <w:t xml:space="preserve">uthorities </w:t>
      </w:r>
      <w:r>
        <w:rPr>
          <w:b/>
        </w:rPr>
        <w:t xml:space="preserve">to </w:t>
      </w:r>
      <w:r w:rsidRPr="005A1FF2">
        <w:rPr>
          <w:b/>
        </w:rPr>
        <w:t>provide mandatory training for taxicab operators on these issues so that people with mobility disabilities can safely and effectively use privately funded transit options</w:t>
      </w:r>
      <w:r w:rsidRPr="00796F53">
        <w:rPr>
          <w:b/>
        </w:rPr>
        <w:t>.</w:t>
      </w:r>
    </w:p>
    <w:p w:rsidR="008C6F97" w:rsidRDefault="008C6F97" w:rsidP="00445A92">
      <w:pPr>
        <w:pStyle w:val="NCDBodyText"/>
      </w:pPr>
      <w:r>
        <w:t xml:space="preserve">However, access to affordable and accessible transportation can be especially challenging for people with disabilities living in rural areas. Grants from the Federal Transit Administration provide funding to create or enhance local public transit systems, which can be useful for people with disabilities, particularly in rural communities. For example, Job Access and Reverse Commute activities are eligible for funding under the </w:t>
      </w:r>
      <w:r w:rsidRPr="00640C4B">
        <w:t xml:space="preserve">Urbanized Area Formula Funding program </w:t>
      </w:r>
      <w:r>
        <w:t>(Section 5307)</w:t>
      </w:r>
      <w:r>
        <w:rPr>
          <w:rStyle w:val="EndnoteReference"/>
        </w:rPr>
        <w:endnoteReference w:id="85"/>
      </w:r>
      <w:r>
        <w:t xml:space="preserve"> and </w:t>
      </w:r>
      <w:r w:rsidRPr="00640C4B">
        <w:t xml:space="preserve">Formula Grants for Rural Areas </w:t>
      </w:r>
      <w:r>
        <w:t>(Section 5311).</w:t>
      </w:r>
      <w:r>
        <w:rPr>
          <w:rStyle w:val="EndnoteReference"/>
        </w:rPr>
        <w:endnoteReference w:id="86"/>
      </w:r>
      <w:r>
        <w:t xml:space="preserve"> These activities provide funding to states for transportation to and from jobs for low-income people and people who receive government assistance, as well as people with disabilities. In addition, grants from the Enhanced Mobility for </w:t>
      </w:r>
      <w:proofErr w:type="gramStart"/>
      <w:r>
        <w:t>Seniors</w:t>
      </w:r>
      <w:proofErr w:type="gramEnd"/>
      <w:r>
        <w:t xml:space="preserve"> and Individuals with Disabilities program (Section 5310) enable states to support private nonprofit groups in providing transportation to people with disabilities and seniors when public transportation is insufficient, inappropriate, or unavailable to meet the needs of these populations.</w:t>
      </w:r>
      <w:r>
        <w:rPr>
          <w:rStyle w:val="EndnoteReference"/>
        </w:rPr>
        <w:endnoteReference w:id="87"/>
      </w:r>
      <w:r>
        <w:t xml:space="preserve"> These federally funded grant programs play a major role in engendering more opportunities for people with disabilities to access employment and achieve economic self-sufficiency.</w:t>
      </w:r>
    </w:p>
    <w:p w:rsidR="008C6F97" w:rsidRDefault="008C6F97">
      <w:pPr>
        <w:rPr>
          <w:rFonts w:ascii="Arial" w:hAnsi="Arial" w:cs="Arial"/>
          <w:b/>
          <w:sz w:val="36"/>
          <w:szCs w:val="32"/>
        </w:rPr>
      </w:pPr>
      <w:bookmarkStart w:id="72" w:name="_Toc478320942"/>
      <w:bookmarkStart w:id="73" w:name="_Toc479174959"/>
      <w:r>
        <w:br w:type="page"/>
      </w:r>
    </w:p>
    <w:p w:rsidR="008C6F97" w:rsidRDefault="008C6F97" w:rsidP="00170CD3">
      <w:pPr>
        <w:pStyle w:val="Heading1"/>
      </w:pPr>
      <w:bookmarkStart w:id="74" w:name="_Toc493596680"/>
      <w:r>
        <w:lastRenderedPageBreak/>
        <w:t>Chapter 2: Barriers to Achieving Economic Self-Sufficiency for People with Disabilities</w:t>
      </w:r>
      <w:bookmarkEnd w:id="72"/>
      <w:bookmarkEnd w:id="73"/>
      <w:bookmarkEnd w:id="74"/>
    </w:p>
    <w:p w:rsidR="008C6F97" w:rsidRDefault="008C6F97" w:rsidP="00445A92">
      <w:pPr>
        <w:pStyle w:val="NCDBodyText"/>
      </w:pPr>
      <w:r>
        <w:t xml:space="preserve">As discussed in Chapter 1, a variety of policies and programs exist to economically support people with disabilities. However, achieving economic self-sufficiency is not without its challenges. </w:t>
      </w:r>
      <w:r w:rsidRPr="00E87874">
        <w:t xml:space="preserve">Many public policies were developed </w:t>
      </w:r>
      <w:r>
        <w:t>during</w:t>
      </w:r>
      <w:r w:rsidRPr="00E87874">
        <w:t xml:space="preserve"> a time when it was assumed that people with disabilities could not work and therefore needed </w:t>
      </w:r>
      <w:r>
        <w:t xml:space="preserve">permanent </w:t>
      </w:r>
      <w:r w:rsidRPr="00E87874">
        <w:t xml:space="preserve">assistance from federal, state, and local public </w:t>
      </w:r>
      <w:r>
        <w:t>agencies</w:t>
      </w:r>
      <w:r w:rsidRPr="00E87874">
        <w:t>.</w:t>
      </w:r>
      <w:r>
        <w:t xml:space="preserve"> This has led to the unintended consequence of creating dependence on public programs for many</w:t>
      </w:r>
      <w:r w:rsidRPr="00E87874">
        <w:t xml:space="preserve"> people with disabilities. </w:t>
      </w:r>
      <w:r>
        <w:t xml:space="preserve">This chapter reviews the common barriers that </w:t>
      </w:r>
      <w:r w:rsidRPr="00E87874">
        <w:t xml:space="preserve">perpetuate the cycle of poverty </w:t>
      </w:r>
      <w:r>
        <w:t>for people with disabilities.</w:t>
      </w:r>
      <w:r w:rsidRPr="00E87874">
        <w:t xml:space="preserve"> </w:t>
      </w:r>
      <w:r>
        <w:t xml:space="preserve">These include barriers to education, labor force participation, and health benefits as well as an ongoing battle against stereotypes that limit the potential of these citizens. </w:t>
      </w:r>
    </w:p>
    <w:p w:rsidR="008C6F97" w:rsidRDefault="008C6F97" w:rsidP="00170CD3">
      <w:pPr>
        <w:pStyle w:val="Heading2"/>
      </w:pPr>
      <w:bookmarkStart w:id="75" w:name="_Toc479174960"/>
      <w:bookmarkStart w:id="76" w:name="_Toc493507478"/>
      <w:bookmarkStart w:id="77" w:name="_Toc493596681"/>
      <w:r>
        <w:t>Barriers to Adequate Education</w:t>
      </w:r>
      <w:bookmarkEnd w:id="75"/>
      <w:bookmarkEnd w:id="76"/>
      <w:bookmarkEnd w:id="77"/>
    </w:p>
    <w:p w:rsidR="008C6F97" w:rsidRDefault="008C6F97" w:rsidP="00445A92">
      <w:pPr>
        <w:pStyle w:val="NCDBodyText"/>
      </w:pPr>
      <w:r>
        <w:t>Setting people with disabilities on the path to achieving economic self-sufficiency in adulthood requires a strong foundation of knowledge and skills that must be laid in school. Currently, t</w:t>
      </w:r>
      <w:r w:rsidRPr="00F24036">
        <w:t xml:space="preserve">here are at least </w:t>
      </w:r>
      <w:r>
        <w:t>six</w:t>
      </w:r>
      <w:r w:rsidRPr="00F24036">
        <w:t xml:space="preserve"> million students with dis</w:t>
      </w:r>
      <w:r>
        <w:t>abilities in the United States, but</w:t>
      </w:r>
      <w:r w:rsidRPr="00F24036">
        <w:t xml:space="preserve"> the </w:t>
      </w:r>
      <w:r>
        <w:t xml:space="preserve">high school </w:t>
      </w:r>
      <w:r w:rsidRPr="00F24036">
        <w:t xml:space="preserve">graduation rate for students with disabilities is 63.1 percent nationwide compared </w:t>
      </w:r>
      <w:r>
        <w:t>with</w:t>
      </w:r>
      <w:r w:rsidRPr="00F24036">
        <w:t xml:space="preserve"> </w:t>
      </w:r>
      <w:r>
        <w:t xml:space="preserve">an </w:t>
      </w:r>
      <w:r w:rsidRPr="00F24036">
        <w:t xml:space="preserve">82.3 percent </w:t>
      </w:r>
      <w:r>
        <w:t xml:space="preserve">graduation rate </w:t>
      </w:r>
      <w:r w:rsidRPr="00F24036">
        <w:t xml:space="preserve">for </w:t>
      </w:r>
      <w:r>
        <w:t>students without disabilities.</w:t>
      </w:r>
      <w:r>
        <w:rPr>
          <w:rStyle w:val="EndnoteReference"/>
        </w:rPr>
        <w:endnoteReference w:id="88"/>
      </w:r>
      <w:r w:rsidRPr="00F24036">
        <w:t xml:space="preserve"> </w:t>
      </w:r>
      <w:r>
        <w:t>Drop-out rates among s</w:t>
      </w:r>
      <w:r w:rsidRPr="00F24036">
        <w:t xml:space="preserve">tudents with disabilities </w:t>
      </w:r>
      <w:r>
        <w:t xml:space="preserve">further </w:t>
      </w:r>
      <w:r w:rsidRPr="00F24036">
        <w:t xml:space="preserve">limit </w:t>
      </w:r>
      <w:r>
        <w:t xml:space="preserve">their </w:t>
      </w:r>
      <w:r w:rsidRPr="00F24036">
        <w:t xml:space="preserve">employment </w:t>
      </w:r>
      <w:r>
        <w:t>options.</w:t>
      </w:r>
      <w:r>
        <w:rPr>
          <w:rStyle w:val="EndnoteReference"/>
        </w:rPr>
        <w:endnoteReference w:id="89"/>
      </w:r>
      <w:r w:rsidRPr="00F24036">
        <w:t xml:space="preserve"> </w:t>
      </w:r>
      <w:proofErr w:type="gramStart"/>
      <w:r>
        <w:t>C</w:t>
      </w:r>
      <w:r w:rsidRPr="00BE3025">
        <w:t>hildren</w:t>
      </w:r>
      <w:r>
        <w:t xml:space="preserve"> from diverse racial backgrounds, specifically African American, Hispanic, and American Indian children,</w:t>
      </w:r>
      <w:r w:rsidRPr="00BE3025">
        <w:t xml:space="preserve"> </w:t>
      </w:r>
      <w:r>
        <w:t xml:space="preserve">including those </w:t>
      </w:r>
      <w:r w:rsidRPr="00BE3025">
        <w:t xml:space="preserve">from low-income communities </w:t>
      </w:r>
      <w:r>
        <w:t xml:space="preserve">and those who are English language learners, </w:t>
      </w:r>
      <w:r w:rsidRPr="00BE3025">
        <w:t xml:space="preserve">are overrepresented in special education </w:t>
      </w:r>
      <w:r w:rsidRPr="00967597">
        <w:t>programs.</w:t>
      </w:r>
      <w:proofErr w:type="gramEnd"/>
      <w:r>
        <w:rPr>
          <w:rStyle w:val="EndnoteReference"/>
        </w:rPr>
        <w:endnoteReference w:id="90"/>
      </w:r>
    </w:p>
    <w:p w:rsidR="008C6F97" w:rsidRDefault="008C6F97" w:rsidP="00445A92">
      <w:pPr>
        <w:pStyle w:val="NCDBodyText"/>
      </w:pPr>
      <w:r>
        <w:t>T</w:t>
      </w:r>
      <w:r w:rsidRPr="00F24036">
        <w:t>he</w:t>
      </w:r>
      <w:r>
        <w:t xml:space="preserve"> </w:t>
      </w:r>
      <w:r w:rsidRPr="00F24036">
        <w:t xml:space="preserve">challenges </w:t>
      </w:r>
      <w:r>
        <w:t xml:space="preserve">that students with </w:t>
      </w:r>
      <w:r w:rsidRPr="00F24036">
        <w:t>disabili</w:t>
      </w:r>
      <w:r>
        <w:t>ties</w:t>
      </w:r>
      <w:r w:rsidRPr="00F24036">
        <w:t xml:space="preserve"> </w:t>
      </w:r>
      <w:r>
        <w:t xml:space="preserve">experience in obtaining an education </w:t>
      </w:r>
      <w:r w:rsidRPr="00F24036">
        <w:t>are compounded</w:t>
      </w:r>
      <w:r>
        <w:t xml:space="preserve"> for those who also grow up in poverty</w:t>
      </w:r>
      <w:r w:rsidRPr="00F24036">
        <w:t xml:space="preserve">. </w:t>
      </w:r>
      <w:r>
        <w:t>Common challenges of poverty include t</w:t>
      </w:r>
      <w:r w:rsidRPr="00F24036">
        <w:t>rauma, hunger, and family difficulties</w:t>
      </w:r>
      <w:r>
        <w:t>, which</w:t>
      </w:r>
      <w:r w:rsidRPr="00F24036">
        <w:t xml:space="preserve"> can lead to behavioral problems in school</w:t>
      </w:r>
      <w:r>
        <w:t xml:space="preserve"> or create ongoing health conditions and disabilities</w:t>
      </w:r>
      <w:r w:rsidRPr="00F24036">
        <w:t xml:space="preserve">. </w:t>
      </w:r>
      <w:r>
        <w:t>C</w:t>
      </w:r>
      <w:r w:rsidRPr="00F24036">
        <w:t xml:space="preserve">hildren </w:t>
      </w:r>
      <w:r>
        <w:t xml:space="preserve">with disabilities growing up in these adverse circumstances </w:t>
      </w:r>
      <w:r w:rsidRPr="00F24036">
        <w:t xml:space="preserve">face additional </w:t>
      </w:r>
      <w:r>
        <w:t>obstacles</w:t>
      </w:r>
      <w:r w:rsidRPr="00F24036">
        <w:t xml:space="preserve"> </w:t>
      </w:r>
      <w:r>
        <w:t>because</w:t>
      </w:r>
      <w:r w:rsidRPr="00F24036">
        <w:t xml:space="preserve"> schools </w:t>
      </w:r>
      <w:r>
        <w:lastRenderedPageBreak/>
        <w:t>have limited funding for programs that could provide services and resources to support these children.</w:t>
      </w:r>
      <w:r>
        <w:rPr>
          <w:rStyle w:val="EndnoteReference"/>
        </w:rPr>
        <w:endnoteReference w:id="91"/>
      </w:r>
      <w:r w:rsidRPr="00F24036">
        <w:t xml:space="preserve"> </w:t>
      </w:r>
      <w:r>
        <w:t xml:space="preserve">Parents living in poverty and </w:t>
      </w:r>
      <w:r w:rsidRPr="00584B23">
        <w:t>struggling to meet the economic needs of the</w:t>
      </w:r>
      <w:r>
        <w:t>ir</w:t>
      </w:r>
      <w:r w:rsidRPr="00584B23">
        <w:t xml:space="preserve"> </w:t>
      </w:r>
      <w:r>
        <w:t xml:space="preserve">families </w:t>
      </w:r>
      <w:r w:rsidRPr="00584B23">
        <w:t xml:space="preserve">often have little time to adequately meet all of the additional needs of a child with a </w:t>
      </w:r>
      <w:r>
        <w:t>disability.</w:t>
      </w:r>
      <w:r>
        <w:rPr>
          <w:rStyle w:val="EndnoteReference"/>
        </w:rPr>
        <w:endnoteReference w:id="92"/>
      </w:r>
      <w:r w:rsidRPr="00584B23">
        <w:t xml:space="preserve"> </w:t>
      </w:r>
      <w:r>
        <w:t xml:space="preserve">In addition, they are required to navigate a complex health system, find time to address school-related issues, and serve as a strong advocate for their child’s needs. Parents may turn to charter schools or private schools to ensure their children get the education and supports needed. NCD is undertaking a study of school choice in the fall of 2017 with an anticipated release date of 2018. (For more information, see Appendix C for a link to NCD’s 2003 report, </w:t>
      </w:r>
      <w:r w:rsidRPr="0021528A">
        <w:rPr>
          <w:i/>
        </w:rPr>
        <w:t>School Vouchers and Students with Disabilities</w:t>
      </w:r>
      <w:r>
        <w:t>.)</w:t>
      </w:r>
    </w:p>
    <w:p w:rsidR="008C6F97" w:rsidRPr="00584B23" w:rsidRDefault="008C6F97" w:rsidP="00445A92">
      <w:pPr>
        <w:pStyle w:val="NCDBodyText"/>
      </w:pPr>
      <w:r>
        <w:t>The special education systems’ segregation of children with disabilities often leads to</w:t>
      </w:r>
      <w:r w:rsidRPr="00914008">
        <w:t xml:space="preserve"> poorer outcomes </w:t>
      </w:r>
      <w:r>
        <w:t>for students with disabilities than for their peers without disabilities. One example is the s</w:t>
      </w:r>
      <w:r w:rsidRPr="00914008">
        <w:t>chool-to-</w:t>
      </w:r>
      <w:r>
        <w:t>p</w:t>
      </w:r>
      <w:r w:rsidRPr="00914008">
        <w:t xml:space="preserve">rison </w:t>
      </w:r>
      <w:r>
        <w:t>p</w:t>
      </w:r>
      <w:r w:rsidRPr="00914008">
        <w:t>ipeline</w:t>
      </w:r>
      <w:r>
        <w:t>, which</w:t>
      </w:r>
      <w:r w:rsidRPr="00914008">
        <w:t xml:space="preserve"> refers to policies and practices that push </w:t>
      </w:r>
      <w:r>
        <w:t xml:space="preserve">children </w:t>
      </w:r>
      <w:r w:rsidRPr="00914008">
        <w:t>out of classrooms and into the juvenile and criminal justice systems.</w:t>
      </w:r>
      <w:r>
        <w:t xml:space="preserve"> </w:t>
      </w:r>
      <w:r w:rsidRPr="00914008">
        <w:t>Students with disabilities</w:t>
      </w:r>
      <w:r>
        <w:t xml:space="preserve"> and students from diverse racial backgrounds with disabilities in particular are disproportionately affected by these policies. Data shows that some states suspend and expel </w:t>
      </w:r>
      <w:r w:rsidRPr="00914008">
        <w:t>students with disabilities</w:t>
      </w:r>
      <w:r>
        <w:t xml:space="preserve"> who have IEPs</w:t>
      </w:r>
      <w:r w:rsidRPr="00914008">
        <w:t xml:space="preserve"> at more than twice the rate of students without disabilities, including 28 percent of all African American students with disabilities</w:t>
      </w:r>
      <w:r>
        <w:t>. Improvements to the special education</w:t>
      </w:r>
      <w:r w:rsidRPr="00914840">
        <w:t xml:space="preserve"> enforcement systems </w:t>
      </w:r>
      <w:r>
        <w:t xml:space="preserve">are needed </w:t>
      </w:r>
      <w:r w:rsidRPr="00914840">
        <w:t xml:space="preserve">to better meet the needs of students with disabilities </w:t>
      </w:r>
      <w:r>
        <w:t>who are at risk for the school-to-prison pipeline.</w:t>
      </w:r>
      <w:r>
        <w:rPr>
          <w:rStyle w:val="EndnoteReference"/>
        </w:rPr>
        <w:endnoteReference w:id="93"/>
      </w:r>
      <w:r>
        <w:t xml:space="preserve"> (For more information, see Appendix C for a link to NCD’s report, </w:t>
      </w:r>
      <w:proofErr w:type="gramStart"/>
      <w:r w:rsidRPr="00B2779B">
        <w:rPr>
          <w:i/>
        </w:rPr>
        <w:t>Breaking</w:t>
      </w:r>
      <w:proofErr w:type="gramEnd"/>
      <w:r w:rsidRPr="00B2779B">
        <w:rPr>
          <w:i/>
        </w:rPr>
        <w:t xml:space="preserve"> the School-to-Prison Pipeline for Students with Disabilities</w:t>
      </w:r>
      <w:r>
        <w:t>.)</w:t>
      </w:r>
    </w:p>
    <w:p w:rsidR="008C6F97" w:rsidRDefault="008C6F97" w:rsidP="00445A92">
      <w:pPr>
        <w:pStyle w:val="NCDBodyText"/>
      </w:pPr>
      <w:r>
        <w:t xml:space="preserve">In addition, restrictive, segregated special education placement often leads to a larger number of students with disabilities being awarded alternative high school diplomas. Pursuing an </w:t>
      </w:r>
      <w:r w:rsidRPr="00F24036">
        <w:t>alternative diploma track is a decision that needs to be carefully considered</w:t>
      </w:r>
      <w:r>
        <w:t>, as it can impede</w:t>
      </w:r>
      <w:r w:rsidRPr="00F24036">
        <w:t xml:space="preserve"> adequate preparation for higher education and employment </w:t>
      </w:r>
      <w:r>
        <w:t xml:space="preserve">because alternative diplomas are </w:t>
      </w:r>
      <w:r w:rsidRPr="00F24036">
        <w:t xml:space="preserve">awarded </w:t>
      </w:r>
      <w:r>
        <w:t xml:space="preserve">for completion of </w:t>
      </w:r>
      <w:r w:rsidRPr="00F24036">
        <w:t xml:space="preserve">less rigorous academic </w:t>
      </w:r>
      <w:r>
        <w:t>coursework. As a result</w:t>
      </w:r>
      <w:r w:rsidRPr="00F24036">
        <w:t xml:space="preserve">, employers and institutions of higher education do not view them as equal to standard </w:t>
      </w:r>
      <w:r>
        <w:t>high school diplomas.</w:t>
      </w:r>
      <w:r>
        <w:rPr>
          <w:rStyle w:val="EndnoteReference"/>
        </w:rPr>
        <w:endnoteReference w:id="94"/>
      </w:r>
      <w:r w:rsidRPr="00F24036">
        <w:t xml:space="preserve"> </w:t>
      </w:r>
      <w:r>
        <w:t>A</w:t>
      </w:r>
      <w:r w:rsidRPr="00F24036">
        <w:t xml:space="preserve">s many as 85 percent </w:t>
      </w:r>
      <w:r>
        <w:t>of students in special education</w:t>
      </w:r>
      <w:r w:rsidRPr="00F24036">
        <w:t xml:space="preserve"> </w:t>
      </w:r>
      <w:r>
        <w:t>are capable of meeting</w:t>
      </w:r>
      <w:r w:rsidRPr="00F24036">
        <w:t xml:space="preserve"> the same educational standards </w:t>
      </w:r>
      <w:r>
        <w:lastRenderedPageBreak/>
        <w:t xml:space="preserve">as other students when </w:t>
      </w:r>
      <w:r w:rsidRPr="00F24036">
        <w:t>given the right type of instruction, access</w:t>
      </w:r>
      <w:r>
        <w:t>,</w:t>
      </w:r>
      <w:r w:rsidRPr="00F24036">
        <w:t xml:space="preserve"> and supports required by IDEA</w:t>
      </w:r>
      <w:r>
        <w:t xml:space="preserve">. </w:t>
      </w:r>
      <w:r w:rsidR="00B30880">
        <w:rPr>
          <w:rStyle w:val="EndnoteReference"/>
        </w:rPr>
        <w:endnoteReference w:id="95"/>
      </w:r>
      <w:r w:rsidR="00B30880">
        <w:t xml:space="preserve"> </w:t>
      </w:r>
      <w:r>
        <w:t xml:space="preserve">Unnecessary </w:t>
      </w:r>
      <w:r w:rsidRPr="00F24036">
        <w:t xml:space="preserve">placement </w:t>
      </w:r>
      <w:r>
        <w:t>i</w:t>
      </w:r>
      <w:r w:rsidRPr="00F24036">
        <w:t xml:space="preserve">nto an alternative diploma track has a lasting impact on future economic self-sufficiency </w:t>
      </w:r>
      <w:r>
        <w:t xml:space="preserve">for students with disabilities. Because children from diverse racial backgrounds are overrepresented in special education, they are more likely to earn alternative diplomas and suffer the lasting consequences of fewer employment and educational opportunities. Therefore, </w:t>
      </w:r>
      <w:r w:rsidRPr="00B2779B">
        <w:rPr>
          <w:b/>
        </w:rPr>
        <w:t xml:space="preserve">NCD recommends that the U.S. Department of Education issue </w:t>
      </w:r>
      <w:proofErr w:type="gramStart"/>
      <w:r w:rsidRPr="00B2779B">
        <w:rPr>
          <w:b/>
        </w:rPr>
        <w:t>guidelines that gives</w:t>
      </w:r>
      <w:proofErr w:type="gramEnd"/>
      <w:r w:rsidRPr="00B2779B">
        <w:rPr>
          <w:b/>
        </w:rPr>
        <w:t xml:space="preserve"> students with disabilities the opportunity to obtain a standard high school diploma and only use alternative diplomas as a last resort</w:t>
      </w:r>
      <w:r w:rsidRPr="00081E29">
        <w:rPr>
          <w:b/>
        </w:rPr>
        <w:t>.</w:t>
      </w:r>
    </w:p>
    <w:p w:rsidR="008C6F97" w:rsidRDefault="008C6F97" w:rsidP="00445A92">
      <w:pPr>
        <w:pStyle w:val="NCDBodyText"/>
      </w:pPr>
      <w:r w:rsidRPr="00F24036">
        <w:t xml:space="preserve">The </w:t>
      </w:r>
      <w:r>
        <w:t xml:space="preserve">DOL </w:t>
      </w:r>
      <w:r w:rsidRPr="00F24036">
        <w:t>recommends that IEP teams begin to investigate graduation options no later than middle school</w:t>
      </w:r>
      <w:r>
        <w:t xml:space="preserve"> because</w:t>
      </w:r>
      <w:r w:rsidRPr="00F24036">
        <w:t xml:space="preserve"> th</w:t>
      </w:r>
      <w:r>
        <w:t>is</w:t>
      </w:r>
      <w:r w:rsidRPr="00F24036">
        <w:t xml:space="preserve"> decision will </w:t>
      </w:r>
      <w:r>
        <w:t>determine</w:t>
      </w:r>
      <w:r w:rsidRPr="00F24036">
        <w:t xml:space="preserve"> the courses th</w:t>
      </w:r>
      <w:r>
        <w:t>at</w:t>
      </w:r>
      <w:r w:rsidRPr="00F24036">
        <w:t xml:space="preserve"> student</w:t>
      </w:r>
      <w:r>
        <w:t>s</w:t>
      </w:r>
      <w:r w:rsidRPr="00F24036">
        <w:t xml:space="preserve"> </w:t>
      </w:r>
      <w:r>
        <w:t xml:space="preserve">with disabilities </w:t>
      </w:r>
      <w:r w:rsidRPr="00F24036">
        <w:t>take</w:t>
      </w:r>
      <w:r>
        <w:t xml:space="preserve"> in both middle school and high school</w:t>
      </w:r>
      <w:r w:rsidRPr="00F24036">
        <w:t xml:space="preserve">. The IEP team must also ensure that the </w:t>
      </w:r>
      <w:r>
        <w:t>core</w:t>
      </w:r>
      <w:r w:rsidRPr="00F24036">
        <w:t xml:space="preserve"> course of study is consistent with </w:t>
      </w:r>
      <w:r>
        <w:t>students’</w:t>
      </w:r>
      <w:r w:rsidRPr="00F24036">
        <w:t xml:space="preserve"> goals after high school graduation. </w:t>
      </w:r>
      <w:r>
        <w:t>NCD echoes this recommendation. Students with disabilities</w:t>
      </w:r>
      <w:r w:rsidRPr="00F24036">
        <w:t xml:space="preserve"> should be meaningfully involved </w:t>
      </w:r>
      <w:r>
        <w:t>in the development and planning of their IEP goals to ensure that these goals accurately reflect their capabilities and keep</w:t>
      </w:r>
      <w:r w:rsidRPr="00F24036">
        <w:t xml:space="preserve"> future</w:t>
      </w:r>
      <w:r>
        <w:t xml:space="preserve"> educational and employment</w:t>
      </w:r>
      <w:r w:rsidRPr="00F24036">
        <w:t xml:space="preserve"> opportunities </w:t>
      </w:r>
      <w:r>
        <w:t>open to them</w:t>
      </w:r>
      <w:r w:rsidRPr="00F24036">
        <w:t>.</w:t>
      </w:r>
      <w:r>
        <w:rPr>
          <w:rStyle w:val="EndnoteReference"/>
        </w:rPr>
        <w:endnoteReference w:id="96"/>
      </w:r>
      <w:r w:rsidRPr="00F24036">
        <w:t xml:space="preserve"> </w:t>
      </w:r>
      <w:r>
        <w:t>T</w:t>
      </w:r>
      <w:r w:rsidRPr="00F24036">
        <w:t xml:space="preserve">o ensure that only students with the most significant cognitive disabilities </w:t>
      </w:r>
      <w:r>
        <w:t>are</w:t>
      </w:r>
      <w:r w:rsidRPr="00F24036">
        <w:t xml:space="preserve"> put on an alternative diploma track</w:t>
      </w:r>
      <w:r>
        <w:t xml:space="preserve">, the </w:t>
      </w:r>
      <w:r w:rsidRPr="00F24036">
        <w:t xml:space="preserve">Every </w:t>
      </w:r>
      <w:r>
        <w:t xml:space="preserve">Student Succeeds </w:t>
      </w:r>
      <w:r w:rsidRPr="00F24036">
        <w:t xml:space="preserve">Act </w:t>
      </w:r>
      <w:r>
        <w:t>of 2015 requires that</w:t>
      </w:r>
      <w:r w:rsidRPr="00F24036">
        <w:t xml:space="preserve"> parents </w:t>
      </w:r>
      <w:r>
        <w:t>provide</w:t>
      </w:r>
      <w:r w:rsidRPr="00F24036">
        <w:t xml:space="preserve"> informed consent </w:t>
      </w:r>
      <w:r>
        <w:t>to</w:t>
      </w:r>
      <w:r w:rsidRPr="00F24036">
        <w:t xml:space="preserve"> and understand the implications of an alternative diploma track</w:t>
      </w:r>
      <w:r>
        <w:t xml:space="preserve">. It also requires </w:t>
      </w:r>
      <w:r w:rsidRPr="00F24036">
        <w:t>states</w:t>
      </w:r>
      <w:r>
        <w:t xml:space="preserve"> to</w:t>
      </w:r>
      <w:r w:rsidRPr="00F24036">
        <w:t xml:space="preserve"> establish clear guidelines about placement </w:t>
      </w:r>
      <w:r>
        <w:t xml:space="preserve">in an alternative track </w:t>
      </w:r>
      <w:r w:rsidRPr="00F24036">
        <w:t>and</w:t>
      </w:r>
      <w:r>
        <w:t xml:space="preserve"> to</w:t>
      </w:r>
      <w:r w:rsidRPr="00F24036">
        <w:t xml:space="preserve"> be more transparent about </w:t>
      </w:r>
      <w:r>
        <w:t>the process of</w:t>
      </w:r>
      <w:r w:rsidRPr="00F24036">
        <w:t xml:space="preserve"> alternative testing</w:t>
      </w:r>
      <w:r>
        <w:t>.</w:t>
      </w:r>
    </w:p>
    <w:p w:rsidR="008C6F97" w:rsidRDefault="008C6F97" w:rsidP="00DA0814">
      <w:pPr>
        <w:pStyle w:val="Heading2"/>
      </w:pPr>
      <w:bookmarkStart w:id="78" w:name="_Toc479174961"/>
      <w:bookmarkStart w:id="79" w:name="_Toc493507479"/>
      <w:bookmarkStart w:id="80" w:name="_Toc493596682"/>
      <w:r>
        <w:t xml:space="preserve">Barriers Related to the Transition </w:t>
      </w:r>
      <w:bookmarkEnd w:id="78"/>
      <w:r>
        <w:t>to Employment</w:t>
      </w:r>
      <w:bookmarkEnd w:id="79"/>
      <w:bookmarkEnd w:id="80"/>
    </w:p>
    <w:p w:rsidR="008C6F97" w:rsidRDefault="008C6F97" w:rsidP="00445A92">
      <w:pPr>
        <w:pStyle w:val="NCDBodyText"/>
      </w:pPr>
      <w:r>
        <w:t xml:space="preserve">Moving students with disabilities into the right career path, which may include postsecondary education, training, or work, is </w:t>
      </w:r>
      <w:proofErr w:type="gramStart"/>
      <w:r>
        <w:t>key</w:t>
      </w:r>
      <w:proofErr w:type="gramEnd"/>
      <w:r>
        <w:t xml:space="preserve"> to ensuring that they have access to opportunities that will lead to financial success and self-sufficiency. IDEA mandates that t</w:t>
      </w:r>
      <w:r w:rsidRPr="00677E15">
        <w:t xml:space="preserve">ransition planning </w:t>
      </w:r>
      <w:r>
        <w:t xml:space="preserve">be provided for </w:t>
      </w:r>
      <w:r w:rsidRPr="00677E15">
        <w:t>all students with an IEP</w:t>
      </w:r>
      <w:r>
        <w:t xml:space="preserve"> and this includes </w:t>
      </w:r>
      <w:r w:rsidRPr="00677E15">
        <w:t>concrete post-high school graduation goals (</w:t>
      </w:r>
      <w:r>
        <w:t xml:space="preserve">e.g., </w:t>
      </w:r>
      <w:r w:rsidRPr="00677E15">
        <w:t>education, training, or employment)</w:t>
      </w:r>
      <w:r>
        <w:t>.</w:t>
      </w:r>
      <w:r w:rsidRPr="00677E15">
        <w:t xml:space="preserve"> </w:t>
      </w:r>
      <w:r>
        <w:t>In practice, t</w:t>
      </w:r>
      <w:r w:rsidRPr="00677E15">
        <w:t>ransition planning</w:t>
      </w:r>
      <w:r>
        <w:t xml:space="preserve"> for students with disabilities</w:t>
      </w:r>
      <w:r w:rsidRPr="00677E15">
        <w:t xml:space="preserve"> is often inadequate. </w:t>
      </w:r>
      <w:r>
        <w:t xml:space="preserve">Preparing students without disabilities for skills development and economic independence often includes </w:t>
      </w:r>
      <w:r>
        <w:lastRenderedPageBreak/>
        <w:t xml:space="preserve">early opportunities such as job shadowing, internships, part-time jobs, and volunteer work. However, students with disabilities are less likely to have </w:t>
      </w:r>
      <w:proofErr w:type="gramStart"/>
      <w:r>
        <w:t>these opportunities, which sets</w:t>
      </w:r>
      <w:proofErr w:type="gramEnd"/>
      <w:r>
        <w:t xml:space="preserve"> them further behind their peers when they enter the competitive job market and postsecondary application </w:t>
      </w:r>
      <w:r w:rsidRPr="00CD6458">
        <w:t>process</w:t>
      </w:r>
      <w:r>
        <w:t>.</w:t>
      </w:r>
      <w:r>
        <w:rPr>
          <w:rStyle w:val="EndnoteReference"/>
        </w:rPr>
        <w:endnoteReference w:id="97"/>
      </w:r>
      <w:r>
        <w:t xml:space="preserve"> Being from a diverse racial background</w:t>
      </w:r>
      <w:r w:rsidRPr="00A453EB">
        <w:t xml:space="preserve"> has a further impact on entering the competitive job market</w:t>
      </w:r>
      <w:r>
        <w:rPr>
          <w:rFonts w:cs="Arial"/>
        </w:rPr>
        <w:t>—</w:t>
      </w:r>
      <w:r w:rsidRPr="00A453EB">
        <w:t xml:space="preserve">while the employment rate for </w:t>
      </w:r>
      <w:r>
        <w:t>w</w:t>
      </w:r>
      <w:r w:rsidRPr="00A453EB">
        <w:t xml:space="preserve">hite youth with disabilities </w:t>
      </w:r>
      <w:r>
        <w:t xml:space="preserve">is </w:t>
      </w:r>
      <w:r w:rsidRPr="00A453EB">
        <w:t xml:space="preserve">34 percent, it is only 24 percent for African American youth with disabilities (Exhibit </w:t>
      </w:r>
      <w:r>
        <w:t>1.</w:t>
      </w:r>
      <w:r w:rsidRPr="00A453EB">
        <w:t>2).</w:t>
      </w:r>
      <w:r>
        <w:rPr>
          <w:rStyle w:val="EndnoteReference"/>
        </w:rPr>
        <w:endnoteReference w:id="98"/>
      </w:r>
    </w:p>
    <w:p w:rsidR="008C6F97" w:rsidRDefault="008C6F97" w:rsidP="00445A92">
      <w:pPr>
        <w:pStyle w:val="NCDBodyText"/>
      </w:pPr>
      <w:r w:rsidRPr="00677E15">
        <w:t xml:space="preserve">To </w:t>
      </w:r>
      <w:r>
        <w:t>ensure full participation in</w:t>
      </w:r>
      <w:r w:rsidRPr="00677E15">
        <w:t xml:space="preserve"> postsecondary</w:t>
      </w:r>
      <w:r>
        <w:t xml:space="preserve"> education, students with disabilities, particularly those in poverty, often need federal student aid.</w:t>
      </w:r>
      <w:r w:rsidRPr="00677E15">
        <w:t xml:space="preserve"> </w:t>
      </w:r>
      <w:r>
        <w:t xml:space="preserve">However, they face challenges in </w:t>
      </w:r>
      <w:r w:rsidRPr="00677E15">
        <w:t xml:space="preserve">obtaining financial support from federal </w:t>
      </w:r>
      <w:r>
        <w:t xml:space="preserve">resources including </w:t>
      </w:r>
      <w:r w:rsidRPr="00677E15">
        <w:t>Pell grant</w:t>
      </w:r>
      <w:r>
        <w:t>s</w:t>
      </w:r>
      <w:r w:rsidRPr="00677E15">
        <w:t xml:space="preserve">, </w:t>
      </w:r>
      <w:r>
        <w:t>F</w:t>
      </w:r>
      <w:r w:rsidRPr="00677E15">
        <w:t xml:space="preserve">ederal </w:t>
      </w:r>
      <w:r>
        <w:t>S</w:t>
      </w:r>
      <w:r w:rsidRPr="00677E15">
        <w:t xml:space="preserve">upplemental </w:t>
      </w:r>
      <w:r>
        <w:t>E</w:t>
      </w:r>
      <w:r w:rsidRPr="00677E15">
        <w:t xml:space="preserve">ducational </w:t>
      </w:r>
      <w:r>
        <w:t>O</w:t>
      </w:r>
      <w:r w:rsidRPr="00677E15">
        <w:t xml:space="preserve">pportunity </w:t>
      </w:r>
      <w:r>
        <w:t>G</w:t>
      </w:r>
      <w:r w:rsidRPr="00677E15">
        <w:t>rant</w:t>
      </w:r>
      <w:r>
        <w:t>s</w:t>
      </w:r>
      <w:r w:rsidRPr="00677E15">
        <w:t>, a</w:t>
      </w:r>
      <w:r>
        <w:t>nd federal work-study programs.</w:t>
      </w:r>
      <w:r>
        <w:rPr>
          <w:rStyle w:val="EndnoteReference"/>
        </w:rPr>
        <w:endnoteReference w:id="99"/>
      </w:r>
      <w:r w:rsidRPr="00677E15">
        <w:t xml:space="preserve"> </w:t>
      </w:r>
      <w:r>
        <w:t>The Common Core Standards</w:t>
      </w:r>
      <w:r w:rsidRPr="00677E15">
        <w:t xml:space="preserve"> forbid students </w:t>
      </w:r>
      <w:r>
        <w:t xml:space="preserve">who </w:t>
      </w:r>
      <w:r w:rsidRPr="00677E15">
        <w:t>graduat</w:t>
      </w:r>
      <w:r>
        <w:t>e</w:t>
      </w:r>
      <w:r w:rsidRPr="00677E15">
        <w:t xml:space="preserve"> with </w:t>
      </w:r>
      <w:r>
        <w:t>alternative high school</w:t>
      </w:r>
      <w:r w:rsidRPr="00677E15">
        <w:t xml:space="preserve"> diplomas </w:t>
      </w:r>
      <w:r>
        <w:t>or</w:t>
      </w:r>
      <w:r w:rsidRPr="00677E15">
        <w:t xml:space="preserve"> trade and career program degrees from obtaining federal Pell grants and federal </w:t>
      </w:r>
      <w:r>
        <w:t>scholarships</w:t>
      </w:r>
      <w:r w:rsidRPr="00677E15">
        <w:t>.</w:t>
      </w:r>
      <w:r>
        <w:t xml:space="preserve"> This limits </w:t>
      </w:r>
      <w:r w:rsidRPr="00677E15">
        <w:t>federal financial aid</w:t>
      </w:r>
      <w:r>
        <w:t xml:space="preserve"> to those students with disabilities who receive</w:t>
      </w:r>
      <w:r w:rsidRPr="00677E15">
        <w:t xml:space="preserve"> </w:t>
      </w:r>
      <w:r>
        <w:t>standard high school</w:t>
      </w:r>
      <w:r w:rsidRPr="00677E15">
        <w:t xml:space="preserve"> diplomas and GEDs</w:t>
      </w:r>
      <w:r>
        <w:t>.</w:t>
      </w:r>
      <w:r w:rsidRPr="00677E15">
        <w:t xml:space="preserve"> </w:t>
      </w:r>
      <w:r>
        <w:t>As noted in our 2015 briefing paper on the reauthorization of the Higher Education Act,</w:t>
      </w:r>
      <w:r>
        <w:rPr>
          <w:rStyle w:val="EndnoteReference"/>
        </w:rPr>
        <w:endnoteReference w:id="100"/>
      </w:r>
      <w:r>
        <w:t xml:space="preserve"> </w:t>
      </w:r>
      <w:r w:rsidRPr="00B2779B">
        <w:rPr>
          <w:b/>
        </w:rPr>
        <w:t xml:space="preserve">NCD recommends that the U.S. Department of Education revise guidelines to allow students who graduate with alternative high school diplomas or trade and career program degrees </w:t>
      </w:r>
      <w:r>
        <w:rPr>
          <w:b/>
        </w:rPr>
        <w:t xml:space="preserve">to </w:t>
      </w:r>
      <w:r w:rsidRPr="00B2779B">
        <w:rPr>
          <w:b/>
        </w:rPr>
        <w:t>be eligible to obtain federal Pell grants and federal scholarships if they meet all other qualifications for financial support from federal sources</w:t>
      </w:r>
      <w:r w:rsidRPr="00271348">
        <w:rPr>
          <w:b/>
        </w:rPr>
        <w:t>.</w:t>
      </w:r>
      <w:r>
        <w:t xml:space="preserve"> </w:t>
      </w:r>
    </w:p>
    <w:p w:rsidR="008C6F97" w:rsidRPr="00B42708" w:rsidRDefault="008C6F97" w:rsidP="00445A92">
      <w:pPr>
        <w:pStyle w:val="NCDBodyText"/>
      </w:pPr>
      <w:r>
        <w:t xml:space="preserve">As noted earlier, students with disabilities are often tracked into alternative diploma </w:t>
      </w:r>
      <w:proofErr w:type="gramStart"/>
      <w:r>
        <w:t>programs, which limits</w:t>
      </w:r>
      <w:proofErr w:type="gramEnd"/>
      <w:r>
        <w:t xml:space="preserve"> their options for entry into postsecondary education, including eligibility for federal financial aid. Students are also often required to take a full course load as a condition of receiving financial aid; however, some students with disabilities are unable to meet this condition. As a result, </w:t>
      </w:r>
      <w:r w:rsidRPr="00677E15">
        <w:t>students</w:t>
      </w:r>
      <w:r>
        <w:t xml:space="preserve"> with disabilities</w:t>
      </w:r>
      <w:r w:rsidRPr="00677E15">
        <w:t xml:space="preserve"> </w:t>
      </w:r>
      <w:r>
        <w:t>who cannot obtain</w:t>
      </w:r>
      <w:r w:rsidRPr="00677E15">
        <w:t xml:space="preserve"> </w:t>
      </w:r>
      <w:r>
        <w:t xml:space="preserve">federal financial aid are left </w:t>
      </w:r>
      <w:r w:rsidRPr="00677E15">
        <w:t>to</w:t>
      </w:r>
      <w:r>
        <w:t xml:space="preserve"> figure out how to pay for college or vocational training programs; like most students, they frequently take out private loans to pay for postsecondary education or vocational training, even though these loans have higher interest rates than federal student loans and no grace periods, which federal student loans provide.</w:t>
      </w:r>
      <w:r>
        <w:rPr>
          <w:rStyle w:val="EndnoteReference"/>
        </w:rPr>
        <w:endnoteReference w:id="101"/>
      </w:r>
      <w:r w:rsidRPr="00677E15">
        <w:t xml:space="preserve"> </w:t>
      </w:r>
      <w:r w:rsidRPr="006A7AE3">
        <w:t>In 2014, student loans totaled $1.4 billion</w:t>
      </w:r>
      <w:r>
        <w:t>.</w:t>
      </w:r>
      <w:r>
        <w:rPr>
          <w:rStyle w:val="EndnoteReference"/>
        </w:rPr>
        <w:endnoteReference w:id="102"/>
      </w:r>
      <w:r w:rsidRPr="006A7AE3">
        <w:t xml:space="preserve"> Recent </w:t>
      </w:r>
      <w:r>
        <w:t>action</w:t>
      </w:r>
      <w:r w:rsidRPr="006A7AE3">
        <w:t xml:space="preserve"> by the </w:t>
      </w:r>
      <w:r>
        <w:t>ED</w:t>
      </w:r>
      <w:r w:rsidRPr="006A7AE3">
        <w:t xml:space="preserve"> </w:t>
      </w:r>
      <w:r w:rsidRPr="006A7AE3">
        <w:lastRenderedPageBreak/>
        <w:t>ha</w:t>
      </w:r>
      <w:r>
        <w:t>s</w:t>
      </w:r>
      <w:r w:rsidRPr="006A7AE3">
        <w:t xml:space="preserve"> led to </w:t>
      </w:r>
      <w:r>
        <w:t xml:space="preserve">student loan </w:t>
      </w:r>
      <w:r w:rsidRPr="006A7AE3">
        <w:t xml:space="preserve">debt forgiveness for </w:t>
      </w:r>
      <w:r>
        <w:t xml:space="preserve">qualified </w:t>
      </w:r>
      <w:r w:rsidRPr="006A7AE3">
        <w:t>students with disabilities; however, at this time</w:t>
      </w:r>
      <w:r>
        <w:t>,</w:t>
      </w:r>
      <w:r w:rsidRPr="006A7AE3">
        <w:t xml:space="preserve"> debt forgiveness</w:t>
      </w:r>
      <w:r>
        <w:t xml:space="preserve"> does not include a tax waiver.</w:t>
      </w:r>
      <w:r>
        <w:rPr>
          <w:rStyle w:val="EndnoteReference"/>
        </w:rPr>
        <w:endnoteReference w:id="103"/>
      </w:r>
      <w:r w:rsidRPr="006A7AE3">
        <w:t xml:space="preserve"> </w:t>
      </w:r>
      <w:r>
        <w:t>Thus, s</w:t>
      </w:r>
      <w:r w:rsidRPr="006A7AE3">
        <w:t xml:space="preserve">tudents </w:t>
      </w:r>
      <w:r>
        <w:t xml:space="preserve">with disabilities </w:t>
      </w:r>
      <w:r w:rsidRPr="006A7AE3">
        <w:t xml:space="preserve">may </w:t>
      </w:r>
      <w:r>
        <w:t>end up</w:t>
      </w:r>
      <w:r w:rsidRPr="006A7AE3">
        <w:t xml:space="preserve"> paying taxes on loans that they no longer owe.</w:t>
      </w:r>
      <w:r>
        <w:t xml:space="preserve"> </w:t>
      </w:r>
      <w:r w:rsidRPr="00B2779B">
        <w:rPr>
          <w:b/>
        </w:rPr>
        <w:t xml:space="preserve">NCD recommends that the </w:t>
      </w:r>
      <w:r>
        <w:rPr>
          <w:b/>
        </w:rPr>
        <w:t>IRS</w:t>
      </w:r>
      <w:r w:rsidRPr="00B2779B">
        <w:rPr>
          <w:b/>
        </w:rPr>
        <w:t xml:space="preserve"> provide guidelines that waive taxes on student loan forgiveness for students with disabilities</w:t>
      </w:r>
      <w:r w:rsidRPr="00796F53">
        <w:rPr>
          <w:b/>
        </w:rPr>
        <w:t>.</w:t>
      </w:r>
    </w:p>
    <w:p w:rsidR="008C6F97" w:rsidRPr="00B42708" w:rsidRDefault="008C6F97" w:rsidP="00445A92">
      <w:pPr>
        <w:pStyle w:val="NCDBodyText"/>
      </w:pPr>
      <w:r>
        <w:t xml:space="preserve">Veterans with mental health issues or other disabilities resulting from their deployments face unique challenges in higher education. Many veterans enter institutions of higher education to improve their ability to work. However, they enroll in college with physical wounds, posttraumatic stress disorder, depression, anxiety, and traumatic brain injuries, which require accessibility and accommodations on campus and in </w:t>
      </w:r>
      <w:r w:rsidRPr="00CD6458">
        <w:t>classrooms.</w:t>
      </w:r>
      <w:r>
        <w:rPr>
          <w:rStyle w:val="EndnoteReference"/>
        </w:rPr>
        <w:endnoteReference w:id="104"/>
      </w:r>
      <w:r>
        <w:t xml:space="preserve"> As a result of their injuries, veterans may find themselves struggling with problems related to attention, concentration, processing new information, and other cognitive functions central to obtaining a quality education. Many veterans do not use the traditional services that institutions of higher education provide to students with disabilities. Colleges and universities need to engage with veterans in ways that are more in tune with their needs and work with the U.S. Department of Veterans Affairs to communicate with veterans about disability services.</w:t>
      </w:r>
      <w:r>
        <w:rPr>
          <w:rStyle w:val="EndnoteReference"/>
        </w:rPr>
        <w:endnoteReference w:id="105"/>
      </w:r>
      <w:r>
        <w:t xml:space="preserve"> Veterans need unique attention to ensure they can complete school successfully. (For more information, see Appendix C, which provides a link to NCD’s report, </w:t>
      </w:r>
      <w:r w:rsidRPr="0002078F">
        <w:rPr>
          <w:i/>
        </w:rPr>
        <w:t xml:space="preserve">Mental Health on College Campuses: Investments, Accommodations Needed </w:t>
      </w:r>
      <w:r>
        <w:rPr>
          <w:i/>
        </w:rPr>
        <w:t>to Address Student Needs.</w:t>
      </w:r>
      <w:r w:rsidRPr="0002078F">
        <w:rPr>
          <w:i/>
        </w:rPr>
        <w:t>)</w:t>
      </w:r>
    </w:p>
    <w:p w:rsidR="008C6F97" w:rsidRDefault="008C6F97" w:rsidP="00DA0814">
      <w:pPr>
        <w:pStyle w:val="Heading2"/>
      </w:pPr>
      <w:bookmarkStart w:id="81" w:name="_Toc493507480"/>
      <w:bookmarkStart w:id="82" w:name="_Toc493596683"/>
      <w:r>
        <w:t>Barriers Related to Complex Eligibility and Enrollment Procedures</w:t>
      </w:r>
      <w:bookmarkEnd w:id="81"/>
      <w:bookmarkEnd w:id="82"/>
    </w:p>
    <w:p w:rsidR="008C6F97" w:rsidRDefault="008C6F97" w:rsidP="00445A92">
      <w:pPr>
        <w:pStyle w:val="NCDBodyText"/>
      </w:pPr>
      <w:r w:rsidRPr="00837BF6">
        <w:t xml:space="preserve">When people apply for disability insurance benefits </w:t>
      </w:r>
      <w:r>
        <w:t>through SSDI</w:t>
      </w:r>
      <w:r w:rsidRPr="00837BF6">
        <w:t xml:space="preserve">, they must demonstrate to the </w:t>
      </w:r>
      <w:r>
        <w:t>SSA</w:t>
      </w:r>
      <w:r w:rsidRPr="00837BF6">
        <w:t xml:space="preserve"> </w:t>
      </w:r>
      <w:r>
        <w:t>that they cannot work. However,</w:t>
      </w:r>
      <w:r w:rsidRPr="00837BF6">
        <w:t xml:space="preserve"> a significant portion of people with disabilities can </w:t>
      </w:r>
      <w:r>
        <w:t xml:space="preserve">and want to </w:t>
      </w:r>
      <w:r w:rsidRPr="00837BF6">
        <w:t xml:space="preserve">work </w:t>
      </w:r>
      <w:r>
        <w:t xml:space="preserve">as long as they have </w:t>
      </w:r>
      <w:r w:rsidRPr="00837BF6">
        <w:t xml:space="preserve">adequate health care and </w:t>
      </w:r>
      <w:r>
        <w:t xml:space="preserve">long-term </w:t>
      </w:r>
      <w:r w:rsidRPr="00837BF6">
        <w:t xml:space="preserve">support services, reasonable accommodations, and </w:t>
      </w:r>
      <w:r>
        <w:t xml:space="preserve">sometimes, </w:t>
      </w:r>
      <w:r w:rsidRPr="00837BF6">
        <w:t>additional training</w:t>
      </w:r>
      <w:r>
        <w:t>. Support in the form</w:t>
      </w:r>
      <w:r w:rsidRPr="00837BF6">
        <w:t xml:space="preserve"> of cash assistance</w:t>
      </w:r>
      <w:r>
        <w:t xml:space="preserve"> from SSDI or SSI</w:t>
      </w:r>
      <w:r w:rsidRPr="00837BF6">
        <w:t xml:space="preserve"> </w:t>
      </w:r>
      <w:r>
        <w:t>helps people with disabilities</w:t>
      </w:r>
      <w:r w:rsidRPr="00837BF6">
        <w:t xml:space="preserve"> attain or maintain a reasonable standard of living. </w:t>
      </w:r>
      <w:r>
        <w:t>However, due to the “</w:t>
      </w:r>
      <w:r w:rsidRPr="00837BF6">
        <w:t>all or nothing</w:t>
      </w:r>
      <w:r>
        <w:t>”</w:t>
      </w:r>
      <w:r w:rsidRPr="00837BF6">
        <w:t xml:space="preserve"> </w:t>
      </w:r>
      <w:r>
        <w:t xml:space="preserve">requirement of the SSA, people with disabilities are faced with choosing between </w:t>
      </w:r>
      <w:r w:rsidRPr="00837BF6">
        <w:t>work</w:t>
      </w:r>
      <w:r>
        <w:t>ing or</w:t>
      </w:r>
      <w:r w:rsidRPr="00837BF6">
        <w:t xml:space="preserve"> receiving needed cash, medical</w:t>
      </w:r>
      <w:r>
        <w:t>,</w:t>
      </w:r>
      <w:r w:rsidRPr="00837BF6">
        <w:t xml:space="preserve"> and other in-kind support.</w:t>
      </w:r>
      <w:r>
        <w:t xml:space="preserve"> If they choose to work, then they often find themselves in low-paying jobs with little or no </w:t>
      </w:r>
      <w:r>
        <w:lastRenderedPageBreak/>
        <w:t>benefits.</w:t>
      </w:r>
      <w:r>
        <w:rPr>
          <w:rStyle w:val="EndnoteReference"/>
        </w:rPr>
        <w:endnoteReference w:id="106"/>
      </w:r>
      <w:r>
        <w:t xml:space="preserve"> If they select needed benefits, they cannot work and are often faced with the further challenge of navigating a complex system to obtain needed supports.</w:t>
      </w:r>
    </w:p>
    <w:p w:rsidR="008C6F97" w:rsidRDefault="008C6F97" w:rsidP="00445A92">
      <w:pPr>
        <w:pStyle w:val="NCDBodyText"/>
      </w:pPr>
      <w:r>
        <w:t>The disability determination process, which determines SSDI and SSI eligibility, has multiple steps and can often be lengthy.</w:t>
      </w:r>
      <w:r w:rsidRPr="00557BBB">
        <w:t xml:space="preserve"> During the </w:t>
      </w:r>
      <w:r>
        <w:t xml:space="preserve">SSDI </w:t>
      </w:r>
      <w:r w:rsidRPr="00557BBB">
        <w:t xml:space="preserve">application and appeals processes, </w:t>
      </w:r>
      <w:r>
        <w:t>people with disabilities</w:t>
      </w:r>
      <w:r w:rsidRPr="00557BBB">
        <w:t xml:space="preserve"> </w:t>
      </w:r>
      <w:r>
        <w:t xml:space="preserve">do not receive any </w:t>
      </w:r>
      <w:r w:rsidRPr="00557BBB">
        <w:t>income support or medical benefits.</w:t>
      </w:r>
      <w:r>
        <w:t xml:space="preserve"> They must disconnect from the workforce to obtain financial assistance.</w:t>
      </w:r>
      <w:r w:rsidRPr="00557BBB">
        <w:t xml:space="preserve"> </w:t>
      </w:r>
      <w:r>
        <w:t xml:space="preserve">During the </w:t>
      </w:r>
      <w:r w:rsidRPr="00557BBB">
        <w:t>crucial time immediately after the onset of disability</w:t>
      </w:r>
      <w:r>
        <w:t>,</w:t>
      </w:r>
      <w:r w:rsidRPr="00557BBB">
        <w:t xml:space="preserve"> when they may still have some attachment to the labor force, the</w:t>
      </w:r>
      <w:r>
        <w:t xml:space="preserve"> current</w:t>
      </w:r>
      <w:r w:rsidRPr="00557BBB">
        <w:t xml:space="preserve"> system encourages applicants not </w:t>
      </w:r>
      <w:r>
        <w:t xml:space="preserve">to </w:t>
      </w:r>
      <w:r w:rsidRPr="00557BBB">
        <w:t>work</w:t>
      </w:r>
      <w:r>
        <w:t>, which often leads to poverty</w:t>
      </w:r>
      <w:r w:rsidRPr="00557BBB">
        <w:t>.</w:t>
      </w:r>
    </w:p>
    <w:p w:rsidR="008C6F97" w:rsidRDefault="008C6F97" w:rsidP="00445A92">
      <w:pPr>
        <w:pStyle w:val="NCDBodyText"/>
      </w:pPr>
      <w:r>
        <w:t xml:space="preserve">In fact, </w:t>
      </w:r>
      <w:r w:rsidRPr="00D32371">
        <w:t>the application process</w:t>
      </w:r>
      <w:r>
        <w:t xml:space="preserve"> can take many months or even years while</w:t>
      </w:r>
      <w:r w:rsidRPr="00D32371">
        <w:t xml:space="preserve"> </w:t>
      </w:r>
      <w:r>
        <w:t>people with disabilities</w:t>
      </w:r>
      <w:r w:rsidRPr="00D32371">
        <w:t xml:space="preserve"> </w:t>
      </w:r>
      <w:r>
        <w:t xml:space="preserve">provide </w:t>
      </w:r>
      <w:r w:rsidRPr="00D32371">
        <w:t xml:space="preserve">medical information </w:t>
      </w:r>
      <w:r>
        <w:t>to prove</w:t>
      </w:r>
      <w:r w:rsidRPr="00D32371">
        <w:t xml:space="preserve"> </w:t>
      </w:r>
      <w:r>
        <w:t>their inability to work</w:t>
      </w:r>
      <w:r w:rsidRPr="00D32371">
        <w:t xml:space="preserve">. </w:t>
      </w:r>
      <w:r>
        <w:t>After people with disabilities qualify for SSDI</w:t>
      </w:r>
      <w:r w:rsidRPr="00D32371">
        <w:t xml:space="preserve"> benefits, </w:t>
      </w:r>
      <w:r>
        <w:t>they</w:t>
      </w:r>
      <w:r w:rsidRPr="00D32371">
        <w:t xml:space="preserve"> must continue to meet strict disability eligibility requirements, which SSA periodically reassesses as part of its continuing disability reviews (CDRs). Those who show medical improvement through a CDR could face the prospect of losi</w:t>
      </w:r>
      <w:r>
        <w:t xml:space="preserve">ng their benefits. </w:t>
      </w:r>
      <w:r w:rsidRPr="00D32371">
        <w:t>Throughout the application and benefit process</w:t>
      </w:r>
      <w:r>
        <w:t>,</w:t>
      </w:r>
      <w:r w:rsidRPr="00D32371">
        <w:t xml:space="preserve"> SSA disability participants must continually prove an inability to perform </w:t>
      </w:r>
      <w:r>
        <w:t>substantial gainful activity (SGA)</w:t>
      </w:r>
      <w:r w:rsidRPr="00D32371">
        <w:t xml:space="preserve"> or risk losing </w:t>
      </w:r>
      <w:r>
        <w:t xml:space="preserve">their </w:t>
      </w:r>
      <w:r w:rsidRPr="00D32371">
        <w:t>benefits</w:t>
      </w:r>
      <w:r>
        <w:t>.</w:t>
      </w:r>
      <w:r>
        <w:rPr>
          <w:rStyle w:val="EndnoteReference"/>
        </w:rPr>
        <w:endnoteReference w:id="107"/>
      </w:r>
    </w:p>
    <w:p w:rsidR="008C6F97" w:rsidRDefault="008C6F97" w:rsidP="00445A92">
      <w:pPr>
        <w:pStyle w:val="NCDBodyText"/>
      </w:pPr>
      <w:bookmarkStart w:id="83" w:name="_Toc479174962"/>
      <w:r>
        <w:t xml:space="preserve">Eligibility for SSDI and SSI benefits is interconnected with health care and long-term services and supports, which are also important for people with disabilities to maintain their independence. SSDI beneficiaries qualify for Medicare after 24 months of enrollment. People with disabilities with limited income and assets (e.g., cash, bank accounts, stocks, U.S. savings bonds, land, vehicles, or personal property) can also qualify for SSI and therefore qualify for Medicaid. Through Medicaid HCBS waivers under Section 1915(c) of the Social Security Act, people with disabilities can access services such as case management, personal care, adult day health services, habilitation, and respite care. Medicaid services provide important additional supports for people with disabilities by allowing them to remain independent in their homes and/or communities instead of forcing them into institutional settings. These services are often necessary for people with disabilities to successfully attain and maintain employment; however, the services available under HCBS waivers are generally not </w:t>
      </w:r>
      <w:r>
        <w:lastRenderedPageBreak/>
        <w:t>available from private insurance plans and are too expensive to afford out of pocket. As a result, people with disabilities frequently stop working in order to maintain the low income levels that are required by SSI, SSDI, Medicare, and Medicaid to ensure they received much-needed benefits.</w:t>
      </w:r>
    </w:p>
    <w:p w:rsidR="008C6F97" w:rsidRDefault="008C6F97" w:rsidP="00DA0814">
      <w:pPr>
        <w:pStyle w:val="Heading2"/>
      </w:pPr>
      <w:bookmarkStart w:id="84" w:name="_Toc493507481"/>
      <w:bookmarkStart w:id="85" w:name="_Toc493596684"/>
      <w:r>
        <w:t>Barriers Related to Program Income and Asset Limits</w:t>
      </w:r>
      <w:bookmarkEnd w:id="83"/>
      <w:bookmarkEnd w:id="84"/>
      <w:bookmarkEnd w:id="85"/>
      <w:r>
        <w:t xml:space="preserve"> </w:t>
      </w:r>
    </w:p>
    <w:p w:rsidR="008C6F97" w:rsidRPr="000148EC" w:rsidRDefault="008C6F97" w:rsidP="00445A92">
      <w:pPr>
        <w:pStyle w:val="NCDBodyTextSpaceBefore"/>
      </w:pPr>
      <w:r w:rsidRPr="003359CE">
        <w:t>Eligibility for SSI and SSDI is based on the inability to earn an income which is referred to as SGA</w:t>
      </w:r>
      <w:r>
        <w:t>.</w:t>
      </w:r>
      <w:r w:rsidRPr="000148EC">
        <w:t xml:space="preserve"> </w:t>
      </w:r>
      <w:r>
        <w:t xml:space="preserve">In 2017, SGA was </w:t>
      </w:r>
      <w:r w:rsidRPr="000148EC">
        <w:t xml:space="preserve">$1,170 </w:t>
      </w:r>
      <w:r>
        <w:t xml:space="preserve">per month for </w:t>
      </w:r>
      <w:proofErr w:type="spellStart"/>
      <w:r>
        <w:t>nonblind</w:t>
      </w:r>
      <w:proofErr w:type="spellEnd"/>
      <w:r>
        <w:t xml:space="preserve"> beneficiaries and $</w:t>
      </w:r>
      <w:r w:rsidRPr="000148EC">
        <w:t>1,950 for blind beneficiaries</w:t>
      </w:r>
      <w:r>
        <w:t>.</w:t>
      </w:r>
      <w:r w:rsidRPr="000148EC">
        <w:t xml:space="preserve"> SSDI beneficiaries </w:t>
      </w:r>
      <w:r>
        <w:t xml:space="preserve">who </w:t>
      </w:r>
      <w:r w:rsidRPr="000148EC">
        <w:t xml:space="preserve">earn above </w:t>
      </w:r>
      <w:r>
        <w:t xml:space="preserve">SGA can </w:t>
      </w:r>
      <w:r w:rsidRPr="000148EC">
        <w:t xml:space="preserve">lose </w:t>
      </w:r>
      <w:r>
        <w:t xml:space="preserve">all of </w:t>
      </w:r>
      <w:r w:rsidRPr="000148EC">
        <w:t>their SSDI cash benefits. Several</w:t>
      </w:r>
      <w:r>
        <w:t xml:space="preserve"> work incentive programs exist </w:t>
      </w:r>
      <w:r w:rsidRPr="006D6918">
        <w:t>to reduce or forestall the risk</w:t>
      </w:r>
      <w:r>
        <w:t xml:space="preserve"> of losing cash benefits. For example, beneficiaries can earn an unlimited amount for nine months during a “trial work period” without losing benefits. </w:t>
      </w:r>
      <w:r w:rsidRPr="000148EC">
        <w:t xml:space="preserve">Nevertheless, SSDI beneficiaries face a </w:t>
      </w:r>
      <w:r>
        <w:t>“</w:t>
      </w:r>
      <w:r w:rsidRPr="000148EC">
        <w:t>cash cliff</w:t>
      </w:r>
      <w:r>
        <w:t>”</w:t>
      </w:r>
      <w:r w:rsidRPr="000148EC">
        <w:t xml:space="preserve"> where earnings that exceed the SGA level result in the loss of the full amount of the cash benefit. </w:t>
      </w:r>
      <w:r>
        <w:t>The</w:t>
      </w:r>
      <w:r w:rsidRPr="006D6918">
        <w:t xml:space="preserve"> loss of SSDI income</w:t>
      </w:r>
      <w:r>
        <w:t xml:space="preserve"> for people with disabilities</w:t>
      </w:r>
      <w:r w:rsidRPr="006D6918">
        <w:t xml:space="preserve"> </w:t>
      </w:r>
      <w:r>
        <w:t>may</w:t>
      </w:r>
      <w:r w:rsidRPr="006D6918">
        <w:t xml:space="preserve"> </w:t>
      </w:r>
      <w:r>
        <w:t xml:space="preserve">be </w:t>
      </w:r>
      <w:r w:rsidRPr="006D6918">
        <w:t>greater than their earnings</w:t>
      </w:r>
      <w:r>
        <w:t xml:space="preserve"> and result in a situation where they have insufficient income to cover all of their expenses</w:t>
      </w:r>
      <w:r w:rsidRPr="006D6918">
        <w:t>.</w:t>
      </w:r>
    </w:p>
    <w:p w:rsidR="008C6F97" w:rsidRPr="00DA0814" w:rsidRDefault="008C6F97" w:rsidP="00445A92">
      <w:pPr>
        <w:pStyle w:val="NCDBodyText"/>
        <w:rPr>
          <w:spacing w:val="-2"/>
        </w:rPr>
      </w:pPr>
      <w:r w:rsidRPr="00DA0814">
        <w:rPr>
          <w:spacing w:val="-2"/>
        </w:rPr>
        <w:t>SSI beneficiaries face a different penalty when their incomes rise. Specifically, after earnings reach $65 per month, SSI benefits are reduced by one dollar for every two dollars of additional earnings. In addition to penalizing people with disabilities who want to work, eligibility for SSI requires that people with disabilities have very limited assets. Personal savings and assets enable people to weather financial shocks and emergencies and make long-term investments that will help them in the long term. Prior to passage of the ABLE Act in 2014, people with disabilities receiving these benefits were significantly limited in what they could save for emergencies or even large disability-related expenses. (For more information about the ABLE Act, see Appendix B.)</w:t>
      </w:r>
    </w:p>
    <w:p w:rsidR="008C6F97" w:rsidRDefault="008C6F97" w:rsidP="00DA0814">
      <w:pPr>
        <w:pStyle w:val="NCDBodyText"/>
        <w:spacing w:after="360"/>
      </w:pPr>
      <w:r w:rsidRPr="005C1CEE">
        <w:t>The complexities of public benefits programs are exacerbated by concerns and confusion about paying back those benefits. SSI benefits are adjusted based on earnings</w:t>
      </w:r>
      <w:r>
        <w:t>;</w:t>
      </w:r>
      <w:r w:rsidRPr="005C1CEE">
        <w:t xml:space="preserve"> however</w:t>
      </w:r>
      <w:r>
        <w:t>,</w:t>
      </w:r>
      <w:r w:rsidRPr="005C1CEE">
        <w:t xml:space="preserve"> the adjustments are often delayed by several months because the level of benefits are adjusted retroactively. If SSA determines that a person received an overpayment, beneficiaries must reimburse SSA for the overpaid amount. </w:t>
      </w:r>
      <w:r w:rsidRPr="005C1CEE">
        <w:lastRenderedPageBreak/>
        <w:t>Unfortunately, the agency can take months or years to determine the necessary adjustments to SSI benefits and will continue to overpay the beneficiary.</w:t>
      </w:r>
      <w:r w:rsidRPr="00D852B4" w:rsidDel="00E10DF8">
        <w:rPr>
          <w:color w:val="212121"/>
          <w:highlight w:val="white"/>
        </w:rPr>
        <w:t xml:space="preserve"> </w:t>
      </w:r>
      <w:r w:rsidRPr="00796F53">
        <w:t xml:space="preserve">The need to pay back overpayments can lead to financial turmoil and reinforce the idea that any kind of work can lead to more harm than good for people with disabilities. </w:t>
      </w:r>
    </w:p>
    <w:tbl>
      <w:tblPr>
        <w:tblStyle w:val="TableGrid"/>
        <w:tblW w:w="0" w:type="auto"/>
        <w:shd w:val="clear" w:color="auto" w:fill="C6D9F1"/>
        <w:tblLook w:val="04A0" w:firstRow="1" w:lastRow="0" w:firstColumn="1" w:lastColumn="0" w:noHBand="0" w:noVBand="1"/>
        <w:tblDescription w:val="Pull Quote"/>
      </w:tblPr>
      <w:tblGrid>
        <w:gridCol w:w="9350"/>
      </w:tblGrid>
      <w:tr w:rsidR="008C6F97" w:rsidTr="00BF32FE">
        <w:trPr>
          <w:tblHeader/>
        </w:trPr>
        <w:tc>
          <w:tcPr>
            <w:tcW w:w="9350" w:type="dxa"/>
            <w:shd w:val="clear" w:color="auto" w:fill="C6D9F1"/>
            <w:tcMar>
              <w:top w:w="130" w:type="dxa"/>
              <w:left w:w="144" w:type="dxa"/>
              <w:bottom w:w="29" w:type="dxa"/>
              <w:right w:w="144" w:type="dxa"/>
            </w:tcMar>
          </w:tcPr>
          <w:p w:rsidR="008C6F97" w:rsidRPr="001B6385" w:rsidRDefault="008C6F97" w:rsidP="002A3282">
            <w:pPr>
              <w:pStyle w:val="NCDTextBoxText"/>
            </w:pPr>
            <w:r>
              <w:t>“</w:t>
            </w:r>
            <w:r w:rsidRPr="001B6385">
              <w:t>He's almost forced into poverty. For every extra dollar of income he gets, he seems to lose a benefit. If that happens, he's essentially in the same spot. He can never better his condition.</w:t>
            </w:r>
            <w:r>
              <w:t>”</w:t>
            </w:r>
          </w:p>
          <w:p w:rsidR="008C6F97" w:rsidRPr="00B27A93" w:rsidRDefault="008C6F97" w:rsidP="002A3282">
            <w:pPr>
              <w:pStyle w:val="NCDTextBoxText"/>
              <w:jc w:val="right"/>
              <w:rPr>
                <w:i/>
              </w:rPr>
            </w:pPr>
            <w:r>
              <w:rPr>
                <w:i/>
              </w:rPr>
              <w:t xml:space="preserve">—Parent of </w:t>
            </w:r>
            <w:r w:rsidRPr="00B27A93">
              <w:rPr>
                <w:i/>
              </w:rPr>
              <w:t>Focus Group Participant</w:t>
            </w:r>
          </w:p>
        </w:tc>
      </w:tr>
    </w:tbl>
    <w:p w:rsidR="008C6F97" w:rsidRDefault="008C6F97" w:rsidP="00445A92">
      <w:pPr>
        <w:pStyle w:val="NCDBodyTextSpaceBefore"/>
        <w:spacing w:before="360"/>
      </w:pPr>
      <w:r w:rsidRPr="00CE73B5">
        <w:t xml:space="preserve">Work incentives </w:t>
      </w:r>
      <w:r>
        <w:t>such as</w:t>
      </w:r>
      <w:r w:rsidRPr="00CE73B5">
        <w:t xml:space="preserve"> expedited reinstatement, trial work periods, extended periods of eligibility, and continuation of Medicare coverage can help </w:t>
      </w:r>
      <w:r>
        <w:t xml:space="preserve">people with disabilities on </w:t>
      </w:r>
      <w:r w:rsidRPr="00CE73B5">
        <w:t>SSDI reduce the risk of losing benefits</w:t>
      </w:r>
      <w:r>
        <w:t>.</w:t>
      </w:r>
      <w:r w:rsidRPr="00CE73B5">
        <w:t xml:space="preserve"> </w:t>
      </w:r>
      <w:r>
        <w:t xml:space="preserve">In addition, </w:t>
      </w:r>
      <w:r w:rsidRPr="00CE73B5">
        <w:t xml:space="preserve">SSI recipients can use incentives such as the earned income exclusion, </w:t>
      </w:r>
      <w:r>
        <w:t>impairment-related work expense (IRWE),</w:t>
      </w:r>
      <w:r w:rsidRPr="00CE73B5">
        <w:t xml:space="preserve"> plan</w:t>
      </w:r>
      <w:r>
        <w:t>s</w:t>
      </w:r>
      <w:r w:rsidRPr="00CE73B5">
        <w:t xml:space="preserve"> </w:t>
      </w:r>
      <w:r>
        <w:t>for</w:t>
      </w:r>
      <w:r w:rsidRPr="00CE73B5">
        <w:t xml:space="preserve"> achieving self-support</w:t>
      </w:r>
      <w:r>
        <w:t xml:space="preserve"> (PASS)</w:t>
      </w:r>
      <w:r w:rsidRPr="00CE73B5">
        <w:t>, and continued Medicaid eligibility</w:t>
      </w:r>
      <w:r>
        <w:t xml:space="preserve"> (1619b) (see Appendix B for more information.)</w:t>
      </w:r>
      <w:r w:rsidRPr="00CE73B5">
        <w:t xml:space="preserve">. </w:t>
      </w:r>
      <w:r>
        <w:t xml:space="preserve">Through </w:t>
      </w:r>
      <w:r w:rsidRPr="00CE73B5">
        <w:t xml:space="preserve">the Ticket to Work Program, the </w:t>
      </w:r>
      <w:r>
        <w:t>SSA funds w</w:t>
      </w:r>
      <w:r w:rsidRPr="00CE73B5">
        <w:t xml:space="preserve">ork </w:t>
      </w:r>
      <w:r>
        <w:t>i</w:t>
      </w:r>
      <w:r w:rsidRPr="00CE73B5">
        <w:t xml:space="preserve">ncentives </w:t>
      </w:r>
      <w:r>
        <w:t>p</w:t>
      </w:r>
      <w:r w:rsidRPr="00CE73B5">
        <w:t xml:space="preserve">lanning and </w:t>
      </w:r>
      <w:r>
        <w:t>a</w:t>
      </w:r>
      <w:r w:rsidRPr="00CE73B5">
        <w:t>ssistance projects in each state</w:t>
      </w:r>
      <w:r>
        <w:t>.</w:t>
      </w:r>
      <w:r w:rsidRPr="00CE73B5">
        <w:t xml:space="preserve"> Community </w:t>
      </w:r>
      <w:r>
        <w:t>w</w:t>
      </w:r>
      <w:r w:rsidRPr="00CE73B5">
        <w:t xml:space="preserve">ork </w:t>
      </w:r>
      <w:r>
        <w:t>i</w:t>
      </w:r>
      <w:r w:rsidRPr="00CE73B5">
        <w:t xml:space="preserve">ncentive </w:t>
      </w:r>
      <w:r>
        <w:t>c</w:t>
      </w:r>
      <w:r w:rsidRPr="00CE73B5">
        <w:t xml:space="preserve">oordinators provide in-depth counseling about benefits and the effect of work on those benefits </w:t>
      </w:r>
      <w:r>
        <w:t xml:space="preserve">to people with disabilities </w:t>
      </w:r>
      <w:r w:rsidRPr="00CE73B5">
        <w:t xml:space="preserve">using the work incentives. The </w:t>
      </w:r>
      <w:r>
        <w:t xml:space="preserve">SSA’s </w:t>
      </w:r>
      <w:r w:rsidRPr="00CE73B5">
        <w:t xml:space="preserve">Protection and Advocacy for Beneficiaries of Social Security programs in each state build on these services by providing additional help </w:t>
      </w:r>
      <w:r>
        <w:t xml:space="preserve">with </w:t>
      </w:r>
      <w:r w:rsidRPr="00CE73B5">
        <w:t>accessing supports t</w:t>
      </w:r>
      <w:r>
        <w:t>hat will facilitate work.</w:t>
      </w:r>
      <w:r w:rsidRPr="00CE73B5">
        <w:t xml:space="preserve"> Despite these supports, the rules for these incentives are complicated and many beneficiaries </w:t>
      </w:r>
      <w:r>
        <w:t xml:space="preserve">have reported </w:t>
      </w:r>
      <w:r w:rsidRPr="00CE73B5">
        <w:t>difficulty accessing high</w:t>
      </w:r>
      <w:r>
        <w:t>-</w:t>
      </w:r>
      <w:r w:rsidRPr="00CE73B5">
        <w:t>quality information</w:t>
      </w:r>
      <w:r>
        <w:t xml:space="preserve"> about these projects</w:t>
      </w:r>
      <w:r w:rsidRPr="00CE73B5">
        <w:t>.</w:t>
      </w:r>
      <w:r>
        <w:t xml:space="preserve"> Among the 328,000 SSI recipients who work, only 821 have PASS plans that enable them to set aside money for items or services needed to achieve a specific employment goal without that money counting against their asset limit. Only 3,188 use the IRWE, which allows them to </w:t>
      </w:r>
      <w:r w:rsidRPr="00B16BAA">
        <w:t>deduct the out</w:t>
      </w:r>
      <w:r>
        <w:t>-</w:t>
      </w:r>
      <w:r w:rsidRPr="00B16BAA">
        <w:t>of</w:t>
      </w:r>
      <w:r>
        <w:t>-</w:t>
      </w:r>
      <w:r w:rsidRPr="00B16BAA">
        <w:t xml:space="preserve">pocket costs of </w:t>
      </w:r>
      <w:r>
        <w:t>certain</w:t>
      </w:r>
      <w:r w:rsidRPr="00B16BAA">
        <w:t xml:space="preserve"> expenses from the amount of earnings </w:t>
      </w:r>
      <w:r>
        <w:t>SSA</w:t>
      </w:r>
      <w:r w:rsidRPr="00B16BAA">
        <w:t xml:space="preserve"> </w:t>
      </w:r>
      <w:r>
        <w:t>uses to calculate the</w:t>
      </w:r>
      <w:r w:rsidRPr="00B16BAA">
        <w:t xml:space="preserve"> SSI benefit.</w:t>
      </w:r>
      <w:r>
        <w:rPr>
          <w:rStyle w:val="EndnoteReference"/>
        </w:rPr>
        <w:endnoteReference w:id="108"/>
      </w:r>
      <w:r>
        <w:t xml:space="preserve"> </w:t>
      </w:r>
    </w:p>
    <w:p w:rsidR="008C6F97" w:rsidRDefault="008C6F97" w:rsidP="00445A92">
      <w:pPr>
        <w:pStyle w:val="NCDBodyText"/>
      </w:pPr>
      <w:proofErr w:type="gramStart"/>
      <w:r>
        <w:t>Overall, i</w:t>
      </w:r>
      <w:r w:rsidRPr="006D6918">
        <w:t xml:space="preserve">ndividuals whose ability to work may be limited or fluctuate over time </w:t>
      </w:r>
      <w:r>
        <w:t>face a complicated system where they must</w:t>
      </w:r>
      <w:r w:rsidRPr="006D6918">
        <w:t xml:space="preserve"> calculate whether their long</w:t>
      </w:r>
      <w:r>
        <w:t>-</w:t>
      </w:r>
      <w:r w:rsidRPr="006D6918">
        <w:t>term earnings can cover their loss of benefits.</w:t>
      </w:r>
      <w:proofErr w:type="gramEnd"/>
      <w:r w:rsidRPr="006D6918">
        <w:t xml:space="preserve"> Some beneficiaries are put in </w:t>
      </w:r>
      <w:r>
        <w:t>a difficult</w:t>
      </w:r>
      <w:r w:rsidRPr="006D6918">
        <w:t xml:space="preserve"> position </w:t>
      </w:r>
      <w:r>
        <w:t xml:space="preserve">where, if </w:t>
      </w:r>
      <w:r w:rsidRPr="006D6918">
        <w:lastRenderedPageBreak/>
        <w:t xml:space="preserve">they work and earn too much, they may lose </w:t>
      </w:r>
      <w:r>
        <w:t xml:space="preserve">the </w:t>
      </w:r>
      <w:r w:rsidRPr="006D6918">
        <w:t>long</w:t>
      </w:r>
      <w:r>
        <w:t>-</w:t>
      </w:r>
      <w:r w:rsidRPr="006D6918">
        <w:t xml:space="preserve">term care supports they need to work. </w:t>
      </w:r>
      <w:r>
        <w:t xml:space="preserve">Others face the stark option of full dependency on needed benefits without the option of financial independence. </w:t>
      </w:r>
      <w:r w:rsidRPr="0084122A">
        <w:rPr>
          <w:b/>
        </w:rPr>
        <w:t>NCD recommends</w:t>
      </w:r>
      <w:r>
        <w:rPr>
          <w:b/>
        </w:rPr>
        <w:t xml:space="preserve"> the President establish</w:t>
      </w:r>
      <w:r w:rsidRPr="0084122A">
        <w:rPr>
          <w:b/>
        </w:rPr>
        <w:t xml:space="preserve"> collaboration by federal agencies in forming an interagency work group to propose rule changes in federal benefit programs and reduce work disincentives linked to federal program conflicts</w:t>
      </w:r>
      <w:r w:rsidRPr="005D1DE1">
        <w:rPr>
          <w:b/>
        </w:rPr>
        <w:t>.</w:t>
      </w:r>
      <w:r w:rsidRPr="0084122A">
        <w:rPr>
          <w:b/>
        </w:rPr>
        <w:t xml:space="preserve"> </w:t>
      </w:r>
      <w:r>
        <w:t>This effort should begin with SSA, Centers for Medicare and Medicaid Services, and Department of Labor programs.</w:t>
      </w:r>
    </w:p>
    <w:p w:rsidR="008C6F97" w:rsidRDefault="008C6F97" w:rsidP="00445A92">
      <w:pPr>
        <w:pStyle w:val="NCDBodyText"/>
      </w:pPr>
      <w:r>
        <w:t xml:space="preserve">Housing is another significant cost factor for people with disabilities that </w:t>
      </w:r>
      <w:proofErr w:type="gramStart"/>
      <w:r>
        <w:t>requires</w:t>
      </w:r>
      <w:proofErr w:type="gramEnd"/>
      <w:r>
        <w:t xml:space="preserve"> thoughtful public policy. HUD takes a more flexible approach than other agencies when it comes to income requirements for people with disabilities to maintain eligibility for program support, such as </w:t>
      </w:r>
      <w:r w:rsidRPr="006B624E">
        <w:t>HUD</w:t>
      </w:r>
      <w:r>
        <w:t xml:space="preserve"> h</w:t>
      </w:r>
      <w:r w:rsidRPr="006B624E">
        <w:t>ousing</w:t>
      </w:r>
      <w:r>
        <w:t xml:space="preserve"> or r</w:t>
      </w:r>
      <w:r w:rsidRPr="006B624E">
        <w:t xml:space="preserve">ental </w:t>
      </w:r>
      <w:r>
        <w:t>a</w:t>
      </w:r>
      <w:r w:rsidRPr="006B624E">
        <w:t>ssistance programs</w:t>
      </w:r>
      <w:r>
        <w:t>.</w:t>
      </w:r>
      <w:r w:rsidRPr="006B624E">
        <w:t xml:space="preserve"> In general</w:t>
      </w:r>
      <w:r>
        <w:t>, a person’s</w:t>
      </w:r>
      <w:r w:rsidRPr="006B624E">
        <w:t xml:space="preserve"> household income must be at 50</w:t>
      </w:r>
      <w:r>
        <w:t xml:space="preserve"> percent</w:t>
      </w:r>
      <w:r w:rsidRPr="006B624E">
        <w:t xml:space="preserve"> or below </w:t>
      </w:r>
      <w:r>
        <w:t xml:space="preserve">of </w:t>
      </w:r>
      <w:r w:rsidRPr="006B624E">
        <w:t xml:space="preserve">the </w:t>
      </w:r>
      <w:r>
        <w:t>a</w:t>
      </w:r>
      <w:r w:rsidRPr="006B624E">
        <w:t xml:space="preserve">rea </w:t>
      </w:r>
      <w:r>
        <w:t>m</w:t>
      </w:r>
      <w:r w:rsidRPr="006B624E">
        <w:t xml:space="preserve">edian </w:t>
      </w:r>
      <w:r>
        <w:t>i</w:t>
      </w:r>
      <w:r w:rsidRPr="006B624E">
        <w:t xml:space="preserve">ncome. </w:t>
      </w:r>
      <w:r>
        <w:t>People with</w:t>
      </w:r>
      <w:r w:rsidRPr="006B624E">
        <w:t xml:space="preserve"> disabilities who rely on SSI or SSDI income</w:t>
      </w:r>
      <w:r>
        <w:t xml:space="preserve"> may </w:t>
      </w:r>
      <w:r w:rsidRPr="006B624E">
        <w:t>also be eligible for housing assistance under the Section 811 Supp</w:t>
      </w:r>
      <w:r>
        <w:t>ortive Housing Program. These options reduce the barriers to adequate low-cost housing. Also, h</w:t>
      </w:r>
      <w:r w:rsidRPr="006B624E">
        <w:t>ousehold income and asset limits for HUD housing assistance programs are more generous than those for SSI and other assistance programs</w:t>
      </w:r>
      <w:r>
        <w:t>. F</w:t>
      </w:r>
      <w:r w:rsidRPr="006B624E">
        <w:t xml:space="preserve">or people with disabilities who </w:t>
      </w:r>
      <w:proofErr w:type="gramStart"/>
      <w:r w:rsidRPr="006B624E">
        <w:t>have</w:t>
      </w:r>
      <w:proofErr w:type="gramEnd"/>
      <w:r w:rsidRPr="006B624E">
        <w:t xml:space="preserve"> either not been previously employed or who have been out of the workforce for at least a year</w:t>
      </w:r>
      <w:r>
        <w:t>,</w:t>
      </w:r>
      <w:r w:rsidRPr="006B624E">
        <w:t xml:space="preserve"> there are HUD programs designed specifically to help incentivize work and the move to</w:t>
      </w:r>
      <w:r>
        <w:t>ward economic self-sufficiency.</w:t>
      </w:r>
      <w:r w:rsidRPr="006B624E">
        <w:t xml:space="preserve"> </w:t>
      </w:r>
      <w:r>
        <w:t xml:space="preserve">These </w:t>
      </w:r>
      <w:r w:rsidRPr="006B624E">
        <w:t xml:space="preserve">federal rental assistance programs </w:t>
      </w:r>
      <w:r>
        <w:t>build in</w:t>
      </w:r>
      <w:r w:rsidRPr="006B624E">
        <w:t xml:space="preserve"> room for the household income to increase within certain parameters</w:t>
      </w:r>
      <w:r>
        <w:t xml:space="preserve">. </w:t>
      </w:r>
    </w:p>
    <w:p w:rsidR="008C6F97" w:rsidRDefault="008C6F97" w:rsidP="00445A92">
      <w:pPr>
        <w:pStyle w:val="NCDBodyText"/>
      </w:pPr>
      <w:r>
        <w:t>In addition, HUD does not place limits on assets for people who receive support from housing or rental assistance programs. Households can have bank accounts, and only the interest from a savings, checking, or other account counts toward income.</w:t>
      </w:r>
      <w:r w:rsidRPr="00FA57B0">
        <w:t xml:space="preserve"> </w:t>
      </w:r>
      <w:r>
        <w:t xml:space="preserve">HUD also has a disability assistance allowance for additional costs that exceeds 3 percent of the household income. These costs can include paying for personal care attendant services, a wheelchair, and assistive technology. For an expense to be allowable, it must help people with disabilities work or free another member of the household to work. Anticipated medical expenses in combination with any disability assistance allowance exceeding 3 percent of the household income can also be considered </w:t>
      </w:r>
      <w:r>
        <w:lastRenderedPageBreak/>
        <w:t>allowable.</w:t>
      </w:r>
      <w:r>
        <w:rPr>
          <w:rStyle w:val="EndnoteReference"/>
        </w:rPr>
        <w:endnoteReference w:id="109"/>
      </w:r>
      <w:r>
        <w:t xml:space="preserve"> The differences in both income and asset limits across programs from federal agencies such as HUD and SSA create a complex system that people with disabilities must navigate to obtain these much needed services. </w:t>
      </w:r>
    </w:p>
    <w:p w:rsidR="008C6F97" w:rsidRDefault="008C6F97" w:rsidP="00DA0814">
      <w:pPr>
        <w:pStyle w:val="Heading2"/>
      </w:pPr>
      <w:bookmarkStart w:id="86" w:name="_Toc483910929"/>
      <w:bookmarkStart w:id="87" w:name="_Toc484357124"/>
      <w:bookmarkStart w:id="88" w:name="_Toc493507482"/>
      <w:bookmarkStart w:id="89" w:name="_Toc493596685"/>
      <w:r>
        <w:t>Barriers Related to Transportation in Rural Areas</w:t>
      </w:r>
      <w:bookmarkEnd w:id="86"/>
      <w:bookmarkEnd w:id="87"/>
      <w:bookmarkEnd w:id="88"/>
      <w:bookmarkEnd w:id="89"/>
    </w:p>
    <w:p w:rsidR="008C6F97" w:rsidRDefault="008C6F97" w:rsidP="00445A92">
      <w:pPr>
        <w:pStyle w:val="NCDBodyText"/>
      </w:pPr>
      <w:r>
        <w:t>Lack of transportation options for people with disabilities in rural areas creates serious, ongoing barriers to employment, accessible health care, and full participation in society for this population. According to the 2010 Census, 19 percent of the U.S. population lives in rural areas,</w:t>
      </w:r>
      <w:r>
        <w:rPr>
          <w:rStyle w:val="EndnoteReference"/>
        </w:rPr>
        <w:endnoteReference w:id="110"/>
      </w:r>
      <w:r>
        <w:t xml:space="preserve"> but only 6 percent of federal transit funds are allocated to serve rural communities</w:t>
      </w:r>
      <w:r w:rsidRPr="00CE4D79">
        <w:t>.</w:t>
      </w:r>
      <w:r w:rsidRPr="00CE4D79">
        <w:rPr>
          <w:rStyle w:val="EndnoteReference"/>
        </w:rPr>
        <w:endnoteReference w:id="111"/>
      </w:r>
      <w:r w:rsidRPr="00F215AC">
        <w:t xml:space="preserve"> </w:t>
      </w:r>
      <w:r>
        <w:t xml:space="preserve">This means that there is minimal or nonexistent transportation services in many rural areas. </w:t>
      </w:r>
      <w:r w:rsidRPr="0084122A">
        <w:rPr>
          <w:b/>
        </w:rPr>
        <w:t>NCD recommends that Congress place greater emphasis on federally funded grant programs for rural areas to address publicly and privately funded accessible transportation options for people with disabilities</w:t>
      </w:r>
      <w:r w:rsidRPr="00796F53">
        <w:rPr>
          <w:b/>
        </w:rPr>
        <w:t>.</w:t>
      </w:r>
    </w:p>
    <w:tbl>
      <w:tblPr>
        <w:tblStyle w:val="TableGrid"/>
        <w:tblW w:w="0" w:type="auto"/>
        <w:shd w:val="clear" w:color="auto" w:fill="C6D9F1"/>
        <w:tblLook w:val="04A0" w:firstRow="1" w:lastRow="0" w:firstColumn="1" w:lastColumn="0" w:noHBand="0" w:noVBand="1"/>
        <w:tblDescription w:val="Pull Quote"/>
      </w:tblPr>
      <w:tblGrid>
        <w:gridCol w:w="9576"/>
      </w:tblGrid>
      <w:tr w:rsidR="008C6F97" w:rsidTr="00BF32FE">
        <w:trPr>
          <w:tblHeader/>
        </w:trPr>
        <w:tc>
          <w:tcPr>
            <w:tcW w:w="9576" w:type="dxa"/>
            <w:shd w:val="clear" w:color="auto" w:fill="C6D9F1"/>
            <w:tcMar>
              <w:top w:w="130" w:type="dxa"/>
              <w:left w:w="144" w:type="dxa"/>
              <w:bottom w:w="29" w:type="dxa"/>
              <w:right w:w="144" w:type="dxa"/>
            </w:tcMar>
          </w:tcPr>
          <w:p w:rsidR="008C6F97" w:rsidRPr="00B27A93" w:rsidRDefault="008C6F97" w:rsidP="00DA0814">
            <w:pPr>
              <w:pStyle w:val="NCDTextBoxText"/>
            </w:pPr>
            <w:r>
              <w:t>“</w:t>
            </w:r>
            <w:r w:rsidRPr="00B27A93">
              <w:t xml:space="preserve">If you have a </w:t>
            </w:r>
            <w:proofErr w:type="spellStart"/>
            <w:r w:rsidRPr="00B27A93">
              <w:t>paratransit</w:t>
            </w:r>
            <w:proofErr w:type="spellEnd"/>
            <w:r w:rsidRPr="00B27A93">
              <w:t xml:space="preserve"> system that operates in just one county within your state, that is going to narrow the opportunities for somebody with a disability to go look for a job. You don’t have any kind of connection between the counties and </w:t>
            </w:r>
            <w:proofErr w:type="spellStart"/>
            <w:r w:rsidRPr="00B27A93">
              <w:t>paratransit</w:t>
            </w:r>
            <w:proofErr w:type="spellEnd"/>
            <w:r w:rsidRPr="00B27A93">
              <w:t xml:space="preserve"> systems, because each county might have their own </w:t>
            </w:r>
            <w:proofErr w:type="spellStart"/>
            <w:r w:rsidRPr="00B27A93">
              <w:t>paratransit</w:t>
            </w:r>
            <w:proofErr w:type="spellEnd"/>
            <w:r w:rsidRPr="00B27A93">
              <w:t xml:space="preserve"> system, but they might not be linked together. If I have to go to a job 30 minutes from my house I ca</w:t>
            </w:r>
            <w:r>
              <w:t>n't do it because I can't drive</w:t>
            </w:r>
            <w:r w:rsidRPr="00B27A93">
              <w:t>.</w:t>
            </w:r>
            <w:r>
              <w:t>”</w:t>
            </w:r>
            <w:r w:rsidRPr="00B27A93">
              <w:t xml:space="preserve"> </w:t>
            </w:r>
          </w:p>
          <w:p w:rsidR="008C6F97" w:rsidRPr="00DA0814" w:rsidRDefault="008C6F97" w:rsidP="00DA0814">
            <w:pPr>
              <w:pStyle w:val="NCDTextBoxText"/>
              <w:jc w:val="right"/>
              <w:rPr>
                <w:i/>
              </w:rPr>
            </w:pPr>
            <w:r w:rsidRPr="00DA0814">
              <w:rPr>
                <w:i/>
              </w:rPr>
              <w:t>—Focus Group Participant</w:t>
            </w:r>
          </w:p>
        </w:tc>
      </w:tr>
    </w:tbl>
    <w:p w:rsidR="008C6F97" w:rsidRDefault="008C6F97" w:rsidP="00445A92">
      <w:pPr>
        <w:pStyle w:val="NCDBodyTextSpaceBefore"/>
        <w:spacing w:before="360"/>
      </w:pPr>
      <w:r>
        <w:t xml:space="preserve">Providing transportation to people with disabilities in rural areas is often complicated by small populations and long distances between communities, which make it difficult for rural areas to provide services such as fixed-route or ADA </w:t>
      </w:r>
      <w:proofErr w:type="spellStart"/>
      <w:r>
        <w:t>paratransit</w:t>
      </w:r>
      <w:proofErr w:type="spellEnd"/>
      <w:r>
        <w:t xml:space="preserve"> services. Additionally, a lack of coordination between services in rural areas is a significant problem for people with disabilities living in these areas. For example, transportation that stops at a county line is an artificial barrier that limits employment opportunities for people with disabilities. </w:t>
      </w:r>
      <w:r w:rsidRPr="0084122A">
        <w:rPr>
          <w:b/>
        </w:rPr>
        <w:t>NCD recommends that states and counties increase coordination between jurisdictions in rural areas and regional transit planning authorities to overcome these barriers</w:t>
      </w:r>
      <w:r w:rsidRPr="005B75AD">
        <w:rPr>
          <w:b/>
        </w:rPr>
        <w:t>.</w:t>
      </w:r>
    </w:p>
    <w:p w:rsidR="008C6F97" w:rsidRDefault="008C6F97" w:rsidP="00DA0814">
      <w:pPr>
        <w:pStyle w:val="Heading2"/>
      </w:pPr>
      <w:bookmarkStart w:id="90" w:name="_Toc493507483"/>
      <w:bookmarkStart w:id="91" w:name="_Toc493596686"/>
      <w:r>
        <w:lastRenderedPageBreak/>
        <w:t>Barriers Related to A</w:t>
      </w:r>
      <w:r w:rsidRPr="002E64B5">
        <w:t>ttitud</w:t>
      </w:r>
      <w:r>
        <w:t>es and Stereotypes</w:t>
      </w:r>
      <w:bookmarkEnd w:id="90"/>
      <w:bookmarkEnd w:id="91"/>
    </w:p>
    <w:p w:rsidR="008C6F97" w:rsidRDefault="008C6F97" w:rsidP="00445A92">
      <w:pPr>
        <w:pStyle w:val="NCDBodyText"/>
      </w:pPr>
      <w:r>
        <w:t xml:space="preserve">The </w:t>
      </w:r>
      <w:r w:rsidRPr="00D32371">
        <w:t>ADA represented a major shift in social policy</w:t>
      </w:r>
      <w:r>
        <w:t xml:space="preserve"> by focusing </w:t>
      </w:r>
      <w:r w:rsidRPr="00D32371">
        <w:t xml:space="preserve">on </w:t>
      </w:r>
      <w:r>
        <w:t>integrating</w:t>
      </w:r>
      <w:r w:rsidRPr="00D32371">
        <w:t xml:space="preserve"> people with disabilities into the workforce and </w:t>
      </w:r>
      <w:r>
        <w:t xml:space="preserve">moving them </w:t>
      </w:r>
      <w:r w:rsidRPr="00D32371">
        <w:t>away from dependence on disability bene</w:t>
      </w:r>
      <w:r>
        <w:t xml:space="preserve">fits. </w:t>
      </w:r>
      <w:r w:rsidRPr="00D32371">
        <w:t xml:space="preserve">However, </w:t>
      </w:r>
      <w:r>
        <w:t>27</w:t>
      </w:r>
      <w:r w:rsidRPr="00D32371">
        <w:t xml:space="preserve"> years </w:t>
      </w:r>
      <w:r>
        <w:t>after its passage, people with disabilities still face many outdated attitudes and stereotypes. For example, some believe that people with disabilities cannot live independently or contribute meaningfully to the workforce or their communities.</w:t>
      </w:r>
      <w:r>
        <w:rPr>
          <w:rStyle w:val="EndnoteReference"/>
        </w:rPr>
        <w:endnoteReference w:id="112"/>
      </w:r>
      <w:r>
        <w:t xml:space="preserve"> </w:t>
      </w:r>
    </w:p>
    <w:p w:rsidR="008C6F97" w:rsidRDefault="008C6F97" w:rsidP="00445A92">
      <w:pPr>
        <w:pStyle w:val="NCDBodyText"/>
        <w:rPr>
          <w:bdr w:val="none" w:sz="0" w:space="0" w:color="auto"/>
        </w:rPr>
      </w:pPr>
      <w:r>
        <w:t xml:space="preserve">Starting in childhood, </w:t>
      </w:r>
      <w:r>
        <w:rPr>
          <w:bdr w:val="none" w:sz="0" w:space="0" w:color="auto"/>
        </w:rPr>
        <w:t>f</w:t>
      </w:r>
      <w:r w:rsidRPr="00F24036">
        <w:rPr>
          <w:bdr w:val="none" w:sz="0" w:space="0" w:color="auto"/>
        </w:rPr>
        <w:t>amily</w:t>
      </w:r>
      <w:r>
        <w:rPr>
          <w:bdr w:val="none" w:sz="0" w:space="0" w:color="auto"/>
        </w:rPr>
        <w:t xml:space="preserve"> and teacher</w:t>
      </w:r>
      <w:r w:rsidRPr="00F24036">
        <w:rPr>
          <w:bdr w:val="none" w:sz="0" w:space="0" w:color="auto"/>
        </w:rPr>
        <w:t xml:space="preserve"> expectations play an important role in the academic achievement of all children, regardless of abilit</w:t>
      </w:r>
      <w:r>
        <w:rPr>
          <w:bdr w:val="none" w:sz="0" w:space="0" w:color="auto"/>
        </w:rPr>
        <w:t>ies</w:t>
      </w:r>
      <w:r w:rsidRPr="00F24036">
        <w:rPr>
          <w:bdr w:val="none" w:sz="0" w:space="0" w:color="auto"/>
        </w:rPr>
        <w:t xml:space="preserve"> or disabilities</w:t>
      </w:r>
      <w:r>
        <w:rPr>
          <w:bdr w:val="none" w:sz="0" w:space="0" w:color="auto"/>
        </w:rPr>
        <w:t>.</w:t>
      </w:r>
      <w:r>
        <w:rPr>
          <w:rStyle w:val="EndnoteReference"/>
          <w:bdr w:val="none" w:sz="0" w:space="0" w:color="auto"/>
        </w:rPr>
        <w:endnoteReference w:id="113"/>
      </w:r>
      <w:r w:rsidRPr="008859A5">
        <w:rPr>
          <w:bdr w:val="none" w:sz="0" w:space="0" w:color="auto"/>
        </w:rPr>
        <w:t xml:space="preserve"> </w:t>
      </w:r>
      <w:r>
        <w:rPr>
          <w:bdr w:val="none" w:sz="0" w:space="0" w:color="auto"/>
        </w:rPr>
        <w:t>O</w:t>
      </w:r>
      <w:r w:rsidRPr="00F24036">
        <w:rPr>
          <w:bdr w:val="none" w:sz="0" w:space="0" w:color="auto"/>
        </w:rPr>
        <w:t xml:space="preserve">ne of the best ways </w:t>
      </w:r>
      <w:r>
        <w:rPr>
          <w:bdr w:val="none" w:sz="0" w:space="0" w:color="auto"/>
        </w:rPr>
        <w:t xml:space="preserve">that educators and </w:t>
      </w:r>
      <w:r w:rsidRPr="00F24036">
        <w:rPr>
          <w:bdr w:val="none" w:sz="0" w:space="0" w:color="auto"/>
        </w:rPr>
        <w:t>families can help children with disabilities succeed is to set high standards</w:t>
      </w:r>
      <w:r>
        <w:rPr>
          <w:bdr w:val="none" w:sz="0" w:space="0" w:color="auto"/>
        </w:rPr>
        <w:t>.</w:t>
      </w:r>
      <w:r>
        <w:rPr>
          <w:rStyle w:val="EndnoteReference"/>
          <w:bdr w:val="none" w:sz="0" w:space="0" w:color="auto"/>
        </w:rPr>
        <w:endnoteReference w:id="114"/>
      </w:r>
      <w:r w:rsidRPr="00F24036">
        <w:rPr>
          <w:bdr w:val="none" w:sz="0" w:space="0" w:color="auto"/>
        </w:rPr>
        <w:t xml:space="preserve"> The success of students with disabilities can be negatively impacted if the</w:t>
      </w:r>
      <w:r>
        <w:rPr>
          <w:bdr w:val="none" w:sz="0" w:space="0" w:color="auto"/>
        </w:rPr>
        <w:t>ir</w:t>
      </w:r>
      <w:r w:rsidRPr="00F24036">
        <w:rPr>
          <w:bdr w:val="none" w:sz="0" w:space="0" w:color="auto"/>
        </w:rPr>
        <w:t xml:space="preserve"> teachers </w:t>
      </w:r>
      <w:r>
        <w:rPr>
          <w:bdr w:val="none" w:sz="0" w:space="0" w:color="auto"/>
        </w:rPr>
        <w:t xml:space="preserve">do not </w:t>
      </w:r>
      <w:r w:rsidRPr="00F24036">
        <w:rPr>
          <w:bdr w:val="none" w:sz="0" w:space="0" w:color="auto"/>
        </w:rPr>
        <w:t>feel that they should play a central role in their education.</w:t>
      </w:r>
      <w:r>
        <w:rPr>
          <w:bdr w:val="none" w:sz="0" w:space="0" w:color="auto"/>
        </w:rPr>
        <w:t xml:space="preserve"> Research shows that t</w:t>
      </w:r>
      <w:r w:rsidRPr="00F24036">
        <w:rPr>
          <w:bdr w:val="none" w:sz="0" w:space="0" w:color="auto"/>
        </w:rPr>
        <w:t xml:space="preserve">eachers who see themselves </w:t>
      </w:r>
      <w:r>
        <w:rPr>
          <w:bdr w:val="none" w:sz="0" w:space="0" w:color="auto"/>
        </w:rPr>
        <w:t xml:space="preserve">as </w:t>
      </w:r>
      <w:r w:rsidRPr="00F24036">
        <w:rPr>
          <w:bdr w:val="none" w:sz="0" w:space="0" w:color="auto"/>
        </w:rPr>
        <w:t xml:space="preserve">responsible for the success of all students regardless of </w:t>
      </w:r>
      <w:r>
        <w:rPr>
          <w:bdr w:val="none" w:sz="0" w:space="0" w:color="auto"/>
        </w:rPr>
        <w:t xml:space="preserve">ability </w:t>
      </w:r>
      <w:r w:rsidRPr="00F24036">
        <w:rPr>
          <w:bdr w:val="none" w:sz="0" w:space="0" w:color="auto"/>
        </w:rPr>
        <w:t xml:space="preserve">engaged in more prolonged interactions with students with special educational needs than teachers who </w:t>
      </w:r>
      <w:r>
        <w:rPr>
          <w:bdr w:val="none" w:sz="0" w:space="0" w:color="auto"/>
        </w:rPr>
        <w:t>regard</w:t>
      </w:r>
      <w:r w:rsidRPr="00F24036">
        <w:rPr>
          <w:bdr w:val="none" w:sz="0" w:space="0" w:color="auto"/>
        </w:rPr>
        <w:t xml:space="preserve"> support staff</w:t>
      </w:r>
      <w:r>
        <w:rPr>
          <w:bdr w:val="none" w:sz="0" w:space="0" w:color="auto"/>
        </w:rPr>
        <w:t xml:space="preserve"> (i.e., teacher aides)</w:t>
      </w:r>
      <w:r w:rsidRPr="00F24036">
        <w:rPr>
          <w:bdr w:val="none" w:sz="0" w:space="0" w:color="auto"/>
        </w:rPr>
        <w:t xml:space="preserve"> as </w:t>
      </w:r>
      <w:r>
        <w:rPr>
          <w:bdr w:val="none" w:sz="0" w:space="0" w:color="auto"/>
        </w:rPr>
        <w:t xml:space="preserve">having </w:t>
      </w:r>
      <w:r w:rsidRPr="00F24036">
        <w:rPr>
          <w:bdr w:val="none" w:sz="0" w:space="0" w:color="auto"/>
        </w:rPr>
        <w:t xml:space="preserve">primarily </w:t>
      </w:r>
      <w:r>
        <w:rPr>
          <w:bdr w:val="none" w:sz="0" w:space="0" w:color="auto"/>
        </w:rPr>
        <w:t>responsibility for students with disabilities.</w:t>
      </w:r>
      <w:r>
        <w:rPr>
          <w:rStyle w:val="EndnoteReference"/>
          <w:bdr w:val="none" w:sz="0" w:space="0" w:color="auto"/>
        </w:rPr>
        <w:endnoteReference w:id="115"/>
      </w:r>
      <w:r>
        <w:rPr>
          <w:bdr w:val="none" w:sz="0" w:space="0" w:color="auto"/>
        </w:rPr>
        <w:t xml:space="preserve"> Families of Hispanic students with disabilities are less likely than those of peers to have home-based education-related activities. African American students with disabilities have families that are more likely to be involved at home than white students with disabilities, but they are less likely to attend IEP meetings and be involved at school.</w:t>
      </w:r>
      <w:r>
        <w:rPr>
          <w:rStyle w:val="EndnoteReference"/>
          <w:bdr w:val="none" w:sz="0" w:space="0" w:color="auto"/>
        </w:rPr>
        <w:endnoteReference w:id="116"/>
      </w:r>
    </w:p>
    <w:p w:rsidR="008C6F97" w:rsidRDefault="008C6F97" w:rsidP="00445A92">
      <w:pPr>
        <w:pStyle w:val="NCDBodyText"/>
      </w:pPr>
      <w:r>
        <w:t xml:space="preserve">At the university level, </w:t>
      </w:r>
      <w:proofErr w:type="gramStart"/>
      <w:r>
        <w:t>f</w:t>
      </w:r>
      <w:r w:rsidRPr="007F0A51">
        <w:t>aculty sometimes do</w:t>
      </w:r>
      <w:proofErr w:type="gramEnd"/>
      <w:r w:rsidRPr="007F0A51">
        <w:t xml:space="preserve"> not have </w:t>
      </w:r>
      <w:r>
        <w:t xml:space="preserve">an </w:t>
      </w:r>
      <w:r w:rsidRPr="007F0A51">
        <w:t xml:space="preserve">adequate understanding of </w:t>
      </w:r>
      <w:r>
        <w:t>the specific needs of students with disabilities. F</w:t>
      </w:r>
      <w:r w:rsidRPr="007F0A51">
        <w:t xml:space="preserve">aculty </w:t>
      </w:r>
      <w:r>
        <w:t xml:space="preserve">may </w:t>
      </w:r>
      <w:r w:rsidRPr="007F0A51">
        <w:t>question the nature of reasonable accommodations and whether students</w:t>
      </w:r>
      <w:r>
        <w:t xml:space="preserve"> with disabilities</w:t>
      </w:r>
      <w:r w:rsidRPr="007F0A51">
        <w:t xml:space="preserve"> need accommodation</w:t>
      </w:r>
      <w:r>
        <w:t>s</w:t>
      </w:r>
      <w:r w:rsidRPr="007F0A51">
        <w:t xml:space="preserve"> at all and doubt their </w:t>
      </w:r>
      <w:r>
        <w:t xml:space="preserve">own </w:t>
      </w:r>
      <w:r w:rsidRPr="007F0A51">
        <w:t xml:space="preserve">ability to </w:t>
      </w:r>
      <w:r>
        <w:t xml:space="preserve">effectively </w:t>
      </w:r>
      <w:r w:rsidRPr="007F0A51">
        <w:t xml:space="preserve">teach students </w:t>
      </w:r>
      <w:r>
        <w:t>with disabilities.</w:t>
      </w:r>
      <w:r>
        <w:rPr>
          <w:rStyle w:val="EndnoteReference"/>
        </w:rPr>
        <w:endnoteReference w:id="117"/>
      </w:r>
      <w:r w:rsidRPr="007F0A51">
        <w:t xml:space="preserve"> </w:t>
      </w:r>
      <w:r>
        <w:t>In addition, some universities</w:t>
      </w:r>
      <w:r w:rsidRPr="007F0A51">
        <w:t xml:space="preserve"> </w:t>
      </w:r>
      <w:r>
        <w:t>do not provide adequate</w:t>
      </w:r>
      <w:r w:rsidRPr="007F0A51">
        <w:t xml:space="preserve"> accommodation</w:t>
      </w:r>
      <w:r>
        <w:t>s</w:t>
      </w:r>
      <w:r w:rsidRPr="007F0A51">
        <w:t xml:space="preserve"> and assistive devices</w:t>
      </w:r>
      <w:r>
        <w:t>.</w:t>
      </w:r>
      <w:r>
        <w:rPr>
          <w:rStyle w:val="EndnoteReference"/>
        </w:rPr>
        <w:endnoteReference w:id="118"/>
      </w:r>
      <w:r w:rsidRPr="007F0A51">
        <w:t xml:space="preserve"> </w:t>
      </w:r>
      <w:r>
        <w:t>Poor a</w:t>
      </w:r>
      <w:r w:rsidRPr="007F0A51">
        <w:t>ttitudes</w:t>
      </w:r>
      <w:r>
        <w:t xml:space="preserve">, lack of </w:t>
      </w:r>
      <w:r w:rsidRPr="007F0A51">
        <w:t>understanding</w:t>
      </w:r>
      <w:r>
        <w:t xml:space="preserve">, and inadequate access to assistive technology can impede </w:t>
      </w:r>
      <w:r w:rsidRPr="007F0A51">
        <w:t>postsecondary achievement and success as well as economic self-sufficiency among students with disabilities.</w:t>
      </w:r>
    </w:p>
    <w:p w:rsidR="008C6F97" w:rsidRDefault="008C6F97" w:rsidP="00445A92">
      <w:pPr>
        <w:pStyle w:val="NCDBodyText"/>
      </w:pPr>
      <w:r w:rsidRPr="00F5180F">
        <w:lastRenderedPageBreak/>
        <w:t>Employer attitudes often limit job opportunities.</w:t>
      </w:r>
      <w:r>
        <w:t xml:space="preserve"> </w:t>
      </w:r>
      <w:r w:rsidRPr="00F5180F">
        <w:t>Despite the fact that these myths have been debunked, some employers believe that people with disabilities lack the necessary knowledge and skills</w:t>
      </w:r>
      <w:r>
        <w:t xml:space="preserve"> to work</w:t>
      </w:r>
      <w:r w:rsidRPr="00F5180F">
        <w:t>, are less productive, or can only do ligh</w:t>
      </w:r>
      <w:r>
        <w:t xml:space="preserve">t, repetitive, and simple jobs. </w:t>
      </w:r>
      <w:r w:rsidRPr="00F5180F">
        <w:t>They may also believe that accommodations are expensive or that workers</w:t>
      </w:r>
      <w:r>
        <w:t>’</w:t>
      </w:r>
      <w:r w:rsidRPr="00F5180F">
        <w:t xml:space="preserve"> compensation </w:t>
      </w:r>
      <w:r>
        <w:t xml:space="preserve">insurance </w:t>
      </w:r>
      <w:r w:rsidRPr="00F5180F">
        <w:t>and he</w:t>
      </w:r>
      <w:r>
        <w:t>alth care costs will increase</w:t>
      </w:r>
      <w:r w:rsidRPr="00CE4D79">
        <w:t>.</w:t>
      </w:r>
      <w:r w:rsidRPr="00CE4D79">
        <w:rPr>
          <w:rStyle w:val="EndnoteReference"/>
        </w:rPr>
        <w:endnoteReference w:id="119"/>
      </w:r>
      <w:r>
        <w:t xml:space="preserve"> Federal agencies can be the model for hiring and integration as a way to exemplify the capabilities of people with disabilities.</w:t>
      </w:r>
      <w:r>
        <w:rPr>
          <w:b/>
        </w:rPr>
        <w:t xml:space="preserve"> </w:t>
      </w:r>
      <w:r w:rsidRPr="0084122A">
        <w:rPr>
          <w:b/>
        </w:rPr>
        <w:t>NCD recommends that all federal agencies</w:t>
      </w:r>
      <w:r>
        <w:rPr>
          <w:b/>
        </w:rPr>
        <w:t xml:space="preserve"> increase coordination </w:t>
      </w:r>
      <w:r w:rsidRPr="0084122A">
        <w:rPr>
          <w:b/>
        </w:rPr>
        <w:t xml:space="preserve">with their </w:t>
      </w:r>
      <w:r w:rsidRPr="00B87FF6">
        <w:rPr>
          <w:b/>
        </w:rPr>
        <w:t>SPPC</w:t>
      </w:r>
      <w:r>
        <w:rPr>
          <w:b/>
        </w:rPr>
        <w:t>s</w:t>
      </w:r>
      <w:r w:rsidRPr="00B87FF6">
        <w:rPr>
          <w:b/>
        </w:rPr>
        <w:t xml:space="preserve"> to improve understanding of reasonable accommodations and their effect on productivity and retention of people with disabilities in the workplace.</w:t>
      </w:r>
      <w:r>
        <w:t xml:space="preserve"> </w:t>
      </w:r>
    </w:p>
    <w:p w:rsidR="008C6F97" w:rsidRPr="00D32371" w:rsidRDefault="008C6F97" w:rsidP="00445A92">
      <w:pPr>
        <w:pStyle w:val="NCDBodyText"/>
      </w:pPr>
      <w:r>
        <w:t>Earning a living wage can serve as a road out of poverty. C</w:t>
      </w:r>
      <w:r w:rsidRPr="00D32371">
        <w:t xml:space="preserve">urrently, an estimated 228,600 people with </w:t>
      </w:r>
      <w:r>
        <w:t xml:space="preserve">intellectual/developmental disabilities </w:t>
      </w:r>
      <w:r w:rsidRPr="00D32371">
        <w:t xml:space="preserve">and other significant disabilities </w:t>
      </w:r>
      <w:r>
        <w:t>work</w:t>
      </w:r>
      <w:r w:rsidRPr="00D32371">
        <w:t xml:space="preserve"> for subminimum wage under special certificates issued by the DOL Wage and Hour Division</w:t>
      </w:r>
      <w:r>
        <w:t>.</w:t>
      </w:r>
      <w:r>
        <w:rPr>
          <w:rStyle w:val="EndnoteReference"/>
        </w:rPr>
        <w:endnoteReference w:id="120"/>
      </w:r>
      <w:r w:rsidRPr="00D32371">
        <w:t xml:space="preserve"> </w:t>
      </w:r>
      <w:r>
        <w:t>These certificates are allowed under</w:t>
      </w:r>
      <w:r w:rsidRPr="00D32371">
        <w:t xml:space="preserve"> Section 14(c) of the Fair Labor Standard</w:t>
      </w:r>
      <w:r>
        <w:t>s</w:t>
      </w:r>
      <w:r w:rsidRPr="00D32371">
        <w:t xml:space="preserve"> Act</w:t>
      </w:r>
      <w:r>
        <w:t xml:space="preserve">, which </w:t>
      </w:r>
      <w:r w:rsidRPr="00D32371">
        <w:t xml:space="preserve">permits employers to pay wages less than the </w:t>
      </w:r>
      <w:r>
        <w:t>f</w:t>
      </w:r>
      <w:r w:rsidRPr="00D32371">
        <w:t>ederal minimum wage to workers who have disabilities that affect productive capacity</w:t>
      </w:r>
      <w:r>
        <w:t>.</w:t>
      </w:r>
      <w:r w:rsidRPr="00D32371">
        <w:t xml:space="preserve"> </w:t>
      </w:r>
      <w:r>
        <w:t xml:space="preserve">The DOL’s definition of which disabilities may affect productive capacity </w:t>
      </w:r>
      <w:r w:rsidRPr="00D32371">
        <w:t>include</w:t>
      </w:r>
      <w:r>
        <w:t>s</w:t>
      </w:r>
      <w:r w:rsidRPr="00D32371">
        <w:t xml:space="preserve"> blindness, mental illness, </w:t>
      </w:r>
      <w:r>
        <w:t>intellectual disability</w:t>
      </w:r>
      <w:r w:rsidRPr="00D32371">
        <w:t xml:space="preserve">, cerebral palsy, </w:t>
      </w:r>
      <w:r>
        <w:t>alcoholism, and drug addiction. Paying people with disabilities subminimum wage serves to perpetuate the belief that people with disabilities cannot work in the same kinds of jobs as people without disabilities.</w:t>
      </w:r>
    </w:p>
    <w:p w:rsidR="008C6F97" w:rsidRPr="00D32371" w:rsidRDefault="008C6F97" w:rsidP="00445A92">
      <w:pPr>
        <w:pStyle w:val="NCDBodyText"/>
      </w:pPr>
      <w:r w:rsidRPr="00D32371">
        <w:t>Most people currently working under Section 14(c) subminimum wage certificates are working in sheltered workshops (also called community rehabilitation programs or work centers)</w:t>
      </w:r>
      <w:r>
        <w:t xml:space="preserve">. These are </w:t>
      </w:r>
      <w:r w:rsidRPr="00D32371">
        <w:t>segregated facilities that exclusively or primarily employ people with disabilities</w:t>
      </w:r>
      <w:r>
        <w:t>.</w:t>
      </w:r>
      <w:r>
        <w:rPr>
          <w:rStyle w:val="EndnoteReference"/>
        </w:rPr>
        <w:endnoteReference w:id="121"/>
      </w:r>
      <w:r w:rsidRPr="00D32371">
        <w:t xml:space="preserve"> </w:t>
      </w:r>
      <w:r>
        <w:t xml:space="preserve">Sheltered workshops </w:t>
      </w:r>
      <w:r w:rsidRPr="00D32371">
        <w:t xml:space="preserve">typically receive public funding, including federal </w:t>
      </w:r>
      <w:r>
        <w:t xml:space="preserve">funding through </w:t>
      </w:r>
      <w:r w:rsidRPr="00D32371">
        <w:t xml:space="preserve">Medicaid and VR, to provide employment-related habilitation and rehabilitation services to </w:t>
      </w:r>
      <w:r>
        <w:t>people</w:t>
      </w:r>
      <w:r w:rsidRPr="00D32371">
        <w:t xml:space="preserve"> with disabilities</w:t>
      </w:r>
      <w:r>
        <w:t>.</w:t>
      </w:r>
      <w:r>
        <w:rPr>
          <w:rStyle w:val="EndnoteReference"/>
        </w:rPr>
        <w:endnoteReference w:id="122"/>
      </w:r>
      <w:r>
        <w:t xml:space="preserve"> </w:t>
      </w:r>
      <w:r w:rsidRPr="00D32371">
        <w:t xml:space="preserve">Although </w:t>
      </w:r>
      <w:r>
        <w:t>the Centers for Medicare and Medicaid Services</w:t>
      </w:r>
      <w:r w:rsidRPr="00D32371">
        <w:t xml:space="preserve"> </w:t>
      </w:r>
      <w:proofErr w:type="gramStart"/>
      <w:r w:rsidRPr="00D32371">
        <w:t>specifies</w:t>
      </w:r>
      <w:proofErr w:type="gramEnd"/>
      <w:r w:rsidRPr="00D32371">
        <w:t xml:space="preserve"> that sheltered workshops should </w:t>
      </w:r>
      <w:r>
        <w:t xml:space="preserve">only </w:t>
      </w:r>
      <w:r w:rsidRPr="00D32371">
        <w:t xml:space="preserve">be used as a time-limited service, </w:t>
      </w:r>
      <w:r>
        <w:t xml:space="preserve">one study found that </w:t>
      </w:r>
      <w:r w:rsidRPr="00D32371">
        <w:t xml:space="preserve">only </w:t>
      </w:r>
      <w:r>
        <w:t>five</w:t>
      </w:r>
      <w:r w:rsidRPr="00D32371">
        <w:t xml:space="preserve"> percent of sheltered workshop employees left to take a job in the community</w:t>
      </w:r>
      <w:r>
        <w:t>.</w:t>
      </w:r>
      <w:r>
        <w:rPr>
          <w:rStyle w:val="EndnoteReference"/>
        </w:rPr>
        <w:endnoteReference w:id="123"/>
      </w:r>
      <w:r>
        <w:t xml:space="preserve"> S</w:t>
      </w:r>
      <w:r w:rsidRPr="00D32371">
        <w:t xml:space="preserve">ome suggest that sheltered workshops are a critical component of employment systems because </w:t>
      </w:r>
      <w:r>
        <w:t>they provide</w:t>
      </w:r>
      <w:r w:rsidRPr="00D32371">
        <w:t xml:space="preserve"> </w:t>
      </w:r>
      <w:r w:rsidRPr="00D32371">
        <w:lastRenderedPageBreak/>
        <w:t>people with significant disabilities who may have no other option</w:t>
      </w:r>
      <w:r>
        <w:t>s</w:t>
      </w:r>
      <w:r w:rsidRPr="00D32371">
        <w:t xml:space="preserve"> </w:t>
      </w:r>
      <w:r>
        <w:t xml:space="preserve">with </w:t>
      </w:r>
      <w:r w:rsidRPr="00D32371">
        <w:t xml:space="preserve">the </w:t>
      </w:r>
      <w:r>
        <w:t>option</w:t>
      </w:r>
      <w:r w:rsidRPr="00D32371">
        <w:t xml:space="preserve"> </w:t>
      </w:r>
      <w:r>
        <w:t>to</w:t>
      </w:r>
      <w:r w:rsidRPr="00D32371">
        <w:t xml:space="preserve"> work</w:t>
      </w:r>
      <w:r>
        <w:t>.</w:t>
      </w:r>
      <w:r w:rsidRPr="00F932AC">
        <w:t xml:space="preserve"> </w:t>
      </w:r>
      <w:r>
        <w:t xml:space="preserve">However, </w:t>
      </w:r>
      <w:r w:rsidRPr="00D32371">
        <w:t xml:space="preserve">sheltered work </w:t>
      </w:r>
      <w:r>
        <w:t>has</w:t>
      </w:r>
      <w:r w:rsidRPr="00D32371">
        <w:t xml:space="preserve"> not</w:t>
      </w:r>
      <w:r>
        <w:t xml:space="preserve"> been shown to be</w:t>
      </w:r>
      <w:r w:rsidRPr="00D32371">
        <w:t xml:space="preserve"> effective in moving people </w:t>
      </w:r>
      <w:r>
        <w:t xml:space="preserve">with disabilities </w:t>
      </w:r>
      <w:r w:rsidRPr="00D32371">
        <w:t>to an integrated work environment</w:t>
      </w:r>
      <w:r>
        <w:t>.</w:t>
      </w:r>
      <w:r>
        <w:rPr>
          <w:rStyle w:val="EndnoteReference"/>
        </w:rPr>
        <w:endnoteReference w:id="124"/>
      </w:r>
      <w:r>
        <w:t xml:space="preserve"> </w:t>
      </w:r>
    </w:p>
    <w:p w:rsidR="008C6F97" w:rsidRPr="00D32371" w:rsidRDefault="008C6F97" w:rsidP="00445A92">
      <w:pPr>
        <w:pStyle w:val="NCDBodyText"/>
      </w:pPr>
      <w:r w:rsidRPr="00D32371">
        <w:t>NCD</w:t>
      </w:r>
      <w:r>
        <w:t xml:space="preserve"> believes </w:t>
      </w:r>
      <w:r w:rsidRPr="00D32371">
        <w:t xml:space="preserve">that no person with a disability should be discriminated against in an employment setting by </w:t>
      </w:r>
      <w:r>
        <w:t xml:space="preserve">receiving </w:t>
      </w:r>
      <w:r w:rsidRPr="00D32371">
        <w:t xml:space="preserve">less than the minimum wage available to all other citizens. </w:t>
      </w:r>
      <w:r>
        <w:t xml:space="preserve">NCD also recognizes </w:t>
      </w:r>
      <w:r w:rsidRPr="00D32371">
        <w:t>that eliminat</w:t>
      </w:r>
      <w:r>
        <w:t>ing</w:t>
      </w:r>
      <w:r w:rsidRPr="00D32371">
        <w:t xml:space="preserve"> all </w:t>
      </w:r>
      <w:r>
        <w:t xml:space="preserve">of the </w:t>
      </w:r>
      <w:r w:rsidRPr="00D32371">
        <w:t>Section 14(c) certificates would jeopardize the security of many people who are currently involved with the program</w:t>
      </w:r>
      <w:r>
        <w:t>. Therefore, as we first noted in our 2012 report on the topic,</w:t>
      </w:r>
      <w:r>
        <w:rPr>
          <w:rStyle w:val="EndnoteReference"/>
        </w:rPr>
        <w:endnoteReference w:id="125"/>
      </w:r>
      <w:r>
        <w:t xml:space="preserve"> </w:t>
      </w:r>
      <w:r w:rsidRPr="0084122A">
        <w:rPr>
          <w:b/>
        </w:rPr>
        <w:t xml:space="preserve">NCD recommends a transformation strategy to phase out </w:t>
      </w:r>
      <w:r>
        <w:rPr>
          <w:b/>
        </w:rPr>
        <w:t>the 14(c)</w:t>
      </w:r>
      <w:r w:rsidRPr="0084122A">
        <w:rPr>
          <w:b/>
        </w:rPr>
        <w:t xml:space="preserve"> model in favor of one of empowerment and self-determination</w:t>
      </w:r>
      <w:r w:rsidRPr="00796F53">
        <w:rPr>
          <w:b/>
        </w:rPr>
        <w:t>.</w:t>
      </w:r>
      <w:r>
        <w:t xml:space="preserve"> (See Appendix C for a link to NCD’s </w:t>
      </w:r>
      <w:r w:rsidRPr="00D0218E">
        <w:rPr>
          <w:i/>
        </w:rPr>
        <w:t>Report on Subminimum Wage and Supported Employment</w:t>
      </w:r>
      <w:r>
        <w:t>, with more information about the transformation strategy.)</w:t>
      </w:r>
      <w:r>
        <w:rPr>
          <w:rStyle w:val="EndnoteReference"/>
        </w:rPr>
        <w:endnoteReference w:id="126"/>
      </w:r>
    </w:p>
    <w:p w:rsidR="008C6F97" w:rsidRDefault="008C6F97" w:rsidP="00445A92">
      <w:pPr>
        <w:pStyle w:val="NCDBodyText"/>
      </w:pPr>
      <w:r w:rsidRPr="00D32371">
        <w:t xml:space="preserve">In </w:t>
      </w:r>
      <w:r>
        <w:t xml:space="preserve">recent </w:t>
      </w:r>
      <w:r w:rsidRPr="00D32371">
        <w:t>years, several government agencies have sought to limit the use of subminimum wage</w:t>
      </w:r>
      <w:r>
        <w:t xml:space="preserve">s. Under </w:t>
      </w:r>
      <w:r w:rsidRPr="003F2587">
        <w:t xml:space="preserve">Section 511 </w:t>
      </w:r>
      <w:r>
        <w:t>of</w:t>
      </w:r>
      <w:r w:rsidRPr="003F2587">
        <w:t xml:space="preserve"> the Rehabilitation Act of 1973</w:t>
      </w:r>
      <w:r>
        <w:t xml:space="preserve">, </w:t>
      </w:r>
      <w:r w:rsidRPr="003F2587">
        <w:t>a series of steps</w:t>
      </w:r>
      <w:r>
        <w:t xml:space="preserve"> must be taken</w:t>
      </w:r>
      <w:r w:rsidRPr="003F2587">
        <w:t xml:space="preserve"> before an individual under the age of 24 can be placed in a job paying less than minimum wage. Section 511 also prohibits schools from contracting with subminimum wage providers. WIOA established the Advisory Committee on Increasing Competitive Integrated Employment for Individuals with Disabilities</w:t>
      </w:r>
      <w:r>
        <w:t>. The advisory committee</w:t>
      </w:r>
      <w:r w:rsidRPr="003F2587">
        <w:t xml:space="preserve"> made recommendations to Congress on how to strengthen </w:t>
      </w:r>
      <w:r>
        <w:t xml:space="preserve">competitive integrated </w:t>
      </w:r>
      <w:r w:rsidRPr="002B32A7">
        <w:t xml:space="preserve">employment opportunities for individuals with intellectual or developmental disabilities or other individuals with significant </w:t>
      </w:r>
      <w:r>
        <w:t>disabilities.</w:t>
      </w:r>
      <w:r w:rsidRPr="003F2587">
        <w:t xml:space="preserve"> </w:t>
      </w:r>
      <w:r>
        <w:t>Finally, t</w:t>
      </w:r>
      <w:r w:rsidRPr="003F2587">
        <w:t xml:space="preserve">he Department of Justice entered into settlement agreements with Rhode Island and Oregon </w:t>
      </w:r>
      <w:r>
        <w:t>to address</w:t>
      </w:r>
      <w:r w:rsidRPr="003F2587">
        <w:t xml:space="preserve"> the rights of people with disabilities to receive state</w:t>
      </w:r>
      <w:r>
        <w:t>-</w:t>
      </w:r>
      <w:r w:rsidRPr="003F2587">
        <w:t xml:space="preserve">funded employment and daytime services in the broader community, rather than in segregated sheltered workshops and facility-based day </w:t>
      </w:r>
      <w:r w:rsidRPr="00CD6458">
        <w:t>programs.</w:t>
      </w:r>
      <w:r>
        <w:rPr>
          <w:rStyle w:val="EndnoteReference"/>
        </w:rPr>
        <w:endnoteReference w:id="127"/>
      </w:r>
      <w:r>
        <w:t xml:space="preserve"> </w:t>
      </w:r>
      <w:r w:rsidRPr="00143074">
        <w:rPr>
          <w:b/>
        </w:rPr>
        <w:t>NCD recommends that all federal agency annual reports to Congress regarding Section 503 and 511 of the Rehabilitation Act of 1973 include information on enforcement activities and the impact of employment on people with disabilities</w:t>
      </w:r>
      <w:r w:rsidRPr="00796F53">
        <w:rPr>
          <w:b/>
        </w:rPr>
        <w:t>.</w:t>
      </w:r>
    </w:p>
    <w:p w:rsidR="008C6F97" w:rsidRDefault="008C6F97" w:rsidP="00445A92">
      <w:pPr>
        <w:pStyle w:val="NCDBodyTextSpaceBefore"/>
      </w:pPr>
      <w:r>
        <w:t>Attitudes and stereotypes about people with disabilities also create barriers for this population when it comes to using</w:t>
      </w:r>
      <w:r w:rsidRPr="002A0407">
        <w:t xml:space="preserve"> fixed</w:t>
      </w:r>
      <w:r>
        <w:t>-</w:t>
      </w:r>
      <w:r w:rsidRPr="002A0407">
        <w:t>route public transit providers</w:t>
      </w:r>
      <w:r>
        <w:t xml:space="preserve">, </w:t>
      </w:r>
      <w:proofErr w:type="spellStart"/>
      <w:r>
        <w:t>paratransit</w:t>
      </w:r>
      <w:proofErr w:type="spellEnd"/>
      <w:r>
        <w:t>,</w:t>
      </w:r>
      <w:r w:rsidRPr="002A0407">
        <w:t xml:space="preserve"> and </w:t>
      </w:r>
      <w:r w:rsidRPr="002A0407">
        <w:lastRenderedPageBreak/>
        <w:t>private transportation providers</w:t>
      </w:r>
      <w:r>
        <w:t>. For example, b</w:t>
      </w:r>
      <w:r w:rsidRPr="002A0407">
        <w:t xml:space="preserve">us drivers </w:t>
      </w:r>
      <w:r>
        <w:t>may</w:t>
      </w:r>
      <w:r w:rsidRPr="002A0407">
        <w:t xml:space="preserve"> not stop the</w:t>
      </w:r>
      <w:r>
        <w:t>ir</w:t>
      </w:r>
      <w:r w:rsidRPr="002A0407">
        <w:t xml:space="preserve"> buses </w:t>
      </w:r>
      <w:r>
        <w:t xml:space="preserve">to </w:t>
      </w:r>
      <w:r w:rsidRPr="002A0407">
        <w:t>pick up people with disabilities</w:t>
      </w:r>
      <w:r>
        <w:t xml:space="preserve">, </w:t>
      </w:r>
      <w:proofErr w:type="spellStart"/>
      <w:r>
        <w:t>p</w:t>
      </w:r>
      <w:r w:rsidRPr="002A0407">
        <w:t>aratransit</w:t>
      </w:r>
      <w:proofErr w:type="spellEnd"/>
      <w:r w:rsidRPr="002A0407">
        <w:t xml:space="preserve"> </w:t>
      </w:r>
      <w:proofErr w:type="gramStart"/>
      <w:r w:rsidRPr="002A0407">
        <w:t>staff do</w:t>
      </w:r>
      <w:proofErr w:type="gramEnd"/>
      <w:r w:rsidRPr="002A0407">
        <w:t xml:space="preserve"> not provide friendly </w:t>
      </w:r>
      <w:r>
        <w:t>customer</w:t>
      </w:r>
      <w:r w:rsidRPr="002A0407">
        <w:t xml:space="preserve"> service and </w:t>
      </w:r>
      <w:r>
        <w:t xml:space="preserve">may </w:t>
      </w:r>
      <w:r w:rsidRPr="002A0407">
        <w:t>fa</w:t>
      </w:r>
      <w:r>
        <w:t>il to respond to complaints,</w:t>
      </w:r>
      <w:r w:rsidRPr="002A0407">
        <w:t xml:space="preserve"> and </w:t>
      </w:r>
      <w:proofErr w:type="spellStart"/>
      <w:r w:rsidRPr="002A0407">
        <w:t>paratransit</w:t>
      </w:r>
      <w:proofErr w:type="spellEnd"/>
      <w:r w:rsidRPr="002A0407">
        <w:t xml:space="preserve"> drivers lack respect for users </w:t>
      </w:r>
      <w:r>
        <w:t xml:space="preserve">of their services </w:t>
      </w:r>
      <w:r w:rsidRPr="002A0407">
        <w:t xml:space="preserve">and </w:t>
      </w:r>
      <w:r>
        <w:t xml:space="preserve">transit agencies often </w:t>
      </w:r>
      <w:r w:rsidRPr="002A0407">
        <w:t xml:space="preserve">use punitive cancellation policies </w:t>
      </w:r>
      <w:r>
        <w:t xml:space="preserve">for people </w:t>
      </w:r>
      <w:r w:rsidRPr="002A0407">
        <w:t>with disabilities.</w:t>
      </w:r>
      <w:r>
        <w:rPr>
          <w:rStyle w:val="EndnoteReference"/>
        </w:rPr>
        <w:endnoteReference w:id="128"/>
      </w:r>
      <w:r w:rsidRPr="002A0407">
        <w:t xml:space="preserve"> </w:t>
      </w:r>
      <w:r w:rsidRPr="00143074">
        <w:rPr>
          <w:b/>
        </w:rPr>
        <w:t>NCD recommends that DOT Federal Transit Administration work with local communities to provide guidance that clarifies and bolsters ADA nondiscrimination standards</w:t>
      </w:r>
      <w:r w:rsidRPr="00796F53">
        <w:rPr>
          <w:b/>
        </w:rPr>
        <w:t>.</w:t>
      </w:r>
      <w:r w:rsidRPr="00D530B9">
        <w:t xml:space="preserve"> </w:t>
      </w:r>
      <w:r>
        <w:t>This will</w:t>
      </w:r>
      <w:r w:rsidRPr="00D530B9">
        <w:t xml:space="preserve"> address </w:t>
      </w:r>
      <w:r>
        <w:t>issues</w:t>
      </w:r>
      <w:r w:rsidRPr="00D530B9">
        <w:t xml:space="preserve"> faced by people with disabilities</w:t>
      </w:r>
      <w:r>
        <w:t xml:space="preserve"> and </w:t>
      </w:r>
      <w:r w:rsidRPr="00D530B9">
        <w:t>ensure accessibility of all</w:t>
      </w:r>
      <w:r>
        <w:t xml:space="preserve"> public transportation options. </w:t>
      </w:r>
    </w:p>
    <w:p w:rsidR="008C6F97" w:rsidRPr="00DA0814" w:rsidRDefault="008C6F97" w:rsidP="00445A92">
      <w:pPr>
        <w:pStyle w:val="NCDBodyTextSpaceBefore"/>
        <w:rPr>
          <w:spacing w:val="-4"/>
        </w:rPr>
      </w:pPr>
      <w:r w:rsidRPr="00DA0814">
        <w:rPr>
          <w:spacing w:val="-4"/>
        </w:rPr>
        <w:t xml:space="preserve">Although the ADA prohibits discrimination by private entities, companies that provide smartphone transportation applications have failed to provide accessible services for people with disabilities. For example, a recent lawsuit claims that the </w:t>
      </w:r>
      <w:proofErr w:type="spellStart"/>
      <w:r w:rsidRPr="00DA0814">
        <w:rPr>
          <w:spacing w:val="-4"/>
        </w:rPr>
        <w:t>UberX</w:t>
      </w:r>
      <w:proofErr w:type="spellEnd"/>
      <w:r w:rsidRPr="00DA0814">
        <w:rPr>
          <w:spacing w:val="-4"/>
        </w:rPr>
        <w:t xml:space="preserve"> service, which is basic door-to-door service, inhibits access to people with mobility limitations.</w:t>
      </w:r>
      <w:r w:rsidRPr="00DA0814">
        <w:rPr>
          <w:rStyle w:val="EndnoteReference"/>
          <w:spacing w:val="-4"/>
        </w:rPr>
        <w:endnoteReference w:id="129"/>
      </w:r>
      <w:r w:rsidRPr="00DA0814">
        <w:rPr>
          <w:spacing w:val="-4"/>
        </w:rPr>
        <w:t xml:space="preserve"> In Washington, DC, </w:t>
      </w:r>
      <w:proofErr w:type="spellStart"/>
      <w:r w:rsidRPr="00DA0814">
        <w:rPr>
          <w:spacing w:val="-4"/>
        </w:rPr>
        <w:t>Uber</w:t>
      </w:r>
      <w:proofErr w:type="spellEnd"/>
      <w:r w:rsidRPr="00DA0814">
        <w:rPr>
          <w:spacing w:val="-4"/>
        </w:rPr>
        <w:t xml:space="preserve"> users with mobility limitations can use Taxi WAV, which hails a DC cab, but some reports find that wait times are longer and fares are higher with this service.</w:t>
      </w:r>
      <w:r w:rsidRPr="00DA0814">
        <w:rPr>
          <w:rStyle w:val="EndnoteReference"/>
          <w:spacing w:val="-4"/>
        </w:rPr>
        <w:endnoteReference w:id="130"/>
      </w:r>
      <w:r w:rsidRPr="00DA0814">
        <w:rPr>
          <w:spacing w:val="-4"/>
        </w:rPr>
        <w:t xml:space="preserve"> </w:t>
      </w:r>
      <w:proofErr w:type="gramStart"/>
      <w:r w:rsidRPr="00DA0814">
        <w:rPr>
          <w:b/>
          <w:spacing w:val="-4"/>
        </w:rPr>
        <w:t>NCD recommends that DOJ issue regulations for privately funded transit to provide accessible transportation options for people with disabilities.</w:t>
      </w:r>
      <w:proofErr w:type="gramEnd"/>
      <w:r w:rsidRPr="00DA0814">
        <w:rPr>
          <w:spacing w:val="-4"/>
        </w:rPr>
        <w:t xml:space="preserve"> It is important to overcome the attitudinal and physical barriers that people with disabilities face when it comes to accessible transportation. Reliable transportation is necessary for people with disabilities to be able to hold a job and reach the goal of economic self-sufficiency. </w:t>
      </w:r>
    </w:p>
    <w:p w:rsidR="008C6F97" w:rsidRDefault="008C6F97" w:rsidP="00445A92">
      <w:pPr>
        <w:pStyle w:val="NCDBodyText"/>
      </w:pPr>
      <w:r>
        <w:t>Many of the same attitudinal barriers affect people with disabilities who are looking for accessible housing.</w:t>
      </w:r>
      <w:r w:rsidRPr="00ED5CF6">
        <w:t xml:space="preserve"> </w:t>
      </w:r>
      <w:r>
        <w:t>Deaf and Hard of Hearing</w:t>
      </w:r>
      <w:r w:rsidRPr="00ED5CF6">
        <w:t xml:space="preserve"> </w:t>
      </w:r>
      <w:r>
        <w:t>have</w:t>
      </w:r>
      <w:r w:rsidRPr="00ED5CF6">
        <w:t xml:space="preserve"> reported </w:t>
      </w:r>
      <w:r>
        <w:t xml:space="preserve">experiencing </w:t>
      </w:r>
      <w:r w:rsidRPr="00ED5CF6">
        <w:t>adverse treatment in approximately half (49.5</w:t>
      </w:r>
      <w:r>
        <w:t xml:space="preserve"> percent</w:t>
      </w:r>
      <w:r w:rsidRPr="00ED5CF6">
        <w:t>) of their attempts to secure a rental unit and</w:t>
      </w:r>
      <w:r>
        <w:t xml:space="preserve"> wheelchair users </w:t>
      </w:r>
      <w:r w:rsidRPr="00ED5CF6">
        <w:t>were reported to have experienced adverse treatment in approximately one-third (32.3</w:t>
      </w:r>
      <w:r>
        <w:t xml:space="preserve"> percent</w:t>
      </w:r>
      <w:r w:rsidRPr="00ED5CF6">
        <w:t>) of their attempts to secure rental housing</w:t>
      </w:r>
      <w:r>
        <w:t>.</w:t>
      </w:r>
      <w:r>
        <w:rPr>
          <w:rStyle w:val="EndnoteReference"/>
        </w:rPr>
        <w:endnoteReference w:id="131"/>
      </w:r>
      <w:r w:rsidRPr="00ED5CF6">
        <w:t xml:space="preserve"> </w:t>
      </w:r>
      <w:r>
        <w:t>S</w:t>
      </w:r>
      <w:r w:rsidRPr="00ED5CF6">
        <w:t>ome of the adverse experience</w:t>
      </w:r>
      <w:r>
        <w:t>s people with disabilities face when trying to secure housing include</w:t>
      </w:r>
      <w:r w:rsidRPr="00ED5CF6">
        <w:t xml:space="preserve"> </w:t>
      </w:r>
      <w:r>
        <w:t>refusal of calls made by</w:t>
      </w:r>
      <w:r w:rsidRPr="00ED5CF6">
        <w:t xml:space="preserve"> </w:t>
      </w:r>
      <w:r>
        <w:t xml:space="preserve">or </w:t>
      </w:r>
      <w:r w:rsidRPr="00ED5CF6">
        <w:t xml:space="preserve">for TTY users, refusal to allow inspection of rental units, </w:t>
      </w:r>
      <w:r>
        <w:t xml:space="preserve">and </w:t>
      </w:r>
      <w:r w:rsidRPr="00ED5CF6">
        <w:t xml:space="preserve">housing managers or landlords failing to provide information regarding available units or requirements for completing a rental application. </w:t>
      </w:r>
      <w:r>
        <w:t>Being an active and independent member of the community requires that people with disabilities can secure accessible housing free of discrimination and stereotypes.</w:t>
      </w:r>
    </w:p>
    <w:p w:rsidR="008C6F97" w:rsidRDefault="008C6F97" w:rsidP="00DA0814">
      <w:pPr>
        <w:pStyle w:val="Heading1"/>
      </w:pPr>
      <w:bookmarkStart w:id="92" w:name="_Toc468097108"/>
      <w:bookmarkStart w:id="93" w:name="_Toc472950637"/>
      <w:bookmarkStart w:id="94" w:name="_Toc478555117"/>
      <w:bookmarkStart w:id="95" w:name="_Toc493596687"/>
      <w:r w:rsidRPr="000D54A7">
        <w:lastRenderedPageBreak/>
        <w:t xml:space="preserve">Chapter 3: Emerging and </w:t>
      </w:r>
      <w:r>
        <w:t>P</w:t>
      </w:r>
      <w:r w:rsidRPr="000D54A7">
        <w:t xml:space="preserve">romising </w:t>
      </w:r>
      <w:r>
        <w:t>P</w:t>
      </w:r>
      <w:r w:rsidRPr="000D54A7">
        <w:t>ractices</w:t>
      </w:r>
      <w:bookmarkEnd w:id="92"/>
      <w:r w:rsidRPr="000D54A7">
        <w:t xml:space="preserve"> </w:t>
      </w:r>
      <w:r>
        <w:t>for</w:t>
      </w:r>
      <w:r w:rsidRPr="000D54A7">
        <w:t xml:space="preserve"> </w:t>
      </w:r>
      <w:r>
        <w:t>A</w:t>
      </w:r>
      <w:r w:rsidRPr="000D54A7">
        <w:t xml:space="preserve">chieving </w:t>
      </w:r>
      <w:r>
        <w:t>E</w:t>
      </w:r>
      <w:r w:rsidRPr="000D54A7">
        <w:t xml:space="preserve">conomic </w:t>
      </w:r>
      <w:r>
        <w:t>S</w:t>
      </w:r>
      <w:r w:rsidRPr="000D54A7">
        <w:t>elf-</w:t>
      </w:r>
      <w:r>
        <w:t>S</w:t>
      </w:r>
      <w:r w:rsidRPr="000D54A7">
        <w:t>ufficiency</w:t>
      </w:r>
      <w:bookmarkEnd w:id="93"/>
      <w:bookmarkEnd w:id="94"/>
      <w:bookmarkEnd w:id="95"/>
    </w:p>
    <w:p w:rsidR="008C6F97" w:rsidRPr="00D5117E" w:rsidRDefault="008C6F97" w:rsidP="00DA0814">
      <w:pPr>
        <w:pStyle w:val="NCDBodyText"/>
      </w:pPr>
      <w:bookmarkStart w:id="96" w:name="_Toc478320961"/>
      <w:r w:rsidRPr="00D5117E">
        <w:t xml:space="preserve">NCD recognizes that there have been a number of efforts to address the barriers described in this report that prevent people with disabilities from achieving economic self-sufficiency. This chapter focuses on policies, programs, and practices that demonstrate promise in lifting people with disabilities out of poverty by addressing barriers that people with disabilities experience. These ideas provide a basis for the development of </w:t>
      </w:r>
      <w:r>
        <w:t xml:space="preserve">future </w:t>
      </w:r>
      <w:r w:rsidRPr="00D5117E">
        <w:t xml:space="preserve">policies that can further support the achievement of economic self-sufficiency for people with disabilities. </w:t>
      </w:r>
      <w:bookmarkEnd w:id="96"/>
    </w:p>
    <w:p w:rsidR="008C6F97" w:rsidRDefault="008C6F97" w:rsidP="00DA0814">
      <w:pPr>
        <w:pStyle w:val="Heading2"/>
      </w:pPr>
      <w:bookmarkStart w:id="97" w:name="_Toc493507484"/>
      <w:bookmarkStart w:id="98" w:name="_Toc493596688"/>
      <w:r w:rsidRPr="00994E9A">
        <w:t>Education</w:t>
      </w:r>
      <w:bookmarkEnd w:id="97"/>
      <w:bookmarkEnd w:id="98"/>
      <w:r w:rsidRPr="005341F2">
        <w:t xml:space="preserve"> </w:t>
      </w:r>
    </w:p>
    <w:p w:rsidR="008C6F97" w:rsidRDefault="008C6F97" w:rsidP="00A65CE3">
      <w:pPr>
        <w:pStyle w:val="NCDBodyText"/>
      </w:pPr>
      <w:r>
        <w:t xml:space="preserve">Students with disabilities often do not have the same access to internship and work experience opportunities as other students during high school and college. NCD notes some promising initiatives and recommends that model programs be duplicated or tested as potential ways to increase the economic prospects for people with disabilities. For example, the Initiative for Empowerment and Economic Independence (IEEI) at </w:t>
      </w:r>
      <w:proofErr w:type="spellStart"/>
      <w:r>
        <w:t>Eskenazi</w:t>
      </w:r>
      <w:proofErr w:type="spellEnd"/>
      <w:r>
        <w:t xml:space="preserve"> Health </w:t>
      </w:r>
      <w:bookmarkStart w:id="99" w:name="_GoBack"/>
      <w:bookmarkEnd w:id="99"/>
      <w:r>
        <w:t xml:space="preserve">in Indiana is a rigorous internship program for college students with physical and sensory disabilities. The program seeks to remove the barriers that normally prevent students with disabilities from pursuing gainful employment, such as logistical issues with transportation and employer reluctance to invest in accommodations in the workplace. It prepares students by building skills, confidence, and a work history that better enables them to find full-time employment after college. The program is committed to creating a rigorous, real-world experience for their students, through a 40-hour work week (with flexibility for students who cannot do a full-time internship), high work standards, and pay equal to their peers, at about $15 per hour. The students must apply to and qualify for the internship, and if they are not quite ready, the program offers guidance on how they can improve their application. The program is also effective at influencing the perspectives of employers, supervisors, and peers about working with someone who has a disability. Through the internship program, employers learn that accommodations are often much more doable and less </w:t>
      </w:r>
      <w:r>
        <w:lastRenderedPageBreak/>
        <w:t xml:space="preserve">costly than expected and their preconceived ideas about what people with disabilities are capable of accomplishing are challenged and </w:t>
      </w:r>
      <w:r w:rsidRPr="00CD6458">
        <w:t>transformed.</w:t>
      </w:r>
      <w:r>
        <w:rPr>
          <w:rStyle w:val="EndnoteReference"/>
          <w:rFonts w:cs="Arial"/>
        </w:rPr>
        <w:endnoteReference w:id="132"/>
      </w:r>
      <w:r w:rsidRPr="002778AF">
        <w:t xml:space="preserve"> </w:t>
      </w:r>
      <w:r>
        <w:t xml:space="preserve">In the coming years, IEEI hopes to increase the number of interns it employs and to continue working with employers to educate them about working with people with disabilities, establishing a center and website to serve as resources for connecting individuals and companies, and expanding their program for implementation at other sites in the United States. </w:t>
      </w:r>
      <w:r w:rsidRPr="00143074">
        <w:rPr>
          <w:b/>
        </w:rPr>
        <w:t>NCD recommends the development of partnerships across vocational rehabilitation agencies, local education agencies, institutes of higher education, and employers to promote similar internship opportunities for students with disabilities</w:t>
      </w:r>
      <w:r w:rsidRPr="00796F53">
        <w:rPr>
          <w:b/>
        </w:rPr>
        <w:t>.</w:t>
      </w:r>
    </w:p>
    <w:p w:rsidR="008C6F97" w:rsidRDefault="008C6F97" w:rsidP="00A65CE3">
      <w:pPr>
        <w:pStyle w:val="NCDBodyText"/>
      </w:pPr>
      <w:r w:rsidRPr="00B72CC5">
        <w:t xml:space="preserve">Similar to TPSID programs, the </w:t>
      </w:r>
      <w:proofErr w:type="spellStart"/>
      <w:r w:rsidRPr="00B72CC5">
        <w:t>InclusiveU</w:t>
      </w:r>
      <w:proofErr w:type="spellEnd"/>
      <w:r w:rsidRPr="00B72CC5">
        <w:t xml:space="preserve"> program at Syracuse University </w:t>
      </w:r>
      <w:r>
        <w:t>supports</w:t>
      </w:r>
      <w:r w:rsidRPr="00B72CC5">
        <w:t xml:space="preserve"> students with intellectual disabilities who may otherwise not have access to postsecondary education. </w:t>
      </w:r>
      <w:proofErr w:type="spellStart"/>
      <w:r w:rsidRPr="00B72CC5">
        <w:t>InclusiveU</w:t>
      </w:r>
      <w:proofErr w:type="spellEnd"/>
      <w:r w:rsidRPr="00B72CC5">
        <w:t xml:space="preserve"> is a flexible program individualized to each student. Students with intellectual disabilities audit classes and receive a certificate of completion from </w:t>
      </w:r>
      <w:proofErr w:type="spellStart"/>
      <w:r w:rsidRPr="00B72CC5">
        <w:t>InclusiveU</w:t>
      </w:r>
      <w:proofErr w:type="spellEnd"/>
      <w:r w:rsidRPr="00B72CC5">
        <w:t xml:space="preserve">. Participating students can also be matched up with a Syracuse University student mentor to receive academic and social support. </w:t>
      </w:r>
      <w:r>
        <w:t>Although TPSID has made similar programs possible at other universities, they should continue to be developed and made available to more students with intellectual disabilities.</w:t>
      </w:r>
    </w:p>
    <w:p w:rsidR="008C6F97" w:rsidRPr="00821B7F" w:rsidRDefault="008C6F97" w:rsidP="00A65CE3">
      <w:pPr>
        <w:pStyle w:val="NCDBodyText"/>
      </w:pPr>
      <w:r w:rsidRPr="00821B7F">
        <w:t>UDL is a set of principle</w:t>
      </w:r>
      <w:r>
        <w:t>s</w:t>
      </w:r>
      <w:r w:rsidRPr="00821B7F">
        <w:t xml:space="preserve"> to guide </w:t>
      </w:r>
      <w:r>
        <w:t xml:space="preserve">curriculum </w:t>
      </w:r>
      <w:r w:rsidRPr="00821B7F">
        <w:t xml:space="preserve">design </w:t>
      </w:r>
      <w:r>
        <w:t xml:space="preserve">to meet the needs of </w:t>
      </w:r>
      <w:r w:rsidRPr="00821B7F">
        <w:t>diverse students</w:t>
      </w:r>
      <w:r>
        <w:t xml:space="preserve">. </w:t>
      </w:r>
      <w:r w:rsidRPr="00821B7F">
        <w:t>Curricul</w:t>
      </w:r>
      <w:r>
        <w:t>a</w:t>
      </w:r>
      <w:r w:rsidRPr="00821B7F">
        <w:t xml:space="preserve"> designed under </w:t>
      </w:r>
      <w:r>
        <w:t>the UDL frame</w:t>
      </w:r>
      <w:r w:rsidRPr="00821B7F">
        <w:t xml:space="preserve">work are </w:t>
      </w:r>
      <w:r>
        <w:t xml:space="preserve">more </w:t>
      </w:r>
      <w:r w:rsidRPr="00821B7F">
        <w:t>flexible and can accommodate learning differences</w:t>
      </w:r>
      <w:r>
        <w:t xml:space="preserve"> that exist</w:t>
      </w:r>
      <w:r w:rsidRPr="00821B7F">
        <w:t xml:space="preserve"> among students</w:t>
      </w:r>
      <w:r>
        <w:t xml:space="preserve"> by adjusting t</w:t>
      </w:r>
      <w:r w:rsidRPr="00821B7F">
        <w:t xml:space="preserve">o each student’s strengths and needs. </w:t>
      </w:r>
      <w:r>
        <w:t>Students with disabilities can benefit from UDL-based curriculum because it is</w:t>
      </w:r>
      <w:r w:rsidRPr="00821B7F">
        <w:t xml:space="preserve"> more capable of meeting the</w:t>
      </w:r>
      <w:r>
        <w:t>ir</w:t>
      </w:r>
      <w:r w:rsidRPr="00821B7F">
        <w:t xml:space="preserve"> needs </w:t>
      </w:r>
      <w:r>
        <w:t xml:space="preserve">from day one in the classroom, and </w:t>
      </w:r>
      <w:r w:rsidRPr="00821B7F">
        <w:t>fewer special supports may be required for each child</w:t>
      </w:r>
      <w:r>
        <w:t>.</w:t>
      </w:r>
      <w:r w:rsidRPr="00821B7F">
        <w:t xml:space="preserve"> </w:t>
      </w:r>
      <w:r>
        <w:t xml:space="preserve">For example, </w:t>
      </w:r>
      <w:r w:rsidRPr="00821B7F">
        <w:t>UDL classroom</w:t>
      </w:r>
      <w:r>
        <w:t>s</w:t>
      </w:r>
      <w:r w:rsidRPr="00821B7F">
        <w:t xml:space="preserve"> </w:t>
      </w:r>
      <w:r>
        <w:t>can</w:t>
      </w:r>
      <w:r w:rsidRPr="00821B7F">
        <w:t xml:space="preserve"> present information </w:t>
      </w:r>
      <w:r>
        <w:t xml:space="preserve">in </w:t>
      </w:r>
      <w:r w:rsidRPr="00821B7F">
        <w:t xml:space="preserve">visual, auditory, or interactive ways </w:t>
      </w:r>
      <w:r>
        <w:t>rather than only relying on text</w:t>
      </w:r>
      <w:r w:rsidRPr="00821B7F">
        <w:t>book</w:t>
      </w:r>
      <w:r>
        <w:t>s</w:t>
      </w:r>
      <w:r w:rsidRPr="00821B7F">
        <w:t xml:space="preserve">. </w:t>
      </w:r>
      <w:r>
        <w:t>UDL can be applied to assessments (formative and summative) as well, allowing s</w:t>
      </w:r>
      <w:r w:rsidRPr="00821B7F">
        <w:t xml:space="preserve">tudents </w:t>
      </w:r>
      <w:r>
        <w:t xml:space="preserve">the opportunity to </w:t>
      </w:r>
      <w:r w:rsidRPr="00821B7F">
        <w:t>show what they have learned through a variety of methods</w:t>
      </w:r>
      <w:r>
        <w:t xml:space="preserve"> including tests, presentations, group projects, and other evaluative activities</w:t>
      </w:r>
      <w:r w:rsidRPr="00821B7F">
        <w:t xml:space="preserve">. </w:t>
      </w:r>
      <w:r>
        <w:t xml:space="preserve">Perhaps most importantly, </w:t>
      </w:r>
      <w:r w:rsidRPr="00821B7F">
        <w:t xml:space="preserve">UDL </w:t>
      </w:r>
      <w:r>
        <w:t xml:space="preserve">works because it keeps </w:t>
      </w:r>
      <w:r w:rsidRPr="00821B7F">
        <w:t>student</w:t>
      </w:r>
      <w:r>
        <w:t>s</w:t>
      </w:r>
      <w:r w:rsidRPr="00821B7F">
        <w:t xml:space="preserve"> with disabilities </w:t>
      </w:r>
      <w:r>
        <w:t xml:space="preserve">and those without disabilities in the classroom together, which benefits </w:t>
      </w:r>
      <w:r>
        <w:lastRenderedPageBreak/>
        <w:t xml:space="preserve">all students socially and educationally. However, to date, UDL is more widely used within special education classrooms than general education </w:t>
      </w:r>
      <w:r w:rsidRPr="00CD6458">
        <w:t>classrooms.</w:t>
      </w:r>
      <w:r>
        <w:rPr>
          <w:rStyle w:val="EndnoteReference"/>
          <w:rFonts w:cs="Arial"/>
        </w:rPr>
        <w:endnoteReference w:id="133"/>
      </w:r>
      <w:r>
        <w:t xml:space="preserve"> </w:t>
      </w:r>
    </w:p>
    <w:p w:rsidR="008C6F97" w:rsidRPr="00FB5585" w:rsidRDefault="008C6F97" w:rsidP="00A65CE3">
      <w:pPr>
        <w:pStyle w:val="NCDBodyText"/>
      </w:pPr>
      <w:r>
        <w:t>One study of five high-performing schools in Texas highlights the use of UDL practices to improve education for students in poverty, including those with disabilities.</w:t>
      </w:r>
      <w:r>
        <w:rPr>
          <w:rStyle w:val="EndnoteReference"/>
          <w:rFonts w:cs="Arial"/>
        </w:rPr>
        <w:endnoteReference w:id="134"/>
      </w:r>
      <w:r>
        <w:t xml:space="preserve"> In these schools, the focus was on </w:t>
      </w:r>
      <w:r w:rsidRPr="00821B7F">
        <w:t>fully integrat</w:t>
      </w:r>
      <w:r>
        <w:t>ing</w:t>
      </w:r>
      <w:r w:rsidRPr="00821B7F">
        <w:t xml:space="preserve"> students </w:t>
      </w:r>
      <w:r>
        <w:t xml:space="preserve">with disabilities </w:t>
      </w:r>
      <w:r w:rsidRPr="00821B7F">
        <w:t>into the regular education program</w:t>
      </w:r>
      <w:r>
        <w:t xml:space="preserve"> and embracing the idea that all students can be academically successful when the talents and experiences of teachers are put to their best use. Regular communication between faculty and administrators across teaching areas made this program work as it provided opportunities for teachers to learn from one another. This created an environment where teaching strategies were adjusted to each student’s needs and teachers </w:t>
      </w:r>
      <w:r w:rsidRPr="00821B7F">
        <w:t>collaborate</w:t>
      </w:r>
      <w:r>
        <w:t>d</w:t>
      </w:r>
      <w:r w:rsidRPr="00821B7F">
        <w:t xml:space="preserve"> with colleagues </w:t>
      </w:r>
      <w:r>
        <w:t>to</w:t>
      </w:r>
      <w:r w:rsidRPr="00821B7F">
        <w:t xml:space="preserve"> identify solutions to barriers and participate in </w:t>
      </w:r>
      <w:proofErr w:type="spellStart"/>
      <w:r w:rsidRPr="00821B7F">
        <w:t>schoolwide</w:t>
      </w:r>
      <w:proofErr w:type="spellEnd"/>
      <w:r w:rsidRPr="00821B7F">
        <w:t xml:space="preserve"> intervention strategies</w:t>
      </w:r>
      <w:r>
        <w:t xml:space="preserve"> for all students.</w:t>
      </w:r>
      <w:r w:rsidRPr="0081344E">
        <w:t xml:space="preserve"> </w:t>
      </w:r>
      <w:r>
        <w:t xml:space="preserve">These schools focused on </w:t>
      </w:r>
      <w:r w:rsidRPr="00821B7F">
        <w:t>a culture of student-centered learning</w:t>
      </w:r>
      <w:r>
        <w:t xml:space="preserve"> where separate </w:t>
      </w:r>
      <w:r w:rsidRPr="00821B7F">
        <w:t>special education services</w:t>
      </w:r>
      <w:r>
        <w:t xml:space="preserve"> (e.g., those outside the general education classroom), although valued and supported,</w:t>
      </w:r>
      <w:r w:rsidRPr="00821B7F">
        <w:t xml:space="preserve"> </w:t>
      </w:r>
      <w:r>
        <w:t xml:space="preserve">were </w:t>
      </w:r>
      <w:r w:rsidRPr="00821B7F">
        <w:t>consider</w:t>
      </w:r>
      <w:r>
        <w:t>ed</w:t>
      </w:r>
      <w:r w:rsidRPr="00821B7F">
        <w:t xml:space="preserve"> a referral </w:t>
      </w:r>
      <w:r>
        <w:t>of</w:t>
      </w:r>
      <w:r w:rsidRPr="00821B7F">
        <w:t xml:space="preserve"> last resort</w:t>
      </w:r>
      <w:r>
        <w:t xml:space="preserve">. The results from the Texas study showed that students with disabilities could </w:t>
      </w:r>
      <w:r w:rsidRPr="005D78F0">
        <w:rPr>
          <w:i/>
        </w:rPr>
        <w:t>meet or surpass</w:t>
      </w:r>
      <w:r w:rsidRPr="00821B7F">
        <w:t xml:space="preserve"> high standards in state </w:t>
      </w:r>
      <w:r>
        <w:t>assessments.</w:t>
      </w:r>
      <w:r>
        <w:rPr>
          <w:rStyle w:val="EndnoteReference"/>
          <w:rFonts w:cs="Arial"/>
        </w:rPr>
        <w:endnoteReference w:id="135"/>
      </w:r>
      <w:r>
        <w:t xml:space="preserve"> Broader use of these types of UDL and inclusion practices can help students with disabilities succeed in school and improve their chances for attending college or accessing other career opportunities after they graduate</w:t>
      </w:r>
      <w:r w:rsidRPr="00B87FF6">
        <w:rPr>
          <w:b/>
        </w:rPr>
        <w:t xml:space="preserve">. </w:t>
      </w:r>
      <w:r w:rsidRPr="00143074">
        <w:rPr>
          <w:b/>
        </w:rPr>
        <w:t xml:space="preserve">NCD recommends that </w:t>
      </w:r>
      <w:r>
        <w:rPr>
          <w:b/>
        </w:rPr>
        <w:t>ED</w:t>
      </w:r>
      <w:r w:rsidRPr="00143074">
        <w:rPr>
          <w:b/>
        </w:rPr>
        <w:t xml:space="preserve"> issue guidelines on the inclusion of UDL principles to promote integration of students with disabilities in the classroom.</w:t>
      </w:r>
    </w:p>
    <w:p w:rsidR="008C6F97" w:rsidRDefault="008C6F97" w:rsidP="00A65CE3">
      <w:pPr>
        <w:pStyle w:val="NCDBodyText"/>
      </w:pPr>
      <w:r>
        <w:t xml:space="preserve">The Center for Attachment and Family Development in Decatur, Alabama, is another example of promising educational practices that address the </w:t>
      </w:r>
      <w:r w:rsidRPr="00821B7F">
        <w:t>social and emotional learning</w:t>
      </w:r>
      <w:r>
        <w:t xml:space="preserve"> needs</w:t>
      </w:r>
      <w:r w:rsidRPr="00AD0464">
        <w:t xml:space="preserve"> </w:t>
      </w:r>
      <w:r>
        <w:t xml:space="preserve">of students with disabilities living in poverty. This Center </w:t>
      </w:r>
      <w:r w:rsidRPr="00821B7F">
        <w:t>aims to improve the behavior of children and encourage functional behavior that helps children succeed by addressing the community system around the child in addition to the child-centered components of the behavior</w:t>
      </w:r>
      <w:r>
        <w:t>.</w:t>
      </w:r>
      <w:r>
        <w:rPr>
          <w:rStyle w:val="EndnoteReference"/>
        </w:rPr>
        <w:endnoteReference w:id="136"/>
      </w:r>
      <w:r>
        <w:t xml:space="preserve"> Their </w:t>
      </w:r>
      <w:r w:rsidRPr="00821B7F">
        <w:t>four-pronged</w:t>
      </w:r>
      <w:r>
        <w:t xml:space="preserve"> approach is central to the success of the program as it takes a comprehensive view to treatment and intervention </w:t>
      </w:r>
      <w:r w:rsidRPr="00821B7F">
        <w:t xml:space="preserve">to help children with behavior problems that result from living in poverty. </w:t>
      </w:r>
      <w:r>
        <w:t>Another example is a</w:t>
      </w:r>
      <w:r w:rsidRPr="00821B7F">
        <w:t xml:space="preserve"> preschool social and emotional learning intervention</w:t>
      </w:r>
      <w:r>
        <w:t xml:space="preserve"> that is</w:t>
      </w:r>
      <w:r w:rsidRPr="00821B7F">
        <w:t xml:space="preserve"> part of the Foundations of </w:t>
      </w:r>
      <w:r>
        <w:lastRenderedPageBreak/>
        <w:t>L</w:t>
      </w:r>
      <w:r w:rsidRPr="00821B7F">
        <w:t xml:space="preserve">earning </w:t>
      </w:r>
      <w:r>
        <w:t>d</w:t>
      </w:r>
      <w:r w:rsidRPr="00821B7F">
        <w:t>emonstration</w:t>
      </w:r>
      <w:r>
        <w:t xml:space="preserve">. The intervention </w:t>
      </w:r>
      <w:r w:rsidRPr="00821B7F">
        <w:t xml:space="preserve">improved the ability of </w:t>
      </w:r>
      <w:r>
        <w:t xml:space="preserve">preschool </w:t>
      </w:r>
      <w:r w:rsidRPr="00821B7F">
        <w:t xml:space="preserve">teachers to address </w:t>
      </w:r>
      <w:r>
        <w:t xml:space="preserve">children’s </w:t>
      </w:r>
      <w:r w:rsidRPr="00821B7F">
        <w:t xml:space="preserve">behavior problems </w:t>
      </w:r>
      <w:r>
        <w:t xml:space="preserve">and had </w:t>
      </w:r>
      <w:r w:rsidRPr="00821B7F">
        <w:t>positive outcomes on teacher practices</w:t>
      </w:r>
      <w:r>
        <w:t xml:space="preserve"> when they worked with students with behavioral problems. It also resulted in </w:t>
      </w:r>
      <w:r w:rsidRPr="00821B7F">
        <w:t xml:space="preserve">lower levels of </w:t>
      </w:r>
      <w:proofErr w:type="spellStart"/>
      <w:r w:rsidRPr="00821B7F">
        <w:t>conflictual</w:t>
      </w:r>
      <w:proofErr w:type="spellEnd"/>
      <w:r w:rsidRPr="00821B7F">
        <w:t xml:space="preserve"> interactions among children and a higher level of engagement in classroom activities</w:t>
      </w:r>
      <w:r>
        <w:t>.</w:t>
      </w:r>
      <w:r>
        <w:rPr>
          <w:rStyle w:val="EndnoteReference"/>
        </w:rPr>
        <w:endnoteReference w:id="137"/>
      </w:r>
      <w:r w:rsidRPr="00821B7F">
        <w:t xml:space="preserve"> The</w:t>
      </w:r>
      <w:r>
        <w:t>se</w:t>
      </w:r>
      <w:r w:rsidRPr="00821B7F">
        <w:t xml:space="preserve"> </w:t>
      </w:r>
      <w:r>
        <w:t>local-level demonstrations</w:t>
      </w:r>
      <w:r w:rsidRPr="00821B7F">
        <w:t xml:space="preserve"> can </w:t>
      </w:r>
      <w:r>
        <w:t xml:space="preserve">be </w:t>
      </w:r>
      <w:r w:rsidRPr="00821B7F">
        <w:t>valuabl</w:t>
      </w:r>
      <w:r>
        <w:t>e</w:t>
      </w:r>
      <w:r w:rsidRPr="00821B7F">
        <w:t xml:space="preserve"> </w:t>
      </w:r>
      <w:r>
        <w:t xml:space="preserve">for </w:t>
      </w:r>
      <w:r w:rsidRPr="00821B7F">
        <w:t>inform</w:t>
      </w:r>
      <w:r>
        <w:t>ing</w:t>
      </w:r>
      <w:r w:rsidRPr="00821B7F">
        <w:t xml:space="preserve"> policy</w:t>
      </w:r>
      <w:r>
        <w:t xml:space="preserve"> changes that will positively affect the educational outcomes of students with disabilities</w:t>
      </w:r>
      <w:r w:rsidRPr="00821B7F">
        <w:t>.</w:t>
      </w:r>
    </w:p>
    <w:p w:rsidR="008C6F97" w:rsidRPr="00821B7F" w:rsidRDefault="008C6F97" w:rsidP="00445A92">
      <w:pPr>
        <w:pStyle w:val="NCDBodyText"/>
      </w:pPr>
      <w:r>
        <w:rPr>
          <w:rFonts w:cs="Arial"/>
        </w:rPr>
        <w:t>In addition to school-based approaches to addressing the needs of students with disabilities, p</w:t>
      </w:r>
      <w:r w:rsidRPr="00821B7F">
        <w:rPr>
          <w:rFonts w:cs="Arial"/>
        </w:rPr>
        <w:t xml:space="preserve">rofessional development </w:t>
      </w:r>
      <w:r>
        <w:rPr>
          <w:rFonts w:cs="Arial"/>
        </w:rPr>
        <w:t>opportunities geared toward</w:t>
      </w:r>
      <w:r w:rsidRPr="00821B7F">
        <w:rPr>
          <w:rFonts w:cs="Arial"/>
        </w:rPr>
        <w:t xml:space="preserve"> prepar</w:t>
      </w:r>
      <w:r>
        <w:rPr>
          <w:rFonts w:cs="Arial"/>
        </w:rPr>
        <w:t>ing</w:t>
      </w:r>
      <w:r w:rsidRPr="00821B7F">
        <w:rPr>
          <w:rFonts w:cs="Arial"/>
        </w:rPr>
        <w:t xml:space="preserve"> teachers to work with students with disabilities </w:t>
      </w:r>
      <w:r>
        <w:rPr>
          <w:rFonts w:cs="Arial"/>
        </w:rPr>
        <w:t>have</w:t>
      </w:r>
      <w:r w:rsidRPr="00821B7F">
        <w:rPr>
          <w:rFonts w:cs="Arial"/>
        </w:rPr>
        <w:t xml:space="preserve"> shown promise. </w:t>
      </w:r>
      <w:r>
        <w:rPr>
          <w:rFonts w:cs="Arial"/>
        </w:rPr>
        <w:t xml:space="preserve">Some of these </w:t>
      </w:r>
      <w:r w:rsidRPr="00821B7F">
        <w:rPr>
          <w:rFonts w:cs="Arial"/>
        </w:rPr>
        <w:t>approach</w:t>
      </w:r>
      <w:r>
        <w:rPr>
          <w:rFonts w:cs="Arial"/>
        </w:rPr>
        <w:t>es include</w:t>
      </w:r>
      <w:r w:rsidRPr="00821B7F">
        <w:rPr>
          <w:rFonts w:cs="Arial"/>
        </w:rPr>
        <w:t xml:space="preserve"> supporting general education teachers in their efforts to effectively instruct students with disabilities in their general classroom</w:t>
      </w:r>
      <w:r>
        <w:rPr>
          <w:rFonts w:cs="Arial"/>
        </w:rPr>
        <w:t>s.</w:t>
      </w:r>
      <w:r>
        <w:rPr>
          <w:rStyle w:val="EndnoteReference"/>
        </w:rPr>
        <w:endnoteReference w:id="138"/>
      </w:r>
      <w:r>
        <w:t xml:space="preserve"> </w:t>
      </w:r>
      <w:r>
        <w:rPr>
          <w:rFonts w:cs="Arial"/>
        </w:rPr>
        <w:t xml:space="preserve">In one example, teachers </w:t>
      </w:r>
      <w:r w:rsidRPr="00821B7F">
        <w:rPr>
          <w:rFonts w:cs="Arial"/>
        </w:rPr>
        <w:t>use</w:t>
      </w:r>
      <w:r>
        <w:rPr>
          <w:rFonts w:cs="Arial"/>
        </w:rPr>
        <w:t xml:space="preserve">d </w:t>
      </w:r>
      <w:r w:rsidRPr="00821B7F">
        <w:rPr>
          <w:rFonts w:cs="Arial"/>
        </w:rPr>
        <w:t xml:space="preserve">problem-solving teams </w:t>
      </w:r>
      <w:r>
        <w:rPr>
          <w:rFonts w:cs="Arial"/>
        </w:rPr>
        <w:t xml:space="preserve">that focused on teachers providing </w:t>
      </w:r>
      <w:r w:rsidRPr="00821B7F">
        <w:rPr>
          <w:rFonts w:cs="Arial"/>
        </w:rPr>
        <w:t>social support, learning new instructional approaches, obtaining practical help with problems, and improving practice through reflection</w:t>
      </w:r>
      <w:r>
        <w:rPr>
          <w:rFonts w:cs="Arial"/>
        </w:rPr>
        <w:t>.</w:t>
      </w:r>
    </w:p>
    <w:p w:rsidR="008C6F97" w:rsidRDefault="008C6F97" w:rsidP="00A65CE3">
      <w:pPr>
        <w:pStyle w:val="Heading2"/>
      </w:pPr>
      <w:bookmarkStart w:id="100" w:name="_Toc493507485"/>
      <w:bookmarkStart w:id="101" w:name="_Toc493596689"/>
      <w:r w:rsidRPr="00994E9A">
        <w:t>Financial Assistance and Incentives</w:t>
      </w:r>
      <w:bookmarkEnd w:id="100"/>
      <w:bookmarkEnd w:id="101"/>
    </w:p>
    <w:p w:rsidR="008C6F97" w:rsidRPr="00FB5585" w:rsidRDefault="008C6F97" w:rsidP="00A65CE3">
      <w:pPr>
        <w:pStyle w:val="NCDBodyText"/>
      </w:pPr>
      <w:r w:rsidRPr="00FB5585">
        <w:t xml:space="preserve">Another challenge for </w:t>
      </w:r>
      <w:r>
        <w:t>people</w:t>
      </w:r>
      <w:r w:rsidRPr="00FB5585">
        <w:t xml:space="preserve"> with disabilities who receive public assistance is to stay within the asset limits (capped at just $2,000 total</w:t>
      </w:r>
      <w:r>
        <w:t xml:space="preserve"> under SSI</w:t>
      </w:r>
      <w:r w:rsidRPr="00FB5585">
        <w:t xml:space="preserve">). The recent ABLE Act of 2013 addresses this barrier and promotes economic independence and self-sufficiency among </w:t>
      </w:r>
      <w:r>
        <w:t>people</w:t>
      </w:r>
      <w:r w:rsidRPr="00FB5585">
        <w:t xml:space="preserve"> with disabilities. The ABLE Act amends Section 529 of the Internal Revenue Code</w:t>
      </w:r>
      <w:r>
        <w:t>, which</w:t>
      </w:r>
      <w:r w:rsidRPr="00FB5585">
        <w:t xml:space="preserve"> establishes tax-free savings accounts for qualified individuals to save money to pay for </w:t>
      </w:r>
      <w:r>
        <w:t>q</w:t>
      </w:r>
      <w:r w:rsidRPr="00FB5585">
        <w:t xml:space="preserve">ualified </w:t>
      </w:r>
      <w:r>
        <w:t>d</w:t>
      </w:r>
      <w:r w:rsidRPr="00FB5585">
        <w:t xml:space="preserve">isability </w:t>
      </w:r>
      <w:r>
        <w:t>e</w:t>
      </w:r>
      <w:r w:rsidRPr="00FB5585">
        <w:t xml:space="preserve">xpenses. Under the ABLE Act, each state develops and operates </w:t>
      </w:r>
      <w:r>
        <w:t>its</w:t>
      </w:r>
      <w:r w:rsidRPr="00FB5585">
        <w:t xml:space="preserve"> own ABLE program. Individuals are limited to one account and the individual must have a qualified disability that occurred prior to the age of 26, meaning either they must be eligible for SSI or have a permanent disability with marked and severe functional limitations. </w:t>
      </w:r>
      <w:r w:rsidRPr="00143074">
        <w:rPr>
          <w:b/>
        </w:rPr>
        <w:t>NCD recommends that Congress approve the ABLE Age Adjustment Act to increase the qualifying age limit for an ABLE account to occurring prior to their 46th birthday.</w:t>
      </w:r>
      <w:r w:rsidRPr="00E54EA7">
        <w:t xml:space="preserve"> </w:t>
      </w:r>
      <w:r w:rsidRPr="00FB5585">
        <w:t xml:space="preserve">ABLE accounts can function as both savings accounts and investment accounts for people with disabilities with differing </w:t>
      </w:r>
      <w:r w:rsidRPr="00FB5585">
        <w:lastRenderedPageBreak/>
        <w:t>allocations based on risk tolerance. To incentivize the use of these accounts, some states provide a tax deduction for state taxpayer contributions to an ABLE account.</w:t>
      </w:r>
    </w:p>
    <w:p w:rsidR="008C6F97" w:rsidRDefault="008C6F97" w:rsidP="00A65CE3">
      <w:pPr>
        <w:pStyle w:val="NCDBodyText"/>
      </w:pPr>
      <w:r>
        <w:t>Consistent with federal gift tax law, $14,000 per year from all sources may be deposited into ABLE accounts. Additionally, each individual may save up to $100,000 without the amount in the account counting against the $2,000 resource limit of SSI. Funds in the account can be used tax free to purchase qualified disability expenses such as housing, food, transportation, medical care, education, employment support, legal fees, health and wellness services, assistive technology, financial management, and other expenses that increase the beneficiary’s health, independence, and quality of life. However</w:t>
      </w:r>
      <w:r w:rsidRPr="00B87FF6">
        <w:t xml:space="preserve">, </w:t>
      </w:r>
      <w:r w:rsidRPr="00143074">
        <w:rPr>
          <w:b/>
        </w:rPr>
        <w:t>NCD recommends that Congress approve the ABLE to Work Act to allow people with disabilities who are employed to contribute funds above the $14,000 per year cap to an ABLE account (the maximum allowable amount is $26,060 in 2017).</w:t>
      </w:r>
      <w:r>
        <w:t xml:space="preserve"> People with disabilities who establish ABLE accounts but do not receive SSI are allowed to save up to the amount permitted in each state’s 529 education savings plan to pay for qualified disability expenses. The limits for state 529 education savings plans range from $260,000 to $550,000 depending on the state. </w:t>
      </w:r>
      <w:r w:rsidRPr="00143074">
        <w:rPr>
          <w:b/>
        </w:rPr>
        <w:t>NCD recommends that Congress approve the ABLE Financial Planning Act to allow 529 educational savings accounts to be transitioned to qualifying people with disabilities without incurring penalties or taxes.</w:t>
      </w:r>
    </w:p>
    <w:p w:rsidR="008C6F97" w:rsidRDefault="008C6F97" w:rsidP="00445A92">
      <w:pPr>
        <w:pStyle w:val="NCDBodyText"/>
      </w:pPr>
      <w:r>
        <w:t xml:space="preserve">Currently, 18 states have ABLE programs and 28 states are developing their programs. </w:t>
      </w:r>
      <w:r w:rsidRPr="00143074">
        <w:rPr>
          <w:b/>
        </w:rPr>
        <w:t xml:space="preserve">NCD recommends that all states implement ABLE programs and actively inform people with disabilities and </w:t>
      </w:r>
      <w:r>
        <w:rPr>
          <w:b/>
        </w:rPr>
        <w:t xml:space="preserve">their </w:t>
      </w:r>
      <w:r w:rsidRPr="00143074">
        <w:rPr>
          <w:b/>
        </w:rPr>
        <w:t xml:space="preserve">caregivers of this important new legislation. In addition, the </w:t>
      </w:r>
      <w:r>
        <w:rPr>
          <w:b/>
        </w:rPr>
        <w:t>IRS</w:t>
      </w:r>
      <w:r w:rsidRPr="00143074">
        <w:rPr>
          <w:b/>
        </w:rPr>
        <w:t xml:space="preserve"> should issue final regulations to Section 529A of the Internal Revenue Code on how states can establish a qualified ABLE program</w:t>
      </w:r>
      <w:r w:rsidRPr="00796F53">
        <w:rPr>
          <w:b/>
        </w:rPr>
        <w:t>.</w:t>
      </w:r>
      <w:r>
        <w:t xml:space="preserve"> The ABLE Act allows people with disabilities to build individual savings and invest their money in ways that will enhance their self-sufficiency.</w:t>
      </w:r>
    </w:p>
    <w:p w:rsidR="008C6F97" w:rsidRDefault="008C6F97">
      <w:pPr>
        <w:rPr>
          <w:rFonts w:ascii="Arial" w:eastAsia="Times New Roman" w:hAnsi="Arial" w:cs="Times New Roman"/>
          <w:b/>
          <w:sz w:val="28"/>
          <w:szCs w:val="32"/>
        </w:rPr>
      </w:pPr>
      <w:r>
        <w:br w:type="page"/>
      </w:r>
    </w:p>
    <w:p w:rsidR="008C6F97" w:rsidRPr="00A2007D" w:rsidRDefault="008C6F97" w:rsidP="00A65CE3">
      <w:pPr>
        <w:pStyle w:val="Heading2"/>
        <w:rPr>
          <w:rFonts w:asciiTheme="minorHAnsi" w:eastAsiaTheme="minorHAnsi" w:hAnsiTheme="minorHAnsi"/>
          <w:sz w:val="22"/>
        </w:rPr>
      </w:pPr>
      <w:bookmarkStart w:id="102" w:name="_Toc493507486"/>
      <w:bookmarkStart w:id="103" w:name="_Toc493596690"/>
      <w:r>
        <w:lastRenderedPageBreak/>
        <w:t>Employment</w:t>
      </w:r>
      <w:bookmarkEnd w:id="102"/>
      <w:bookmarkEnd w:id="103"/>
    </w:p>
    <w:p w:rsidR="008C6F97" w:rsidRDefault="008C6F97" w:rsidP="00445A92">
      <w:pPr>
        <w:pStyle w:val="NCDBodyText"/>
      </w:pPr>
      <w:r>
        <w:t xml:space="preserve">NCD is a strong proponent of employment that pays a competitive wage to people with disabilities. Work </w:t>
      </w:r>
      <w:r>
        <w:rPr>
          <w:shd w:val="clear" w:color="auto" w:fill="FFFFFF"/>
        </w:rPr>
        <w:t xml:space="preserve">is the first and preferred outcome in the provision of publicly funded services for all working-age people with disabilities, regardless of their level of disability. </w:t>
      </w:r>
      <w:r>
        <w:t>As of January 2017</w:t>
      </w:r>
      <w:r w:rsidRPr="00C62445">
        <w:t xml:space="preserve">, 46 states have undertaken some activity </w:t>
      </w:r>
      <w:r>
        <w:t xml:space="preserve">to support employment for their citizens with disabilities, </w:t>
      </w:r>
      <w:r w:rsidRPr="00C62445">
        <w:t xml:space="preserve">and 32 </w:t>
      </w:r>
      <w:r>
        <w:t xml:space="preserve">states </w:t>
      </w:r>
      <w:r w:rsidRPr="00C62445">
        <w:t xml:space="preserve">have passed legislation, issued </w:t>
      </w:r>
      <w:r>
        <w:t>E</w:t>
      </w:r>
      <w:r w:rsidRPr="00C62445">
        <w:t xml:space="preserve">xecutive </w:t>
      </w:r>
      <w:r>
        <w:t>O</w:t>
      </w:r>
      <w:r w:rsidRPr="00C62445">
        <w:t>rders, or established policy directives to promote competitive integrated employment</w:t>
      </w:r>
      <w:r>
        <w:t>.</w:t>
      </w:r>
      <w:r>
        <w:rPr>
          <w:rStyle w:val="EndnoteReference"/>
        </w:rPr>
        <w:endnoteReference w:id="139"/>
      </w:r>
    </w:p>
    <w:p w:rsidR="008C6F97" w:rsidRDefault="008C6F97" w:rsidP="00445A92">
      <w:pPr>
        <w:pStyle w:val="NCDBodyText"/>
      </w:pPr>
      <w:r>
        <w:rPr>
          <w:shd w:val="clear" w:color="auto" w:fill="FFFFFF"/>
        </w:rPr>
        <w:t xml:space="preserve">Importantly, work for people with disabilities should be in jobs that pay a competitive wage and offer adequate benefits and accommodations. This includes moving people from sheltered workshops and other segregated settings to integrated employment and completely removing subminimum wage jobs. These ideas have been supported through federal policies and resulted in improved practices in the disability field. In </w:t>
      </w:r>
      <w:r>
        <w:t>2001, RSA</w:t>
      </w:r>
      <w:r w:rsidRPr="002333A2">
        <w:t xml:space="preserve"> </w:t>
      </w:r>
      <w:r>
        <w:t>prohibited placement in sheltered workshops or other segregated settings from counting as an employment outcome for purposes of the VR program.</w:t>
      </w:r>
      <w:r>
        <w:rPr>
          <w:rStyle w:val="EndnoteReference"/>
        </w:rPr>
        <w:endnoteReference w:id="140"/>
      </w:r>
      <w:r>
        <w:t xml:space="preserve"> In 2011, the Centers for Medicare and Medicaid Services specified that prevocational services provided under HCBS waivers are considered a time-limited service while services that support work in the community are long term. DOJ reached settlement agreements in 2014 and 2015 with Rhode Island and Oregon to promote integrated employment</w:t>
      </w:r>
      <w:r w:rsidRPr="00CE4D79">
        <w:t>.</w:t>
      </w:r>
      <w:r w:rsidRPr="00CE4D79">
        <w:rPr>
          <w:rStyle w:val="EndnoteReference"/>
        </w:rPr>
        <w:endnoteReference w:id="141"/>
      </w:r>
      <w:r w:rsidRPr="00CE4D79">
        <w:t xml:space="preserve"> </w:t>
      </w:r>
      <w:r>
        <w:t>Finally, WIOA established the Advisory Committee on Increasing Competitive Integrated Employment for Individuals with Disabilities to advise the U.S. Secretary of Labor on ways to increase competitive integrated employment and improve the use and oversight of 14(c) certificates.</w:t>
      </w:r>
      <w:r>
        <w:rPr>
          <w:rStyle w:val="EndnoteReference"/>
        </w:rPr>
        <w:endnoteReference w:id="142"/>
      </w:r>
      <w:r>
        <w:t xml:space="preserve"> WIOA promotes a focus on transition-age youth, moving people with disabilities into postsecondary training, education, and employment opportunities as early as possible.</w:t>
      </w:r>
    </w:p>
    <w:p w:rsidR="008C6F97" w:rsidRDefault="008C6F97" w:rsidP="00445A92">
      <w:pPr>
        <w:pStyle w:val="NCDBodyText"/>
      </w:pPr>
      <w:r>
        <w:rPr>
          <w:shd w:val="clear" w:color="auto" w:fill="FFFFFF"/>
        </w:rPr>
        <w:t xml:space="preserve">States have followed this trend by implementing an Employment First model, which requires federal, state, and local agencies to modify their policies and funding structures to promote integrated employment. At the same time, VR service providers must retool and retrain their staff to provide supports geared toward integrated rather than segregated employment. Recognizing this challenge, </w:t>
      </w:r>
      <w:r>
        <w:t xml:space="preserve">DOL’s Office of Disability </w:t>
      </w:r>
      <w:r>
        <w:lastRenderedPageBreak/>
        <w:t xml:space="preserve">Employment Policy </w:t>
      </w:r>
      <w:r>
        <w:rPr>
          <w:shd w:val="clear" w:color="auto" w:fill="FFFFFF"/>
        </w:rPr>
        <w:t xml:space="preserve">provides technical assistance to cross-agency teams of state government leaders through its </w:t>
      </w:r>
      <w:r>
        <w:t>Employment First State Leadership Mentor Program. However, i</w:t>
      </w:r>
      <w:r w:rsidRPr="00C62445">
        <w:t>n many states</w:t>
      </w:r>
      <w:r>
        <w:t xml:space="preserve"> to date</w:t>
      </w:r>
      <w:r w:rsidRPr="00C62445">
        <w:t>, Employment First initiatives have resulted in proclamations rather than binding mandates</w:t>
      </w:r>
      <w:r>
        <w:t>.</w:t>
      </w:r>
      <w:r>
        <w:rPr>
          <w:rStyle w:val="EndnoteReference"/>
        </w:rPr>
        <w:endnoteReference w:id="143"/>
      </w:r>
      <w:r>
        <w:t xml:space="preserve"> </w:t>
      </w:r>
      <w:r w:rsidRPr="00A77477">
        <w:rPr>
          <w:b/>
        </w:rPr>
        <w:t>NCD recommends that states mandate the development of Employment First initiatives to reflect stronger legislative and policy support for competitive integrated employment opportunities</w:t>
      </w:r>
      <w:r>
        <w:rPr>
          <w:b/>
        </w:rPr>
        <w:t>,</w:t>
      </w:r>
      <w:r w:rsidRPr="00A77477">
        <w:rPr>
          <w:b/>
        </w:rPr>
        <w:t xml:space="preserve"> </w:t>
      </w:r>
      <w:r>
        <w:rPr>
          <w:b/>
        </w:rPr>
        <w:t>which will</w:t>
      </w:r>
      <w:r w:rsidRPr="00143074">
        <w:rPr>
          <w:b/>
        </w:rPr>
        <w:t xml:space="preserve"> increase opportunities for economic independence for youth and adults with disabilities.</w:t>
      </w:r>
    </w:p>
    <w:p w:rsidR="008C6F97" w:rsidRDefault="008C6F97" w:rsidP="00A65CE3">
      <w:pPr>
        <w:pStyle w:val="Heading2"/>
      </w:pPr>
      <w:bookmarkStart w:id="104" w:name="_Toc493507487"/>
      <w:bookmarkStart w:id="105" w:name="_Toc493596691"/>
      <w:r w:rsidRPr="00994E9A">
        <w:t>Housing</w:t>
      </w:r>
      <w:bookmarkEnd w:id="104"/>
      <w:bookmarkEnd w:id="105"/>
    </w:p>
    <w:p w:rsidR="008C6F97" w:rsidRDefault="008C6F97" w:rsidP="00445A92">
      <w:pPr>
        <w:pStyle w:val="NCDBodyText"/>
      </w:pPr>
      <w:r w:rsidRPr="00197D3E">
        <w:t>People with and without disabilities want to be part of a safe, integrated</w:t>
      </w:r>
      <w:r>
        <w:t xml:space="preserve">, and </w:t>
      </w:r>
      <w:r w:rsidRPr="00197D3E">
        <w:t xml:space="preserve">inclusive community, where they can </w:t>
      </w:r>
      <w:r>
        <w:t xml:space="preserve">live </w:t>
      </w:r>
      <w:r w:rsidRPr="00197D3E">
        <w:t xml:space="preserve">independently </w:t>
      </w:r>
      <w:r>
        <w:t xml:space="preserve">with reasonable </w:t>
      </w:r>
      <w:r w:rsidRPr="00197D3E">
        <w:t xml:space="preserve">access </w:t>
      </w:r>
      <w:r>
        <w:t xml:space="preserve">to </w:t>
      </w:r>
      <w:r w:rsidRPr="00197D3E">
        <w:t>education</w:t>
      </w:r>
      <w:r>
        <w:t xml:space="preserve">al institutions, </w:t>
      </w:r>
      <w:r w:rsidRPr="00197D3E">
        <w:t>jobs</w:t>
      </w:r>
      <w:r>
        <w:t>, and services.</w:t>
      </w:r>
      <w:r w:rsidRPr="00197D3E">
        <w:t xml:space="preserve"> </w:t>
      </w:r>
      <w:r>
        <w:t>C</w:t>
      </w:r>
      <w:r w:rsidRPr="0054264D">
        <w:t xml:space="preserve">ommunities </w:t>
      </w:r>
      <w:r>
        <w:t xml:space="preserve">need to </w:t>
      </w:r>
      <w:r w:rsidRPr="0054264D">
        <w:t>promote</w:t>
      </w:r>
      <w:r>
        <w:t xml:space="preserve"> investments in</w:t>
      </w:r>
      <w:r w:rsidRPr="0054264D">
        <w:t xml:space="preserve"> infrastructure and developments that include diverse yet integrated</w:t>
      </w:r>
      <w:r>
        <w:t xml:space="preserve"> housing and</w:t>
      </w:r>
      <w:r w:rsidRPr="0054264D">
        <w:t xml:space="preserve"> transportation that will allow access to jobs, schools</w:t>
      </w:r>
      <w:r>
        <w:t>,</w:t>
      </w:r>
      <w:r w:rsidRPr="0054264D">
        <w:t xml:space="preserve"> and stores </w:t>
      </w:r>
      <w:r>
        <w:t>to</w:t>
      </w:r>
      <w:r w:rsidRPr="0054264D">
        <w:t xml:space="preserve"> promote economic opportunity for all residents.</w:t>
      </w:r>
      <w:r>
        <w:t xml:space="preserve"> In some communities, there is a move toward using collaborative partnerships that include federal, state, local, private, and nonprofit organizations to address the needs of people with disabilities along with the needs of the entire community.</w:t>
      </w:r>
      <w:r>
        <w:rPr>
          <w:rStyle w:val="EndnoteReference"/>
        </w:rPr>
        <w:endnoteReference w:id="144"/>
      </w:r>
      <w:r w:rsidRPr="00C35DCE">
        <w:t xml:space="preserve"> </w:t>
      </w:r>
      <w:r>
        <w:t>There are a number of promising programs and practices that address the need for affordable housing for low-income individuals and families across the United States, including people with disabilities.</w:t>
      </w:r>
    </w:p>
    <w:p w:rsidR="008C6F97" w:rsidRDefault="008C6F97" w:rsidP="00445A92">
      <w:pPr>
        <w:pStyle w:val="NCDBodyText"/>
      </w:pPr>
      <w:r>
        <w:t xml:space="preserve">Universal design for housing has been used in home construction since the 1980s. It seeks to create accessible and barrier-free housing and exceeds the minimum legislated specifications for accessible and barrier-free housing. Accessibility and usability is a goal of design from the start. One of the main concepts behind universal design is that it includes </w:t>
      </w:r>
      <w:r w:rsidRPr="00413C7E">
        <w:t xml:space="preserve">features </w:t>
      </w:r>
      <w:r>
        <w:t>that help</w:t>
      </w:r>
      <w:r w:rsidRPr="00413C7E">
        <w:t xml:space="preserve"> people with disabilities</w:t>
      </w:r>
      <w:r>
        <w:t xml:space="preserve"> live independently</w:t>
      </w:r>
      <w:r w:rsidRPr="00413C7E">
        <w:t xml:space="preserve"> </w:t>
      </w:r>
      <w:r>
        <w:t>but are</w:t>
      </w:r>
      <w:r w:rsidRPr="00413C7E">
        <w:t xml:space="preserve"> </w:t>
      </w:r>
      <w:r>
        <w:t xml:space="preserve">also </w:t>
      </w:r>
      <w:r w:rsidRPr="00413C7E">
        <w:t xml:space="preserve">useful to </w:t>
      </w:r>
      <w:r>
        <w:t>people without disabilities</w:t>
      </w:r>
      <w:r w:rsidRPr="00413C7E">
        <w:t>.</w:t>
      </w:r>
      <w:r>
        <w:t xml:space="preserve"> Universal design for housing makes homes easier for people to use throughout their lifetime, supporting independent living and aging in place for everyone. Homes are built with adaptable or adjustable features and have products that are universally usable and commonly available.</w:t>
      </w:r>
      <w:r>
        <w:rPr>
          <w:rStyle w:val="EndnoteReference"/>
        </w:rPr>
        <w:endnoteReference w:id="145"/>
      </w:r>
      <w:r>
        <w:t xml:space="preserve"> The Fairfax County, Virginia, Board of Supervisors is an example of a community-based group that </w:t>
      </w:r>
      <w:r>
        <w:lastRenderedPageBreak/>
        <w:t>has made a commitment to supporting housing that will benefit all residents. The Board of Supervisors created the Fairfax County Coalition on Housing and Universal Design, which is a public-private partnership between contractors, remodelers, interior designers, occupational and physical therapists, area agencies on aging, advocates for older adults and people with disabilities, and Fairfax County government representatives.</w:t>
      </w:r>
      <w:r>
        <w:rPr>
          <w:rStyle w:val="EndnoteReference"/>
        </w:rPr>
        <w:endnoteReference w:id="146"/>
      </w:r>
      <w:r>
        <w:t xml:space="preserve"> The coalition promotes</w:t>
      </w:r>
      <w:r w:rsidRPr="00E511A8">
        <w:t xml:space="preserve"> </w:t>
      </w:r>
      <w:r>
        <w:t xml:space="preserve">the incorporation of </w:t>
      </w:r>
      <w:r w:rsidRPr="00E511A8">
        <w:t>universal design features</w:t>
      </w:r>
      <w:r>
        <w:t xml:space="preserve"> into </w:t>
      </w:r>
      <w:r w:rsidRPr="00E511A8">
        <w:t xml:space="preserve">new single family homes </w:t>
      </w:r>
      <w:r>
        <w:t xml:space="preserve">and </w:t>
      </w:r>
      <w:r w:rsidRPr="00E511A8">
        <w:t xml:space="preserve">encourages the Multiple Listing Services Database to include information about </w:t>
      </w:r>
      <w:r>
        <w:t>universal</w:t>
      </w:r>
      <w:r w:rsidRPr="00E511A8">
        <w:t xml:space="preserve"> design features in homes for sale.</w:t>
      </w:r>
      <w:r>
        <w:rPr>
          <w:rStyle w:val="EndnoteReference"/>
        </w:rPr>
        <w:endnoteReference w:id="147"/>
      </w:r>
      <w:r>
        <w:t xml:space="preserve"> The National Association of the Remodeling Industry and the National Association of Home Builders also offer certifications to support the integration of universal design concepts into residential construction.</w:t>
      </w:r>
      <w:r>
        <w:rPr>
          <w:rStyle w:val="EndnoteReference"/>
        </w:rPr>
        <w:endnoteReference w:id="148"/>
      </w:r>
      <w:r>
        <w:t xml:space="preserve"> Despite this example, universal design for housing has not been widely adopted in the design community (e.g., among designers and builders) because it is perceived as a design solely for people with disabilities or as cost-prohibitive. However, new homes that are built with universal design in mind can be built at a cost</w:t>
      </w:r>
      <w:r w:rsidRPr="00D60BCF">
        <w:t xml:space="preserve"> similar</w:t>
      </w:r>
      <w:r>
        <w:t xml:space="preserve"> to that of other new homes.</w:t>
      </w:r>
      <w:r>
        <w:rPr>
          <w:rStyle w:val="EndnoteReference"/>
        </w:rPr>
        <w:endnoteReference w:id="149"/>
      </w:r>
      <w:r>
        <w:t xml:space="preserve"> In addition, universal design</w:t>
      </w:r>
      <w:r w:rsidRPr="00E511A8">
        <w:t xml:space="preserve"> allows people to age in place and</w:t>
      </w:r>
      <w:r>
        <w:t xml:space="preserve"> potentially</w:t>
      </w:r>
      <w:r w:rsidRPr="00E511A8">
        <w:t xml:space="preserve"> reduces the need for community service</w:t>
      </w:r>
      <w:r>
        <w:t>s</w:t>
      </w:r>
      <w:r w:rsidRPr="00E511A8">
        <w:t xml:space="preserve"> and nursing </w:t>
      </w:r>
      <w:r>
        <w:t>home care</w:t>
      </w:r>
      <w:r w:rsidRPr="00F21CA8">
        <w:t>.</w:t>
      </w:r>
      <w:r w:rsidRPr="00143074">
        <w:rPr>
          <w:b/>
        </w:rPr>
        <w:t xml:space="preserve"> NCD recommends that </w:t>
      </w:r>
      <w:r>
        <w:rPr>
          <w:b/>
        </w:rPr>
        <w:t xml:space="preserve">HUD </w:t>
      </w:r>
      <w:r w:rsidRPr="00143074">
        <w:rPr>
          <w:b/>
        </w:rPr>
        <w:t>require that all federally assisted housing units are designed following universal design principles and that local communities support greater investment in housing developments incorporating universal design</w:t>
      </w:r>
      <w:r w:rsidRPr="00796F53">
        <w:rPr>
          <w:b/>
        </w:rPr>
        <w:t>.</w:t>
      </w:r>
    </w:p>
    <w:p w:rsidR="008C6F97" w:rsidRDefault="008C6F97" w:rsidP="00445A92">
      <w:pPr>
        <w:pStyle w:val="NCDBodyText"/>
      </w:pPr>
      <w:r>
        <w:t>A</w:t>
      </w:r>
      <w:r w:rsidRPr="008C4142">
        <w:t xml:space="preserve">ffordable housing should be available to </w:t>
      </w:r>
      <w:r>
        <w:t xml:space="preserve">all </w:t>
      </w:r>
      <w:r w:rsidRPr="008C4142">
        <w:t xml:space="preserve">people </w:t>
      </w:r>
      <w:r>
        <w:t>regardless of</w:t>
      </w:r>
      <w:r w:rsidRPr="008C4142">
        <w:t xml:space="preserve"> </w:t>
      </w:r>
      <w:r>
        <w:t xml:space="preserve">disability or income. In Montgomery County, Maryland, the </w:t>
      </w:r>
      <w:r w:rsidRPr="008C4142">
        <w:t xml:space="preserve">Moderately Priced Housing (MPH) Law </w:t>
      </w:r>
      <w:r>
        <w:t xml:space="preserve">passed </w:t>
      </w:r>
      <w:r w:rsidRPr="008C4142">
        <w:t xml:space="preserve">in 1974 </w:t>
      </w:r>
      <w:r>
        <w:t xml:space="preserve">addressed the need for affordable housing among Montgomery County, Maryland, residents. The law requires that </w:t>
      </w:r>
      <w:r w:rsidRPr="00FF5BF9">
        <w:t>12.5</w:t>
      </w:r>
      <w:r>
        <w:rPr>
          <w:rFonts w:cs="Arial"/>
        </w:rPr>
        <w:t xml:space="preserve"> to </w:t>
      </w:r>
      <w:r w:rsidRPr="00FF5BF9">
        <w:t>15</w:t>
      </w:r>
      <w:r>
        <w:t xml:space="preserve"> percent</w:t>
      </w:r>
      <w:r w:rsidRPr="00FF5BF9">
        <w:t xml:space="preserve"> of the total number of units in </w:t>
      </w:r>
      <w:r>
        <w:t>any new</w:t>
      </w:r>
      <w:r w:rsidRPr="00FF5BF9">
        <w:t xml:space="preserve"> development</w:t>
      </w:r>
      <w:r>
        <w:t xml:space="preserve"> with 20 or more units include ”</w:t>
      </w:r>
      <w:r w:rsidRPr="008C4142">
        <w:t>moderately priced dwelling units</w:t>
      </w:r>
      <w:r>
        <w:t xml:space="preserve">,” and </w:t>
      </w:r>
      <w:r w:rsidRPr="008C4142">
        <w:t>that 40</w:t>
      </w:r>
      <w:r>
        <w:t xml:space="preserve"> percent</w:t>
      </w:r>
      <w:r w:rsidRPr="008C4142">
        <w:t xml:space="preserve"> of the </w:t>
      </w:r>
      <w:r>
        <w:t>moderately priced units</w:t>
      </w:r>
      <w:r w:rsidRPr="008C4142">
        <w:t xml:space="preserve"> </w:t>
      </w:r>
      <w:r>
        <w:t>be made available to</w:t>
      </w:r>
      <w:r w:rsidRPr="008C4142">
        <w:t xml:space="preserve"> housing agencies for </w:t>
      </w:r>
      <w:r>
        <w:t xml:space="preserve">families with </w:t>
      </w:r>
      <w:r w:rsidRPr="008C4142">
        <w:t>low and moderate</w:t>
      </w:r>
      <w:r>
        <w:t xml:space="preserve"> </w:t>
      </w:r>
      <w:r w:rsidRPr="008C4142">
        <w:t>income</w:t>
      </w:r>
      <w:r>
        <w:t>.</w:t>
      </w:r>
      <w:r>
        <w:rPr>
          <w:rStyle w:val="EndnoteReference"/>
        </w:rPr>
        <w:endnoteReference w:id="150"/>
      </w:r>
      <w:r>
        <w:t xml:space="preserve"> Between 1974 and 2004, 11,000 affordable housing units were built in Montgomery County because of the MPH law.</w:t>
      </w:r>
      <w:r>
        <w:rPr>
          <w:rStyle w:val="EndnoteReference"/>
        </w:rPr>
        <w:endnoteReference w:id="151"/>
      </w:r>
      <w:r>
        <w:t xml:space="preserve"> Policies like this should be expanded to include requirements for affordable, accessible housing in new communities so that there is an adequate supply of affordable, accessible housing available to people with disabilities. </w:t>
      </w:r>
      <w:r w:rsidRPr="00143074">
        <w:rPr>
          <w:b/>
        </w:rPr>
        <w:t xml:space="preserve">NCD recommends that local </w:t>
      </w:r>
      <w:r w:rsidRPr="00143074">
        <w:rPr>
          <w:b/>
        </w:rPr>
        <w:lastRenderedPageBreak/>
        <w:t xml:space="preserve">communities pass ordinances like the MPH law that, along with affordability </w:t>
      </w:r>
      <w:proofErr w:type="gramStart"/>
      <w:r w:rsidRPr="00143074">
        <w:rPr>
          <w:b/>
        </w:rPr>
        <w:t>guidelines,</w:t>
      </w:r>
      <w:proofErr w:type="gramEnd"/>
      <w:r w:rsidRPr="00143074">
        <w:rPr>
          <w:b/>
        </w:rPr>
        <w:t xml:space="preserve"> include requirements for accessible housing in new developments</w:t>
      </w:r>
      <w:r w:rsidRPr="00796F53">
        <w:rPr>
          <w:b/>
        </w:rPr>
        <w:t>.</w:t>
      </w:r>
    </w:p>
    <w:p w:rsidR="008C6F97" w:rsidRDefault="008C6F97" w:rsidP="00445A92">
      <w:pPr>
        <w:pStyle w:val="NCDBodyText"/>
      </w:pPr>
      <w:r>
        <w:t xml:space="preserve">The </w:t>
      </w:r>
      <w:r w:rsidRPr="0054264D">
        <w:t>Democracy Collaborative</w:t>
      </w:r>
      <w:r>
        <w:t xml:space="preserve"> supports collaborative efforts to address economic and health disparities in economically struggling metropolitan areas through the Anchor Institution Initiative. Anchor institutions are defined as universities, hospitals, public utilities, municipal governments, foundations, and faith-based institutions—all organizations or entities that are “rooted” in the community.</w:t>
      </w:r>
      <w:r>
        <w:rPr>
          <w:rStyle w:val="EndnoteReference"/>
        </w:rPr>
        <w:endnoteReference w:id="152"/>
      </w:r>
      <w:r w:rsidRPr="0054264D">
        <w:t xml:space="preserve"> </w:t>
      </w:r>
      <w:r>
        <w:t>Anchor institutions collaborate on issues such as affordable housing, job training and job creation, investment in transportation, and supporting small businesses and businesses owned by people from diverse racial backgrounds. These efforts are geared toward all residents but can support people with disabilities to live independently and fully participate in their community.</w:t>
      </w:r>
    </w:p>
    <w:p w:rsidR="008C6F97" w:rsidRDefault="008C6F97" w:rsidP="00445A92">
      <w:pPr>
        <w:pStyle w:val="NCDBodyText"/>
      </w:pPr>
      <w:r>
        <w:t xml:space="preserve">Similarly, the </w:t>
      </w:r>
      <w:r w:rsidRPr="0008699C">
        <w:t>Sustainable Communities Initiative</w:t>
      </w:r>
      <w:r>
        <w:t xml:space="preserve"> is a</w:t>
      </w:r>
      <w:r w:rsidRPr="0008699C">
        <w:t>n interagency partnership between HUD</w:t>
      </w:r>
      <w:r>
        <w:t xml:space="preserve">, </w:t>
      </w:r>
      <w:r w:rsidRPr="0008699C">
        <w:t>DOT</w:t>
      </w:r>
      <w:r>
        <w:t xml:space="preserve">, and the Environmental Protection Agency that is </w:t>
      </w:r>
      <w:r w:rsidRPr="00ED5CF6">
        <w:t>implemented by the HUD Office of Economic Resilience</w:t>
      </w:r>
      <w:r>
        <w:t>. The initiative</w:t>
      </w:r>
      <w:r w:rsidRPr="00ED5CF6">
        <w:t xml:space="preserve"> encompasses two competitive grant programs</w:t>
      </w:r>
      <w:r>
        <w:t xml:space="preserve">: (1) the </w:t>
      </w:r>
      <w:r w:rsidRPr="00ED5CF6">
        <w:t>Sustainable Communities Regional Planning Grant Program</w:t>
      </w:r>
      <w:r>
        <w:t>, and (2) the C</w:t>
      </w:r>
      <w:r w:rsidRPr="00ED5CF6">
        <w:t>ommunity Challenge Grant Program</w:t>
      </w:r>
      <w:r>
        <w:t>.</w:t>
      </w:r>
      <w:r>
        <w:rPr>
          <w:rStyle w:val="EndnoteReference"/>
        </w:rPr>
        <w:endnoteReference w:id="153"/>
      </w:r>
      <w:r>
        <w:t xml:space="preserve"> The goals of the initiative are to </w:t>
      </w:r>
      <w:r w:rsidRPr="00ED5CF6">
        <w:t>address environmental, social</w:t>
      </w:r>
      <w:r>
        <w:t>, and</w:t>
      </w:r>
      <w:r w:rsidRPr="00ED5CF6">
        <w:t xml:space="preserve"> economic challenges faced by regions and communities in </w:t>
      </w:r>
      <w:r>
        <w:t>a time</w:t>
      </w:r>
      <w:r w:rsidRPr="00ED5CF6">
        <w:t xml:space="preserve"> of growing need and tightening budgets</w:t>
      </w:r>
      <w:r>
        <w:t xml:space="preserve"> at all levels.</w:t>
      </w:r>
      <w:r w:rsidRPr="0008699C">
        <w:t xml:space="preserve"> In recent years, communities around the country have taken a new </w:t>
      </w:r>
      <w:r>
        <w:t xml:space="preserve">collaborative </w:t>
      </w:r>
      <w:r w:rsidRPr="0008699C">
        <w:t>approach to</w:t>
      </w:r>
      <w:r>
        <w:t xml:space="preserve"> community planning, recognizing that they need to have a broader understanding of the needs of in the community when making future infrastructure investments.</w:t>
      </w:r>
    </w:p>
    <w:p w:rsidR="008C6F97" w:rsidRDefault="008C6F97" w:rsidP="00445A92">
      <w:pPr>
        <w:pStyle w:val="NCDBodyText"/>
      </w:pPr>
      <w:r>
        <w:t xml:space="preserve">In 2010, the </w:t>
      </w:r>
      <w:r w:rsidRPr="001E647C">
        <w:t>Federal Emergency Management Agency</w:t>
      </w:r>
      <w:r>
        <w:t xml:space="preserve"> created the </w:t>
      </w:r>
      <w:r w:rsidRPr="001E647C">
        <w:t>Office of Disability Integration and Coordination</w:t>
      </w:r>
      <w:r>
        <w:t xml:space="preserve"> (ODIC)</w:t>
      </w:r>
      <w:r w:rsidRPr="001E647C">
        <w:t xml:space="preserve"> </w:t>
      </w:r>
      <w:r>
        <w:t xml:space="preserve">in an effort to improve access to emergency preparedness information and ensure that the needs of people with disabilities are met in times of emergencies. People with disabilities experience a variety of challenges during an emergency, including </w:t>
      </w:r>
      <w:r w:rsidRPr="001E647C">
        <w:t>accessible transportation during an evacuation, maintain</w:t>
      </w:r>
      <w:r>
        <w:t>ing</w:t>
      </w:r>
      <w:r w:rsidRPr="001E647C">
        <w:t xml:space="preserve"> their independence in a shelter, find</w:t>
      </w:r>
      <w:r>
        <w:t>ing</w:t>
      </w:r>
      <w:r w:rsidRPr="001E647C">
        <w:t xml:space="preserve"> accessible housing if theirs has been destroyed, </w:t>
      </w:r>
      <w:r>
        <w:t xml:space="preserve">and </w:t>
      </w:r>
      <w:r w:rsidRPr="001E647C">
        <w:t>access</w:t>
      </w:r>
      <w:r>
        <w:t>ing</w:t>
      </w:r>
      <w:r w:rsidRPr="001E647C">
        <w:t xml:space="preserve"> services to enable them to return to work</w:t>
      </w:r>
      <w:r>
        <w:t>.</w:t>
      </w:r>
      <w:r>
        <w:rPr>
          <w:rStyle w:val="EndnoteReference"/>
        </w:rPr>
        <w:endnoteReference w:id="154"/>
      </w:r>
      <w:r>
        <w:t xml:space="preserve"> Although </w:t>
      </w:r>
      <w:r w:rsidRPr="00D71B1C">
        <w:t>ODIC has improved the outcomes of people with disabilities before, during</w:t>
      </w:r>
      <w:r>
        <w:t>,</w:t>
      </w:r>
      <w:r w:rsidRPr="00D71B1C">
        <w:t xml:space="preserve"> and after an </w:t>
      </w:r>
      <w:r w:rsidRPr="00D71B1C">
        <w:lastRenderedPageBreak/>
        <w:t>emergency</w:t>
      </w:r>
      <w:r>
        <w:t>,</w:t>
      </w:r>
      <w:r w:rsidRPr="00D71B1C">
        <w:t xml:space="preserve"> </w:t>
      </w:r>
      <w:r>
        <w:t>p</w:t>
      </w:r>
      <w:r w:rsidRPr="00D71B1C">
        <w:t xml:space="preserve">eople with disabilities and emergency managers </w:t>
      </w:r>
      <w:r>
        <w:t>need to build on existing emergency management efforts</w:t>
      </w:r>
      <w:r w:rsidRPr="00D71B1C">
        <w:t xml:space="preserve"> </w:t>
      </w:r>
      <w:r>
        <w:t>to</w:t>
      </w:r>
      <w:r w:rsidRPr="00D71B1C">
        <w:t xml:space="preserve"> foster inclusive disaster planning and fully accessible disaster services</w:t>
      </w:r>
      <w:r>
        <w:t>. It is imperative that people with disabilities are included in the development and implementation of these initiatives to ensure that their accessible and affordable housing and transportation needs are fully considered and addressed.</w:t>
      </w:r>
    </w:p>
    <w:p w:rsidR="008C6F97" w:rsidRPr="00ED0421" w:rsidRDefault="008C6F97" w:rsidP="00A65CE3">
      <w:pPr>
        <w:pStyle w:val="Heading2"/>
      </w:pPr>
      <w:bookmarkStart w:id="106" w:name="_Toc493507488"/>
      <w:bookmarkStart w:id="107" w:name="_Toc493596692"/>
      <w:bookmarkStart w:id="108" w:name="_Toc478320962"/>
      <w:r w:rsidRPr="00ED0421">
        <w:t xml:space="preserve">Underutilized </w:t>
      </w:r>
      <w:r>
        <w:t>P</w:t>
      </w:r>
      <w:r w:rsidRPr="00ED0421">
        <w:t xml:space="preserve">olicies, </w:t>
      </w:r>
      <w:r>
        <w:t>P</w:t>
      </w:r>
      <w:r w:rsidRPr="00ED0421">
        <w:t xml:space="preserve">rograms, and </w:t>
      </w:r>
      <w:r>
        <w:t>P</w:t>
      </w:r>
      <w:r w:rsidRPr="00ED0421">
        <w:t>ractices</w:t>
      </w:r>
      <w:bookmarkEnd w:id="106"/>
      <w:bookmarkEnd w:id="107"/>
      <w:r w:rsidRPr="00ED0421">
        <w:t xml:space="preserve"> </w:t>
      </w:r>
      <w:bookmarkEnd w:id="108"/>
    </w:p>
    <w:p w:rsidR="008C6F97" w:rsidRDefault="008C6F97" w:rsidP="00445A92">
      <w:pPr>
        <w:pStyle w:val="NCDBodyTextSpaceBefore"/>
      </w:pPr>
      <w:r>
        <w:t>In addition to the promising policies and programs described previously, there are existing programs that could be effective if they were implemented fully. Programs like the SSA</w:t>
      </w:r>
      <w:r w:rsidRPr="00D32371">
        <w:t>’s Ticket to Work (TTW) program</w:t>
      </w:r>
      <w:r>
        <w:t xml:space="preserve"> and the Medicaid Buy-In programs were created to promote employment for people with disabilities while recognizing the importance of maintaining health benefits. However, both programs are currently underutilized by people with disabilities.</w:t>
      </w:r>
    </w:p>
    <w:p w:rsidR="008C6F97" w:rsidRPr="00D32371" w:rsidRDefault="008C6F97" w:rsidP="00445A92">
      <w:pPr>
        <w:pStyle w:val="NCDBodyText"/>
      </w:pPr>
      <w:r>
        <w:t>Established in 1999, t</w:t>
      </w:r>
      <w:r w:rsidRPr="00D32371">
        <w:t xml:space="preserve">he </w:t>
      </w:r>
      <w:r>
        <w:t>SSA’s</w:t>
      </w:r>
      <w:r w:rsidRPr="00D32371">
        <w:t xml:space="preserve"> TTW program is a voluntary program designed to promote employment among SSI and SSDI beneficiaries and reduce their dependence on benefit</w:t>
      </w:r>
      <w:r>
        <w:t>s. TTW</w:t>
      </w:r>
      <w:r w:rsidRPr="00D32371">
        <w:t xml:space="preserve"> expand</w:t>
      </w:r>
      <w:r>
        <w:t>s people with disabilities’</w:t>
      </w:r>
      <w:r w:rsidRPr="00D32371">
        <w:t xml:space="preserve"> choice of employment support providers beyond </w:t>
      </w:r>
      <w:r>
        <w:t>VR</w:t>
      </w:r>
      <w:r w:rsidRPr="00D32371">
        <w:t xml:space="preserve"> and other public providers</w:t>
      </w:r>
      <w:r>
        <w:t>. N</w:t>
      </w:r>
      <w:r w:rsidRPr="00D32371">
        <w:t xml:space="preserve">onprofit, for-profit, and government agencies can become an </w:t>
      </w:r>
      <w:r>
        <w:t>e</w:t>
      </w:r>
      <w:r w:rsidRPr="00D32371">
        <w:t xml:space="preserve">mployment </w:t>
      </w:r>
      <w:r>
        <w:t>n</w:t>
      </w:r>
      <w:r w:rsidRPr="00D32371">
        <w:t xml:space="preserve">etwork (EN) by entering an agreement with </w:t>
      </w:r>
      <w:r>
        <w:t>SSA</w:t>
      </w:r>
      <w:r w:rsidRPr="00D32371">
        <w:t xml:space="preserve"> to provide employment and other services</w:t>
      </w:r>
      <w:r>
        <w:t xml:space="preserve"> to people with disabilities</w:t>
      </w:r>
      <w:r w:rsidRPr="00D32371">
        <w:t xml:space="preserve">. </w:t>
      </w:r>
      <w:r>
        <w:t>People with disabilities in the TTW program are given a “ticket” that allows them to</w:t>
      </w:r>
      <w:r w:rsidRPr="00D32371">
        <w:t xml:space="preserve"> contact any EN in their area </w:t>
      </w:r>
      <w:r>
        <w:t xml:space="preserve">or </w:t>
      </w:r>
      <w:r w:rsidRPr="00D32371">
        <w:t xml:space="preserve">nationally to </w:t>
      </w:r>
      <w:r>
        <w:t>find the services and supports that meet their needs</w:t>
      </w:r>
      <w:r w:rsidRPr="00D32371">
        <w:t xml:space="preserve">. </w:t>
      </w:r>
      <w:r>
        <w:t xml:space="preserve">For a ticket to be activated, the person with a disability must engage an EN or VR agency for services. </w:t>
      </w:r>
      <w:r w:rsidRPr="00D32371">
        <w:t xml:space="preserve">SSA </w:t>
      </w:r>
      <w:r>
        <w:t xml:space="preserve">then provides </w:t>
      </w:r>
      <w:r w:rsidRPr="00D32371">
        <w:t>pay</w:t>
      </w:r>
      <w:r>
        <w:t>ments to</w:t>
      </w:r>
      <w:r w:rsidRPr="00D32371">
        <w:t xml:space="preserve"> the EN based on </w:t>
      </w:r>
      <w:r>
        <w:t xml:space="preserve">specific </w:t>
      </w:r>
      <w:r w:rsidRPr="00D32371">
        <w:t>employment milestones or outcomes.</w:t>
      </w:r>
      <w:r>
        <w:t xml:space="preserve"> </w:t>
      </w:r>
    </w:p>
    <w:p w:rsidR="008C6F97" w:rsidRPr="00D32371" w:rsidRDefault="008C6F97" w:rsidP="00445A92">
      <w:pPr>
        <w:pStyle w:val="NCDBodyText"/>
      </w:pPr>
      <w:r>
        <w:rPr>
          <w:shd w:val="clear" w:color="auto" w:fill="FFFFFF"/>
        </w:rPr>
        <w:t xml:space="preserve">Despite providing people with disabilities with additional choices for employment support providers, </w:t>
      </w:r>
      <w:r w:rsidRPr="00D32371">
        <w:rPr>
          <w:shd w:val="clear" w:color="auto" w:fill="FFFFFF"/>
        </w:rPr>
        <w:t xml:space="preserve">TTW and related programs </w:t>
      </w:r>
      <w:r>
        <w:rPr>
          <w:shd w:val="clear" w:color="auto" w:fill="FFFFFF"/>
        </w:rPr>
        <w:t>have had</w:t>
      </w:r>
      <w:r w:rsidRPr="00D32371">
        <w:rPr>
          <w:shd w:val="clear" w:color="auto" w:fill="FFFFFF"/>
        </w:rPr>
        <w:t xml:space="preserve"> a limited effect on the employment </w:t>
      </w:r>
      <w:r>
        <w:rPr>
          <w:shd w:val="clear" w:color="auto" w:fill="FFFFFF"/>
        </w:rPr>
        <w:t xml:space="preserve">outcomes </w:t>
      </w:r>
      <w:r w:rsidRPr="00D32371">
        <w:rPr>
          <w:shd w:val="clear" w:color="auto" w:fill="FFFFFF"/>
        </w:rPr>
        <w:t xml:space="preserve">of </w:t>
      </w:r>
      <w:r>
        <w:rPr>
          <w:shd w:val="clear" w:color="auto" w:fill="FFFFFF"/>
        </w:rPr>
        <w:t>SSDI</w:t>
      </w:r>
      <w:r w:rsidRPr="00D32371">
        <w:rPr>
          <w:shd w:val="clear" w:color="auto" w:fill="FFFFFF"/>
        </w:rPr>
        <w:t xml:space="preserve"> beneficiaries</w:t>
      </w:r>
      <w:r>
        <w:rPr>
          <w:shd w:val="clear" w:color="auto" w:fill="FFFFFF"/>
        </w:rPr>
        <w:t>.</w:t>
      </w:r>
      <w:r>
        <w:rPr>
          <w:rStyle w:val="EndnoteReference"/>
          <w:shd w:val="clear" w:color="auto" w:fill="FFFFFF"/>
        </w:rPr>
        <w:endnoteReference w:id="155"/>
      </w:r>
      <w:r w:rsidRPr="00D32371">
        <w:rPr>
          <w:shd w:val="clear" w:color="auto" w:fill="FFFFFF"/>
        </w:rPr>
        <w:t xml:space="preserve"> </w:t>
      </w:r>
      <w:r>
        <w:rPr>
          <w:shd w:val="clear" w:color="auto" w:fill="FFFFFF"/>
        </w:rPr>
        <w:t>As of 2013,</w:t>
      </w:r>
      <w:r w:rsidRPr="00D32371">
        <w:t xml:space="preserve"> of the 13.5 million tickets issued</w:t>
      </w:r>
      <w:r>
        <w:t xml:space="preserve"> by SSA</w:t>
      </w:r>
      <w:r w:rsidRPr="00D32371">
        <w:t xml:space="preserve">, 316,575 </w:t>
      </w:r>
      <w:r>
        <w:t xml:space="preserve">(or </w:t>
      </w:r>
      <w:r w:rsidRPr="00D32371">
        <w:t>approximately 2.3</w:t>
      </w:r>
      <w:r>
        <w:t xml:space="preserve"> percent)</w:t>
      </w:r>
      <w:r w:rsidRPr="00D32371">
        <w:t xml:space="preserve"> </w:t>
      </w:r>
      <w:r>
        <w:t>of the tickets issued were</w:t>
      </w:r>
      <w:r w:rsidRPr="00D32371">
        <w:t xml:space="preserve"> activated. Of all tickets in use, 87</w:t>
      </w:r>
      <w:r>
        <w:t xml:space="preserve"> percent</w:t>
      </w:r>
      <w:r w:rsidRPr="00D32371">
        <w:t xml:space="preserve"> </w:t>
      </w:r>
      <w:r>
        <w:t>were</w:t>
      </w:r>
      <w:r w:rsidRPr="00D32371">
        <w:t xml:space="preserve"> assigned to state VR agencies rather than</w:t>
      </w:r>
      <w:r>
        <w:t xml:space="preserve"> other</w:t>
      </w:r>
      <w:r w:rsidRPr="00D32371">
        <w:t xml:space="preserve"> </w:t>
      </w:r>
      <w:proofErr w:type="spellStart"/>
      <w:proofErr w:type="gramStart"/>
      <w:r w:rsidRPr="00D32371">
        <w:t>ENs.</w:t>
      </w:r>
      <w:proofErr w:type="spellEnd"/>
      <w:proofErr w:type="gramEnd"/>
      <w:r>
        <w:t xml:space="preserve"> Through the TTW program,</w:t>
      </w:r>
      <w:r w:rsidRPr="00D32371">
        <w:t xml:space="preserve"> 23,785 </w:t>
      </w:r>
      <w:r>
        <w:t xml:space="preserve">SSDI </w:t>
      </w:r>
      <w:r w:rsidRPr="00D32371">
        <w:t xml:space="preserve">beneficiaries </w:t>
      </w:r>
      <w:r>
        <w:t>were</w:t>
      </w:r>
      <w:r w:rsidRPr="00D32371">
        <w:t xml:space="preserve"> place</w:t>
      </w:r>
      <w:r>
        <w:t xml:space="preserve">d in a </w:t>
      </w:r>
      <w:r>
        <w:lastRenderedPageBreak/>
        <w:t>job</w:t>
      </w:r>
      <w:r w:rsidRPr="00D32371">
        <w:t xml:space="preserve"> or supported on a job by an EN</w:t>
      </w:r>
      <w:r>
        <w:t>,</w:t>
      </w:r>
      <w:r w:rsidRPr="00D32371">
        <w:t xml:space="preserve"> and 7,835 </w:t>
      </w:r>
      <w:r>
        <w:t>were able to earn enough income to leave SSDI.</w:t>
      </w:r>
      <w:r>
        <w:rPr>
          <w:rStyle w:val="EndnoteReference"/>
        </w:rPr>
        <w:endnoteReference w:id="156"/>
      </w:r>
      <w:r w:rsidRPr="00D32371">
        <w:t xml:space="preserve"> </w:t>
      </w:r>
      <w:r>
        <w:t>Two of the reasons for low participation in TTW to date are confusion about how TTW works and concerns about losing SSDI benefits. In addition, ENs only receive payments if the employment outcome is at the SGA level, which may result in ENs only selecting to work with clients who need the least amount of assistance.</w:t>
      </w:r>
      <w:r>
        <w:rPr>
          <w:rStyle w:val="EndnoteReference"/>
        </w:rPr>
        <w:endnoteReference w:id="157"/>
      </w:r>
    </w:p>
    <w:p w:rsidR="00445A92" w:rsidRDefault="008C6F97" w:rsidP="00445A92">
      <w:pPr>
        <w:pStyle w:val="NCDBodyText"/>
      </w:pPr>
      <w:r>
        <w:t xml:space="preserve">The legislation that created the TTW program also created the Medicaid Buy-In program, which provides additional Medicaid eligibility options for people with disabilities whose income is higher than the allowable substantial gainful activity levels. Currently, </w:t>
      </w:r>
      <w:r w:rsidRPr="00294D0A">
        <w:t xml:space="preserve">45 states </w:t>
      </w:r>
      <w:r>
        <w:t xml:space="preserve">offer a </w:t>
      </w:r>
      <w:r w:rsidRPr="00294D0A">
        <w:t>Medicaid Buy-in program</w:t>
      </w:r>
      <w:r>
        <w:t xml:space="preserve"> for people with disabilities who do not qualify for Medicaid through SSI eligibility.</w:t>
      </w:r>
      <w:r w:rsidRPr="00294D0A">
        <w:t xml:space="preserve"> </w:t>
      </w:r>
      <w:r>
        <w:t>This program encourages people with disabilities to seek or return to employment without fear of losing health care benefits such as personal care attendants.</w:t>
      </w:r>
      <w:r w:rsidRPr="00294D0A">
        <w:t xml:space="preserve"> </w:t>
      </w:r>
      <w:r>
        <w:t>From</w:t>
      </w:r>
      <w:r w:rsidRPr="00294D0A">
        <w:t xml:space="preserve"> </w:t>
      </w:r>
      <w:r>
        <w:t xml:space="preserve">2010 to </w:t>
      </w:r>
      <w:r w:rsidRPr="00294D0A">
        <w:t>2011</w:t>
      </w:r>
      <w:r>
        <w:t>,</w:t>
      </w:r>
      <w:r w:rsidRPr="00294D0A">
        <w:t xml:space="preserve"> the Medicaid Buy-In program grew 10</w:t>
      </w:r>
      <w:r>
        <w:t xml:space="preserve"> percent to </w:t>
      </w:r>
      <w:r w:rsidRPr="00294D0A">
        <w:t>a total of 192,946 enrollees</w:t>
      </w:r>
      <w:r>
        <w:t xml:space="preserve"> nationally; however, the size of Medicaid Buy-In programs varies significantly across states. </w:t>
      </w:r>
      <w:r w:rsidRPr="00294D0A">
        <w:t>The number of enrollees in each state range</w:t>
      </w:r>
      <w:r>
        <w:t>s</w:t>
      </w:r>
      <w:r w:rsidRPr="00294D0A">
        <w:t xml:space="preserve"> from 50 to 20,000</w:t>
      </w:r>
      <w:r>
        <w:t xml:space="preserve"> participants</w:t>
      </w:r>
      <w:r w:rsidRPr="00294D0A">
        <w:t xml:space="preserve">. </w:t>
      </w:r>
      <w:r>
        <w:t>Also, from 2010 to 2011, t</w:t>
      </w:r>
      <w:r w:rsidRPr="00294D0A">
        <w:t xml:space="preserve">he average earnings among </w:t>
      </w:r>
      <w:r>
        <w:t>Medicaid Buy-In enrollees</w:t>
      </w:r>
      <w:r w:rsidRPr="00294D0A">
        <w:t xml:space="preserve"> </w:t>
      </w:r>
      <w:r>
        <w:t>were</w:t>
      </w:r>
      <w:r w:rsidRPr="00294D0A">
        <w:t xml:space="preserve"> $9,135</w:t>
      </w:r>
      <w:r>
        <w:t xml:space="preserve"> per year.</w:t>
      </w:r>
      <w:r>
        <w:rPr>
          <w:rStyle w:val="EndnoteReference"/>
        </w:rPr>
        <w:endnoteReference w:id="158"/>
      </w:r>
      <w:r>
        <w:t xml:space="preserve"> </w:t>
      </w:r>
    </w:p>
    <w:p w:rsidR="00445A92" w:rsidRDefault="00445A92" w:rsidP="00445A92">
      <w:pPr>
        <w:pStyle w:val="NCDBodyText"/>
      </w:pPr>
      <w:r>
        <w:t>These examples show that continued support from the Federal Government to remove barriers to employment for people with disabilities is needed. People with disabilities can achieve economic self-sufficiency with the necessary accommodations across education, employment, financial assistance and incentives, health care, long-term services and supports, transportation, and housing.</w:t>
      </w:r>
    </w:p>
    <w:p w:rsidR="00445A92" w:rsidRDefault="00445A92" w:rsidP="00445A92">
      <w:pPr>
        <w:rPr>
          <w:rFonts w:ascii="Arial" w:hAnsi="Arial" w:cs="Calibri"/>
          <w:color w:val="000000" w:themeColor="text1"/>
          <w:szCs w:val="24"/>
          <w:u w:color="000000"/>
          <w:bdr w:val="nil"/>
        </w:rPr>
      </w:pPr>
      <w:r>
        <w:br w:type="page"/>
      </w:r>
    </w:p>
    <w:p w:rsidR="00445A92" w:rsidRDefault="00445A92" w:rsidP="00445A92">
      <w:pPr>
        <w:rPr>
          <w:rFonts w:ascii="Arial" w:hAnsi="Arial" w:cs="Calibri"/>
          <w:color w:val="000000" w:themeColor="text1"/>
          <w:szCs w:val="24"/>
          <w:u w:color="000000"/>
          <w:bdr w:val="nil"/>
        </w:rPr>
      </w:pPr>
      <w:r>
        <w:lastRenderedPageBreak/>
        <w:br w:type="page"/>
      </w:r>
    </w:p>
    <w:p w:rsidR="00445A92" w:rsidRPr="00D530B9" w:rsidRDefault="00445A92" w:rsidP="00A65CE3">
      <w:pPr>
        <w:pStyle w:val="Heading1"/>
      </w:pPr>
      <w:bookmarkStart w:id="109" w:name="_Toc484357132"/>
      <w:bookmarkStart w:id="110" w:name="_Toc493596693"/>
      <w:bookmarkStart w:id="111" w:name="_Toc468097109"/>
      <w:bookmarkStart w:id="112" w:name="_Toc472950638"/>
      <w:bookmarkStart w:id="113" w:name="_Toc473793523"/>
      <w:r w:rsidRPr="00D530B9">
        <w:lastRenderedPageBreak/>
        <w:t xml:space="preserve">Chapter 4: Recommendations to </w:t>
      </w:r>
      <w:r>
        <w:t>P</w:t>
      </w:r>
      <w:r w:rsidRPr="00D530B9">
        <w:t xml:space="preserve">romote </w:t>
      </w:r>
      <w:r>
        <w:t>E</w:t>
      </w:r>
      <w:r w:rsidRPr="00D530B9">
        <w:t xml:space="preserve">conomic </w:t>
      </w:r>
      <w:r>
        <w:t>S</w:t>
      </w:r>
      <w:r w:rsidRPr="00D530B9">
        <w:t>elf-</w:t>
      </w:r>
      <w:r>
        <w:t>S</w:t>
      </w:r>
      <w:r w:rsidRPr="00D530B9">
        <w:t xml:space="preserve">ufficiency for </w:t>
      </w:r>
      <w:r>
        <w:t>P</w:t>
      </w:r>
      <w:r w:rsidRPr="00D530B9">
        <w:t xml:space="preserve">eople with </w:t>
      </w:r>
      <w:r>
        <w:t>D</w:t>
      </w:r>
      <w:r w:rsidRPr="00D530B9">
        <w:t>isabilities</w:t>
      </w:r>
      <w:bookmarkEnd w:id="109"/>
      <w:bookmarkEnd w:id="110"/>
    </w:p>
    <w:p w:rsidR="00445A92" w:rsidRDefault="00445A92" w:rsidP="00A65CE3">
      <w:pPr>
        <w:pStyle w:val="NCDBodyText"/>
      </w:pPr>
      <w:r w:rsidRPr="00A24210">
        <w:t xml:space="preserve">All Americans have the right to lead lives with equal opportunity, full community participation, independent living, and economic self-sufficiency. A variety of federal policies and programs provide economic support for people with disabilities, but many programs hinder the ability of people with disabilities to achieve this goal. </w:t>
      </w:r>
      <w:r>
        <w:t>NCD</w:t>
      </w:r>
      <w:r w:rsidRPr="00A24210">
        <w:t xml:space="preserve"> proposes the following recommendations to help ensure that people with disabilities are able to achieve economic self-sufficiency:</w:t>
      </w:r>
    </w:p>
    <w:p w:rsidR="00445A92" w:rsidRDefault="00445A92" w:rsidP="00A65CE3">
      <w:pPr>
        <w:pStyle w:val="Heading2"/>
      </w:pPr>
      <w:bookmarkStart w:id="114" w:name="_Toc493507489"/>
      <w:bookmarkStart w:id="115" w:name="_Toc493596694"/>
      <w:r>
        <w:t>Collaboration and Data Collection</w:t>
      </w:r>
      <w:bookmarkEnd w:id="114"/>
      <w:bookmarkEnd w:id="115"/>
    </w:p>
    <w:bookmarkEnd w:id="111"/>
    <w:bookmarkEnd w:id="112"/>
    <w:bookmarkEnd w:id="113"/>
    <w:p w:rsidR="00445A92" w:rsidRPr="00D530B9" w:rsidRDefault="00445A92" w:rsidP="00A65CE3">
      <w:pPr>
        <w:pStyle w:val="NumberedList"/>
      </w:pPr>
      <w:r w:rsidRPr="00D530B9">
        <w:t xml:space="preserve">Congress should appropriate funds for the creation of a coordinated review of all federal disability programs to </w:t>
      </w:r>
      <w:r>
        <w:t>enhance</w:t>
      </w:r>
      <w:r w:rsidRPr="00D530B9">
        <w:t xml:space="preserve"> the efficiency </w:t>
      </w:r>
      <w:r>
        <w:t xml:space="preserve">and ability </w:t>
      </w:r>
      <w:r w:rsidRPr="00D530B9">
        <w:t xml:space="preserve">of existing structures to break down silos between federal agencies </w:t>
      </w:r>
      <w:r>
        <w:t xml:space="preserve">in order </w:t>
      </w:r>
      <w:r w:rsidRPr="00D530B9">
        <w:t xml:space="preserve">to improve the economic picture </w:t>
      </w:r>
      <w:r>
        <w:t>for</w:t>
      </w:r>
      <w:r w:rsidRPr="00D530B9">
        <w:t xml:space="preserve"> people with disabilities.</w:t>
      </w:r>
    </w:p>
    <w:p w:rsidR="00445A92" w:rsidRPr="00D530B9" w:rsidRDefault="00445A92" w:rsidP="00A65CE3">
      <w:pPr>
        <w:pStyle w:val="NumberedList2"/>
      </w:pPr>
      <w:r w:rsidRPr="00D530B9">
        <w:t>OMB should direct all cabinet</w:t>
      </w:r>
      <w:r>
        <w:t>-</w:t>
      </w:r>
      <w:r w:rsidRPr="00D530B9">
        <w:t xml:space="preserve">level federal agencies to </w:t>
      </w:r>
      <w:r>
        <w:t>submit their</w:t>
      </w:r>
      <w:r w:rsidRPr="00D530B9">
        <w:t xml:space="preserve"> </w:t>
      </w:r>
      <w:r>
        <w:t>A</w:t>
      </w:r>
      <w:r w:rsidRPr="00D530B9">
        <w:t xml:space="preserve">gency </w:t>
      </w:r>
      <w:r>
        <w:t>R</w:t>
      </w:r>
      <w:r w:rsidRPr="00D530B9">
        <w:t xml:space="preserve">eform </w:t>
      </w:r>
      <w:r>
        <w:t>P</w:t>
      </w:r>
      <w:r w:rsidRPr="00D530B9">
        <w:t>lans pertaining to their disability programs to NCD for review.</w:t>
      </w:r>
    </w:p>
    <w:p w:rsidR="00445A92" w:rsidRPr="00D530B9" w:rsidRDefault="00445A92" w:rsidP="00A65CE3">
      <w:pPr>
        <w:pStyle w:val="NumberedList2"/>
      </w:pPr>
      <w:r w:rsidRPr="00D530B9">
        <w:t xml:space="preserve">All federal agencies should </w:t>
      </w:r>
      <w:r>
        <w:t xml:space="preserve">be directed to </w:t>
      </w:r>
      <w:r w:rsidRPr="00D530B9">
        <w:t>include measures of cross</w:t>
      </w:r>
      <w:r>
        <w:t>-</w:t>
      </w:r>
      <w:r w:rsidRPr="00D530B9">
        <w:t>agency collaboration within their GPRA performance measurement standards. OMB should report on measures of cross</w:t>
      </w:r>
      <w:r>
        <w:t>-</w:t>
      </w:r>
      <w:r w:rsidRPr="00D530B9">
        <w:t xml:space="preserve">agency collaboration in </w:t>
      </w:r>
      <w:r>
        <w:t>its</w:t>
      </w:r>
      <w:r w:rsidRPr="00D530B9">
        <w:t xml:space="preserve"> annual reports on agency performance.</w:t>
      </w:r>
    </w:p>
    <w:p w:rsidR="00445A92" w:rsidRPr="00D530B9" w:rsidRDefault="00445A92" w:rsidP="00A65CE3">
      <w:pPr>
        <w:pStyle w:val="NumberedList2"/>
      </w:pPr>
      <w:r>
        <w:t>All federal agencies, including but not limited to the U.S.</w:t>
      </w:r>
      <w:r w:rsidRPr="00D530B9">
        <w:t xml:space="preserve"> Departments of Education, Labor, </w:t>
      </w:r>
      <w:r>
        <w:t xml:space="preserve">Health and Human Services, </w:t>
      </w:r>
      <w:r w:rsidRPr="00D530B9">
        <w:t>and Housing and Urban Development</w:t>
      </w:r>
      <w:r>
        <w:t xml:space="preserve">, </w:t>
      </w:r>
      <w:r w:rsidRPr="008C36E2">
        <w:t xml:space="preserve">should improve data collection related to people with disabilities </w:t>
      </w:r>
      <w:r>
        <w:t xml:space="preserve">in order </w:t>
      </w:r>
      <w:r w:rsidRPr="008C36E2">
        <w:t xml:space="preserve">to </w:t>
      </w:r>
      <w:r>
        <w:t>enhance</w:t>
      </w:r>
      <w:r w:rsidRPr="008C36E2">
        <w:t xml:space="preserve"> knowledge on how people with disabilities are assisted by existing programs.</w:t>
      </w:r>
      <w:r w:rsidRPr="00D530B9">
        <w:t xml:space="preserve"> Data collection should include information about people with disabilities who use federally funded </w:t>
      </w:r>
      <w:r w:rsidRPr="00D530B9">
        <w:lastRenderedPageBreak/>
        <w:t xml:space="preserve">programs </w:t>
      </w:r>
      <w:r>
        <w:t>to</w:t>
      </w:r>
      <w:r w:rsidRPr="00D530B9">
        <w:t xml:space="preserve"> </w:t>
      </w:r>
      <w:r>
        <w:t>determine</w:t>
      </w:r>
      <w:r w:rsidRPr="00D530B9">
        <w:t xml:space="preserve"> where programs can be modified and improved to promote employment and economic self-sufficiency.</w:t>
      </w:r>
    </w:p>
    <w:p w:rsidR="00445A92" w:rsidRPr="00D530B9" w:rsidRDefault="00445A92" w:rsidP="00A65CE3">
      <w:pPr>
        <w:pStyle w:val="NumberedList"/>
      </w:pPr>
      <w:r w:rsidRPr="00D530B9">
        <w:t xml:space="preserve">Congress should continue investments in the </w:t>
      </w:r>
      <w:r>
        <w:t>U.S.</w:t>
      </w:r>
      <w:r w:rsidRPr="00D530B9">
        <w:t xml:space="preserve"> Census Bureau’s development of the Supplemental Poverty Measure and annual reports to ensure</w:t>
      </w:r>
      <w:r>
        <w:t xml:space="preserve"> an</w:t>
      </w:r>
      <w:r w:rsidRPr="00D530B9">
        <w:t xml:space="preserve"> adequate assessment of </w:t>
      </w:r>
      <w:r>
        <w:t>how the cost of</w:t>
      </w:r>
      <w:r w:rsidRPr="00D530B9">
        <w:t xml:space="preserve"> necessary expenses </w:t>
      </w:r>
      <w:r>
        <w:t xml:space="preserve">that </w:t>
      </w:r>
      <w:r w:rsidRPr="00D530B9">
        <w:t xml:space="preserve">people with disabilities face </w:t>
      </w:r>
      <w:r>
        <w:t>(</w:t>
      </w:r>
      <w:r w:rsidRPr="00D530B9">
        <w:t>like medical or long-term services and support expenses</w:t>
      </w:r>
      <w:r>
        <w:t>) affect</w:t>
      </w:r>
      <w:r w:rsidRPr="00D530B9">
        <w:t xml:space="preserve"> their opportunities</w:t>
      </w:r>
      <w:r>
        <w:t xml:space="preserve"> and ability</w:t>
      </w:r>
      <w:r w:rsidRPr="00D530B9">
        <w:t xml:space="preserve"> to achieve economic self-sufficiency.</w:t>
      </w:r>
    </w:p>
    <w:p w:rsidR="00445A92" w:rsidRPr="00D530B9" w:rsidRDefault="00445A92" w:rsidP="00A65CE3">
      <w:pPr>
        <w:pStyle w:val="Heading2"/>
      </w:pPr>
      <w:bookmarkStart w:id="116" w:name="_Toc493507490"/>
      <w:bookmarkStart w:id="117" w:name="_Toc493596695"/>
      <w:r w:rsidRPr="00D530B9">
        <w:t>Education</w:t>
      </w:r>
      <w:bookmarkEnd w:id="116"/>
      <w:bookmarkEnd w:id="117"/>
    </w:p>
    <w:p w:rsidR="00445A92" w:rsidRPr="00D530B9" w:rsidRDefault="00445A92" w:rsidP="00A65CE3">
      <w:pPr>
        <w:pStyle w:val="NumberedList"/>
        <w:numPr>
          <w:ilvl w:val="0"/>
          <w:numId w:val="33"/>
        </w:numPr>
      </w:pPr>
      <w:r w:rsidRPr="00D530B9">
        <w:t xml:space="preserve">Congress should reauthorize the IDEA </w:t>
      </w:r>
      <w:r>
        <w:t xml:space="preserve">in a manner that </w:t>
      </w:r>
      <w:r w:rsidRPr="00C215FF">
        <w:t>facilitates the meaningful inclusion of all students with disabilities</w:t>
      </w:r>
      <w:r w:rsidRPr="00D530B9">
        <w:t xml:space="preserve">. Reauthorization should </w:t>
      </w:r>
      <w:r>
        <w:t>reinforce the assertions under IDEA</w:t>
      </w:r>
      <w:r w:rsidRPr="00D530B9">
        <w:t xml:space="preserve"> to provide </w:t>
      </w:r>
      <w:r>
        <w:t xml:space="preserve">a </w:t>
      </w:r>
      <w:r w:rsidRPr="00D530B9">
        <w:t>free and appropriate education to students with disabilities</w:t>
      </w:r>
      <w:r>
        <w:t xml:space="preserve">, including language, to ensure that </w:t>
      </w:r>
      <w:r w:rsidRPr="00D530B9">
        <w:t xml:space="preserve">students with disabilities from diverse racial backgrounds </w:t>
      </w:r>
      <w:r>
        <w:t xml:space="preserve">and students who </w:t>
      </w:r>
      <w:r w:rsidRPr="00D530B9">
        <w:t xml:space="preserve">exhibit </w:t>
      </w:r>
      <w:r>
        <w:t>challenging</w:t>
      </w:r>
      <w:r w:rsidRPr="00D530B9">
        <w:t xml:space="preserve"> behaviors are not disproportionately placed outside of the least restrictive environment</w:t>
      </w:r>
      <w:r>
        <w:t xml:space="preserve">. </w:t>
      </w:r>
    </w:p>
    <w:p w:rsidR="00445A92" w:rsidRPr="00D530B9" w:rsidRDefault="00445A92" w:rsidP="00A65CE3">
      <w:pPr>
        <w:pStyle w:val="NumberedList"/>
        <w:numPr>
          <w:ilvl w:val="0"/>
          <w:numId w:val="33"/>
        </w:numPr>
      </w:pPr>
      <w:r>
        <w:t>ED</w:t>
      </w:r>
      <w:r w:rsidRPr="00D530B9">
        <w:t xml:space="preserve"> should issue guidelines to local education agencies and state education agencies on the inclusion of </w:t>
      </w:r>
      <w:r>
        <w:t>UDL</w:t>
      </w:r>
      <w:r w:rsidRPr="00D530B9">
        <w:t xml:space="preserve"> principles and recommend </w:t>
      </w:r>
      <w:r>
        <w:t>giving</w:t>
      </w:r>
      <w:r w:rsidRPr="00D530B9">
        <w:t xml:space="preserve"> teachers flexibility to implement UDL with state and district curricula and lesson plans to promote broader integration of students with disabilities in the classroom</w:t>
      </w:r>
      <w:r>
        <w:t xml:space="preserve">. (See Chapter 3, for more information about UDL.) </w:t>
      </w:r>
    </w:p>
    <w:p w:rsidR="00445A92" w:rsidRPr="00D530B9" w:rsidRDefault="00445A92" w:rsidP="00A65CE3">
      <w:pPr>
        <w:pStyle w:val="NumberedList"/>
        <w:numPr>
          <w:ilvl w:val="0"/>
          <w:numId w:val="33"/>
        </w:numPr>
      </w:pPr>
      <w:r>
        <w:t>ED</w:t>
      </w:r>
      <w:r w:rsidRPr="00D530B9">
        <w:t xml:space="preserve"> and state education agencies should issue guidelines to local school districts to give all students with disabilities an opportunity to obtain a standard </w:t>
      </w:r>
      <w:r>
        <w:t xml:space="preserve">high school </w:t>
      </w:r>
      <w:r w:rsidRPr="00D530B9">
        <w:t xml:space="preserve">diploma. The guidelines should reinforce that </w:t>
      </w:r>
      <w:r>
        <w:t xml:space="preserve">the use of </w:t>
      </w:r>
      <w:r w:rsidRPr="00D530B9">
        <w:t xml:space="preserve">alternative high school diplomas or certificates of completion should be considered a last resort </w:t>
      </w:r>
      <w:r>
        <w:t>for students with disabilities</w:t>
      </w:r>
      <w:r w:rsidRPr="00D530B9">
        <w:t>.</w:t>
      </w:r>
    </w:p>
    <w:p w:rsidR="00445A92" w:rsidRPr="00A65CE3" w:rsidRDefault="00445A92" w:rsidP="00A65CE3">
      <w:pPr>
        <w:pStyle w:val="NumberedList"/>
        <w:numPr>
          <w:ilvl w:val="0"/>
          <w:numId w:val="33"/>
        </w:numPr>
        <w:rPr>
          <w:rFonts w:cs="Arial"/>
        </w:rPr>
      </w:pPr>
      <w:r w:rsidRPr="00A65CE3">
        <w:rPr>
          <w:rFonts w:cs="Arial"/>
          <w:u w:color="000000"/>
          <w:bdr w:val="nil"/>
        </w:rPr>
        <w:t>ED Institute on Education Sciences should fund national research that explores the educational and employment outcomes of alternative high school diplomas for students with IEPs and Section 504 plans, as well as the demographic characteristics of students receiving these alternative diplomas.</w:t>
      </w:r>
    </w:p>
    <w:p w:rsidR="00445A92" w:rsidRPr="00A65CE3" w:rsidRDefault="00445A92" w:rsidP="00A65CE3">
      <w:pPr>
        <w:pStyle w:val="NumberedList"/>
        <w:numPr>
          <w:ilvl w:val="0"/>
          <w:numId w:val="33"/>
        </w:numPr>
        <w:rPr>
          <w:rFonts w:cs="Arial"/>
        </w:rPr>
      </w:pPr>
      <w:r w:rsidRPr="00A65CE3">
        <w:rPr>
          <w:rFonts w:cs="Arial"/>
        </w:rPr>
        <w:lastRenderedPageBreak/>
        <w:t>ED should continue funding for model programs like the TPSID program, which can help reduce poverty among people with intellectual disabilities.</w:t>
      </w:r>
    </w:p>
    <w:p w:rsidR="00445A92" w:rsidRPr="00D530B9" w:rsidRDefault="00445A92" w:rsidP="00A65CE3">
      <w:pPr>
        <w:pStyle w:val="NumberedList"/>
        <w:numPr>
          <w:ilvl w:val="0"/>
          <w:numId w:val="33"/>
        </w:numPr>
      </w:pPr>
      <w:r>
        <w:t>Congress should amend the Higher Education Act</w:t>
      </w:r>
      <w:r w:rsidRPr="00D530B9">
        <w:t xml:space="preserve"> </w:t>
      </w:r>
      <w:r>
        <w:t>to</w:t>
      </w:r>
      <w:r w:rsidRPr="00D530B9">
        <w:t xml:space="preserve"> modify existing higher education financial assistance program guidelines so that they are adequately accessible and students with disabilities are not penalized when a qualifying disability limits their ability to maintain a full course load or work study requirements as determined by campus disability services programs. This should include but not be limited to Pell grants, federal work</w:t>
      </w:r>
      <w:r>
        <w:t>-</w:t>
      </w:r>
      <w:r w:rsidRPr="00D530B9">
        <w:t xml:space="preserve">study programs, and student loan repayment. </w:t>
      </w:r>
    </w:p>
    <w:p w:rsidR="00445A92" w:rsidRPr="00D530B9" w:rsidRDefault="00445A92" w:rsidP="00A65CE3">
      <w:pPr>
        <w:pStyle w:val="NumberedList"/>
        <w:numPr>
          <w:ilvl w:val="0"/>
          <w:numId w:val="33"/>
        </w:numPr>
      </w:pPr>
      <w:r w:rsidRPr="00D530B9">
        <w:t xml:space="preserve">The </w:t>
      </w:r>
      <w:r>
        <w:t>IRS</w:t>
      </w:r>
      <w:r w:rsidRPr="00D530B9">
        <w:t xml:space="preserve"> should provide </w:t>
      </w:r>
      <w:r>
        <w:t>guidance</w:t>
      </w:r>
      <w:r w:rsidRPr="00D530B9">
        <w:t xml:space="preserve"> that waives </w:t>
      </w:r>
      <w:r>
        <w:t>the tax debt</w:t>
      </w:r>
      <w:r w:rsidRPr="00D530B9">
        <w:t xml:space="preserve"> on student loan forgiveness for students with disabilities so that they do not </w:t>
      </w:r>
      <w:r>
        <w:t>incur a tax debt from a forgiven loan</w:t>
      </w:r>
      <w:r w:rsidRPr="00D530B9">
        <w:t>.</w:t>
      </w:r>
    </w:p>
    <w:p w:rsidR="00445A92" w:rsidRPr="00D530B9" w:rsidRDefault="00445A92" w:rsidP="00A65CE3">
      <w:pPr>
        <w:pStyle w:val="Heading2"/>
      </w:pPr>
      <w:bookmarkStart w:id="118" w:name="_Toc493507491"/>
      <w:bookmarkStart w:id="119" w:name="_Toc493596696"/>
      <w:r w:rsidRPr="00D530B9">
        <w:t>Employment</w:t>
      </w:r>
      <w:bookmarkEnd w:id="118"/>
      <w:bookmarkEnd w:id="119"/>
    </w:p>
    <w:p w:rsidR="00445A92" w:rsidRPr="00D530B9" w:rsidRDefault="00445A92" w:rsidP="00A65CE3">
      <w:pPr>
        <w:pStyle w:val="NumberedList"/>
        <w:numPr>
          <w:ilvl w:val="0"/>
          <w:numId w:val="34"/>
        </w:numPr>
      </w:pPr>
      <w:r>
        <w:t>DOL</w:t>
      </w:r>
      <w:r w:rsidRPr="00D530B9">
        <w:t xml:space="preserve">, the </w:t>
      </w:r>
      <w:r>
        <w:t xml:space="preserve">U.S. </w:t>
      </w:r>
      <w:r w:rsidRPr="00D530B9">
        <w:t xml:space="preserve">Access Board, </w:t>
      </w:r>
      <w:r>
        <w:t>DOJ, and</w:t>
      </w:r>
      <w:r w:rsidRPr="00D530B9">
        <w:t xml:space="preserve"> the EEOC should</w:t>
      </w:r>
      <w:r>
        <w:t xml:space="preserve"> dictate</w:t>
      </w:r>
      <w:r w:rsidRPr="00D530B9">
        <w:t xml:space="preserve"> that all policies and regulations </w:t>
      </w:r>
      <w:r>
        <w:t>related to</w:t>
      </w:r>
      <w:r w:rsidRPr="00D530B9">
        <w:t xml:space="preserve"> Section</w:t>
      </w:r>
      <w:r>
        <w:t>s</w:t>
      </w:r>
      <w:r w:rsidRPr="00D530B9">
        <w:t xml:space="preserve"> 503 and 511 of the Rehabilitation Act </w:t>
      </w:r>
      <w:r>
        <w:t>of 1973 be</w:t>
      </w:r>
      <w:r w:rsidRPr="00D530B9">
        <w:t xml:space="preserve"> prioritized for nationwide enforcement. This includes an annual report to Congress on activities and the impact on employment for people with disabilities. </w:t>
      </w:r>
    </w:p>
    <w:p w:rsidR="00445A92" w:rsidRPr="00D530B9" w:rsidRDefault="00445A92" w:rsidP="00A65CE3">
      <w:pPr>
        <w:pStyle w:val="NumberedList"/>
        <w:numPr>
          <w:ilvl w:val="0"/>
          <w:numId w:val="34"/>
        </w:numPr>
      </w:pPr>
      <w:r w:rsidRPr="00D530B9">
        <w:t>Congress should amend the Small Business Act to expand the Small Business Administration’s 8(a) Business Development Program to include people with disabilities as a presumed socially disadvantaged group</w:t>
      </w:r>
      <w:r>
        <w:t xml:space="preserve"> to be in line with the findings in the ADA, </w:t>
      </w:r>
      <w:r w:rsidRPr="00BF241D">
        <w:t>which states</w:t>
      </w:r>
      <w:r>
        <w:t xml:space="preserve"> </w:t>
      </w:r>
      <w:r w:rsidRPr="00AE5B2C">
        <w:t>that people with disabilities</w:t>
      </w:r>
      <w:r>
        <w:t xml:space="preserve"> </w:t>
      </w:r>
      <w:r w:rsidRPr="00AE5B2C">
        <w:t>are disadvantaged socially, economically, vocationally</w:t>
      </w:r>
      <w:r>
        <w:t>,</w:t>
      </w:r>
      <w:r w:rsidRPr="00AE5B2C">
        <w:t xml:space="preserve"> and educationally</w:t>
      </w:r>
      <w:r>
        <w:t>.</w:t>
      </w:r>
    </w:p>
    <w:p w:rsidR="00445A92" w:rsidRPr="00D530B9" w:rsidRDefault="00445A92" w:rsidP="00A65CE3">
      <w:pPr>
        <w:pStyle w:val="NumberedList"/>
        <w:numPr>
          <w:ilvl w:val="0"/>
          <w:numId w:val="34"/>
        </w:numPr>
      </w:pPr>
      <w:r>
        <w:t>DOL</w:t>
      </w:r>
      <w:r w:rsidRPr="00D530B9">
        <w:t xml:space="preserve"> and </w:t>
      </w:r>
      <w:r>
        <w:t>ED</w:t>
      </w:r>
      <w:r w:rsidRPr="00D530B9">
        <w:t xml:space="preserve"> should issue guidelines </w:t>
      </w:r>
      <w:r>
        <w:t xml:space="preserve">to </w:t>
      </w:r>
      <w:r w:rsidRPr="00D530B9">
        <w:t xml:space="preserve">develop partnerships across state vocational rehabilitation agencies, local education agencies, institutes of higher education, and employers that promote paid internships for college graduates and students </w:t>
      </w:r>
      <w:r>
        <w:t xml:space="preserve">with disabilities </w:t>
      </w:r>
      <w:r w:rsidRPr="00D530B9">
        <w:t xml:space="preserve">in postsecondary education as a gateway to full-time employment. </w:t>
      </w:r>
    </w:p>
    <w:p w:rsidR="00445A92" w:rsidRDefault="00445A92" w:rsidP="00A65CE3">
      <w:pPr>
        <w:pStyle w:val="NumberedList"/>
        <w:numPr>
          <w:ilvl w:val="0"/>
          <w:numId w:val="34"/>
        </w:numPr>
      </w:pPr>
      <w:r w:rsidRPr="00D530B9">
        <w:lastRenderedPageBreak/>
        <w:t xml:space="preserve">All federal agencies should be the model in hiring, retention, and integration of people with disabilities in the workplace. </w:t>
      </w:r>
      <w:r>
        <w:t>In accordance with OPM, a</w:t>
      </w:r>
      <w:r w:rsidRPr="00D530B9">
        <w:t xml:space="preserve">ll federal agencies should </w:t>
      </w:r>
      <w:r>
        <w:t>increase coordination</w:t>
      </w:r>
      <w:r w:rsidRPr="00D530B9">
        <w:t xml:space="preserve"> between their SPPC</w:t>
      </w:r>
      <w:r>
        <w:t>s.</w:t>
      </w:r>
      <w:r w:rsidRPr="00D530B9">
        <w:t xml:space="preserve"> </w:t>
      </w:r>
      <w:r>
        <w:t>This will</w:t>
      </w:r>
      <w:r w:rsidRPr="00D530B9">
        <w:t xml:space="preserve"> bridge the gap between managers and employees with disabilities </w:t>
      </w:r>
      <w:r>
        <w:t>and</w:t>
      </w:r>
      <w:r w:rsidRPr="00D530B9">
        <w:t xml:space="preserve"> </w:t>
      </w:r>
      <w:r>
        <w:t>enhance</w:t>
      </w:r>
      <w:r w:rsidRPr="00D530B9">
        <w:t xml:space="preserve"> understanding </w:t>
      </w:r>
      <w:r>
        <w:t xml:space="preserve">of </w:t>
      </w:r>
      <w:r w:rsidRPr="00D530B9">
        <w:t xml:space="preserve">reasonable accommodations and their effect on productivity </w:t>
      </w:r>
      <w:r>
        <w:t>and</w:t>
      </w:r>
      <w:r w:rsidRPr="00D530B9">
        <w:t xml:space="preserve"> retention of people with disabilities. </w:t>
      </w:r>
      <w:r>
        <w:t>To attain this goal, m</w:t>
      </w:r>
      <w:r w:rsidRPr="00D530B9">
        <w:t>andatory training for human resources staff, managers, and supervisors</w:t>
      </w:r>
      <w:r>
        <w:t xml:space="preserve"> should be required.</w:t>
      </w:r>
    </w:p>
    <w:p w:rsidR="00445A92" w:rsidRPr="00A65CE3" w:rsidRDefault="00445A92" w:rsidP="00A65CE3">
      <w:pPr>
        <w:pStyle w:val="NumberedList"/>
        <w:numPr>
          <w:ilvl w:val="0"/>
          <w:numId w:val="34"/>
        </w:numPr>
        <w:rPr>
          <w:u w:color="000000"/>
          <w:bdr w:val="nil"/>
        </w:rPr>
      </w:pPr>
      <w:r>
        <w:t>States should mandate Employment First initiatives to reflect stronger legislative and policy support of competitive integrated employment to increase opportunities for economic independence for youth and adults with disabilities.</w:t>
      </w:r>
    </w:p>
    <w:p w:rsidR="00445A92" w:rsidRPr="00D530B9" w:rsidRDefault="00445A92" w:rsidP="00A65CE3">
      <w:pPr>
        <w:pStyle w:val="Heading2"/>
      </w:pPr>
      <w:bookmarkStart w:id="120" w:name="_Toc493507492"/>
      <w:bookmarkStart w:id="121" w:name="_Toc493596697"/>
      <w:r w:rsidRPr="00D530B9">
        <w:t>Financial Assistance and Incentives</w:t>
      </w:r>
      <w:bookmarkEnd w:id="120"/>
      <w:bookmarkEnd w:id="121"/>
    </w:p>
    <w:p w:rsidR="00445A92" w:rsidRPr="00D530B9" w:rsidRDefault="00445A92" w:rsidP="00A65CE3">
      <w:pPr>
        <w:pStyle w:val="NumberedList"/>
        <w:numPr>
          <w:ilvl w:val="0"/>
          <w:numId w:val="35"/>
        </w:numPr>
      </w:pPr>
      <w:r w:rsidRPr="00D530B9">
        <w:t>Congress should expand opportunities for people with disabilities who need to pay for personal care services to benefit from tax deductions when medical expenses are less than 10 percent of adjusted gross income or deductions cannot be itemized.</w:t>
      </w:r>
    </w:p>
    <w:p w:rsidR="00445A92" w:rsidRPr="00D530B9" w:rsidRDefault="00445A92" w:rsidP="00A65CE3">
      <w:pPr>
        <w:pStyle w:val="NumberedList"/>
        <w:numPr>
          <w:ilvl w:val="0"/>
          <w:numId w:val="35"/>
        </w:numPr>
      </w:pPr>
      <w:r w:rsidRPr="00D530B9">
        <w:t>Congress should approve three amendments to the ABLE Act:</w:t>
      </w:r>
    </w:p>
    <w:p w:rsidR="00445A92" w:rsidRPr="00D530B9" w:rsidRDefault="00445A92" w:rsidP="00A65CE3">
      <w:pPr>
        <w:pStyle w:val="NumberedList2"/>
        <w:numPr>
          <w:ilvl w:val="1"/>
          <w:numId w:val="38"/>
        </w:numPr>
      </w:pPr>
      <w:r>
        <w:t xml:space="preserve">The </w:t>
      </w:r>
      <w:r w:rsidRPr="00D530B9">
        <w:t>ABLE Financial Planning Act</w:t>
      </w:r>
      <w:r>
        <w:t>, which would</w:t>
      </w:r>
      <w:r w:rsidRPr="00D530B9">
        <w:t xml:space="preserve"> allow 529 educational savings accounts to be transitioned to qualifying people with disabilities without incurring penalties or taxes.</w:t>
      </w:r>
    </w:p>
    <w:p w:rsidR="00445A92" w:rsidRPr="00793FBE" w:rsidRDefault="00445A92" w:rsidP="00A65CE3">
      <w:pPr>
        <w:pStyle w:val="NumberedList2"/>
        <w:numPr>
          <w:ilvl w:val="1"/>
          <w:numId w:val="38"/>
        </w:numPr>
      </w:pPr>
      <w:r>
        <w:t xml:space="preserve">The </w:t>
      </w:r>
      <w:r w:rsidRPr="00D530B9">
        <w:t>ABLE Age Adjustment Act</w:t>
      </w:r>
      <w:r>
        <w:t>, which would</w:t>
      </w:r>
      <w:r w:rsidRPr="00D530B9">
        <w:t xml:space="preserve"> increase the qualifying age </w:t>
      </w:r>
      <w:r>
        <w:t xml:space="preserve">threshold for eligibility </w:t>
      </w:r>
      <w:r w:rsidRPr="00D530B9">
        <w:t xml:space="preserve">for an ABLE </w:t>
      </w:r>
      <w:r>
        <w:t>a</w:t>
      </w:r>
      <w:r w:rsidRPr="00D530B9">
        <w:t xml:space="preserve">ccount from </w:t>
      </w:r>
      <w:r>
        <w:t xml:space="preserve">26 </w:t>
      </w:r>
      <w:r w:rsidRPr="00793FBE">
        <w:t>to 46.</w:t>
      </w:r>
    </w:p>
    <w:p w:rsidR="00445A92" w:rsidRDefault="00445A92" w:rsidP="00A65CE3">
      <w:pPr>
        <w:pStyle w:val="NumberedList2"/>
        <w:numPr>
          <w:ilvl w:val="1"/>
          <w:numId w:val="38"/>
        </w:numPr>
      </w:pPr>
      <w:r>
        <w:t xml:space="preserve">The ABLE to Work Act, which would allow employed people with disabilities to contribute funds to an ABLE account in an amount above the $14,000 per year cap. Additional contributions would not exceed the equivalent of the determined federal poverty level for that year (the maximum allowable amount was $26,060 in 2017). </w:t>
      </w:r>
    </w:p>
    <w:p w:rsidR="00445A92" w:rsidRDefault="00445A92" w:rsidP="00A65CE3">
      <w:pPr>
        <w:pStyle w:val="NumberedList"/>
      </w:pPr>
      <w:r w:rsidRPr="00D530B9">
        <w:lastRenderedPageBreak/>
        <w:t xml:space="preserve">All states should implement ABLE programs and actively inform people with disabilities and </w:t>
      </w:r>
      <w:r>
        <w:t xml:space="preserve">their </w:t>
      </w:r>
      <w:r w:rsidRPr="00D530B9">
        <w:t xml:space="preserve">caregivers of this legislation </w:t>
      </w:r>
      <w:r>
        <w:t xml:space="preserve">in order </w:t>
      </w:r>
      <w:r w:rsidRPr="00D530B9">
        <w:t xml:space="preserve">to provide people </w:t>
      </w:r>
      <w:r>
        <w:t>with</w:t>
      </w:r>
      <w:r w:rsidRPr="00D530B9">
        <w:t xml:space="preserve"> disabilities </w:t>
      </w:r>
      <w:r>
        <w:t xml:space="preserve">with </w:t>
      </w:r>
      <w:r w:rsidRPr="00D530B9">
        <w:t xml:space="preserve">the opportunity to build individual savings and invest their money in ways that will enhance their </w:t>
      </w:r>
      <w:r>
        <w:t xml:space="preserve">economic </w:t>
      </w:r>
      <w:r w:rsidRPr="00D530B9">
        <w:t>self-sufficiency</w:t>
      </w:r>
      <w:r>
        <w:t>.</w:t>
      </w:r>
    </w:p>
    <w:p w:rsidR="00445A92" w:rsidRPr="00D530B9" w:rsidRDefault="00445A92" w:rsidP="00A65CE3">
      <w:pPr>
        <w:pStyle w:val="NumberedList"/>
      </w:pPr>
      <w:r w:rsidRPr="00D530B9">
        <w:t xml:space="preserve">The </w:t>
      </w:r>
      <w:r>
        <w:t>IRS</w:t>
      </w:r>
      <w:r w:rsidRPr="00D530B9">
        <w:t xml:space="preserve"> should</w:t>
      </w:r>
      <w:r>
        <w:t xml:space="preserve"> issue final regulations to </w:t>
      </w:r>
      <w:r w:rsidRPr="0096332A">
        <w:t>Section 529A of the Internal Revenue Code</w:t>
      </w:r>
      <w:r>
        <w:t xml:space="preserve"> on how </w:t>
      </w:r>
      <w:r w:rsidRPr="009F66D5">
        <w:t xml:space="preserve">states or state agencies </w:t>
      </w:r>
      <w:r>
        <w:t>can</w:t>
      </w:r>
      <w:r w:rsidRPr="009F66D5">
        <w:t xml:space="preserve"> establish a qualified ABLE program</w:t>
      </w:r>
      <w:r>
        <w:t>.</w:t>
      </w:r>
      <w:r w:rsidRPr="009F66D5">
        <w:t xml:space="preserve"> </w:t>
      </w:r>
    </w:p>
    <w:p w:rsidR="00445A92" w:rsidRPr="00D530B9" w:rsidRDefault="00445A92" w:rsidP="00A65CE3">
      <w:pPr>
        <w:pStyle w:val="NumberedList"/>
      </w:pPr>
      <w:r w:rsidRPr="00D530B9">
        <w:t xml:space="preserve">Congress should pass legislation that decouples eligibility for health care benefits from eligibility for cash benefits like SSI and SSDI to prevent people with disabilities from being forced to choose between getting a job </w:t>
      </w:r>
      <w:proofErr w:type="gramStart"/>
      <w:r w:rsidRPr="00D530B9">
        <w:t>or</w:t>
      </w:r>
      <w:proofErr w:type="gramEnd"/>
      <w:r w:rsidRPr="00D530B9">
        <w:t xml:space="preserve"> </w:t>
      </w:r>
      <w:r>
        <w:t>having access to health care</w:t>
      </w:r>
      <w:r w:rsidRPr="00D530B9">
        <w:t>.</w:t>
      </w:r>
    </w:p>
    <w:p w:rsidR="00445A92" w:rsidRPr="00D530B9" w:rsidRDefault="00445A92" w:rsidP="00A65CE3">
      <w:pPr>
        <w:pStyle w:val="NumberedList"/>
      </w:pPr>
      <w:r w:rsidRPr="00D530B9">
        <w:t xml:space="preserve">Congress should amend the </w:t>
      </w:r>
      <w:r>
        <w:t>EITC</w:t>
      </w:r>
      <w:r w:rsidRPr="00D530B9">
        <w:t xml:space="preserve"> to lower the age of eligibility from 25 to 18 years old and increase the benefit for childless adults to provide greater incentive to work and advance self-sufficiency. </w:t>
      </w:r>
    </w:p>
    <w:p w:rsidR="00445A92" w:rsidRPr="00D530B9" w:rsidRDefault="00445A92" w:rsidP="00A65CE3">
      <w:pPr>
        <w:pStyle w:val="Heading2"/>
      </w:pPr>
      <w:bookmarkStart w:id="122" w:name="_Toc493507493"/>
      <w:bookmarkStart w:id="123" w:name="_Toc493596698"/>
      <w:r w:rsidRPr="00D530B9">
        <w:t>Health Care</w:t>
      </w:r>
      <w:bookmarkEnd w:id="122"/>
      <w:bookmarkEnd w:id="123"/>
    </w:p>
    <w:p w:rsidR="00445A92" w:rsidRPr="00D530B9" w:rsidRDefault="00445A92" w:rsidP="00A65CE3">
      <w:pPr>
        <w:pStyle w:val="NumberedList"/>
        <w:numPr>
          <w:ilvl w:val="0"/>
          <w:numId w:val="39"/>
        </w:numPr>
      </w:pPr>
      <w:r w:rsidRPr="00D530B9">
        <w:t xml:space="preserve">Congress should maintain protections that prohibit insurance companies from denying coverage </w:t>
      </w:r>
      <w:r>
        <w:t>because of</w:t>
      </w:r>
      <w:r w:rsidRPr="00D530B9">
        <w:t xml:space="preserve"> preexisting conditions to ensure affordable health insurance coverage for people with disabilities.</w:t>
      </w:r>
    </w:p>
    <w:p w:rsidR="00445A92" w:rsidRPr="00D530B9" w:rsidRDefault="00445A92" w:rsidP="00A65CE3">
      <w:pPr>
        <w:pStyle w:val="NumberedList"/>
        <w:numPr>
          <w:ilvl w:val="0"/>
          <w:numId w:val="39"/>
        </w:numPr>
      </w:pPr>
      <w:r w:rsidRPr="00D530B9">
        <w:t xml:space="preserve">Congress should </w:t>
      </w:r>
      <w:r w:rsidRPr="00793FBE">
        <w:t>ensure</w:t>
      </w:r>
      <w:r w:rsidRPr="00D530B9">
        <w:t xml:space="preserve"> that Medicaid reforms</w:t>
      </w:r>
      <w:r>
        <w:t>,</w:t>
      </w:r>
      <w:r w:rsidRPr="00D530B9">
        <w:t xml:space="preserve"> including but not limited to block grants or per capita </w:t>
      </w:r>
      <w:proofErr w:type="gramStart"/>
      <w:r w:rsidRPr="00D530B9">
        <w:t>caps</w:t>
      </w:r>
      <w:r>
        <w:t>,</w:t>
      </w:r>
      <w:proofErr w:type="gramEnd"/>
      <w:r w:rsidRPr="00D530B9">
        <w:t xml:space="preserve"> will be robust enough to </w:t>
      </w:r>
      <w:r>
        <w:t>prevent</w:t>
      </w:r>
      <w:r w:rsidRPr="00D530B9">
        <w:t xml:space="preserve"> dramatic cutbacks in services</w:t>
      </w:r>
      <w:r>
        <w:t xml:space="preserve"> and prevent</w:t>
      </w:r>
      <w:r w:rsidRPr="00D530B9">
        <w:t xml:space="preserve"> lower reimbursement rates</w:t>
      </w:r>
      <w:r>
        <w:t xml:space="preserve"> for providers</w:t>
      </w:r>
      <w:r w:rsidRPr="00D530B9">
        <w:t xml:space="preserve"> and limits on </w:t>
      </w:r>
      <w:r>
        <w:t xml:space="preserve">Medicaid </w:t>
      </w:r>
      <w:r w:rsidRPr="00D530B9">
        <w:t>eligibility</w:t>
      </w:r>
      <w:r>
        <w:t>. Medicaid reforms should also safeguard access to home and community-based services waivers, which are essential to promoting independent living, employment, and economic self-sufficiency for people with disabilities</w:t>
      </w:r>
      <w:r w:rsidRPr="00D530B9">
        <w:t xml:space="preserve">. </w:t>
      </w:r>
      <w:r>
        <w:t>A</w:t>
      </w:r>
      <w:r w:rsidRPr="00D530B9">
        <w:t xml:space="preserve">ny increases to state flexibility through block grants or per capita caps should include meaningful accountability to the Centers for Medicare and Medicaid Services to ensure a minimum level of coverage and services </w:t>
      </w:r>
      <w:r>
        <w:t>and</w:t>
      </w:r>
      <w:r w:rsidRPr="00D530B9">
        <w:t xml:space="preserve"> consistency </w:t>
      </w:r>
      <w:r>
        <w:t xml:space="preserve">are provided </w:t>
      </w:r>
      <w:r w:rsidRPr="00D530B9">
        <w:t>across state Medicaid programs</w:t>
      </w:r>
      <w:r>
        <w:t xml:space="preserve">. </w:t>
      </w:r>
    </w:p>
    <w:p w:rsidR="00445A92" w:rsidRPr="00D530B9" w:rsidRDefault="00445A92" w:rsidP="00A65CE3">
      <w:pPr>
        <w:pStyle w:val="NumberedList"/>
        <w:numPr>
          <w:ilvl w:val="0"/>
          <w:numId w:val="39"/>
        </w:numPr>
      </w:pPr>
      <w:r w:rsidRPr="00D530B9">
        <w:lastRenderedPageBreak/>
        <w:t xml:space="preserve">Congress should maintain Medicaid expansion for individuals whose conditions did not meet the severity requirements for </w:t>
      </w:r>
      <w:r>
        <w:t xml:space="preserve">disability-based Medicaid prior to passage of the </w:t>
      </w:r>
      <w:r w:rsidRPr="00D530B9">
        <w:t>ACA</w:t>
      </w:r>
      <w:r>
        <w:t xml:space="preserve"> and</w:t>
      </w:r>
      <w:r w:rsidRPr="00D530B9">
        <w:t xml:space="preserve"> those falling within the two-year waiting period before qualifying for disability-based </w:t>
      </w:r>
      <w:r>
        <w:t>Medicare.</w:t>
      </w:r>
    </w:p>
    <w:p w:rsidR="00445A92" w:rsidRPr="00D530B9" w:rsidRDefault="00445A92" w:rsidP="00A65CE3">
      <w:pPr>
        <w:pStyle w:val="NumberedList"/>
        <w:numPr>
          <w:ilvl w:val="0"/>
          <w:numId w:val="39"/>
        </w:numPr>
      </w:pPr>
      <w:r w:rsidRPr="00D530B9">
        <w:t>Congress should remove the 18</w:t>
      </w:r>
      <w:r w:rsidRPr="00A65CE3">
        <w:rPr>
          <w:rFonts w:cs="Arial"/>
        </w:rPr>
        <w:t xml:space="preserve"> to </w:t>
      </w:r>
      <w:r w:rsidRPr="00D530B9">
        <w:t xml:space="preserve">64 age limits for </w:t>
      </w:r>
      <w:r>
        <w:t>b</w:t>
      </w:r>
      <w:r w:rsidRPr="00D530B9">
        <w:t>uy-</w:t>
      </w:r>
      <w:r>
        <w:t>i</w:t>
      </w:r>
      <w:r w:rsidRPr="00D530B9">
        <w:t xml:space="preserve">n options in Medicaid to promote work among people with disabilities after age 65 without </w:t>
      </w:r>
      <w:r>
        <w:t>requiring them</w:t>
      </w:r>
      <w:r w:rsidRPr="00D530B9">
        <w:t xml:space="preserve"> to spend down to be eligible for Medicaid or exclude their buy-in assets from being counted for eligibility purposes.</w:t>
      </w:r>
    </w:p>
    <w:p w:rsidR="00445A92" w:rsidRPr="00D530B9" w:rsidRDefault="00445A92" w:rsidP="00A65CE3">
      <w:pPr>
        <w:pStyle w:val="Heading2"/>
      </w:pPr>
      <w:bookmarkStart w:id="124" w:name="_Toc493507494"/>
      <w:bookmarkStart w:id="125" w:name="_Toc493596699"/>
      <w:r w:rsidRPr="00D530B9">
        <w:t>Housing</w:t>
      </w:r>
      <w:bookmarkEnd w:id="124"/>
      <w:bookmarkEnd w:id="125"/>
    </w:p>
    <w:p w:rsidR="00445A92" w:rsidRPr="00D530B9" w:rsidRDefault="00445A92" w:rsidP="00A65CE3">
      <w:pPr>
        <w:pStyle w:val="NumberedList"/>
        <w:numPr>
          <w:ilvl w:val="0"/>
          <w:numId w:val="40"/>
        </w:numPr>
      </w:pPr>
      <w:r>
        <w:t>HUD</w:t>
      </w:r>
      <w:r w:rsidRPr="00D530B9">
        <w:t xml:space="preserve"> should require that all federally assisted housing units </w:t>
      </w:r>
      <w:r>
        <w:t>follow</w:t>
      </w:r>
      <w:r w:rsidRPr="00D530B9">
        <w:t xml:space="preserve"> universal design principles and ensure that accessible housing units are in line with the percentage of people with disabilities requesting federal housing assistance. This </w:t>
      </w:r>
      <w:r>
        <w:t xml:space="preserve">goal can be achieved by increasing the percentage of required </w:t>
      </w:r>
      <w:r w:rsidRPr="00D530B9">
        <w:t xml:space="preserve">new housing </w:t>
      </w:r>
      <w:r>
        <w:t>units that are</w:t>
      </w:r>
      <w:r w:rsidRPr="00D530B9">
        <w:t xml:space="preserve"> accessible for people with mobility disabilities and people with sensory disabilities</w:t>
      </w:r>
      <w:r>
        <w:t xml:space="preserve"> from the current rate of five percent and two percent, respectively</w:t>
      </w:r>
      <w:r w:rsidRPr="00D530B9">
        <w:t xml:space="preserve">. </w:t>
      </w:r>
      <w:r>
        <w:t>(See Chapter 3, for more information about universal design.)</w:t>
      </w:r>
    </w:p>
    <w:p w:rsidR="00445A92" w:rsidRPr="000F7AF9" w:rsidRDefault="00445A92" w:rsidP="00A65CE3">
      <w:pPr>
        <w:pStyle w:val="NumberedList"/>
        <w:numPr>
          <w:ilvl w:val="0"/>
          <w:numId w:val="40"/>
        </w:numPr>
        <w:rPr>
          <w:spacing w:val="2"/>
        </w:rPr>
      </w:pPr>
      <w:r w:rsidRPr="000F7AF9">
        <w:rPr>
          <w:spacing w:val="2"/>
        </w:rPr>
        <w:t>Local communities should enact ordinances requiring developers to include a percentage of accessible homes of varying price in any new development, similar to Montgomery County, Maryland’s</w:t>
      </w:r>
      <w:r w:rsidRPr="000F7AF9">
        <w:rPr>
          <w:i/>
          <w:iCs/>
          <w:spacing w:val="2"/>
        </w:rPr>
        <w:t xml:space="preserve"> </w:t>
      </w:r>
      <w:r w:rsidRPr="000F7AF9">
        <w:rPr>
          <w:iCs/>
          <w:spacing w:val="2"/>
        </w:rPr>
        <w:t>MPH</w:t>
      </w:r>
      <w:r w:rsidRPr="000F7AF9">
        <w:rPr>
          <w:i/>
          <w:iCs/>
          <w:spacing w:val="2"/>
        </w:rPr>
        <w:t xml:space="preserve"> </w:t>
      </w:r>
      <w:r w:rsidRPr="000F7AF9">
        <w:rPr>
          <w:spacing w:val="2"/>
        </w:rPr>
        <w:t>law, which requires 12.5 to 15 percent of the total number of units in a new development to be moderately priced. HUD should provide guidance to local communities to promote greater investment in housing developments incorporating universal design and to ensure greater availability of accessible housing units and promote opportunities for aging in place.</w:t>
      </w:r>
    </w:p>
    <w:p w:rsidR="00A65CE3" w:rsidRDefault="00A65CE3">
      <w:pPr>
        <w:rPr>
          <w:rFonts w:ascii="Arial" w:eastAsia="Times New Roman" w:hAnsi="Arial" w:cs="Times New Roman"/>
          <w:b/>
          <w:sz w:val="28"/>
          <w:szCs w:val="32"/>
        </w:rPr>
      </w:pPr>
      <w:r>
        <w:br w:type="page"/>
      </w:r>
    </w:p>
    <w:p w:rsidR="00445A92" w:rsidRPr="00D530B9" w:rsidRDefault="00445A92" w:rsidP="00A65CE3">
      <w:pPr>
        <w:pStyle w:val="Heading2"/>
      </w:pPr>
      <w:bookmarkStart w:id="126" w:name="_Toc493507495"/>
      <w:bookmarkStart w:id="127" w:name="_Toc493596700"/>
      <w:r w:rsidRPr="00D530B9">
        <w:lastRenderedPageBreak/>
        <w:t>Transportation</w:t>
      </w:r>
      <w:bookmarkEnd w:id="126"/>
      <w:bookmarkEnd w:id="127"/>
    </w:p>
    <w:p w:rsidR="00445A92" w:rsidRPr="00D530B9" w:rsidRDefault="00445A92" w:rsidP="00A65CE3">
      <w:pPr>
        <w:pStyle w:val="NumberedList"/>
        <w:numPr>
          <w:ilvl w:val="0"/>
          <w:numId w:val="41"/>
        </w:numPr>
      </w:pPr>
      <w:r>
        <w:t>DOJ</w:t>
      </w:r>
      <w:r w:rsidRPr="00D530B9">
        <w:t xml:space="preserve"> should issue regulations </w:t>
      </w:r>
      <w:r>
        <w:t>that require</w:t>
      </w:r>
      <w:r w:rsidRPr="00D530B9">
        <w:t xml:space="preserve"> privately funded transit </w:t>
      </w:r>
      <w:r>
        <w:t xml:space="preserve">agencies </w:t>
      </w:r>
      <w:r w:rsidRPr="00D530B9">
        <w:t xml:space="preserve">to provide accessible transportation </w:t>
      </w:r>
      <w:r>
        <w:t>options</w:t>
      </w:r>
      <w:r w:rsidRPr="00D530B9">
        <w:t xml:space="preserve"> for people with disabilities in all communities. This includes but is not limited to taxi</w:t>
      </w:r>
      <w:r>
        <w:t>cab</w:t>
      </w:r>
      <w:r w:rsidRPr="00D530B9">
        <w:t>s and transportation</w:t>
      </w:r>
      <w:r>
        <w:t xml:space="preserve"> arranged through</w:t>
      </w:r>
      <w:r w:rsidRPr="00D530B9">
        <w:t xml:space="preserve"> smartphone applications</w:t>
      </w:r>
      <w:r>
        <w:t>.</w:t>
      </w:r>
    </w:p>
    <w:p w:rsidR="00445A92" w:rsidRPr="00D530B9" w:rsidRDefault="00445A92" w:rsidP="00A65CE3">
      <w:pPr>
        <w:pStyle w:val="NumberedList"/>
        <w:numPr>
          <w:ilvl w:val="0"/>
          <w:numId w:val="41"/>
        </w:numPr>
      </w:pPr>
      <w:r w:rsidRPr="00D530B9">
        <w:t xml:space="preserve">Local </w:t>
      </w:r>
      <w:r>
        <w:t>municipalities should require taxicab authorities</w:t>
      </w:r>
      <w:r w:rsidRPr="00D530B9">
        <w:t xml:space="preserve"> </w:t>
      </w:r>
      <w:r>
        <w:t>to</w:t>
      </w:r>
      <w:r w:rsidRPr="00D530B9">
        <w:t xml:space="preserve"> provide mandatory training </w:t>
      </w:r>
      <w:r>
        <w:t>for</w:t>
      </w:r>
      <w:r w:rsidRPr="00D530B9">
        <w:t xml:space="preserve"> taxi</w:t>
      </w:r>
      <w:r>
        <w:t>cab</w:t>
      </w:r>
      <w:r w:rsidRPr="00D530B9">
        <w:t xml:space="preserve"> </w:t>
      </w:r>
      <w:r>
        <w:t>operators</w:t>
      </w:r>
      <w:r w:rsidRPr="00D530B9">
        <w:t xml:space="preserve"> about the proper </w:t>
      </w:r>
      <w:r>
        <w:t>ramp deployment and securement policies and procedures so that people with mobility disabilities can safely and effectively use privately funded transit options.</w:t>
      </w:r>
    </w:p>
    <w:p w:rsidR="00445A92" w:rsidRPr="00D530B9" w:rsidRDefault="00445A92" w:rsidP="00A65CE3">
      <w:pPr>
        <w:pStyle w:val="NumberedList"/>
        <w:numPr>
          <w:ilvl w:val="0"/>
          <w:numId w:val="41"/>
        </w:numPr>
      </w:pPr>
      <w:r w:rsidRPr="00D530B9">
        <w:t xml:space="preserve">Local communities should </w:t>
      </w:r>
      <w:r>
        <w:t>provide guidance</w:t>
      </w:r>
      <w:r w:rsidRPr="00D530B9">
        <w:t xml:space="preserve"> that clarif</w:t>
      </w:r>
      <w:r>
        <w:t>ies</w:t>
      </w:r>
      <w:r w:rsidRPr="00D530B9">
        <w:t xml:space="preserve"> and bolster</w:t>
      </w:r>
      <w:r>
        <w:t>s t</w:t>
      </w:r>
      <w:r w:rsidRPr="00534504">
        <w:t>he</w:t>
      </w:r>
      <w:r w:rsidRPr="00D530B9">
        <w:t xml:space="preserve"> ADA nondiscrimination standards </w:t>
      </w:r>
      <w:r>
        <w:t xml:space="preserve">in order </w:t>
      </w:r>
      <w:r w:rsidRPr="00D530B9">
        <w:t xml:space="preserve">to address </w:t>
      </w:r>
      <w:r>
        <w:t>issues</w:t>
      </w:r>
      <w:r w:rsidRPr="00D530B9">
        <w:t xml:space="preserve"> faced by people with disabilities </w:t>
      </w:r>
      <w:r>
        <w:t>who require assistance to use transportation</w:t>
      </w:r>
      <w:r w:rsidRPr="00D530B9">
        <w:t xml:space="preserve"> services because of their disability. This includes</w:t>
      </w:r>
      <w:r>
        <w:t xml:space="preserve"> but is not limited to</w:t>
      </w:r>
      <w:r w:rsidRPr="00D530B9">
        <w:t xml:space="preserve"> </w:t>
      </w:r>
      <w:r>
        <w:t>refusal to accommodate service animals</w:t>
      </w:r>
      <w:r w:rsidRPr="00D530B9">
        <w:t xml:space="preserve">, </w:t>
      </w:r>
      <w:r>
        <w:t xml:space="preserve">claims of broken lifts and ramps, </w:t>
      </w:r>
      <w:r w:rsidRPr="00D530B9">
        <w:t>and</w:t>
      </w:r>
      <w:r>
        <w:t xml:space="preserve"> late pickup or no shows.</w:t>
      </w:r>
    </w:p>
    <w:p w:rsidR="00445A92" w:rsidRPr="00D530B9" w:rsidRDefault="00445A92" w:rsidP="00A65CE3">
      <w:pPr>
        <w:pStyle w:val="NumberedList"/>
        <w:numPr>
          <w:ilvl w:val="0"/>
          <w:numId w:val="41"/>
        </w:numPr>
      </w:pPr>
      <w:r>
        <w:t xml:space="preserve">DOT’s </w:t>
      </w:r>
      <w:r w:rsidRPr="00D530B9">
        <w:t xml:space="preserve">Federal Transit Administration should work with local communities so that the DOT ADA regulations are followed to </w:t>
      </w:r>
      <w:r>
        <w:t>guarantee that</w:t>
      </w:r>
      <w:r w:rsidRPr="00D530B9">
        <w:t xml:space="preserve"> all public transit stations and bus stops</w:t>
      </w:r>
      <w:r>
        <w:t xml:space="preserve"> are accessible</w:t>
      </w:r>
      <w:r w:rsidRPr="00D530B9">
        <w:t xml:space="preserve">. This includes but is not limited to ensuring the detectability of bus stops through tactile signage or unique bus stop pole designs for people who are blind or have visual impairments and installation and maintenance of shelters and level concrete pads for people with </w:t>
      </w:r>
      <w:r>
        <w:t>mobility</w:t>
      </w:r>
      <w:r w:rsidRPr="00D530B9">
        <w:t xml:space="preserve"> disabilities.</w:t>
      </w:r>
    </w:p>
    <w:p w:rsidR="00445A92" w:rsidRDefault="00445A92" w:rsidP="00A65CE3">
      <w:pPr>
        <w:pStyle w:val="NumberedList"/>
        <w:numPr>
          <w:ilvl w:val="0"/>
          <w:numId w:val="41"/>
        </w:numPr>
      </w:pPr>
      <w:r w:rsidRPr="00D530B9">
        <w:t>Congress should place greater emphasis</w:t>
      </w:r>
      <w:r>
        <w:t xml:space="preserve"> on</w:t>
      </w:r>
      <w:r w:rsidRPr="00D530B9">
        <w:t xml:space="preserve"> funding transportation programs </w:t>
      </w:r>
      <w:r>
        <w:t xml:space="preserve">in rural areas </w:t>
      </w:r>
      <w:r w:rsidRPr="00D530B9">
        <w:t>to address minimal or nonexistent public and privately funded accessible transportation</w:t>
      </w:r>
      <w:r>
        <w:t xml:space="preserve"> options</w:t>
      </w:r>
      <w:r w:rsidRPr="00D530B9">
        <w:t xml:space="preserve"> for people with disabilities</w:t>
      </w:r>
      <w:r>
        <w:t xml:space="preserve">. </w:t>
      </w:r>
    </w:p>
    <w:p w:rsidR="00445A92" w:rsidRDefault="00445A92" w:rsidP="00A65CE3">
      <w:pPr>
        <w:pStyle w:val="NumberedList"/>
        <w:numPr>
          <w:ilvl w:val="0"/>
          <w:numId w:val="41"/>
        </w:numPr>
      </w:pPr>
      <w:r>
        <w:t xml:space="preserve">Neighboring </w:t>
      </w:r>
      <w:proofErr w:type="spellStart"/>
      <w:r>
        <w:t>paratransit</w:t>
      </w:r>
      <w:proofErr w:type="spellEnd"/>
      <w:r>
        <w:t xml:space="preserve"> agencies should coordinate with each other to eliminate the arbitrary line between </w:t>
      </w:r>
      <w:proofErr w:type="spellStart"/>
      <w:r>
        <w:t>paratransit</w:t>
      </w:r>
      <w:proofErr w:type="spellEnd"/>
      <w:r>
        <w:t xml:space="preserve"> jurisdictions, which would provide people with disabilities with increased job opportunities in major business hubs. </w:t>
      </w:r>
    </w:p>
    <w:p w:rsidR="00445A92" w:rsidRDefault="00445A92" w:rsidP="00445A92">
      <w:pPr>
        <w:rPr>
          <w:rFonts w:ascii="Arial" w:hAnsi="Arial" w:cs="Calibri"/>
          <w:color w:val="000000" w:themeColor="text1"/>
          <w:szCs w:val="24"/>
          <w:u w:color="000000"/>
          <w:bdr w:val="nil"/>
        </w:rPr>
      </w:pPr>
      <w:r>
        <w:br w:type="page"/>
      </w:r>
    </w:p>
    <w:p w:rsidR="00377BB3" w:rsidRDefault="00377BB3">
      <w:pPr>
        <w:rPr>
          <w:rFonts w:ascii="Arial" w:hAnsi="Arial" w:cs="Arial"/>
          <w:b/>
          <w:sz w:val="36"/>
          <w:szCs w:val="32"/>
        </w:rPr>
      </w:pPr>
      <w:bookmarkStart w:id="128" w:name="_Toc472950639"/>
      <w:bookmarkStart w:id="129" w:name="_Toc473793526"/>
      <w:r>
        <w:lastRenderedPageBreak/>
        <w:br w:type="page"/>
      </w:r>
    </w:p>
    <w:p w:rsidR="00445A92" w:rsidRDefault="00445A92" w:rsidP="00A65CE3">
      <w:pPr>
        <w:pStyle w:val="Heading1"/>
      </w:pPr>
      <w:bookmarkStart w:id="130" w:name="_Toc493596701"/>
      <w:r>
        <w:lastRenderedPageBreak/>
        <w:t>Conclusion</w:t>
      </w:r>
      <w:bookmarkEnd w:id="128"/>
      <w:bookmarkEnd w:id="129"/>
      <w:bookmarkEnd w:id="130"/>
    </w:p>
    <w:p w:rsidR="00445A92" w:rsidRDefault="00445A92" w:rsidP="00A65CE3">
      <w:pPr>
        <w:pStyle w:val="NCDBodyText"/>
      </w:pPr>
      <w:r>
        <w:t xml:space="preserve">Like all Americans, people with disabilities want </w:t>
      </w:r>
      <w:r w:rsidRPr="00504C41">
        <w:t>equal opportunity</w:t>
      </w:r>
      <w:r>
        <w:t xml:space="preserve"> to participate fully in their communities</w:t>
      </w:r>
      <w:r w:rsidRPr="00504C41">
        <w:t xml:space="preserve">, </w:t>
      </w:r>
      <w:r>
        <w:t xml:space="preserve">live independently, </w:t>
      </w:r>
      <w:r w:rsidRPr="00504C41">
        <w:t xml:space="preserve">and </w:t>
      </w:r>
      <w:r>
        <w:t xml:space="preserve">achieve </w:t>
      </w:r>
      <w:r w:rsidRPr="00504C41">
        <w:t>economic self-sufficiency</w:t>
      </w:r>
      <w:r>
        <w:t xml:space="preserve">. However, poverty is a significant issue for people with disabilities. The 2017 </w:t>
      </w:r>
      <w:r w:rsidRPr="00C9501C">
        <w:rPr>
          <w:i/>
        </w:rPr>
        <w:t>Progress Report</w:t>
      </w:r>
      <w:r>
        <w:t xml:space="preserve"> demonstrates how established public programs seek to address the connection between poverty and disabilities across education, employment, financial assistance and incentives, health care, long-term services and supports, transportation, and housing. However, existing programs and policies often act as a barrier to needed public services in ways that perpetuate a cycle of poverty among people with disabilities. These barriers include </w:t>
      </w:r>
      <w:r>
        <w:rPr>
          <w:rFonts w:eastAsiaTheme="minorHAnsi" w:cs="Arial"/>
        </w:rPr>
        <w:t>physical access barriers, lack of available programs, complex relationships between programs and eligibility requirements, and inaccurate perceptions of the capabilities of people with disabilities.</w:t>
      </w:r>
      <w:r>
        <w:t xml:space="preserve"> The barriers people with disabilities experience are often due to limited integration across existing programs, which may work at cross purposes.</w:t>
      </w:r>
    </w:p>
    <w:p w:rsidR="00445A92" w:rsidRDefault="00445A92" w:rsidP="00A65CE3">
      <w:pPr>
        <w:pStyle w:val="NCDBodyText"/>
      </w:pPr>
      <w:r>
        <w:t xml:space="preserve">It will take a commitment by policymakers to examine existing policies and practices to determine which ones work to create a better path to economic self-sufficiency for people with disabilities and which ones do not. A coordinated review of all federal disability programs would improve the efficiency of existing structures to better meet the needs of people with disabilities. Such a review would also begin to break down the silos that often exist between federal agencies and address the barriers often caused by the interconnected nature of existing programs. This is a critical step toward improving the economic outlook for people with disabilities and including them </w:t>
      </w:r>
      <w:r w:rsidRPr="0097745E">
        <w:t>in all aspects of society</w:t>
      </w:r>
      <w:r>
        <w:t xml:space="preserve">. </w:t>
      </w:r>
    </w:p>
    <w:p w:rsidR="00445A92" w:rsidRDefault="00445A92" w:rsidP="00445A92">
      <w:pPr>
        <w:pStyle w:val="NCDBodyText"/>
        <w:keepNext/>
      </w:pPr>
      <w:r>
        <w:t xml:space="preserve">NCD encourages readers of the 2017 </w:t>
      </w:r>
      <w:r w:rsidRPr="006424D8">
        <w:rPr>
          <w:i/>
        </w:rPr>
        <w:t>Progress Report</w:t>
      </w:r>
      <w:r>
        <w:t xml:space="preserve"> to consider ways that </w:t>
      </w:r>
      <w:r w:rsidRPr="00504C41">
        <w:t xml:space="preserve">public policies and programs </w:t>
      </w:r>
      <w:r>
        <w:t xml:space="preserve">can promote the employment of people with disabilities and be reoriented </w:t>
      </w:r>
      <w:r w:rsidRPr="00504C41">
        <w:t xml:space="preserve">to </w:t>
      </w:r>
      <w:r>
        <w:t>remove the barriers</w:t>
      </w:r>
      <w:r w:rsidRPr="00504C41">
        <w:t xml:space="preserve"> </w:t>
      </w:r>
      <w:r>
        <w:t>that prevent people with disabilities from achieving economic self-sufficiency</w:t>
      </w:r>
      <w:r w:rsidRPr="00504C41">
        <w:t>.</w:t>
      </w:r>
      <w:r>
        <w:t xml:space="preserve"> It is essential that efforts to address the perpetual cycle of poverty that people with disabilities experience focus on all areas of life. This includes ensuring that people with disabilities </w:t>
      </w:r>
      <w:r>
        <w:rPr>
          <w:rStyle w:val="BodyTextChar"/>
          <w:rFonts w:eastAsia="Calibri"/>
        </w:rPr>
        <w:t xml:space="preserve">are able to </w:t>
      </w:r>
      <w:r>
        <w:t xml:space="preserve">access education, employment </w:t>
      </w:r>
      <w:r>
        <w:lastRenderedPageBreak/>
        <w:t>opportunities, and transportation;</w:t>
      </w:r>
      <w:r>
        <w:rPr>
          <w:rStyle w:val="BodyTextChar"/>
          <w:rFonts w:eastAsia="Calibri"/>
        </w:rPr>
        <w:t xml:space="preserve"> afford their daily living expenses</w:t>
      </w:r>
      <w:r>
        <w:rPr>
          <w:rStyle w:val="BodyTextChar"/>
          <w:rFonts w:eastAsia="Calibri" w:cs="Calibri"/>
        </w:rPr>
        <w:t>;</w:t>
      </w:r>
      <w:r w:rsidRPr="00CB2D1C">
        <w:rPr>
          <w:rStyle w:val="BodyTextChar"/>
          <w:rFonts w:eastAsia="Calibri" w:cs="Calibri"/>
        </w:rPr>
        <w:t xml:space="preserve"> get needed medical care</w:t>
      </w:r>
      <w:r>
        <w:rPr>
          <w:rStyle w:val="BodyTextChar"/>
          <w:rFonts w:eastAsia="Calibri" w:cs="Calibri"/>
        </w:rPr>
        <w:t>;</w:t>
      </w:r>
      <w:r w:rsidRPr="00CB2D1C">
        <w:rPr>
          <w:rStyle w:val="BodyTextChar"/>
          <w:rFonts w:eastAsia="Calibri" w:cs="Calibri"/>
        </w:rPr>
        <w:t xml:space="preserve"> </w:t>
      </w:r>
      <w:r>
        <w:rPr>
          <w:rStyle w:val="BodyTextChar"/>
          <w:rFonts w:eastAsia="Calibri"/>
        </w:rPr>
        <w:t>and</w:t>
      </w:r>
      <w:r w:rsidRPr="00CB2D1C">
        <w:rPr>
          <w:rStyle w:val="BodyTextChar"/>
          <w:rFonts w:eastAsia="Calibri" w:cs="Calibri"/>
        </w:rPr>
        <w:t xml:space="preserve"> live in</w:t>
      </w:r>
      <w:r>
        <w:rPr>
          <w:rStyle w:val="BodyTextChar"/>
          <w:rFonts w:eastAsia="Calibri"/>
        </w:rPr>
        <w:t xml:space="preserve"> affordable, accessible</w:t>
      </w:r>
      <w:r w:rsidRPr="00CB2D1C">
        <w:rPr>
          <w:rStyle w:val="BodyTextChar"/>
          <w:rFonts w:eastAsia="Calibri" w:cs="Calibri"/>
        </w:rPr>
        <w:t xml:space="preserve"> housing</w:t>
      </w:r>
      <w:r>
        <w:rPr>
          <w:rStyle w:val="BodyTextChar"/>
          <w:rFonts w:eastAsia="Calibri"/>
        </w:rPr>
        <w:t>.</w:t>
      </w:r>
      <w:r w:rsidRPr="00CB2D1C">
        <w:rPr>
          <w:rStyle w:val="BodyTextChar"/>
          <w:rFonts w:eastAsia="Calibri" w:cs="Calibri"/>
        </w:rPr>
        <w:t xml:space="preserve"> </w:t>
      </w:r>
      <w:r>
        <w:t>Reorienting existing support systems toward the goal of helping people with disabilities to achieve gainful employment and economic self-sufficiency will benefit all of society.</w:t>
      </w:r>
      <w:r>
        <w:br w:type="page"/>
      </w:r>
    </w:p>
    <w:p w:rsidR="000A3C96" w:rsidRDefault="000A3C96" w:rsidP="00CD3281">
      <w:pPr>
        <w:pStyle w:val="Heading1"/>
      </w:pPr>
      <w:bookmarkStart w:id="131" w:name="_Toc493596702"/>
      <w:r>
        <w:lastRenderedPageBreak/>
        <w:t>Appendix A</w:t>
      </w:r>
      <w:r w:rsidRPr="00C11F46">
        <w:t xml:space="preserve">: </w:t>
      </w:r>
      <w:r>
        <w:t>Focus Group Summary</w:t>
      </w:r>
      <w:bookmarkEnd w:id="131"/>
    </w:p>
    <w:p w:rsidR="000A3C96" w:rsidRDefault="000A3C96" w:rsidP="00092FF6">
      <w:pPr>
        <w:pStyle w:val="NCDBodyText"/>
        <w:spacing w:line="240" w:lineRule="auto"/>
      </w:pPr>
      <w:r>
        <w:t>Focus groups were held with 12 people with disabilities on March 6 and 7, 2017. The purpose of the focus groups was to discuss successes and barriers to achieving financial self-sufficiency for people with disabilities, successes and challenges faced when accessing policies and programs designed to help people with disabilities achieve economic self-sufficiency, and suggestions for what incentives and supports would make it easier for people with disabilities to achieve economic self-sufficiency.</w:t>
      </w:r>
      <w:r w:rsidRPr="001501B7">
        <w:t xml:space="preserve"> </w:t>
      </w:r>
      <w:r>
        <w:t xml:space="preserve">Quotes and anecdotes in </w:t>
      </w:r>
      <w:r w:rsidRPr="00D002C5">
        <w:t>the 201</w:t>
      </w:r>
      <w:r>
        <w:t>7</w:t>
      </w:r>
      <w:r w:rsidRPr="00D002C5">
        <w:t xml:space="preserve"> </w:t>
      </w:r>
      <w:r w:rsidRPr="004B5114">
        <w:rPr>
          <w:i/>
        </w:rPr>
        <w:t>Progress Report</w:t>
      </w:r>
      <w:r w:rsidRPr="00D002C5">
        <w:t xml:space="preserve"> </w:t>
      </w:r>
      <w:r>
        <w:t>were obtained during these focus groups.</w:t>
      </w:r>
    </w:p>
    <w:p w:rsidR="000A3C96" w:rsidRPr="001501B7" w:rsidRDefault="000A3C96" w:rsidP="00CD3281">
      <w:pPr>
        <w:pStyle w:val="Heading2"/>
      </w:pPr>
      <w:bookmarkStart w:id="132" w:name="_Toc458786330"/>
      <w:bookmarkStart w:id="133" w:name="_Toc493507496"/>
      <w:bookmarkStart w:id="134" w:name="_Toc493596703"/>
      <w:r>
        <w:t>Focus Group</w:t>
      </w:r>
      <w:r w:rsidRPr="001501B7">
        <w:t xml:space="preserve"> Highlights</w:t>
      </w:r>
      <w:bookmarkEnd w:id="132"/>
      <w:bookmarkEnd w:id="133"/>
      <w:bookmarkEnd w:id="134"/>
    </w:p>
    <w:p w:rsidR="000A3C96" w:rsidRDefault="000A3C96" w:rsidP="00CD3281">
      <w:pPr>
        <w:pStyle w:val="Heading3"/>
      </w:pPr>
      <w:bookmarkStart w:id="135" w:name="_Toc493507497"/>
      <w:bookmarkStart w:id="136" w:name="_Toc493596704"/>
      <w:r>
        <w:t>Recruitment and Participants</w:t>
      </w:r>
      <w:bookmarkEnd w:id="135"/>
      <w:bookmarkEnd w:id="136"/>
    </w:p>
    <w:p w:rsidR="000A3C96" w:rsidRDefault="000A3C96" w:rsidP="00092FF6">
      <w:pPr>
        <w:pStyle w:val="NCDBodyText"/>
        <w:spacing w:line="240" w:lineRule="auto"/>
      </w:pPr>
      <w:r>
        <w:t xml:space="preserve">Two focus groups were held by phone with six participants in each group. Participants were recruited through contacts at NCD and the National Disability Institute. Participants included four men and eight women, including two parents of adult children with disabilities. Participants were from Delaware, Maryland, Massachusetts, Minnesota, Nevada, and Washington, DC. The group included people with physical and intellectual disabilities, as well as individuals who were blind, Deaf, and Hard of Hearing. Participants were asked open-ended questions and invited to share their experiences related to education, looking for a job, working, health care and health insurance, housing, and transportation, including their experiences facing stereotypes or misunderstandings about their disability in these arenas. </w:t>
      </w:r>
    </w:p>
    <w:p w:rsidR="000A3C96" w:rsidRDefault="000A3C96" w:rsidP="00CD3281">
      <w:pPr>
        <w:pStyle w:val="Heading3"/>
      </w:pPr>
      <w:bookmarkStart w:id="137" w:name="_Toc493507498"/>
      <w:bookmarkStart w:id="138" w:name="_Toc493596705"/>
      <w:r w:rsidRPr="00593859">
        <w:t>Relevant</w:t>
      </w:r>
      <w:r>
        <w:t xml:space="preserve"> </w:t>
      </w:r>
      <w:r w:rsidRPr="00F946CF">
        <w:t>H</w:t>
      </w:r>
      <w:r w:rsidRPr="00593859">
        <w:t>ighlights</w:t>
      </w:r>
      <w:bookmarkEnd w:id="137"/>
      <w:bookmarkEnd w:id="138"/>
    </w:p>
    <w:p w:rsidR="000A3C96" w:rsidRPr="00E13245" w:rsidRDefault="000A3C96" w:rsidP="00092FF6">
      <w:pPr>
        <w:pStyle w:val="NCDBodyText"/>
        <w:spacing w:line="240" w:lineRule="auto"/>
      </w:pPr>
      <w:proofErr w:type="gramStart"/>
      <w:r>
        <w:rPr>
          <w:b/>
        </w:rPr>
        <w:t>Education.</w:t>
      </w:r>
      <w:proofErr w:type="gramEnd"/>
      <w:r>
        <w:rPr>
          <w:b/>
        </w:rPr>
        <w:t xml:space="preserve"> </w:t>
      </w:r>
      <w:r>
        <w:t xml:space="preserve">Participants reflected on their educational experiences from high school and postsecondary or vocational training. One parent participant noted that their children with disabilities were at a disadvantage in finding employment after high school because they had received alternative high school diplomas. The parents noted that, because employers did not believe that an alternative diploma was the same as a standard high school diploma, the children had a more difficult time finding employment. Several participants described the benefits of new technology, including greater availability of large print and audio books, which was making education easier than when they were younger. </w:t>
      </w:r>
    </w:p>
    <w:p w:rsidR="000A3C96" w:rsidRDefault="000A3C96" w:rsidP="00092FF6">
      <w:pPr>
        <w:pStyle w:val="NCDBodyText"/>
        <w:spacing w:line="240" w:lineRule="auto"/>
      </w:pPr>
      <w:proofErr w:type="gramStart"/>
      <w:r w:rsidRPr="00593859">
        <w:rPr>
          <w:b/>
        </w:rPr>
        <w:t>Income</w:t>
      </w:r>
      <w:r>
        <w:rPr>
          <w:b/>
        </w:rPr>
        <w:t xml:space="preserve"> and </w:t>
      </w:r>
      <w:r w:rsidR="00682A71">
        <w:rPr>
          <w:b/>
        </w:rPr>
        <w:t>Health Care</w:t>
      </w:r>
      <w:r>
        <w:rPr>
          <w:b/>
        </w:rPr>
        <w:t>.</w:t>
      </w:r>
      <w:proofErr w:type="gramEnd"/>
      <w:r>
        <w:t xml:space="preserve"> Participants described having trouble earning enough income to cover all of their day-to-day living costs and the costs associated with their disabilities. Participants rely on SSI and/or SSDI or have relied on it at some point in time. Some participants noted that they </w:t>
      </w:r>
      <w:r w:rsidRPr="00593859">
        <w:t>kept their income low</w:t>
      </w:r>
      <w:r>
        <w:t xml:space="preserve"> enough</w:t>
      </w:r>
      <w:r w:rsidRPr="00593859">
        <w:t xml:space="preserve"> </w:t>
      </w:r>
      <w:r>
        <w:t>to maintain</w:t>
      </w:r>
      <w:r w:rsidRPr="00593859">
        <w:t xml:space="preserve"> their SSDI/SSI </w:t>
      </w:r>
      <w:r>
        <w:t xml:space="preserve">benefits. Participants also noted that </w:t>
      </w:r>
      <w:r w:rsidRPr="00593859">
        <w:t xml:space="preserve">SSI </w:t>
      </w:r>
      <w:r>
        <w:t>can act as a</w:t>
      </w:r>
      <w:r w:rsidRPr="00593859">
        <w:t xml:space="preserve"> poverty </w:t>
      </w:r>
      <w:proofErr w:type="spellStart"/>
      <w:r>
        <w:t>reinforcer</w:t>
      </w:r>
      <w:proofErr w:type="spellEnd"/>
      <w:r>
        <w:t xml:space="preserve"> because of the connection between SSI and SSDI and access</w:t>
      </w:r>
      <w:r w:rsidRPr="00593859">
        <w:t xml:space="preserve"> </w:t>
      </w:r>
      <w:r>
        <w:t xml:space="preserve">to </w:t>
      </w:r>
      <w:r w:rsidRPr="00593859">
        <w:t xml:space="preserve">health </w:t>
      </w:r>
      <w:r>
        <w:t>care services</w:t>
      </w:r>
      <w:r w:rsidRPr="00593859">
        <w:t xml:space="preserve"> </w:t>
      </w:r>
      <w:r>
        <w:t>through Medicare and Medicaid.</w:t>
      </w:r>
      <w:r w:rsidRPr="00593859">
        <w:t xml:space="preserve"> </w:t>
      </w:r>
      <w:r>
        <w:t xml:space="preserve">A number of participants noted the importance of using benefits counselors who can explain and guide participants through eligibility, enrollment, and income and asset requirements. Several participants noted the burden </w:t>
      </w:r>
      <w:r>
        <w:lastRenderedPageBreak/>
        <w:t xml:space="preserve">of SSI and SSDI overpayments and the important support provided by benefits counselors to navigate the overpayment process. </w:t>
      </w:r>
    </w:p>
    <w:p w:rsidR="000A3C96" w:rsidRDefault="000A3C96" w:rsidP="00092FF6">
      <w:pPr>
        <w:pStyle w:val="NCDBodyText"/>
        <w:spacing w:line="240" w:lineRule="auto"/>
      </w:pPr>
      <w:proofErr w:type="gramStart"/>
      <w:r w:rsidRPr="00012228">
        <w:rPr>
          <w:b/>
        </w:rPr>
        <w:t xml:space="preserve">Affordable </w:t>
      </w:r>
      <w:r w:rsidR="00682A71" w:rsidRPr="00012228">
        <w:rPr>
          <w:b/>
        </w:rPr>
        <w:t xml:space="preserve">Transportation </w:t>
      </w:r>
      <w:r w:rsidRPr="00012228">
        <w:rPr>
          <w:b/>
        </w:rPr>
        <w:t xml:space="preserve">and </w:t>
      </w:r>
      <w:r w:rsidR="00682A71" w:rsidRPr="00012228">
        <w:rPr>
          <w:b/>
        </w:rPr>
        <w:t>Housing</w:t>
      </w:r>
      <w:r w:rsidRPr="00012228">
        <w:rPr>
          <w:b/>
        </w:rPr>
        <w:t>.</w:t>
      </w:r>
      <w:proofErr w:type="gramEnd"/>
      <w:r w:rsidRPr="00C646C3">
        <w:t xml:space="preserve"> </w:t>
      </w:r>
      <w:r>
        <w:t xml:space="preserve">There was extensive discussion about access to affordable transportation services and affordable, accessible housing. All participants noted difficulties accessing reliable transportation services in order to maintain employment. Some of the difficulties included the lack of coordination among transit services between counties, cost of transportation services on a limited income, limited availability of bus routes, and the time costs of using </w:t>
      </w:r>
      <w:proofErr w:type="spellStart"/>
      <w:r>
        <w:t>paratransit</w:t>
      </w:r>
      <w:proofErr w:type="spellEnd"/>
      <w:r>
        <w:t xml:space="preserve"> or fixed-route services (e.g., scheduling a ride, travel time, problems with on-time arrivals). In addition, participants who had previously lived in rural communities noted that there were several challenges unique to rural areas, including limited or no fixed-route bus service, no </w:t>
      </w:r>
      <w:proofErr w:type="spellStart"/>
      <w:r>
        <w:t>paratransit</w:t>
      </w:r>
      <w:proofErr w:type="spellEnd"/>
      <w:r>
        <w:t xml:space="preserve"> service, and difficulty finding accessible transportation options. Several participants noted that they often relied on family members or friends for transportation support because they could not afford or rely on other services. The ability to find affordable, accessible housing near public transit was also extensively discussed. Participants explained that accessible housing options were difficult to find. Accessible housing options that were close to fixed-route transit options often cost significantly more than </w:t>
      </w:r>
      <w:proofErr w:type="spellStart"/>
      <w:r>
        <w:t>nonaccessible</w:t>
      </w:r>
      <w:proofErr w:type="spellEnd"/>
      <w:r>
        <w:t xml:space="preserve"> housing options. As a result, participants discussed settling for affordable housing that was not accessible and developing accommodations as needed (e.g., using benches to transfer from wheelchair to shower).</w:t>
      </w:r>
    </w:p>
    <w:p w:rsidR="000A3C96" w:rsidRPr="00F946CF" w:rsidRDefault="000A3C96" w:rsidP="00CD3281">
      <w:pPr>
        <w:pStyle w:val="Heading2"/>
      </w:pPr>
      <w:bookmarkStart w:id="139" w:name="_Toc458786331"/>
      <w:bookmarkStart w:id="140" w:name="_Toc493507499"/>
      <w:bookmarkStart w:id="141" w:name="_Toc493596706"/>
      <w:r w:rsidRPr="00F946CF">
        <w:t xml:space="preserve">Lessons </w:t>
      </w:r>
      <w:bookmarkEnd w:id="139"/>
      <w:r w:rsidRPr="00F946CF">
        <w:t>from Focus Group Discussion</w:t>
      </w:r>
      <w:r>
        <w:t>s</w:t>
      </w:r>
      <w:bookmarkEnd w:id="140"/>
      <w:bookmarkEnd w:id="141"/>
    </w:p>
    <w:p w:rsidR="000A3C96" w:rsidRDefault="000A3C96" w:rsidP="00092FF6">
      <w:pPr>
        <w:pStyle w:val="NCDBodyText"/>
        <w:spacing w:line="240" w:lineRule="auto"/>
      </w:pPr>
      <w:r>
        <w:t xml:space="preserve">The focus groups </w:t>
      </w:r>
      <w:r w:rsidRPr="00D002C5">
        <w:t xml:space="preserve">produced </w:t>
      </w:r>
      <w:r>
        <w:t>several</w:t>
      </w:r>
      <w:r w:rsidRPr="00D002C5">
        <w:t xml:space="preserve"> insights for NCD to consider re</w:t>
      </w:r>
      <w:r>
        <w:t xml:space="preserve">garding </w:t>
      </w:r>
      <w:r w:rsidRPr="00D002C5">
        <w:t>polic</w:t>
      </w:r>
      <w:r>
        <w:t>ies</w:t>
      </w:r>
      <w:r w:rsidRPr="00D002C5">
        <w:t xml:space="preserve"> and practices</w:t>
      </w:r>
      <w:r>
        <w:t xml:space="preserve"> to support the economic self-sufficiency of people with disabilities and the availability of accurate information and resources to help coordinate the array of services and supports they received. The focus groups highlighted the fact that people with disabilities often relied on word of mouth, nonprofits, and community connections to find the information they needed. The focus groups also highlighted the connection between policies that were meant to support people with disabilities but often trap them in poverty rather than help them escape it. In particular, people with disabilities want to be employed and earn higher incomes, but because they often rely on health care and long-term services and supports from Medicare and Medicaid, they maintain a lower income, which keeps them in poverty.</w:t>
      </w:r>
    </w:p>
    <w:p w:rsidR="000A3C96" w:rsidRDefault="000A3C96" w:rsidP="000A3C96">
      <w:pPr>
        <w:spacing w:line="360" w:lineRule="auto"/>
        <w:rPr>
          <w:rFonts w:ascii="Arial" w:hAnsi="Arial" w:cs="Calibri"/>
          <w:color w:val="000000" w:themeColor="text1"/>
          <w:szCs w:val="24"/>
          <w:u w:color="000000"/>
          <w:bdr w:val="nil"/>
        </w:rPr>
      </w:pPr>
      <w:r>
        <w:br w:type="page"/>
      </w:r>
    </w:p>
    <w:p w:rsidR="000A3C96" w:rsidRDefault="000A3C96" w:rsidP="00302970">
      <w:pPr>
        <w:pStyle w:val="Heading1"/>
      </w:pPr>
      <w:bookmarkStart w:id="142" w:name="_Toc493596707"/>
      <w:r>
        <w:lastRenderedPageBreak/>
        <w:t>Appendix B</w:t>
      </w:r>
      <w:r w:rsidRPr="00C11F46">
        <w:t xml:space="preserve">: </w:t>
      </w:r>
      <w:r>
        <w:t>P</w:t>
      </w:r>
      <w:r w:rsidRPr="00C11F46">
        <w:t xml:space="preserve">olicies, </w:t>
      </w:r>
      <w:r>
        <w:t xml:space="preserve">Poverty, and </w:t>
      </w:r>
      <w:r w:rsidR="000F7AF9">
        <w:br/>
      </w:r>
      <w:r>
        <w:t>P</w:t>
      </w:r>
      <w:r w:rsidRPr="00C11F46">
        <w:t xml:space="preserve">eople </w:t>
      </w:r>
      <w:r>
        <w:t>with</w:t>
      </w:r>
      <w:r w:rsidRPr="00C11F46">
        <w:t xml:space="preserve"> </w:t>
      </w:r>
      <w:r>
        <w:t>D</w:t>
      </w:r>
      <w:r w:rsidRPr="00C11F46">
        <w:t>isabilities</w:t>
      </w:r>
      <w:bookmarkEnd w:id="142"/>
      <w:r w:rsidRPr="00C11F46">
        <w:t xml:space="preserve"> </w:t>
      </w:r>
    </w:p>
    <w:p w:rsidR="000A3C96" w:rsidRDefault="000A3C96" w:rsidP="00092FF6">
      <w:pPr>
        <w:pStyle w:val="NCDBodyText"/>
        <w:spacing w:line="240" w:lineRule="auto"/>
      </w:pPr>
      <w:r w:rsidRPr="00F00F15">
        <w:t>This</w:t>
      </w:r>
      <w:r>
        <w:t xml:space="preserve"> </w:t>
      </w:r>
      <w:r w:rsidRPr="00F00F15">
        <w:t>section</w:t>
      </w:r>
      <w:r>
        <w:t xml:space="preserve"> </w:t>
      </w:r>
      <w:r w:rsidRPr="00F00F15">
        <w:t>provides</w:t>
      </w:r>
      <w:r>
        <w:t xml:space="preserve"> </w:t>
      </w:r>
      <w:r w:rsidRPr="00F00F15">
        <w:t>an</w:t>
      </w:r>
      <w:r>
        <w:t xml:space="preserve"> </w:t>
      </w:r>
      <w:r w:rsidRPr="00F00F15">
        <w:t>overview</w:t>
      </w:r>
      <w:r>
        <w:t xml:space="preserve"> </w:t>
      </w:r>
      <w:r w:rsidRPr="00F00F15">
        <w:t>of</w:t>
      </w:r>
      <w:r>
        <w:t xml:space="preserve"> how </w:t>
      </w:r>
      <w:r w:rsidRPr="00F00F15">
        <w:t>select</w:t>
      </w:r>
      <w:r>
        <w:t xml:space="preserve"> </w:t>
      </w:r>
      <w:r w:rsidRPr="00F00F15">
        <w:t>legislation</w:t>
      </w:r>
      <w:r>
        <w:t xml:space="preserve"> </w:t>
      </w:r>
      <w:r w:rsidRPr="00F00F15">
        <w:t>appl</w:t>
      </w:r>
      <w:r>
        <w:t xml:space="preserve">ies </w:t>
      </w:r>
      <w:r w:rsidRPr="00F00F15">
        <w:t>to</w:t>
      </w:r>
      <w:r>
        <w:t xml:space="preserve"> economic self-sufficiency for </w:t>
      </w:r>
      <w:r w:rsidRPr="00F00F15">
        <w:t>people</w:t>
      </w:r>
      <w:r>
        <w:t xml:space="preserve"> </w:t>
      </w:r>
      <w:r w:rsidRPr="00F00F15">
        <w:t>with</w:t>
      </w:r>
      <w:r>
        <w:t xml:space="preserve"> </w:t>
      </w:r>
      <w:r w:rsidRPr="00F00F15">
        <w:t>disabilities.</w:t>
      </w:r>
      <w:r>
        <w:t xml:space="preserve"> </w:t>
      </w:r>
    </w:p>
    <w:p w:rsidR="000A3C96" w:rsidRDefault="000A3C96" w:rsidP="00302970">
      <w:pPr>
        <w:pStyle w:val="Heading2"/>
      </w:pPr>
      <w:bookmarkStart w:id="143" w:name="_Toc493507500"/>
      <w:bookmarkStart w:id="144" w:name="_Toc493596708"/>
      <w:r w:rsidRPr="005E795B">
        <w:t>A</w:t>
      </w:r>
      <w:r>
        <w:t xml:space="preserve">mericans with </w:t>
      </w:r>
      <w:r w:rsidRPr="005E795B">
        <w:t>D</w:t>
      </w:r>
      <w:r>
        <w:t xml:space="preserve">isabilities </w:t>
      </w:r>
      <w:r w:rsidRPr="005E795B">
        <w:t>A</w:t>
      </w:r>
      <w:r>
        <w:t>ct (ADA)</w:t>
      </w:r>
      <w:bookmarkEnd w:id="143"/>
      <w:bookmarkEnd w:id="144"/>
    </w:p>
    <w:p w:rsidR="000A3C96" w:rsidRPr="005E795B" w:rsidRDefault="000A3C96" w:rsidP="00092FF6">
      <w:pPr>
        <w:pStyle w:val="NCDBodyText"/>
        <w:spacing w:line="240" w:lineRule="auto"/>
        <w:rPr>
          <w:b/>
        </w:rPr>
      </w:pPr>
      <w:r>
        <w:t xml:space="preserve">The ADA, </w:t>
      </w:r>
      <w:r w:rsidRPr="00F970D0">
        <w:t>enacted</w:t>
      </w:r>
      <w:r>
        <w:t xml:space="preserve"> </w:t>
      </w:r>
      <w:r w:rsidRPr="00F970D0">
        <w:t>in</w:t>
      </w:r>
      <w:r>
        <w:t xml:space="preserve"> </w:t>
      </w:r>
      <w:r w:rsidRPr="00F970D0">
        <w:t>1990</w:t>
      </w:r>
      <w:r>
        <w:t xml:space="preserve"> and amended in 2008, </w:t>
      </w:r>
      <w:r w:rsidRPr="00E45041">
        <w:t>prohibits</w:t>
      </w:r>
      <w:r>
        <w:t xml:space="preserve"> </w:t>
      </w:r>
      <w:r w:rsidRPr="00F00F15">
        <w:t>discrimination</w:t>
      </w:r>
      <w:r>
        <w:t xml:space="preserve"> </w:t>
      </w:r>
      <w:r w:rsidRPr="00F00F15">
        <w:t>on</w:t>
      </w:r>
      <w:r>
        <w:t xml:space="preserve"> </w:t>
      </w:r>
      <w:r w:rsidRPr="00F00F15">
        <w:t>the</w:t>
      </w:r>
      <w:r>
        <w:t xml:space="preserve"> </w:t>
      </w:r>
      <w:r w:rsidRPr="00F00F15">
        <w:t>basis</w:t>
      </w:r>
      <w:r>
        <w:t xml:space="preserve"> </w:t>
      </w:r>
      <w:r w:rsidRPr="00F00F15">
        <w:t>of</w:t>
      </w:r>
      <w:r>
        <w:t xml:space="preserve"> </w:t>
      </w:r>
      <w:r w:rsidRPr="00F00F15">
        <w:t>disability</w:t>
      </w:r>
      <w:r>
        <w:t xml:space="preserve"> </w:t>
      </w:r>
      <w:r w:rsidRPr="00F00F15">
        <w:t>in</w:t>
      </w:r>
      <w:r>
        <w:t xml:space="preserve"> </w:t>
      </w:r>
      <w:r w:rsidRPr="00F00F15">
        <w:t>employment,</w:t>
      </w:r>
      <w:r>
        <w:t xml:space="preserve"> </w:t>
      </w:r>
      <w:r w:rsidRPr="00F00F15">
        <w:t>state</w:t>
      </w:r>
      <w:r>
        <w:t xml:space="preserve"> </w:t>
      </w:r>
      <w:r w:rsidRPr="00F00F15">
        <w:t>and</w:t>
      </w:r>
      <w:r>
        <w:t xml:space="preserve"> </w:t>
      </w:r>
      <w:r w:rsidRPr="00F00F15">
        <w:t>local</w:t>
      </w:r>
      <w:r>
        <w:t xml:space="preserve"> </w:t>
      </w:r>
      <w:r w:rsidRPr="00F00F15">
        <w:t>government</w:t>
      </w:r>
      <w:r>
        <w:t xml:space="preserve"> </w:t>
      </w:r>
      <w:r w:rsidRPr="00F00F15">
        <w:t>programs,</w:t>
      </w:r>
      <w:r>
        <w:t xml:space="preserve"> </w:t>
      </w:r>
      <w:r w:rsidRPr="00F00F15">
        <w:t>services</w:t>
      </w:r>
      <w:r>
        <w:t xml:space="preserve"> </w:t>
      </w:r>
      <w:r w:rsidRPr="00F00F15">
        <w:t>and</w:t>
      </w:r>
      <w:r>
        <w:t xml:space="preserve"> </w:t>
      </w:r>
      <w:r w:rsidRPr="00F00F15">
        <w:t>activities,</w:t>
      </w:r>
      <w:r>
        <w:t xml:space="preserve"> </w:t>
      </w:r>
      <w:r w:rsidRPr="00F00F15">
        <w:t>public</w:t>
      </w:r>
      <w:r>
        <w:t xml:space="preserve"> </w:t>
      </w:r>
      <w:r w:rsidRPr="00F00F15">
        <w:t>accommodations</w:t>
      </w:r>
      <w:r>
        <w:t xml:space="preserve">, </w:t>
      </w:r>
      <w:r w:rsidRPr="00F00F15">
        <w:t>and</w:t>
      </w:r>
      <w:r>
        <w:t xml:space="preserve"> </w:t>
      </w:r>
      <w:r w:rsidRPr="00F00F15">
        <w:t>commercial</w:t>
      </w:r>
      <w:r>
        <w:t xml:space="preserve"> </w:t>
      </w:r>
      <w:r w:rsidRPr="00F00F15">
        <w:t>facilities.</w:t>
      </w:r>
      <w:r>
        <w:t xml:space="preserve"> T</w:t>
      </w:r>
      <w:r w:rsidRPr="00E45041">
        <w:t xml:space="preserve">he </w:t>
      </w:r>
      <w:r>
        <w:t xml:space="preserve">goal of the </w:t>
      </w:r>
      <w:r w:rsidRPr="00E45041">
        <w:t xml:space="preserve">ADA </w:t>
      </w:r>
      <w:r>
        <w:t>is to</w:t>
      </w:r>
      <w:r w:rsidRPr="00E45041">
        <w:t xml:space="preserve"> ensur</w:t>
      </w:r>
      <w:r>
        <w:t>e</w:t>
      </w:r>
      <w:r w:rsidRPr="00E45041">
        <w:t xml:space="preserve"> full participation in society for people with disabilities by facilitating equal opportunity, independent living, and economic self-sufficiency</w:t>
      </w:r>
      <w:r>
        <w:t>.</w:t>
      </w:r>
    </w:p>
    <w:p w:rsidR="000A3C96" w:rsidRDefault="000A3C96" w:rsidP="00302970">
      <w:pPr>
        <w:pStyle w:val="Heading3"/>
      </w:pPr>
      <w:bookmarkStart w:id="145" w:name="_Toc493507501"/>
      <w:bookmarkStart w:id="146" w:name="_Toc493596709"/>
      <w:r w:rsidRPr="005E795B">
        <w:t>Title I: Employment</w:t>
      </w:r>
      <w:bookmarkEnd w:id="145"/>
      <w:bookmarkEnd w:id="146"/>
    </w:p>
    <w:p w:rsidR="000A3C96" w:rsidRDefault="000A3C96" w:rsidP="00092FF6">
      <w:pPr>
        <w:pStyle w:val="NCDBodyText"/>
        <w:spacing w:line="240" w:lineRule="auto"/>
      </w:pPr>
      <w:r w:rsidRPr="00F00F15">
        <w:t>Title</w:t>
      </w:r>
      <w:r>
        <w:t xml:space="preserve"> </w:t>
      </w:r>
      <w:r w:rsidRPr="00F00F15">
        <w:t>I</w:t>
      </w:r>
      <w:r>
        <w:t xml:space="preserve"> </w:t>
      </w:r>
      <w:r w:rsidRPr="00F00F15">
        <w:t>of</w:t>
      </w:r>
      <w:r>
        <w:t xml:space="preserve"> </w:t>
      </w:r>
      <w:r w:rsidRPr="00F00F15">
        <w:t>the</w:t>
      </w:r>
      <w:r>
        <w:t xml:space="preserve"> </w:t>
      </w:r>
      <w:r w:rsidRPr="00F00F15">
        <w:t>ADA</w:t>
      </w:r>
      <w:r>
        <w:t xml:space="preserve"> </w:t>
      </w:r>
      <w:r w:rsidRPr="00F00F15">
        <w:t>prohibits</w:t>
      </w:r>
      <w:r>
        <w:t xml:space="preserve"> </w:t>
      </w:r>
      <w:r w:rsidRPr="00F00F15">
        <w:t>discrimination</w:t>
      </w:r>
      <w:r>
        <w:t xml:space="preserve"> </w:t>
      </w:r>
      <w:r w:rsidRPr="00F00F15">
        <w:t>against</w:t>
      </w:r>
      <w:r>
        <w:t xml:space="preserve"> </w:t>
      </w:r>
      <w:r w:rsidRPr="00F00F15">
        <w:t>people</w:t>
      </w:r>
      <w:r>
        <w:t xml:space="preserve"> </w:t>
      </w:r>
      <w:r w:rsidRPr="00F00F15">
        <w:t>with</w:t>
      </w:r>
      <w:r>
        <w:t xml:space="preserve"> </w:t>
      </w:r>
      <w:r w:rsidRPr="00F00F15">
        <w:t>disabilities</w:t>
      </w:r>
      <w:r>
        <w:t xml:space="preserve"> </w:t>
      </w:r>
      <w:r w:rsidRPr="00F00F15">
        <w:t>in</w:t>
      </w:r>
      <w:r>
        <w:t xml:space="preserve"> </w:t>
      </w:r>
      <w:r w:rsidRPr="00F00F15">
        <w:t>employment</w:t>
      </w:r>
      <w:r>
        <w:t xml:space="preserve"> </w:t>
      </w:r>
      <w:r w:rsidRPr="00F00F15">
        <w:t>both</w:t>
      </w:r>
      <w:r>
        <w:t xml:space="preserve"> </w:t>
      </w:r>
      <w:r w:rsidRPr="00F00F15">
        <w:t>before</w:t>
      </w:r>
      <w:r>
        <w:t xml:space="preserve"> </w:t>
      </w:r>
      <w:r w:rsidRPr="00F00F15">
        <w:t>and</w:t>
      </w:r>
      <w:r>
        <w:t xml:space="preserve"> </w:t>
      </w:r>
      <w:r w:rsidRPr="00F00F15">
        <w:t>after</w:t>
      </w:r>
      <w:r>
        <w:t xml:space="preserve"> </w:t>
      </w:r>
      <w:r w:rsidRPr="00F00F15">
        <w:t>they</w:t>
      </w:r>
      <w:r>
        <w:t xml:space="preserve"> </w:t>
      </w:r>
      <w:r w:rsidRPr="00F00F15">
        <w:t>are</w:t>
      </w:r>
      <w:r>
        <w:t xml:space="preserve"> </w:t>
      </w:r>
      <w:r w:rsidRPr="00F00F15">
        <w:t>hired.</w:t>
      </w:r>
      <w:r>
        <w:t xml:space="preserve"> </w:t>
      </w:r>
      <w:r w:rsidRPr="00F00F15">
        <w:t>Access</w:t>
      </w:r>
      <w:r>
        <w:t xml:space="preserve"> </w:t>
      </w:r>
      <w:r w:rsidRPr="00F00F15">
        <w:t>to</w:t>
      </w:r>
      <w:r>
        <w:t xml:space="preserve"> </w:t>
      </w:r>
      <w:r w:rsidRPr="00F00F15">
        <w:t>employment</w:t>
      </w:r>
      <w:r>
        <w:t xml:space="preserve"> </w:t>
      </w:r>
      <w:r w:rsidRPr="00F00F15">
        <w:t>is</w:t>
      </w:r>
      <w:r>
        <w:t xml:space="preserve"> </w:t>
      </w:r>
      <w:r w:rsidRPr="00F00F15">
        <w:t>one</w:t>
      </w:r>
      <w:r>
        <w:t xml:space="preserve"> </w:t>
      </w:r>
      <w:r w:rsidRPr="00F00F15">
        <w:t>of</w:t>
      </w:r>
      <w:r>
        <w:t xml:space="preserve"> </w:t>
      </w:r>
      <w:r w:rsidRPr="00F00F15">
        <w:t>the</w:t>
      </w:r>
      <w:r>
        <w:t xml:space="preserve"> </w:t>
      </w:r>
      <w:r w:rsidRPr="00F00F15">
        <w:t>most</w:t>
      </w:r>
      <w:r>
        <w:t xml:space="preserve"> </w:t>
      </w:r>
      <w:r w:rsidRPr="00F00F15">
        <w:t>important</w:t>
      </w:r>
      <w:r>
        <w:t xml:space="preserve"> </w:t>
      </w:r>
      <w:r w:rsidRPr="00F00F15">
        <w:t>issues</w:t>
      </w:r>
      <w:r>
        <w:t xml:space="preserve"> affecting </w:t>
      </w:r>
      <w:r w:rsidRPr="00F00F15">
        <w:t>people</w:t>
      </w:r>
      <w:r>
        <w:t xml:space="preserve"> </w:t>
      </w:r>
      <w:r w:rsidRPr="00F00F15">
        <w:t>with</w:t>
      </w:r>
      <w:r>
        <w:t xml:space="preserve"> </w:t>
      </w:r>
      <w:r w:rsidRPr="00F00F15">
        <w:t>disabilities.</w:t>
      </w:r>
      <w:r>
        <w:t xml:space="preserve"> Although the</w:t>
      </w:r>
      <w:r w:rsidRPr="00BA1294">
        <w:t xml:space="preserve"> ADA has led to increases in acc</w:t>
      </w:r>
      <w:r>
        <w:t>essibility and accommodations in employment and public awareness about the capabilities of people with disabilities, there has been little change in available employment opportunities for people with disabilities. Reasonable accommodations are required for j</w:t>
      </w:r>
      <w:r w:rsidRPr="00BA1294">
        <w:t>ob applicants and employees with disabilities</w:t>
      </w:r>
      <w:r>
        <w:t xml:space="preserve"> among e</w:t>
      </w:r>
      <w:r w:rsidRPr="00841159">
        <w:t>mployers with more than 15 employees</w:t>
      </w:r>
      <w:r>
        <w:t>. However, attitudes and stereotypes about the cost of reasonable accommodations and the abilities of people with disabilities persist.</w:t>
      </w:r>
    </w:p>
    <w:p w:rsidR="000A3C96" w:rsidRDefault="000A3C96" w:rsidP="00302970">
      <w:pPr>
        <w:pStyle w:val="Heading3"/>
      </w:pPr>
      <w:bookmarkStart w:id="147" w:name="_Toc493507502"/>
      <w:bookmarkStart w:id="148" w:name="_Toc493596710"/>
      <w:r>
        <w:t>T</w:t>
      </w:r>
      <w:r w:rsidRPr="005E795B">
        <w:t>itle II: State and Local Governments</w:t>
      </w:r>
      <w:bookmarkEnd w:id="147"/>
      <w:bookmarkEnd w:id="148"/>
    </w:p>
    <w:p w:rsidR="000A3C96" w:rsidRDefault="000A3C96" w:rsidP="00092FF6">
      <w:pPr>
        <w:pStyle w:val="NCDBodyText"/>
        <w:spacing w:line="240" w:lineRule="auto"/>
      </w:pPr>
      <w:r>
        <w:t>T</w:t>
      </w:r>
      <w:r w:rsidRPr="00E45041">
        <w:t xml:space="preserve">itle II </w:t>
      </w:r>
      <w:r>
        <w:t xml:space="preserve">of the ADA </w:t>
      </w:r>
      <w:r w:rsidRPr="00E45041">
        <w:t xml:space="preserve">requires that </w:t>
      </w:r>
      <w:r>
        <w:t>s</w:t>
      </w:r>
      <w:r w:rsidRPr="00E45041">
        <w:t xml:space="preserve">tate and local governments give people with disabilities </w:t>
      </w:r>
      <w:proofErr w:type="gramStart"/>
      <w:r w:rsidRPr="00E45041">
        <w:t>an</w:t>
      </w:r>
      <w:proofErr w:type="gramEnd"/>
      <w:r w:rsidRPr="00E45041">
        <w:t xml:space="preserve"> equal o</w:t>
      </w:r>
      <w:r>
        <w:t>pportunity to benefit from all state</w:t>
      </w:r>
      <w:r w:rsidRPr="00E45041">
        <w:t xml:space="preserve"> programs, services, and activities (e.g.</w:t>
      </w:r>
      <w:r>
        <w:t>,</w:t>
      </w:r>
      <w:r w:rsidRPr="00E45041">
        <w:t xml:space="preserve"> public educati</w:t>
      </w:r>
      <w:r>
        <w:t>on, employment, transportation,</w:t>
      </w:r>
      <w:r w:rsidRPr="00E45041">
        <w:t xml:space="preserve"> health care, </w:t>
      </w:r>
      <w:r>
        <w:t xml:space="preserve">and </w:t>
      </w:r>
      <w:r w:rsidRPr="00E45041">
        <w:t>social services)</w:t>
      </w:r>
      <w:r>
        <w:t xml:space="preserve"> in compliance with regulations determined by DOJ</w:t>
      </w:r>
      <w:r w:rsidRPr="00891C24">
        <w:t>.</w:t>
      </w:r>
      <w:r>
        <w:t xml:space="preserve"> Title II also prohibits discrimination against people with disabilities for public transportation services. Under Title II, state and local governments must provide accessible buses, subways, or commuter rails and also provide </w:t>
      </w:r>
      <w:proofErr w:type="spellStart"/>
      <w:r>
        <w:t>paratransit</w:t>
      </w:r>
      <w:proofErr w:type="spellEnd"/>
      <w:r>
        <w:t xml:space="preserve"> services in all areas where they operate fixed-route bus or rail systems.</w:t>
      </w:r>
    </w:p>
    <w:p w:rsidR="000A3C96" w:rsidRPr="00442EFC" w:rsidRDefault="000A3C96" w:rsidP="00092FF6">
      <w:pPr>
        <w:pStyle w:val="NCDBodyText"/>
        <w:spacing w:line="240" w:lineRule="auto"/>
      </w:pPr>
      <w:r w:rsidRPr="00442EFC">
        <w:rPr>
          <w:i/>
        </w:rPr>
        <w:t>Olmstead v. L.C.</w:t>
      </w:r>
      <w:r>
        <w:t xml:space="preserve"> (1999) was the landmark case which determined that</w:t>
      </w:r>
      <w:r w:rsidRPr="00442EFC">
        <w:t xml:space="preserve"> </w:t>
      </w:r>
      <w:r>
        <w:t>“</w:t>
      </w:r>
      <w:r w:rsidRPr="00442EFC">
        <w:t>unjustified isolation</w:t>
      </w:r>
      <w:r>
        <w:t>”</w:t>
      </w:r>
      <w:r w:rsidRPr="00442EFC">
        <w:t xml:space="preserve"> of a person with a disability is a form of discrimin</w:t>
      </w:r>
      <w:r>
        <w:t>ation under Title II of the ADA. Under the decision, if a state treatment professional d</w:t>
      </w:r>
      <w:r w:rsidRPr="00442EFC">
        <w:t>etermine</w:t>
      </w:r>
      <w:r>
        <w:t>s</w:t>
      </w:r>
      <w:r w:rsidRPr="00442EFC">
        <w:t xml:space="preserve"> that community placement is appropriate, </w:t>
      </w:r>
      <w:r>
        <w:t xml:space="preserve">then a person with a disability should be placed in the community, if the person with a disability chooses. This case had a significant impact on the opportunities for people with disabilities to live and fully participate in their communities. </w:t>
      </w:r>
    </w:p>
    <w:p w:rsidR="000A3C96" w:rsidRDefault="000A3C96" w:rsidP="00780FEC">
      <w:pPr>
        <w:pStyle w:val="Heading3"/>
      </w:pPr>
      <w:bookmarkStart w:id="149" w:name="_Toc493507503"/>
      <w:bookmarkStart w:id="150" w:name="_Toc493596711"/>
      <w:r w:rsidRPr="005E795B">
        <w:lastRenderedPageBreak/>
        <w:t>Title III: Public Accommodations and Commercial Facilities</w:t>
      </w:r>
      <w:bookmarkEnd w:id="149"/>
      <w:bookmarkEnd w:id="150"/>
    </w:p>
    <w:p w:rsidR="000A3C96" w:rsidRPr="005E795B" w:rsidRDefault="000A3C96" w:rsidP="00092FF6">
      <w:pPr>
        <w:pStyle w:val="NCDBodyText"/>
        <w:spacing w:line="240" w:lineRule="auto"/>
      </w:pPr>
      <w:r w:rsidRPr="00891C24">
        <w:t>Title</w:t>
      </w:r>
      <w:r>
        <w:t xml:space="preserve"> </w:t>
      </w:r>
      <w:r w:rsidRPr="00891C24">
        <w:t>III</w:t>
      </w:r>
      <w:r>
        <w:t xml:space="preserve"> </w:t>
      </w:r>
      <w:r w:rsidRPr="00891C24">
        <w:t>of</w:t>
      </w:r>
      <w:r>
        <w:t xml:space="preserve"> </w:t>
      </w:r>
      <w:r w:rsidRPr="00891C24">
        <w:t>the</w:t>
      </w:r>
      <w:r>
        <w:t xml:space="preserve"> </w:t>
      </w:r>
      <w:r w:rsidRPr="00891C24">
        <w:t>ADA</w:t>
      </w:r>
      <w:r>
        <w:t xml:space="preserve"> </w:t>
      </w:r>
      <w:r w:rsidRPr="00891C24">
        <w:t>requires</w:t>
      </w:r>
      <w:r>
        <w:t xml:space="preserve"> </w:t>
      </w:r>
      <w:r w:rsidRPr="00891C24">
        <w:t>places</w:t>
      </w:r>
      <w:r>
        <w:t xml:space="preserve"> </w:t>
      </w:r>
      <w:r w:rsidRPr="00891C24">
        <w:t>of</w:t>
      </w:r>
      <w:r>
        <w:t xml:space="preserve"> </w:t>
      </w:r>
      <w:r w:rsidRPr="00891C24">
        <w:t>public</w:t>
      </w:r>
      <w:r>
        <w:t xml:space="preserve"> </w:t>
      </w:r>
      <w:r w:rsidRPr="00891C24">
        <w:t>accommodation</w:t>
      </w:r>
      <w:r>
        <w:t xml:space="preserve"> </w:t>
      </w:r>
      <w:r w:rsidRPr="00891C24">
        <w:t>and</w:t>
      </w:r>
      <w:r>
        <w:t xml:space="preserve"> </w:t>
      </w:r>
      <w:r w:rsidRPr="00891C24">
        <w:t>commercial</w:t>
      </w:r>
      <w:r>
        <w:t xml:space="preserve"> </w:t>
      </w:r>
      <w:r w:rsidRPr="00891C24">
        <w:t>facilities</w:t>
      </w:r>
      <w:r>
        <w:t xml:space="preserve"> </w:t>
      </w:r>
      <w:r w:rsidRPr="00891C24">
        <w:t>to</w:t>
      </w:r>
      <w:r>
        <w:t xml:space="preserve"> </w:t>
      </w:r>
      <w:r w:rsidRPr="00891C24">
        <w:t>meet</w:t>
      </w:r>
      <w:r>
        <w:t xml:space="preserve"> </w:t>
      </w:r>
      <w:r w:rsidRPr="00891C24">
        <w:t>accessibility</w:t>
      </w:r>
      <w:r>
        <w:t xml:space="preserve"> </w:t>
      </w:r>
      <w:r w:rsidRPr="00891C24">
        <w:t>standards</w:t>
      </w:r>
      <w:r>
        <w:t>. All new construction as well as existing structures must c</w:t>
      </w:r>
      <w:r w:rsidRPr="00B3308B">
        <w:t>onform to the ADA Accessibility Guidelines</w:t>
      </w:r>
      <w:r>
        <w:t>. Existing structures must remove architectural barriers if doing so can be accomplished easily and without significant expense. Places of public accommodation include restaurants, hotels, shopping centers, doctor’s offices, and day care centers.</w:t>
      </w:r>
    </w:p>
    <w:p w:rsidR="000A3C96" w:rsidRDefault="000A3C96" w:rsidP="00780FEC">
      <w:pPr>
        <w:pStyle w:val="Heading2"/>
      </w:pPr>
      <w:bookmarkStart w:id="151" w:name="_Toc493507504"/>
      <w:bookmarkStart w:id="152" w:name="_Toc493596712"/>
      <w:r w:rsidRPr="005E795B">
        <w:t>Individuals with Disabilities Education Act (IDEA)</w:t>
      </w:r>
      <w:bookmarkEnd w:id="151"/>
      <w:bookmarkEnd w:id="152"/>
    </w:p>
    <w:p w:rsidR="000A3C96" w:rsidRDefault="000A3C96" w:rsidP="00092FF6">
      <w:pPr>
        <w:pStyle w:val="NCDBodyText"/>
        <w:spacing w:line="240" w:lineRule="auto"/>
      </w:pPr>
      <w:r w:rsidRPr="00742A84">
        <w:t xml:space="preserve">The IDEA, enacted in 1975 (at the time called the Education for All Handicapped Children Act, or EHA) and reauthorized in 1990 and 2004, ensures that free public education resources are allocated to students with disabilities to meet </w:t>
      </w:r>
      <w:r>
        <w:t>their</w:t>
      </w:r>
      <w:r w:rsidRPr="00742A84">
        <w:t xml:space="preserve"> unique needs. IDEA ensures that students with disabilities have the same opportunities as other students. It mandates that students with disabilities who attend public schools receive a free appropriate public education</w:t>
      </w:r>
      <w:r>
        <w:t xml:space="preserve"> </w:t>
      </w:r>
      <w:r w:rsidRPr="00742A84">
        <w:t>that is tailored to their individual needs. The Office of Special Education Programs was created to help states with the implementation of IDEA.</w:t>
      </w:r>
    </w:p>
    <w:p w:rsidR="000A3C96" w:rsidRDefault="000A3C96" w:rsidP="00092FF6">
      <w:pPr>
        <w:pStyle w:val="NCDBodyText"/>
        <w:spacing w:line="240" w:lineRule="auto"/>
      </w:pPr>
      <w:r w:rsidRPr="006F158B">
        <w:t>Under IDEA, students in special education programs are expected to learn in the least restric</w:t>
      </w:r>
      <w:r>
        <w:t>tive environment</w:t>
      </w:r>
      <w:r w:rsidRPr="006F158B">
        <w:t xml:space="preserve">, which means they spend as much time in an integrated classroom with their peers who do not receive special education services. Separate classes and schools are recommended only in cases where the disability is so severe that aids and services in the general education classroom are not adequate. How much time students with disabilities spend in general education classes will vary based on what is most appropriate for each student. School IEP teams </w:t>
      </w:r>
      <w:r>
        <w:t>work</w:t>
      </w:r>
      <w:r w:rsidRPr="006F158B">
        <w:t xml:space="preserve"> to ensure the most appropriate learning environments for each student.</w:t>
      </w:r>
    </w:p>
    <w:p w:rsidR="000A3C96" w:rsidRPr="005E795B" w:rsidRDefault="000A3C96" w:rsidP="00780FEC">
      <w:pPr>
        <w:pStyle w:val="Heading2"/>
      </w:pPr>
      <w:bookmarkStart w:id="153" w:name="_Toc493507505"/>
      <w:bookmarkStart w:id="154" w:name="_Toc493596713"/>
      <w:r w:rsidRPr="005E795B">
        <w:t>Workforce Innovation and Opportunity Act</w:t>
      </w:r>
      <w:r>
        <w:t xml:space="preserve"> (WIOA)</w:t>
      </w:r>
      <w:bookmarkEnd w:id="153"/>
      <w:bookmarkEnd w:id="154"/>
    </w:p>
    <w:p w:rsidR="000A3C96" w:rsidRDefault="000A3C96" w:rsidP="00092FF6">
      <w:pPr>
        <w:pStyle w:val="NCDBodyText"/>
        <w:spacing w:line="240" w:lineRule="auto"/>
        <w:rPr>
          <w:rFonts w:ascii="Helvetica" w:hAnsi="Helvetica"/>
          <w:color w:val="222222"/>
          <w:shd w:val="clear" w:color="auto" w:fill="FFFFFF"/>
        </w:rPr>
      </w:pPr>
      <w:r w:rsidRPr="00683F45">
        <w:t>WIOA</w:t>
      </w:r>
      <w:r>
        <w:t>,</w:t>
      </w:r>
      <w:r w:rsidRPr="00683F45">
        <w:t xml:space="preserve"> </w:t>
      </w:r>
      <w:r>
        <w:t>signed into law in</w:t>
      </w:r>
      <w:r w:rsidRPr="00683F45">
        <w:t xml:space="preserve"> 2014</w:t>
      </w:r>
      <w:r>
        <w:t xml:space="preserve">, </w:t>
      </w:r>
      <w:r w:rsidRPr="00683F45">
        <w:t xml:space="preserve">is designed to </w:t>
      </w:r>
      <w:r>
        <w:t>“</w:t>
      </w:r>
      <w:r w:rsidRPr="00683F45">
        <w:t>help job seekers access employment, education, training, and support services to succeed in the labor market and to match employers with the skilled workers they need to compete in the global economy</w:t>
      </w:r>
      <w:r>
        <w:t xml:space="preserve">.” The Act reauthorizes </w:t>
      </w:r>
      <w:r w:rsidRPr="00683F45">
        <w:t xml:space="preserve">and amends the Workforce Investment Act (1998) </w:t>
      </w:r>
      <w:r>
        <w:rPr>
          <w:rFonts w:ascii="Helvetica" w:hAnsi="Helvetica"/>
          <w:color w:val="222222"/>
          <w:shd w:val="clear" w:color="auto" w:fill="FFFFFF"/>
        </w:rPr>
        <w:t>and amends the Adult Education and Family Literacy Act, the Wagner-</w:t>
      </w:r>
      <w:proofErr w:type="spellStart"/>
      <w:r>
        <w:rPr>
          <w:rFonts w:ascii="Helvetica" w:hAnsi="Helvetica"/>
          <w:color w:val="222222"/>
          <w:shd w:val="clear" w:color="auto" w:fill="FFFFFF"/>
        </w:rPr>
        <w:t>Peyser</w:t>
      </w:r>
      <w:proofErr w:type="spellEnd"/>
      <w:r>
        <w:rPr>
          <w:rFonts w:ascii="Helvetica" w:hAnsi="Helvetica"/>
          <w:color w:val="222222"/>
          <w:shd w:val="clear" w:color="auto" w:fill="FFFFFF"/>
        </w:rPr>
        <w:t xml:space="preserve"> Act, and the Rehabilitation Act of 1973.</w:t>
      </w:r>
    </w:p>
    <w:p w:rsidR="000A3C96" w:rsidRDefault="000A3C96" w:rsidP="00092FF6">
      <w:pPr>
        <w:pStyle w:val="NCDBodyText"/>
        <w:spacing w:line="240" w:lineRule="auto"/>
        <w:rPr>
          <w:shd w:val="clear" w:color="auto" w:fill="FFFFFF"/>
        </w:rPr>
      </w:pPr>
      <w:r>
        <w:rPr>
          <w:shd w:val="clear" w:color="auto" w:fill="FFFFFF"/>
        </w:rPr>
        <w:t>WIOA</w:t>
      </w:r>
      <w:r w:rsidRPr="00683F45">
        <w:rPr>
          <w:shd w:val="clear" w:color="auto" w:fill="FFFFFF"/>
        </w:rPr>
        <w:t xml:space="preserve"> programs operate through a network of local centers in each state</w:t>
      </w:r>
      <w:r>
        <w:rPr>
          <w:shd w:val="clear" w:color="auto" w:fill="FFFFFF"/>
        </w:rPr>
        <w:t xml:space="preserve"> called</w:t>
      </w:r>
      <w:r w:rsidRPr="00683F45">
        <w:rPr>
          <w:shd w:val="clear" w:color="auto" w:fill="FFFFFF"/>
        </w:rPr>
        <w:t xml:space="preserve"> American Job Centers (AJC), which provide youth job training, education, and employment services at a single location. </w:t>
      </w:r>
      <w:r>
        <w:rPr>
          <w:shd w:val="clear" w:color="auto" w:fill="FFFFFF"/>
        </w:rPr>
        <w:t>AJCs provide</w:t>
      </w:r>
      <w:r w:rsidRPr="00683F45">
        <w:rPr>
          <w:shd w:val="clear" w:color="auto" w:fill="FFFFFF"/>
        </w:rPr>
        <w:t xml:space="preserve"> skill</w:t>
      </w:r>
      <w:r>
        <w:rPr>
          <w:shd w:val="clear" w:color="auto" w:fill="FFFFFF"/>
        </w:rPr>
        <w:t>s</w:t>
      </w:r>
      <w:r w:rsidRPr="00683F45">
        <w:rPr>
          <w:shd w:val="clear" w:color="auto" w:fill="FFFFFF"/>
        </w:rPr>
        <w:t xml:space="preserve"> assessments, information on employment, information on training opportunities, job search and placement assistance, up-to-date information on job vac</w:t>
      </w:r>
      <w:r>
        <w:rPr>
          <w:shd w:val="clear" w:color="auto" w:fill="FFFFFF"/>
        </w:rPr>
        <w:t xml:space="preserve">ancies, and transition services to job seekers regardless of their disability status. </w:t>
      </w:r>
    </w:p>
    <w:p w:rsidR="00092FF6" w:rsidRDefault="00092FF6">
      <w:pPr>
        <w:rPr>
          <w:rFonts w:ascii="Helvetica" w:eastAsia="Calibri" w:hAnsi="Helvetica" w:cs="Calibri"/>
          <w:color w:val="222222"/>
          <w:sz w:val="24"/>
          <w:szCs w:val="24"/>
          <w:u w:color="000000"/>
          <w:bdr w:val="nil"/>
          <w:shd w:val="clear" w:color="auto" w:fill="FFFFFF"/>
        </w:rPr>
      </w:pPr>
      <w:r>
        <w:rPr>
          <w:rFonts w:ascii="Helvetica" w:hAnsi="Helvetica"/>
          <w:color w:val="222222"/>
          <w:shd w:val="clear" w:color="auto" w:fill="FFFFFF"/>
        </w:rPr>
        <w:br w:type="page"/>
      </w:r>
    </w:p>
    <w:p w:rsidR="000A3C96" w:rsidRDefault="000A3C96" w:rsidP="00092FF6">
      <w:pPr>
        <w:pStyle w:val="NCDBodyText"/>
        <w:spacing w:line="240" w:lineRule="auto"/>
        <w:rPr>
          <w:rFonts w:ascii="Helvetica" w:hAnsi="Helvetica"/>
          <w:color w:val="222222"/>
          <w:shd w:val="clear" w:color="auto" w:fill="FFFFFF"/>
        </w:rPr>
      </w:pPr>
      <w:r>
        <w:rPr>
          <w:rFonts w:ascii="Helvetica" w:hAnsi="Helvetica"/>
          <w:color w:val="222222"/>
          <w:shd w:val="clear" w:color="auto" w:fill="FFFFFF"/>
        </w:rPr>
        <w:lastRenderedPageBreak/>
        <w:t xml:space="preserve">WIOA includes a number of improvements for job seekers with disabilities including: </w:t>
      </w:r>
    </w:p>
    <w:p w:rsidR="000A3C96" w:rsidRPr="00780FEC" w:rsidRDefault="000A3C96" w:rsidP="008924F1">
      <w:pPr>
        <w:pStyle w:val="NumberedList"/>
        <w:numPr>
          <w:ilvl w:val="0"/>
          <w:numId w:val="42"/>
        </w:numPr>
        <w:spacing w:line="240" w:lineRule="auto"/>
      </w:pPr>
      <w:r w:rsidRPr="00780FEC">
        <w:rPr>
          <w:color w:val="222222"/>
          <w:shd w:val="clear" w:color="auto" w:fill="FFFFFF"/>
        </w:rPr>
        <w:t>A</w:t>
      </w:r>
      <w:r w:rsidRPr="00780FEC">
        <w:t xml:space="preserve"> much larger role for public vocational rehabilitation as people with disabilities make the transition from school to adult life; </w:t>
      </w:r>
    </w:p>
    <w:p w:rsidR="000A3C96" w:rsidRPr="00780FEC" w:rsidRDefault="000A3C96" w:rsidP="008924F1">
      <w:pPr>
        <w:pStyle w:val="NumberedList"/>
        <w:spacing w:line="240" w:lineRule="auto"/>
      </w:pPr>
      <w:r w:rsidRPr="00780FEC">
        <w:t>Limits on the use of subminimum wage;</w:t>
      </w:r>
    </w:p>
    <w:p w:rsidR="000A3C96" w:rsidRPr="00780FEC" w:rsidRDefault="000A3C96" w:rsidP="008924F1">
      <w:pPr>
        <w:pStyle w:val="NumberedList"/>
        <w:spacing w:line="240" w:lineRule="auto"/>
      </w:pPr>
      <w:r w:rsidRPr="00780FEC">
        <w:t xml:space="preserve">Required agreements between state VR systems and state Medicaid systems and state intellectual and developmental disability (IDD) agencies; </w:t>
      </w:r>
    </w:p>
    <w:p w:rsidR="000A3C96" w:rsidRPr="00780FEC" w:rsidRDefault="000A3C96" w:rsidP="008924F1">
      <w:pPr>
        <w:pStyle w:val="NumberedList"/>
        <w:spacing w:line="240" w:lineRule="auto"/>
      </w:pPr>
      <w:r w:rsidRPr="00780FEC">
        <w:t xml:space="preserve">A definition of “customized employment” in federal statute and an updated definition of “supported employment” that includes customized employment; </w:t>
      </w:r>
    </w:p>
    <w:p w:rsidR="000A3C96" w:rsidRPr="00780FEC" w:rsidRDefault="000A3C96" w:rsidP="008924F1">
      <w:pPr>
        <w:pStyle w:val="NumberedList"/>
        <w:spacing w:line="240" w:lineRule="auto"/>
      </w:pPr>
      <w:r w:rsidRPr="00780FEC">
        <w:t xml:space="preserve">A definition for “competitive integrated employment” as an optimal outcome; </w:t>
      </w:r>
    </w:p>
    <w:p w:rsidR="000A3C96" w:rsidRPr="00780FEC" w:rsidRDefault="000A3C96" w:rsidP="008924F1">
      <w:pPr>
        <w:pStyle w:val="NumberedList"/>
        <w:spacing w:line="240" w:lineRule="auto"/>
      </w:pPr>
      <w:r w:rsidRPr="00780FEC">
        <w:t xml:space="preserve">Enhanced roles and requirements for the general workforce system and One-Stop Career Centers in meeting the needs of people with disabilities; and </w:t>
      </w:r>
    </w:p>
    <w:p w:rsidR="000A3C96" w:rsidRPr="00780FEC" w:rsidRDefault="000A3C96" w:rsidP="008924F1">
      <w:pPr>
        <w:pStyle w:val="NumberedList"/>
        <w:spacing w:line="240" w:lineRule="auto"/>
      </w:pPr>
      <w:r w:rsidRPr="00780FEC">
        <w:t>Changes in performance measures, with potentially major implications for VR.</w:t>
      </w:r>
    </w:p>
    <w:p w:rsidR="000A3C96" w:rsidRDefault="000A3C96" w:rsidP="00780FEC">
      <w:pPr>
        <w:pStyle w:val="Heading2"/>
      </w:pPr>
      <w:bookmarkStart w:id="155" w:name="_Toc493507506"/>
      <w:bookmarkStart w:id="156" w:name="_Toc493596714"/>
      <w:r w:rsidRPr="00411D6E">
        <w:t xml:space="preserve">Supplemental Security Income </w:t>
      </w:r>
      <w:r>
        <w:t>(</w:t>
      </w:r>
      <w:r w:rsidRPr="00411D6E">
        <w:t>SSI</w:t>
      </w:r>
      <w:r>
        <w:t>)</w:t>
      </w:r>
      <w:bookmarkEnd w:id="155"/>
      <w:bookmarkEnd w:id="156"/>
    </w:p>
    <w:p w:rsidR="000A3C96" w:rsidRPr="0086114C" w:rsidRDefault="000A3C96" w:rsidP="008924F1">
      <w:pPr>
        <w:pStyle w:val="NCDBodyText"/>
        <w:spacing w:line="240" w:lineRule="auto"/>
      </w:pPr>
      <w:r w:rsidRPr="00ED60A5">
        <w:t xml:space="preserve">SSI is a </w:t>
      </w:r>
      <w:r>
        <w:t>f</w:t>
      </w:r>
      <w:r w:rsidRPr="00ED60A5">
        <w:t>ederal</w:t>
      </w:r>
      <w:r>
        <w:t xml:space="preserve"> supplemental</w:t>
      </w:r>
      <w:r w:rsidRPr="00ED60A5">
        <w:t xml:space="preserve"> income program funded by general tax reven</w:t>
      </w:r>
      <w:r>
        <w:t>ues (not Social Security taxes).</w:t>
      </w:r>
      <w:r w:rsidRPr="00D139C0">
        <w:t xml:space="preserve"> </w:t>
      </w:r>
      <w:r>
        <w:t xml:space="preserve">Like SSDI, SSI provides monthly </w:t>
      </w:r>
      <w:r w:rsidRPr="00D139C0">
        <w:t xml:space="preserve">cash payments to </w:t>
      </w:r>
      <w:r>
        <w:t>people with disabilities</w:t>
      </w:r>
      <w:r w:rsidRPr="00D139C0">
        <w:t xml:space="preserve"> where disability is defined as the inability to engage in </w:t>
      </w:r>
      <w:r>
        <w:t xml:space="preserve">SGA (specifically, </w:t>
      </w:r>
      <w:r w:rsidRPr="00D139C0">
        <w:t xml:space="preserve">the inability to earn $1,170 a month in 2017 </w:t>
      </w:r>
      <w:r>
        <w:t xml:space="preserve">or </w:t>
      </w:r>
      <w:r w:rsidRPr="00D139C0">
        <w:t xml:space="preserve">$1,950 for blind individuals) </w:t>
      </w:r>
      <w:r>
        <w:t>because of</w:t>
      </w:r>
      <w:r w:rsidRPr="00D139C0">
        <w:t xml:space="preserve"> </w:t>
      </w:r>
      <w:r>
        <w:t>“</w:t>
      </w:r>
      <w:r w:rsidRPr="00D139C0">
        <w:t>one or more severe physical or mental impairments that are expected to last at least a year or result in death.</w:t>
      </w:r>
      <w:r>
        <w:t>”</w:t>
      </w:r>
      <w:r w:rsidRPr="00D139C0">
        <w:t xml:space="preserve"> Eligibility is based primarily on medical evidence</w:t>
      </w:r>
      <w:r>
        <w:t>.</w:t>
      </w:r>
      <w:r w:rsidRPr="00D139C0">
        <w:t xml:space="preserve"> </w:t>
      </w:r>
      <w:r>
        <w:t>T</w:t>
      </w:r>
      <w:r w:rsidRPr="00D139C0">
        <w:t>he disability determinati</w:t>
      </w:r>
      <w:r>
        <w:t>on process can often be lengthy. During this process, applicants must provide</w:t>
      </w:r>
      <w:r w:rsidRPr="008F64F0">
        <w:t xml:space="preserve"> medical information to prove to disability evaluators or administrative law judges that they are unable to work</w:t>
      </w:r>
      <w:r>
        <w:t xml:space="preserve"> above SGA</w:t>
      </w:r>
      <w:r w:rsidRPr="008F64F0">
        <w:t>.</w:t>
      </w:r>
      <w:r>
        <w:t xml:space="preserve"> </w:t>
      </w:r>
      <w:r w:rsidRPr="0086114C">
        <w:t>SSA periodically reassesses</w:t>
      </w:r>
      <w:r>
        <w:t xml:space="preserve"> eligibility</w:t>
      </w:r>
      <w:r w:rsidRPr="0086114C">
        <w:t xml:space="preserve"> as part of its </w:t>
      </w:r>
      <w:proofErr w:type="spellStart"/>
      <w:r w:rsidRPr="0086114C">
        <w:t>CDRs.</w:t>
      </w:r>
      <w:proofErr w:type="spellEnd"/>
    </w:p>
    <w:p w:rsidR="000A3C96" w:rsidRDefault="000A3C96" w:rsidP="008924F1">
      <w:pPr>
        <w:pStyle w:val="NCDBodyText"/>
        <w:spacing w:line="240" w:lineRule="auto"/>
      </w:pPr>
      <w:r>
        <w:t>SSI is a means-tested program. Thus, in addition to</w:t>
      </w:r>
      <w:r w:rsidRPr="00ED60A5">
        <w:t xml:space="preserve"> meeting the definition of disability</w:t>
      </w:r>
      <w:r>
        <w:t>,</w:t>
      </w:r>
      <w:r w:rsidRPr="00ED60A5">
        <w:t xml:space="preserve"> SSI recipients must have countable income below SSI income levels and have less than $2,000 in countable assets ($3,000 </w:t>
      </w:r>
      <w:r>
        <w:t>per</w:t>
      </w:r>
      <w:r w:rsidRPr="00ED60A5">
        <w:t xml:space="preserve"> couple). The maximum benefit </w:t>
      </w:r>
      <w:r>
        <w:t xml:space="preserve">in 2017 </w:t>
      </w:r>
      <w:r w:rsidRPr="00ED60A5">
        <w:t xml:space="preserve">is $735 ($1,103 for a couple) and this amount is reduced based </w:t>
      </w:r>
      <w:r>
        <w:t>o</w:t>
      </w:r>
      <w:r w:rsidRPr="00ED60A5">
        <w:t>n other income and financial resource</w:t>
      </w:r>
      <w:r>
        <w:t>s</w:t>
      </w:r>
      <w:r w:rsidRPr="00ED60A5">
        <w:t>.</w:t>
      </w:r>
      <w:r>
        <w:t xml:space="preserve"> For any earnings over</w:t>
      </w:r>
      <w:r w:rsidRPr="0086114C">
        <w:t xml:space="preserve"> $65 per month</w:t>
      </w:r>
      <w:r>
        <w:t>,</w:t>
      </w:r>
      <w:r w:rsidRPr="0086114C">
        <w:t xml:space="preserve"> SSI benefits are reduced by one dollar for tw</w:t>
      </w:r>
      <w:r>
        <w:t>o dollars of additional earnings.</w:t>
      </w:r>
      <w:r w:rsidRPr="00ED60A5">
        <w:t xml:space="preserve"> </w:t>
      </w:r>
      <w:r w:rsidRPr="00D139C0">
        <w:t xml:space="preserve">In most </w:t>
      </w:r>
      <w:r>
        <w:t>s</w:t>
      </w:r>
      <w:r w:rsidRPr="00D139C0">
        <w:t xml:space="preserve">tates, SSI beneficiaries also can </w:t>
      </w:r>
      <w:r>
        <w:t>qualify for Medicaid</w:t>
      </w:r>
      <w:r w:rsidRPr="00D139C0">
        <w:t xml:space="preserve"> to pay for hospital stays, doctor bills, prescriptio</w:t>
      </w:r>
      <w:r>
        <w:t>n drugs, and other health costs</w:t>
      </w:r>
      <w:r w:rsidRPr="00ED60A5">
        <w:t>.</w:t>
      </w:r>
      <w:r w:rsidRPr="00D139C0">
        <w:t xml:space="preserve"> </w:t>
      </w:r>
      <w:r>
        <w:t>Many states also provide a supplemental payment to certain SSI beneficiaries and some beneficiaries may also be eligible for food assistance in every state except California. In some states, an application for SSI also serves as an application for food assistance.</w:t>
      </w:r>
    </w:p>
    <w:p w:rsidR="000A3C96" w:rsidRPr="00ED60A5" w:rsidRDefault="000A3C96" w:rsidP="008924F1">
      <w:pPr>
        <w:pStyle w:val="NCDBodyText"/>
        <w:spacing w:line="240" w:lineRule="auto"/>
      </w:pPr>
      <w:r>
        <w:t>SSI includes a number of work incentives designed to help beneficiaries go to work by</w:t>
      </w:r>
      <w:r w:rsidRPr="0086114C">
        <w:t xml:space="preserve"> minimizing the risk of losing their SSI or Medicaid benefits. </w:t>
      </w:r>
      <w:r>
        <w:t xml:space="preserve">Under some of these incentives, SSA will exclude some income or resources when calculating the benefit amount (such as the earned income exclusion, the student earned income exclusion, </w:t>
      </w:r>
      <w:r>
        <w:lastRenderedPageBreak/>
        <w:t>impairment-related work expenses, and the Plan for Achieving Self Support). Other incentives provide continued Medicaid coverage even when the beneficiary is not receiving cash benefits (such as the Medicaid Buy-In and section 1619(b) of the Social Security Act).</w:t>
      </w:r>
    </w:p>
    <w:p w:rsidR="000A3C96" w:rsidRDefault="000A3C96" w:rsidP="00780FEC">
      <w:pPr>
        <w:pStyle w:val="Heading2"/>
      </w:pPr>
      <w:bookmarkStart w:id="157" w:name="_Toc493507507"/>
      <w:bookmarkStart w:id="158" w:name="_Toc493596715"/>
      <w:r w:rsidRPr="00411D6E">
        <w:t>Social Security Disability Insurance (SSDI)</w:t>
      </w:r>
      <w:bookmarkEnd w:id="157"/>
      <w:bookmarkEnd w:id="158"/>
    </w:p>
    <w:p w:rsidR="000A3C96" w:rsidRPr="005C7824" w:rsidRDefault="000A3C96" w:rsidP="00092FF6">
      <w:pPr>
        <w:pStyle w:val="NCDBodyText"/>
        <w:spacing w:line="240" w:lineRule="auto"/>
      </w:pPr>
      <w:r w:rsidRPr="00ED60A5">
        <w:t>SSDI is funded by payroll tax contributions from workers and employers. In order to qualify for benefits, applicant</w:t>
      </w:r>
      <w:r>
        <w:t>s</w:t>
      </w:r>
      <w:r w:rsidRPr="00ED60A5">
        <w:t xml:space="preserve"> </w:t>
      </w:r>
      <w:r>
        <w:t>must</w:t>
      </w:r>
      <w:r w:rsidRPr="00ED60A5">
        <w:t xml:space="preserve"> </w:t>
      </w:r>
      <w:r>
        <w:t>reach</w:t>
      </w:r>
      <w:r w:rsidRPr="00AD3FA3">
        <w:t xml:space="preserve"> ins</w:t>
      </w:r>
      <w:r>
        <w:t xml:space="preserve">ured status for Social Security by working enough during the years before filing </w:t>
      </w:r>
      <w:r w:rsidRPr="00AD3FA3">
        <w:t>to have contributed a specific amount to the Social Security sys</w:t>
      </w:r>
      <w:r>
        <w:t xml:space="preserve">tem </w:t>
      </w:r>
      <w:r w:rsidRPr="00AD3FA3">
        <w:t>through FICA tax</w:t>
      </w:r>
      <w:r>
        <w:t>es</w:t>
      </w:r>
      <w:r w:rsidRPr="00ED60A5">
        <w:t>. The level of benefits is based on earnings prior to the onset of the disability</w:t>
      </w:r>
      <w:r>
        <w:t>;</w:t>
      </w:r>
      <w:r w:rsidRPr="00ED60A5">
        <w:t xml:space="preserve"> </w:t>
      </w:r>
      <w:r>
        <w:t xml:space="preserve">SSDI </w:t>
      </w:r>
      <w:r w:rsidRPr="00ED60A5">
        <w:t xml:space="preserve">does not consider assets or other household income. </w:t>
      </w:r>
      <w:r>
        <w:t>SSDI</w:t>
      </w:r>
      <w:r w:rsidRPr="00AD3FA3">
        <w:t xml:space="preserve"> benefits are subject to a five-month waiting period</w:t>
      </w:r>
      <w:r>
        <w:t xml:space="preserve">, which means that </w:t>
      </w:r>
      <w:r w:rsidRPr="00AD3FA3">
        <w:t xml:space="preserve">SSDI applicants must wait five months after the onset of their disability to </w:t>
      </w:r>
      <w:r>
        <w:t>receive</w:t>
      </w:r>
      <w:r w:rsidRPr="00AD3FA3">
        <w:t xml:space="preserve"> cash benefits. </w:t>
      </w:r>
      <w:r w:rsidRPr="00ED60A5">
        <w:t>Most SSDI beneficiaries are eligible for Medicare after a two</w:t>
      </w:r>
      <w:r>
        <w:t>-</w:t>
      </w:r>
      <w:r w:rsidRPr="00ED60A5">
        <w:t>year waiting period.</w:t>
      </w:r>
      <w:r>
        <w:t xml:space="preserve"> Like SSI, </w:t>
      </w:r>
      <w:r w:rsidRPr="00D139C0">
        <w:t xml:space="preserve">disability is defined as the inability to engage in </w:t>
      </w:r>
      <w:r>
        <w:t>“</w:t>
      </w:r>
      <w:r w:rsidRPr="00D139C0">
        <w:t>substantial gainful activity</w:t>
      </w:r>
      <w:r>
        <w:t>” because of</w:t>
      </w:r>
      <w:r w:rsidRPr="00D139C0">
        <w:t xml:space="preserve"> </w:t>
      </w:r>
      <w:r>
        <w:t>“</w:t>
      </w:r>
      <w:r w:rsidRPr="00D139C0">
        <w:t>one or more severe physical or mental impairments that are expected to last at least a year or result in death.</w:t>
      </w:r>
      <w:r>
        <w:t>”</w:t>
      </w:r>
    </w:p>
    <w:p w:rsidR="000A3C96" w:rsidRPr="00411D6E" w:rsidRDefault="000A3C96" w:rsidP="00780FEC">
      <w:pPr>
        <w:pStyle w:val="Heading2"/>
      </w:pPr>
      <w:bookmarkStart w:id="159" w:name="_Toc493507508"/>
      <w:bookmarkStart w:id="160" w:name="_Toc493596716"/>
      <w:r w:rsidRPr="00411D6E">
        <w:t>Ticket to Work</w:t>
      </w:r>
      <w:r>
        <w:t xml:space="preserve"> a</w:t>
      </w:r>
      <w:r w:rsidRPr="00411D6E">
        <w:t>nd Work Incentives Improvement Act</w:t>
      </w:r>
      <w:bookmarkEnd w:id="159"/>
      <w:bookmarkEnd w:id="160"/>
    </w:p>
    <w:p w:rsidR="000A3C96" w:rsidRDefault="000A3C96" w:rsidP="008924F1">
      <w:pPr>
        <w:pStyle w:val="NCDBodyText"/>
        <w:spacing w:line="240" w:lineRule="auto"/>
      </w:pPr>
      <w:r w:rsidRPr="00811E2A">
        <w:t xml:space="preserve">The </w:t>
      </w:r>
      <w:r w:rsidRPr="008B35B8">
        <w:rPr>
          <w:iCs/>
        </w:rPr>
        <w:t>Ticket to Work and Work Incentives Improvement Act of</w:t>
      </w:r>
      <w:r w:rsidRPr="00811E2A">
        <w:t xml:space="preserve"> 1999 (P</w:t>
      </w:r>
      <w:r>
        <w:t>.</w:t>
      </w:r>
      <w:r w:rsidRPr="00811E2A">
        <w:t>L</w:t>
      </w:r>
      <w:r>
        <w:t>.</w:t>
      </w:r>
      <w:r w:rsidRPr="00811E2A">
        <w:t xml:space="preserve"> 106-170)</w:t>
      </w:r>
      <w:r>
        <w:t xml:space="preserve"> was designed to expand options for </w:t>
      </w:r>
      <w:r w:rsidRPr="00811E2A">
        <w:t xml:space="preserve">employment preparation and placement services to </w:t>
      </w:r>
      <w:r>
        <w:t>people</w:t>
      </w:r>
      <w:r w:rsidRPr="00811E2A">
        <w:t xml:space="preserve"> with disabilities </w:t>
      </w:r>
      <w:r>
        <w:t>so that these individuals can</w:t>
      </w:r>
      <w:r w:rsidRPr="00811E2A">
        <w:t xml:space="preserve"> reduce their dependence on cash benefit programs</w:t>
      </w:r>
      <w:r>
        <w:t>. The Act was also designed to enable beneficiaries to maintain access to health care even if they no longer qualify for SSI or SSDI because their incomes exceed SGA</w:t>
      </w:r>
      <w:r w:rsidRPr="00811E2A">
        <w:t>.</w:t>
      </w:r>
      <w:r>
        <w:t xml:space="preserve"> The ultimate goal of the program is to reduce, and whenever possible eliminate, beneficiaries’ dependence on Social Security cash benefit programs.</w:t>
      </w:r>
    </w:p>
    <w:p w:rsidR="000A3C96" w:rsidRDefault="000A3C96" w:rsidP="008924F1">
      <w:pPr>
        <w:pStyle w:val="NCDBodyText"/>
        <w:spacing w:line="240" w:lineRule="auto"/>
      </w:pPr>
      <w:r>
        <w:t xml:space="preserve">The </w:t>
      </w:r>
      <w:proofErr w:type="gramStart"/>
      <w:r>
        <w:t>TTW</w:t>
      </w:r>
      <w:r w:rsidRPr="00811E2A">
        <w:t xml:space="preserve"> </w:t>
      </w:r>
      <w:r>
        <w:t xml:space="preserve"> is</w:t>
      </w:r>
      <w:proofErr w:type="gramEnd"/>
      <w:r>
        <w:t xml:space="preserve"> an outcome-based employment program. E</w:t>
      </w:r>
      <w:r w:rsidRPr="00811E2A">
        <w:t xml:space="preserve">ligible </w:t>
      </w:r>
      <w:r>
        <w:t>SSI and SSDI</w:t>
      </w:r>
      <w:r w:rsidRPr="00811E2A">
        <w:t xml:space="preserve"> </w:t>
      </w:r>
      <w:r>
        <w:t>beneficiaries</w:t>
      </w:r>
      <w:r w:rsidRPr="00811E2A">
        <w:t xml:space="preserve"> </w:t>
      </w:r>
      <w:r>
        <w:t xml:space="preserve">with disabilities and those who are blind </w:t>
      </w:r>
      <w:r w:rsidRPr="00811E2A">
        <w:t xml:space="preserve">receive a </w:t>
      </w:r>
      <w:r>
        <w:t>“</w:t>
      </w:r>
      <w:r w:rsidRPr="00811E2A">
        <w:t>ticket</w:t>
      </w:r>
      <w:r>
        <w:t>”</w:t>
      </w:r>
      <w:r w:rsidRPr="00811E2A">
        <w:t xml:space="preserve"> they may use to obtain vocational rehabilitation, employment</w:t>
      </w:r>
      <w:r>
        <w:t>,</w:t>
      </w:r>
      <w:r w:rsidRPr="00811E2A">
        <w:t xml:space="preserve"> or other support services from an approved EN or </w:t>
      </w:r>
      <w:r>
        <w:t>s</w:t>
      </w:r>
      <w:r w:rsidRPr="00811E2A">
        <w:t xml:space="preserve">tate </w:t>
      </w:r>
      <w:r>
        <w:t>VR</w:t>
      </w:r>
      <w:r w:rsidRPr="00811E2A">
        <w:t xml:space="preserve"> agency of their choice. The </w:t>
      </w:r>
      <w:r>
        <w:t>TTW</w:t>
      </w:r>
      <w:r w:rsidRPr="00811E2A">
        <w:t xml:space="preserve"> program is voluntary for beneficiaries and </w:t>
      </w:r>
      <w:proofErr w:type="spellStart"/>
      <w:proofErr w:type="gramStart"/>
      <w:r w:rsidRPr="00811E2A">
        <w:t>ENs.</w:t>
      </w:r>
      <w:proofErr w:type="spellEnd"/>
      <w:proofErr w:type="gramEnd"/>
      <w:r>
        <w:t xml:space="preserve"> Because the TTW program is an outcome-based system, Social Security provides payments to ENs only when the ticket holder attains certain “milestones” and “outcomes” in moving toward self-supporting employment.</w:t>
      </w:r>
    </w:p>
    <w:p w:rsidR="000A3C96" w:rsidRPr="00811E2A" w:rsidRDefault="000A3C96" w:rsidP="008924F1">
      <w:pPr>
        <w:pStyle w:val="NCDBodyText"/>
        <w:spacing w:line="240" w:lineRule="auto"/>
      </w:pPr>
      <w:r>
        <w:t>In addition to creating the TTW program, the Ticket to Work Act expanded access to health care by encouraging</w:t>
      </w:r>
      <w:r w:rsidRPr="00811E2A">
        <w:t xml:space="preserve"> </w:t>
      </w:r>
      <w:r>
        <w:t>s</w:t>
      </w:r>
      <w:r w:rsidRPr="00811E2A">
        <w:t xml:space="preserve">tates to allow </w:t>
      </w:r>
      <w:r>
        <w:t>people</w:t>
      </w:r>
      <w:r w:rsidRPr="00811E2A">
        <w:t xml:space="preserve"> with disabilities to purchase Medicaid coverage that is necessary to enable such individuals to maintain employ</w:t>
      </w:r>
      <w:r>
        <w:t xml:space="preserve">ment and to give SSDI beneficiaries the </w:t>
      </w:r>
      <w:r w:rsidRPr="00811E2A">
        <w:t>option of maintaining Medicare coverage while working.</w:t>
      </w:r>
    </w:p>
    <w:p w:rsidR="000A3C96" w:rsidRPr="00811E2A" w:rsidRDefault="000A3C96" w:rsidP="008924F1">
      <w:pPr>
        <w:pStyle w:val="NCDBodyText"/>
        <w:spacing w:line="240" w:lineRule="auto"/>
      </w:pPr>
      <w:r>
        <w:t>The Ticket to Work Act also expanded work incentives designed to reduce the risk that an individual will lose benefits when they attempt to work. In these situations, if the work is unsuccessful, they are left without employment or benefits. These work incentives include t</w:t>
      </w:r>
      <w:r w:rsidRPr="00811E2A">
        <w:t xml:space="preserve">he option to request expedited reinstatement of benefits </w:t>
      </w:r>
      <w:r>
        <w:t xml:space="preserve">without filing a new application </w:t>
      </w:r>
      <w:r w:rsidRPr="00811E2A">
        <w:t xml:space="preserve">when an individual's Social Security or SSI disability/blindness benefits have </w:t>
      </w:r>
      <w:r w:rsidRPr="00811E2A">
        <w:lastRenderedPageBreak/>
        <w:t>ended because of work activity</w:t>
      </w:r>
      <w:r>
        <w:t xml:space="preserve">. They also allow for the </w:t>
      </w:r>
      <w:r>
        <w:rPr>
          <w:bCs/>
        </w:rPr>
        <w:t>d</w:t>
      </w:r>
      <w:r w:rsidRPr="00811E2A">
        <w:rPr>
          <w:bCs/>
        </w:rPr>
        <w:t>eferral of medical continuing disability review for</w:t>
      </w:r>
      <w:r w:rsidRPr="00811E2A">
        <w:t xml:space="preserve"> an individual who is </w:t>
      </w:r>
      <w:r>
        <w:t>“</w:t>
      </w:r>
      <w:r w:rsidRPr="00811E2A">
        <w:t>using a ticket</w:t>
      </w:r>
      <w:r>
        <w:t>.”</w:t>
      </w:r>
      <w:r w:rsidRPr="00811E2A">
        <w:t xml:space="preserve"> </w:t>
      </w:r>
    </w:p>
    <w:p w:rsidR="000A3C96" w:rsidRPr="00ED60A5" w:rsidRDefault="000A3C96" w:rsidP="008924F1">
      <w:pPr>
        <w:pStyle w:val="NCDBodyText"/>
        <w:spacing w:line="240" w:lineRule="auto"/>
      </w:pPr>
      <w:r>
        <w:t>In order to ensure that beneficiaries have accurate information about the impact of employment on their benefits, the Ticket to Work Act directed</w:t>
      </w:r>
      <w:r w:rsidRPr="00811E2A">
        <w:t xml:space="preserve"> SSA to establish a community-based work incentives planning and assista</w:t>
      </w:r>
      <w:r>
        <w:t xml:space="preserve">nce program called the Benefit Planning, Assistance, and Outreach (BPAO) program. The purpose of this program is to provide SSI and SSDI </w:t>
      </w:r>
      <w:r w:rsidRPr="00811E2A">
        <w:t xml:space="preserve">beneficiaries with information </w:t>
      </w:r>
      <w:r>
        <w:t>so they can</w:t>
      </w:r>
      <w:r w:rsidRPr="00811E2A">
        <w:t xml:space="preserve"> make inf</w:t>
      </w:r>
      <w:r>
        <w:t xml:space="preserve">ormed choices about employment. The BPAO program </w:t>
      </w:r>
      <w:r w:rsidRPr="00BD6B79">
        <w:t>award</w:t>
      </w:r>
      <w:r>
        <w:t>s</w:t>
      </w:r>
      <w:r w:rsidRPr="00BD6B79">
        <w:t xml:space="preserve"> cooperative agreements (or grants or contracts) to community-based organizations to provide all beneficiaries with access to benefits planning and assistance services.</w:t>
      </w:r>
    </w:p>
    <w:p w:rsidR="000A3C96" w:rsidRDefault="000A3C96" w:rsidP="00780FEC">
      <w:pPr>
        <w:pStyle w:val="Heading2"/>
      </w:pPr>
      <w:bookmarkStart w:id="161" w:name="_Toc493507509"/>
      <w:bookmarkStart w:id="162" w:name="_Toc493596717"/>
      <w:r w:rsidRPr="00411D6E">
        <w:t>Work Incentives Planning and Assistance (WIPA)</w:t>
      </w:r>
      <w:bookmarkEnd w:id="161"/>
      <w:bookmarkEnd w:id="162"/>
    </w:p>
    <w:p w:rsidR="000A3C96" w:rsidRDefault="000A3C96" w:rsidP="00092FF6">
      <w:pPr>
        <w:pStyle w:val="NCDBodyText"/>
        <w:spacing w:line="240" w:lineRule="auto"/>
      </w:pPr>
      <w:r>
        <w:t xml:space="preserve">The WIPA program grew out of the BPAO program, established through the </w:t>
      </w:r>
      <w:r w:rsidRPr="00A5243A">
        <w:t>Ticket to Work and Work Incentives Improvement Act of 1999</w:t>
      </w:r>
      <w:r>
        <w:t xml:space="preserve"> to provide funding to community-based organizations to educate SSDI and SSI beneficiaries about the benefits and work incentives available to them. SSA funds 83 WIPA projects that provide information and benefits planning to enable beneficiaries with disabilities to make informed choices about work. The primary objective of the WIPA initiative is to assist SSA beneficiaries with transitioning from dependence on public benefits to paid employment and greater economic self-sufficiency.</w:t>
      </w:r>
    </w:p>
    <w:p w:rsidR="000A3C96" w:rsidRPr="001E73AE" w:rsidRDefault="000A3C96" w:rsidP="00092FF6">
      <w:pPr>
        <w:pStyle w:val="NCDBodyText"/>
        <w:spacing w:line="240" w:lineRule="auto"/>
      </w:pPr>
      <w:r>
        <w:t xml:space="preserve">WIPA projects hire and train Community Work Incentives Coordinators (CWICs) to provide in-depth counseling to SSI and SSDI beneficiaries about benefits and the effect of work on those benefits. All WIPA services are free. In addition, the CWICs </w:t>
      </w:r>
      <w:r w:rsidRPr="005C7824">
        <w:t xml:space="preserve">conduct outreach efforts to </w:t>
      </w:r>
      <w:r>
        <w:t xml:space="preserve">SSI and SSDI </w:t>
      </w:r>
      <w:r w:rsidRPr="005C7824">
        <w:t xml:space="preserve">beneficiaries (and their families) </w:t>
      </w:r>
      <w:proofErr w:type="gramStart"/>
      <w:r w:rsidRPr="005C7824">
        <w:t>who</w:t>
      </w:r>
      <w:proofErr w:type="gramEnd"/>
      <w:r w:rsidRPr="005C7824">
        <w:t xml:space="preserve"> are potentially eligible to participate in </w:t>
      </w:r>
      <w:r>
        <w:t>f</w:t>
      </w:r>
      <w:r w:rsidRPr="005C7824">
        <w:t>ederal or</w:t>
      </w:r>
      <w:r>
        <w:t xml:space="preserve"> state work incentives programs</w:t>
      </w:r>
      <w:r w:rsidRPr="005C7824">
        <w:t xml:space="preserve"> and</w:t>
      </w:r>
      <w:r>
        <w:t xml:space="preserve"> </w:t>
      </w:r>
      <w:r w:rsidRPr="005C7824">
        <w:t xml:space="preserve">work in cooperation with </w:t>
      </w:r>
      <w:r>
        <w:t>f</w:t>
      </w:r>
      <w:r w:rsidRPr="005C7824">
        <w:t xml:space="preserve">ederal, </w:t>
      </w:r>
      <w:r>
        <w:t>s</w:t>
      </w:r>
      <w:r w:rsidRPr="005C7824">
        <w:t xml:space="preserve">tate, and private agencies </w:t>
      </w:r>
      <w:r w:rsidRPr="001E73AE">
        <w:t>and nonprofit organizations that serve SSI and SSDI beneficiaries</w:t>
      </w:r>
      <w:r>
        <w:t xml:space="preserve"> with disabilities</w:t>
      </w:r>
      <w:r w:rsidRPr="001E73AE">
        <w:t>.</w:t>
      </w:r>
    </w:p>
    <w:p w:rsidR="000A3C96" w:rsidRDefault="000A3C96" w:rsidP="00780FEC">
      <w:pPr>
        <w:pStyle w:val="Heading2"/>
      </w:pPr>
      <w:bookmarkStart w:id="163" w:name="_Toc493507510"/>
      <w:bookmarkStart w:id="164" w:name="_Toc493596718"/>
      <w:r w:rsidRPr="00411D6E">
        <w:t>Medicaid Buy-In</w:t>
      </w:r>
      <w:bookmarkEnd w:id="163"/>
      <w:bookmarkEnd w:id="164"/>
      <w:r w:rsidRPr="00411D6E">
        <w:t xml:space="preserve"> </w:t>
      </w:r>
    </w:p>
    <w:p w:rsidR="000A3C96" w:rsidRDefault="000A3C96" w:rsidP="00092FF6">
      <w:pPr>
        <w:pStyle w:val="NCDBodyText"/>
        <w:spacing w:line="240" w:lineRule="auto"/>
      </w:pPr>
      <w:r>
        <w:t xml:space="preserve">The Ticket to Work Act also created the Medicaid Buy-In program, which offers Medicaid coverage to people with disabilities whose income is higher than the allowable substantial gainful activity levels. </w:t>
      </w:r>
      <w:r w:rsidRPr="006831BE">
        <w:t xml:space="preserve">The purpose of the Medicaid Buy-In program is to allow </w:t>
      </w:r>
      <w:r>
        <w:t>people</w:t>
      </w:r>
      <w:r w:rsidRPr="006831BE">
        <w:t xml:space="preserve"> with disabilities to purchase Medicaid coverage </w:t>
      </w:r>
      <w:r>
        <w:t>while still being able to work</w:t>
      </w:r>
      <w:r w:rsidRPr="006831BE">
        <w:t>.</w:t>
      </w:r>
      <w:r>
        <w:t xml:space="preserve"> The eligibility requirements and benefits for this optional Medicaid program vary across states. Most states review employment status, disability status, income, and resources to determine Medicaid Buy-In eligibility. Some states </w:t>
      </w:r>
      <w:r w:rsidRPr="006831BE">
        <w:t xml:space="preserve">require </w:t>
      </w:r>
      <w:r>
        <w:t>people who are eligible</w:t>
      </w:r>
      <w:r w:rsidRPr="006831BE">
        <w:t xml:space="preserve"> for the Medicaid Buy-In to pay a monthly premium or other cost</w:t>
      </w:r>
      <w:r>
        <w:t>-</w:t>
      </w:r>
      <w:r w:rsidRPr="006831BE">
        <w:t>sharing charges</w:t>
      </w:r>
      <w:r>
        <w:t>, which</w:t>
      </w:r>
      <w:r w:rsidRPr="006831BE">
        <w:t xml:space="preserve"> </w:t>
      </w:r>
      <w:r>
        <w:t xml:space="preserve">are </w:t>
      </w:r>
      <w:r w:rsidRPr="006831BE">
        <w:t>typically set on a sliding fee scale based on income. Many</w:t>
      </w:r>
      <w:r>
        <w:t xml:space="preserve"> buy-in</w:t>
      </w:r>
      <w:r w:rsidRPr="006831BE">
        <w:t xml:space="preserve"> programs charge a state-specific premium</w:t>
      </w:r>
      <w:r>
        <w:t xml:space="preserve"> and </w:t>
      </w:r>
      <w:r w:rsidRPr="006831BE">
        <w:t xml:space="preserve">have copayments </w:t>
      </w:r>
      <w:r>
        <w:t xml:space="preserve">that are </w:t>
      </w:r>
      <w:r w:rsidRPr="006831BE">
        <w:t xml:space="preserve">higher than </w:t>
      </w:r>
      <w:r>
        <w:t>traditional</w:t>
      </w:r>
      <w:r w:rsidRPr="006831BE">
        <w:t xml:space="preserve"> Medicaid.</w:t>
      </w:r>
    </w:p>
    <w:p w:rsidR="000A3C96" w:rsidRDefault="000A3C96" w:rsidP="00780FEC">
      <w:pPr>
        <w:pStyle w:val="Heading2"/>
      </w:pPr>
      <w:bookmarkStart w:id="165" w:name="_Toc493507511"/>
      <w:bookmarkStart w:id="166" w:name="_Toc493596719"/>
      <w:r w:rsidRPr="00411D6E">
        <w:lastRenderedPageBreak/>
        <w:t>Achieving a Better Life Experience Act of 2013 (ABLE Act)</w:t>
      </w:r>
      <w:bookmarkEnd w:id="165"/>
      <w:bookmarkEnd w:id="166"/>
    </w:p>
    <w:p w:rsidR="000A3C96" w:rsidRPr="00354E49" w:rsidRDefault="000A3C96" w:rsidP="00092FF6">
      <w:pPr>
        <w:pStyle w:val="NCDBodyText"/>
        <w:spacing w:line="240" w:lineRule="auto"/>
      </w:pPr>
      <w:r w:rsidRPr="00354E49">
        <w:t>The ABLE Act, which was signed into law on December 19, 2014, is designed to improve the financial stability of persons with disabilities by authorizing tax</w:t>
      </w:r>
      <w:r>
        <w:t>-</w:t>
      </w:r>
      <w:r w:rsidRPr="00354E49">
        <w:t>advantaged savings accounts, known as ABLE accounts, for youth and adults with disabilities. The law recognizes that many individuals and their families depend on a wide variety of means-tested public benefits for income, health</w:t>
      </w:r>
      <w:r>
        <w:t xml:space="preserve"> </w:t>
      </w:r>
      <w:r w:rsidRPr="00354E49">
        <w:t>care, and food and housing assistance. Eligibility for many of these benefits requires applicant</w:t>
      </w:r>
      <w:r>
        <w:t>s</w:t>
      </w:r>
      <w:r w:rsidRPr="00354E49">
        <w:t xml:space="preserve"> to have few assets. Thus, to remain eligible for these programs, an individual must remain poor. </w:t>
      </w:r>
    </w:p>
    <w:p w:rsidR="000A3C96" w:rsidRPr="00354E49" w:rsidRDefault="000A3C96" w:rsidP="00092FF6">
      <w:pPr>
        <w:pStyle w:val="NCDBodyText"/>
        <w:spacing w:line="240" w:lineRule="auto"/>
      </w:pPr>
      <w:r w:rsidRPr="00354E49">
        <w:t>ABLE account</w:t>
      </w:r>
      <w:r>
        <w:t xml:space="preserve"> funds</w:t>
      </w:r>
      <w:r w:rsidRPr="00354E49">
        <w:t xml:space="preserve"> and distributions for qualified disability</w:t>
      </w:r>
      <w:r>
        <w:t>-</w:t>
      </w:r>
      <w:r w:rsidRPr="00354E49">
        <w:t xml:space="preserve">related expenses </w:t>
      </w:r>
      <w:r>
        <w:t>are</w:t>
      </w:r>
      <w:r w:rsidRPr="00354E49">
        <w:t xml:space="preserve"> not taken into consideration when determining eligibility for federally funded means-tested benefits, including </w:t>
      </w:r>
      <w:r>
        <w:t>SSI</w:t>
      </w:r>
      <w:r w:rsidRPr="00354E49">
        <w:t xml:space="preserve"> and Medicaid.</w:t>
      </w:r>
      <w:r>
        <w:t xml:space="preserve"> According to language in t</w:t>
      </w:r>
      <w:r w:rsidRPr="00354E49">
        <w:t xml:space="preserve">he </w:t>
      </w:r>
      <w:r>
        <w:t xml:space="preserve">ABLE Act, </w:t>
      </w:r>
      <w:r w:rsidRPr="00354E49">
        <w:t xml:space="preserve">an ABLE account will, with private savings, </w:t>
      </w:r>
      <w:r>
        <w:t>“</w:t>
      </w:r>
      <w:r w:rsidRPr="00354E49">
        <w:t>secure funding for disability-related expenses on behalf of designated beneficiaries with disabilities that will supplement, but not supplant, benefits provided through private insurance, Medicaid, SSI, the beneficiary's employment</w:t>
      </w:r>
      <w:r>
        <w:t>,</w:t>
      </w:r>
      <w:r w:rsidRPr="00354E49">
        <w:t xml:space="preserve"> and other sources.</w:t>
      </w:r>
      <w:r>
        <w:t>”</w:t>
      </w:r>
    </w:p>
    <w:p w:rsidR="000A3C96" w:rsidRPr="00354E49" w:rsidRDefault="000A3C96" w:rsidP="00092FF6">
      <w:pPr>
        <w:pStyle w:val="NCDBodyText"/>
        <w:spacing w:line="240" w:lineRule="auto"/>
      </w:pPr>
      <w:r w:rsidRPr="00354E49">
        <w:t xml:space="preserve">These accounts are similar in construction to college savings accounts; both are included in Section 529 of the </w:t>
      </w:r>
      <w:r>
        <w:t>IRS</w:t>
      </w:r>
      <w:r w:rsidRPr="00354E49">
        <w:t xml:space="preserve"> Code. Assets in ABLE accounts can be used to cover any </w:t>
      </w:r>
      <w:r>
        <w:t>“</w:t>
      </w:r>
      <w:r w:rsidRPr="00354E49">
        <w:t>qualified disability expense</w:t>
      </w:r>
      <w:r>
        <w:t>”</w:t>
      </w:r>
      <w:r w:rsidRPr="00354E49">
        <w:t xml:space="preserve"> including housing, transportation, support services, and any other expense reasonably related to </w:t>
      </w:r>
      <w:r>
        <w:t xml:space="preserve">a </w:t>
      </w:r>
      <w:r w:rsidRPr="00354E49">
        <w:t>disability.</w:t>
      </w:r>
    </w:p>
    <w:p w:rsidR="000A3C96" w:rsidRPr="00354E49" w:rsidRDefault="000A3C96" w:rsidP="00092FF6">
      <w:pPr>
        <w:pStyle w:val="NCDBodyText"/>
        <w:spacing w:line="240" w:lineRule="auto"/>
      </w:pPr>
      <w:r>
        <w:t xml:space="preserve">Under the </w:t>
      </w:r>
      <w:r w:rsidRPr="00354E49">
        <w:t>ABLE Act</w:t>
      </w:r>
      <w:r>
        <w:t>,</w:t>
      </w:r>
      <w:r w:rsidRPr="00354E49">
        <w:t xml:space="preserve"> eligibility </w:t>
      </w:r>
      <w:r>
        <w:t xml:space="preserve">is limited </w:t>
      </w:r>
      <w:r w:rsidRPr="00354E49">
        <w:t xml:space="preserve">to individuals with significant disabilities </w:t>
      </w:r>
      <w:r>
        <w:t>for whom</w:t>
      </w:r>
      <w:r w:rsidRPr="00354E49">
        <w:t xml:space="preserve"> </w:t>
      </w:r>
      <w:r>
        <w:t xml:space="preserve">the </w:t>
      </w:r>
      <w:r w:rsidRPr="00354E49">
        <w:t xml:space="preserve">onset of disability </w:t>
      </w:r>
      <w:r>
        <w:t xml:space="preserve">occurred </w:t>
      </w:r>
      <w:r w:rsidRPr="00354E49">
        <w:t xml:space="preserve">before </w:t>
      </w:r>
      <w:r>
        <w:t xml:space="preserve">the age of </w:t>
      </w:r>
      <w:r w:rsidRPr="00354E49">
        <w:t>26. Individua</w:t>
      </w:r>
      <w:r>
        <w:t>l</w:t>
      </w:r>
      <w:r w:rsidRPr="00354E49">
        <w:t xml:space="preserve">s who meet age criteria and are </w:t>
      </w:r>
      <w:r>
        <w:t xml:space="preserve">already </w:t>
      </w:r>
      <w:r w:rsidRPr="00354E49">
        <w:t>receiving benefits under SSI and/or SSDI are automatically</w:t>
      </w:r>
      <w:r>
        <w:t xml:space="preserve"> eligible to establish an ABLE account</w:t>
      </w:r>
      <w:r w:rsidRPr="00354E49">
        <w:t xml:space="preserve">. Those who do not receive SSI and/or SSDI but still meet the age of onset disability requirement may establish eligibility by </w:t>
      </w:r>
      <w:r>
        <w:t>obtaining</w:t>
      </w:r>
      <w:r w:rsidRPr="00354E49">
        <w:t xml:space="preserve"> a letter from a licensed physician </w:t>
      </w:r>
      <w:r>
        <w:t xml:space="preserve">certifying </w:t>
      </w:r>
      <w:r w:rsidRPr="00354E49">
        <w:t xml:space="preserve">that they meet Social Security’s definition of disability and criteria regarding significant functional limitations. </w:t>
      </w:r>
    </w:p>
    <w:p w:rsidR="000A3C96" w:rsidRPr="00354E49" w:rsidRDefault="000A3C96" w:rsidP="00092FF6">
      <w:pPr>
        <w:pStyle w:val="NCDBodyText"/>
        <w:spacing w:line="240" w:lineRule="auto"/>
      </w:pPr>
      <w:r w:rsidRPr="00354E49">
        <w:t>ABLE accounts must be opened through individual state-sponsored ABLE account programs. In order for a state to sponsor an ABLE program, it must enact state-level enabling legislation. Most, but not all, state</w:t>
      </w:r>
      <w:r>
        <w:t>-</w:t>
      </w:r>
      <w:r w:rsidRPr="00354E49">
        <w:t xml:space="preserve">sponsored ABLE programs are open to people living outside those states, as long as they are otherwise eligible for an ABLE account. As of May 2017, 22 states have established ABLE programs. </w:t>
      </w:r>
    </w:p>
    <w:p w:rsidR="000A3C96" w:rsidRPr="00354E49" w:rsidRDefault="000A3C96" w:rsidP="00092FF6">
      <w:pPr>
        <w:pStyle w:val="NCDBodyText"/>
        <w:spacing w:line="240" w:lineRule="auto"/>
      </w:pPr>
      <w:r w:rsidRPr="00354E49">
        <w:t>Any person</w:t>
      </w:r>
      <w:r>
        <w:t xml:space="preserve"> </w:t>
      </w:r>
      <w:r w:rsidRPr="00354E49">
        <w:t>may contribute to an ABLE account</w:t>
      </w:r>
      <w:r>
        <w:t xml:space="preserve"> for an eligible beneficiary including </w:t>
      </w:r>
      <w:r w:rsidRPr="00354E49">
        <w:t>family member</w:t>
      </w:r>
      <w:r>
        <w:t>s</w:t>
      </w:r>
      <w:r w:rsidRPr="00354E49">
        <w:t>, friend</w:t>
      </w:r>
      <w:r>
        <w:t>s</w:t>
      </w:r>
      <w:r w:rsidRPr="00354E49">
        <w:t>, or the person with a disability</w:t>
      </w:r>
      <w:r>
        <w:t xml:space="preserve">. </w:t>
      </w:r>
      <w:r w:rsidRPr="00354E49">
        <w:t>An ABLE account may not receive annual contributions exceeding the annual gift-tax exemption ($14,000 in 2015). A state must also ensure that aggregate contributions to an ABLE account do not exceed the state-based limits for 529 accounts</w:t>
      </w:r>
      <w:r>
        <w:t>.</w:t>
      </w:r>
    </w:p>
    <w:p w:rsidR="00092FF6" w:rsidRDefault="00092FF6">
      <w:pPr>
        <w:rPr>
          <w:rFonts w:ascii="Arial" w:eastAsia="Times New Roman" w:hAnsi="Arial" w:cs="Times New Roman"/>
          <w:b/>
          <w:sz w:val="28"/>
          <w:szCs w:val="32"/>
        </w:rPr>
      </w:pPr>
      <w:r>
        <w:br w:type="page"/>
      </w:r>
    </w:p>
    <w:p w:rsidR="000A3C96" w:rsidRDefault="000A3C96" w:rsidP="00780FEC">
      <w:pPr>
        <w:pStyle w:val="Heading2"/>
      </w:pPr>
      <w:bookmarkStart w:id="167" w:name="_Toc493507512"/>
      <w:bookmarkStart w:id="168" w:name="_Toc493596720"/>
      <w:r w:rsidRPr="00411D6E">
        <w:lastRenderedPageBreak/>
        <w:t>Patient Protection and Affordable Care Act (ACA)</w:t>
      </w:r>
      <w:bookmarkEnd w:id="167"/>
      <w:bookmarkEnd w:id="168"/>
    </w:p>
    <w:p w:rsidR="000A3C96" w:rsidRDefault="000A3C96" w:rsidP="00092FF6">
      <w:pPr>
        <w:pStyle w:val="NCDBodyText"/>
        <w:spacing w:line="240" w:lineRule="auto"/>
      </w:pPr>
      <w:r>
        <w:t xml:space="preserve">The </w:t>
      </w:r>
      <w:r w:rsidRPr="00F00F15">
        <w:t>ACA,</w:t>
      </w:r>
      <w:r>
        <w:t xml:space="preserve"> which was </w:t>
      </w:r>
      <w:r w:rsidRPr="00F00F15">
        <w:t>signed</w:t>
      </w:r>
      <w:r>
        <w:t xml:space="preserve"> </w:t>
      </w:r>
      <w:r w:rsidRPr="00F00F15">
        <w:t>into</w:t>
      </w:r>
      <w:r>
        <w:t xml:space="preserve"> </w:t>
      </w:r>
      <w:r w:rsidRPr="00F00F15">
        <w:t>law</w:t>
      </w:r>
      <w:r>
        <w:t xml:space="preserve"> </w:t>
      </w:r>
      <w:r w:rsidRPr="00F00F15">
        <w:t>in</w:t>
      </w:r>
      <w:r>
        <w:t xml:space="preserve"> </w:t>
      </w:r>
      <w:r w:rsidRPr="00F00F15">
        <w:t>2010,</w:t>
      </w:r>
      <w:r>
        <w:t xml:space="preserve"> </w:t>
      </w:r>
      <w:r w:rsidRPr="00F00F15">
        <w:t>requires</w:t>
      </w:r>
      <w:r>
        <w:t xml:space="preserve"> </w:t>
      </w:r>
      <w:r w:rsidRPr="00F00F15">
        <w:t>hospitals</w:t>
      </w:r>
      <w:r>
        <w:t xml:space="preserve"> </w:t>
      </w:r>
      <w:r w:rsidRPr="00F00F15">
        <w:t>and</w:t>
      </w:r>
      <w:r>
        <w:t xml:space="preserve"> </w:t>
      </w:r>
      <w:r w:rsidRPr="00F00F15">
        <w:t>primary</w:t>
      </w:r>
      <w:r>
        <w:t xml:space="preserve"> </w:t>
      </w:r>
      <w:r w:rsidRPr="00F00F15">
        <w:t>care</w:t>
      </w:r>
      <w:r>
        <w:t xml:space="preserve"> </w:t>
      </w:r>
      <w:r w:rsidRPr="00F00F15">
        <w:t>physicians</w:t>
      </w:r>
      <w:r>
        <w:t xml:space="preserve"> </w:t>
      </w:r>
      <w:r w:rsidRPr="00F00F15">
        <w:t>to</w:t>
      </w:r>
      <w:r>
        <w:t xml:space="preserve"> </w:t>
      </w:r>
      <w:r w:rsidRPr="00F00F15">
        <w:t>shift</w:t>
      </w:r>
      <w:r>
        <w:t xml:space="preserve"> their </w:t>
      </w:r>
      <w:r w:rsidRPr="00F00F15">
        <w:t>focus</w:t>
      </w:r>
      <w:r>
        <w:t xml:space="preserve"> to </w:t>
      </w:r>
      <w:r w:rsidRPr="00F00F15">
        <w:t>better</w:t>
      </w:r>
      <w:r>
        <w:t xml:space="preserve"> </w:t>
      </w:r>
      <w:r w:rsidRPr="00F00F15">
        <w:t>health</w:t>
      </w:r>
      <w:r>
        <w:t xml:space="preserve"> </w:t>
      </w:r>
      <w:r w:rsidRPr="00F00F15">
        <w:t>outcomes</w:t>
      </w:r>
      <w:r>
        <w:t xml:space="preserve"> and </w:t>
      </w:r>
      <w:r w:rsidRPr="00F00F15">
        <w:t>lower</w:t>
      </w:r>
      <w:r>
        <w:t xml:space="preserve"> </w:t>
      </w:r>
      <w:r w:rsidRPr="00F00F15">
        <w:t>costs</w:t>
      </w:r>
      <w:r>
        <w:t xml:space="preserve"> </w:t>
      </w:r>
      <w:r w:rsidRPr="00F00F15">
        <w:t>and</w:t>
      </w:r>
      <w:r>
        <w:t xml:space="preserve"> </w:t>
      </w:r>
      <w:r w:rsidRPr="00F00F15">
        <w:t>enhance</w:t>
      </w:r>
      <w:r>
        <w:t xml:space="preserve"> the </w:t>
      </w:r>
      <w:r w:rsidRPr="00F00F15">
        <w:t>distribution</w:t>
      </w:r>
      <w:r>
        <w:t xml:space="preserve"> </w:t>
      </w:r>
      <w:r w:rsidRPr="00F00F15">
        <w:t>and</w:t>
      </w:r>
      <w:r>
        <w:t xml:space="preserve"> </w:t>
      </w:r>
      <w:r w:rsidRPr="00F00F15">
        <w:t>accessibility</w:t>
      </w:r>
      <w:r>
        <w:t xml:space="preserve"> </w:t>
      </w:r>
      <w:r w:rsidRPr="00F00F15">
        <w:t>of</w:t>
      </w:r>
      <w:r>
        <w:t xml:space="preserve"> </w:t>
      </w:r>
      <w:r w:rsidRPr="00F00F15">
        <w:t>their</w:t>
      </w:r>
      <w:r>
        <w:t xml:space="preserve"> </w:t>
      </w:r>
      <w:r w:rsidRPr="00F00F15">
        <w:t>professional</w:t>
      </w:r>
      <w:r>
        <w:t xml:space="preserve"> </w:t>
      </w:r>
      <w:r w:rsidRPr="00F00F15">
        <w:t>practices.</w:t>
      </w:r>
      <w:r>
        <w:t xml:space="preserve"> </w:t>
      </w:r>
      <w:r w:rsidRPr="00F00F15">
        <w:t>Among</w:t>
      </w:r>
      <w:r>
        <w:t xml:space="preserve"> </w:t>
      </w:r>
      <w:r w:rsidRPr="00F00F15">
        <w:t>the</w:t>
      </w:r>
      <w:r>
        <w:t xml:space="preserve"> </w:t>
      </w:r>
      <w:r w:rsidRPr="00F00F15">
        <w:t>provisions</w:t>
      </w:r>
      <w:r>
        <w:t xml:space="preserve"> </w:t>
      </w:r>
      <w:r w:rsidRPr="00F00F15">
        <w:t>in</w:t>
      </w:r>
      <w:r>
        <w:t xml:space="preserve"> </w:t>
      </w:r>
      <w:r w:rsidRPr="00F00F15">
        <w:t>ACA</w:t>
      </w:r>
      <w:r>
        <w:t xml:space="preserve"> </w:t>
      </w:r>
      <w:r w:rsidRPr="00F00F15">
        <w:t>is</w:t>
      </w:r>
      <w:r>
        <w:t xml:space="preserve"> </w:t>
      </w:r>
      <w:r w:rsidRPr="00F00F15">
        <w:t>the</w:t>
      </w:r>
      <w:r>
        <w:t xml:space="preserve"> </w:t>
      </w:r>
      <w:r w:rsidRPr="00F00F15">
        <w:t>creation</w:t>
      </w:r>
      <w:r>
        <w:t xml:space="preserve"> </w:t>
      </w:r>
      <w:r w:rsidRPr="00F00F15">
        <w:t>of</w:t>
      </w:r>
      <w:r>
        <w:t xml:space="preserve"> </w:t>
      </w:r>
      <w:r w:rsidRPr="00F00F15">
        <w:t>essential</w:t>
      </w:r>
      <w:r>
        <w:t xml:space="preserve"> </w:t>
      </w:r>
      <w:r w:rsidRPr="00F00F15">
        <w:t>health</w:t>
      </w:r>
      <w:r>
        <w:t xml:space="preserve"> </w:t>
      </w:r>
      <w:r w:rsidRPr="00F00F15">
        <w:t>benefits</w:t>
      </w:r>
      <w:r>
        <w:t xml:space="preserve"> </w:t>
      </w:r>
      <w:r w:rsidRPr="00F00F15">
        <w:t>required</w:t>
      </w:r>
      <w:r>
        <w:t xml:space="preserve"> </w:t>
      </w:r>
      <w:r w:rsidRPr="00F00F15">
        <w:t>as</w:t>
      </w:r>
      <w:r>
        <w:t xml:space="preserve"> </w:t>
      </w:r>
      <w:r w:rsidRPr="00F00F15">
        <w:t>part</w:t>
      </w:r>
      <w:r>
        <w:t xml:space="preserve"> </w:t>
      </w:r>
      <w:r w:rsidRPr="00F00F15">
        <w:t>of</w:t>
      </w:r>
      <w:r>
        <w:t xml:space="preserve"> </w:t>
      </w:r>
      <w:r w:rsidRPr="00F00F15">
        <w:t>private</w:t>
      </w:r>
      <w:r>
        <w:t xml:space="preserve"> </w:t>
      </w:r>
      <w:r w:rsidRPr="00F00F15">
        <w:t>insurance</w:t>
      </w:r>
      <w:r>
        <w:t xml:space="preserve"> </w:t>
      </w:r>
      <w:r w:rsidRPr="00F00F15">
        <w:t>coverage.</w:t>
      </w:r>
      <w:r>
        <w:t xml:space="preserve"> ACA Sections 1302(b)(4)(B) and (C) define essential health benefits and indicate that providers shall “not make coverage decisions . . . or design benefits in ways that discriminate against </w:t>
      </w:r>
      <w:r w:rsidRPr="00290C55">
        <w:t xml:space="preserve">matching dollars with no waiting list or caps. </w:t>
      </w:r>
      <w:r>
        <w:t xml:space="preserve">In </w:t>
      </w:r>
      <w:r w:rsidRPr="003D09AD">
        <w:rPr>
          <w:i/>
        </w:rPr>
        <w:t xml:space="preserve">National Federation of Independent Business (NFIB) v. </w:t>
      </w:r>
      <w:proofErr w:type="spellStart"/>
      <w:r w:rsidRPr="003D09AD">
        <w:rPr>
          <w:i/>
        </w:rPr>
        <w:t>Sebelius</w:t>
      </w:r>
      <w:proofErr w:type="spellEnd"/>
      <w:r>
        <w:rPr>
          <w:i/>
        </w:rPr>
        <w:t>,</w:t>
      </w:r>
      <w:r>
        <w:t xml:space="preserve"> the Supreme Court decided that</w:t>
      </w:r>
      <w:r w:rsidRPr="00290C55">
        <w:t xml:space="preserve"> states were not manda</w:t>
      </w:r>
      <w:r>
        <w:t xml:space="preserve">ted to expand Medicaid </w:t>
      </w:r>
      <w:r w:rsidRPr="00E24926">
        <w:t>coverage</w:t>
      </w:r>
      <w:r>
        <w:t>.</w:t>
      </w:r>
    </w:p>
    <w:p w:rsidR="000A3C96" w:rsidRDefault="000A3C96" w:rsidP="000A3C96">
      <w:pPr>
        <w:spacing w:line="360" w:lineRule="auto"/>
      </w:pPr>
      <w:r>
        <w:br w:type="page"/>
      </w:r>
    </w:p>
    <w:p w:rsidR="00092FF6" w:rsidRDefault="00092FF6">
      <w:pPr>
        <w:rPr>
          <w:rFonts w:ascii="Arial" w:hAnsi="Arial" w:cs="Arial"/>
          <w:b/>
          <w:sz w:val="36"/>
          <w:szCs w:val="32"/>
        </w:rPr>
      </w:pPr>
      <w:bookmarkStart w:id="169" w:name="_Toc423598675"/>
      <w:bookmarkStart w:id="170" w:name="_Toc484357142"/>
      <w:r>
        <w:lastRenderedPageBreak/>
        <w:br w:type="page"/>
      </w:r>
    </w:p>
    <w:p w:rsidR="000A3C96" w:rsidRPr="00DD3BF4" w:rsidRDefault="000A3C96" w:rsidP="00780FEC">
      <w:pPr>
        <w:pStyle w:val="Heading1"/>
      </w:pPr>
      <w:bookmarkStart w:id="171" w:name="_Toc493596721"/>
      <w:r w:rsidRPr="00DD3BF4">
        <w:lastRenderedPageBreak/>
        <w:t xml:space="preserve">Appendix </w:t>
      </w:r>
      <w:r>
        <w:t>C</w:t>
      </w:r>
      <w:r w:rsidRPr="00DD3BF4">
        <w:t>: Select NCD Resources</w:t>
      </w:r>
      <w:bookmarkEnd w:id="169"/>
      <w:bookmarkEnd w:id="171"/>
    </w:p>
    <w:p w:rsidR="000A3C96" w:rsidRDefault="000A3C96" w:rsidP="00780FEC">
      <w:pPr>
        <w:pStyle w:val="Heading2"/>
      </w:pPr>
      <w:bookmarkStart w:id="172" w:name="_Toc493507513"/>
      <w:bookmarkStart w:id="173" w:name="_Toc493596722"/>
      <w:r>
        <w:t>2017</w:t>
      </w:r>
      <w:bookmarkEnd w:id="172"/>
      <w:bookmarkEnd w:id="173"/>
    </w:p>
    <w:p w:rsidR="000A3C96" w:rsidRDefault="000A3C96" w:rsidP="00092FF6">
      <w:pPr>
        <w:pStyle w:val="NCDBulletsLevel1"/>
        <w:spacing w:line="240" w:lineRule="auto"/>
        <w:rPr>
          <w:lang w:val="en"/>
        </w:rPr>
      </w:pPr>
      <w:r w:rsidRPr="00A77477">
        <w:rPr>
          <w:lang w:val="en"/>
        </w:rPr>
        <w:t>Mental Health on College Campuses: Investments, Accommodations Needed to Address Student Needs</w:t>
      </w:r>
      <w:r>
        <w:rPr>
          <w:lang w:val="en"/>
        </w:rPr>
        <w:t xml:space="preserve">, 2017, </w:t>
      </w:r>
      <w:hyperlink r:id="rId11" w:tooltip="https://ncd.gov/publications/2017/mental-health-college-campuses-investments-accommodations-needed-address-student" w:history="1">
        <w:r w:rsidRPr="00902E63">
          <w:rPr>
            <w:rStyle w:val="Hyperlink"/>
            <w:lang w:val="en"/>
          </w:rPr>
          <w:t>https://ncd.gov/publications/2017/mental-health-college-campuses-investments-accommodations-needed-address-student</w:t>
        </w:r>
      </w:hyperlink>
      <w:r>
        <w:rPr>
          <w:lang w:val="en"/>
        </w:rPr>
        <w:t xml:space="preserve"> </w:t>
      </w:r>
    </w:p>
    <w:p w:rsidR="000A3C96" w:rsidRDefault="000A3C96" w:rsidP="00092FF6">
      <w:pPr>
        <w:pStyle w:val="NCDBulletsLevel1"/>
        <w:spacing w:line="240" w:lineRule="auto"/>
        <w:rPr>
          <w:lang w:val="en"/>
        </w:rPr>
      </w:pPr>
      <w:r w:rsidRPr="00560538">
        <w:rPr>
          <w:lang w:val="en"/>
        </w:rPr>
        <w:t>NCD Comments to Department of Education Regarding Mandatory Civil Rights Data Collection</w:t>
      </w:r>
      <w:r>
        <w:rPr>
          <w:lang w:val="en"/>
        </w:rPr>
        <w:t xml:space="preserve">, 2017, </w:t>
      </w:r>
      <w:hyperlink r:id="rId12" w:tooltip="https://ncd.gov/publications/2017/ncd-comments-education-mandatory-civil-rights-data-collection" w:history="1">
        <w:r w:rsidRPr="00357EE2">
          <w:rPr>
            <w:rStyle w:val="Hyperlink"/>
            <w:lang w:val="en"/>
          </w:rPr>
          <w:t>https://ncd.gov/publications/2017/ncd-comments-education-mandatory-civil-rights-data-collection</w:t>
        </w:r>
      </w:hyperlink>
      <w:r>
        <w:rPr>
          <w:lang w:val="en"/>
        </w:rPr>
        <w:t xml:space="preserve"> </w:t>
      </w:r>
    </w:p>
    <w:p w:rsidR="000A3C96" w:rsidRDefault="000A3C96" w:rsidP="00092FF6">
      <w:pPr>
        <w:pStyle w:val="NCDBulletsLevel1"/>
        <w:spacing w:line="240" w:lineRule="auto"/>
        <w:rPr>
          <w:lang w:val="en"/>
        </w:rPr>
      </w:pPr>
      <w:r w:rsidRPr="00904A2A">
        <w:rPr>
          <w:lang w:val="en"/>
        </w:rPr>
        <w:t xml:space="preserve">NCD Letter to CMS Administrator </w:t>
      </w:r>
      <w:proofErr w:type="spellStart"/>
      <w:r w:rsidRPr="00904A2A">
        <w:rPr>
          <w:lang w:val="en"/>
        </w:rPr>
        <w:t>Verma</w:t>
      </w:r>
      <w:proofErr w:type="spellEnd"/>
      <w:r w:rsidRPr="00904A2A">
        <w:rPr>
          <w:lang w:val="en"/>
        </w:rPr>
        <w:t xml:space="preserve"> Regarding Medicaid HCBS Settings Rule</w:t>
      </w:r>
      <w:r>
        <w:rPr>
          <w:lang w:val="en"/>
        </w:rPr>
        <w:t xml:space="preserve">, 2017, </w:t>
      </w:r>
      <w:hyperlink r:id="rId13" w:tooltip="https://ncd.gov/publications/2017/ncd-letter-cms-hcbs-settings-rule" w:history="1">
        <w:r w:rsidRPr="00357EE2">
          <w:rPr>
            <w:rStyle w:val="Hyperlink"/>
            <w:lang w:val="en"/>
          </w:rPr>
          <w:t>https://ncd.gov/publications/2017/ncd-letter-cms-hcbs-settings-rule</w:t>
        </w:r>
      </w:hyperlink>
      <w:r>
        <w:rPr>
          <w:lang w:val="en"/>
        </w:rPr>
        <w:t xml:space="preserve"> </w:t>
      </w:r>
    </w:p>
    <w:p w:rsidR="000A3C96" w:rsidRPr="00642FD7" w:rsidRDefault="000A3C96" w:rsidP="00092FF6">
      <w:pPr>
        <w:pStyle w:val="NCDBulletsLevel1"/>
        <w:spacing w:line="240" w:lineRule="auto"/>
        <w:rPr>
          <w:lang w:val="en"/>
        </w:rPr>
      </w:pPr>
      <w:r w:rsidRPr="00904A2A">
        <w:rPr>
          <w:lang w:val="en"/>
        </w:rPr>
        <w:t xml:space="preserve">NCD Letter to CMS Administrator </w:t>
      </w:r>
      <w:proofErr w:type="spellStart"/>
      <w:r w:rsidRPr="00904A2A">
        <w:rPr>
          <w:lang w:val="en"/>
        </w:rPr>
        <w:t>Verma</w:t>
      </w:r>
      <w:proofErr w:type="spellEnd"/>
      <w:r w:rsidRPr="00904A2A">
        <w:rPr>
          <w:lang w:val="en"/>
        </w:rPr>
        <w:t xml:space="preserve"> Requesting Meeting Regarding Medicaid Policy</w:t>
      </w:r>
      <w:r>
        <w:rPr>
          <w:lang w:val="en"/>
        </w:rPr>
        <w:t xml:space="preserve">, 2017, </w:t>
      </w:r>
      <w:hyperlink r:id="rId14" w:tooltip="https://ncd.gov/publications/2017/letter-cms-requesting-meeting-on-medicaid" w:history="1">
        <w:r w:rsidRPr="00357EE2">
          <w:rPr>
            <w:rStyle w:val="Hyperlink"/>
            <w:lang w:val="en"/>
          </w:rPr>
          <w:t>https://ncd.gov/publications/2017/letter-cms-requesting-meeting-on-medicaid</w:t>
        </w:r>
      </w:hyperlink>
      <w:r>
        <w:rPr>
          <w:lang w:val="en"/>
        </w:rPr>
        <w:t xml:space="preserve"> </w:t>
      </w:r>
    </w:p>
    <w:p w:rsidR="000A3C96" w:rsidRDefault="000A3C96" w:rsidP="00780FEC">
      <w:pPr>
        <w:pStyle w:val="Heading2"/>
      </w:pPr>
      <w:bookmarkStart w:id="174" w:name="_Toc493507514"/>
      <w:bookmarkStart w:id="175" w:name="_Toc493596723"/>
      <w:r>
        <w:t>2016</w:t>
      </w:r>
      <w:bookmarkEnd w:id="174"/>
      <w:bookmarkEnd w:id="175"/>
    </w:p>
    <w:p w:rsidR="000A3C96" w:rsidRPr="00642FD7" w:rsidRDefault="000A3C96" w:rsidP="00092FF6">
      <w:pPr>
        <w:pStyle w:val="NCDBulletsLevel1"/>
        <w:spacing w:line="240" w:lineRule="auto"/>
        <w:rPr>
          <w:lang w:val="en"/>
        </w:rPr>
      </w:pPr>
      <w:r w:rsidRPr="00560538">
        <w:rPr>
          <w:lang w:val="en"/>
        </w:rPr>
        <w:t>NCD Letter to Treasury Regarding Tax Debt of Discharged Loans of Borrowers with Disabilities</w:t>
      </w:r>
      <w:r w:rsidRPr="00DD3BF4">
        <w:rPr>
          <w:lang w:val="en"/>
        </w:rPr>
        <w:t>, 201</w:t>
      </w:r>
      <w:r>
        <w:rPr>
          <w:lang w:val="en"/>
        </w:rPr>
        <w:t>6</w:t>
      </w:r>
      <w:r w:rsidRPr="00DD3BF4">
        <w:rPr>
          <w:lang w:val="en"/>
        </w:rPr>
        <w:t xml:space="preserve">, </w:t>
      </w:r>
      <w:hyperlink r:id="rId15" w:tooltip="https://ncd.gov/publications/2016/ncd-letter-treasury-tax-debt" w:history="1">
        <w:r w:rsidRPr="00357EE2">
          <w:rPr>
            <w:rStyle w:val="Hyperlink"/>
          </w:rPr>
          <w:t>https://ncd.gov/publications/2016/ncd-letter-treasury-tax-debt</w:t>
        </w:r>
      </w:hyperlink>
      <w:r>
        <w:t xml:space="preserve"> </w:t>
      </w:r>
    </w:p>
    <w:p w:rsidR="000A3C96" w:rsidRPr="00642FD7" w:rsidRDefault="000A3C96" w:rsidP="00092FF6">
      <w:pPr>
        <w:pStyle w:val="NCDBulletsLevel1"/>
        <w:spacing w:line="240" w:lineRule="auto"/>
        <w:rPr>
          <w:lang w:val="en"/>
        </w:rPr>
      </w:pPr>
      <w:r w:rsidRPr="00904A2A">
        <w:rPr>
          <w:lang w:val="en"/>
        </w:rPr>
        <w:t>The Impact of the Affordable Care Act on People with Disabilities: A 2015 Status Report</w:t>
      </w:r>
      <w:r>
        <w:rPr>
          <w:lang w:val="en"/>
        </w:rPr>
        <w:t xml:space="preserve">, 2016, </w:t>
      </w:r>
      <w:hyperlink r:id="rId16" w:tooltip="https://ncd.gov/publications/2016/impact-affordable-care-act-people-disabilities-2015-status-report" w:history="1">
        <w:r w:rsidRPr="00357EE2">
          <w:rPr>
            <w:rStyle w:val="Hyperlink"/>
            <w:lang w:val="en"/>
          </w:rPr>
          <w:t>https://ncd.gov/publications/2016/impact-affordable-care-act-people-disabilities-2015-status-report</w:t>
        </w:r>
      </w:hyperlink>
      <w:r>
        <w:rPr>
          <w:lang w:val="en"/>
        </w:rPr>
        <w:t xml:space="preserve"> </w:t>
      </w:r>
    </w:p>
    <w:p w:rsidR="000A3C96" w:rsidRPr="00DD3BF4" w:rsidRDefault="000A3C96" w:rsidP="00780FEC">
      <w:pPr>
        <w:pStyle w:val="Heading2"/>
      </w:pPr>
      <w:bookmarkStart w:id="176" w:name="_Toc493507515"/>
      <w:bookmarkStart w:id="177" w:name="_Toc493596724"/>
      <w:r>
        <w:t>2015</w:t>
      </w:r>
      <w:bookmarkEnd w:id="176"/>
      <w:bookmarkEnd w:id="177"/>
    </w:p>
    <w:p w:rsidR="000A3C96" w:rsidRPr="00DD3BF4" w:rsidRDefault="000A3C96" w:rsidP="00092FF6">
      <w:pPr>
        <w:pStyle w:val="NCDBulletsLevel1"/>
        <w:spacing w:line="240" w:lineRule="auto"/>
        <w:rPr>
          <w:lang w:val="en"/>
        </w:rPr>
      </w:pPr>
      <w:r w:rsidRPr="00560538">
        <w:rPr>
          <w:lang w:val="en"/>
        </w:rPr>
        <w:t>NCD Letter to Small Business Administration regarding Its 8a Program</w:t>
      </w:r>
      <w:r w:rsidRPr="00DD3BF4">
        <w:rPr>
          <w:lang w:val="en"/>
        </w:rPr>
        <w:t xml:space="preserve">, 2015, </w:t>
      </w:r>
      <w:hyperlink r:id="rId17" w:tooltip="https://ncd.gov/publications/2015/ncd-letter-small-business-administration" w:history="1">
        <w:r w:rsidRPr="00357EE2">
          <w:rPr>
            <w:rStyle w:val="Hyperlink"/>
          </w:rPr>
          <w:t>https://ncd.gov/publications/2015/ncd-letter-small-business-administration</w:t>
        </w:r>
      </w:hyperlink>
      <w:r>
        <w:t xml:space="preserve"> </w:t>
      </w:r>
    </w:p>
    <w:p w:rsidR="000A3C96" w:rsidRDefault="000A3C96" w:rsidP="00092FF6">
      <w:pPr>
        <w:pStyle w:val="NCDBulletsLevel1"/>
        <w:spacing w:line="240" w:lineRule="auto"/>
        <w:rPr>
          <w:lang w:val="en"/>
        </w:rPr>
      </w:pPr>
      <w:r w:rsidRPr="00560538">
        <w:rPr>
          <w:lang w:val="en"/>
        </w:rPr>
        <w:t>Home and Community-Based Services: Creating Systems for Success at Home, at Work and in the Community</w:t>
      </w:r>
      <w:r>
        <w:rPr>
          <w:lang w:val="en"/>
        </w:rPr>
        <w:t xml:space="preserve">, 2015, </w:t>
      </w:r>
      <w:hyperlink r:id="rId18" w:tooltip="https://ncd.gov/publications/2015/02242015" w:history="1">
        <w:r w:rsidRPr="00357EE2">
          <w:rPr>
            <w:rStyle w:val="Hyperlink"/>
            <w:lang w:val="en"/>
          </w:rPr>
          <w:t>https://ncd.gov/publications/2015/02242015</w:t>
        </w:r>
      </w:hyperlink>
      <w:r>
        <w:rPr>
          <w:lang w:val="en"/>
        </w:rPr>
        <w:t xml:space="preserve"> </w:t>
      </w:r>
    </w:p>
    <w:p w:rsidR="000A3C96" w:rsidRDefault="000A3C96" w:rsidP="00092FF6">
      <w:pPr>
        <w:pStyle w:val="NCDBulletsLevel1"/>
        <w:spacing w:line="240" w:lineRule="auto"/>
        <w:rPr>
          <w:lang w:val="en"/>
        </w:rPr>
      </w:pPr>
      <w:r w:rsidRPr="00DD3BF4">
        <w:rPr>
          <w:lang w:val="en"/>
        </w:rPr>
        <w:t xml:space="preserve">Securing the Social Contract: Reforming Social Security Disability, 2015, </w:t>
      </w:r>
      <w:hyperlink r:id="rId19" w:tooltip="http://www.ncd.gov/publications/2015/01292015/" w:history="1">
        <w:r w:rsidRPr="00DD3BF4">
          <w:rPr>
            <w:color w:val="0000FF"/>
            <w:u w:val="single"/>
            <w:lang w:val="en"/>
          </w:rPr>
          <w:t>http://www.ncd.gov/publications/2015/01292015/</w:t>
        </w:r>
      </w:hyperlink>
      <w:r w:rsidRPr="00DD3BF4">
        <w:rPr>
          <w:lang w:val="en"/>
        </w:rPr>
        <w:t xml:space="preserve"> </w:t>
      </w:r>
    </w:p>
    <w:p w:rsidR="000A3C96" w:rsidRPr="00DD3BF4" w:rsidRDefault="000A3C96" w:rsidP="00092FF6">
      <w:pPr>
        <w:pStyle w:val="NCDBulletsLevel1"/>
        <w:spacing w:line="240" w:lineRule="auto"/>
        <w:rPr>
          <w:lang w:val="en"/>
        </w:rPr>
      </w:pPr>
      <w:r w:rsidRPr="00560538">
        <w:rPr>
          <w:lang w:val="en"/>
        </w:rPr>
        <w:t>Breaking the School-to-Prison Pipeline for Students with Disabilities</w:t>
      </w:r>
      <w:r>
        <w:rPr>
          <w:lang w:val="en"/>
        </w:rPr>
        <w:t xml:space="preserve">, 2015, </w:t>
      </w:r>
      <w:hyperlink r:id="rId20" w:tooltip="https://ncd.gov/publications/2015/06182015" w:history="1">
        <w:r w:rsidRPr="00357EE2">
          <w:rPr>
            <w:rStyle w:val="Hyperlink"/>
            <w:lang w:val="en"/>
          </w:rPr>
          <w:t>https://ncd.gov/publications/2015/06182015</w:t>
        </w:r>
      </w:hyperlink>
      <w:r>
        <w:rPr>
          <w:lang w:val="en"/>
        </w:rPr>
        <w:t xml:space="preserve"> </w:t>
      </w:r>
    </w:p>
    <w:p w:rsidR="000A3C96" w:rsidRPr="00642FD7" w:rsidRDefault="000A3C96" w:rsidP="000A3C96">
      <w:pPr>
        <w:pStyle w:val="NCDBulletsLevel1"/>
        <w:spacing w:after="240" w:line="240" w:lineRule="auto"/>
        <w:rPr>
          <w:rStyle w:val="Hyperlink"/>
          <w:color w:val="auto"/>
          <w:lang w:val="en"/>
        </w:rPr>
      </w:pPr>
      <w:r w:rsidRPr="00DD3BF4">
        <w:rPr>
          <w:lang w:val="en"/>
        </w:rPr>
        <w:t xml:space="preserve">Transportation Update: Where We’ve Gone and What We’ve Learned, 2015, </w:t>
      </w:r>
      <w:hyperlink r:id="rId21" w:tooltip="http://www.ncd.gov/publications/2015/05042015/" w:history="1">
        <w:r w:rsidRPr="00DD3BF4">
          <w:rPr>
            <w:rStyle w:val="Hyperlink"/>
          </w:rPr>
          <w:t>http://www.ncd.gov/publications/2015/05042015/</w:t>
        </w:r>
      </w:hyperlink>
    </w:p>
    <w:p w:rsidR="000A3C96" w:rsidRPr="00DD3BF4" w:rsidRDefault="000A3C96" w:rsidP="00537FDE">
      <w:pPr>
        <w:pStyle w:val="Heading2"/>
        <w:spacing w:after="200" w:line="240" w:lineRule="auto"/>
      </w:pPr>
      <w:bookmarkStart w:id="178" w:name="_Toc493507516"/>
      <w:bookmarkStart w:id="179" w:name="_Toc493596725"/>
      <w:r>
        <w:lastRenderedPageBreak/>
        <w:t>2013 and Earlier</w:t>
      </w:r>
      <w:bookmarkEnd w:id="178"/>
      <w:bookmarkEnd w:id="179"/>
    </w:p>
    <w:p w:rsidR="000A3C96" w:rsidRPr="00DD3BF4" w:rsidRDefault="000A3C96" w:rsidP="00537FDE">
      <w:pPr>
        <w:pStyle w:val="NCDBulletsLevel1"/>
        <w:keepNext/>
        <w:spacing w:line="240" w:lineRule="auto"/>
        <w:rPr>
          <w:lang w:val="en"/>
        </w:rPr>
      </w:pPr>
      <w:r w:rsidRPr="00904A2A">
        <w:rPr>
          <w:lang w:val="en"/>
        </w:rPr>
        <w:t>A Medicaid Block Grant Program: Implications for People with Disabilities</w:t>
      </w:r>
      <w:r>
        <w:rPr>
          <w:lang w:val="en"/>
        </w:rPr>
        <w:t xml:space="preserve">, 2013, </w:t>
      </w:r>
      <w:hyperlink r:id="rId22" w:tooltip="https://ncd.gov/publications/2013/05222013" w:history="1">
        <w:r w:rsidRPr="00357EE2">
          <w:rPr>
            <w:rStyle w:val="Hyperlink"/>
            <w:lang w:val="en"/>
          </w:rPr>
          <w:t>https://ncd.gov/publications/2013/05222013</w:t>
        </w:r>
      </w:hyperlink>
      <w:r>
        <w:rPr>
          <w:lang w:val="en"/>
        </w:rPr>
        <w:t xml:space="preserve"> </w:t>
      </w:r>
    </w:p>
    <w:p w:rsidR="000A3C96" w:rsidRPr="00DD3BF4" w:rsidRDefault="000A3C96" w:rsidP="00537FDE">
      <w:pPr>
        <w:pStyle w:val="NCDBulletsLevel1"/>
        <w:spacing w:line="240" w:lineRule="auto"/>
        <w:rPr>
          <w:lang w:val="en"/>
        </w:rPr>
      </w:pPr>
      <w:r w:rsidRPr="00DD3BF4">
        <w:rPr>
          <w:lang w:val="en"/>
        </w:rPr>
        <w:t xml:space="preserve">NCD Urges HUD to Issue Olmstead Guidance, 2013, </w:t>
      </w:r>
      <w:hyperlink r:id="rId23" w:tooltip="http://www.ncd.gov/publications/2013/05212013/" w:history="1">
        <w:r w:rsidRPr="00DD3BF4">
          <w:rPr>
            <w:color w:val="0000FF"/>
            <w:u w:val="single"/>
            <w:lang w:val="en"/>
          </w:rPr>
          <w:t>http://www.ncd.gov/publications/2013/05212013/</w:t>
        </w:r>
      </w:hyperlink>
      <w:r w:rsidRPr="00DD3BF4">
        <w:rPr>
          <w:lang w:val="en"/>
        </w:rPr>
        <w:t xml:space="preserve"> </w:t>
      </w:r>
    </w:p>
    <w:p w:rsidR="000A3C96" w:rsidRPr="00560538" w:rsidRDefault="000A3C96" w:rsidP="00537FDE">
      <w:pPr>
        <w:pStyle w:val="NCDBulletsLevel1"/>
        <w:spacing w:line="240" w:lineRule="auto"/>
        <w:rPr>
          <w:lang w:val="en"/>
        </w:rPr>
      </w:pPr>
      <w:r w:rsidRPr="00560538">
        <w:rPr>
          <w:lang w:val="en"/>
        </w:rPr>
        <w:t>National Council on Disability Report on Subminimum Wage and Supported Employment</w:t>
      </w:r>
      <w:r w:rsidRPr="00DD3BF4">
        <w:rPr>
          <w:lang w:val="en"/>
        </w:rPr>
        <w:t>, 201</w:t>
      </w:r>
      <w:r>
        <w:rPr>
          <w:lang w:val="en"/>
        </w:rPr>
        <w:t>2</w:t>
      </w:r>
      <w:r w:rsidRPr="00DD3BF4">
        <w:rPr>
          <w:lang w:val="en"/>
        </w:rPr>
        <w:t xml:space="preserve">, </w:t>
      </w:r>
      <w:hyperlink r:id="rId24" w:tooltip="https://ncd.gov/publications/2012/August232012" w:history="1">
        <w:r w:rsidRPr="00357EE2">
          <w:rPr>
            <w:rStyle w:val="Hyperlink"/>
          </w:rPr>
          <w:t>https://ncd.gov/publications/2012/August232012</w:t>
        </w:r>
      </w:hyperlink>
      <w:r>
        <w:t xml:space="preserve"> </w:t>
      </w:r>
    </w:p>
    <w:p w:rsidR="000A3C96" w:rsidRDefault="000A3C96" w:rsidP="00537FDE">
      <w:pPr>
        <w:pStyle w:val="NCDBulletsLevel1"/>
        <w:spacing w:line="240" w:lineRule="auto"/>
        <w:rPr>
          <w:lang w:val="en"/>
        </w:rPr>
      </w:pPr>
      <w:r w:rsidRPr="00DD3BF4">
        <w:rPr>
          <w:lang w:val="en"/>
        </w:rPr>
        <w:t xml:space="preserve">The State of Housing in America in the 21st Century: A Disability Perspective, 2010, </w:t>
      </w:r>
      <w:hyperlink r:id="rId25" w:tooltip="http://www.ncd.gov/publications/2010/Jan192010" w:history="1">
        <w:r w:rsidRPr="00DD3BF4">
          <w:rPr>
            <w:color w:val="0000FF"/>
            <w:u w:val="single"/>
            <w:lang w:val="en"/>
          </w:rPr>
          <w:t>http://www.ncd.gov/publications/2010/Jan192010</w:t>
        </w:r>
      </w:hyperlink>
    </w:p>
    <w:p w:rsidR="000A3C96" w:rsidRDefault="000A3C96" w:rsidP="00537FDE">
      <w:pPr>
        <w:pStyle w:val="NCDBulletsLevel1"/>
        <w:spacing w:line="240" w:lineRule="auto"/>
        <w:rPr>
          <w:lang w:val="en"/>
        </w:rPr>
      </w:pPr>
      <w:r w:rsidRPr="00560538">
        <w:rPr>
          <w:lang w:val="en"/>
        </w:rPr>
        <w:t>Topical Brief: Transitioning Youth</w:t>
      </w:r>
      <w:r>
        <w:rPr>
          <w:lang w:val="en"/>
        </w:rPr>
        <w:t xml:space="preserve">, 2010, </w:t>
      </w:r>
      <w:hyperlink r:id="rId26" w:tooltip="https://ncd.gov/publications/2010/03232010-1" w:history="1">
        <w:r w:rsidRPr="00357EE2">
          <w:rPr>
            <w:rStyle w:val="Hyperlink"/>
            <w:lang w:val="en"/>
          </w:rPr>
          <w:t>https://ncd.gov/publications/2010/03232010-1</w:t>
        </w:r>
      </w:hyperlink>
      <w:r>
        <w:rPr>
          <w:lang w:val="en"/>
        </w:rPr>
        <w:t xml:space="preserve"> </w:t>
      </w:r>
    </w:p>
    <w:p w:rsidR="000A3C96" w:rsidRPr="00560538" w:rsidRDefault="000A3C96" w:rsidP="00537FDE">
      <w:pPr>
        <w:pStyle w:val="NCDBulletsLevel1"/>
        <w:spacing w:line="240" w:lineRule="auto"/>
        <w:rPr>
          <w:lang w:val="en"/>
        </w:rPr>
      </w:pPr>
      <w:r w:rsidRPr="00560538">
        <w:rPr>
          <w:lang w:val="en"/>
        </w:rPr>
        <w:t>Topical Brief: Workforce Investment Infrastructure</w:t>
      </w:r>
      <w:r>
        <w:rPr>
          <w:lang w:val="en"/>
        </w:rPr>
        <w:t xml:space="preserve">, 2010, </w:t>
      </w:r>
      <w:hyperlink r:id="rId27" w:tooltip="https://ncd.gov/publications/2010/03232010-3" w:history="1">
        <w:r w:rsidRPr="00357EE2">
          <w:rPr>
            <w:rStyle w:val="Hyperlink"/>
          </w:rPr>
          <w:t>https://ncd.gov/publications/2010/03232010-3</w:t>
        </w:r>
      </w:hyperlink>
      <w:r>
        <w:t xml:space="preserve"> </w:t>
      </w:r>
    </w:p>
    <w:p w:rsidR="000A3C96" w:rsidRDefault="000A3C96" w:rsidP="00537FDE">
      <w:pPr>
        <w:pStyle w:val="NCDBulletsLevel1"/>
        <w:spacing w:line="240" w:lineRule="auto"/>
        <w:rPr>
          <w:lang w:val="en"/>
        </w:rPr>
      </w:pPr>
      <w:r w:rsidRPr="00560538">
        <w:rPr>
          <w:lang w:val="en"/>
        </w:rPr>
        <w:t>Topical Brief: One-Stop Career Centers</w:t>
      </w:r>
      <w:r>
        <w:rPr>
          <w:lang w:val="en"/>
        </w:rPr>
        <w:t xml:space="preserve">, 2010, </w:t>
      </w:r>
      <w:hyperlink r:id="rId28" w:tooltip="https://ncd.gov/publications/2010/03232010-5" w:history="1">
        <w:r w:rsidRPr="00357EE2">
          <w:rPr>
            <w:rStyle w:val="Hyperlink"/>
            <w:lang w:val="en"/>
          </w:rPr>
          <w:t>https://ncd.gov/publications/2010/03232010-5</w:t>
        </w:r>
      </w:hyperlink>
      <w:r>
        <w:rPr>
          <w:lang w:val="en"/>
        </w:rPr>
        <w:t xml:space="preserve"> </w:t>
      </w:r>
    </w:p>
    <w:p w:rsidR="000A3C96" w:rsidRPr="00DD3BF4" w:rsidRDefault="000A3C96" w:rsidP="00537FDE">
      <w:pPr>
        <w:pStyle w:val="NCDBulletsLevel1"/>
        <w:spacing w:line="240" w:lineRule="auto"/>
        <w:rPr>
          <w:lang w:val="en"/>
        </w:rPr>
      </w:pPr>
      <w:r w:rsidRPr="00560538">
        <w:rPr>
          <w:lang w:val="en"/>
        </w:rPr>
        <w:t>Workforce Infrastructure in Support of People with Disabilities: Matching Human Resources to Service Needs</w:t>
      </w:r>
      <w:r>
        <w:rPr>
          <w:lang w:val="en"/>
        </w:rPr>
        <w:t xml:space="preserve">, 2010, </w:t>
      </w:r>
      <w:hyperlink r:id="rId29" w:tooltip="https://ncd.gov/publications/2010/Jan202010" w:history="1">
        <w:r w:rsidRPr="00357EE2">
          <w:rPr>
            <w:rStyle w:val="Hyperlink"/>
            <w:lang w:val="en"/>
          </w:rPr>
          <w:t>https://ncd.gov/publications/2010/Jan202010</w:t>
        </w:r>
      </w:hyperlink>
      <w:r>
        <w:rPr>
          <w:lang w:val="en"/>
        </w:rPr>
        <w:t xml:space="preserve"> </w:t>
      </w:r>
    </w:p>
    <w:p w:rsidR="000A3C96" w:rsidRDefault="000A3C96" w:rsidP="00537FDE">
      <w:pPr>
        <w:pStyle w:val="NCDBulletsLevel1"/>
        <w:spacing w:line="240" w:lineRule="auto"/>
        <w:rPr>
          <w:lang w:val="en"/>
        </w:rPr>
      </w:pPr>
      <w:r w:rsidRPr="00904A2A">
        <w:rPr>
          <w:lang w:val="en"/>
        </w:rPr>
        <w:t>Effective Emergency Management: Making Improvements for Communities and People with Disabilities</w:t>
      </w:r>
      <w:r>
        <w:rPr>
          <w:lang w:val="en"/>
        </w:rPr>
        <w:t xml:space="preserve">, 2009, </w:t>
      </w:r>
      <w:hyperlink r:id="rId30" w:tooltip="https://ncd.gov/publications/2009/Aug122009" w:history="1">
        <w:r w:rsidRPr="00357EE2">
          <w:rPr>
            <w:rStyle w:val="Hyperlink"/>
            <w:lang w:val="en"/>
          </w:rPr>
          <w:t>https://ncd.gov/publications/2009/Aug122009</w:t>
        </w:r>
      </w:hyperlink>
      <w:r>
        <w:rPr>
          <w:lang w:val="en"/>
        </w:rPr>
        <w:t xml:space="preserve"> </w:t>
      </w:r>
    </w:p>
    <w:p w:rsidR="000A3C96" w:rsidRPr="00DD3BF4" w:rsidRDefault="000A3C96" w:rsidP="00537FDE">
      <w:pPr>
        <w:pStyle w:val="NCDBulletsLevel1"/>
        <w:spacing w:line="240" w:lineRule="auto"/>
        <w:rPr>
          <w:lang w:val="en"/>
        </w:rPr>
      </w:pPr>
      <w:r w:rsidRPr="00904A2A">
        <w:rPr>
          <w:lang w:val="en"/>
        </w:rPr>
        <w:t>People with Disabilities and Emergency Management</w:t>
      </w:r>
      <w:r>
        <w:rPr>
          <w:lang w:val="en"/>
        </w:rPr>
        <w:t xml:space="preserve">, 2008, </w:t>
      </w:r>
      <w:hyperlink r:id="rId31" w:tooltip="https://ncd.gov/publications/2008/08082008" w:history="1">
        <w:r w:rsidRPr="00357EE2">
          <w:rPr>
            <w:rStyle w:val="Hyperlink"/>
            <w:lang w:val="en"/>
          </w:rPr>
          <w:t>https://ncd.gov/publications/2008/08082008</w:t>
        </w:r>
      </w:hyperlink>
      <w:r>
        <w:rPr>
          <w:lang w:val="en"/>
        </w:rPr>
        <w:t xml:space="preserve"> </w:t>
      </w:r>
    </w:p>
    <w:p w:rsidR="000A3C96" w:rsidRPr="00DD3BF4" w:rsidRDefault="000A3C96" w:rsidP="00537FDE">
      <w:pPr>
        <w:pStyle w:val="NCDBulletsLevel1"/>
        <w:spacing w:line="240" w:lineRule="auto"/>
        <w:rPr>
          <w:lang w:val="en"/>
        </w:rPr>
      </w:pPr>
      <w:r w:rsidRPr="00DD3BF4">
        <w:rPr>
          <w:lang w:val="en"/>
        </w:rPr>
        <w:t xml:space="preserve">Issues in Creating Livable Communities for People with Disabilities: Proceedings of the Panel, 2007, </w:t>
      </w:r>
      <w:hyperlink r:id="rId32" w:tooltip="http://www.ncd.gov/publications/2007/Oct12007" w:history="1">
        <w:r w:rsidRPr="00DD3BF4">
          <w:rPr>
            <w:color w:val="0000FF"/>
            <w:u w:val="single"/>
            <w:lang w:val="en"/>
          </w:rPr>
          <w:t>http://www.ncd.gov/publications/2007/Oct12007</w:t>
        </w:r>
      </w:hyperlink>
      <w:r w:rsidRPr="00DD3BF4">
        <w:rPr>
          <w:lang w:val="en"/>
        </w:rPr>
        <w:t xml:space="preserve"> </w:t>
      </w:r>
    </w:p>
    <w:p w:rsidR="000A3C96" w:rsidRDefault="000A3C96" w:rsidP="00537FDE">
      <w:pPr>
        <w:pStyle w:val="NCDBulletsLevel1"/>
        <w:spacing w:line="240" w:lineRule="auto"/>
        <w:rPr>
          <w:lang w:val="en"/>
        </w:rPr>
      </w:pPr>
      <w:r w:rsidRPr="00DD3BF4">
        <w:rPr>
          <w:lang w:val="en"/>
        </w:rPr>
        <w:t xml:space="preserve">Creating Livable Communities, 2006, </w:t>
      </w:r>
      <w:hyperlink r:id="rId33" w:tooltip="http://www.ncd.gov/publications/2006/Oct312006" w:history="1">
        <w:r w:rsidRPr="00DD3BF4">
          <w:rPr>
            <w:color w:val="0000FF"/>
            <w:u w:val="single"/>
            <w:lang w:val="en"/>
          </w:rPr>
          <w:t>http://www.ncd.gov/publications/2006/Oct312006</w:t>
        </w:r>
      </w:hyperlink>
      <w:r w:rsidRPr="00DD3BF4">
        <w:rPr>
          <w:lang w:val="en"/>
        </w:rPr>
        <w:t xml:space="preserve"> </w:t>
      </w:r>
    </w:p>
    <w:p w:rsidR="000A3C96" w:rsidRPr="00DD3BF4" w:rsidRDefault="000A3C96" w:rsidP="00537FDE">
      <w:pPr>
        <w:pStyle w:val="NCDBulletsLevel1"/>
        <w:spacing w:line="240" w:lineRule="auto"/>
        <w:rPr>
          <w:lang w:val="en"/>
        </w:rPr>
      </w:pPr>
      <w:r w:rsidRPr="00A77477">
        <w:rPr>
          <w:lang w:val="en"/>
        </w:rPr>
        <w:t>School Vouchers and Students with Disabilities</w:t>
      </w:r>
      <w:r>
        <w:rPr>
          <w:lang w:val="en"/>
        </w:rPr>
        <w:t xml:space="preserve">, 2003, </w:t>
      </w:r>
      <w:hyperlink r:id="rId34" w:tooltip="https://ncd.gov/publications/2003/April152003" w:history="1">
        <w:r w:rsidRPr="00902E63">
          <w:rPr>
            <w:rStyle w:val="Hyperlink"/>
            <w:lang w:val="en"/>
          </w:rPr>
          <w:t>https://ncd.gov/publications/2003/April152003</w:t>
        </w:r>
      </w:hyperlink>
      <w:r>
        <w:rPr>
          <w:lang w:val="en"/>
        </w:rPr>
        <w:t xml:space="preserve"> </w:t>
      </w:r>
    </w:p>
    <w:p w:rsidR="000A3C96" w:rsidRDefault="000A3C96" w:rsidP="000A3C96">
      <w:pPr>
        <w:spacing w:line="240" w:lineRule="auto"/>
        <w:rPr>
          <w:rFonts w:ascii="Arial" w:eastAsia="Times New Roman" w:hAnsi="Arial"/>
          <w:caps/>
          <w:color w:val="7F7F7F" w:themeColor="text1" w:themeTint="80"/>
          <w:sz w:val="36"/>
          <w:szCs w:val="32"/>
        </w:rPr>
      </w:pPr>
      <w:r>
        <w:br w:type="page"/>
      </w:r>
    </w:p>
    <w:p w:rsidR="000A3C96" w:rsidRDefault="000A3C96" w:rsidP="008924F1">
      <w:pPr>
        <w:pStyle w:val="Heading1"/>
      </w:pPr>
      <w:bookmarkStart w:id="180" w:name="_Toc493596726"/>
      <w:r>
        <w:lastRenderedPageBreak/>
        <w:t>Appendix D: Institutions of Higher Education with Transition and Postsecondary Programs for Students with Intellectual Disabilities</w:t>
      </w:r>
      <w:bookmarkEnd w:id="170"/>
      <w:bookmarkEnd w:id="180"/>
    </w:p>
    <w:p w:rsidR="000A3C96" w:rsidRPr="008924F1" w:rsidRDefault="000A3C96" w:rsidP="008924F1">
      <w:pPr>
        <w:pStyle w:val="NCDBodyText"/>
        <w:spacing w:line="240" w:lineRule="auto"/>
      </w:pPr>
      <w:r w:rsidRPr="008924F1">
        <w:t>This appendix includes a list of institutions of higher education that have TPSID.*</w:t>
      </w:r>
    </w:p>
    <w:p w:rsidR="000A3C96" w:rsidRPr="008924F1" w:rsidRDefault="000A3C96" w:rsidP="00092FF6">
      <w:pPr>
        <w:pStyle w:val="NCDBodyText"/>
        <w:spacing w:after="180" w:line="240" w:lineRule="auto"/>
      </w:pPr>
      <w:r w:rsidRPr="008924F1">
        <w:t>Albany Technical College</w:t>
      </w:r>
    </w:p>
    <w:p w:rsidR="000A3C96" w:rsidRPr="008924F1" w:rsidRDefault="000A3C96" w:rsidP="00092FF6">
      <w:pPr>
        <w:pStyle w:val="NCDBodyText"/>
        <w:spacing w:after="180" w:line="240" w:lineRule="auto"/>
      </w:pPr>
      <w:r w:rsidRPr="008924F1">
        <w:t>Appalachian State University</w:t>
      </w:r>
    </w:p>
    <w:p w:rsidR="000A3C96" w:rsidRPr="008924F1" w:rsidRDefault="000A3C96" w:rsidP="00092FF6">
      <w:pPr>
        <w:pStyle w:val="NCDBodyText"/>
        <w:spacing w:after="180" w:line="240" w:lineRule="auto"/>
      </w:pPr>
      <w:r w:rsidRPr="008924F1">
        <w:t>Bergen Community College</w:t>
      </w:r>
    </w:p>
    <w:p w:rsidR="000A3C96" w:rsidRPr="008924F1" w:rsidRDefault="000A3C96" w:rsidP="00092FF6">
      <w:pPr>
        <w:pStyle w:val="NCDBodyText"/>
        <w:spacing w:after="180" w:line="240" w:lineRule="auto"/>
      </w:pPr>
      <w:r w:rsidRPr="008924F1">
        <w:t>Borough of Manhattan Community College</w:t>
      </w:r>
    </w:p>
    <w:p w:rsidR="000A3C96" w:rsidRPr="008924F1" w:rsidRDefault="000A3C96" w:rsidP="00092FF6">
      <w:pPr>
        <w:pStyle w:val="NCDBodyText"/>
        <w:spacing w:after="180" w:line="240" w:lineRule="auto"/>
      </w:pPr>
      <w:r w:rsidRPr="008924F1">
        <w:t>California State University, Fresno</w:t>
      </w:r>
    </w:p>
    <w:p w:rsidR="000A3C96" w:rsidRPr="008924F1" w:rsidRDefault="000A3C96" w:rsidP="00092FF6">
      <w:pPr>
        <w:pStyle w:val="NCDBodyText"/>
        <w:spacing w:after="180" w:line="240" w:lineRule="auto"/>
      </w:pPr>
      <w:r w:rsidRPr="008924F1">
        <w:t>College of Staten Island</w:t>
      </w:r>
    </w:p>
    <w:p w:rsidR="000A3C96" w:rsidRPr="008924F1" w:rsidRDefault="000A3C96" w:rsidP="00092FF6">
      <w:pPr>
        <w:pStyle w:val="NCDBodyText"/>
        <w:spacing w:after="180" w:line="240" w:lineRule="auto"/>
      </w:pPr>
      <w:r w:rsidRPr="008924F1">
        <w:t>Colorado State University</w:t>
      </w:r>
    </w:p>
    <w:p w:rsidR="000A3C96" w:rsidRPr="008924F1" w:rsidRDefault="000A3C96" w:rsidP="00092FF6">
      <w:pPr>
        <w:pStyle w:val="NCDBodyText"/>
        <w:spacing w:after="180" w:line="240" w:lineRule="auto"/>
      </w:pPr>
      <w:r w:rsidRPr="008924F1">
        <w:t>Columbus State University</w:t>
      </w:r>
    </w:p>
    <w:p w:rsidR="000A3C96" w:rsidRPr="008924F1" w:rsidRDefault="000A3C96" w:rsidP="00092FF6">
      <w:pPr>
        <w:pStyle w:val="NCDBodyText"/>
        <w:spacing w:after="180" w:line="240" w:lineRule="auto"/>
      </w:pPr>
      <w:r w:rsidRPr="008924F1">
        <w:t>East Georgia State College</w:t>
      </w:r>
    </w:p>
    <w:p w:rsidR="000A3C96" w:rsidRPr="008924F1" w:rsidRDefault="000A3C96" w:rsidP="00092FF6">
      <w:pPr>
        <w:pStyle w:val="NCDBodyText"/>
        <w:spacing w:after="180" w:line="240" w:lineRule="auto"/>
      </w:pPr>
      <w:r w:rsidRPr="008924F1">
        <w:t>Florida International University</w:t>
      </w:r>
    </w:p>
    <w:p w:rsidR="000A3C96" w:rsidRPr="008924F1" w:rsidRDefault="000A3C96" w:rsidP="00092FF6">
      <w:pPr>
        <w:pStyle w:val="NCDBodyText"/>
        <w:spacing w:after="180" w:line="240" w:lineRule="auto"/>
      </w:pPr>
      <w:r w:rsidRPr="008924F1">
        <w:t>Florida State College at Jacksonville</w:t>
      </w:r>
    </w:p>
    <w:p w:rsidR="000A3C96" w:rsidRPr="008924F1" w:rsidRDefault="000A3C96" w:rsidP="00092FF6">
      <w:pPr>
        <w:pStyle w:val="NCDBodyText"/>
        <w:spacing w:after="180" w:line="240" w:lineRule="auto"/>
      </w:pPr>
      <w:r w:rsidRPr="008924F1">
        <w:t>Georgia State University</w:t>
      </w:r>
    </w:p>
    <w:p w:rsidR="000A3C96" w:rsidRPr="008924F1" w:rsidRDefault="000A3C96" w:rsidP="00092FF6">
      <w:pPr>
        <w:pStyle w:val="NCDBodyText"/>
        <w:spacing w:after="180" w:line="240" w:lineRule="auto"/>
      </w:pPr>
      <w:r w:rsidRPr="008924F1">
        <w:t>Georgia State University (consortium)</w:t>
      </w:r>
    </w:p>
    <w:p w:rsidR="000A3C96" w:rsidRPr="008924F1" w:rsidRDefault="000A3C96" w:rsidP="00092FF6">
      <w:pPr>
        <w:pStyle w:val="NCDBodyText"/>
        <w:spacing w:after="180" w:line="240" w:lineRule="auto"/>
      </w:pPr>
      <w:r w:rsidRPr="008924F1">
        <w:t>Highline College</w:t>
      </w:r>
    </w:p>
    <w:p w:rsidR="000A3C96" w:rsidRPr="008924F1" w:rsidRDefault="000A3C96" w:rsidP="00092FF6">
      <w:pPr>
        <w:pStyle w:val="NCDBodyText"/>
        <w:spacing w:after="180" w:line="240" w:lineRule="auto"/>
      </w:pPr>
      <w:proofErr w:type="spellStart"/>
      <w:r w:rsidRPr="008924F1">
        <w:t>Hostos</w:t>
      </w:r>
      <w:proofErr w:type="spellEnd"/>
      <w:r w:rsidRPr="008924F1">
        <w:t xml:space="preserve"> Community College</w:t>
      </w:r>
    </w:p>
    <w:p w:rsidR="000A3C96" w:rsidRPr="008924F1" w:rsidRDefault="000A3C96" w:rsidP="00092FF6">
      <w:pPr>
        <w:pStyle w:val="NCDBodyText"/>
        <w:spacing w:after="180" w:line="240" w:lineRule="auto"/>
      </w:pPr>
      <w:r w:rsidRPr="008924F1">
        <w:t>Jacksonville State University</w:t>
      </w:r>
    </w:p>
    <w:p w:rsidR="000A3C96" w:rsidRPr="008924F1" w:rsidRDefault="000A3C96" w:rsidP="00092FF6">
      <w:pPr>
        <w:pStyle w:val="NCDBodyText"/>
        <w:spacing w:after="180" w:line="240" w:lineRule="auto"/>
      </w:pPr>
      <w:r w:rsidRPr="008924F1">
        <w:t>Kingsborough Community College</w:t>
      </w:r>
    </w:p>
    <w:p w:rsidR="000A3C96" w:rsidRPr="008924F1" w:rsidRDefault="000A3C96" w:rsidP="00092FF6">
      <w:pPr>
        <w:pStyle w:val="NCDBodyText"/>
        <w:spacing w:after="180" w:line="240" w:lineRule="auto"/>
      </w:pPr>
      <w:r w:rsidRPr="008924F1">
        <w:t>Lipscomb University</w:t>
      </w:r>
    </w:p>
    <w:p w:rsidR="000A3C96" w:rsidRPr="008924F1" w:rsidRDefault="000A3C96" w:rsidP="00092FF6">
      <w:pPr>
        <w:pStyle w:val="NCDBodyText"/>
        <w:spacing w:after="180" w:line="240" w:lineRule="auto"/>
      </w:pPr>
      <w:r w:rsidRPr="008924F1">
        <w:t>Marietta College</w:t>
      </w:r>
    </w:p>
    <w:p w:rsidR="000A3C96" w:rsidRPr="008924F1" w:rsidRDefault="000A3C96" w:rsidP="00092FF6">
      <w:pPr>
        <w:pStyle w:val="NCDBodyText"/>
        <w:spacing w:after="180" w:line="240" w:lineRule="auto"/>
      </w:pPr>
      <w:proofErr w:type="spellStart"/>
      <w:r w:rsidRPr="008924F1">
        <w:t>Mercyhurst</w:t>
      </w:r>
      <w:proofErr w:type="spellEnd"/>
      <w:r w:rsidRPr="008924F1">
        <w:t xml:space="preserve"> University</w:t>
      </w:r>
    </w:p>
    <w:p w:rsidR="000A3C96" w:rsidRPr="008924F1" w:rsidRDefault="000A3C96" w:rsidP="00092FF6">
      <w:pPr>
        <w:pStyle w:val="NCDBodyText"/>
        <w:spacing w:after="180" w:line="240" w:lineRule="auto"/>
      </w:pPr>
      <w:r w:rsidRPr="008924F1">
        <w:t>Millersville University</w:t>
      </w:r>
    </w:p>
    <w:p w:rsidR="000A3C96" w:rsidRPr="008924F1" w:rsidRDefault="000A3C96" w:rsidP="00092FF6">
      <w:pPr>
        <w:pStyle w:val="NCDBodyText"/>
        <w:spacing w:after="180" w:line="240" w:lineRule="auto"/>
      </w:pPr>
      <w:r w:rsidRPr="008924F1">
        <w:t>Minot State University</w:t>
      </w:r>
    </w:p>
    <w:p w:rsidR="000A3C96" w:rsidRPr="008924F1" w:rsidRDefault="000A3C96" w:rsidP="00092FF6">
      <w:pPr>
        <w:pStyle w:val="NCDBodyText"/>
        <w:spacing w:after="180" w:line="240" w:lineRule="auto"/>
      </w:pPr>
      <w:r w:rsidRPr="008924F1">
        <w:t>Ohio State University</w:t>
      </w:r>
    </w:p>
    <w:p w:rsidR="000A3C96" w:rsidRPr="008924F1" w:rsidRDefault="000A3C96" w:rsidP="00092FF6">
      <w:pPr>
        <w:pStyle w:val="NCDBodyText"/>
        <w:spacing w:after="180" w:line="240" w:lineRule="auto"/>
      </w:pPr>
      <w:r w:rsidRPr="008924F1">
        <w:lastRenderedPageBreak/>
        <w:t>Ohio State University (consortium)</w:t>
      </w:r>
    </w:p>
    <w:p w:rsidR="000A3C96" w:rsidRPr="008924F1" w:rsidRDefault="000A3C96" w:rsidP="00092FF6">
      <w:pPr>
        <w:pStyle w:val="NCDBodyText"/>
        <w:spacing w:after="180" w:line="240" w:lineRule="auto"/>
      </w:pPr>
      <w:r w:rsidRPr="008924F1">
        <w:t>Penn State Harrisburg</w:t>
      </w:r>
    </w:p>
    <w:p w:rsidR="000A3C96" w:rsidRPr="008924F1" w:rsidRDefault="000A3C96" w:rsidP="00092FF6">
      <w:pPr>
        <w:pStyle w:val="NCDBodyText"/>
        <w:spacing w:after="180" w:line="240" w:lineRule="auto"/>
      </w:pPr>
      <w:r w:rsidRPr="008924F1">
        <w:t>Pennsylvania Inclusive Higher Education Consortium</w:t>
      </w:r>
    </w:p>
    <w:p w:rsidR="000A3C96" w:rsidRPr="008924F1" w:rsidRDefault="000A3C96" w:rsidP="00092FF6">
      <w:pPr>
        <w:pStyle w:val="NCDBodyText"/>
        <w:spacing w:after="180" w:line="240" w:lineRule="auto"/>
      </w:pPr>
      <w:r w:rsidRPr="008924F1">
        <w:t>Portland State University</w:t>
      </w:r>
    </w:p>
    <w:p w:rsidR="000A3C96" w:rsidRPr="008924F1" w:rsidRDefault="000A3C96" w:rsidP="00092FF6">
      <w:pPr>
        <w:pStyle w:val="NCDBodyText"/>
        <w:spacing w:after="180" w:line="240" w:lineRule="auto"/>
      </w:pPr>
      <w:r w:rsidRPr="008924F1">
        <w:t>Queens College</w:t>
      </w:r>
    </w:p>
    <w:p w:rsidR="000A3C96" w:rsidRPr="008924F1" w:rsidRDefault="000A3C96" w:rsidP="00092FF6">
      <w:pPr>
        <w:pStyle w:val="NCDBodyText"/>
        <w:spacing w:after="180" w:line="240" w:lineRule="auto"/>
      </w:pPr>
      <w:r w:rsidRPr="008924F1">
        <w:t>Rhode Island College</w:t>
      </w:r>
    </w:p>
    <w:p w:rsidR="000A3C96" w:rsidRPr="008924F1" w:rsidRDefault="000A3C96" w:rsidP="00092FF6">
      <w:pPr>
        <w:pStyle w:val="NCDBodyText"/>
        <w:spacing w:after="180" w:line="240" w:lineRule="auto"/>
      </w:pPr>
      <w:r w:rsidRPr="008924F1">
        <w:t>Spokane Community College</w:t>
      </w:r>
    </w:p>
    <w:p w:rsidR="000A3C96" w:rsidRPr="008924F1" w:rsidRDefault="000A3C96" w:rsidP="00092FF6">
      <w:pPr>
        <w:pStyle w:val="NCDBodyText"/>
        <w:spacing w:after="180" w:line="240" w:lineRule="auto"/>
      </w:pPr>
      <w:r w:rsidRPr="008924F1">
        <w:t>Syracuse University</w:t>
      </w:r>
    </w:p>
    <w:p w:rsidR="000A3C96" w:rsidRPr="008924F1" w:rsidRDefault="000A3C96" w:rsidP="00092FF6">
      <w:pPr>
        <w:pStyle w:val="NCDBodyText"/>
        <w:spacing w:after="180" w:line="240" w:lineRule="auto"/>
      </w:pPr>
      <w:r w:rsidRPr="008924F1">
        <w:t>The College of New Jersey (partner site)</w:t>
      </w:r>
    </w:p>
    <w:p w:rsidR="000A3C96" w:rsidRPr="008924F1" w:rsidRDefault="000A3C96" w:rsidP="00092FF6">
      <w:pPr>
        <w:pStyle w:val="NCDBodyText"/>
        <w:spacing w:after="180" w:line="240" w:lineRule="auto"/>
      </w:pPr>
      <w:r w:rsidRPr="008924F1">
        <w:t>University of Alabama</w:t>
      </w:r>
    </w:p>
    <w:p w:rsidR="000A3C96" w:rsidRPr="008924F1" w:rsidRDefault="000A3C96" w:rsidP="00092FF6">
      <w:pPr>
        <w:pStyle w:val="NCDBodyText"/>
        <w:spacing w:after="180" w:line="240" w:lineRule="auto"/>
      </w:pPr>
      <w:r w:rsidRPr="008924F1">
        <w:t>University of Central Florida</w:t>
      </w:r>
    </w:p>
    <w:p w:rsidR="000A3C96" w:rsidRPr="008924F1" w:rsidRDefault="000A3C96" w:rsidP="00092FF6">
      <w:pPr>
        <w:pStyle w:val="NCDBodyText"/>
        <w:spacing w:after="180" w:line="240" w:lineRule="auto"/>
      </w:pPr>
      <w:r w:rsidRPr="008924F1">
        <w:t>University of Central Florida (consortium)</w:t>
      </w:r>
    </w:p>
    <w:p w:rsidR="000A3C96" w:rsidRPr="008924F1" w:rsidRDefault="000A3C96" w:rsidP="00092FF6">
      <w:pPr>
        <w:pStyle w:val="NCDBodyText"/>
        <w:spacing w:after="180" w:line="240" w:lineRule="auto"/>
      </w:pPr>
      <w:r w:rsidRPr="008924F1">
        <w:t>University of Cincinnati</w:t>
      </w:r>
    </w:p>
    <w:p w:rsidR="000A3C96" w:rsidRPr="008924F1" w:rsidRDefault="000A3C96" w:rsidP="00092FF6">
      <w:pPr>
        <w:pStyle w:val="NCDBodyText"/>
        <w:spacing w:after="180" w:line="240" w:lineRule="auto"/>
      </w:pPr>
      <w:r w:rsidRPr="008924F1">
        <w:t>University of Georgia</w:t>
      </w:r>
    </w:p>
    <w:p w:rsidR="000A3C96" w:rsidRPr="008924F1" w:rsidRDefault="000A3C96" w:rsidP="00092FF6">
      <w:pPr>
        <w:pStyle w:val="NCDBodyText"/>
        <w:spacing w:after="180" w:line="240" w:lineRule="auto"/>
      </w:pPr>
      <w:r w:rsidRPr="008924F1">
        <w:t>University of Hawaii</w:t>
      </w:r>
    </w:p>
    <w:p w:rsidR="000A3C96" w:rsidRPr="008924F1" w:rsidRDefault="000A3C96" w:rsidP="00092FF6">
      <w:pPr>
        <w:pStyle w:val="NCDBodyText"/>
        <w:spacing w:after="180" w:line="240" w:lineRule="auto"/>
      </w:pPr>
      <w:r w:rsidRPr="008924F1">
        <w:t>University of Kansas</w:t>
      </w:r>
    </w:p>
    <w:p w:rsidR="000A3C96" w:rsidRPr="008924F1" w:rsidRDefault="000A3C96" w:rsidP="00092FF6">
      <w:pPr>
        <w:pStyle w:val="NCDBodyText"/>
        <w:spacing w:after="180" w:line="240" w:lineRule="auto"/>
      </w:pPr>
      <w:r w:rsidRPr="008924F1">
        <w:t>University of Memphis</w:t>
      </w:r>
    </w:p>
    <w:p w:rsidR="000A3C96" w:rsidRPr="008924F1" w:rsidRDefault="000A3C96" w:rsidP="00092FF6">
      <w:pPr>
        <w:pStyle w:val="NCDBodyText"/>
        <w:spacing w:after="180" w:line="240" w:lineRule="auto"/>
      </w:pPr>
      <w:r w:rsidRPr="008924F1">
        <w:t>University of Missouri Kansas City</w:t>
      </w:r>
    </w:p>
    <w:p w:rsidR="000A3C96" w:rsidRPr="008924F1" w:rsidRDefault="000A3C96" w:rsidP="00092FF6">
      <w:pPr>
        <w:pStyle w:val="NCDBodyText"/>
        <w:spacing w:after="180" w:line="240" w:lineRule="auto"/>
      </w:pPr>
      <w:r w:rsidRPr="008924F1">
        <w:t>University of Rochester (consortium)</w:t>
      </w:r>
    </w:p>
    <w:p w:rsidR="000A3C96" w:rsidRPr="008924F1" w:rsidRDefault="000A3C96" w:rsidP="00092FF6">
      <w:pPr>
        <w:pStyle w:val="NCDBodyText"/>
        <w:spacing w:after="180" w:line="240" w:lineRule="auto"/>
      </w:pPr>
      <w:r w:rsidRPr="008924F1">
        <w:t>University of South Alabama</w:t>
      </w:r>
    </w:p>
    <w:p w:rsidR="000A3C96" w:rsidRPr="008924F1" w:rsidRDefault="000A3C96" w:rsidP="00092FF6">
      <w:pPr>
        <w:pStyle w:val="NCDBodyText"/>
        <w:spacing w:after="180" w:line="240" w:lineRule="auto"/>
      </w:pPr>
      <w:r w:rsidRPr="008924F1">
        <w:t>University of South Florida</w:t>
      </w:r>
    </w:p>
    <w:p w:rsidR="000A3C96" w:rsidRPr="008924F1" w:rsidRDefault="000A3C96" w:rsidP="00092FF6">
      <w:pPr>
        <w:pStyle w:val="NCDBodyText"/>
        <w:spacing w:after="180" w:line="240" w:lineRule="auto"/>
      </w:pPr>
      <w:r w:rsidRPr="008924F1">
        <w:t>University of Toledo</w:t>
      </w:r>
    </w:p>
    <w:p w:rsidR="000A3C96" w:rsidRPr="008924F1" w:rsidRDefault="000A3C96" w:rsidP="00092FF6">
      <w:pPr>
        <w:pStyle w:val="NCDBodyText"/>
        <w:spacing w:after="180" w:line="240" w:lineRule="auto"/>
      </w:pPr>
      <w:r w:rsidRPr="008924F1">
        <w:t>University of West Georgia</w:t>
      </w:r>
    </w:p>
    <w:p w:rsidR="000A3C96" w:rsidRPr="008924F1" w:rsidRDefault="000A3C96" w:rsidP="00092FF6">
      <w:pPr>
        <w:pStyle w:val="NCDBodyText"/>
        <w:spacing w:after="180" w:line="240" w:lineRule="auto"/>
      </w:pPr>
      <w:r w:rsidRPr="008924F1">
        <w:t>Utah State University</w:t>
      </w:r>
    </w:p>
    <w:p w:rsidR="000A3C96" w:rsidRPr="008924F1" w:rsidRDefault="000A3C96" w:rsidP="00092FF6">
      <w:pPr>
        <w:pStyle w:val="NCDBodyText"/>
        <w:spacing w:after="180" w:line="240" w:lineRule="auto"/>
      </w:pPr>
      <w:r w:rsidRPr="008924F1">
        <w:t>Vanderbilt University</w:t>
      </w:r>
    </w:p>
    <w:p w:rsidR="00C00E23" w:rsidRDefault="000A3C96" w:rsidP="008924F1">
      <w:pPr>
        <w:pStyle w:val="NCDBodyText"/>
        <w:spacing w:line="240" w:lineRule="auto"/>
        <w:rPr>
          <w:rStyle w:val="Hyperlink"/>
        </w:rPr>
      </w:pPr>
      <w:r w:rsidRPr="008924F1">
        <w:t xml:space="preserve">*Source: More information about TPSID programs can be found at </w:t>
      </w:r>
      <w:hyperlink r:id="rId35" w:history="1">
        <w:r w:rsidR="00E36A65" w:rsidRPr="00215328">
          <w:rPr>
            <w:rStyle w:val="Hyperlink"/>
          </w:rPr>
          <w:t>http://www.think</w:t>
        </w:r>
        <w:r w:rsidR="00E36A65" w:rsidRPr="00215328">
          <w:rPr>
            <w:rStyle w:val="Hyperlink"/>
          </w:rPr>
          <w:br/>
          <w:t>college.net/</w:t>
        </w:r>
      </w:hyperlink>
      <w:r w:rsidRPr="008924F1">
        <w:t xml:space="preserve">. The list of Institutes was retrieved from </w:t>
      </w:r>
      <w:hyperlink r:id="rId36" w:history="1">
        <w:r w:rsidR="00EB06A8" w:rsidRPr="00215328">
          <w:rPr>
            <w:rStyle w:val="Hyperlink"/>
          </w:rPr>
          <w:t>http://www.thinkcollege.net/images/</w:t>
        </w:r>
        <w:r w:rsidR="00EB06A8" w:rsidRPr="00215328">
          <w:rPr>
            <w:rStyle w:val="Hyperlink"/>
          </w:rPr>
          <w:br/>
          <w:t>stories/Cohort_2_TPSID.pdf</w:t>
        </w:r>
      </w:hyperlink>
    </w:p>
    <w:p w:rsidR="00C00E23" w:rsidRDefault="00C00E23">
      <w:pPr>
        <w:rPr>
          <w:rStyle w:val="Hyperlink"/>
          <w:rFonts w:eastAsia="Calibri" w:cs="Calibri"/>
          <w:szCs w:val="24"/>
          <w:u w:color="000000"/>
          <w:bdr w:val="nil"/>
        </w:rPr>
      </w:pPr>
      <w:r>
        <w:rPr>
          <w:rStyle w:val="Hyperlink"/>
        </w:rPr>
        <w:br w:type="page"/>
      </w:r>
    </w:p>
    <w:p w:rsidR="00C00E23" w:rsidRDefault="00C00E23" w:rsidP="00C00E23">
      <w:pPr>
        <w:pStyle w:val="Heading1"/>
      </w:pPr>
      <w:bookmarkStart w:id="181" w:name="_Toc493596727"/>
      <w:r>
        <w:lastRenderedPageBreak/>
        <w:t>Endnotes</w:t>
      </w:r>
      <w:bookmarkEnd w:id="181"/>
    </w:p>
    <w:sectPr w:rsidR="00C00E23" w:rsidSect="00C1060C">
      <w:footerReference w:type="default" r:id="rId37"/>
      <w:endnotePr>
        <w:numFmt w:val="decimal"/>
      </w:endnotePr>
      <w:pgSz w:w="12240" w:h="15840" w:code="1"/>
      <w:pgMar w:top="1440" w:right="1440" w:bottom="1440" w:left="1440" w:header="720" w:footer="72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7C2" w:rsidRDefault="00CC27C2" w:rsidP="00445A92">
      <w:pPr>
        <w:spacing w:after="0" w:line="240" w:lineRule="auto"/>
      </w:pPr>
      <w:r>
        <w:separator/>
      </w:r>
    </w:p>
  </w:endnote>
  <w:endnote w:type="continuationSeparator" w:id="0">
    <w:p w:rsidR="00CC27C2" w:rsidRDefault="00CC27C2" w:rsidP="00445A92">
      <w:pPr>
        <w:spacing w:after="0" w:line="240" w:lineRule="auto"/>
      </w:pPr>
      <w:r>
        <w:continuationSeparator/>
      </w:r>
    </w:p>
  </w:endnote>
  <w:endnote w:id="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Peiyun</w:t>
      </w:r>
      <w:proofErr w:type="spellEnd"/>
      <w:r w:rsidRPr="008C6F97">
        <w:rPr>
          <w:rFonts w:cs="Arial"/>
          <w:szCs w:val="24"/>
        </w:rPr>
        <w:t>, She, and Gina A. Livermore.</w:t>
      </w:r>
      <w:proofErr w:type="gramEnd"/>
      <w:r w:rsidRPr="008C6F97">
        <w:rPr>
          <w:rFonts w:cs="Arial"/>
          <w:szCs w:val="24"/>
        </w:rPr>
        <w:t xml:space="preserve"> 2008. “Long-Term Poverty and Disability </w:t>
      </w:r>
      <w:proofErr w:type="gramStart"/>
      <w:r w:rsidRPr="008C6F97">
        <w:rPr>
          <w:rFonts w:cs="Arial"/>
          <w:szCs w:val="24"/>
        </w:rPr>
        <w:t>Among</w:t>
      </w:r>
      <w:proofErr w:type="gramEnd"/>
      <w:r w:rsidRPr="008C6F97">
        <w:rPr>
          <w:rFonts w:cs="Arial"/>
          <w:szCs w:val="24"/>
        </w:rPr>
        <w:t xml:space="preserve"> Working-Age Adults.” </w:t>
      </w:r>
      <w:r w:rsidRPr="008C6F97">
        <w:rPr>
          <w:rFonts w:cs="Arial"/>
          <w:i/>
          <w:szCs w:val="24"/>
        </w:rPr>
        <w:t>Journal of Disability Policy Studies</w:t>
      </w:r>
      <w:r w:rsidRPr="008C6F97">
        <w:rPr>
          <w:rFonts w:cs="Arial"/>
          <w:szCs w:val="24"/>
        </w:rPr>
        <w:t xml:space="preserve"> 19(4): 244–256. </w:t>
      </w:r>
      <w:hyperlink r:id="rId1" w:tooltip="http://journals.sagepub.com/doi/abs/10.1177/1044207308314954" w:history="1">
        <w:r w:rsidRPr="008C6F97">
          <w:rPr>
            <w:rStyle w:val="Hyperlink"/>
            <w:rFonts w:cs="Arial"/>
            <w:szCs w:val="24"/>
          </w:rPr>
          <w:t>http://journals.sagepub.com/doi/abs/10.1177/1044207308314954</w:t>
        </w:r>
      </w:hyperlink>
    </w:p>
  </w:endnote>
  <w:endnote w:id="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Brucker</w:t>
      </w:r>
      <w:proofErr w:type="spellEnd"/>
      <w:r w:rsidRPr="008C6F97">
        <w:rPr>
          <w:rFonts w:cs="Arial"/>
          <w:szCs w:val="24"/>
        </w:rPr>
        <w:t xml:space="preserve">, Debra L., Andrew J. </w:t>
      </w:r>
      <w:proofErr w:type="spellStart"/>
      <w:r w:rsidRPr="008C6F97">
        <w:rPr>
          <w:rFonts w:cs="Arial"/>
          <w:szCs w:val="24"/>
        </w:rPr>
        <w:t>Houtenville</w:t>
      </w:r>
      <w:proofErr w:type="spellEnd"/>
      <w:r w:rsidRPr="008C6F97">
        <w:rPr>
          <w:rFonts w:cs="Arial"/>
          <w:szCs w:val="24"/>
        </w:rPr>
        <w:t>, and Eric A. Lauer.</w:t>
      </w:r>
      <w:proofErr w:type="gramEnd"/>
      <w:r w:rsidRPr="008C6F97">
        <w:rPr>
          <w:rFonts w:cs="Arial"/>
          <w:szCs w:val="24"/>
        </w:rPr>
        <w:t xml:space="preserve"> 2016. “Using Sensory, </w:t>
      </w:r>
      <w:proofErr w:type="gramStart"/>
      <w:r w:rsidRPr="008C6F97">
        <w:rPr>
          <w:rFonts w:cs="Arial"/>
          <w:szCs w:val="24"/>
        </w:rPr>
        <w:t>Functional,</w:t>
      </w:r>
      <w:proofErr w:type="gramEnd"/>
      <w:r w:rsidRPr="008C6F97">
        <w:rPr>
          <w:rFonts w:cs="Arial"/>
          <w:szCs w:val="24"/>
        </w:rPr>
        <w:t xml:space="preserve"> and Activity Limitation Data to Estimate Employment Outcomes for Working-Age Persons with Disabilities in the United States.” </w:t>
      </w:r>
      <w:r w:rsidRPr="008C6F97">
        <w:rPr>
          <w:rFonts w:cs="Arial"/>
          <w:i/>
          <w:szCs w:val="24"/>
        </w:rPr>
        <w:t>Journal of Disability Policy Studies</w:t>
      </w:r>
      <w:r w:rsidRPr="008C6F97">
        <w:rPr>
          <w:rFonts w:cs="Arial"/>
          <w:szCs w:val="24"/>
        </w:rPr>
        <w:t xml:space="preserve"> 27(3): 131–137.</w:t>
      </w:r>
    </w:p>
  </w:endnote>
  <w:endnote w:id="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Peiyun</w:t>
      </w:r>
      <w:proofErr w:type="spellEnd"/>
      <w:r w:rsidRPr="008C6F97">
        <w:rPr>
          <w:rFonts w:cs="Arial"/>
          <w:szCs w:val="24"/>
        </w:rPr>
        <w:t xml:space="preserve"> and Livermore, “Long-Term Poverty and Disability.”</w:t>
      </w:r>
      <w:proofErr w:type="gramEnd"/>
    </w:p>
  </w:endnote>
  <w:endnote w:id="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Lustig</w:t>
      </w:r>
      <w:proofErr w:type="spellEnd"/>
      <w:r w:rsidRPr="008C6F97">
        <w:rPr>
          <w:rFonts w:cs="Arial"/>
          <w:szCs w:val="24"/>
        </w:rPr>
        <w:t xml:space="preserve">, Daniel C., and David R. </w:t>
      </w:r>
      <w:proofErr w:type="spellStart"/>
      <w:r w:rsidRPr="008C6F97">
        <w:rPr>
          <w:rFonts w:cs="Arial"/>
          <w:szCs w:val="24"/>
        </w:rPr>
        <w:t>Strauser</w:t>
      </w:r>
      <w:proofErr w:type="spellEnd"/>
      <w:r w:rsidRPr="008C6F97">
        <w:rPr>
          <w:rFonts w:cs="Arial"/>
          <w:szCs w:val="24"/>
        </w:rPr>
        <w:t>.</w:t>
      </w:r>
      <w:proofErr w:type="gramEnd"/>
      <w:r w:rsidRPr="008C6F97">
        <w:rPr>
          <w:rFonts w:cs="Arial"/>
          <w:szCs w:val="24"/>
        </w:rPr>
        <w:t xml:space="preserve"> 2007. “Causal Relationships </w:t>
      </w:r>
      <w:proofErr w:type="gramStart"/>
      <w:r w:rsidRPr="008C6F97">
        <w:rPr>
          <w:rFonts w:cs="Arial"/>
          <w:szCs w:val="24"/>
        </w:rPr>
        <w:t>Between</w:t>
      </w:r>
      <w:proofErr w:type="gramEnd"/>
      <w:r w:rsidRPr="008C6F97">
        <w:rPr>
          <w:rFonts w:cs="Arial"/>
          <w:szCs w:val="24"/>
        </w:rPr>
        <w:t xml:space="preserve"> Poverty and Disability.” </w:t>
      </w:r>
      <w:r w:rsidRPr="008C6F97">
        <w:rPr>
          <w:rFonts w:cs="Arial"/>
          <w:i/>
          <w:szCs w:val="24"/>
        </w:rPr>
        <w:t>Rehabilitation Counseling Bulletin</w:t>
      </w:r>
      <w:r w:rsidRPr="008C6F97">
        <w:rPr>
          <w:rFonts w:cs="Arial"/>
          <w:szCs w:val="24"/>
        </w:rPr>
        <w:t xml:space="preserve"> 50(4): 194–202. </w:t>
      </w:r>
      <w:hyperlink r:id="rId2" w:tooltip="http://journals.sagepub.com/doi/abs/10.1177/00343552070500040101" w:history="1">
        <w:r w:rsidRPr="008C6F97">
          <w:rPr>
            <w:rStyle w:val="Hyperlink"/>
            <w:rFonts w:cs="Arial"/>
            <w:szCs w:val="24"/>
          </w:rPr>
          <w:t>http://journals.sagepub.com/doi/abs/10.1177/00343552070500040101</w:t>
        </w:r>
      </w:hyperlink>
      <w:r w:rsidRPr="008C6F97">
        <w:rPr>
          <w:rFonts w:cs="Arial"/>
          <w:szCs w:val="24"/>
        </w:rPr>
        <w:t>.</w:t>
      </w:r>
    </w:p>
  </w:endnote>
  <w:endnote w:id="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Senate Committee on Health, Education, Labor, &amp; Pensions.</w:t>
      </w:r>
      <w:proofErr w:type="gramEnd"/>
      <w:r w:rsidRPr="008C6F97">
        <w:rPr>
          <w:rFonts w:cs="Arial"/>
          <w:szCs w:val="24"/>
        </w:rPr>
        <w:t xml:space="preserve"> 2014. </w:t>
      </w:r>
      <w:r w:rsidRPr="008C6F97">
        <w:rPr>
          <w:rFonts w:cs="Arial"/>
          <w:i/>
          <w:szCs w:val="24"/>
        </w:rPr>
        <w:t>Fulfilling the Promise: Overcoming Persistent Barriers to Economic Self-Sufficiency for People with Disabilities.</w:t>
      </w:r>
      <w:r w:rsidRPr="008C6F97">
        <w:rPr>
          <w:rFonts w:cs="Arial"/>
          <w:szCs w:val="24"/>
        </w:rPr>
        <w:t xml:space="preserve"> Washington, DC: U.S. Senate HELP Committee. </w:t>
      </w:r>
      <w:hyperlink r:id="rId3" w:tooltip="https://www.help.senate.gov/imo/media/doc/HELP%20Committee%20Disability%20and%20Poverty%20Report.pdf" w:history="1">
        <w:r w:rsidRPr="00A9230D">
          <w:rPr>
            <w:rStyle w:val="Hyperlink"/>
            <w:rFonts w:cs="Arial"/>
            <w:szCs w:val="24"/>
          </w:rPr>
          <w:t>https://www.help.senate.gov/imo/media/doc/HELP%20Committee%20Disability%20and%20Poverty%20Report.pdf</w:t>
        </w:r>
      </w:hyperlink>
      <w:r w:rsidRPr="00A9230D">
        <w:rPr>
          <w:rFonts w:cs="Arial"/>
          <w:color w:val="0000FF"/>
          <w:szCs w:val="24"/>
        </w:rPr>
        <w:t>.</w:t>
      </w:r>
    </w:p>
  </w:endnote>
  <w:endnote w:id="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Sanford, Christopher, et al. 2011. </w:t>
      </w:r>
      <w:r w:rsidRPr="008C6F97">
        <w:rPr>
          <w:rFonts w:cs="Arial"/>
          <w:i/>
          <w:szCs w:val="24"/>
        </w:rPr>
        <w:t>The Post-High School Outcomes of Young Adults with Disabilities up to 6 Years after High School: Key Findings from the National Longitudinal Transition Study-2 (NTLS2) (NCSER 2011-3004).</w:t>
      </w:r>
      <w:r w:rsidRPr="008C6F97">
        <w:rPr>
          <w:rFonts w:cs="Arial"/>
          <w:szCs w:val="24"/>
        </w:rPr>
        <w:t xml:space="preserve"> Menlo Park, CA: SRI International.</w:t>
      </w:r>
    </w:p>
  </w:endnote>
  <w:endnote w:id="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Carnevale</w:t>
      </w:r>
      <w:proofErr w:type="spellEnd"/>
      <w:r w:rsidRPr="008C6F97">
        <w:rPr>
          <w:rFonts w:cs="Arial"/>
          <w:szCs w:val="24"/>
        </w:rPr>
        <w:t>, Anthony P., and Richard A. Fry.</w:t>
      </w:r>
      <w:proofErr w:type="gramEnd"/>
      <w:r w:rsidRPr="008C6F97">
        <w:rPr>
          <w:rFonts w:cs="Arial"/>
          <w:szCs w:val="24"/>
        </w:rPr>
        <w:t xml:space="preserve"> 2000. </w:t>
      </w:r>
      <w:r w:rsidRPr="008C6F97">
        <w:rPr>
          <w:rFonts w:cs="Arial"/>
          <w:i/>
          <w:szCs w:val="24"/>
        </w:rPr>
        <w:t>Crossing the Great Divide: Can We Achieve Equity When Generation Y Goes to College?</w:t>
      </w:r>
      <w:r w:rsidRPr="008C6F97">
        <w:rPr>
          <w:rFonts w:cs="Arial"/>
          <w:szCs w:val="24"/>
        </w:rPr>
        <w:t xml:space="preserve"> Princeton, NJ: Educational Testing Service.</w:t>
      </w:r>
    </w:p>
  </w:endnote>
  <w:endnote w:id="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Sanford et al., </w:t>
      </w:r>
      <w:r w:rsidRPr="008C6F97">
        <w:rPr>
          <w:rFonts w:cs="Arial"/>
          <w:i/>
          <w:szCs w:val="24"/>
        </w:rPr>
        <w:t>Post-High School Outcomes.</w:t>
      </w:r>
      <w:proofErr w:type="gramEnd"/>
    </w:p>
  </w:endnote>
  <w:endnote w:id="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Ibid.</w:t>
      </w:r>
    </w:p>
  </w:endnote>
  <w:endnote w:id="1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Yin, Michelle, and Dahlia </w:t>
      </w:r>
      <w:proofErr w:type="spellStart"/>
      <w:r w:rsidRPr="008C6F97">
        <w:rPr>
          <w:rFonts w:cs="Arial"/>
          <w:szCs w:val="24"/>
        </w:rPr>
        <w:t>Shaewitz</w:t>
      </w:r>
      <w:proofErr w:type="spellEnd"/>
      <w:r w:rsidRPr="008C6F97">
        <w:rPr>
          <w:rFonts w:cs="Arial"/>
          <w:szCs w:val="24"/>
        </w:rPr>
        <w:t>.</w:t>
      </w:r>
      <w:proofErr w:type="gramEnd"/>
      <w:r w:rsidRPr="008C6F97">
        <w:rPr>
          <w:rFonts w:cs="Arial"/>
          <w:szCs w:val="24"/>
        </w:rPr>
        <w:t xml:space="preserve"> 2015. </w:t>
      </w:r>
      <w:r w:rsidRPr="008C6F97">
        <w:rPr>
          <w:rFonts w:cs="Arial"/>
          <w:i/>
          <w:szCs w:val="24"/>
        </w:rPr>
        <w:t>One Size Does Not Fit All: A New Look at the Labor Force Participation of People with Disabilities.</w:t>
      </w:r>
      <w:r w:rsidRPr="008C6F97">
        <w:rPr>
          <w:rFonts w:cs="Arial"/>
          <w:szCs w:val="24"/>
        </w:rPr>
        <w:t xml:space="preserve"> Washington, DC: American Institutes for Research. </w:t>
      </w:r>
      <w:hyperlink r:id="rId4" w:tooltip="http://www.air.org/sites/default/files/downloads/report/Labor-Force-Participation-People-with-Disabilities-Yin-Sept-2015.pdf" w:history="1">
        <w:r w:rsidRPr="008C6F97">
          <w:rPr>
            <w:rStyle w:val="Hyperlink"/>
            <w:rFonts w:cs="Arial"/>
            <w:szCs w:val="24"/>
          </w:rPr>
          <w:t>http://www.air.org/sites/default/files/downloads/report/Labor-Force-Participation-People-with-Disabilities-Yin-Sept-2015.pdf</w:t>
        </w:r>
      </w:hyperlink>
      <w:r w:rsidRPr="008C6F97">
        <w:rPr>
          <w:rFonts w:cs="Arial"/>
          <w:szCs w:val="24"/>
        </w:rPr>
        <w:t>.</w:t>
      </w:r>
    </w:p>
  </w:endnote>
  <w:endnote w:id="1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Houtenville</w:t>
      </w:r>
      <w:proofErr w:type="spellEnd"/>
      <w:r w:rsidRPr="008C6F97">
        <w:rPr>
          <w:rFonts w:cs="Arial"/>
          <w:szCs w:val="24"/>
        </w:rPr>
        <w:t xml:space="preserve">, Andrew J., and Debra L. </w:t>
      </w:r>
      <w:proofErr w:type="spellStart"/>
      <w:r w:rsidRPr="008C6F97">
        <w:rPr>
          <w:rFonts w:cs="Arial"/>
          <w:szCs w:val="24"/>
        </w:rPr>
        <w:t>Brucker</w:t>
      </w:r>
      <w:proofErr w:type="spellEnd"/>
      <w:r w:rsidRPr="008C6F97">
        <w:rPr>
          <w:rFonts w:cs="Arial"/>
          <w:szCs w:val="24"/>
        </w:rPr>
        <w:t>.</w:t>
      </w:r>
      <w:proofErr w:type="gramEnd"/>
      <w:r w:rsidRPr="008C6F97">
        <w:rPr>
          <w:rFonts w:cs="Arial"/>
          <w:szCs w:val="24"/>
        </w:rPr>
        <w:t xml:space="preserve"> 2014. “Participation in Safety-Net Programs and the Utilization of Employment Services </w:t>
      </w:r>
      <w:proofErr w:type="gramStart"/>
      <w:r w:rsidRPr="008C6F97">
        <w:rPr>
          <w:rFonts w:cs="Arial"/>
          <w:szCs w:val="24"/>
        </w:rPr>
        <w:t>Among</w:t>
      </w:r>
      <w:proofErr w:type="gramEnd"/>
      <w:r w:rsidRPr="008C6F97">
        <w:rPr>
          <w:rFonts w:cs="Arial"/>
          <w:szCs w:val="24"/>
        </w:rPr>
        <w:t xml:space="preserve"> Working-Age Persons with Disabilities.” </w:t>
      </w:r>
      <w:r w:rsidRPr="008C6F97">
        <w:rPr>
          <w:rFonts w:cs="Arial"/>
          <w:i/>
          <w:szCs w:val="24"/>
        </w:rPr>
        <w:t>Journal of Disability Policy Studies</w:t>
      </w:r>
      <w:r w:rsidRPr="008C6F97">
        <w:rPr>
          <w:rFonts w:cs="Arial"/>
          <w:szCs w:val="24"/>
        </w:rPr>
        <w:t xml:space="preserve"> 25(2): 91–105.</w:t>
      </w:r>
    </w:p>
  </w:endnote>
  <w:endnote w:id="1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Houtenville</w:t>
      </w:r>
      <w:proofErr w:type="spellEnd"/>
      <w:r w:rsidRPr="008C6F97">
        <w:rPr>
          <w:rFonts w:cs="Arial"/>
          <w:szCs w:val="24"/>
        </w:rPr>
        <w:t xml:space="preserve"> and </w:t>
      </w:r>
      <w:proofErr w:type="spellStart"/>
      <w:r w:rsidRPr="008C6F97">
        <w:rPr>
          <w:rFonts w:cs="Arial"/>
          <w:szCs w:val="24"/>
        </w:rPr>
        <w:t>Brucker</w:t>
      </w:r>
      <w:proofErr w:type="spellEnd"/>
      <w:r w:rsidRPr="008C6F97">
        <w:rPr>
          <w:rFonts w:cs="Arial"/>
          <w:szCs w:val="24"/>
        </w:rPr>
        <w:t>, “Participation in Safety-Net Programs”; Goodman, Nanette, and Michael Morris.</w:t>
      </w:r>
      <w:proofErr w:type="gramEnd"/>
      <w:r w:rsidRPr="008C6F97">
        <w:rPr>
          <w:rFonts w:cs="Arial"/>
          <w:szCs w:val="24"/>
        </w:rPr>
        <w:t xml:space="preserve"> 2015. </w:t>
      </w:r>
      <w:r w:rsidRPr="008C6F97">
        <w:rPr>
          <w:rFonts w:cs="Arial"/>
          <w:i/>
          <w:szCs w:val="24"/>
        </w:rPr>
        <w:t>Financing Transition Services When Everyone Is the “Payer of Last Resort.”</w:t>
      </w:r>
      <w:r w:rsidRPr="008C6F97">
        <w:rPr>
          <w:rFonts w:cs="Arial"/>
          <w:szCs w:val="24"/>
        </w:rPr>
        <w:t xml:space="preserve"> Durham, NC:</w:t>
      </w:r>
      <w:r w:rsidRPr="008C6F97">
        <w:rPr>
          <w:rFonts w:cs="Arial"/>
          <w:b/>
          <w:szCs w:val="24"/>
        </w:rPr>
        <w:t xml:space="preserve"> </w:t>
      </w:r>
      <w:r w:rsidRPr="008C6F97">
        <w:rPr>
          <w:rFonts w:cs="Arial"/>
          <w:szCs w:val="24"/>
        </w:rPr>
        <w:t>Employment Policy and Measurement Rehabilitation Research and Training Center.</w:t>
      </w:r>
    </w:p>
  </w:endnote>
  <w:endnote w:id="1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Census Bureau.</w:t>
      </w:r>
      <w:proofErr w:type="gramEnd"/>
      <w:r w:rsidRPr="008C6F97">
        <w:rPr>
          <w:rFonts w:cs="Arial"/>
          <w:szCs w:val="24"/>
        </w:rPr>
        <w:t xml:space="preserve"> 2014. “Measuring America: How Census Measures Poverty.” </w:t>
      </w:r>
      <w:hyperlink r:id="rId5" w:tooltip="https://www.census.gov/library/visualizations/2014/demo/poverty_measure-how.html" w:history="1">
        <w:r w:rsidRPr="008C6F97">
          <w:rPr>
            <w:rStyle w:val="Hyperlink"/>
            <w:rFonts w:cs="Arial"/>
            <w:szCs w:val="24"/>
          </w:rPr>
          <w:t>https://www.census.gov/library/visualizations/2014/demo/poverty_measure-how.html</w:t>
        </w:r>
      </w:hyperlink>
      <w:r w:rsidRPr="008C6F97">
        <w:rPr>
          <w:rFonts w:cs="Arial"/>
          <w:szCs w:val="24"/>
        </w:rPr>
        <w:t xml:space="preserve">. </w:t>
      </w:r>
      <w:proofErr w:type="gramStart"/>
      <w:r w:rsidRPr="008C6F97">
        <w:rPr>
          <w:rFonts w:cs="Arial"/>
          <w:szCs w:val="24"/>
        </w:rPr>
        <w:t>(Accessed March 26, 2017.)</w:t>
      </w:r>
      <w:proofErr w:type="gramEnd"/>
    </w:p>
  </w:endnote>
  <w:endnote w:id="1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Office of the Assistant Secretary for Planning and Evaluation.</w:t>
      </w:r>
      <w:proofErr w:type="gramEnd"/>
      <w:r w:rsidRPr="008C6F97">
        <w:rPr>
          <w:rFonts w:cs="Arial"/>
          <w:szCs w:val="24"/>
        </w:rPr>
        <w:t xml:space="preserve"> 2016. “Computations for the 2016 Annual Update of the HHS Poverty Guidelines for the 48 Contiguous States and the District of Columbia.” </w:t>
      </w:r>
      <w:hyperlink r:id="rId6" w:tooltip="https://aspe.hhs.gov/computations-2016-poverty-guidelines" w:history="1">
        <w:r w:rsidRPr="008C6F97">
          <w:rPr>
            <w:rStyle w:val="Hyperlink"/>
            <w:rFonts w:cs="Arial"/>
            <w:szCs w:val="24"/>
          </w:rPr>
          <w:t>https://aspe.hhs.gov/computations-2016-poverty-guidelines</w:t>
        </w:r>
      </w:hyperlink>
      <w:r w:rsidRPr="008C6F97">
        <w:rPr>
          <w:rFonts w:cs="Arial"/>
          <w:szCs w:val="24"/>
        </w:rPr>
        <w:t xml:space="preserve">. </w:t>
      </w:r>
      <w:proofErr w:type="gramStart"/>
      <w:r w:rsidRPr="008C6F97">
        <w:rPr>
          <w:rFonts w:cs="Arial"/>
          <w:szCs w:val="24"/>
        </w:rPr>
        <w:t>(Accessed March 26, 2017.)</w:t>
      </w:r>
      <w:proofErr w:type="gramEnd"/>
    </w:p>
  </w:endnote>
  <w:endnote w:id="1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Renwick, </w:t>
      </w:r>
      <w:proofErr w:type="spellStart"/>
      <w:r w:rsidRPr="008C6F97">
        <w:rPr>
          <w:rFonts w:cs="Arial"/>
          <w:szCs w:val="24"/>
        </w:rPr>
        <w:t>Trudi</w:t>
      </w:r>
      <w:proofErr w:type="spellEnd"/>
      <w:r w:rsidRPr="008C6F97">
        <w:rPr>
          <w:rFonts w:cs="Arial"/>
          <w:szCs w:val="24"/>
        </w:rPr>
        <w:t>, and Liana Fox.</w:t>
      </w:r>
      <w:proofErr w:type="gramEnd"/>
      <w:r w:rsidRPr="008C6F97">
        <w:rPr>
          <w:rFonts w:cs="Arial"/>
          <w:szCs w:val="24"/>
        </w:rPr>
        <w:t xml:space="preserve"> 2016. “The Supplemental Poverty Measure: 2015.” </w:t>
      </w:r>
      <w:proofErr w:type="gramStart"/>
      <w:r w:rsidRPr="008C6F97">
        <w:rPr>
          <w:rFonts w:cs="Arial"/>
          <w:szCs w:val="24"/>
        </w:rPr>
        <w:t>In Current Population Reports, P60-258.</w:t>
      </w:r>
      <w:proofErr w:type="gramEnd"/>
      <w:r w:rsidRPr="008C6F97">
        <w:rPr>
          <w:rFonts w:cs="Arial"/>
          <w:szCs w:val="24"/>
        </w:rPr>
        <w:t xml:space="preserve"> Washington, DC: U.S. Census Bureau, U.S. Government Publishing Office. </w:t>
      </w:r>
      <w:hyperlink r:id="rId7" w:tooltip="https://www.census.gov/content/dam/Census/library/publications/2016/demo/p60-258.pdf" w:history="1">
        <w:r w:rsidRPr="008C6F97">
          <w:rPr>
            <w:rStyle w:val="Hyperlink"/>
            <w:rFonts w:cs="Arial"/>
            <w:szCs w:val="24"/>
          </w:rPr>
          <w:t>https://www.census.gov/content/dam/Census/library/publications/2016/demo/p60-258.pdf</w:t>
        </w:r>
      </w:hyperlink>
      <w:r w:rsidRPr="008C6F97">
        <w:rPr>
          <w:rFonts w:cs="Arial"/>
          <w:szCs w:val="24"/>
        </w:rPr>
        <w:t>.</w:t>
      </w:r>
    </w:p>
  </w:endnote>
  <w:endnote w:id="1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Rivera Drew, Julia A. 2015. </w:t>
      </w:r>
      <w:proofErr w:type="gramStart"/>
      <w:r w:rsidRPr="008C6F97">
        <w:rPr>
          <w:rFonts w:cs="Arial"/>
          <w:szCs w:val="24"/>
        </w:rPr>
        <w:t>“Disability, Poverty, and Material Hardship since the Passage of the ADA.”</w:t>
      </w:r>
      <w:proofErr w:type="gramEnd"/>
      <w:r w:rsidRPr="008C6F97">
        <w:rPr>
          <w:rFonts w:cs="Arial"/>
          <w:szCs w:val="24"/>
        </w:rPr>
        <w:t xml:space="preserve"> </w:t>
      </w:r>
      <w:r w:rsidRPr="008C6F97">
        <w:rPr>
          <w:rFonts w:cs="Arial"/>
          <w:i/>
          <w:szCs w:val="24"/>
        </w:rPr>
        <w:t xml:space="preserve">Disability Studies Quarterly </w:t>
      </w:r>
      <w:r w:rsidRPr="008C6F97">
        <w:rPr>
          <w:rFonts w:cs="Arial"/>
          <w:szCs w:val="24"/>
        </w:rPr>
        <w:t>35(3): 4947.</w:t>
      </w:r>
    </w:p>
  </w:endnote>
  <w:endnote w:id="1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Rivera Drew, “Disability, Poverty, and Material Hardship.”</w:t>
      </w:r>
      <w:proofErr w:type="gramEnd"/>
    </w:p>
  </w:endnote>
  <w:endnote w:id="1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Collaborative on Workforce and Disability for Youth.</w:t>
      </w:r>
      <w:proofErr w:type="gramEnd"/>
      <w:r w:rsidRPr="008C6F97">
        <w:rPr>
          <w:rFonts w:cs="Arial"/>
          <w:szCs w:val="24"/>
        </w:rPr>
        <w:t xml:space="preserve"> 2009. “Graduation Requirements and Diploma Options for Students with Disabilities: What Families and Advocates Need to Know.” </w:t>
      </w:r>
      <w:proofErr w:type="spellStart"/>
      <w:proofErr w:type="gramStart"/>
      <w:r w:rsidRPr="008C6F97">
        <w:rPr>
          <w:rFonts w:cs="Arial"/>
          <w:szCs w:val="24"/>
        </w:rPr>
        <w:t>InfoBrief</w:t>
      </w:r>
      <w:proofErr w:type="spellEnd"/>
      <w:r w:rsidRPr="008C6F97">
        <w:rPr>
          <w:rFonts w:cs="Arial"/>
          <w:szCs w:val="24"/>
        </w:rPr>
        <w:t xml:space="preserve"> 22.</w:t>
      </w:r>
      <w:proofErr w:type="gramEnd"/>
      <w:r w:rsidRPr="008C6F97" w:rsidDel="00E15B6F">
        <w:rPr>
          <w:rFonts w:cs="Arial"/>
          <w:szCs w:val="24"/>
        </w:rPr>
        <w:t xml:space="preserve"> </w:t>
      </w:r>
      <w:hyperlink r:id="rId8" w:tooltip="https://www.dol.gov/odep/ietoolkit/publications/375.pdf" w:history="1">
        <w:r w:rsidRPr="008C6F97">
          <w:rPr>
            <w:rStyle w:val="Hyperlink"/>
            <w:rFonts w:cs="Arial"/>
            <w:szCs w:val="24"/>
          </w:rPr>
          <w:t>https://www.dol.gov/odep/ietoolkit/publications/375.pdf</w:t>
        </w:r>
      </w:hyperlink>
      <w:r w:rsidRPr="008C6F97">
        <w:rPr>
          <w:rFonts w:cs="Arial"/>
          <w:szCs w:val="24"/>
        </w:rPr>
        <w:t>.</w:t>
      </w:r>
    </w:p>
  </w:endnote>
  <w:endnote w:id="1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Center for Education Statistics.</w:t>
      </w:r>
      <w:proofErr w:type="gramEnd"/>
      <w:r w:rsidRPr="008C6F97">
        <w:rPr>
          <w:rFonts w:cs="Arial"/>
          <w:szCs w:val="24"/>
        </w:rPr>
        <w:t xml:space="preserve"> 2013. “Indicator 13: Children and Youth with Disabilities,” in “Chapter 2: Participation in Education.” </w:t>
      </w:r>
      <w:proofErr w:type="gramStart"/>
      <w:r w:rsidRPr="008C6F97">
        <w:rPr>
          <w:rFonts w:cs="Arial"/>
          <w:szCs w:val="24"/>
        </w:rPr>
        <w:t xml:space="preserve">In </w:t>
      </w:r>
      <w:r w:rsidRPr="008C6F97">
        <w:rPr>
          <w:rFonts w:cs="Arial"/>
          <w:i/>
          <w:szCs w:val="24"/>
        </w:rPr>
        <w:t>The Condition of Education 2013</w:t>
      </w:r>
      <w:r w:rsidRPr="008C6F97">
        <w:rPr>
          <w:rFonts w:cs="Arial"/>
          <w:szCs w:val="24"/>
        </w:rPr>
        <w:t>, edited by Susan Aud. Washington, DC: U.S. Department of Education, National Center for Education Statistics.</w:t>
      </w:r>
      <w:proofErr w:type="gramEnd"/>
      <w:r w:rsidRPr="008C6F97">
        <w:rPr>
          <w:rFonts w:cs="Arial"/>
          <w:szCs w:val="24"/>
        </w:rPr>
        <w:t xml:space="preserve"> </w:t>
      </w:r>
      <w:hyperlink r:id="rId9" w:tooltip="https://nces.ed.gov/programs/coe/pdf/Indicator_CGG/COE_CGG_2013_01.pdf" w:history="1">
        <w:r w:rsidRPr="008C6F97">
          <w:rPr>
            <w:rStyle w:val="Hyperlink"/>
            <w:rFonts w:cs="Arial"/>
            <w:szCs w:val="24"/>
          </w:rPr>
          <w:t>https://nces.ed.gov/programs/coe/pdf/Indicator_CGG/COE_CGG_2013_01.pdf</w:t>
        </w:r>
      </w:hyperlink>
      <w:r w:rsidRPr="008C6F97">
        <w:rPr>
          <w:rFonts w:cs="Arial"/>
          <w:szCs w:val="24"/>
        </w:rPr>
        <w:t>.</w:t>
      </w:r>
    </w:p>
  </w:endnote>
  <w:endnote w:id="2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Center for Education Statistics, U.S. Department of Education.</w:t>
      </w:r>
      <w:proofErr w:type="gramEnd"/>
      <w:r w:rsidRPr="008C6F97">
        <w:rPr>
          <w:rFonts w:cs="Arial"/>
          <w:szCs w:val="24"/>
        </w:rPr>
        <w:t xml:space="preserve"> 2016. “The Condition of Education 2016</w:t>
      </w:r>
      <w:r w:rsidRPr="008C6F97">
        <w:rPr>
          <w:rFonts w:cs="Arial"/>
          <w:i/>
          <w:szCs w:val="24"/>
        </w:rPr>
        <w:t xml:space="preserve">.” </w:t>
      </w:r>
      <w:hyperlink r:id="rId10" w:tooltip="https://nces.ed.gov/programs/coe/indicator_cgg.asp" w:history="1">
        <w:r w:rsidRPr="008C6F97">
          <w:rPr>
            <w:rStyle w:val="Hyperlink"/>
            <w:rFonts w:cs="Arial"/>
            <w:szCs w:val="24"/>
          </w:rPr>
          <w:t>https://nces.ed.gov/programs/coe/indicator_cgg.asp</w:t>
        </w:r>
      </w:hyperlink>
      <w:r w:rsidRPr="008C6F97">
        <w:rPr>
          <w:rFonts w:cs="Arial"/>
          <w:szCs w:val="24"/>
        </w:rPr>
        <w:t xml:space="preserve">. </w:t>
      </w:r>
      <w:proofErr w:type="gramStart"/>
      <w:r w:rsidRPr="008C6F97">
        <w:rPr>
          <w:rFonts w:cs="Arial"/>
          <w:szCs w:val="24"/>
        </w:rPr>
        <w:t>(Last modified May, 2016).</w:t>
      </w:r>
      <w:proofErr w:type="gramEnd"/>
    </w:p>
  </w:endnote>
  <w:endnote w:id="2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Collaborative on Workforce and Disability for Youth, “Graduation Requirements”;</w:t>
      </w:r>
      <w:r w:rsidRPr="008C6F97">
        <w:rPr>
          <w:rFonts w:cs="Arial"/>
          <w:i/>
          <w:szCs w:val="24"/>
        </w:rPr>
        <w:t xml:space="preserve"> </w:t>
      </w:r>
      <w:r w:rsidRPr="008C6F97">
        <w:rPr>
          <w:rFonts w:cs="Arial"/>
          <w:szCs w:val="24"/>
        </w:rPr>
        <w:t>National Center for Education Statistics, “Condition for Education 2016.”</w:t>
      </w:r>
      <w:proofErr w:type="gramEnd"/>
    </w:p>
  </w:endnote>
  <w:endnote w:id="2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Center on Educational Outcomes.</w:t>
      </w:r>
      <w:proofErr w:type="gramEnd"/>
      <w:r w:rsidRPr="008C6F97">
        <w:rPr>
          <w:rFonts w:cs="Arial"/>
          <w:szCs w:val="24"/>
        </w:rPr>
        <w:t xml:space="preserve"> 2017. “Graduation Requirements for Students with Disabilities: Ensuring Meaningful Diplomas for All Students.” </w:t>
      </w:r>
      <w:hyperlink r:id="rId11" w:tooltip="https://www.achieve.org/files/Achieve%20-%20NCEO%20-%20Graduation%20%0bRequirements%2013Nov2013.pdf" w:history="1">
        <w:r w:rsidRPr="008C6F97">
          <w:rPr>
            <w:rStyle w:val="Hyperlink"/>
            <w:rFonts w:cs="Arial"/>
            <w:szCs w:val="24"/>
          </w:rPr>
          <w:t>https://www.achieve.org/files/Achieve%20-%20NCEO%20-%20Graduation%20</w:t>
        </w:r>
        <w:r w:rsidRPr="008C6F97">
          <w:rPr>
            <w:rStyle w:val="Hyperlink"/>
            <w:rFonts w:cs="Arial"/>
            <w:szCs w:val="24"/>
          </w:rPr>
          <w:br/>
          <w:t>Requirements%2013Nov2013.pdf</w:t>
        </w:r>
      </w:hyperlink>
      <w:r w:rsidRPr="008C6F97">
        <w:rPr>
          <w:rFonts w:cs="Arial"/>
          <w:szCs w:val="24"/>
        </w:rPr>
        <w:t xml:space="preserve">. </w:t>
      </w:r>
      <w:proofErr w:type="gramStart"/>
      <w:r w:rsidRPr="008C6F97">
        <w:rPr>
          <w:rFonts w:cs="Arial"/>
          <w:szCs w:val="24"/>
        </w:rPr>
        <w:t>(Accessed June 7, 2017.)</w:t>
      </w:r>
      <w:proofErr w:type="gramEnd"/>
    </w:p>
  </w:endnote>
  <w:endnote w:id="2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DO-IT (Disabilities, Opportunities, Internetworking, and Technology).</w:t>
      </w:r>
      <w:proofErr w:type="gramEnd"/>
      <w:r w:rsidRPr="008C6F97">
        <w:rPr>
          <w:rFonts w:cs="Arial"/>
          <w:szCs w:val="24"/>
        </w:rPr>
        <w:t xml:space="preserve"> 2012. “Working Together: K–12 Teachers and Students with Disabilities.” </w:t>
      </w:r>
      <w:proofErr w:type="gramStart"/>
      <w:r w:rsidRPr="008C6F97">
        <w:rPr>
          <w:rFonts w:cs="Arial"/>
          <w:szCs w:val="24"/>
        </w:rPr>
        <w:t>University of Washington.</w:t>
      </w:r>
      <w:proofErr w:type="gramEnd"/>
      <w:r w:rsidRPr="008C6F97">
        <w:rPr>
          <w:rFonts w:cs="Arial"/>
          <w:szCs w:val="24"/>
        </w:rPr>
        <w:t xml:space="preserve"> </w:t>
      </w:r>
      <w:hyperlink r:id="rId12" w:tooltip="http://www.washington.edu/doit/sites/default/files/atoms/files/Working-Together-K12-Teachers-Students-Disabilities.pdf" w:history="1">
        <w:r w:rsidRPr="008C6F97">
          <w:rPr>
            <w:rStyle w:val="Hyperlink"/>
            <w:rFonts w:cs="Arial"/>
            <w:szCs w:val="24"/>
          </w:rPr>
          <w:t>http://www.washington.edu/doit/sites/default/files/atoms/files/Working-Together-K12-Teachers-Students-Disabilities.pdf</w:t>
        </w:r>
      </w:hyperlink>
      <w:r w:rsidRPr="008C6F97">
        <w:rPr>
          <w:rFonts w:cs="Arial"/>
          <w:szCs w:val="24"/>
        </w:rPr>
        <w:t>.</w:t>
      </w:r>
    </w:p>
  </w:endnote>
  <w:endnote w:id="2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Cameto</w:t>
      </w:r>
      <w:proofErr w:type="spellEnd"/>
      <w:r w:rsidRPr="008C6F97">
        <w:rPr>
          <w:rFonts w:cs="Arial"/>
          <w:szCs w:val="24"/>
        </w:rPr>
        <w:t>, Renee, Phyllis Levine, and Mary Wagner.</w:t>
      </w:r>
      <w:proofErr w:type="gramEnd"/>
      <w:r w:rsidRPr="008C6F97">
        <w:rPr>
          <w:rFonts w:cs="Arial"/>
          <w:szCs w:val="24"/>
        </w:rPr>
        <w:t xml:space="preserve"> 2004. </w:t>
      </w:r>
      <w:r w:rsidRPr="008C6F97">
        <w:rPr>
          <w:rFonts w:cs="Arial"/>
          <w:i/>
          <w:szCs w:val="24"/>
        </w:rPr>
        <w:t>Transition Planning for Students with Disabilities: A Special Topic Report of Findings from the National Longitudinal Transition Study-2 (NLTS2).</w:t>
      </w:r>
      <w:r w:rsidRPr="008C6F97">
        <w:rPr>
          <w:rFonts w:cs="Arial"/>
          <w:szCs w:val="24"/>
        </w:rPr>
        <w:t xml:space="preserve"> Menlo Park, CA: SRI International.</w:t>
      </w:r>
    </w:p>
  </w:endnote>
  <w:endnote w:id="2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Hoover, Ariel. 2016. “The Role of the Community in Transition to the Adult World for Students with Disabilities.” </w:t>
      </w:r>
      <w:r w:rsidRPr="008C6F97">
        <w:rPr>
          <w:rFonts w:cs="Arial"/>
          <w:i/>
          <w:szCs w:val="24"/>
        </w:rPr>
        <w:t>American Secondary Education</w:t>
      </w:r>
      <w:r w:rsidRPr="008C6F97">
        <w:rPr>
          <w:rFonts w:cs="Arial"/>
          <w:szCs w:val="24"/>
        </w:rPr>
        <w:t xml:space="preserve"> 44(2): 21.</w:t>
      </w:r>
    </w:p>
  </w:endnote>
  <w:endnote w:id="2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Snyder, Thomas D., Cristobal de </w:t>
      </w:r>
      <w:proofErr w:type="spellStart"/>
      <w:r w:rsidRPr="008C6F97">
        <w:rPr>
          <w:rFonts w:cs="Arial"/>
          <w:szCs w:val="24"/>
        </w:rPr>
        <w:t>Brey</w:t>
      </w:r>
      <w:proofErr w:type="spellEnd"/>
      <w:r w:rsidRPr="008C6F97">
        <w:rPr>
          <w:rFonts w:cs="Arial"/>
          <w:szCs w:val="24"/>
        </w:rPr>
        <w:t xml:space="preserve">, and Sally A. </w:t>
      </w:r>
      <w:proofErr w:type="spellStart"/>
      <w:r w:rsidRPr="008C6F97">
        <w:rPr>
          <w:rFonts w:cs="Arial"/>
          <w:szCs w:val="24"/>
        </w:rPr>
        <w:t>Dillow</w:t>
      </w:r>
      <w:proofErr w:type="spellEnd"/>
      <w:r w:rsidRPr="008C6F97">
        <w:rPr>
          <w:rFonts w:cs="Arial"/>
          <w:szCs w:val="24"/>
        </w:rPr>
        <w:t>.</w:t>
      </w:r>
      <w:proofErr w:type="gramEnd"/>
      <w:r w:rsidRPr="008C6F97">
        <w:rPr>
          <w:rFonts w:cs="Arial"/>
          <w:szCs w:val="24"/>
        </w:rPr>
        <w:t xml:space="preserve"> 2016. </w:t>
      </w:r>
      <w:r w:rsidRPr="008C6F97">
        <w:rPr>
          <w:rFonts w:cs="Arial"/>
          <w:i/>
          <w:szCs w:val="24"/>
        </w:rPr>
        <w:t>Digest of Education Statistics 2014 (NCES 2016-006).</w:t>
      </w:r>
      <w:r w:rsidRPr="008C6F97">
        <w:rPr>
          <w:rFonts w:cs="Arial"/>
          <w:szCs w:val="24"/>
        </w:rPr>
        <w:t xml:space="preserve"> Washington, DC: National Center for Education Statistics, Institute of Education Sciences, U.S. Department of Education, 482, table 311.10. </w:t>
      </w:r>
      <w:proofErr w:type="gramStart"/>
      <w:r w:rsidRPr="008C6F97">
        <w:rPr>
          <w:rFonts w:cs="Arial"/>
          <w:szCs w:val="24"/>
        </w:rPr>
        <w:t>Erickson, William, Camille G. Lee, and Sarah von Schrader.</w:t>
      </w:r>
      <w:proofErr w:type="gramEnd"/>
      <w:r w:rsidRPr="008C6F97">
        <w:rPr>
          <w:rFonts w:cs="Arial"/>
          <w:szCs w:val="24"/>
        </w:rPr>
        <w:t xml:space="preserve"> 2016. “Disability Statistics from the American Community Survey (ACS).” </w:t>
      </w:r>
      <w:proofErr w:type="gramStart"/>
      <w:r w:rsidRPr="008C6F97">
        <w:rPr>
          <w:rFonts w:cs="Arial"/>
          <w:szCs w:val="24"/>
        </w:rPr>
        <w:t>Cornell University, K. Lisa Yang and Hock E. Tan Institute on Employment and Disability.</w:t>
      </w:r>
      <w:proofErr w:type="gramEnd"/>
      <w:r w:rsidRPr="008C6F97">
        <w:rPr>
          <w:rFonts w:cs="Arial"/>
          <w:szCs w:val="24"/>
        </w:rPr>
        <w:t xml:space="preserve"> </w:t>
      </w:r>
      <w:hyperlink r:id="rId13" w:tooltip="http://www.disabilitystatistics.org/" w:history="1">
        <w:r w:rsidRPr="008C6F97">
          <w:rPr>
            <w:rStyle w:val="Hyperlink"/>
            <w:rFonts w:cs="Arial"/>
            <w:szCs w:val="24"/>
          </w:rPr>
          <w:t>http://www.disabilitystatistics.org/</w:t>
        </w:r>
      </w:hyperlink>
      <w:r w:rsidRPr="008C6F97">
        <w:rPr>
          <w:rFonts w:cs="Arial"/>
          <w:szCs w:val="24"/>
        </w:rPr>
        <w:t>.</w:t>
      </w:r>
    </w:p>
  </w:endnote>
  <w:endnote w:id="2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r w:rsidRPr="008C6F97">
        <w:rPr>
          <w:rFonts w:cs="Arial"/>
          <w:szCs w:val="24"/>
        </w:rPr>
        <w:t>Umbricht</w:t>
      </w:r>
      <w:proofErr w:type="spellEnd"/>
      <w:r w:rsidRPr="008C6F97">
        <w:rPr>
          <w:rFonts w:cs="Arial"/>
          <w:szCs w:val="24"/>
        </w:rPr>
        <w:t xml:space="preserve">, Mark R. 2016. </w:t>
      </w:r>
      <w:proofErr w:type="gramStart"/>
      <w:r w:rsidRPr="008C6F97">
        <w:rPr>
          <w:rFonts w:cs="Arial"/>
          <w:szCs w:val="24"/>
        </w:rPr>
        <w:t>“Helping Low-Income and Middle-Income Students: Pell Grants and the Higher Education Act.”</w:t>
      </w:r>
      <w:proofErr w:type="gramEnd"/>
      <w:r w:rsidRPr="008C6F97">
        <w:rPr>
          <w:rFonts w:cs="Arial"/>
          <w:szCs w:val="24"/>
        </w:rPr>
        <w:t xml:space="preserve"> In Special Issue 2016: Reauthorization of the Higher Education Act, edited by Mark </w:t>
      </w:r>
      <w:proofErr w:type="spellStart"/>
      <w:r w:rsidRPr="008C6F97">
        <w:rPr>
          <w:rFonts w:cs="Arial"/>
          <w:szCs w:val="24"/>
        </w:rPr>
        <w:t>Umbricht</w:t>
      </w:r>
      <w:proofErr w:type="spellEnd"/>
      <w:r w:rsidRPr="008C6F97">
        <w:rPr>
          <w:rFonts w:cs="Arial"/>
          <w:szCs w:val="24"/>
        </w:rPr>
        <w:t xml:space="preserve">, special issue. Higher Education in Review 1: 24–33. Brown, Jessica. “How Financial Aid for Students with Disabilities Works.” </w:t>
      </w:r>
      <w:proofErr w:type="spellStart"/>
      <w:proofErr w:type="gramStart"/>
      <w:r w:rsidRPr="008C6F97">
        <w:rPr>
          <w:rFonts w:cs="Arial"/>
          <w:szCs w:val="24"/>
        </w:rPr>
        <w:t>HowStuffWorks</w:t>
      </w:r>
      <w:proofErr w:type="spellEnd"/>
      <w:r w:rsidRPr="008C6F97">
        <w:rPr>
          <w:rFonts w:cs="Arial"/>
          <w:szCs w:val="24"/>
        </w:rPr>
        <w:t>.</w:t>
      </w:r>
      <w:proofErr w:type="gramEnd"/>
      <w:r w:rsidRPr="008C6F97">
        <w:rPr>
          <w:rFonts w:cs="Arial"/>
          <w:szCs w:val="24"/>
        </w:rPr>
        <w:t xml:space="preserve"> </w:t>
      </w:r>
      <w:hyperlink r:id="rId14" w:tooltip="http://money.howstuffworks.com/personal-finance/college-planning/financial-aid/financial-aid-disabled-students4.htm" w:history="1">
        <w:r w:rsidRPr="008C6F97">
          <w:rPr>
            <w:rStyle w:val="Hyperlink"/>
            <w:rFonts w:cs="Arial"/>
            <w:szCs w:val="24"/>
          </w:rPr>
          <w:t>http://money.howstuffworks.com/personal-finance/college-planning/financial-aid/financial-aid-disabled-students4.htm</w:t>
        </w:r>
      </w:hyperlink>
      <w:r w:rsidRPr="008C6F97">
        <w:rPr>
          <w:rFonts w:cs="Arial"/>
          <w:szCs w:val="24"/>
        </w:rPr>
        <w:t xml:space="preserve">. </w:t>
      </w:r>
      <w:proofErr w:type="gramStart"/>
      <w:r w:rsidRPr="008C6F97">
        <w:rPr>
          <w:rFonts w:cs="Arial"/>
          <w:szCs w:val="24"/>
        </w:rPr>
        <w:t>(Accessed March 23, 2017.)</w:t>
      </w:r>
      <w:proofErr w:type="gramEnd"/>
    </w:p>
  </w:endnote>
  <w:endnote w:id="2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Radwin</w:t>
      </w:r>
      <w:proofErr w:type="spellEnd"/>
      <w:r w:rsidRPr="008C6F97">
        <w:rPr>
          <w:rFonts w:cs="Arial"/>
          <w:szCs w:val="24"/>
        </w:rPr>
        <w:t>, David, Jennifer Wine, Peter Siegel, Michael Bryan, and Tracy Hunt-White.</w:t>
      </w:r>
      <w:proofErr w:type="gramEnd"/>
      <w:r w:rsidRPr="008C6F97">
        <w:rPr>
          <w:rFonts w:cs="Arial"/>
          <w:szCs w:val="24"/>
        </w:rPr>
        <w:t xml:space="preserve"> 2013. </w:t>
      </w:r>
      <w:r w:rsidRPr="008C6F97">
        <w:rPr>
          <w:rFonts w:cs="Arial"/>
          <w:i/>
          <w:szCs w:val="24"/>
        </w:rPr>
        <w:t>2011–12 National Postsecondary Student Aid Study (NPSAS</w:t>
      </w:r>
      <w:proofErr w:type="gramStart"/>
      <w:r w:rsidRPr="008C6F97">
        <w:rPr>
          <w:rFonts w:cs="Arial"/>
          <w:i/>
          <w:szCs w:val="24"/>
        </w:rPr>
        <w:t>:12</w:t>
      </w:r>
      <w:proofErr w:type="gramEnd"/>
      <w:r w:rsidRPr="008C6F97">
        <w:rPr>
          <w:rFonts w:cs="Arial"/>
          <w:i/>
          <w:szCs w:val="24"/>
        </w:rPr>
        <w:t>): Student Financial Aid Estimates for 2011–12, NCES 2013-165.</w:t>
      </w:r>
      <w:r w:rsidRPr="008C6F97">
        <w:rPr>
          <w:rFonts w:cs="Arial"/>
          <w:szCs w:val="24"/>
        </w:rPr>
        <w:t xml:space="preserve"> Washington, DC: National Center for Education Statistics, Institute of Education Sciences. </w:t>
      </w:r>
      <w:hyperlink r:id="rId15" w:tooltip="https://nces.ed.gov/pubs2013/2013165.pdf" w:history="1">
        <w:r w:rsidRPr="008C6F97">
          <w:rPr>
            <w:rStyle w:val="Hyperlink"/>
            <w:rFonts w:cs="Arial"/>
            <w:szCs w:val="24"/>
          </w:rPr>
          <w:t>https://nces.ed.gov/pubs2013/2013165.pdf</w:t>
        </w:r>
      </w:hyperlink>
    </w:p>
  </w:endnote>
  <w:endnote w:id="2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Federal Student Aid.</w:t>
      </w:r>
      <w:proofErr w:type="gramEnd"/>
      <w:r w:rsidRPr="008C6F97">
        <w:rPr>
          <w:rFonts w:cs="Arial"/>
          <w:szCs w:val="24"/>
        </w:rPr>
        <w:t xml:space="preserve"> </w:t>
      </w:r>
      <w:proofErr w:type="spellStart"/>
      <w:r w:rsidRPr="008C6F97">
        <w:rPr>
          <w:rFonts w:cs="Arial"/>
          <w:szCs w:val="24"/>
        </w:rPr>
        <w:t>n.d.</w:t>
      </w:r>
      <w:proofErr w:type="spellEnd"/>
      <w:r w:rsidRPr="008C6F97">
        <w:rPr>
          <w:rFonts w:cs="Arial"/>
          <w:b/>
          <w:szCs w:val="24"/>
        </w:rPr>
        <w:t xml:space="preserve"> </w:t>
      </w:r>
      <w:r w:rsidRPr="008C6F97">
        <w:rPr>
          <w:rFonts w:cs="Arial"/>
          <w:szCs w:val="24"/>
        </w:rPr>
        <w:t xml:space="preserve">“A Federal Supplemental Educational Opportunity Grant (FSEOG) Is a Grant for Undergraduate Students with Exceptional Financial Need.” </w:t>
      </w:r>
      <w:proofErr w:type="gramStart"/>
      <w:r w:rsidRPr="008C6F97">
        <w:rPr>
          <w:rFonts w:cs="Arial"/>
          <w:szCs w:val="24"/>
        </w:rPr>
        <w:t>U.S. Department of Education.</w:t>
      </w:r>
      <w:proofErr w:type="gramEnd"/>
      <w:r w:rsidRPr="008C6F97">
        <w:rPr>
          <w:rFonts w:cs="Arial"/>
          <w:szCs w:val="24"/>
        </w:rPr>
        <w:t xml:space="preserve"> </w:t>
      </w:r>
      <w:hyperlink r:id="rId16" w:tooltip="https://studentaid.ed.gov/sa/types/grants-scholarships/fseog" w:history="1">
        <w:r w:rsidRPr="008C6F97">
          <w:rPr>
            <w:rStyle w:val="Hyperlink"/>
            <w:rFonts w:cs="Arial"/>
            <w:szCs w:val="24"/>
          </w:rPr>
          <w:t>https://studentaid.ed.gov/sa/types/grants-scholarships/fseog</w:t>
        </w:r>
      </w:hyperlink>
      <w:r w:rsidRPr="008C6F97">
        <w:rPr>
          <w:rFonts w:cs="Arial"/>
          <w:szCs w:val="24"/>
        </w:rPr>
        <w:t xml:space="preserve">. </w:t>
      </w:r>
      <w:proofErr w:type="gramStart"/>
      <w:r w:rsidRPr="008C6F97">
        <w:rPr>
          <w:rFonts w:cs="Arial"/>
          <w:szCs w:val="24"/>
        </w:rPr>
        <w:t>(Accessed May 15, 2017.)</w:t>
      </w:r>
      <w:proofErr w:type="gramEnd"/>
    </w:p>
  </w:endnote>
  <w:endnote w:id="3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Association of University Centers on Disabilities.</w:t>
      </w:r>
      <w:proofErr w:type="gramEnd"/>
      <w:r w:rsidRPr="008C6F97">
        <w:rPr>
          <w:rFonts w:cs="Arial"/>
          <w:szCs w:val="24"/>
        </w:rPr>
        <w:t xml:space="preserve"> 2015. “Transition Programs for Students with Intellectual Disability (TPSID) Model Demonstrations &amp; TPSID National Coordinating Center (NCC) 2015).” </w:t>
      </w:r>
      <w:hyperlink r:id="rId17" w:tooltip="https://www.aucd.org/docs/policy/appropriations/TPSID_FY15_Brief.pdf" w:history="1">
        <w:r w:rsidRPr="008C6F97">
          <w:rPr>
            <w:rStyle w:val="Hyperlink"/>
            <w:rFonts w:cs="Arial"/>
            <w:szCs w:val="24"/>
          </w:rPr>
          <w:t>https://www.aucd.org/docs/policy/appropriations/TPSID_FY15_Brief.pdf</w:t>
        </w:r>
      </w:hyperlink>
      <w:r w:rsidRPr="008C6F97">
        <w:rPr>
          <w:rFonts w:cs="Arial"/>
          <w:szCs w:val="24"/>
        </w:rPr>
        <w:t xml:space="preserve">. </w:t>
      </w:r>
      <w:proofErr w:type="gramStart"/>
      <w:r w:rsidRPr="008C6F97">
        <w:rPr>
          <w:rFonts w:cs="Arial"/>
          <w:szCs w:val="24"/>
        </w:rPr>
        <w:t>(Accessed March 20, 2017.)</w:t>
      </w:r>
      <w:proofErr w:type="gramEnd"/>
    </w:p>
  </w:endnote>
  <w:endnote w:id="3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Coordinating Center.</w:t>
      </w:r>
      <w:proofErr w:type="gramEnd"/>
      <w:r w:rsidRPr="008C6F97">
        <w:rPr>
          <w:rFonts w:cs="Arial"/>
          <w:szCs w:val="24"/>
        </w:rPr>
        <w:t xml:space="preserve"> </w:t>
      </w:r>
      <w:proofErr w:type="spellStart"/>
      <w:proofErr w:type="gramStart"/>
      <w:r w:rsidRPr="008C6F97">
        <w:rPr>
          <w:rFonts w:cs="Arial"/>
          <w:szCs w:val="24"/>
        </w:rPr>
        <w:t>n.d.</w:t>
      </w:r>
      <w:proofErr w:type="spellEnd"/>
      <w:r w:rsidRPr="008C6F97">
        <w:rPr>
          <w:rFonts w:cs="Arial"/>
          <w:b/>
          <w:szCs w:val="24"/>
        </w:rPr>
        <w:t xml:space="preserve"> </w:t>
      </w:r>
      <w:r w:rsidRPr="008C6F97">
        <w:rPr>
          <w:rFonts w:cs="Arial"/>
          <w:szCs w:val="24"/>
        </w:rPr>
        <w:t>“Think College.”</w:t>
      </w:r>
      <w:proofErr w:type="gramEnd"/>
      <w:r w:rsidRPr="008C6F97">
        <w:rPr>
          <w:rFonts w:cs="Arial"/>
          <w:szCs w:val="24"/>
        </w:rPr>
        <w:t xml:space="preserve"> Institute for Community Inclusion, University of Massachusetts Boston. </w:t>
      </w:r>
      <w:hyperlink r:id="rId18" w:tooltip="http://www.thinkcollege.net/about-us/think-college-grant-projects/national-coordinating-center" w:history="1">
        <w:r w:rsidRPr="008C6F97">
          <w:rPr>
            <w:rStyle w:val="Hyperlink"/>
            <w:rFonts w:cs="Arial"/>
            <w:szCs w:val="24"/>
          </w:rPr>
          <w:t>http://www.thinkcollege.net/about-us/think-college-grant-projects/national-coordinating-center</w:t>
        </w:r>
      </w:hyperlink>
      <w:r w:rsidRPr="008C6F97">
        <w:rPr>
          <w:rStyle w:val="Hyperlink"/>
          <w:rFonts w:cs="Arial"/>
          <w:szCs w:val="24"/>
        </w:rPr>
        <w:t>.</w:t>
      </w:r>
      <w:r w:rsidRPr="008C6F97">
        <w:rPr>
          <w:rFonts w:cs="Arial"/>
          <w:szCs w:val="24"/>
        </w:rPr>
        <w:t xml:space="preserve"> (Accessed April 5, 2017.); Federal Student Aid. </w:t>
      </w:r>
      <w:proofErr w:type="spellStart"/>
      <w:r w:rsidRPr="008C6F97">
        <w:rPr>
          <w:rFonts w:cs="Arial"/>
          <w:szCs w:val="24"/>
        </w:rPr>
        <w:t>n.d.</w:t>
      </w:r>
      <w:proofErr w:type="spellEnd"/>
      <w:r w:rsidRPr="008C6F97">
        <w:rPr>
          <w:rFonts w:cs="Arial"/>
          <w:szCs w:val="24"/>
        </w:rPr>
        <w:t xml:space="preserve"> “Students with Intellectual Disabilities May Be Able to Get Certain Types of Federal Student Aid.” </w:t>
      </w:r>
      <w:proofErr w:type="gramStart"/>
      <w:r w:rsidRPr="008C6F97">
        <w:rPr>
          <w:rFonts w:cs="Arial"/>
          <w:szCs w:val="24"/>
        </w:rPr>
        <w:t>U.S. Department of Education.</w:t>
      </w:r>
      <w:proofErr w:type="gramEnd"/>
      <w:r w:rsidRPr="008C6F97">
        <w:rPr>
          <w:rFonts w:cs="Arial"/>
          <w:szCs w:val="24"/>
        </w:rPr>
        <w:t xml:space="preserve"> </w:t>
      </w:r>
      <w:hyperlink r:id="rId19" w:tooltip="https://studentaid.ed.gov/sa/eligibility/intellectual-disabilities" w:history="1">
        <w:r w:rsidRPr="008C6F97">
          <w:rPr>
            <w:rStyle w:val="Hyperlink"/>
            <w:rFonts w:cs="Arial"/>
            <w:szCs w:val="24"/>
          </w:rPr>
          <w:t>https://studentaid.ed.gov/sa/eligibility/intellectual-disabilities</w:t>
        </w:r>
      </w:hyperlink>
      <w:r w:rsidRPr="008C6F97">
        <w:rPr>
          <w:rFonts w:cs="Arial"/>
          <w:szCs w:val="24"/>
        </w:rPr>
        <w:t>. (Last modified February 7, 2017, accessed April 5, 2017.)</w:t>
      </w:r>
    </w:p>
  </w:endnote>
  <w:endnote w:id="3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Association of University Centers on Disabilities, “Transition Programs for Students.”</w:t>
      </w:r>
      <w:proofErr w:type="gramEnd"/>
      <w:r w:rsidRPr="008C6F97">
        <w:rPr>
          <w:rFonts w:cs="Arial"/>
          <w:szCs w:val="24"/>
        </w:rPr>
        <w:t xml:space="preserve"> </w:t>
      </w:r>
    </w:p>
  </w:endnote>
  <w:endnote w:id="3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Yin and </w:t>
      </w:r>
      <w:proofErr w:type="spellStart"/>
      <w:r w:rsidRPr="008C6F97">
        <w:rPr>
          <w:rFonts w:cs="Arial"/>
          <w:szCs w:val="24"/>
        </w:rPr>
        <w:t>Shaewitz</w:t>
      </w:r>
      <w:proofErr w:type="spellEnd"/>
      <w:r w:rsidRPr="008C6F97">
        <w:rPr>
          <w:rFonts w:cs="Arial"/>
          <w:szCs w:val="24"/>
        </w:rPr>
        <w:t xml:space="preserve">, </w:t>
      </w:r>
      <w:r w:rsidRPr="008C6F97">
        <w:rPr>
          <w:rFonts w:cs="Arial"/>
          <w:i/>
          <w:szCs w:val="24"/>
        </w:rPr>
        <w:t>One Size Does Not Fit All</w:t>
      </w:r>
      <w:r w:rsidRPr="008C6F97">
        <w:rPr>
          <w:rFonts w:cs="Arial"/>
          <w:szCs w:val="24"/>
        </w:rPr>
        <w:t>; Erickson et al., “Disability Statistics.”</w:t>
      </w:r>
    </w:p>
  </w:endnote>
  <w:endnote w:id="3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r w:rsidRPr="008C6F97">
        <w:rPr>
          <w:rFonts w:cs="Arial"/>
          <w:szCs w:val="24"/>
        </w:rPr>
        <w:t>Hiersteiner</w:t>
      </w:r>
      <w:proofErr w:type="spellEnd"/>
      <w:r w:rsidRPr="008C6F97">
        <w:rPr>
          <w:rFonts w:cs="Arial"/>
          <w:szCs w:val="24"/>
        </w:rPr>
        <w:t xml:space="preserve">, Dorothy, et al. 2016. </w:t>
      </w:r>
      <w:r w:rsidRPr="008C6F97">
        <w:rPr>
          <w:rFonts w:cs="Arial"/>
          <w:i/>
          <w:szCs w:val="24"/>
        </w:rPr>
        <w:t>Working in the Community: The Status and Outcomes of People with Intellectual and Developmental Disabilities in Integrated Employment—Update 2, NCI Data Brief.</w:t>
      </w:r>
      <w:r w:rsidRPr="008C6F97">
        <w:rPr>
          <w:rFonts w:cs="Arial"/>
          <w:szCs w:val="24"/>
        </w:rPr>
        <w:t xml:space="preserve"> Cambridge, MA: Human Services Research Institute.</w:t>
      </w:r>
    </w:p>
  </w:endnote>
  <w:endnote w:id="3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Census Bureau.</w:t>
      </w:r>
      <w:proofErr w:type="gramEnd"/>
      <w:r w:rsidRPr="008C6F97">
        <w:rPr>
          <w:rFonts w:cs="Arial"/>
          <w:szCs w:val="24"/>
        </w:rPr>
        <w:t xml:space="preserve"> 2016. “2015 American Community Survey (ACS) 1-Year Public Use </w:t>
      </w:r>
      <w:proofErr w:type="spellStart"/>
      <w:r w:rsidRPr="008C6F97">
        <w:rPr>
          <w:rFonts w:cs="Arial"/>
          <w:szCs w:val="24"/>
        </w:rPr>
        <w:t>Microdata</w:t>
      </w:r>
      <w:proofErr w:type="spellEnd"/>
      <w:r w:rsidRPr="008C6F97">
        <w:rPr>
          <w:rFonts w:cs="Arial"/>
          <w:szCs w:val="24"/>
        </w:rPr>
        <w:t xml:space="preserve"> Samples.” </w:t>
      </w:r>
      <w:hyperlink r:id="rId20" w:tooltip="https://www.census.gov/programs-surveys/acs/data/pums.html" w:history="1">
        <w:r w:rsidRPr="008C6F97">
          <w:rPr>
            <w:rStyle w:val="Hyperlink"/>
            <w:rFonts w:cs="Arial"/>
            <w:szCs w:val="24"/>
          </w:rPr>
          <w:t>https://www.census.gov/programs-surveys/acs/data/pums.html</w:t>
        </w:r>
      </w:hyperlink>
      <w:r w:rsidRPr="008C6F97">
        <w:rPr>
          <w:rStyle w:val="Hyperlink"/>
          <w:rFonts w:cs="Arial"/>
          <w:szCs w:val="24"/>
        </w:rPr>
        <w:t>.</w:t>
      </w:r>
      <w:r w:rsidRPr="008C6F97">
        <w:rPr>
          <w:rFonts w:cs="Arial"/>
          <w:szCs w:val="24"/>
        </w:rPr>
        <w:t xml:space="preserve"> </w:t>
      </w:r>
      <w:proofErr w:type="gramStart"/>
      <w:r w:rsidRPr="008C6F97">
        <w:rPr>
          <w:rFonts w:cs="Arial"/>
          <w:szCs w:val="24"/>
        </w:rPr>
        <w:t>(Accessed May 30, 2016.)</w:t>
      </w:r>
      <w:proofErr w:type="gramEnd"/>
    </w:p>
  </w:endnote>
  <w:endnote w:id="3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Yin and </w:t>
      </w:r>
      <w:proofErr w:type="spellStart"/>
      <w:r w:rsidRPr="008C6F97">
        <w:rPr>
          <w:rFonts w:cs="Arial"/>
          <w:szCs w:val="24"/>
        </w:rPr>
        <w:t>Shaewitz</w:t>
      </w:r>
      <w:proofErr w:type="spellEnd"/>
      <w:r w:rsidRPr="008C6F97">
        <w:rPr>
          <w:rFonts w:cs="Arial"/>
          <w:szCs w:val="24"/>
        </w:rPr>
        <w:t xml:space="preserve">, </w:t>
      </w:r>
      <w:r w:rsidRPr="008C6F97">
        <w:rPr>
          <w:rFonts w:cs="Arial"/>
          <w:i/>
          <w:szCs w:val="24"/>
        </w:rPr>
        <w:t>One Size Does Not Fit All</w:t>
      </w:r>
      <w:r w:rsidRPr="008C6F97">
        <w:rPr>
          <w:rFonts w:cs="Arial"/>
          <w:szCs w:val="24"/>
        </w:rPr>
        <w:t>.</w:t>
      </w:r>
    </w:p>
  </w:endnote>
  <w:endnote w:id="3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Government Accountability Office (GAO).</w:t>
      </w:r>
      <w:proofErr w:type="gramEnd"/>
      <w:r w:rsidRPr="008C6F97">
        <w:rPr>
          <w:rFonts w:cs="Arial"/>
          <w:szCs w:val="24"/>
        </w:rPr>
        <w:t xml:space="preserve"> 2012. </w:t>
      </w:r>
      <w:r w:rsidRPr="008C6F97">
        <w:rPr>
          <w:rFonts w:cs="Arial"/>
          <w:i/>
          <w:szCs w:val="24"/>
        </w:rPr>
        <w:t>Employment for People with Disabilities: Little Is Known About the Effectiveness of Fragmented and Overlapping Programs.</w:t>
      </w:r>
      <w:r w:rsidRPr="008C6F97">
        <w:rPr>
          <w:rFonts w:cs="Arial"/>
          <w:szCs w:val="24"/>
        </w:rPr>
        <w:t xml:space="preserve"> Washington, DC: U.S. Government Accountability Office. </w:t>
      </w:r>
      <w:hyperlink r:id="rId21" w:tooltip="http://www.gao.gov/assets/600/592074.pdf" w:history="1">
        <w:r w:rsidRPr="008C6F97">
          <w:rPr>
            <w:rStyle w:val="Hyperlink"/>
            <w:rFonts w:cs="Arial"/>
            <w:szCs w:val="24"/>
          </w:rPr>
          <w:t>http://www.gao.gov/assets/600/592074.pdf</w:t>
        </w:r>
      </w:hyperlink>
      <w:r w:rsidRPr="008C6F97">
        <w:rPr>
          <w:rFonts w:cs="Arial"/>
          <w:szCs w:val="24"/>
        </w:rPr>
        <w:t>.</w:t>
      </w:r>
    </w:p>
  </w:endnote>
  <w:endnote w:id="3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Mils, Lisa, and Michael Morris.</w:t>
      </w:r>
      <w:proofErr w:type="gramEnd"/>
      <w:r w:rsidRPr="008C6F97">
        <w:rPr>
          <w:rFonts w:cs="Arial"/>
          <w:szCs w:val="24"/>
        </w:rPr>
        <w:t xml:space="preserve"> 2013. “Making Collaboration Real: Building a Progressive Vision for a Policy and Service Delivery Framework That Promotes the Effective Leveraging of Resources to Improve Employment and Socioeconomic Advancement of Youth and Adults with Disabilities.” </w:t>
      </w:r>
      <w:proofErr w:type="gramStart"/>
      <w:r w:rsidRPr="008C6F97">
        <w:rPr>
          <w:rFonts w:cs="Arial"/>
          <w:szCs w:val="24"/>
        </w:rPr>
        <w:t>LEAD Center.</w:t>
      </w:r>
      <w:proofErr w:type="gramEnd"/>
      <w:r w:rsidRPr="008C6F97">
        <w:rPr>
          <w:rFonts w:cs="Arial"/>
          <w:szCs w:val="24"/>
        </w:rPr>
        <w:t xml:space="preserve"> </w:t>
      </w:r>
      <w:hyperlink r:id="rId22" w:tooltip="http://www.leadcenter.org/resources/report-brief/2013-lead-center-policy-roundtable-report-making-collaboration-real" w:history="1">
        <w:r w:rsidRPr="008C6F97">
          <w:rPr>
            <w:rStyle w:val="Hyperlink"/>
            <w:rFonts w:cs="Arial"/>
            <w:szCs w:val="24"/>
          </w:rPr>
          <w:t>http://www.leadcenter.org/resources/report-brief/2013-lead-center-policy-roundtable-report-making-collaboration-real</w:t>
        </w:r>
      </w:hyperlink>
      <w:r w:rsidRPr="008C6F97">
        <w:rPr>
          <w:rFonts w:cs="Arial"/>
          <w:szCs w:val="24"/>
        </w:rPr>
        <w:t>.</w:t>
      </w:r>
    </w:p>
  </w:endnote>
  <w:endnote w:id="3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Lauer, Eric A., and Andrew J. </w:t>
      </w:r>
      <w:proofErr w:type="spellStart"/>
      <w:r w:rsidRPr="008C6F97">
        <w:rPr>
          <w:rFonts w:cs="Arial"/>
          <w:szCs w:val="24"/>
        </w:rPr>
        <w:t>Houtenville</w:t>
      </w:r>
      <w:proofErr w:type="spellEnd"/>
      <w:r w:rsidRPr="008C6F97">
        <w:rPr>
          <w:rFonts w:cs="Arial"/>
          <w:szCs w:val="24"/>
        </w:rPr>
        <w:t>.</w:t>
      </w:r>
      <w:proofErr w:type="gramEnd"/>
      <w:r w:rsidRPr="008C6F97">
        <w:rPr>
          <w:rFonts w:cs="Arial"/>
          <w:szCs w:val="24"/>
        </w:rPr>
        <w:t xml:space="preserve"> 2017. Annual Disability Statistics Compendium: 2016. Durham, NH: University of New Hampshire, Institute on Disability.</w:t>
      </w:r>
    </w:p>
  </w:endnote>
  <w:endnote w:id="4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Department of Education.</w:t>
      </w:r>
      <w:proofErr w:type="gramEnd"/>
      <w:r w:rsidRPr="008C6F97">
        <w:rPr>
          <w:rFonts w:cs="Arial"/>
          <w:szCs w:val="24"/>
        </w:rPr>
        <w:t xml:space="preserve"> 2017. Rehabilitation Services and Disability Research: Fiscal Year 2017 Budget Request. Washington, DC: U.S. Department of Education. </w:t>
      </w:r>
      <w:hyperlink r:id="rId23" w:tooltip="https://www2.ed.gov/about/overview/budget/budget17/justifications/i-rehab.pdf" w:history="1">
        <w:r w:rsidRPr="008C6F97">
          <w:rPr>
            <w:rStyle w:val="Hyperlink"/>
            <w:rFonts w:cs="Arial"/>
            <w:szCs w:val="24"/>
          </w:rPr>
          <w:t>https://www2.ed.gov/about/overview/budget/budget17/justifications/i-rehab.pdf</w:t>
        </w:r>
      </w:hyperlink>
    </w:p>
  </w:endnote>
  <w:endnote w:id="4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r w:rsidRPr="008C6F97">
        <w:rPr>
          <w:rFonts w:cs="Arial"/>
          <w:szCs w:val="24"/>
        </w:rPr>
        <w:t>Dutta</w:t>
      </w:r>
      <w:proofErr w:type="spellEnd"/>
      <w:r w:rsidRPr="008C6F97">
        <w:rPr>
          <w:rFonts w:cs="Arial"/>
          <w:szCs w:val="24"/>
        </w:rPr>
        <w:t xml:space="preserve">, </w:t>
      </w:r>
      <w:proofErr w:type="spellStart"/>
      <w:r w:rsidRPr="008C6F97">
        <w:rPr>
          <w:rFonts w:cs="Arial"/>
          <w:szCs w:val="24"/>
        </w:rPr>
        <w:t>Alo</w:t>
      </w:r>
      <w:proofErr w:type="spellEnd"/>
      <w:r w:rsidRPr="008C6F97">
        <w:rPr>
          <w:rFonts w:cs="Arial"/>
          <w:szCs w:val="24"/>
        </w:rPr>
        <w:t xml:space="preserve">, et al. 2008. “Vocational Rehabilitation Services and Employment Outcomes for People with Disabilities: A United States Study.” </w:t>
      </w:r>
      <w:r w:rsidRPr="008C6F97">
        <w:rPr>
          <w:rFonts w:cs="Arial"/>
          <w:i/>
          <w:szCs w:val="24"/>
        </w:rPr>
        <w:t>Journal of Occupational Rehabilitation</w:t>
      </w:r>
      <w:r w:rsidRPr="008C6F97">
        <w:rPr>
          <w:rFonts w:cs="Arial"/>
          <w:szCs w:val="24"/>
        </w:rPr>
        <w:t xml:space="preserve"> 18(4): 326.</w:t>
      </w:r>
    </w:p>
  </w:endnote>
  <w:endnote w:id="4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Government Accountability Office.</w:t>
      </w:r>
      <w:proofErr w:type="gramEnd"/>
      <w:r w:rsidRPr="008C6F97">
        <w:rPr>
          <w:rFonts w:cs="Arial"/>
          <w:szCs w:val="24"/>
        </w:rPr>
        <w:t xml:space="preserve"> </w:t>
      </w:r>
      <w:r w:rsidRPr="008C6F97">
        <w:rPr>
          <w:rFonts w:cs="Arial"/>
          <w:i/>
          <w:szCs w:val="24"/>
        </w:rPr>
        <w:t>Vocational Rehabilitation: Earnings Increased for Many SSA Beneficiaries after Completing VR Services, but Few Earned Enough to Leave SSA's Disability Rolls (GAO-07-332).</w:t>
      </w:r>
      <w:r w:rsidRPr="008C6F97">
        <w:rPr>
          <w:rFonts w:cs="Arial"/>
          <w:szCs w:val="24"/>
        </w:rPr>
        <w:t xml:space="preserve"> Washington, DC: U.S. Government Accountability Office.</w:t>
      </w:r>
    </w:p>
  </w:endnote>
  <w:endnote w:id="4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Center on Leadership for the Employment and Economic Advancement of People with Disabilities.</w:t>
      </w:r>
      <w:proofErr w:type="gramEnd"/>
      <w:r w:rsidRPr="008C6F97">
        <w:rPr>
          <w:rFonts w:cs="Arial"/>
          <w:szCs w:val="24"/>
        </w:rPr>
        <w:t xml:space="preserve"> 2016. “Summary Description of FINAL RULES Implementing Title I (State VR Program), Title VI (State Supported Employment Services Program), and Section 511 (Limitations on Use of Subminimum Wage) of the Rehabilitation Act, as amended by Title IV OF WIOA.” </w:t>
      </w:r>
      <w:proofErr w:type="gramStart"/>
      <w:r w:rsidRPr="008C6F97">
        <w:rPr>
          <w:rFonts w:cs="Arial"/>
          <w:szCs w:val="24"/>
        </w:rPr>
        <w:t>LEAD Center Policy Brief.</w:t>
      </w:r>
      <w:proofErr w:type="gramEnd"/>
      <w:r w:rsidRPr="008C6F97">
        <w:rPr>
          <w:rFonts w:cs="Arial"/>
          <w:szCs w:val="24"/>
        </w:rPr>
        <w:t xml:space="preserve"> </w:t>
      </w:r>
      <w:hyperlink r:id="rId24" w:tooltip="http://leadcenter.org/system/files/resource/downloadable_version/wioa-rehab-act-final-rule-aug.pdf" w:history="1">
        <w:r w:rsidRPr="008C6F97">
          <w:rPr>
            <w:rStyle w:val="Hyperlink"/>
            <w:rFonts w:cs="Arial"/>
            <w:szCs w:val="24"/>
          </w:rPr>
          <w:t>http://leadcenter.org/system/files/resource/downloadable_version/wioa-rehab-act-final-rule-aug.pdf</w:t>
        </w:r>
      </w:hyperlink>
      <w:r w:rsidRPr="008C6F97">
        <w:rPr>
          <w:rFonts w:cs="Arial"/>
          <w:szCs w:val="24"/>
        </w:rPr>
        <w:t>.</w:t>
      </w:r>
    </w:p>
  </w:endnote>
  <w:endnote w:id="4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Ipsen</w:t>
      </w:r>
      <w:proofErr w:type="spellEnd"/>
      <w:r w:rsidRPr="008C6F97">
        <w:rPr>
          <w:rFonts w:cs="Arial"/>
          <w:szCs w:val="24"/>
        </w:rPr>
        <w:t xml:space="preserve">, Catherine, and Grant </w:t>
      </w:r>
      <w:proofErr w:type="spellStart"/>
      <w:r w:rsidRPr="008C6F97">
        <w:rPr>
          <w:rFonts w:cs="Arial"/>
          <w:szCs w:val="24"/>
        </w:rPr>
        <w:t>Swicegood</w:t>
      </w:r>
      <w:proofErr w:type="spellEnd"/>
      <w:r w:rsidRPr="008C6F97">
        <w:rPr>
          <w:rFonts w:cs="Arial"/>
          <w:szCs w:val="24"/>
        </w:rPr>
        <w:t>.</w:t>
      </w:r>
      <w:proofErr w:type="gramEnd"/>
      <w:r w:rsidRPr="008C6F97">
        <w:rPr>
          <w:rFonts w:cs="Arial"/>
          <w:szCs w:val="24"/>
        </w:rPr>
        <w:t xml:space="preserve"> 2017. “Rural and Urban Vocational Rehabilitation Self-Employment Outcomes.” </w:t>
      </w:r>
      <w:r w:rsidRPr="008C6F97">
        <w:rPr>
          <w:rFonts w:cs="Arial"/>
          <w:i/>
          <w:szCs w:val="24"/>
        </w:rPr>
        <w:t>Journal of Vocational Rehabilitation</w:t>
      </w:r>
      <w:r w:rsidRPr="008C6F97">
        <w:rPr>
          <w:rFonts w:cs="Arial"/>
          <w:szCs w:val="24"/>
        </w:rPr>
        <w:t xml:space="preserve"> 46(1): 97–105.</w:t>
      </w:r>
    </w:p>
  </w:endnote>
  <w:endnote w:id="4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Minority Business Development Agency, U.S. Department of Commerce.</w:t>
      </w:r>
      <w:proofErr w:type="gramEnd"/>
      <w:r w:rsidRPr="008C6F97">
        <w:rPr>
          <w:rFonts w:cs="Arial"/>
          <w:szCs w:val="24"/>
        </w:rPr>
        <w:t xml:space="preserve"> </w:t>
      </w:r>
      <w:proofErr w:type="spellStart"/>
      <w:proofErr w:type="gramStart"/>
      <w:r w:rsidRPr="008C6F97">
        <w:rPr>
          <w:rFonts w:cs="Arial"/>
          <w:szCs w:val="24"/>
        </w:rPr>
        <w:t>n.d.</w:t>
      </w:r>
      <w:proofErr w:type="spellEnd"/>
      <w:r w:rsidRPr="008C6F97">
        <w:rPr>
          <w:rFonts w:cs="Arial"/>
          <w:szCs w:val="24"/>
        </w:rPr>
        <w:t xml:space="preserve"> “What Is the 8(a) Business Development Program?” </w:t>
      </w:r>
      <w:hyperlink r:id="rId25" w:tooltip="https://www.mbda.gov/news/blog/2012/03/what-8a-business-development-program?page=2" w:history="1">
        <w:r w:rsidRPr="008C6F97">
          <w:rPr>
            <w:rStyle w:val="Hyperlink"/>
            <w:rFonts w:cs="Arial"/>
            <w:szCs w:val="24"/>
          </w:rPr>
          <w:t>https://www.mbda.gov/news/blog/2012/03/what-8a-business-development-program?page=2</w:t>
        </w:r>
      </w:hyperlink>
      <w:r w:rsidRPr="008C6F97">
        <w:rPr>
          <w:rFonts w:cs="Arial"/>
          <w:szCs w:val="24"/>
        </w:rPr>
        <w:t>.</w:t>
      </w:r>
      <w:proofErr w:type="gramEnd"/>
      <w:r w:rsidRPr="008C6F97">
        <w:rPr>
          <w:rFonts w:cs="Arial"/>
          <w:szCs w:val="24"/>
        </w:rPr>
        <w:t xml:space="preserve"> </w:t>
      </w:r>
      <w:proofErr w:type="gramStart"/>
      <w:r w:rsidRPr="008C6F97">
        <w:rPr>
          <w:rFonts w:cs="Arial"/>
          <w:szCs w:val="24"/>
        </w:rPr>
        <w:t>(Accessed June 7, 2017.)</w:t>
      </w:r>
      <w:proofErr w:type="gramEnd"/>
    </w:p>
  </w:endnote>
  <w:endnote w:id="4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r w:rsidRPr="008C6F97">
        <w:rPr>
          <w:rFonts w:cs="Arial"/>
          <w:szCs w:val="24"/>
        </w:rPr>
        <w:t>Pumkam</w:t>
      </w:r>
      <w:proofErr w:type="spellEnd"/>
      <w:r w:rsidRPr="008C6F97">
        <w:rPr>
          <w:rFonts w:cs="Arial"/>
          <w:szCs w:val="24"/>
        </w:rPr>
        <w:t xml:space="preserve">, </w:t>
      </w:r>
      <w:proofErr w:type="spellStart"/>
      <w:r w:rsidRPr="008C6F97">
        <w:rPr>
          <w:rFonts w:cs="Arial"/>
          <w:szCs w:val="24"/>
        </w:rPr>
        <w:t>Chaiporn</w:t>
      </w:r>
      <w:proofErr w:type="spellEnd"/>
      <w:r w:rsidRPr="008C6F97">
        <w:rPr>
          <w:rFonts w:cs="Arial"/>
          <w:szCs w:val="24"/>
        </w:rPr>
        <w:t xml:space="preserve">, et al. 2013. “Health Care Expenditures </w:t>
      </w:r>
      <w:proofErr w:type="gramStart"/>
      <w:r w:rsidRPr="008C6F97">
        <w:rPr>
          <w:rFonts w:cs="Arial"/>
          <w:szCs w:val="24"/>
        </w:rPr>
        <w:t>Among</w:t>
      </w:r>
      <w:proofErr w:type="gramEnd"/>
      <w:r w:rsidRPr="008C6F97">
        <w:rPr>
          <w:rFonts w:cs="Arial"/>
          <w:szCs w:val="24"/>
        </w:rPr>
        <w:t xml:space="preserve"> Working-Age Adults with Physical Disabilities: Variations by Disability Spans.” </w:t>
      </w:r>
      <w:r w:rsidRPr="008C6F97">
        <w:rPr>
          <w:rFonts w:cs="Arial"/>
          <w:i/>
          <w:szCs w:val="24"/>
        </w:rPr>
        <w:t>Disability and Health Journal</w:t>
      </w:r>
      <w:r w:rsidRPr="008C6F97">
        <w:rPr>
          <w:rFonts w:cs="Arial"/>
          <w:szCs w:val="24"/>
        </w:rPr>
        <w:t xml:space="preserve"> 6(4): 287–296; Burns, Marguerite, </w:t>
      </w:r>
      <w:proofErr w:type="spellStart"/>
      <w:r w:rsidRPr="008C6F97">
        <w:rPr>
          <w:rFonts w:cs="Arial"/>
          <w:szCs w:val="24"/>
        </w:rPr>
        <w:t>Nilay</w:t>
      </w:r>
      <w:proofErr w:type="spellEnd"/>
      <w:r w:rsidRPr="008C6F97">
        <w:rPr>
          <w:rFonts w:cs="Arial"/>
          <w:szCs w:val="24"/>
        </w:rPr>
        <w:t xml:space="preserve"> Shah, and Maureen Smith. 2010. “Why Some Disabled Adults in Medicaid Face Large Out-of-Pocket Expenses.” </w:t>
      </w:r>
      <w:r w:rsidRPr="008C6F97">
        <w:rPr>
          <w:rFonts w:cs="Arial"/>
          <w:i/>
          <w:szCs w:val="24"/>
        </w:rPr>
        <w:t>Health Affairs (Millwood)</w:t>
      </w:r>
      <w:r w:rsidRPr="008C6F97">
        <w:rPr>
          <w:rFonts w:cs="Arial"/>
          <w:szCs w:val="24"/>
        </w:rPr>
        <w:t xml:space="preserve"> 29(8): 1517–1522. </w:t>
      </w:r>
      <w:proofErr w:type="spellStart"/>
      <w:proofErr w:type="gramStart"/>
      <w:r w:rsidRPr="008C6F97">
        <w:rPr>
          <w:rFonts w:cs="Arial"/>
          <w:szCs w:val="24"/>
        </w:rPr>
        <w:t>Musumeci</w:t>
      </w:r>
      <w:proofErr w:type="spellEnd"/>
      <w:r w:rsidRPr="008C6F97">
        <w:rPr>
          <w:rFonts w:cs="Arial"/>
          <w:szCs w:val="24"/>
        </w:rPr>
        <w:t xml:space="preserve">, </w:t>
      </w:r>
      <w:proofErr w:type="spellStart"/>
      <w:r w:rsidRPr="008C6F97">
        <w:rPr>
          <w:rFonts w:cs="Arial"/>
          <w:szCs w:val="24"/>
        </w:rPr>
        <w:t>MaryBeth</w:t>
      </w:r>
      <w:proofErr w:type="spellEnd"/>
      <w:r w:rsidRPr="008C6F97">
        <w:rPr>
          <w:rFonts w:cs="Arial"/>
          <w:szCs w:val="24"/>
        </w:rPr>
        <w:t xml:space="preserve">, and Julia </w:t>
      </w:r>
      <w:proofErr w:type="spellStart"/>
      <w:r w:rsidRPr="008C6F97">
        <w:rPr>
          <w:rFonts w:cs="Arial"/>
          <w:szCs w:val="24"/>
        </w:rPr>
        <w:t>Foutz</w:t>
      </w:r>
      <w:proofErr w:type="spellEnd"/>
      <w:r w:rsidRPr="008C6F97">
        <w:rPr>
          <w:rFonts w:cs="Arial"/>
          <w:szCs w:val="24"/>
        </w:rPr>
        <w:t>.</w:t>
      </w:r>
      <w:proofErr w:type="gramEnd"/>
      <w:r w:rsidRPr="008C6F97">
        <w:rPr>
          <w:rFonts w:cs="Arial"/>
          <w:szCs w:val="24"/>
        </w:rPr>
        <w:t xml:space="preserve"> 2017. “Medicaid Restructuring Under the American Health Care Act and Nonelderly Adults with Disabilities.” </w:t>
      </w:r>
      <w:proofErr w:type="gramStart"/>
      <w:r w:rsidRPr="008C6F97">
        <w:rPr>
          <w:rFonts w:cs="Arial"/>
          <w:szCs w:val="24"/>
        </w:rPr>
        <w:t>The Henry J. Kaiser Family Foundation.</w:t>
      </w:r>
      <w:proofErr w:type="gramEnd"/>
      <w:r w:rsidRPr="008C6F97">
        <w:rPr>
          <w:rFonts w:cs="Arial"/>
          <w:szCs w:val="24"/>
        </w:rPr>
        <w:t xml:space="preserve"> </w:t>
      </w:r>
      <w:hyperlink r:id="rId26" w:tooltip="http://kff.org/medicaid/issue-brief/medicaid-restructuring-under-the-american-health-care-act-and-nonelderly-adults-with-disabilities/" w:history="1">
        <w:r w:rsidRPr="008C6F97">
          <w:rPr>
            <w:rStyle w:val="Hyperlink"/>
            <w:rFonts w:cs="Arial"/>
            <w:szCs w:val="24"/>
          </w:rPr>
          <w:t>http://kff.org/medicaid/issue-brief/medicaid-restructuring-under-the-american-health-care-act-and-nonelderly-adults-with-disabilities/</w:t>
        </w:r>
      </w:hyperlink>
      <w:r w:rsidRPr="008C6F97">
        <w:rPr>
          <w:rFonts w:cs="Arial"/>
          <w:szCs w:val="24"/>
        </w:rPr>
        <w:t>.</w:t>
      </w:r>
    </w:p>
  </w:endnote>
  <w:endnote w:id="4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Young, Katherine, et al. 2013. </w:t>
      </w:r>
      <w:proofErr w:type="gramStart"/>
      <w:r w:rsidRPr="008C6F97">
        <w:rPr>
          <w:rFonts w:cs="Arial"/>
          <w:i/>
          <w:szCs w:val="24"/>
        </w:rPr>
        <w:t>Medicaid’s Role for Dual Eligible Beneficiaries.</w:t>
      </w:r>
      <w:proofErr w:type="gramEnd"/>
      <w:r w:rsidRPr="008C6F97">
        <w:rPr>
          <w:rFonts w:cs="Arial"/>
          <w:szCs w:val="24"/>
        </w:rPr>
        <w:t xml:space="preserve"> Menlo Park, CA: The Henry J. Kaiser Family Foundation, </w:t>
      </w:r>
      <w:proofErr w:type="gramStart"/>
      <w:r w:rsidRPr="008C6F97">
        <w:rPr>
          <w:rFonts w:cs="Arial"/>
          <w:szCs w:val="24"/>
        </w:rPr>
        <w:t>The</w:t>
      </w:r>
      <w:proofErr w:type="gramEnd"/>
      <w:r w:rsidRPr="008C6F97">
        <w:rPr>
          <w:rFonts w:cs="Arial"/>
          <w:szCs w:val="24"/>
        </w:rPr>
        <w:t xml:space="preserve"> Kaiser Commission on Medicaid and the Uninsured. </w:t>
      </w:r>
      <w:hyperlink r:id="rId27" w:tooltip="https://kaiserfamilyfoundation.files.wordpress.com/2013/08/7846-04-medicaids-role-for-dual-eligible-beneficiaries.pdf" w:history="1">
        <w:r w:rsidRPr="008C6F97">
          <w:rPr>
            <w:rStyle w:val="Hyperlink"/>
            <w:rFonts w:cs="Arial"/>
            <w:szCs w:val="24"/>
          </w:rPr>
          <w:t>https://kaiserfamilyfoundation.files.wordpress.com/2013/08/7846-04-medicaids-role-for-dual-eligible-beneficiaries.pdf</w:t>
        </w:r>
      </w:hyperlink>
      <w:r w:rsidRPr="008C6F97">
        <w:rPr>
          <w:rFonts w:cs="Arial"/>
          <w:szCs w:val="24"/>
        </w:rPr>
        <w:t>.</w:t>
      </w:r>
    </w:p>
  </w:endnote>
  <w:endnote w:id="4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Musumeci</w:t>
      </w:r>
      <w:proofErr w:type="spellEnd"/>
      <w:r w:rsidRPr="008C6F97">
        <w:rPr>
          <w:rFonts w:cs="Arial"/>
          <w:szCs w:val="24"/>
        </w:rPr>
        <w:t xml:space="preserve">, </w:t>
      </w:r>
      <w:proofErr w:type="spellStart"/>
      <w:r w:rsidRPr="008C6F97">
        <w:rPr>
          <w:rFonts w:cs="Arial"/>
          <w:szCs w:val="24"/>
        </w:rPr>
        <w:t>MaryBeth</w:t>
      </w:r>
      <w:proofErr w:type="spellEnd"/>
      <w:r w:rsidRPr="008C6F97">
        <w:rPr>
          <w:rFonts w:cs="Arial"/>
          <w:szCs w:val="24"/>
        </w:rPr>
        <w:t>, and Katherine Young.</w:t>
      </w:r>
      <w:proofErr w:type="gramEnd"/>
      <w:r w:rsidRPr="008C6F97">
        <w:rPr>
          <w:rFonts w:cs="Arial"/>
          <w:szCs w:val="24"/>
        </w:rPr>
        <w:t xml:space="preserve"> 2017. “State Variation in Medicaid </w:t>
      </w:r>
      <w:proofErr w:type="gramStart"/>
      <w:r w:rsidRPr="008C6F97">
        <w:rPr>
          <w:rFonts w:cs="Arial"/>
          <w:szCs w:val="24"/>
        </w:rPr>
        <w:t>Per</w:t>
      </w:r>
      <w:proofErr w:type="gramEnd"/>
      <w:r w:rsidRPr="008C6F97">
        <w:rPr>
          <w:rFonts w:cs="Arial"/>
          <w:szCs w:val="24"/>
        </w:rPr>
        <w:t xml:space="preserve"> Enrollee Spending for Seniors and People with Disabilities.” </w:t>
      </w:r>
      <w:proofErr w:type="gramStart"/>
      <w:r w:rsidRPr="008C6F97">
        <w:rPr>
          <w:rFonts w:cs="Arial"/>
          <w:szCs w:val="24"/>
        </w:rPr>
        <w:t>The Henry J. Kaiser Family Foundation.</w:t>
      </w:r>
      <w:proofErr w:type="gramEnd"/>
      <w:r w:rsidRPr="008C6F97">
        <w:rPr>
          <w:rFonts w:cs="Arial"/>
          <w:szCs w:val="24"/>
        </w:rPr>
        <w:t xml:space="preserve"> </w:t>
      </w:r>
      <w:hyperlink r:id="rId28" w:tooltip="http://kff.org/medicaid/issue-brief/state-variation-in-medicaid-per-enrollee-spending-for-seniors-and-people-with-disabilities/" w:history="1">
        <w:r w:rsidRPr="008C6F97">
          <w:rPr>
            <w:rStyle w:val="Hyperlink"/>
            <w:rFonts w:cs="Arial"/>
            <w:szCs w:val="24"/>
          </w:rPr>
          <w:t>http://kff.org/medicaid/issue-brief/state-variation-in-medicaid-per-enrollee-spending-for-seniors-and-people-with-disabilities/</w:t>
        </w:r>
      </w:hyperlink>
      <w:r w:rsidRPr="008C6F97">
        <w:rPr>
          <w:rFonts w:cs="Arial"/>
          <w:szCs w:val="24"/>
        </w:rPr>
        <w:t>.</w:t>
      </w:r>
    </w:p>
  </w:endnote>
  <w:endnote w:id="4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U.S. Social Security Administration, “Federally Administered Payments,” </w:t>
      </w:r>
      <w:r w:rsidRPr="008C6F97">
        <w:rPr>
          <w:rFonts w:cs="Arial"/>
          <w:i/>
          <w:szCs w:val="24"/>
        </w:rPr>
        <w:t>SSI Annual Statistical Report</w:t>
      </w:r>
      <w:r w:rsidRPr="008C6F97">
        <w:rPr>
          <w:rFonts w:cs="Arial"/>
          <w:szCs w:val="24"/>
        </w:rPr>
        <w:t xml:space="preserve"> (U.S. Social Security Administration, Office of Retirement and Disability Policy, 2015). </w:t>
      </w:r>
      <w:hyperlink r:id="rId29" w:tooltip="https://www.ssa.gov/policy/docs/statcomps/ssi_asr/2015/sect02.html" w:history="1">
        <w:r w:rsidRPr="008C6F97">
          <w:rPr>
            <w:rStyle w:val="Hyperlink"/>
            <w:rFonts w:cs="Arial"/>
            <w:szCs w:val="24"/>
          </w:rPr>
          <w:t>https://www.ssa.gov/policy/docs/statcomps/ssi_asr/2015/sect02.html</w:t>
        </w:r>
      </w:hyperlink>
      <w:r w:rsidRPr="008C6F97">
        <w:rPr>
          <w:rFonts w:cs="Arial"/>
          <w:szCs w:val="24"/>
        </w:rPr>
        <w:t>.</w:t>
      </w:r>
    </w:p>
  </w:endnote>
  <w:endnote w:id="5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Young, </w:t>
      </w:r>
      <w:r w:rsidRPr="008C6F97">
        <w:rPr>
          <w:rFonts w:cs="Arial"/>
          <w:i/>
          <w:szCs w:val="24"/>
        </w:rPr>
        <w:t>Medicaid’s Role for Dual Eligible Beneficiaries.</w:t>
      </w:r>
    </w:p>
  </w:endnote>
  <w:endnote w:id="5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Levy, Alice R., Brian K. </w:t>
      </w:r>
      <w:proofErr w:type="spellStart"/>
      <w:r w:rsidRPr="008C6F97">
        <w:rPr>
          <w:rFonts w:cs="Arial"/>
          <w:szCs w:val="24"/>
        </w:rPr>
        <w:t>Bruen</w:t>
      </w:r>
      <w:proofErr w:type="spellEnd"/>
      <w:r w:rsidRPr="008C6F97">
        <w:rPr>
          <w:rFonts w:cs="Arial"/>
          <w:szCs w:val="24"/>
        </w:rPr>
        <w:t>, and Leighton C. Ku.</w:t>
      </w:r>
      <w:proofErr w:type="gramEnd"/>
      <w:r w:rsidRPr="008C6F97">
        <w:rPr>
          <w:rFonts w:cs="Arial"/>
          <w:szCs w:val="24"/>
        </w:rPr>
        <w:t xml:space="preserve"> 2013. “The Potential Employment Impact of Health Reform on Working-Age Adults with Disabilities.” </w:t>
      </w:r>
      <w:r w:rsidRPr="008C6F97">
        <w:rPr>
          <w:rFonts w:cs="Arial"/>
          <w:i/>
          <w:szCs w:val="24"/>
        </w:rPr>
        <w:t>Journal of Disability Policy Studies</w:t>
      </w:r>
      <w:r w:rsidRPr="008C6F97">
        <w:rPr>
          <w:rFonts w:cs="Arial"/>
          <w:szCs w:val="24"/>
        </w:rPr>
        <w:t xml:space="preserve"> 24(2): 102–112.</w:t>
      </w:r>
    </w:p>
  </w:endnote>
  <w:endnote w:id="5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Sowers, Mary, Henry Claypool, and </w:t>
      </w:r>
      <w:proofErr w:type="spellStart"/>
      <w:r w:rsidRPr="008C6F97">
        <w:rPr>
          <w:rFonts w:cs="Arial"/>
          <w:szCs w:val="24"/>
        </w:rPr>
        <w:t>MaryBeth</w:t>
      </w:r>
      <w:proofErr w:type="spellEnd"/>
      <w:r w:rsidRPr="008C6F97">
        <w:rPr>
          <w:rFonts w:cs="Arial"/>
          <w:szCs w:val="24"/>
        </w:rPr>
        <w:t xml:space="preserve"> </w:t>
      </w:r>
      <w:proofErr w:type="spellStart"/>
      <w:r w:rsidRPr="008C6F97">
        <w:rPr>
          <w:rFonts w:cs="Arial"/>
          <w:szCs w:val="24"/>
        </w:rPr>
        <w:t>Musumeci</w:t>
      </w:r>
      <w:proofErr w:type="spellEnd"/>
      <w:r w:rsidRPr="008C6F97">
        <w:rPr>
          <w:rFonts w:cs="Arial"/>
          <w:szCs w:val="24"/>
        </w:rPr>
        <w:t>.</w:t>
      </w:r>
      <w:proofErr w:type="gramEnd"/>
      <w:r w:rsidRPr="008C6F97">
        <w:rPr>
          <w:rFonts w:cs="Arial"/>
          <w:szCs w:val="24"/>
        </w:rPr>
        <w:t xml:space="preserve"> 2016. </w:t>
      </w:r>
      <w:r w:rsidRPr="008C6F97">
        <w:rPr>
          <w:rFonts w:cs="Arial"/>
          <w:i/>
          <w:szCs w:val="24"/>
        </w:rPr>
        <w:t>Streamlining Medicaid Home and Community-Based Services: Key Policy Questions.</w:t>
      </w:r>
      <w:r w:rsidRPr="008C6F97">
        <w:rPr>
          <w:rFonts w:cs="Arial"/>
          <w:szCs w:val="24"/>
        </w:rPr>
        <w:t xml:space="preserve"> Menlo Park, CA: The Henry J. Kaiser Family Foundation. </w:t>
      </w:r>
      <w:hyperlink r:id="rId30" w:tooltip="http://kff.org/medicaid/issue-brief/streamlining-medicaid-home-and-community-based-services-key-policy-questions/" w:history="1">
        <w:r w:rsidRPr="008C6F97">
          <w:rPr>
            <w:rStyle w:val="Hyperlink"/>
            <w:rFonts w:cs="Arial"/>
            <w:szCs w:val="24"/>
          </w:rPr>
          <w:t>http://kff.org/medicaid/issue-brief/streamlining-medicaid-home-and-community-based-services-key-policy-questions/</w:t>
        </w:r>
      </w:hyperlink>
      <w:r w:rsidRPr="008C6F97">
        <w:rPr>
          <w:rFonts w:cs="Arial"/>
          <w:szCs w:val="24"/>
        </w:rPr>
        <w:t>.</w:t>
      </w:r>
    </w:p>
  </w:endnote>
  <w:endnote w:id="5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Musumeci</w:t>
      </w:r>
      <w:proofErr w:type="spellEnd"/>
      <w:r w:rsidRPr="008C6F97">
        <w:rPr>
          <w:rFonts w:cs="Arial"/>
          <w:szCs w:val="24"/>
        </w:rPr>
        <w:t xml:space="preserve"> and </w:t>
      </w:r>
      <w:proofErr w:type="spellStart"/>
      <w:r w:rsidRPr="008C6F97">
        <w:rPr>
          <w:rFonts w:cs="Arial"/>
          <w:szCs w:val="24"/>
        </w:rPr>
        <w:t>Foutz</w:t>
      </w:r>
      <w:proofErr w:type="spellEnd"/>
      <w:r w:rsidRPr="008C6F97">
        <w:rPr>
          <w:rFonts w:cs="Arial"/>
          <w:szCs w:val="24"/>
        </w:rPr>
        <w:t>, “Medicaid Restructuring</w:t>
      </w:r>
      <w:r w:rsidRPr="008C6F97">
        <w:rPr>
          <w:rFonts w:cs="Arial"/>
          <w:i/>
          <w:szCs w:val="24"/>
        </w:rPr>
        <w:t>.</w:t>
      </w:r>
      <w:r w:rsidRPr="008C6F97">
        <w:rPr>
          <w:rFonts w:cs="Arial"/>
          <w:szCs w:val="24"/>
        </w:rPr>
        <w:t>”</w:t>
      </w:r>
      <w:proofErr w:type="gramEnd"/>
    </w:p>
  </w:endnote>
  <w:endnote w:id="5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National Federation of Independent Business (NFIB) v. </w:t>
      </w:r>
      <w:proofErr w:type="spellStart"/>
      <w:r w:rsidRPr="008C6F97">
        <w:rPr>
          <w:rFonts w:cs="Arial"/>
          <w:szCs w:val="24"/>
        </w:rPr>
        <w:t>Sebelius</w:t>
      </w:r>
      <w:proofErr w:type="spellEnd"/>
      <w:r w:rsidRPr="008C6F97">
        <w:rPr>
          <w:rFonts w:cs="Arial"/>
          <w:szCs w:val="24"/>
        </w:rPr>
        <w:t>, 132 S. Ct. 2566 (2012).</w:t>
      </w:r>
      <w:proofErr w:type="gramEnd"/>
    </w:p>
  </w:endnote>
  <w:endnote w:id="5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lang w:val="fr-FR"/>
        </w:rPr>
        <w:t xml:space="preserve"> Hall, Jean P., et al. 2017. </w:t>
      </w:r>
      <w:r w:rsidRPr="008C6F97">
        <w:rPr>
          <w:rFonts w:cs="Arial"/>
          <w:szCs w:val="24"/>
        </w:rPr>
        <w:t xml:space="preserve">“Effect of Medicaid Expansion on Workforce Participation for People with Disabilities.” </w:t>
      </w:r>
      <w:r w:rsidRPr="008C6F97">
        <w:rPr>
          <w:rFonts w:cs="Arial"/>
          <w:i/>
          <w:szCs w:val="24"/>
        </w:rPr>
        <w:t>American Journal of Public Health</w:t>
      </w:r>
      <w:r w:rsidRPr="008C6F97">
        <w:rPr>
          <w:rFonts w:cs="Arial"/>
          <w:szCs w:val="24"/>
        </w:rPr>
        <w:t xml:space="preserve"> 107(2): 262–264.</w:t>
      </w:r>
    </w:p>
  </w:endnote>
  <w:endnote w:id="5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Sowers et al., </w:t>
      </w:r>
      <w:r w:rsidRPr="008C6F97">
        <w:rPr>
          <w:rFonts w:cs="Arial"/>
          <w:i/>
          <w:szCs w:val="24"/>
        </w:rPr>
        <w:t>Streamlining Medicaid.</w:t>
      </w:r>
      <w:proofErr w:type="gramEnd"/>
    </w:p>
  </w:endnote>
  <w:endnote w:id="5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Musumeci</w:t>
      </w:r>
      <w:proofErr w:type="spellEnd"/>
      <w:r w:rsidRPr="008C6F97">
        <w:rPr>
          <w:rFonts w:cs="Arial"/>
          <w:szCs w:val="24"/>
        </w:rPr>
        <w:t xml:space="preserve"> and Young, “State Variation in Medicaid.”</w:t>
      </w:r>
      <w:proofErr w:type="gramEnd"/>
    </w:p>
  </w:endnote>
  <w:endnote w:id="5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Congressional Budget Office.</w:t>
      </w:r>
      <w:proofErr w:type="gramEnd"/>
      <w:r w:rsidRPr="008C6F97">
        <w:rPr>
          <w:rFonts w:cs="Arial"/>
          <w:szCs w:val="24"/>
        </w:rPr>
        <w:t xml:space="preserve"> 2017.</w:t>
      </w:r>
      <w:r w:rsidRPr="008C6F97">
        <w:rPr>
          <w:rFonts w:cs="Arial"/>
          <w:b/>
          <w:szCs w:val="24"/>
        </w:rPr>
        <w:t xml:space="preserve"> </w:t>
      </w:r>
      <w:r w:rsidRPr="008C6F97">
        <w:rPr>
          <w:rFonts w:cs="Arial"/>
          <w:szCs w:val="24"/>
        </w:rPr>
        <w:t xml:space="preserve">“Detail of Spending and Enrollment for Medicaid for CBO’s January 2017 Baseline.” </w:t>
      </w:r>
      <w:hyperlink r:id="rId31" w:tooltip="https://www.cbo.gov/sites/default/files/recurringdata/51301-2017-01-medicaid.pdf" w:history="1">
        <w:r w:rsidRPr="008C6F97">
          <w:rPr>
            <w:rStyle w:val="Hyperlink"/>
            <w:rFonts w:cs="Arial"/>
            <w:szCs w:val="24"/>
          </w:rPr>
          <w:t>https://www.cbo.gov/sites/default/files/recurringdata/51301-2017-01-medicaid.pdf</w:t>
        </w:r>
      </w:hyperlink>
      <w:r w:rsidRPr="008C6F97">
        <w:rPr>
          <w:rFonts w:cs="Arial"/>
          <w:szCs w:val="24"/>
        </w:rPr>
        <w:t xml:space="preserve">. </w:t>
      </w:r>
      <w:proofErr w:type="gramStart"/>
      <w:r w:rsidRPr="008C6F97">
        <w:rPr>
          <w:rFonts w:cs="Arial"/>
          <w:szCs w:val="24"/>
        </w:rPr>
        <w:t>(Accessed May 30, 2017.)</w:t>
      </w:r>
      <w:proofErr w:type="gramEnd"/>
    </w:p>
  </w:endnote>
  <w:endnote w:id="5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O’Malley Watts, Molly, Elizabeth </w:t>
      </w:r>
      <w:proofErr w:type="spellStart"/>
      <w:r w:rsidRPr="008C6F97">
        <w:rPr>
          <w:rFonts w:cs="Arial"/>
          <w:szCs w:val="24"/>
        </w:rPr>
        <w:t>Cornachione</w:t>
      </w:r>
      <w:proofErr w:type="spellEnd"/>
      <w:r w:rsidRPr="008C6F97">
        <w:rPr>
          <w:rFonts w:cs="Arial"/>
          <w:szCs w:val="24"/>
        </w:rPr>
        <w:t xml:space="preserve">, and </w:t>
      </w:r>
      <w:proofErr w:type="spellStart"/>
      <w:r w:rsidRPr="008C6F97">
        <w:rPr>
          <w:rFonts w:cs="Arial"/>
          <w:szCs w:val="24"/>
        </w:rPr>
        <w:t>MaryBeth</w:t>
      </w:r>
      <w:proofErr w:type="spellEnd"/>
      <w:r w:rsidRPr="008C6F97">
        <w:rPr>
          <w:rFonts w:cs="Arial"/>
          <w:szCs w:val="24"/>
        </w:rPr>
        <w:t xml:space="preserve"> </w:t>
      </w:r>
      <w:proofErr w:type="spellStart"/>
      <w:r w:rsidRPr="008C6F97">
        <w:rPr>
          <w:rFonts w:cs="Arial"/>
          <w:szCs w:val="24"/>
        </w:rPr>
        <w:t>Musumeci</w:t>
      </w:r>
      <w:proofErr w:type="spellEnd"/>
      <w:r w:rsidRPr="008C6F97">
        <w:rPr>
          <w:rFonts w:cs="Arial"/>
          <w:szCs w:val="24"/>
        </w:rPr>
        <w:t>.</w:t>
      </w:r>
      <w:proofErr w:type="gramEnd"/>
      <w:r w:rsidRPr="008C6F97">
        <w:rPr>
          <w:rFonts w:cs="Arial"/>
          <w:szCs w:val="24"/>
        </w:rPr>
        <w:t xml:space="preserve"> 2016. “Medicaid Financial Eligibility for </w:t>
      </w:r>
      <w:proofErr w:type="gramStart"/>
      <w:r w:rsidRPr="008C6F97">
        <w:rPr>
          <w:rFonts w:cs="Arial"/>
          <w:szCs w:val="24"/>
        </w:rPr>
        <w:t>Seniors</w:t>
      </w:r>
      <w:proofErr w:type="gramEnd"/>
      <w:r w:rsidRPr="008C6F97">
        <w:rPr>
          <w:rFonts w:cs="Arial"/>
          <w:szCs w:val="24"/>
        </w:rPr>
        <w:t xml:space="preserve"> and People with Disabilities in 2015.” </w:t>
      </w:r>
      <w:proofErr w:type="gramStart"/>
      <w:r w:rsidRPr="008C6F97">
        <w:rPr>
          <w:rFonts w:cs="Arial"/>
          <w:szCs w:val="24"/>
        </w:rPr>
        <w:t>The Kaiser Commission on Medicaid and the Uninsured.</w:t>
      </w:r>
      <w:proofErr w:type="gramEnd"/>
      <w:r w:rsidRPr="008C6F97">
        <w:rPr>
          <w:rFonts w:cs="Arial"/>
          <w:szCs w:val="24"/>
        </w:rPr>
        <w:t xml:space="preserve"> </w:t>
      </w:r>
      <w:hyperlink r:id="rId32" w:tooltip="http://files.kff.org/attachment/report-medicaid-financial-eligibility-for-seniors-and-people-with-disabilities-in-2015" w:history="1">
        <w:r w:rsidRPr="008C6F97">
          <w:rPr>
            <w:rStyle w:val="Hyperlink"/>
            <w:rFonts w:cs="Arial"/>
            <w:szCs w:val="24"/>
          </w:rPr>
          <w:t>http://files.kff.org/attachment/report-medicaid-financial-eligibility-for-seniors-and-people-with-disabilities-in-2015</w:t>
        </w:r>
      </w:hyperlink>
      <w:r w:rsidRPr="008C6F97">
        <w:rPr>
          <w:rFonts w:cs="Arial"/>
          <w:szCs w:val="24"/>
        </w:rPr>
        <w:t>.</w:t>
      </w:r>
    </w:p>
  </w:endnote>
  <w:endnote w:id="6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U.S. Social Security Administration, “Federally Administered Payments.”</w:t>
      </w:r>
    </w:p>
  </w:endnote>
  <w:endnote w:id="6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Ibid.</w:t>
      </w:r>
    </w:p>
  </w:endnote>
  <w:endnote w:id="6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Bailey, Michelle </w:t>
      </w:r>
      <w:proofErr w:type="spellStart"/>
      <w:r w:rsidRPr="008C6F97">
        <w:rPr>
          <w:rFonts w:cs="Arial"/>
          <w:szCs w:val="24"/>
        </w:rPr>
        <w:t>Stegman</w:t>
      </w:r>
      <w:proofErr w:type="spellEnd"/>
      <w:r w:rsidRPr="008C6F97">
        <w:rPr>
          <w:rFonts w:cs="Arial"/>
          <w:szCs w:val="24"/>
        </w:rPr>
        <w:t xml:space="preserve">, and Jeffrey </w:t>
      </w:r>
      <w:proofErr w:type="spellStart"/>
      <w:r w:rsidRPr="008C6F97">
        <w:rPr>
          <w:rFonts w:cs="Arial"/>
          <w:szCs w:val="24"/>
        </w:rPr>
        <w:t>Hemmeter</w:t>
      </w:r>
      <w:proofErr w:type="spellEnd"/>
      <w:r w:rsidRPr="008C6F97">
        <w:rPr>
          <w:rFonts w:cs="Arial"/>
          <w:szCs w:val="24"/>
        </w:rPr>
        <w:t>.</w:t>
      </w:r>
      <w:proofErr w:type="gramEnd"/>
      <w:r w:rsidRPr="008C6F97">
        <w:rPr>
          <w:rFonts w:cs="Arial"/>
          <w:szCs w:val="24"/>
        </w:rPr>
        <w:t xml:space="preserve"> 2015. “Characteristics of </w:t>
      </w:r>
      <w:proofErr w:type="spellStart"/>
      <w:r w:rsidRPr="008C6F97">
        <w:rPr>
          <w:rFonts w:cs="Arial"/>
          <w:szCs w:val="24"/>
        </w:rPr>
        <w:t>Noninstitutionalized</w:t>
      </w:r>
      <w:proofErr w:type="spellEnd"/>
      <w:r w:rsidRPr="008C6F97">
        <w:rPr>
          <w:rFonts w:cs="Arial"/>
          <w:szCs w:val="24"/>
        </w:rPr>
        <w:t xml:space="preserve"> DI and SSI Program Participants, 2013 Update.” </w:t>
      </w:r>
      <w:proofErr w:type="gramStart"/>
      <w:r w:rsidRPr="008C6F97">
        <w:rPr>
          <w:rFonts w:cs="Arial"/>
          <w:szCs w:val="24"/>
        </w:rPr>
        <w:t xml:space="preserve">In </w:t>
      </w:r>
      <w:r w:rsidRPr="008C6F97">
        <w:rPr>
          <w:rFonts w:cs="Arial"/>
          <w:i/>
          <w:szCs w:val="24"/>
        </w:rPr>
        <w:t>Research and Statistics Note No. 2015-02.</w:t>
      </w:r>
      <w:proofErr w:type="gramEnd"/>
      <w:r w:rsidRPr="008C6F97">
        <w:rPr>
          <w:rFonts w:cs="Arial"/>
          <w:szCs w:val="24"/>
        </w:rPr>
        <w:t xml:space="preserve"> Washington, DC: U.S. Social Security Administration, Office of Retirement and Disability Policy. </w:t>
      </w:r>
      <w:hyperlink r:id="rId33" w:tooltip="https://www.ssa.gov/policy/docs/rsnotes/rsn2015-02.html" w:history="1">
        <w:r w:rsidRPr="008C6F97">
          <w:rPr>
            <w:rStyle w:val="Hyperlink"/>
            <w:rFonts w:cs="Arial"/>
            <w:szCs w:val="24"/>
          </w:rPr>
          <w:t>https://www.ssa.gov/policy/docs/rsnotes/rsn2015-02.html</w:t>
        </w:r>
      </w:hyperlink>
      <w:r w:rsidRPr="008C6F97">
        <w:rPr>
          <w:rFonts w:cs="Arial"/>
          <w:szCs w:val="24"/>
        </w:rPr>
        <w:t>.</w:t>
      </w:r>
    </w:p>
  </w:endnote>
  <w:endnote w:id="6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Bailey and </w:t>
      </w:r>
      <w:proofErr w:type="spellStart"/>
      <w:r w:rsidRPr="008C6F97">
        <w:rPr>
          <w:rFonts w:cs="Arial"/>
          <w:szCs w:val="24"/>
        </w:rPr>
        <w:t>Hemmeter</w:t>
      </w:r>
      <w:proofErr w:type="spellEnd"/>
      <w:r w:rsidRPr="008C6F97">
        <w:rPr>
          <w:rFonts w:cs="Arial"/>
          <w:szCs w:val="24"/>
        </w:rPr>
        <w:t xml:space="preserve">, “Characteristics of </w:t>
      </w:r>
      <w:proofErr w:type="spellStart"/>
      <w:r w:rsidRPr="008C6F97">
        <w:rPr>
          <w:rFonts w:cs="Arial"/>
          <w:szCs w:val="24"/>
        </w:rPr>
        <w:t>Noninstitutionalized</w:t>
      </w:r>
      <w:proofErr w:type="spellEnd"/>
      <w:r w:rsidRPr="008C6F97">
        <w:rPr>
          <w:rFonts w:cs="Arial"/>
          <w:szCs w:val="24"/>
        </w:rPr>
        <w:t xml:space="preserve"> DI.”</w:t>
      </w:r>
      <w:proofErr w:type="gramEnd"/>
    </w:p>
  </w:endnote>
  <w:endnote w:id="6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U.S. Social Security Administration, “Federally Administered Payments.”</w:t>
      </w:r>
    </w:p>
  </w:endnote>
  <w:endnote w:id="6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Bailey and </w:t>
      </w:r>
      <w:proofErr w:type="spellStart"/>
      <w:r w:rsidRPr="008C6F97">
        <w:rPr>
          <w:rFonts w:cs="Arial"/>
          <w:szCs w:val="24"/>
        </w:rPr>
        <w:t>Hemmeter</w:t>
      </w:r>
      <w:proofErr w:type="spellEnd"/>
      <w:r w:rsidRPr="008C6F97">
        <w:rPr>
          <w:rFonts w:cs="Arial"/>
          <w:szCs w:val="24"/>
        </w:rPr>
        <w:t xml:space="preserve">, “Characteristics of </w:t>
      </w:r>
      <w:proofErr w:type="spellStart"/>
      <w:r w:rsidRPr="008C6F97">
        <w:rPr>
          <w:rFonts w:cs="Arial"/>
          <w:szCs w:val="24"/>
        </w:rPr>
        <w:t>Noninstitutionalized</w:t>
      </w:r>
      <w:proofErr w:type="spellEnd"/>
      <w:r w:rsidRPr="008C6F97">
        <w:rPr>
          <w:rFonts w:cs="Arial"/>
          <w:szCs w:val="24"/>
        </w:rPr>
        <w:t xml:space="preserve"> DI.”</w:t>
      </w:r>
      <w:proofErr w:type="gramEnd"/>
    </w:p>
  </w:endnote>
  <w:endnote w:id="6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Martin, Patricia P. 2016. “Why Researchers Now Rely on Surveys for Race Data on OASDI and SSI Programs: A Comparison of Four Major Surveys.” </w:t>
      </w:r>
      <w:proofErr w:type="gramStart"/>
      <w:r w:rsidRPr="008C6F97">
        <w:rPr>
          <w:rFonts w:cs="Arial"/>
          <w:szCs w:val="24"/>
        </w:rPr>
        <w:t xml:space="preserve">In </w:t>
      </w:r>
      <w:r w:rsidRPr="008C6F97">
        <w:rPr>
          <w:rFonts w:cs="Arial"/>
          <w:i/>
          <w:szCs w:val="24"/>
        </w:rPr>
        <w:t>Research and Statistics Note No. 2016-01.</w:t>
      </w:r>
      <w:proofErr w:type="gramEnd"/>
      <w:r w:rsidRPr="008C6F97">
        <w:rPr>
          <w:rFonts w:cs="Arial"/>
          <w:szCs w:val="24"/>
        </w:rPr>
        <w:t xml:space="preserve"> Washington, DC: U.S. Social Security Administration, Office of Retirement and Disability Policy. </w:t>
      </w:r>
      <w:hyperlink r:id="rId34" w:tooltip="https://www.ssa.gov/policy/docs/rsnotes/rsn2016-01.html" w:history="1">
        <w:r w:rsidRPr="008C6F97">
          <w:rPr>
            <w:rStyle w:val="Hyperlink"/>
            <w:rFonts w:cs="Arial"/>
            <w:szCs w:val="24"/>
          </w:rPr>
          <w:t>https://www.ssa.gov/policy/docs/rsnotes/rsn2016-01.html</w:t>
        </w:r>
      </w:hyperlink>
      <w:r w:rsidRPr="008C6F97">
        <w:rPr>
          <w:rFonts w:cs="Arial"/>
          <w:szCs w:val="24"/>
        </w:rPr>
        <w:t>.</w:t>
      </w:r>
    </w:p>
  </w:endnote>
  <w:endnote w:id="6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Ryan, Paul, Speaker of the House of Representatives. 2016. A Better Way: Our Vision for a Confident America, video. </w:t>
      </w:r>
      <w:hyperlink r:id="rId35" w:tooltip="https://abetterway.speaker.gov/" w:history="1">
        <w:r w:rsidRPr="008C6F97">
          <w:rPr>
            <w:rStyle w:val="Hyperlink"/>
            <w:rFonts w:cs="Arial"/>
            <w:szCs w:val="24"/>
          </w:rPr>
          <w:t>https://abetterway.speaker.gov/</w:t>
        </w:r>
      </w:hyperlink>
      <w:r w:rsidRPr="008C6F97">
        <w:rPr>
          <w:rFonts w:cs="Arial"/>
          <w:szCs w:val="24"/>
        </w:rPr>
        <w:t xml:space="preserve">. </w:t>
      </w:r>
      <w:proofErr w:type="gramStart"/>
      <w:r w:rsidRPr="008C6F97">
        <w:rPr>
          <w:rFonts w:cs="Arial"/>
          <w:szCs w:val="24"/>
        </w:rPr>
        <w:t>(Accessed April 5, 2017.)</w:t>
      </w:r>
      <w:proofErr w:type="gramEnd"/>
    </w:p>
  </w:endnote>
  <w:endnote w:id="68">
    <w:p w:rsidR="007A1436" w:rsidRPr="008C6F97" w:rsidRDefault="007A1436" w:rsidP="009C3635">
      <w:pPr>
        <w:pStyle w:val="EndnoteText"/>
        <w:spacing w:after="200"/>
        <w:rPr>
          <w:rFonts w:cs="Arial"/>
          <w:szCs w:val="24"/>
          <w:highlight w:val="yellow"/>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Goodman, Nanette, Michael Morris, and Debra L. </w:t>
      </w:r>
      <w:proofErr w:type="spellStart"/>
      <w:r w:rsidRPr="008C6F97">
        <w:rPr>
          <w:rFonts w:cs="Arial"/>
          <w:szCs w:val="24"/>
        </w:rPr>
        <w:t>Brucker</w:t>
      </w:r>
      <w:proofErr w:type="spellEnd"/>
      <w:r w:rsidRPr="008C6F97">
        <w:rPr>
          <w:rFonts w:cs="Arial"/>
          <w:szCs w:val="24"/>
        </w:rPr>
        <w:t>.</w:t>
      </w:r>
      <w:proofErr w:type="gramEnd"/>
      <w:r w:rsidRPr="008C6F97">
        <w:rPr>
          <w:rFonts w:cs="Arial"/>
          <w:szCs w:val="24"/>
        </w:rPr>
        <w:t xml:space="preserve"> 2013. Use of the Earned Income Tax Credit </w:t>
      </w:r>
      <w:proofErr w:type="gramStart"/>
      <w:r w:rsidRPr="008C6F97">
        <w:rPr>
          <w:rFonts w:cs="Arial"/>
          <w:szCs w:val="24"/>
        </w:rPr>
        <w:t>Among</w:t>
      </w:r>
      <w:proofErr w:type="gramEnd"/>
      <w:r w:rsidRPr="008C6F97">
        <w:rPr>
          <w:rFonts w:cs="Arial"/>
          <w:szCs w:val="24"/>
        </w:rPr>
        <w:t xml:space="preserve"> People with Disabilities. Durham, NH: University of New Hampshire, Institute on Disability. </w:t>
      </w:r>
      <w:hyperlink r:id="rId36" w:tooltip="http://scholars.unh.edu/cgi/viewcontent.cgi?article=1066&amp;context=iod" w:history="1">
        <w:r w:rsidRPr="008C6F97">
          <w:rPr>
            <w:rStyle w:val="Hyperlink"/>
            <w:rFonts w:cs="Arial"/>
            <w:szCs w:val="24"/>
          </w:rPr>
          <w:t>http://scholars.unh.edu/cgi/viewcontent.cgi?article=1066&amp;context=iod</w:t>
        </w:r>
      </w:hyperlink>
    </w:p>
  </w:endnote>
  <w:endnote w:id="6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Ibid.</w:t>
      </w:r>
    </w:p>
  </w:endnote>
  <w:endnote w:id="7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Public and Affordable Housing Research Corporation.</w:t>
      </w:r>
      <w:proofErr w:type="gramEnd"/>
      <w:r w:rsidRPr="008C6F97">
        <w:rPr>
          <w:rFonts w:cs="Arial"/>
          <w:szCs w:val="24"/>
        </w:rPr>
        <w:t xml:space="preserve"> 2016. </w:t>
      </w:r>
      <w:r w:rsidRPr="008C6F97">
        <w:rPr>
          <w:rFonts w:cs="Arial"/>
          <w:i/>
          <w:szCs w:val="24"/>
        </w:rPr>
        <w:t>Housing Is a Foundation: 2016 PAHRS Report.</w:t>
      </w:r>
      <w:r w:rsidRPr="008C6F97">
        <w:rPr>
          <w:rFonts w:cs="Arial"/>
          <w:szCs w:val="24"/>
        </w:rPr>
        <w:t xml:space="preserve"> Cheshire, CT: HAI Group. </w:t>
      </w:r>
      <w:hyperlink r:id="rId37" w:tooltip="https://www.novoco.com/sites/default/files/atoms/files/pahrc_2016_housing_report_080216.pdf" w:history="1">
        <w:proofErr w:type="gramStart"/>
        <w:r w:rsidRPr="008C6F97">
          <w:rPr>
            <w:rStyle w:val="Hyperlink"/>
            <w:rFonts w:cs="Arial"/>
            <w:szCs w:val="24"/>
          </w:rPr>
          <w:t>https://www.novoco.com/sites/default/files/atoms/files/pahrc_2016_housing_report_080216.pdf</w:t>
        </w:r>
      </w:hyperlink>
      <w:r w:rsidRPr="008C6F97">
        <w:rPr>
          <w:rStyle w:val="Hyperlink"/>
          <w:rFonts w:cs="Arial"/>
          <w:szCs w:val="24"/>
        </w:rPr>
        <w:t>;</w:t>
      </w:r>
      <w:r w:rsidRPr="008C6F97">
        <w:rPr>
          <w:rFonts w:cs="Arial"/>
          <w:szCs w:val="24"/>
        </w:rPr>
        <w:t xml:space="preserve"> National Low Income Housing Coalition.</w:t>
      </w:r>
      <w:proofErr w:type="gramEnd"/>
      <w:r w:rsidRPr="008C6F97">
        <w:rPr>
          <w:rFonts w:cs="Arial"/>
          <w:szCs w:val="24"/>
        </w:rPr>
        <w:t xml:space="preserve"> 2017. </w:t>
      </w:r>
      <w:r w:rsidRPr="008C6F97">
        <w:rPr>
          <w:rFonts w:cs="Arial"/>
          <w:i/>
          <w:szCs w:val="24"/>
        </w:rPr>
        <w:t>A Place to Call Home: The Case for Increased Federal Investments in Affordable Housing.</w:t>
      </w:r>
      <w:r w:rsidRPr="008C6F97">
        <w:rPr>
          <w:rFonts w:cs="Arial"/>
          <w:szCs w:val="24"/>
        </w:rPr>
        <w:t xml:space="preserve"> Washington, DC: Campaign for Housing and Community Development Funding.</w:t>
      </w:r>
    </w:p>
  </w:endnote>
  <w:endnote w:id="7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John D. and Catherine T. MacArthur Foundation.</w:t>
      </w:r>
      <w:proofErr w:type="gramEnd"/>
      <w:r w:rsidRPr="008C6F97">
        <w:rPr>
          <w:rFonts w:cs="Arial"/>
          <w:szCs w:val="24"/>
        </w:rPr>
        <w:t xml:space="preserve"> 2016. “How Housing Matters in Chicago Conference: White Paper.” </w:t>
      </w:r>
      <w:hyperlink r:id="rId38" w:tooltip="https://www.macfound.org/media/files/How_Housing_Matters_in_Chicago_Conference_White_Paper1.pdf" w:history="1">
        <w:r w:rsidRPr="008C6F97">
          <w:rPr>
            <w:rStyle w:val="Hyperlink"/>
            <w:rFonts w:cs="Arial"/>
            <w:szCs w:val="24"/>
          </w:rPr>
          <w:t>https://www.macfound.org/media/files/How_Housing_Matters_in_Chicago_Conference_White_Paper1.pdf</w:t>
        </w:r>
      </w:hyperlink>
      <w:r w:rsidRPr="008C6F97">
        <w:rPr>
          <w:rFonts w:cs="Arial"/>
          <w:szCs w:val="24"/>
        </w:rPr>
        <w:t>.</w:t>
      </w:r>
    </w:p>
  </w:endnote>
  <w:endnote w:id="7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Technical Assistance Collaborative.</w:t>
      </w:r>
      <w:proofErr w:type="gramEnd"/>
      <w:r w:rsidRPr="008C6F97">
        <w:rPr>
          <w:rFonts w:cs="Arial"/>
          <w:szCs w:val="24"/>
        </w:rPr>
        <w:t xml:space="preserve"> 2011.</w:t>
      </w:r>
      <w:r w:rsidRPr="008C6F97">
        <w:rPr>
          <w:rFonts w:cs="Arial"/>
          <w:i/>
          <w:szCs w:val="24"/>
        </w:rPr>
        <w:t xml:space="preserve"> </w:t>
      </w:r>
      <w:r w:rsidRPr="008C6F97">
        <w:rPr>
          <w:rFonts w:cs="Arial"/>
          <w:szCs w:val="24"/>
        </w:rPr>
        <w:t xml:space="preserve">“Frank Melville Supportive Housing Investment Act of 2010: Reforms to HUD’s Section 811 Program Enacted.” </w:t>
      </w:r>
      <w:hyperlink r:id="rId39" w:tooltip="https://www.ncsha.org/system/files/resources/TAC_Summary_1.7.11.pdf" w:history="1">
        <w:r w:rsidRPr="008C6F97">
          <w:rPr>
            <w:rStyle w:val="Hyperlink"/>
            <w:rFonts w:cs="Arial"/>
            <w:szCs w:val="24"/>
          </w:rPr>
          <w:t>https://www.ncsha.org/system/files/resources/TAC_Summary_1.7.11.pdf</w:t>
        </w:r>
      </w:hyperlink>
    </w:p>
  </w:endnote>
  <w:endnote w:id="7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Schaak</w:t>
      </w:r>
      <w:proofErr w:type="spellEnd"/>
      <w:r w:rsidRPr="008C6F97">
        <w:rPr>
          <w:rFonts w:cs="Arial"/>
          <w:szCs w:val="24"/>
        </w:rPr>
        <w:t>, Gina, and Lisa Sloane.</w:t>
      </w:r>
      <w:proofErr w:type="gramEnd"/>
      <w:r w:rsidRPr="008C6F97">
        <w:rPr>
          <w:rFonts w:cs="Arial"/>
          <w:szCs w:val="24"/>
        </w:rPr>
        <w:t xml:space="preserve"> 2016. “Section 811 Supportive Housing for Persons with Disabilities Program.” </w:t>
      </w:r>
      <w:proofErr w:type="gramStart"/>
      <w:r w:rsidRPr="008C6F97">
        <w:rPr>
          <w:rFonts w:cs="Arial"/>
          <w:szCs w:val="24"/>
        </w:rPr>
        <w:t>2015 Advocates’ Guide.</w:t>
      </w:r>
      <w:proofErr w:type="gramEnd"/>
      <w:r w:rsidRPr="008C6F97">
        <w:rPr>
          <w:rFonts w:cs="Arial"/>
          <w:szCs w:val="24"/>
        </w:rPr>
        <w:t xml:space="preserve"> Washington, DC: National Low Income Housing Coalition. </w:t>
      </w:r>
      <w:hyperlink r:id="rId40" w:tooltip="http://nlihc.org/sites/default/files/Sec4.10_Section-811_2015.pdf" w:history="1">
        <w:r w:rsidRPr="008C6F97">
          <w:rPr>
            <w:rStyle w:val="Hyperlink"/>
            <w:rFonts w:cs="Arial"/>
            <w:szCs w:val="24"/>
          </w:rPr>
          <w:t>http://nlihc.org/sites/default/files/Sec4.10_Section-811_2015.pdf</w:t>
        </w:r>
      </w:hyperlink>
      <w:r w:rsidRPr="008C6F97">
        <w:rPr>
          <w:rFonts w:cs="Arial"/>
          <w:szCs w:val="24"/>
        </w:rPr>
        <w:t>.</w:t>
      </w:r>
    </w:p>
  </w:endnote>
  <w:endnote w:id="7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Center on Budget and Policy Priorities.</w:t>
      </w:r>
      <w:proofErr w:type="gramEnd"/>
      <w:r w:rsidRPr="008C6F97">
        <w:rPr>
          <w:rFonts w:cs="Arial"/>
          <w:szCs w:val="24"/>
        </w:rPr>
        <w:t xml:space="preserve"> 2016. </w:t>
      </w:r>
      <w:r w:rsidRPr="008C6F97">
        <w:rPr>
          <w:rFonts w:cs="Arial"/>
          <w:i/>
          <w:szCs w:val="24"/>
        </w:rPr>
        <w:t>Chart Book: Rental Assistance Reduces Hardship, Promotes Children’s Long-Term Success.</w:t>
      </w:r>
      <w:r w:rsidRPr="008C6F97">
        <w:rPr>
          <w:rFonts w:cs="Arial"/>
          <w:szCs w:val="24"/>
        </w:rPr>
        <w:t xml:space="preserve"> Washington, DC: Center on Budget and Policy Priorities. </w:t>
      </w:r>
      <w:hyperlink r:id="rId41" w:tooltip="http://www.cbpp.org/sites/default/files/atoms/files/7-5-16hous-chartbook.pdf" w:history="1">
        <w:r w:rsidRPr="008C6F97">
          <w:rPr>
            <w:rStyle w:val="Hyperlink"/>
            <w:rFonts w:cs="Arial"/>
            <w:szCs w:val="24"/>
          </w:rPr>
          <w:t>http://www.cbpp.org/sites/default/files/atoms/files/7-5-16hous-chartbook.pdf</w:t>
        </w:r>
      </w:hyperlink>
      <w:r w:rsidRPr="008C6F97">
        <w:rPr>
          <w:rFonts w:cs="Arial"/>
          <w:szCs w:val="24"/>
        </w:rPr>
        <w:t>.</w:t>
      </w:r>
    </w:p>
  </w:endnote>
  <w:endnote w:id="7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Center on Budget and Policy Priorities, </w:t>
      </w:r>
      <w:r w:rsidRPr="008C6F97">
        <w:rPr>
          <w:rFonts w:cs="Arial"/>
          <w:i/>
          <w:szCs w:val="24"/>
        </w:rPr>
        <w:t>Chart Book</w:t>
      </w:r>
      <w:r w:rsidRPr="008C6F97">
        <w:rPr>
          <w:rFonts w:cs="Arial"/>
          <w:szCs w:val="24"/>
        </w:rPr>
        <w:t>; John D. and Catherine T. MacArthur Foundation, “How Housing Matters in Chicago Conference: White Paper.”</w:t>
      </w:r>
    </w:p>
  </w:endnote>
  <w:endnote w:id="7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Council on Disability.</w:t>
      </w:r>
      <w:proofErr w:type="gramEnd"/>
      <w:r w:rsidRPr="008C6F97">
        <w:rPr>
          <w:rFonts w:cs="Arial"/>
          <w:szCs w:val="24"/>
        </w:rPr>
        <w:t xml:space="preserve"> 2010. “The State of Housing in America in the 21st Century: A Disability Perspective.” </w:t>
      </w:r>
      <w:hyperlink r:id="rId42" w:tooltip="https://ncd.gov/publications/2010/Jan192010/" w:history="1">
        <w:r w:rsidRPr="008C6F97">
          <w:rPr>
            <w:rStyle w:val="Hyperlink"/>
            <w:rFonts w:cs="Arial"/>
            <w:szCs w:val="24"/>
          </w:rPr>
          <w:t>https://ncd.gov/publications/2010/Jan192010/</w:t>
        </w:r>
      </w:hyperlink>
      <w:r w:rsidRPr="008C6F97">
        <w:rPr>
          <w:rFonts w:cs="Arial"/>
          <w:szCs w:val="24"/>
        </w:rPr>
        <w:t xml:space="preserve">. </w:t>
      </w:r>
      <w:proofErr w:type="gramStart"/>
      <w:r w:rsidRPr="008C6F97">
        <w:rPr>
          <w:rFonts w:cs="Arial"/>
          <w:szCs w:val="24"/>
        </w:rPr>
        <w:t>(Accessed August 30, 2017).</w:t>
      </w:r>
      <w:proofErr w:type="gramEnd"/>
    </w:p>
  </w:endnote>
  <w:endnote w:id="7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Blumenthal, Pamela, and John </w:t>
      </w:r>
      <w:proofErr w:type="spellStart"/>
      <w:r w:rsidRPr="008C6F97">
        <w:rPr>
          <w:rFonts w:cs="Arial"/>
          <w:szCs w:val="24"/>
        </w:rPr>
        <w:t>McGinty</w:t>
      </w:r>
      <w:proofErr w:type="spellEnd"/>
      <w:r w:rsidRPr="008C6F97">
        <w:rPr>
          <w:rFonts w:cs="Arial"/>
          <w:szCs w:val="24"/>
        </w:rPr>
        <w:t>.</w:t>
      </w:r>
      <w:proofErr w:type="gramEnd"/>
      <w:r w:rsidRPr="008C6F97">
        <w:rPr>
          <w:rFonts w:cs="Arial"/>
          <w:szCs w:val="24"/>
        </w:rPr>
        <w:t xml:space="preserve"> 2015. Housing Policy Levers to Promote Economic Mobility. Washington, DC: The Urban Institute. </w:t>
      </w:r>
      <w:hyperlink r:id="rId43" w:tooltip="http://www.urban.org/research/publication/housing-policy-levers-promote-economic-mobility" w:history="1">
        <w:r w:rsidRPr="008C6F97">
          <w:rPr>
            <w:rStyle w:val="Hyperlink"/>
            <w:rFonts w:cs="Arial"/>
            <w:szCs w:val="24"/>
          </w:rPr>
          <w:t>http://www.urban.org/research/publication/housing-policy-levers-promote-economic-mobility</w:t>
        </w:r>
      </w:hyperlink>
      <w:r w:rsidRPr="008C6F97">
        <w:rPr>
          <w:rFonts w:cs="Arial"/>
          <w:szCs w:val="24"/>
        </w:rPr>
        <w:t>.</w:t>
      </w:r>
    </w:p>
  </w:endnote>
  <w:endnote w:id="7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American Public Transportation Association Transit Board Members &amp; Board Support Seminar.</w:t>
      </w:r>
      <w:proofErr w:type="gramEnd"/>
      <w:r w:rsidRPr="008C6F97">
        <w:rPr>
          <w:rFonts w:cs="Arial"/>
          <w:szCs w:val="24"/>
        </w:rPr>
        <w:t xml:space="preserve"> 2014. </w:t>
      </w:r>
      <w:r w:rsidRPr="008C6F97">
        <w:rPr>
          <w:rFonts w:cs="Arial"/>
          <w:i/>
          <w:szCs w:val="24"/>
        </w:rPr>
        <w:t>Enabling and Promoting the Use of Fixed-Route Transit by People with Disabilities.</w:t>
      </w:r>
      <w:r w:rsidRPr="008C6F97">
        <w:rPr>
          <w:rFonts w:cs="Arial"/>
          <w:szCs w:val="24"/>
        </w:rPr>
        <w:t xml:space="preserve"> Cleveland, OH: APTA. </w:t>
      </w:r>
      <w:hyperlink r:id="rId44" w:tooltip="http://www.apta.com/resources/statistics/Documents/FactBook/2016-APTA-Fact-Book.pdf" w:history="1">
        <w:r w:rsidRPr="008C6F97">
          <w:rPr>
            <w:rStyle w:val="Hyperlink"/>
            <w:rFonts w:cs="Arial"/>
            <w:szCs w:val="24"/>
          </w:rPr>
          <w:t>http://www.apta.com/resources/statistics/Documents/FactBook/2016-APTA-Fact-Book.pdf</w:t>
        </w:r>
      </w:hyperlink>
      <w:r w:rsidRPr="008C6F97">
        <w:rPr>
          <w:rFonts w:cs="Arial"/>
          <w:szCs w:val="24"/>
        </w:rPr>
        <w:t>.</w:t>
      </w:r>
    </w:p>
  </w:endnote>
  <w:endnote w:id="7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American Association of People with Disabilities.</w:t>
      </w:r>
      <w:proofErr w:type="gramEnd"/>
      <w:r w:rsidRPr="008C6F97">
        <w:rPr>
          <w:rFonts w:cs="Arial"/>
          <w:szCs w:val="24"/>
        </w:rPr>
        <w:t xml:space="preserve"> </w:t>
      </w:r>
      <w:proofErr w:type="gramStart"/>
      <w:r w:rsidRPr="008C6F97">
        <w:rPr>
          <w:rFonts w:cs="Arial"/>
          <w:szCs w:val="24"/>
        </w:rPr>
        <w:t>“Transportation Equity,” AAPD Transportation website.</w:t>
      </w:r>
      <w:proofErr w:type="gramEnd"/>
      <w:r w:rsidRPr="008C6F97">
        <w:rPr>
          <w:rFonts w:cs="Arial"/>
          <w:szCs w:val="24"/>
        </w:rPr>
        <w:t xml:space="preserve"> </w:t>
      </w:r>
      <w:hyperlink r:id="rId45" w:tooltip="http://www.aapd.com/our-focus/transportation/" w:history="1">
        <w:r w:rsidRPr="008C6F97">
          <w:rPr>
            <w:rStyle w:val="Hyperlink"/>
            <w:rFonts w:cs="Arial"/>
            <w:szCs w:val="24"/>
          </w:rPr>
          <w:t>http://www.aapd.com/our-focus/transportation/</w:t>
        </w:r>
      </w:hyperlink>
      <w:r w:rsidRPr="008C6F97">
        <w:rPr>
          <w:rFonts w:cs="Arial"/>
          <w:szCs w:val="24"/>
        </w:rPr>
        <w:t xml:space="preserve">. </w:t>
      </w:r>
      <w:proofErr w:type="gramStart"/>
      <w:r w:rsidRPr="008C6F97">
        <w:rPr>
          <w:rFonts w:cs="Arial"/>
          <w:szCs w:val="24"/>
        </w:rPr>
        <w:t>(Accessed May 30, 2017.)</w:t>
      </w:r>
      <w:proofErr w:type="gramEnd"/>
    </w:p>
  </w:endnote>
  <w:endnote w:id="8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American Association of People with Disabilities, “Transportation Equity.”</w:t>
      </w:r>
      <w:proofErr w:type="gramEnd"/>
    </w:p>
  </w:endnote>
  <w:endnote w:id="81">
    <w:p w:rsidR="007A1436" w:rsidRPr="008C6F97" w:rsidRDefault="007A1436" w:rsidP="009C3635">
      <w:pPr>
        <w:pStyle w:val="Default"/>
        <w:spacing w:after="200"/>
        <w:rPr>
          <w:rFonts w:ascii="Arial" w:hAnsi="Arial" w:cs="Arial"/>
        </w:rPr>
      </w:pPr>
      <w:r w:rsidRPr="008C6F97">
        <w:rPr>
          <w:rStyle w:val="EndnoteReference"/>
          <w:rFonts w:ascii="Arial" w:hAnsi="Arial" w:cs="Arial"/>
        </w:rPr>
        <w:endnoteRef/>
      </w:r>
      <w:r w:rsidRPr="008C6F97">
        <w:rPr>
          <w:rFonts w:ascii="Arial" w:hAnsi="Arial" w:cs="Arial"/>
        </w:rPr>
        <w:t xml:space="preserve"> </w:t>
      </w:r>
      <w:proofErr w:type="gramStart"/>
      <w:r w:rsidRPr="008C6F97">
        <w:rPr>
          <w:rFonts w:ascii="Arial" w:hAnsi="Arial" w:cs="Arial"/>
          <w:color w:val="auto"/>
        </w:rPr>
        <w:t>Transportation Research Board.</w:t>
      </w:r>
      <w:proofErr w:type="gramEnd"/>
      <w:r w:rsidRPr="008C6F97">
        <w:rPr>
          <w:rFonts w:ascii="Arial" w:hAnsi="Arial" w:cs="Arial"/>
          <w:color w:val="auto"/>
        </w:rPr>
        <w:t xml:space="preserve"> 2014. </w:t>
      </w:r>
      <w:r w:rsidRPr="008C6F97">
        <w:rPr>
          <w:rFonts w:ascii="Arial" w:hAnsi="Arial" w:cs="Arial"/>
        </w:rPr>
        <w:t>“</w:t>
      </w:r>
      <w:r w:rsidRPr="008C6F97">
        <w:rPr>
          <w:rFonts w:ascii="Arial" w:hAnsi="Arial" w:cs="Arial"/>
          <w:color w:val="auto"/>
        </w:rPr>
        <w:t xml:space="preserve">Current Use of Fixed-Route Transit Services by People with Disabilities.” In </w:t>
      </w:r>
      <w:r w:rsidRPr="008C6F97">
        <w:rPr>
          <w:rFonts w:ascii="Arial" w:hAnsi="Arial" w:cs="Arial"/>
          <w:i/>
          <w:color w:val="auto"/>
        </w:rPr>
        <w:t>TCRP Research Brief, TCRP Report 163: Strategy Guide to Enable and Promote the Use of Fixed-Route Transit by People with Disabilities.</w:t>
      </w:r>
      <w:r w:rsidRPr="008C6F97">
        <w:rPr>
          <w:rFonts w:ascii="Arial" w:hAnsi="Arial" w:cs="Arial"/>
          <w:color w:val="auto"/>
        </w:rPr>
        <w:t xml:space="preserve"> Washington, DC: Transportation Research Board. </w:t>
      </w:r>
      <w:hyperlink r:id="rId46" w:tooltip="http://onlinepubs.trb.org/onlinepubs/tcrp/tcrp_rpt_163IBCurrentUse.pdf" w:history="1">
        <w:r w:rsidRPr="008C6F97">
          <w:rPr>
            <w:rStyle w:val="Hyperlink"/>
            <w:rFonts w:cs="Arial"/>
          </w:rPr>
          <w:t>http://onlinepubs.trb.org/onlinepubs/tcrp/tcrp_rpt_163IBCurrentUse.pdf</w:t>
        </w:r>
      </w:hyperlink>
      <w:r w:rsidRPr="008C6F97">
        <w:rPr>
          <w:rStyle w:val="Hyperlink"/>
          <w:rFonts w:cs="Arial"/>
        </w:rPr>
        <w:t>.</w:t>
      </w:r>
      <w:r w:rsidRPr="008C6F97">
        <w:rPr>
          <w:rFonts w:ascii="Arial" w:hAnsi="Arial" w:cs="Arial"/>
          <w:color w:val="auto"/>
        </w:rPr>
        <w:t xml:space="preserve"> </w:t>
      </w:r>
      <w:proofErr w:type="gramStart"/>
      <w:r w:rsidRPr="008C6F97">
        <w:rPr>
          <w:rFonts w:ascii="Arial" w:hAnsi="Arial" w:cs="Arial"/>
          <w:color w:val="auto"/>
        </w:rPr>
        <w:t>(Accessed July 14, 2017.)</w:t>
      </w:r>
      <w:proofErr w:type="gramEnd"/>
    </w:p>
  </w:endnote>
  <w:endnote w:id="8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Department of Transportation, Federal Transit Administration.</w:t>
      </w:r>
      <w:proofErr w:type="gramEnd"/>
      <w:r w:rsidRPr="008C6F97">
        <w:rPr>
          <w:rFonts w:cs="Arial"/>
          <w:szCs w:val="24"/>
        </w:rPr>
        <w:t xml:space="preserve"> 2015. FTA C 4710.1 Circular: Americans with Disabilities Act (ADA): Guidance. Washington, DC: Federal Transit Administration. </w:t>
      </w:r>
      <w:hyperlink r:id="rId47" w:tooltip="https://www.transit.dot.gov/sites/fta.dot.gov/files/docs/Final_FTA_ADA_Circular_C_4710.1.pdf" w:history="1">
        <w:r w:rsidRPr="008C6F97">
          <w:rPr>
            <w:rStyle w:val="Hyperlink"/>
            <w:rFonts w:cs="Arial"/>
            <w:szCs w:val="24"/>
          </w:rPr>
          <w:t>https://www.transit.dot.gov/sites/fta.dot.gov/files/docs/Final_FTA_ADA_Circular_C_4710.1.pdf</w:t>
        </w:r>
      </w:hyperlink>
      <w:r w:rsidRPr="008C6F97">
        <w:rPr>
          <w:rFonts w:cs="Arial"/>
          <w:szCs w:val="24"/>
        </w:rPr>
        <w:t>.</w:t>
      </w:r>
    </w:p>
  </w:endnote>
  <w:endnote w:id="8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American Association of People with Disabilities, “Transportation Equity.”</w:t>
      </w:r>
      <w:proofErr w:type="gramEnd"/>
    </w:p>
  </w:endnote>
  <w:endnote w:id="8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Taxis for All Campaign v.</w:t>
      </w:r>
      <w:proofErr w:type="gramEnd"/>
      <w:r w:rsidRPr="008C6F97">
        <w:rPr>
          <w:rFonts w:cs="Arial"/>
          <w:szCs w:val="24"/>
        </w:rPr>
        <w:t xml:space="preserve"> New York City Taxi and Limousine Commission, 1:11-cv-00237-GBD (S.D.N.Y. 2014).</w:t>
      </w:r>
    </w:p>
  </w:endnote>
  <w:endnote w:id="8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49 U.S.C. 5307.</w:t>
      </w:r>
      <w:proofErr w:type="gramEnd"/>
    </w:p>
  </w:endnote>
  <w:endnote w:id="8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49 U.S.C. 5311.</w:t>
      </w:r>
      <w:proofErr w:type="gramEnd"/>
    </w:p>
  </w:endnote>
  <w:endnote w:id="8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49 U.S.C. 5310.</w:t>
      </w:r>
      <w:proofErr w:type="gramEnd"/>
    </w:p>
  </w:endnote>
  <w:endnote w:id="8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Center for Education Statistics, Condition of Education 2016.</w:t>
      </w:r>
      <w:proofErr w:type="gramEnd"/>
    </w:p>
  </w:endnote>
  <w:endnote w:id="8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Collaborative on Workforce and Disability for Youth, Graduation Requirements.</w:t>
      </w:r>
      <w:proofErr w:type="gramEnd"/>
    </w:p>
  </w:endnote>
  <w:endnote w:id="9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lang w:val="fr-FR"/>
        </w:rPr>
        <w:t xml:space="preserve"> Morgan, Paul L., et al. 2012. </w:t>
      </w:r>
      <w:r w:rsidRPr="008C6F97">
        <w:rPr>
          <w:rFonts w:cs="Arial"/>
          <w:szCs w:val="24"/>
        </w:rPr>
        <w:t xml:space="preserve">“Are Minority Children Disproportionately Represented in Early Intervention and Early Childhood Special Education?” </w:t>
      </w:r>
      <w:r w:rsidRPr="008C6F97">
        <w:rPr>
          <w:rFonts w:cs="Arial"/>
          <w:i/>
          <w:szCs w:val="24"/>
        </w:rPr>
        <w:t>Educational Researcher</w:t>
      </w:r>
      <w:r w:rsidRPr="008C6F97">
        <w:rPr>
          <w:rFonts w:cs="Arial"/>
          <w:szCs w:val="24"/>
        </w:rPr>
        <w:t xml:space="preserve"> 41(9): 339–351; U.S. Department of Education. 2016. </w:t>
      </w:r>
      <w:r w:rsidRPr="008C6F97">
        <w:rPr>
          <w:rFonts w:cs="Arial"/>
          <w:i/>
          <w:szCs w:val="24"/>
        </w:rPr>
        <w:t>Racial and Ethnic Disparities in Special Education: A Multi-Year Disproportionality Analysis by State, Analysis Category, and Race/Ethnicity.</w:t>
      </w:r>
      <w:r w:rsidRPr="008C6F97">
        <w:rPr>
          <w:rFonts w:cs="Arial"/>
          <w:szCs w:val="24"/>
        </w:rPr>
        <w:t xml:space="preserve"> Washington, DC: Office of Special Education and Rehabilitative Services, U.S. Department of Education. </w:t>
      </w:r>
      <w:hyperlink r:id="rId48" w:tooltip="https://www2.ed.gov/programs/osepidea/618-data/LEA-racial-ethnic-disparities-tables/disproportionality-analysis-by-state-analysis-category.pdf" w:history="1">
        <w:r w:rsidRPr="008C6F97">
          <w:rPr>
            <w:rStyle w:val="Hyperlink"/>
            <w:rFonts w:cs="Arial"/>
            <w:szCs w:val="24"/>
          </w:rPr>
          <w:t>https://www2.ed.gov/programs/osepidea/618-data/LEA-racial-ethnic-disparities-tables/disproportionality-analysis-by-state-analysis-category.pdf</w:t>
        </w:r>
      </w:hyperlink>
      <w:r w:rsidRPr="008C6F97">
        <w:rPr>
          <w:rFonts w:cs="Arial"/>
          <w:szCs w:val="24"/>
        </w:rPr>
        <w:t>.</w:t>
      </w:r>
    </w:p>
  </w:endnote>
  <w:endnote w:id="9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Baker, Jane, and Deana M. </w:t>
      </w:r>
      <w:proofErr w:type="spellStart"/>
      <w:r w:rsidRPr="008C6F97">
        <w:rPr>
          <w:rFonts w:cs="Arial"/>
          <w:szCs w:val="24"/>
        </w:rPr>
        <w:t>Hollaway</w:t>
      </w:r>
      <w:proofErr w:type="spellEnd"/>
      <w:r w:rsidRPr="008C6F97">
        <w:rPr>
          <w:rFonts w:cs="Arial"/>
          <w:szCs w:val="24"/>
        </w:rPr>
        <w:t>.</w:t>
      </w:r>
      <w:proofErr w:type="gramEnd"/>
      <w:r w:rsidRPr="008C6F97">
        <w:rPr>
          <w:rFonts w:cs="Arial"/>
          <w:szCs w:val="24"/>
        </w:rPr>
        <w:t xml:space="preserve"> 2009. “A Comprehensive Approach to Disruptive Behaviors in the Classroom and Home.” </w:t>
      </w:r>
      <w:r w:rsidRPr="008C6F97">
        <w:rPr>
          <w:rFonts w:cs="Arial"/>
          <w:i/>
          <w:szCs w:val="24"/>
        </w:rPr>
        <w:t>International Journal on School Disaffection</w:t>
      </w:r>
      <w:r w:rsidRPr="008C6F97">
        <w:rPr>
          <w:rFonts w:cs="Arial"/>
          <w:szCs w:val="24"/>
        </w:rPr>
        <w:t xml:space="preserve"> 6(2): 37–40.</w:t>
      </w:r>
    </w:p>
  </w:endnote>
  <w:endnote w:id="9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Skinner, Deborah, and Thomas S. </w:t>
      </w:r>
      <w:proofErr w:type="spellStart"/>
      <w:r w:rsidRPr="008C6F97">
        <w:rPr>
          <w:rFonts w:cs="Arial"/>
          <w:szCs w:val="24"/>
        </w:rPr>
        <w:t>Weisner</w:t>
      </w:r>
      <w:proofErr w:type="spellEnd"/>
      <w:r w:rsidRPr="008C6F97">
        <w:rPr>
          <w:rFonts w:cs="Arial"/>
          <w:szCs w:val="24"/>
        </w:rPr>
        <w:t>.</w:t>
      </w:r>
      <w:proofErr w:type="gramEnd"/>
      <w:r w:rsidRPr="008C6F97">
        <w:rPr>
          <w:rFonts w:cs="Arial"/>
          <w:szCs w:val="24"/>
        </w:rPr>
        <w:t xml:space="preserve"> 2007. “Sociocultural Studies of Families of Children with Intellectual Disabilities.” </w:t>
      </w:r>
      <w:r w:rsidRPr="008C6F97">
        <w:rPr>
          <w:rFonts w:cs="Arial"/>
          <w:i/>
          <w:szCs w:val="24"/>
        </w:rPr>
        <w:t>Mental Retardation and Developmental Disabilities Research Reviews</w:t>
      </w:r>
      <w:r w:rsidRPr="008C6F97">
        <w:rPr>
          <w:rFonts w:cs="Arial"/>
          <w:szCs w:val="24"/>
        </w:rPr>
        <w:t xml:space="preserve"> 13(4): 302–312.</w:t>
      </w:r>
    </w:p>
  </w:endnote>
  <w:endnote w:id="9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Council on Disability.</w:t>
      </w:r>
      <w:proofErr w:type="gramEnd"/>
      <w:r w:rsidRPr="008C6F97">
        <w:rPr>
          <w:rFonts w:cs="Arial"/>
          <w:szCs w:val="24"/>
        </w:rPr>
        <w:t xml:space="preserve"> 2015. </w:t>
      </w:r>
      <w:r w:rsidRPr="008C6F97">
        <w:rPr>
          <w:rFonts w:cs="Arial"/>
          <w:i/>
          <w:szCs w:val="24"/>
        </w:rPr>
        <w:t>Breaking the School-to-Prison Pipeline for Students with Disabilities.</w:t>
      </w:r>
      <w:r w:rsidRPr="008C6F97">
        <w:rPr>
          <w:rFonts w:cs="Arial"/>
          <w:szCs w:val="24"/>
        </w:rPr>
        <w:t xml:space="preserve"> Washington, DC: NCD. </w:t>
      </w:r>
      <w:hyperlink r:id="rId49" w:tooltip="https://www.ncd.gov/publications/2015/06182015" w:history="1">
        <w:r w:rsidRPr="008C6F97">
          <w:rPr>
            <w:rStyle w:val="Hyperlink"/>
            <w:rFonts w:cs="Arial"/>
            <w:szCs w:val="24"/>
          </w:rPr>
          <w:t>https://www.ncd.gov/publications/2015/06182015</w:t>
        </w:r>
      </w:hyperlink>
      <w:r w:rsidRPr="008C6F97">
        <w:rPr>
          <w:rFonts w:cs="Arial"/>
          <w:szCs w:val="24"/>
        </w:rPr>
        <w:t>.</w:t>
      </w:r>
    </w:p>
  </w:endnote>
  <w:endnote w:id="9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Collaborative on Workforce and Disability for Youth, Graduation Requirements.</w:t>
      </w:r>
      <w:proofErr w:type="gramEnd"/>
      <w:r w:rsidRPr="008C6F97">
        <w:rPr>
          <w:rFonts w:cs="Arial"/>
          <w:szCs w:val="24"/>
        </w:rPr>
        <w:t xml:space="preserve"> </w:t>
      </w:r>
    </w:p>
  </w:endnote>
  <w:endnote w:id="95">
    <w:p w:rsidR="00B30880" w:rsidRPr="00B30880" w:rsidRDefault="00B30880">
      <w:pPr>
        <w:pStyle w:val="EndnoteText"/>
        <w:rPr>
          <w:rFonts w:cs="Arial"/>
          <w:szCs w:val="24"/>
        </w:rPr>
      </w:pPr>
      <w:r w:rsidRPr="00B30880">
        <w:rPr>
          <w:rFonts w:cs="Arial"/>
          <w:szCs w:val="24"/>
          <w:vertAlign w:val="superscript"/>
        </w:rPr>
        <w:endnoteRef/>
      </w:r>
      <w:r w:rsidRPr="00B30880">
        <w:rPr>
          <w:rFonts w:cs="Arial"/>
          <w:szCs w:val="24"/>
          <w:vertAlign w:val="superscript"/>
        </w:rPr>
        <w:t xml:space="preserve"> </w:t>
      </w:r>
      <w:proofErr w:type="spellStart"/>
      <w:proofErr w:type="gramStart"/>
      <w:r w:rsidRPr="00B30880">
        <w:rPr>
          <w:rFonts w:cs="Arial"/>
          <w:szCs w:val="24"/>
        </w:rPr>
        <w:t>Thurlow</w:t>
      </w:r>
      <w:proofErr w:type="spellEnd"/>
      <w:r w:rsidRPr="00B30880">
        <w:rPr>
          <w:rFonts w:cs="Arial"/>
          <w:szCs w:val="24"/>
        </w:rPr>
        <w:t xml:space="preserve">, Martha, Rachel </w:t>
      </w:r>
      <w:proofErr w:type="spellStart"/>
      <w:r w:rsidRPr="00B30880">
        <w:rPr>
          <w:rFonts w:cs="Arial"/>
          <w:szCs w:val="24"/>
        </w:rPr>
        <w:t>Quenemoen</w:t>
      </w:r>
      <w:proofErr w:type="spellEnd"/>
      <w:r w:rsidRPr="00B30880">
        <w:rPr>
          <w:rFonts w:cs="Arial"/>
          <w:szCs w:val="24"/>
        </w:rPr>
        <w:t>, and Sheryl Lazarus.</w:t>
      </w:r>
      <w:proofErr w:type="gramEnd"/>
      <w:r w:rsidRPr="00B30880">
        <w:rPr>
          <w:rFonts w:cs="Arial"/>
          <w:szCs w:val="24"/>
        </w:rPr>
        <w:t xml:space="preserve"> 2011. “Meeting the Needs of Special Education Students: Recommendations for the Race-to-the-Top Consortia and States.” Minneapolis, MN: University of Minnesota, National Center on Educational Outcomes Institute on Community Integration. </w:t>
      </w:r>
      <w:hyperlink r:id="rId50" w:history="1">
        <w:r w:rsidR="000C2912" w:rsidRPr="0055625B">
          <w:rPr>
            <w:rStyle w:val="Hyperlink"/>
            <w:rFonts w:cs="Arial"/>
            <w:szCs w:val="24"/>
          </w:rPr>
          <w:t>https://ici.umn.edu/index.php?products/</w:t>
        </w:r>
        <w:r w:rsidR="000C2912" w:rsidRPr="0055625B">
          <w:rPr>
            <w:rStyle w:val="Hyperlink"/>
            <w:rFonts w:cs="Arial"/>
            <w:szCs w:val="24"/>
          </w:rPr>
          <w:br/>
          <w:t>view/385</w:t>
        </w:r>
      </w:hyperlink>
    </w:p>
  </w:endnote>
  <w:endnote w:id="9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Ibid.</w:t>
      </w:r>
    </w:p>
  </w:endnote>
  <w:endnote w:id="9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U.S. Census Bureau, 2015 American Community Survey.</w:t>
      </w:r>
    </w:p>
  </w:endnote>
  <w:endnote w:id="9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Ibid.</w:t>
      </w:r>
    </w:p>
  </w:endnote>
  <w:endnote w:id="9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Federal Student Aid, “Federal Supplemental Educational Opportunity Grant.”</w:t>
      </w:r>
    </w:p>
  </w:endnote>
  <w:endnote w:id="10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Council on Disability.</w:t>
      </w:r>
      <w:proofErr w:type="gramEnd"/>
      <w:r w:rsidRPr="008C6F97">
        <w:rPr>
          <w:rFonts w:cs="Arial"/>
          <w:szCs w:val="24"/>
        </w:rPr>
        <w:t xml:space="preserve"> 2015. “Briefing Paper: Reauthorization of the Higher Education Act (HEA): The Implications for Increasing the Employment of People with Disabilities.” </w:t>
      </w:r>
      <w:hyperlink r:id="rId51" w:tooltip="https://ncd.gov/publications/2015/05192015" w:history="1">
        <w:r w:rsidRPr="008C6F97">
          <w:rPr>
            <w:rStyle w:val="Hyperlink"/>
            <w:rFonts w:cs="Arial"/>
            <w:szCs w:val="24"/>
          </w:rPr>
          <w:t>https://ncd.gov/publications/2015/05192015</w:t>
        </w:r>
      </w:hyperlink>
      <w:r w:rsidRPr="008C6F97">
        <w:rPr>
          <w:rFonts w:cs="Arial"/>
          <w:szCs w:val="24"/>
        </w:rPr>
        <w:t xml:space="preserve">. </w:t>
      </w:r>
      <w:proofErr w:type="gramStart"/>
      <w:r w:rsidRPr="008C6F97">
        <w:rPr>
          <w:rFonts w:cs="Arial"/>
          <w:szCs w:val="24"/>
        </w:rPr>
        <w:t>(Accessed August 30, 2017.)</w:t>
      </w:r>
      <w:proofErr w:type="gramEnd"/>
    </w:p>
  </w:endnote>
  <w:endnote w:id="10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Council on Disability.</w:t>
      </w:r>
      <w:proofErr w:type="gramEnd"/>
      <w:r w:rsidRPr="008C6F97">
        <w:rPr>
          <w:rFonts w:cs="Arial"/>
          <w:szCs w:val="24"/>
        </w:rPr>
        <w:t xml:space="preserve"> 2015. </w:t>
      </w:r>
      <w:r w:rsidRPr="008C6F97">
        <w:rPr>
          <w:rFonts w:cs="Arial"/>
          <w:i/>
          <w:szCs w:val="24"/>
        </w:rPr>
        <w:t>Briefing Paper: Reauthorization of the Higher Education Act (HEA): The Implications for Increasing the Employment of People with Disabilities.</w:t>
      </w:r>
      <w:r w:rsidRPr="008C6F97">
        <w:rPr>
          <w:rFonts w:cs="Arial"/>
          <w:szCs w:val="24"/>
        </w:rPr>
        <w:t xml:space="preserve"> Washington, DC: NCD. </w:t>
      </w:r>
      <w:hyperlink r:id="rId52" w:tooltip="http://www.ncd.gov/publications/2015/05192015" w:history="1">
        <w:r w:rsidRPr="008C6F97">
          <w:rPr>
            <w:rStyle w:val="Hyperlink"/>
            <w:rFonts w:cs="Arial"/>
            <w:szCs w:val="24"/>
          </w:rPr>
          <w:t>http://www.ncd.gov/publications/2015/05192015</w:t>
        </w:r>
      </w:hyperlink>
      <w:r w:rsidRPr="008C6F97">
        <w:rPr>
          <w:rFonts w:cs="Arial"/>
          <w:szCs w:val="24"/>
        </w:rPr>
        <w:t>.</w:t>
      </w:r>
    </w:p>
  </w:endnote>
  <w:endnote w:id="10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Department of Education, Federal Student Aid.</w:t>
      </w:r>
      <w:proofErr w:type="gramEnd"/>
      <w:r w:rsidRPr="008C6F97">
        <w:rPr>
          <w:rFonts w:cs="Arial"/>
          <w:szCs w:val="24"/>
        </w:rPr>
        <w:t xml:space="preserve"> 2014. </w:t>
      </w:r>
      <w:r w:rsidRPr="008C6F97">
        <w:rPr>
          <w:rFonts w:cs="Arial"/>
          <w:i/>
          <w:szCs w:val="24"/>
        </w:rPr>
        <w:t>Annual Report FY 2014.</w:t>
      </w:r>
      <w:r w:rsidRPr="008C6F97">
        <w:rPr>
          <w:rFonts w:cs="Arial"/>
          <w:szCs w:val="24"/>
        </w:rPr>
        <w:t xml:space="preserve"> Washington, DC: U.S. Department of Education. </w:t>
      </w:r>
      <w:hyperlink r:id="rId53" w:tooltip="https://studentaid.ed.gov/sa/sites/default/files/FY2014_FSA_Annual_Report_508.pdf" w:history="1">
        <w:r w:rsidRPr="008C6F97">
          <w:rPr>
            <w:rStyle w:val="Hyperlink"/>
            <w:rFonts w:cs="Arial"/>
            <w:szCs w:val="24"/>
          </w:rPr>
          <w:t>https://studentaid.ed.gov/sa/sites/default/files/FY2014_FSA_Annual_Report_508.pdf</w:t>
        </w:r>
      </w:hyperlink>
      <w:r w:rsidRPr="008C6F97">
        <w:rPr>
          <w:rFonts w:cs="Arial"/>
          <w:szCs w:val="24"/>
        </w:rPr>
        <w:t>.</w:t>
      </w:r>
    </w:p>
  </w:endnote>
  <w:endnote w:id="10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Student Debt Crisis.</w:t>
      </w:r>
      <w:proofErr w:type="gramEnd"/>
      <w:r w:rsidRPr="008C6F97">
        <w:rPr>
          <w:rFonts w:cs="Arial"/>
          <w:szCs w:val="24"/>
        </w:rPr>
        <w:t xml:space="preserve"> </w:t>
      </w:r>
      <w:proofErr w:type="spellStart"/>
      <w:proofErr w:type="gramStart"/>
      <w:r w:rsidRPr="008C6F97">
        <w:rPr>
          <w:rFonts w:cs="Arial"/>
          <w:szCs w:val="24"/>
        </w:rPr>
        <w:t>n.d.</w:t>
      </w:r>
      <w:proofErr w:type="spellEnd"/>
      <w:r w:rsidRPr="008C6F97">
        <w:rPr>
          <w:rFonts w:cs="Arial"/>
          <w:szCs w:val="24"/>
        </w:rPr>
        <w:t xml:space="preserve"> “Department of Ed Forgives Debt For Americans with Disabilities.” </w:t>
      </w:r>
      <w:hyperlink r:id="rId54" w:tooltip="http://studentdebtcrisis.org/dept-of-ed-disability-forgiveness/" w:history="1">
        <w:r w:rsidRPr="008C6F97">
          <w:rPr>
            <w:rStyle w:val="Hyperlink"/>
            <w:rFonts w:cs="Arial"/>
            <w:szCs w:val="24"/>
          </w:rPr>
          <w:t>http://studentdebtcrisis.org/dept-of-ed-disability-forgiveness/</w:t>
        </w:r>
      </w:hyperlink>
      <w:r w:rsidRPr="008C6F97">
        <w:rPr>
          <w:rFonts w:cs="Arial"/>
          <w:szCs w:val="24"/>
        </w:rPr>
        <w:t>.</w:t>
      </w:r>
      <w:proofErr w:type="gramEnd"/>
      <w:r w:rsidRPr="008C6F97">
        <w:rPr>
          <w:rFonts w:cs="Arial"/>
          <w:szCs w:val="24"/>
        </w:rPr>
        <w:t xml:space="preserve"> </w:t>
      </w:r>
      <w:proofErr w:type="gramStart"/>
      <w:r w:rsidRPr="008C6F97">
        <w:rPr>
          <w:rFonts w:cs="Arial"/>
          <w:szCs w:val="24"/>
        </w:rPr>
        <w:t>(Accessed May 15, 2017.)</w:t>
      </w:r>
      <w:proofErr w:type="gramEnd"/>
    </w:p>
  </w:endnote>
  <w:endnote w:id="10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Church, Thomas E. 2009. “Returning Veterans on Campus with War Related Injuries and the Long Road Back Home.” </w:t>
      </w:r>
      <w:r w:rsidRPr="008C6F97">
        <w:rPr>
          <w:rFonts w:cs="Arial"/>
          <w:i/>
          <w:szCs w:val="24"/>
        </w:rPr>
        <w:t>Journal of Postsecondary Education and Disability</w:t>
      </w:r>
      <w:r w:rsidRPr="008C6F97">
        <w:rPr>
          <w:rFonts w:cs="Arial"/>
          <w:szCs w:val="24"/>
        </w:rPr>
        <w:t xml:space="preserve"> 22(1): 41–52; Rudd, David M., Jeffrey </w:t>
      </w:r>
      <w:proofErr w:type="spellStart"/>
      <w:r w:rsidRPr="008C6F97">
        <w:rPr>
          <w:rFonts w:cs="Arial"/>
          <w:szCs w:val="24"/>
        </w:rPr>
        <w:t>Goulding</w:t>
      </w:r>
      <w:proofErr w:type="spellEnd"/>
      <w:r w:rsidRPr="008C6F97">
        <w:rPr>
          <w:rFonts w:cs="Arial"/>
          <w:szCs w:val="24"/>
        </w:rPr>
        <w:t xml:space="preserve">, and Craig J. Bryan. 2011. “Student Veterans: A National Survey Exploring Psychological Symptoms and Suicide Risk.” </w:t>
      </w:r>
      <w:r w:rsidRPr="008C6F97">
        <w:rPr>
          <w:rFonts w:cs="Arial"/>
          <w:i/>
          <w:szCs w:val="24"/>
        </w:rPr>
        <w:t>Professional Psychology: Research and Practice</w:t>
      </w:r>
      <w:r w:rsidRPr="008C6F97">
        <w:rPr>
          <w:rFonts w:cs="Arial"/>
          <w:szCs w:val="24"/>
        </w:rPr>
        <w:t xml:space="preserve"> 42(5): 354–560. </w:t>
      </w:r>
      <w:hyperlink r:id="rId55" w:tooltip="https://msrc.fsu.edu/system/files/Rudd%20et%20al%202011%20Student%20veterans%20A%20national%20survey%20exploring%20psychological%20symptoms%20and%20suicide%20risk_0.pdf" w:history="1">
        <w:r w:rsidRPr="008C6F97">
          <w:rPr>
            <w:rStyle w:val="Hyperlink"/>
            <w:rFonts w:cs="Arial"/>
            <w:szCs w:val="24"/>
          </w:rPr>
          <w:t>https://msrc.fsu.edu/system/files/Rudd%20et%20al%202011%20Student%20veterans%20A%20national%20survey%20exploring%20psychological%20symptoms%20and%20suicide%20risk_0.pdf</w:t>
        </w:r>
      </w:hyperlink>
      <w:r w:rsidRPr="008C6F97">
        <w:rPr>
          <w:rFonts w:cs="Arial"/>
          <w:szCs w:val="24"/>
        </w:rPr>
        <w:t>.</w:t>
      </w:r>
    </w:p>
  </w:endnote>
  <w:endnote w:id="10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Thomas E. Church, “Returning Veterans on Campus.”</w:t>
      </w:r>
      <w:proofErr w:type="gramEnd"/>
    </w:p>
  </w:endnote>
  <w:endnote w:id="10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Yin and </w:t>
      </w:r>
      <w:proofErr w:type="spellStart"/>
      <w:r w:rsidRPr="008C6F97">
        <w:rPr>
          <w:rFonts w:cs="Arial"/>
          <w:szCs w:val="24"/>
        </w:rPr>
        <w:t>Shaewitz</w:t>
      </w:r>
      <w:proofErr w:type="spellEnd"/>
      <w:r w:rsidRPr="008C6F97">
        <w:rPr>
          <w:rFonts w:cs="Arial"/>
          <w:szCs w:val="24"/>
        </w:rPr>
        <w:t xml:space="preserve">, </w:t>
      </w:r>
      <w:r w:rsidRPr="008C6F97">
        <w:rPr>
          <w:rFonts w:cs="Arial"/>
          <w:i/>
          <w:szCs w:val="24"/>
        </w:rPr>
        <w:t>One Size Does Not Fit All.</w:t>
      </w:r>
    </w:p>
  </w:endnote>
  <w:endnote w:id="10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Wittenburg</w:t>
      </w:r>
      <w:proofErr w:type="spellEnd"/>
      <w:r w:rsidRPr="008C6F97">
        <w:rPr>
          <w:rFonts w:cs="Arial"/>
          <w:szCs w:val="24"/>
        </w:rPr>
        <w:t xml:space="preserve">, David, and Pamela </w:t>
      </w:r>
      <w:proofErr w:type="spellStart"/>
      <w:r w:rsidRPr="008C6F97">
        <w:rPr>
          <w:rFonts w:cs="Arial"/>
          <w:szCs w:val="24"/>
        </w:rPr>
        <w:t>Loprest</w:t>
      </w:r>
      <w:proofErr w:type="spellEnd"/>
      <w:r w:rsidRPr="008C6F97">
        <w:rPr>
          <w:rFonts w:cs="Arial"/>
          <w:szCs w:val="24"/>
        </w:rPr>
        <w:t>.</w:t>
      </w:r>
      <w:proofErr w:type="gramEnd"/>
      <w:r w:rsidRPr="008C6F97">
        <w:rPr>
          <w:rFonts w:cs="Arial"/>
          <w:szCs w:val="24"/>
        </w:rPr>
        <w:t xml:space="preserve"> </w:t>
      </w:r>
      <w:proofErr w:type="gramStart"/>
      <w:r w:rsidRPr="008C6F97">
        <w:rPr>
          <w:rFonts w:cs="Arial"/>
          <w:szCs w:val="24"/>
        </w:rPr>
        <w:t>2003–2007.</w:t>
      </w:r>
      <w:proofErr w:type="gramEnd"/>
      <w:r w:rsidRPr="008C6F97">
        <w:rPr>
          <w:rFonts w:cs="Arial"/>
          <w:szCs w:val="24"/>
        </w:rPr>
        <w:t xml:space="preserve"> </w:t>
      </w:r>
      <w:r w:rsidRPr="008C6F97">
        <w:rPr>
          <w:rFonts w:cs="Arial"/>
          <w:i/>
          <w:szCs w:val="24"/>
        </w:rPr>
        <w:t xml:space="preserve">Ability or Inability to Work: Challenges in Moving Towards a More Work-Focused Disability Definition for Social Security Administration (SSA) Disability Programs. </w:t>
      </w:r>
      <w:r w:rsidRPr="008C6F97">
        <w:rPr>
          <w:rFonts w:cs="Arial"/>
          <w:szCs w:val="24"/>
        </w:rPr>
        <w:t>Briefing Paper for the</w:t>
      </w:r>
      <w:r w:rsidRPr="008C6F97">
        <w:rPr>
          <w:rFonts w:cs="Arial"/>
          <w:b/>
          <w:szCs w:val="24"/>
        </w:rPr>
        <w:t xml:space="preserve"> </w:t>
      </w:r>
      <w:r w:rsidRPr="008C6F97">
        <w:rPr>
          <w:rFonts w:cs="Arial"/>
          <w:szCs w:val="24"/>
        </w:rPr>
        <w:t xml:space="preserve">Ticket to Work &amp; Work Incentives Advisory Panel. Washington, DC: The Urban Institute. </w:t>
      </w:r>
      <w:hyperlink r:id="rId56" w:tooltip="https://www.researchgate.net/publication/267198732_Ability_or_Inability_to_Work_Challenges_in_Moving_Towards_a_More_Work-Focused_Disability_Definition_for_Social%0bSecurity_Administration_SSA_Disability_Programs" w:history="1">
        <w:r w:rsidRPr="008C6F97">
          <w:rPr>
            <w:rStyle w:val="Hyperlink"/>
            <w:rFonts w:cs="Arial"/>
            <w:szCs w:val="24"/>
          </w:rPr>
          <w:t>https://www.researchgate.net/publication/267198732_Ability_or_Inability_to_Work_Challenges_in_Moving_Towards_a_More_Work-Focused_Disability_Definition_for_Social</w:t>
        </w:r>
        <w:r w:rsidRPr="008C6F97">
          <w:rPr>
            <w:rStyle w:val="Hyperlink"/>
            <w:rFonts w:cs="Arial"/>
            <w:szCs w:val="24"/>
          </w:rPr>
          <w:br/>
        </w:r>
        <w:proofErr w:type="spellStart"/>
        <w:r w:rsidRPr="008C6F97">
          <w:rPr>
            <w:rStyle w:val="Hyperlink"/>
            <w:rFonts w:cs="Arial"/>
            <w:szCs w:val="24"/>
          </w:rPr>
          <w:t>Security_Administration_SSA_Disability_Programs</w:t>
        </w:r>
        <w:proofErr w:type="spellEnd"/>
      </w:hyperlink>
      <w:r w:rsidRPr="008C6F97">
        <w:rPr>
          <w:rFonts w:cs="Arial"/>
          <w:szCs w:val="24"/>
        </w:rPr>
        <w:t>.</w:t>
      </w:r>
    </w:p>
  </w:endnote>
  <w:endnote w:id="10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U.S. Social Security Administration, Office of Retirement and Disability Policy. 2015. “SSI Annual Statistical Report, 2015.” </w:t>
      </w:r>
      <w:hyperlink r:id="rId57" w:tooltip="https://www.ssa.gov/policy/docs/statcomps/ssi_asr/2015/sect07.html" w:history="1">
        <w:r w:rsidRPr="008C6F97">
          <w:rPr>
            <w:rStyle w:val="Hyperlink"/>
            <w:rFonts w:cs="Arial"/>
            <w:szCs w:val="24"/>
          </w:rPr>
          <w:t>https://www.ssa.gov/policy/docs/statcomps/ssi_asr/2015/sect07.html</w:t>
        </w:r>
      </w:hyperlink>
      <w:r w:rsidRPr="008C6F97">
        <w:rPr>
          <w:rFonts w:cs="Arial"/>
          <w:szCs w:val="24"/>
        </w:rPr>
        <w:t>.</w:t>
      </w:r>
    </w:p>
  </w:endnote>
  <w:endnote w:id="10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Technical Assistance Collaborative.</w:t>
      </w:r>
      <w:proofErr w:type="gramEnd"/>
      <w:r w:rsidRPr="008C6F97">
        <w:rPr>
          <w:rFonts w:cs="Arial"/>
          <w:szCs w:val="24"/>
        </w:rPr>
        <w:t xml:space="preserve"> </w:t>
      </w:r>
      <w:proofErr w:type="spellStart"/>
      <w:proofErr w:type="gramStart"/>
      <w:r w:rsidRPr="008C6F97">
        <w:rPr>
          <w:rFonts w:cs="Arial"/>
          <w:szCs w:val="24"/>
        </w:rPr>
        <w:t>n.d.</w:t>
      </w:r>
      <w:proofErr w:type="spellEnd"/>
      <w:r w:rsidRPr="008C6F97">
        <w:rPr>
          <w:rFonts w:cs="Arial"/>
          <w:szCs w:val="24"/>
        </w:rPr>
        <w:t xml:space="preserve"> “Current Priorities” </w:t>
      </w:r>
      <w:hyperlink r:id="rId58" w:tooltip="http://www.tacinc.org/policy-leadership/current-priorities" w:history="1">
        <w:r w:rsidRPr="008C6F97">
          <w:rPr>
            <w:rStyle w:val="Hyperlink"/>
            <w:rFonts w:cs="Arial"/>
            <w:szCs w:val="24"/>
          </w:rPr>
          <w:t>http://www.tacinc.org/policy-leadership/current-priorities</w:t>
        </w:r>
      </w:hyperlink>
      <w:r w:rsidRPr="008C6F97">
        <w:rPr>
          <w:rFonts w:cs="Arial"/>
          <w:szCs w:val="24"/>
        </w:rPr>
        <w:t>.</w:t>
      </w:r>
      <w:proofErr w:type="gramEnd"/>
      <w:r w:rsidRPr="008C6F97">
        <w:rPr>
          <w:rFonts w:cs="Arial"/>
          <w:szCs w:val="24"/>
        </w:rPr>
        <w:t xml:space="preserve"> </w:t>
      </w:r>
      <w:proofErr w:type="gramStart"/>
      <w:r w:rsidRPr="008C6F97">
        <w:rPr>
          <w:rFonts w:cs="Arial"/>
          <w:szCs w:val="24"/>
        </w:rPr>
        <w:t>(Accessed May 30, 2017.)</w:t>
      </w:r>
      <w:proofErr w:type="gramEnd"/>
    </w:p>
  </w:endnote>
  <w:endnote w:id="11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Census Bureau.</w:t>
      </w:r>
      <w:proofErr w:type="gramEnd"/>
      <w:r w:rsidRPr="008C6F97">
        <w:rPr>
          <w:rFonts w:cs="Arial"/>
          <w:szCs w:val="24"/>
        </w:rPr>
        <w:t xml:space="preserve"> 2016. “New Census Data Show Differences </w:t>
      </w:r>
      <w:proofErr w:type="gramStart"/>
      <w:r w:rsidRPr="008C6F97">
        <w:rPr>
          <w:rFonts w:cs="Arial"/>
          <w:szCs w:val="24"/>
        </w:rPr>
        <w:t>Between</w:t>
      </w:r>
      <w:proofErr w:type="gramEnd"/>
      <w:r w:rsidRPr="008C6F97">
        <w:rPr>
          <w:rFonts w:cs="Arial"/>
          <w:szCs w:val="24"/>
        </w:rPr>
        <w:t xml:space="preserve"> Urban and Rural Populations.” </w:t>
      </w:r>
      <w:hyperlink r:id="rId59" w:tooltip="https://www.census.gov/newsroom/press-releases/2016/cb16-210.html" w:history="1">
        <w:r w:rsidRPr="008C6F97">
          <w:rPr>
            <w:rStyle w:val="Hyperlink"/>
            <w:rFonts w:cs="Arial"/>
            <w:szCs w:val="24"/>
          </w:rPr>
          <w:t>https://www.census.gov/newsroom/press-releases/2016/cb16-210.html</w:t>
        </w:r>
      </w:hyperlink>
      <w:r w:rsidRPr="008C6F97">
        <w:rPr>
          <w:rFonts w:cs="Arial"/>
          <w:szCs w:val="24"/>
        </w:rPr>
        <w:t>.</w:t>
      </w:r>
    </w:p>
  </w:endnote>
  <w:endnote w:id="11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Council on Disability.</w:t>
      </w:r>
      <w:proofErr w:type="gramEnd"/>
      <w:r w:rsidRPr="008C6F97">
        <w:rPr>
          <w:rFonts w:cs="Arial"/>
          <w:szCs w:val="24"/>
        </w:rPr>
        <w:t xml:space="preserve"> 2015. “Transportation Update: Where We’ve Gone and What We’ve Learned.” Washington, DC: NCD. </w:t>
      </w:r>
      <w:hyperlink r:id="rId60" w:tooltip="https://ncd.gov/rawmedia_repository%0b/862358ac_bfec_4afc_8cac_9a02122e231d.pdf" w:history="1">
        <w:proofErr w:type="gramStart"/>
        <w:r w:rsidRPr="008C6F97">
          <w:rPr>
            <w:rStyle w:val="Hyperlink"/>
            <w:rFonts w:cs="Arial"/>
            <w:szCs w:val="24"/>
          </w:rPr>
          <w:t>https://ncd.gov/rawmedia_repository</w:t>
        </w:r>
        <w:r w:rsidRPr="008C6F97">
          <w:rPr>
            <w:rStyle w:val="Hyperlink"/>
            <w:rFonts w:cs="Arial"/>
            <w:szCs w:val="24"/>
          </w:rPr>
          <w:br/>
          <w:t>/862358ac_bfec_4afc_8cac_9a02122e231d.pdf;</w:t>
        </w:r>
      </w:hyperlink>
      <w:r w:rsidRPr="008C6F97">
        <w:rPr>
          <w:rFonts w:cs="Arial"/>
          <w:szCs w:val="24"/>
        </w:rPr>
        <w:t xml:space="preserve"> Association of Programs for Rural Independent Living.</w:t>
      </w:r>
      <w:proofErr w:type="gramEnd"/>
      <w:r w:rsidRPr="008C6F97">
        <w:rPr>
          <w:rFonts w:cs="Arial"/>
          <w:szCs w:val="24"/>
        </w:rPr>
        <w:t xml:space="preserve"> 2010. “Transportation Act Reauthorization Position Statement: Rural Transportation for People with Disabilities.” Little Rock, AR: Association of Programs for Rural Independent Living. </w:t>
      </w:r>
      <w:hyperlink r:id="rId61" w:tooltip="https://www.april-rural.org/images/stories/%0b200911/april_transportation_position_statementjanuary_2010.pdf" w:history="1">
        <w:proofErr w:type="gramStart"/>
        <w:r w:rsidRPr="008C6F97">
          <w:rPr>
            <w:rStyle w:val="Hyperlink"/>
            <w:rFonts w:cs="Arial"/>
            <w:szCs w:val="24"/>
          </w:rPr>
          <w:t>https://www.april-rural.org/images/stories/</w:t>
        </w:r>
        <w:r w:rsidRPr="008C6F97">
          <w:rPr>
            <w:rStyle w:val="Hyperlink"/>
            <w:rFonts w:cs="Arial"/>
            <w:szCs w:val="24"/>
          </w:rPr>
          <w:br/>
          <w:t>200911/april_transportation_position_statementjanuary_2010.pdf</w:t>
        </w:r>
      </w:hyperlink>
      <w:r w:rsidRPr="008C6F97">
        <w:rPr>
          <w:rStyle w:val="Hyperlink"/>
          <w:rFonts w:cs="Arial"/>
          <w:szCs w:val="24"/>
        </w:rPr>
        <w:t>.</w:t>
      </w:r>
      <w:proofErr w:type="gramEnd"/>
      <w:r w:rsidRPr="008C6F97">
        <w:rPr>
          <w:rFonts w:cs="Arial"/>
          <w:szCs w:val="24"/>
        </w:rPr>
        <w:t xml:space="preserve"> </w:t>
      </w:r>
      <w:proofErr w:type="gramStart"/>
      <w:r w:rsidRPr="008C6F97">
        <w:rPr>
          <w:rFonts w:cs="Arial"/>
          <w:szCs w:val="24"/>
        </w:rPr>
        <w:t>(Accessed July 14, 2017.)</w:t>
      </w:r>
      <w:proofErr w:type="gramEnd"/>
    </w:p>
  </w:endnote>
  <w:endnote w:id="11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Ju</w:t>
      </w:r>
      <w:proofErr w:type="spellEnd"/>
      <w:r w:rsidRPr="008C6F97">
        <w:rPr>
          <w:rFonts w:cs="Arial"/>
          <w:szCs w:val="24"/>
        </w:rPr>
        <w:t xml:space="preserve">, Song, Eric Roberts, and </w:t>
      </w:r>
      <w:proofErr w:type="spellStart"/>
      <w:r w:rsidRPr="008C6F97">
        <w:rPr>
          <w:rFonts w:cs="Arial"/>
          <w:szCs w:val="24"/>
        </w:rPr>
        <w:t>Dalun</w:t>
      </w:r>
      <w:proofErr w:type="spellEnd"/>
      <w:r w:rsidRPr="008C6F97">
        <w:rPr>
          <w:rFonts w:cs="Arial"/>
          <w:szCs w:val="24"/>
        </w:rPr>
        <w:t xml:space="preserve"> Zhang.</w:t>
      </w:r>
      <w:proofErr w:type="gramEnd"/>
      <w:r w:rsidRPr="008C6F97">
        <w:rPr>
          <w:rFonts w:cs="Arial"/>
          <w:szCs w:val="24"/>
        </w:rPr>
        <w:t xml:space="preserve"> 2013. “Employer Attitudes </w:t>
      </w:r>
      <w:proofErr w:type="gramStart"/>
      <w:r w:rsidRPr="008C6F97">
        <w:rPr>
          <w:rFonts w:cs="Arial"/>
          <w:szCs w:val="24"/>
        </w:rPr>
        <w:t>Toward</w:t>
      </w:r>
      <w:proofErr w:type="gramEnd"/>
      <w:r w:rsidRPr="008C6F97">
        <w:rPr>
          <w:rFonts w:cs="Arial"/>
          <w:szCs w:val="24"/>
        </w:rPr>
        <w:t xml:space="preserve"> Workers with Disabilities: A Review of Research in the Past Decade.” </w:t>
      </w:r>
      <w:r w:rsidRPr="008C6F97">
        <w:rPr>
          <w:rFonts w:cs="Arial"/>
          <w:i/>
          <w:szCs w:val="24"/>
        </w:rPr>
        <w:t>Journal of Vocational Rehabilitation</w:t>
      </w:r>
      <w:r w:rsidRPr="008C6F97">
        <w:rPr>
          <w:rFonts w:cs="Arial"/>
          <w:szCs w:val="24"/>
        </w:rPr>
        <w:t xml:space="preserve"> 38(2): 113–123. </w:t>
      </w:r>
      <w:hyperlink r:id="rId62" w:tooltip="http://content.iospress.com/articles/journal-of-vocational-rehabilitation/jvr625" w:history="1">
        <w:r w:rsidRPr="008C6F97">
          <w:rPr>
            <w:rStyle w:val="Hyperlink"/>
            <w:rFonts w:cs="Arial"/>
            <w:szCs w:val="24"/>
          </w:rPr>
          <w:t>http://content.iospress.com/articles/journal-of-vocational-rehabilitation/jvr625</w:t>
        </w:r>
      </w:hyperlink>
      <w:r w:rsidRPr="008C6F97">
        <w:rPr>
          <w:rStyle w:val="Hyperlink"/>
          <w:rFonts w:cs="Arial"/>
          <w:szCs w:val="24"/>
        </w:rPr>
        <w:t>.</w:t>
      </w:r>
    </w:p>
  </w:endnote>
  <w:endnote w:id="11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Newman, Lynn. 2005. </w:t>
      </w:r>
      <w:r w:rsidRPr="008C6F97">
        <w:rPr>
          <w:rFonts w:cs="Arial"/>
          <w:i/>
          <w:szCs w:val="24"/>
        </w:rPr>
        <w:t>Family Involvement in the Educational Development of Youth with Disabilities: A Special Topic Report of Findings from the National Longitudinal Transition Study-2 (NLTS2).</w:t>
      </w:r>
      <w:r w:rsidRPr="008C6F97">
        <w:rPr>
          <w:rFonts w:cs="Arial"/>
          <w:szCs w:val="24"/>
        </w:rPr>
        <w:t xml:space="preserve"> Menlo Park, CA: SRI International.</w:t>
      </w:r>
    </w:p>
  </w:endnote>
  <w:endnote w:id="11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Collaborative on Workforce and Disability for Youth, Graduation Requirements.</w:t>
      </w:r>
      <w:proofErr w:type="gramEnd"/>
      <w:r w:rsidRPr="008C6F97">
        <w:rPr>
          <w:rFonts w:cs="Arial"/>
          <w:szCs w:val="24"/>
        </w:rPr>
        <w:t xml:space="preserve"> </w:t>
      </w:r>
    </w:p>
  </w:endnote>
  <w:endnote w:id="11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r w:rsidRPr="008C6F97">
        <w:rPr>
          <w:rFonts w:cs="Arial"/>
          <w:szCs w:val="24"/>
        </w:rPr>
        <w:t>Rix</w:t>
      </w:r>
      <w:proofErr w:type="spellEnd"/>
      <w:r w:rsidRPr="008C6F97">
        <w:rPr>
          <w:rFonts w:cs="Arial"/>
          <w:szCs w:val="24"/>
        </w:rPr>
        <w:t xml:space="preserve">, Jonathan, et al. 2006. </w:t>
      </w:r>
      <w:r w:rsidRPr="008C6F97">
        <w:rPr>
          <w:rFonts w:cs="Arial"/>
          <w:i/>
          <w:szCs w:val="24"/>
        </w:rPr>
        <w:t>A Systematic Review of Interactions in Pedagogical Approaches with Reported Outcomes for the Academic and Social Inclusion of Pupils with Special Educational Needs.</w:t>
      </w:r>
      <w:r w:rsidRPr="008C6F97">
        <w:rPr>
          <w:rFonts w:cs="Arial"/>
          <w:szCs w:val="24"/>
        </w:rPr>
        <w:t xml:space="preserve"> London: EPPI-Centre, Social Science Research Unit, University of London. </w:t>
      </w:r>
      <w:hyperlink r:id="rId63" w:tooltip="http://eprints.soton.ac.uk/55260/" w:history="1">
        <w:r w:rsidRPr="008C6F97">
          <w:rPr>
            <w:rStyle w:val="Hyperlink"/>
            <w:rFonts w:cs="Arial"/>
            <w:szCs w:val="24"/>
          </w:rPr>
          <w:t>http://eprints.soton.ac.uk/55260/</w:t>
        </w:r>
      </w:hyperlink>
      <w:r w:rsidRPr="008C6F97">
        <w:rPr>
          <w:rFonts w:cs="Arial"/>
          <w:szCs w:val="24"/>
        </w:rPr>
        <w:t>.</w:t>
      </w:r>
    </w:p>
  </w:endnote>
  <w:endnote w:id="116">
    <w:p w:rsidR="007A1436" w:rsidRPr="008C6F97" w:rsidRDefault="007A1436" w:rsidP="009C3635">
      <w:pPr>
        <w:pStyle w:val="EndnoteText"/>
        <w:keepNext/>
        <w:spacing w:after="200"/>
        <w:rPr>
          <w:rFonts w:cs="Arial"/>
          <w:szCs w:val="24"/>
        </w:rPr>
      </w:pPr>
      <w:r w:rsidRPr="008C6F97">
        <w:rPr>
          <w:rStyle w:val="EndnoteReference"/>
          <w:rFonts w:cs="Arial"/>
          <w:szCs w:val="24"/>
        </w:rPr>
        <w:endnoteRef/>
      </w:r>
      <w:r w:rsidRPr="008C6F97">
        <w:rPr>
          <w:rFonts w:cs="Arial"/>
          <w:szCs w:val="24"/>
        </w:rPr>
        <w:t xml:space="preserve"> Newman, Family Involvement in Educational Development.</w:t>
      </w:r>
    </w:p>
  </w:endnote>
  <w:endnote w:id="11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L. Johnson, </w:t>
      </w:r>
      <w:proofErr w:type="spellStart"/>
      <w:r w:rsidRPr="008C6F97">
        <w:rPr>
          <w:rFonts w:cs="Arial"/>
          <w:szCs w:val="24"/>
        </w:rPr>
        <w:t>AdriAnne</w:t>
      </w:r>
      <w:proofErr w:type="spellEnd"/>
      <w:r w:rsidRPr="008C6F97">
        <w:rPr>
          <w:rFonts w:cs="Arial"/>
          <w:szCs w:val="24"/>
        </w:rPr>
        <w:t xml:space="preserve">. 2006. “Students with Disabilities in Postsecondary Education: Barriers to Success and Implications for Professionals.” </w:t>
      </w:r>
      <w:proofErr w:type="gramStart"/>
      <w:r w:rsidRPr="008C6F97">
        <w:rPr>
          <w:rFonts w:cs="Arial"/>
          <w:szCs w:val="24"/>
        </w:rPr>
        <w:t xml:space="preserve">VISTAS Online (American Counseling Association. </w:t>
      </w:r>
      <w:hyperlink r:id="rId64" w:tooltip="https://www.counseling.org/Resources/Library/VISTAS/%0bvistas06_online-only/Johnson.pdf" w:history="1">
        <w:r w:rsidRPr="008C6F97">
          <w:rPr>
            <w:rStyle w:val="Hyperlink"/>
            <w:rFonts w:cs="Arial"/>
            <w:szCs w:val="24"/>
          </w:rPr>
          <w:t>https://www.counseling.org/Resources/Library/VISTAS/</w:t>
        </w:r>
        <w:r w:rsidRPr="008C6F97">
          <w:rPr>
            <w:rStyle w:val="Hyperlink"/>
            <w:rFonts w:cs="Arial"/>
            <w:szCs w:val="24"/>
          </w:rPr>
          <w:br/>
          <w:t>vistas06_online-only/Johnson.pdf</w:t>
        </w:r>
      </w:hyperlink>
      <w:r w:rsidRPr="008C6F97">
        <w:rPr>
          <w:rFonts w:cs="Arial"/>
          <w:szCs w:val="24"/>
        </w:rPr>
        <w:t>.</w:t>
      </w:r>
      <w:proofErr w:type="gramEnd"/>
    </w:p>
  </w:endnote>
  <w:endnote w:id="11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Singh, </w:t>
      </w:r>
      <w:proofErr w:type="spellStart"/>
      <w:r w:rsidRPr="008C6F97">
        <w:rPr>
          <w:rFonts w:cs="Arial"/>
          <w:szCs w:val="24"/>
        </w:rPr>
        <w:t>Delar</w:t>
      </w:r>
      <w:proofErr w:type="spellEnd"/>
      <w:r w:rsidRPr="008C6F97">
        <w:rPr>
          <w:rFonts w:cs="Arial"/>
          <w:szCs w:val="24"/>
        </w:rPr>
        <w:t xml:space="preserve"> K. 2003. </w:t>
      </w:r>
      <w:proofErr w:type="gramStart"/>
      <w:r w:rsidRPr="008C6F97">
        <w:rPr>
          <w:rFonts w:cs="Arial"/>
          <w:szCs w:val="24"/>
        </w:rPr>
        <w:t>“Students with Disabilities and Higher Education.”</w:t>
      </w:r>
      <w:proofErr w:type="gramEnd"/>
      <w:r w:rsidRPr="008C6F97">
        <w:rPr>
          <w:rFonts w:cs="Arial"/>
          <w:szCs w:val="24"/>
        </w:rPr>
        <w:t xml:space="preserve"> </w:t>
      </w:r>
      <w:r w:rsidRPr="008C6F97">
        <w:rPr>
          <w:rFonts w:cs="Arial"/>
          <w:i/>
          <w:szCs w:val="24"/>
        </w:rPr>
        <w:t>College Student Journal</w:t>
      </w:r>
      <w:r w:rsidRPr="008C6F97">
        <w:rPr>
          <w:rFonts w:cs="Arial"/>
          <w:szCs w:val="24"/>
        </w:rPr>
        <w:t xml:space="preserve"> 37(3): 367–379. </w:t>
      </w:r>
    </w:p>
  </w:endnote>
  <w:endnote w:id="11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Ju</w:t>
      </w:r>
      <w:proofErr w:type="spellEnd"/>
      <w:r w:rsidRPr="008C6F97">
        <w:rPr>
          <w:rFonts w:cs="Arial"/>
          <w:szCs w:val="24"/>
        </w:rPr>
        <w:t xml:space="preserve">, Song, Eric Roberts, and </w:t>
      </w:r>
      <w:proofErr w:type="spellStart"/>
      <w:r w:rsidRPr="008C6F97">
        <w:rPr>
          <w:rFonts w:cs="Arial"/>
          <w:szCs w:val="24"/>
        </w:rPr>
        <w:t>Dalun</w:t>
      </w:r>
      <w:proofErr w:type="spellEnd"/>
      <w:r w:rsidRPr="008C6F97">
        <w:rPr>
          <w:rFonts w:cs="Arial"/>
          <w:szCs w:val="24"/>
        </w:rPr>
        <w:t xml:space="preserve"> Zhang.</w:t>
      </w:r>
      <w:proofErr w:type="gramEnd"/>
      <w:r w:rsidRPr="008C6F97">
        <w:rPr>
          <w:rFonts w:cs="Arial"/>
          <w:szCs w:val="24"/>
        </w:rPr>
        <w:t xml:space="preserve"> 2013. “Employer Attitudes </w:t>
      </w:r>
      <w:proofErr w:type="gramStart"/>
      <w:r w:rsidRPr="008C6F97">
        <w:rPr>
          <w:rFonts w:cs="Arial"/>
          <w:szCs w:val="24"/>
        </w:rPr>
        <w:t>Toward</w:t>
      </w:r>
      <w:proofErr w:type="gramEnd"/>
      <w:r w:rsidRPr="008C6F97">
        <w:rPr>
          <w:rFonts w:cs="Arial"/>
          <w:szCs w:val="24"/>
        </w:rPr>
        <w:t xml:space="preserve"> Workers with Disabilities: A Review of Research in the Past Decade.” </w:t>
      </w:r>
      <w:r w:rsidRPr="008C6F97">
        <w:rPr>
          <w:rFonts w:cs="Arial"/>
          <w:i/>
          <w:szCs w:val="24"/>
        </w:rPr>
        <w:t>Journal of Vocational Rehabilitation</w:t>
      </w:r>
      <w:r w:rsidRPr="008C6F97">
        <w:rPr>
          <w:rFonts w:cs="Arial"/>
          <w:szCs w:val="24"/>
        </w:rPr>
        <w:t xml:space="preserve"> 38(2): 113–123. </w:t>
      </w:r>
      <w:hyperlink r:id="rId65" w:tooltip="http://content.iospress.com/articles/journal-of-vocational-rehabilitation/jvr625" w:history="1">
        <w:proofErr w:type="gramStart"/>
        <w:r w:rsidRPr="008C6F97">
          <w:rPr>
            <w:rStyle w:val="Hyperlink"/>
            <w:rFonts w:cs="Arial"/>
            <w:szCs w:val="24"/>
          </w:rPr>
          <w:t>http://content.iospress.com/articles/journal-of-vocational-rehabilitation/jvr625</w:t>
        </w:r>
      </w:hyperlink>
      <w:r w:rsidRPr="008C6F97">
        <w:rPr>
          <w:rStyle w:val="Hyperlink"/>
          <w:rFonts w:cs="Arial"/>
          <w:szCs w:val="24"/>
        </w:rPr>
        <w:t xml:space="preserve">; </w:t>
      </w:r>
      <w:proofErr w:type="spellStart"/>
      <w:r w:rsidRPr="008C6F97">
        <w:rPr>
          <w:rFonts w:cs="Arial"/>
          <w:szCs w:val="24"/>
        </w:rPr>
        <w:t>Houtenville</w:t>
      </w:r>
      <w:proofErr w:type="spellEnd"/>
      <w:r w:rsidRPr="008C6F97">
        <w:rPr>
          <w:rFonts w:cs="Arial"/>
          <w:szCs w:val="24"/>
        </w:rPr>
        <w:t xml:space="preserve">, Andrew, and </w:t>
      </w:r>
      <w:proofErr w:type="spellStart"/>
      <w:r w:rsidRPr="008C6F97">
        <w:rPr>
          <w:rFonts w:cs="Arial"/>
          <w:szCs w:val="24"/>
        </w:rPr>
        <w:t>Valentini</w:t>
      </w:r>
      <w:proofErr w:type="spellEnd"/>
      <w:r w:rsidRPr="008C6F97">
        <w:rPr>
          <w:rFonts w:cs="Arial"/>
          <w:szCs w:val="24"/>
        </w:rPr>
        <w:t xml:space="preserve"> </w:t>
      </w:r>
      <w:proofErr w:type="spellStart"/>
      <w:r w:rsidRPr="008C6F97">
        <w:rPr>
          <w:rFonts w:cs="Arial"/>
          <w:szCs w:val="24"/>
        </w:rPr>
        <w:t>Kalargyrou</w:t>
      </w:r>
      <w:proofErr w:type="spellEnd"/>
      <w:r w:rsidRPr="008C6F97">
        <w:rPr>
          <w:rFonts w:cs="Arial"/>
          <w:szCs w:val="24"/>
        </w:rPr>
        <w:t>.</w:t>
      </w:r>
      <w:proofErr w:type="gramEnd"/>
      <w:r w:rsidRPr="008C6F97">
        <w:rPr>
          <w:rFonts w:cs="Arial"/>
          <w:szCs w:val="24"/>
        </w:rPr>
        <w:t xml:space="preserve"> 2012. “People with Disabilities: Employers’ Perspectives on Recruitment Practices, Strategies, and Challenges in Leisure and Hospitality.” </w:t>
      </w:r>
      <w:r w:rsidRPr="008C6F97">
        <w:rPr>
          <w:rFonts w:cs="Arial"/>
          <w:i/>
          <w:szCs w:val="24"/>
        </w:rPr>
        <w:t>Cornell Hospital Quarterly</w:t>
      </w:r>
      <w:r w:rsidRPr="008C6F97">
        <w:rPr>
          <w:rFonts w:cs="Arial"/>
          <w:szCs w:val="24"/>
        </w:rPr>
        <w:t xml:space="preserve"> 53(1): 40–52. </w:t>
      </w:r>
      <w:hyperlink r:id="rId66" w:tooltip="http://journals.sagepub.com/doi/abs/10.1177/1938965511424151" w:history="1">
        <w:r w:rsidRPr="008C6F97">
          <w:rPr>
            <w:rStyle w:val="Hyperlink"/>
            <w:rFonts w:cs="Arial"/>
            <w:szCs w:val="24"/>
          </w:rPr>
          <w:t>http://journals.sagepub.com/doi/abs/10.1177/1938965511424151</w:t>
        </w:r>
      </w:hyperlink>
      <w:r w:rsidRPr="008C6F97">
        <w:rPr>
          <w:rStyle w:val="Hyperlink"/>
          <w:rFonts w:cs="Arial"/>
          <w:szCs w:val="24"/>
        </w:rPr>
        <w:t>.</w:t>
      </w:r>
    </w:p>
  </w:endnote>
  <w:endnote w:id="12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Advisory Committee on Increasing Competitive Integrated Employment for Individuals with Disabilities. 2016. “Final Report to: The Honorable Thomas E. Perez, United States Secretary of Labor, the United States Senate Committee on Health, Education, Labor and Pensions, The United States House of Representatives Committee on Education and the Workforce.” </w:t>
      </w:r>
      <w:hyperlink r:id="rId67" w:tooltip="https://www.dol.gov/odep/topics/pdf/ACICIEID_Final_Report_9-8-16.pdf" w:history="1">
        <w:r w:rsidRPr="008C6F97">
          <w:rPr>
            <w:rStyle w:val="Hyperlink"/>
            <w:rFonts w:cs="Arial"/>
            <w:szCs w:val="24"/>
          </w:rPr>
          <w:t>https://www.dol.gov/odep/topics/pdf/ACICIEID_Final_Report_9-8-16.pdf</w:t>
        </w:r>
      </w:hyperlink>
      <w:r w:rsidRPr="008C6F97">
        <w:rPr>
          <w:rFonts w:cs="Arial"/>
          <w:szCs w:val="24"/>
        </w:rPr>
        <w:t>.</w:t>
      </w:r>
    </w:p>
  </w:endnote>
  <w:endnote w:id="12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Council on Disability.</w:t>
      </w:r>
      <w:proofErr w:type="gramEnd"/>
      <w:r w:rsidRPr="008C6F97">
        <w:rPr>
          <w:rFonts w:cs="Arial"/>
          <w:szCs w:val="24"/>
        </w:rPr>
        <w:t xml:space="preserve"> 2012. “National Council on Disability Report on Subminimum Wage and Supported Employment.” Washington, DC: NCD.</w:t>
      </w:r>
    </w:p>
  </w:endnote>
  <w:endnote w:id="12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ACICIEID, “Final Report.”</w:t>
      </w:r>
    </w:p>
  </w:endnote>
  <w:endnote w:id="12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National Council on Disability, “Report on Subminimum Wage.”</w:t>
      </w:r>
    </w:p>
  </w:endnote>
  <w:endnote w:id="12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r w:rsidRPr="008C6F97">
        <w:rPr>
          <w:rFonts w:cs="Arial"/>
          <w:szCs w:val="24"/>
        </w:rPr>
        <w:t>Cimera</w:t>
      </w:r>
      <w:proofErr w:type="spellEnd"/>
      <w:r w:rsidRPr="008C6F97">
        <w:rPr>
          <w:rFonts w:cs="Arial"/>
          <w:szCs w:val="24"/>
        </w:rPr>
        <w:t xml:space="preserve">, Robert Evert. 2011. “Does Being in Sheltered Workshops Improve the Employment Outcomes of Supported Employees with Intellectual Disabilities?” </w:t>
      </w:r>
      <w:r w:rsidRPr="008C6F97">
        <w:rPr>
          <w:rFonts w:cs="Arial"/>
          <w:i/>
          <w:szCs w:val="24"/>
        </w:rPr>
        <w:t>Journal of Vocational Rehabilitation</w:t>
      </w:r>
      <w:r w:rsidRPr="008C6F97">
        <w:rPr>
          <w:rFonts w:cs="Arial"/>
          <w:szCs w:val="24"/>
        </w:rPr>
        <w:t xml:space="preserve"> 35(1): 21–27.</w:t>
      </w:r>
    </w:p>
  </w:endnote>
  <w:endnote w:id="12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Council on Disability.</w:t>
      </w:r>
      <w:proofErr w:type="gramEnd"/>
      <w:r w:rsidRPr="008C6F97">
        <w:rPr>
          <w:rFonts w:cs="Arial"/>
          <w:szCs w:val="24"/>
        </w:rPr>
        <w:t xml:space="preserve"> 2012. “Report on Subminimum Wage and Supported Employment.” </w:t>
      </w:r>
      <w:hyperlink r:id="rId68" w:tooltip="https://ncd.gov/publications/2012/August232012" w:history="1">
        <w:r w:rsidRPr="008C6F97">
          <w:rPr>
            <w:rStyle w:val="Hyperlink"/>
            <w:rFonts w:cs="Arial"/>
            <w:szCs w:val="24"/>
          </w:rPr>
          <w:t>https://ncd.gov/publications/2012/August232012</w:t>
        </w:r>
      </w:hyperlink>
      <w:r w:rsidRPr="008C6F97">
        <w:rPr>
          <w:rFonts w:cs="Arial"/>
          <w:szCs w:val="24"/>
        </w:rPr>
        <w:t xml:space="preserve">. </w:t>
      </w:r>
      <w:proofErr w:type="gramStart"/>
      <w:r w:rsidRPr="008C6F97">
        <w:rPr>
          <w:rFonts w:cs="Arial"/>
          <w:szCs w:val="24"/>
        </w:rPr>
        <w:t>(Accessed August 30, 2017).</w:t>
      </w:r>
      <w:proofErr w:type="gramEnd"/>
    </w:p>
  </w:endnote>
  <w:endnote w:id="12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National Council on Disability, “Report on Subminimum Wage.”</w:t>
      </w:r>
    </w:p>
  </w:endnote>
  <w:endnote w:id="12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Department of Justice, Office of Public Affairs.</w:t>
      </w:r>
      <w:proofErr w:type="gramEnd"/>
      <w:r w:rsidRPr="008C6F97">
        <w:rPr>
          <w:rFonts w:cs="Arial"/>
          <w:szCs w:val="24"/>
        </w:rPr>
        <w:t xml:space="preserve"> 2014. “Department of Justice Reaches Landmark Americans with Disabilities Act Settlement Agreement with Rhode Island.” </w:t>
      </w:r>
      <w:hyperlink r:id="rId69" w:tooltip="https://www.justice.gov/opa/pr/department-justice-reaches-landmark-americans-disabilities-act-settlement-agreement-rhode" w:history="1">
        <w:r w:rsidRPr="008C6F97">
          <w:rPr>
            <w:rStyle w:val="Hyperlink"/>
            <w:rFonts w:cs="Arial"/>
            <w:szCs w:val="24"/>
          </w:rPr>
          <w:t>https://www.justice.gov/opa/pr/department-justice-reaches-landmark-americans-disabilities-act-settlement-agreement-rhode</w:t>
        </w:r>
      </w:hyperlink>
      <w:r w:rsidRPr="008C6F97">
        <w:rPr>
          <w:rStyle w:val="Hyperlink"/>
          <w:rFonts w:cs="Arial"/>
          <w:szCs w:val="24"/>
        </w:rPr>
        <w:t>;</w:t>
      </w:r>
      <w:r w:rsidRPr="008C6F97">
        <w:rPr>
          <w:rFonts w:cs="Arial"/>
          <w:szCs w:val="24"/>
        </w:rPr>
        <w:t xml:space="preserve"> U.S. Department of Justice, Office of Public Affairs. 2015. “Justice Department Reaches Landmark Settlement Agreement with State of Oregon Regarding Americans with Disabilities Act.” </w:t>
      </w:r>
      <w:hyperlink r:id="rId70" w:tooltip="https://www.justice.gov/opa/pr/justice-department-reaches-landmark-settlement-agreement-state-oregon-regarding-americans" w:history="1">
        <w:r w:rsidRPr="008C6F97">
          <w:rPr>
            <w:rStyle w:val="Hyperlink"/>
            <w:rFonts w:cs="Arial"/>
            <w:szCs w:val="24"/>
          </w:rPr>
          <w:t>https://www.justice.gov/opa/pr/justice-department-reaches-landmark-settlement-agreement-state-oregon-regarding-americans</w:t>
        </w:r>
      </w:hyperlink>
      <w:r w:rsidRPr="008C6F97">
        <w:rPr>
          <w:rFonts w:cs="Arial"/>
          <w:szCs w:val="24"/>
        </w:rPr>
        <w:t>.</w:t>
      </w:r>
    </w:p>
  </w:endnote>
  <w:endnote w:id="12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Council on Disability, “</w:t>
      </w:r>
      <w:r w:rsidRPr="008C6F97">
        <w:rPr>
          <w:rFonts w:cs="Arial"/>
          <w:iCs/>
          <w:szCs w:val="24"/>
        </w:rPr>
        <w:t>Transportation Update</w:t>
      </w:r>
      <w:r w:rsidRPr="008C6F97">
        <w:rPr>
          <w:rFonts w:cs="Arial"/>
          <w:color w:val="1F497D"/>
          <w:szCs w:val="24"/>
        </w:rPr>
        <w:t>.”</w:t>
      </w:r>
      <w:proofErr w:type="gramEnd"/>
    </w:p>
  </w:endnote>
  <w:endnote w:id="12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Equal Rights Center v. </w:t>
      </w:r>
      <w:proofErr w:type="spellStart"/>
      <w:r w:rsidRPr="008C6F97">
        <w:rPr>
          <w:rFonts w:cs="Arial"/>
          <w:szCs w:val="24"/>
        </w:rPr>
        <w:t>Uber</w:t>
      </w:r>
      <w:proofErr w:type="spellEnd"/>
      <w:r w:rsidRPr="008C6F97">
        <w:rPr>
          <w:rFonts w:cs="Arial"/>
          <w:szCs w:val="24"/>
        </w:rPr>
        <w:t xml:space="preserve"> Technologies, Inc., 1:17-cv-01272 (U.S. Dist. Ct. District of Columbia June 28, 2017), </w:t>
      </w:r>
      <w:hyperlink r:id="rId71" w:tooltip="https://equalrightscenter.org/wp-content/uploads/equal-rights-center-v.-uber-technologies-inc.-complaint.pdf" w:history="1">
        <w:r w:rsidRPr="008C6F97">
          <w:rPr>
            <w:rStyle w:val="Hyperlink"/>
            <w:rFonts w:cs="Arial"/>
            <w:szCs w:val="24"/>
          </w:rPr>
          <w:t>https://equalrightscenter.org/wp-content/uploads/equal-rights-center-v.-uber-technologies-inc.-complaint.pdf</w:t>
        </w:r>
      </w:hyperlink>
      <w:r w:rsidRPr="008C6F97">
        <w:rPr>
          <w:rFonts w:cs="Arial"/>
          <w:szCs w:val="24"/>
        </w:rPr>
        <w:t xml:space="preserve">; Access Living of Metropolitan Chicago v. </w:t>
      </w:r>
      <w:proofErr w:type="spellStart"/>
      <w:r w:rsidRPr="008C6F97">
        <w:rPr>
          <w:rFonts w:cs="Arial"/>
          <w:szCs w:val="24"/>
        </w:rPr>
        <w:t>Uber</w:t>
      </w:r>
      <w:proofErr w:type="spellEnd"/>
      <w:r w:rsidRPr="008C6F97">
        <w:rPr>
          <w:rFonts w:cs="Arial"/>
          <w:szCs w:val="24"/>
        </w:rPr>
        <w:t xml:space="preserve"> Technologies, Inc., 1:16-cv-09690; Ill. Northern Dist. Ct. Oct. 13, 2016), </w:t>
      </w:r>
      <w:hyperlink r:id="rId72" w:tooltip="https://www.law360.com/cases/57ff9a753b739629f7000002" w:history="1">
        <w:r w:rsidRPr="008C6F97">
          <w:rPr>
            <w:rStyle w:val="Hyperlink"/>
            <w:rFonts w:cs="Arial"/>
            <w:szCs w:val="24"/>
          </w:rPr>
          <w:t>https://www.law360.com/cases/57ff9a753b739629f7000002</w:t>
        </w:r>
      </w:hyperlink>
      <w:r w:rsidRPr="008C6F97">
        <w:rPr>
          <w:rFonts w:cs="Arial"/>
          <w:szCs w:val="24"/>
        </w:rPr>
        <w:t xml:space="preserve">. </w:t>
      </w:r>
    </w:p>
  </w:endnote>
  <w:endnote w:id="13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Squire, Alexis L., and Gregg A. Kelley.</w:t>
      </w:r>
      <w:proofErr w:type="gramEnd"/>
      <w:r w:rsidRPr="008C6F97">
        <w:rPr>
          <w:rFonts w:cs="Arial"/>
          <w:szCs w:val="24"/>
        </w:rPr>
        <w:t xml:space="preserve"> 2017. “Equal Rights Center Files Lawsuit Against </w:t>
      </w:r>
      <w:proofErr w:type="spellStart"/>
      <w:r w:rsidRPr="008C6F97">
        <w:rPr>
          <w:rFonts w:cs="Arial"/>
          <w:szCs w:val="24"/>
        </w:rPr>
        <w:t>Uber</w:t>
      </w:r>
      <w:proofErr w:type="spellEnd"/>
      <w:r w:rsidRPr="008C6F97">
        <w:rPr>
          <w:rFonts w:cs="Arial"/>
          <w:szCs w:val="24"/>
        </w:rPr>
        <w:t xml:space="preserve"> for Providing Services That Are Inaccessible to Wheelchair Riders.” </w:t>
      </w:r>
      <w:hyperlink r:id="rId73" w:tooltip="https://equalrightscenter.org/press-releases/equal-rights-center-files-lawsuit-uber-providing-services-inaccessible-wheelchair-riders/" w:history="1">
        <w:r w:rsidRPr="008C6F97">
          <w:rPr>
            <w:rStyle w:val="Hyperlink"/>
            <w:rFonts w:cs="Arial"/>
            <w:szCs w:val="24"/>
          </w:rPr>
          <w:t>https://equalrightscenter.org/press-releases/equal-rights-center-files-lawsuit-uber-providing-services-inaccessible-wheelchair-riders/</w:t>
        </w:r>
      </w:hyperlink>
      <w:r w:rsidRPr="008C6F97">
        <w:rPr>
          <w:rStyle w:val="Hyperlink"/>
          <w:rFonts w:cs="Arial"/>
          <w:szCs w:val="24"/>
        </w:rPr>
        <w:t>.</w:t>
      </w:r>
    </w:p>
  </w:endnote>
  <w:endnote w:id="13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Blumenthal and </w:t>
      </w:r>
      <w:proofErr w:type="spellStart"/>
      <w:r w:rsidRPr="008C6F97">
        <w:rPr>
          <w:rFonts w:cs="Arial"/>
          <w:szCs w:val="24"/>
        </w:rPr>
        <w:t>McGinty</w:t>
      </w:r>
      <w:proofErr w:type="spellEnd"/>
      <w:r w:rsidRPr="008C6F97">
        <w:rPr>
          <w:rFonts w:cs="Arial"/>
          <w:szCs w:val="24"/>
        </w:rPr>
        <w:t>, Housing Policy Levers.</w:t>
      </w:r>
      <w:proofErr w:type="gramEnd"/>
    </w:p>
  </w:endnote>
  <w:endnote w:id="13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Initiative for Empowerment and Economic Independence (IEEI).</w:t>
      </w:r>
      <w:proofErr w:type="gramEnd"/>
      <w:r w:rsidRPr="008C6F97">
        <w:rPr>
          <w:rFonts w:cs="Arial"/>
          <w:szCs w:val="24"/>
        </w:rPr>
        <w:t xml:space="preserve"> 2017. “Case Statement”; Initiative for Empowerment and Economic Independence (IEEI). 2017. Interview with Greg </w:t>
      </w:r>
      <w:proofErr w:type="spellStart"/>
      <w:r w:rsidRPr="008C6F97">
        <w:rPr>
          <w:rFonts w:cs="Arial"/>
          <w:szCs w:val="24"/>
        </w:rPr>
        <w:t>Fehribach</w:t>
      </w:r>
      <w:proofErr w:type="spellEnd"/>
      <w:r w:rsidRPr="008C6F97">
        <w:rPr>
          <w:rFonts w:cs="Arial"/>
          <w:szCs w:val="24"/>
        </w:rPr>
        <w:t xml:space="preserve"> and Kristin Hyde.</w:t>
      </w:r>
    </w:p>
  </w:endnote>
  <w:endnote w:id="13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Canter, Lora Lee Smith, et al. 2017.</w:t>
      </w:r>
      <w:proofErr w:type="gramEnd"/>
      <w:r w:rsidRPr="008C6F97">
        <w:rPr>
          <w:rFonts w:cs="Arial"/>
          <w:szCs w:val="24"/>
        </w:rPr>
        <w:t xml:space="preserve"> </w:t>
      </w:r>
      <w:proofErr w:type="gramStart"/>
      <w:r w:rsidRPr="008C6F97">
        <w:rPr>
          <w:rFonts w:cs="Arial"/>
          <w:szCs w:val="24"/>
        </w:rPr>
        <w:t>“Evaluating Pedagogy and Practice of Universal Design for Learning in Public Schools.”</w:t>
      </w:r>
      <w:proofErr w:type="gramEnd"/>
      <w:r w:rsidRPr="008C6F97">
        <w:rPr>
          <w:rFonts w:cs="Arial"/>
          <w:szCs w:val="24"/>
        </w:rPr>
        <w:t xml:space="preserve"> </w:t>
      </w:r>
      <w:r w:rsidRPr="008C6F97">
        <w:rPr>
          <w:rFonts w:cs="Arial"/>
          <w:i/>
          <w:szCs w:val="24"/>
        </w:rPr>
        <w:t>Exceptionality Education International</w:t>
      </w:r>
      <w:r w:rsidRPr="008C6F97">
        <w:rPr>
          <w:rFonts w:cs="Arial"/>
          <w:szCs w:val="24"/>
        </w:rPr>
        <w:t xml:space="preserve"> 27(1): 1–16; </w:t>
      </w:r>
      <w:proofErr w:type="spellStart"/>
      <w:r w:rsidRPr="008C6F97">
        <w:rPr>
          <w:rFonts w:cs="Arial"/>
          <w:szCs w:val="24"/>
        </w:rPr>
        <w:t>Rao</w:t>
      </w:r>
      <w:proofErr w:type="spellEnd"/>
      <w:r w:rsidRPr="008C6F97">
        <w:rPr>
          <w:rFonts w:cs="Arial"/>
          <w:szCs w:val="24"/>
        </w:rPr>
        <w:t xml:space="preserve">, </w:t>
      </w:r>
      <w:proofErr w:type="spellStart"/>
      <w:r w:rsidRPr="008C6F97">
        <w:rPr>
          <w:rFonts w:cs="Arial"/>
          <w:szCs w:val="24"/>
        </w:rPr>
        <w:t>Kavita</w:t>
      </w:r>
      <w:proofErr w:type="spellEnd"/>
      <w:r w:rsidRPr="008C6F97">
        <w:rPr>
          <w:rFonts w:cs="Arial"/>
          <w:szCs w:val="24"/>
        </w:rPr>
        <w:t xml:space="preserve">, Sean J. Smith, and K. Alisa </w:t>
      </w:r>
      <w:proofErr w:type="spellStart"/>
      <w:r w:rsidRPr="008C6F97">
        <w:rPr>
          <w:rFonts w:cs="Arial"/>
          <w:szCs w:val="24"/>
        </w:rPr>
        <w:t>Lowrey</w:t>
      </w:r>
      <w:proofErr w:type="spellEnd"/>
      <w:r w:rsidRPr="008C6F97">
        <w:rPr>
          <w:rFonts w:cs="Arial"/>
          <w:szCs w:val="24"/>
        </w:rPr>
        <w:t xml:space="preserve">. 2017. “UDL and Intellectual Disability: What Do We Know and Where Do We Go?” </w:t>
      </w:r>
      <w:r w:rsidRPr="008C6F97">
        <w:rPr>
          <w:rFonts w:cs="Arial"/>
          <w:i/>
          <w:szCs w:val="24"/>
        </w:rPr>
        <w:t>Intellectual and Developmental Disabilities</w:t>
      </w:r>
      <w:r w:rsidRPr="008C6F97">
        <w:rPr>
          <w:rFonts w:cs="Arial"/>
          <w:szCs w:val="24"/>
        </w:rPr>
        <w:t xml:space="preserve"> 55(1): 37–47.</w:t>
      </w:r>
    </w:p>
  </w:endnote>
  <w:endnote w:id="13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Council of Chief State School Officers and </w:t>
      </w:r>
      <w:proofErr w:type="gramStart"/>
      <w:r w:rsidRPr="008C6F97">
        <w:rPr>
          <w:rFonts w:cs="Arial"/>
          <w:szCs w:val="24"/>
        </w:rPr>
        <w:t>The</w:t>
      </w:r>
      <w:proofErr w:type="gramEnd"/>
      <w:r w:rsidRPr="008C6F97">
        <w:rPr>
          <w:rFonts w:cs="Arial"/>
          <w:szCs w:val="24"/>
        </w:rPr>
        <w:t xml:space="preserve"> Charles A. Dana Center at the University of Texas at Austin. 2002. </w:t>
      </w:r>
      <w:r w:rsidRPr="008C6F97">
        <w:rPr>
          <w:rFonts w:cs="Arial"/>
          <w:i/>
          <w:szCs w:val="24"/>
        </w:rPr>
        <w:t>Expecting Success: A Study of Five High Performing, High Poverty Schools.</w:t>
      </w:r>
      <w:r w:rsidRPr="008C6F97">
        <w:rPr>
          <w:rFonts w:cs="Arial"/>
          <w:szCs w:val="24"/>
        </w:rPr>
        <w:t xml:space="preserve"> Washington, DC: Council of Chief State School Officers.</w:t>
      </w:r>
    </w:p>
  </w:endnote>
  <w:endnote w:id="13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Council of Chief State School Officers, </w:t>
      </w:r>
      <w:r w:rsidRPr="008C6F97">
        <w:rPr>
          <w:rFonts w:cs="Arial"/>
          <w:i/>
          <w:szCs w:val="24"/>
        </w:rPr>
        <w:t>Expecting Success</w:t>
      </w:r>
      <w:r w:rsidRPr="008C6F97">
        <w:rPr>
          <w:rFonts w:cs="Arial"/>
          <w:szCs w:val="24"/>
        </w:rPr>
        <w:t>.</w:t>
      </w:r>
      <w:proofErr w:type="gramEnd"/>
      <w:r w:rsidRPr="008C6F97">
        <w:rPr>
          <w:rFonts w:cs="Arial"/>
          <w:szCs w:val="24"/>
        </w:rPr>
        <w:t xml:space="preserve"> </w:t>
      </w:r>
    </w:p>
  </w:endnote>
  <w:endnote w:id="13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Baker and </w:t>
      </w:r>
      <w:proofErr w:type="spellStart"/>
      <w:r w:rsidRPr="008C6F97">
        <w:rPr>
          <w:rFonts w:cs="Arial"/>
          <w:szCs w:val="24"/>
        </w:rPr>
        <w:t>Hollaway</w:t>
      </w:r>
      <w:proofErr w:type="spellEnd"/>
      <w:r w:rsidRPr="008C6F97">
        <w:rPr>
          <w:rFonts w:cs="Arial"/>
          <w:szCs w:val="24"/>
        </w:rPr>
        <w:t>, “Comprehensive Approach to Disruptive Behaviors.”</w:t>
      </w:r>
    </w:p>
  </w:endnote>
  <w:endnote w:id="13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Morris, Pamela, et al. 2013. “Does a Preschool Social and Emotional Learning Intervention Pay Off for Classroom Instruction and Children’s Behavior and Academic Skills? </w:t>
      </w:r>
      <w:proofErr w:type="gramStart"/>
      <w:r w:rsidRPr="008C6F97">
        <w:rPr>
          <w:rFonts w:cs="Arial"/>
          <w:szCs w:val="24"/>
        </w:rPr>
        <w:t>Evidence from the Foundations of Learning Project.”</w:t>
      </w:r>
      <w:proofErr w:type="gramEnd"/>
      <w:r w:rsidRPr="008C6F97">
        <w:rPr>
          <w:rFonts w:cs="Arial"/>
          <w:szCs w:val="24"/>
        </w:rPr>
        <w:t xml:space="preserve"> </w:t>
      </w:r>
      <w:r w:rsidRPr="008C6F97">
        <w:rPr>
          <w:rFonts w:cs="Arial"/>
          <w:i/>
          <w:szCs w:val="24"/>
        </w:rPr>
        <w:t>Early Education &amp; Development</w:t>
      </w:r>
      <w:r w:rsidRPr="008C6F97">
        <w:rPr>
          <w:rFonts w:cs="Arial"/>
          <w:szCs w:val="24"/>
        </w:rPr>
        <w:t xml:space="preserve"> 24(7): 1020–1042.</w:t>
      </w:r>
    </w:p>
  </w:endnote>
  <w:endnote w:id="13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 xml:space="preserve">Williamson, Pamela, and James </w:t>
      </w:r>
      <w:proofErr w:type="spellStart"/>
      <w:r w:rsidRPr="008C6F97">
        <w:rPr>
          <w:rFonts w:cs="Arial"/>
          <w:szCs w:val="24"/>
        </w:rPr>
        <w:t>McLeskey</w:t>
      </w:r>
      <w:proofErr w:type="spellEnd"/>
      <w:r w:rsidRPr="008C6F97">
        <w:rPr>
          <w:rFonts w:cs="Arial"/>
          <w:szCs w:val="24"/>
        </w:rPr>
        <w:t>.</w:t>
      </w:r>
      <w:proofErr w:type="gramEnd"/>
      <w:r w:rsidRPr="008C6F97">
        <w:rPr>
          <w:rFonts w:cs="Arial"/>
          <w:szCs w:val="24"/>
        </w:rPr>
        <w:t xml:space="preserve"> 2011. “An Investigation into the Nature of Inclusion Problem-Solving Teams.” </w:t>
      </w:r>
      <w:r w:rsidRPr="008C6F97">
        <w:rPr>
          <w:rFonts w:cs="Arial"/>
          <w:i/>
          <w:szCs w:val="24"/>
        </w:rPr>
        <w:t>The Teacher Educator</w:t>
      </w:r>
      <w:r w:rsidRPr="008C6F97">
        <w:rPr>
          <w:rFonts w:cs="Arial"/>
          <w:szCs w:val="24"/>
        </w:rPr>
        <w:t xml:space="preserve"> 46(4): 316–334.</w:t>
      </w:r>
    </w:p>
  </w:endnote>
  <w:endnote w:id="13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Association of People Supporting Employment.</w:t>
      </w:r>
      <w:proofErr w:type="gramEnd"/>
      <w:r w:rsidRPr="008C6F97">
        <w:rPr>
          <w:rFonts w:cs="Arial"/>
          <w:szCs w:val="24"/>
        </w:rPr>
        <w:t xml:space="preserve"> 2014. </w:t>
      </w:r>
      <w:r w:rsidRPr="008C6F97">
        <w:rPr>
          <w:rFonts w:cs="Arial"/>
          <w:i/>
          <w:szCs w:val="24"/>
        </w:rPr>
        <w:t>Policy Research Brief: Employment First Across the Nation: Progress on the Policy Front.</w:t>
      </w:r>
      <w:r w:rsidRPr="008C6F97">
        <w:rPr>
          <w:rFonts w:cs="Arial"/>
          <w:szCs w:val="24"/>
        </w:rPr>
        <w:t xml:space="preserve"> Minneapolis, MN: Research and Training Center on Community Living, Institute on Community Integration, University of Minnesota. </w:t>
      </w:r>
      <w:hyperlink r:id="rId74" w:tooltip="http://www.apse.org/wp-content/uploads/2014/01/%0bactivity.html" w:history="1">
        <w:proofErr w:type="gramStart"/>
        <w:r w:rsidRPr="008C6F97">
          <w:rPr>
            <w:rStyle w:val="Hyperlink"/>
            <w:rFonts w:cs="Arial"/>
            <w:szCs w:val="24"/>
          </w:rPr>
          <w:t>http://www.apse.org/wp-content/uploads/2014/01/</w:t>
        </w:r>
        <w:r w:rsidRPr="008C6F97">
          <w:rPr>
            <w:rStyle w:val="Hyperlink"/>
            <w:rFonts w:cs="Arial"/>
            <w:szCs w:val="24"/>
          </w:rPr>
          <w:br/>
          <w:t>activity.html</w:t>
        </w:r>
      </w:hyperlink>
      <w:r w:rsidRPr="008C6F97">
        <w:rPr>
          <w:rFonts w:cs="Arial"/>
          <w:szCs w:val="24"/>
        </w:rPr>
        <w:t>.</w:t>
      </w:r>
      <w:proofErr w:type="gramEnd"/>
    </w:p>
  </w:endnote>
  <w:endnote w:id="14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Final Rule.</w:t>
      </w:r>
      <w:proofErr w:type="gramEnd"/>
      <w:r w:rsidRPr="008C6F97">
        <w:rPr>
          <w:rFonts w:cs="Arial"/>
          <w:szCs w:val="24"/>
        </w:rPr>
        <w:t xml:space="preserve"> 2001. “State Vocational Rehabilitation Services Program.” 34 CFR </w:t>
      </w:r>
      <w:proofErr w:type="gramStart"/>
      <w:r w:rsidRPr="008C6F97">
        <w:rPr>
          <w:rFonts w:cs="Arial"/>
          <w:szCs w:val="24"/>
        </w:rPr>
        <w:t>Part</w:t>
      </w:r>
      <w:proofErr w:type="gramEnd"/>
      <w:r w:rsidRPr="008C6F97">
        <w:rPr>
          <w:rFonts w:cs="Arial"/>
          <w:szCs w:val="24"/>
        </w:rPr>
        <w:t xml:space="preserve"> 361, RIN 1820-AB52. Federal Register 66(14): 7249–7258. </w:t>
      </w:r>
      <w:hyperlink r:id="rId75" w:tooltip="https://www2.ed.gov/legislation/FedRegister/finrule/2001-1/012201a.html" w:history="1">
        <w:r w:rsidRPr="008C6F97">
          <w:rPr>
            <w:rStyle w:val="Hyperlink"/>
            <w:rFonts w:cs="Arial"/>
            <w:szCs w:val="24"/>
          </w:rPr>
          <w:t>https://www2.ed.gov/legislation/FedRegister/finrule/2001-1/012201a.html</w:t>
        </w:r>
      </w:hyperlink>
      <w:r w:rsidRPr="008C6F97">
        <w:rPr>
          <w:rFonts w:cs="Arial"/>
          <w:szCs w:val="24"/>
        </w:rPr>
        <w:t xml:space="preserve"> </w:t>
      </w:r>
    </w:p>
  </w:endnote>
  <w:endnote w:id="141">
    <w:p w:rsidR="007A1436" w:rsidRPr="008C6F97" w:rsidRDefault="007A1436" w:rsidP="009C3635">
      <w:pPr>
        <w:pStyle w:val="EndnoteText"/>
        <w:spacing w:after="200"/>
        <w:rPr>
          <w:rFonts w:cs="Arial"/>
          <w:b/>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Department of Justice.</w:t>
      </w:r>
      <w:proofErr w:type="gramEnd"/>
      <w:r w:rsidRPr="008C6F97">
        <w:rPr>
          <w:rFonts w:cs="Arial"/>
          <w:szCs w:val="24"/>
        </w:rPr>
        <w:t xml:space="preserve"> 2014. “Department of Justice Reaches Landmark Settlement with Rhode Island”; U.S. Department of Justice. 2015. “Justice Department Reaches Landmark Settlement with Oregon</w:t>
      </w:r>
    </w:p>
  </w:endnote>
  <w:endnote w:id="14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Association of University Centers on Disabilities, “Transition Programs for Students.”</w:t>
      </w:r>
      <w:proofErr w:type="gramEnd"/>
    </w:p>
  </w:endnote>
  <w:endnote w:id="14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ACICIEID, “Final Report.” </w:t>
      </w:r>
    </w:p>
  </w:endnote>
  <w:endnote w:id="14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U.S. Department of Housing and Urban Development.</w:t>
      </w:r>
      <w:proofErr w:type="gramEnd"/>
      <w:r w:rsidRPr="008C6F97">
        <w:rPr>
          <w:rFonts w:cs="Arial"/>
          <w:szCs w:val="24"/>
        </w:rPr>
        <w:t xml:space="preserve"> </w:t>
      </w:r>
      <w:proofErr w:type="spellStart"/>
      <w:proofErr w:type="gramStart"/>
      <w:r w:rsidRPr="008C6F97">
        <w:rPr>
          <w:rFonts w:cs="Arial"/>
          <w:szCs w:val="24"/>
        </w:rPr>
        <w:t>n.d.</w:t>
      </w:r>
      <w:proofErr w:type="spellEnd"/>
      <w:r w:rsidRPr="008C6F97">
        <w:rPr>
          <w:rFonts w:cs="Arial"/>
          <w:szCs w:val="24"/>
        </w:rPr>
        <w:t xml:space="preserve"> “Community Planning and Development.” </w:t>
      </w:r>
      <w:hyperlink r:id="rId76" w:tooltip="https://portal.hud.gov/hudportal/HUD?src=/program_offices/comm_%0bplanning" w:history="1">
        <w:r w:rsidRPr="008C6F97">
          <w:rPr>
            <w:rStyle w:val="Hyperlink"/>
            <w:rFonts w:cs="Arial"/>
            <w:szCs w:val="24"/>
          </w:rPr>
          <w:t>https://portal.hud.gov/hudportal/HUD?src=/program_offices/comm_</w:t>
        </w:r>
        <w:r w:rsidRPr="008C6F97">
          <w:rPr>
            <w:rStyle w:val="Hyperlink"/>
            <w:rFonts w:cs="Arial"/>
            <w:szCs w:val="24"/>
          </w:rPr>
          <w:br/>
          <w:t>planning</w:t>
        </w:r>
      </w:hyperlink>
      <w:r w:rsidRPr="008C6F97">
        <w:rPr>
          <w:rFonts w:cs="Arial"/>
          <w:szCs w:val="24"/>
        </w:rPr>
        <w:t>.</w:t>
      </w:r>
      <w:proofErr w:type="gramEnd"/>
      <w:r w:rsidRPr="008C6F97">
        <w:rPr>
          <w:rFonts w:cs="Arial"/>
          <w:szCs w:val="24"/>
        </w:rPr>
        <w:t xml:space="preserve"> </w:t>
      </w:r>
      <w:proofErr w:type="gramStart"/>
      <w:r w:rsidRPr="008C6F97">
        <w:rPr>
          <w:rFonts w:cs="Arial"/>
          <w:szCs w:val="24"/>
        </w:rPr>
        <w:t>(Accessed March 29, 2017.)</w:t>
      </w:r>
      <w:proofErr w:type="gramEnd"/>
    </w:p>
  </w:endnote>
  <w:endnote w:id="14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Ronald L. Mace. 1998. “Universal Design in Housing.” </w:t>
      </w:r>
      <w:r w:rsidRPr="008C6F97">
        <w:rPr>
          <w:rFonts w:cs="Arial"/>
          <w:i/>
          <w:szCs w:val="24"/>
        </w:rPr>
        <w:t>Assistive Technology</w:t>
      </w:r>
      <w:r w:rsidRPr="008C6F97">
        <w:rPr>
          <w:rFonts w:cs="Arial"/>
          <w:szCs w:val="24"/>
        </w:rPr>
        <w:t xml:space="preserve"> 10(1): 21–28.</w:t>
      </w:r>
    </w:p>
  </w:endnote>
  <w:endnote w:id="14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Fairfax County Virginia. </w:t>
      </w:r>
      <w:proofErr w:type="spellStart"/>
      <w:proofErr w:type="gramStart"/>
      <w:r w:rsidRPr="008C6F97">
        <w:rPr>
          <w:rFonts w:cs="Arial"/>
          <w:szCs w:val="24"/>
        </w:rPr>
        <w:t>n.d.</w:t>
      </w:r>
      <w:proofErr w:type="spellEnd"/>
      <w:r w:rsidRPr="008C6F97">
        <w:rPr>
          <w:rFonts w:cs="Arial"/>
          <w:szCs w:val="24"/>
        </w:rPr>
        <w:t xml:space="preserve"> “Fairfax Building for All Committee.” </w:t>
      </w:r>
      <w:hyperlink r:id="rId77" w:tooltip="http://www.fairfaxcounty.gov/universaldesign/bfac.htm" w:history="1">
        <w:r w:rsidRPr="008C6F97">
          <w:rPr>
            <w:rStyle w:val="Hyperlink"/>
            <w:rFonts w:cs="Arial"/>
            <w:szCs w:val="24"/>
          </w:rPr>
          <w:t>http://www.fairfaxcounty.gov/universaldesign/bfac.htm</w:t>
        </w:r>
      </w:hyperlink>
      <w:r w:rsidRPr="008C6F97">
        <w:rPr>
          <w:rFonts w:cs="Arial"/>
          <w:szCs w:val="24"/>
        </w:rPr>
        <w:t>.</w:t>
      </w:r>
      <w:proofErr w:type="gramEnd"/>
      <w:r w:rsidRPr="008C6F97">
        <w:rPr>
          <w:rFonts w:cs="Arial"/>
          <w:szCs w:val="24"/>
        </w:rPr>
        <w:t xml:space="preserve"> </w:t>
      </w:r>
      <w:proofErr w:type="gramStart"/>
      <w:r w:rsidRPr="008C6F97">
        <w:rPr>
          <w:rFonts w:cs="Arial"/>
          <w:szCs w:val="24"/>
        </w:rPr>
        <w:t>(Accessed June 7, 2017.)</w:t>
      </w:r>
      <w:proofErr w:type="gramEnd"/>
    </w:p>
  </w:endnote>
  <w:endnote w:id="14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National Association of Home Builders.</w:t>
      </w:r>
      <w:proofErr w:type="gramEnd"/>
      <w:r w:rsidRPr="008C6F97">
        <w:rPr>
          <w:rFonts w:cs="Arial"/>
          <w:szCs w:val="24"/>
        </w:rPr>
        <w:t xml:space="preserve"> </w:t>
      </w:r>
      <w:proofErr w:type="spellStart"/>
      <w:proofErr w:type="gramStart"/>
      <w:r w:rsidRPr="008C6F97">
        <w:rPr>
          <w:rFonts w:cs="Arial"/>
          <w:szCs w:val="24"/>
        </w:rPr>
        <w:t>n.d.</w:t>
      </w:r>
      <w:proofErr w:type="spellEnd"/>
      <w:r w:rsidRPr="008C6F97">
        <w:rPr>
          <w:rFonts w:cs="Arial"/>
          <w:szCs w:val="24"/>
        </w:rPr>
        <w:t xml:space="preserve"> “Universal Design/Build.” </w:t>
      </w:r>
      <w:hyperlink r:id="rId78" w:tooltip="https://www.nahb.org/en/learn/course-overviews/universal-design-build.aspx" w:history="1">
        <w:r w:rsidRPr="008C6F97">
          <w:rPr>
            <w:rStyle w:val="Hyperlink"/>
            <w:rFonts w:cs="Arial"/>
            <w:szCs w:val="24"/>
          </w:rPr>
          <w:t>https://www.nahb.org/en/learn/course-overviews/universal-design-build.aspx</w:t>
        </w:r>
      </w:hyperlink>
      <w:r w:rsidRPr="008C6F97">
        <w:rPr>
          <w:rFonts w:cs="Arial"/>
          <w:szCs w:val="24"/>
        </w:rPr>
        <w:t>.</w:t>
      </w:r>
      <w:proofErr w:type="gramEnd"/>
      <w:r w:rsidRPr="008C6F97">
        <w:rPr>
          <w:rFonts w:cs="Arial"/>
          <w:szCs w:val="24"/>
        </w:rPr>
        <w:t xml:space="preserve"> </w:t>
      </w:r>
      <w:proofErr w:type="gramStart"/>
      <w:r w:rsidRPr="008C6F97">
        <w:rPr>
          <w:rFonts w:cs="Arial"/>
          <w:szCs w:val="24"/>
        </w:rPr>
        <w:t>(Accessed June 7, 2017.)</w:t>
      </w:r>
      <w:proofErr w:type="gramEnd"/>
    </w:p>
  </w:endnote>
  <w:endnote w:id="14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NARI.</w:t>
      </w:r>
      <w:proofErr w:type="gramEnd"/>
      <w:r w:rsidRPr="008C6F97">
        <w:rPr>
          <w:rFonts w:cs="Arial"/>
          <w:szCs w:val="24"/>
        </w:rPr>
        <w:t xml:space="preserve"> </w:t>
      </w:r>
      <w:proofErr w:type="spellStart"/>
      <w:proofErr w:type="gramStart"/>
      <w:r w:rsidRPr="008C6F97">
        <w:rPr>
          <w:rFonts w:cs="Arial"/>
          <w:szCs w:val="24"/>
        </w:rPr>
        <w:t>n.d.</w:t>
      </w:r>
      <w:proofErr w:type="spellEnd"/>
      <w:r w:rsidRPr="008C6F97">
        <w:rPr>
          <w:rFonts w:cs="Arial"/>
          <w:szCs w:val="24"/>
        </w:rPr>
        <w:t xml:space="preserve"> “Universal Design Certified Professional (UDCP).” </w:t>
      </w:r>
      <w:hyperlink r:id="rId79" w:tooltip="http://www.nari.org/industry/development/certification/universal-design-certified-professional-udcp/" w:history="1">
        <w:r w:rsidRPr="008C6F97">
          <w:rPr>
            <w:rStyle w:val="Hyperlink"/>
            <w:rFonts w:cs="Arial"/>
            <w:szCs w:val="24"/>
          </w:rPr>
          <w:t>http://www.nari.org/industry/development/certification/universal-design-certified-professional-udcp/</w:t>
        </w:r>
      </w:hyperlink>
      <w:r w:rsidRPr="008C6F97">
        <w:rPr>
          <w:rFonts w:cs="Arial"/>
          <w:szCs w:val="24"/>
        </w:rPr>
        <w:t>.</w:t>
      </w:r>
      <w:proofErr w:type="gramEnd"/>
      <w:r w:rsidRPr="008C6F97">
        <w:rPr>
          <w:rFonts w:cs="Arial"/>
          <w:szCs w:val="24"/>
        </w:rPr>
        <w:t xml:space="preserve"> </w:t>
      </w:r>
      <w:proofErr w:type="gramStart"/>
      <w:r w:rsidRPr="008C6F97">
        <w:rPr>
          <w:rFonts w:cs="Arial"/>
          <w:szCs w:val="24"/>
        </w:rPr>
        <w:t>(Accessed June 7, 2017.)</w:t>
      </w:r>
      <w:proofErr w:type="gramEnd"/>
    </w:p>
  </w:endnote>
  <w:endnote w:id="149">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Whole Building Design Guide (WBDG) Accessible Committee, </w:t>
      </w:r>
      <w:proofErr w:type="spellStart"/>
      <w:r w:rsidRPr="008C6F97">
        <w:rPr>
          <w:rFonts w:cs="Arial"/>
          <w:szCs w:val="24"/>
        </w:rPr>
        <w:t>Jordana</w:t>
      </w:r>
      <w:proofErr w:type="spellEnd"/>
      <w:r w:rsidRPr="008C6F97">
        <w:rPr>
          <w:rFonts w:cs="Arial"/>
          <w:szCs w:val="24"/>
        </w:rPr>
        <w:t xml:space="preserve"> L. </w:t>
      </w:r>
      <w:proofErr w:type="spellStart"/>
      <w:r w:rsidRPr="008C6F97">
        <w:rPr>
          <w:rFonts w:cs="Arial"/>
          <w:szCs w:val="24"/>
        </w:rPr>
        <w:t>Maisel</w:t>
      </w:r>
      <w:proofErr w:type="spellEnd"/>
      <w:r w:rsidRPr="008C6F97">
        <w:rPr>
          <w:rFonts w:cs="Arial"/>
          <w:szCs w:val="24"/>
        </w:rPr>
        <w:t xml:space="preserve">, and Molly </w:t>
      </w:r>
      <w:proofErr w:type="spellStart"/>
      <w:r w:rsidRPr="008C6F97">
        <w:rPr>
          <w:rFonts w:cs="Arial"/>
          <w:szCs w:val="24"/>
        </w:rPr>
        <w:t>Ranahan</w:t>
      </w:r>
      <w:proofErr w:type="spellEnd"/>
      <w:r w:rsidRPr="008C6F97">
        <w:rPr>
          <w:rFonts w:cs="Arial"/>
          <w:szCs w:val="24"/>
        </w:rPr>
        <w:t xml:space="preserve">. 2017. “Beyond Accessibility to Universal Design.” Washington, D.C.: National Institute of Building Sciences, WBDG. </w:t>
      </w:r>
      <w:hyperlink r:id="rId80" w:tooltip="https://www.wbdg.org/design-objectives/accessible/beyond-accessibility-universal-design" w:history="1">
        <w:r w:rsidRPr="008C6F97">
          <w:rPr>
            <w:rStyle w:val="Hyperlink"/>
            <w:rFonts w:cs="Arial"/>
            <w:szCs w:val="24"/>
          </w:rPr>
          <w:t>https://www.wbdg.org/design-objectives/accessible/beyond-accessibility-universal-design</w:t>
        </w:r>
      </w:hyperlink>
      <w:r w:rsidRPr="008C6F97">
        <w:rPr>
          <w:rFonts w:cs="Arial"/>
          <w:szCs w:val="24"/>
        </w:rPr>
        <w:t xml:space="preserve">. </w:t>
      </w:r>
      <w:proofErr w:type="gramStart"/>
      <w:r w:rsidRPr="008C6F97">
        <w:rPr>
          <w:rFonts w:cs="Arial"/>
          <w:szCs w:val="24"/>
        </w:rPr>
        <w:t>(Accessed June 7, 2017.)</w:t>
      </w:r>
      <w:proofErr w:type="gramEnd"/>
    </w:p>
  </w:endnote>
  <w:endnote w:id="150">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Montgomery County Government.</w:t>
      </w:r>
      <w:proofErr w:type="gramEnd"/>
      <w:r w:rsidRPr="008C6F97">
        <w:rPr>
          <w:rFonts w:cs="Arial"/>
          <w:szCs w:val="24"/>
        </w:rPr>
        <w:t xml:space="preserve"> </w:t>
      </w:r>
      <w:proofErr w:type="spellStart"/>
      <w:proofErr w:type="gramStart"/>
      <w:r w:rsidRPr="008C6F97">
        <w:rPr>
          <w:rFonts w:cs="Arial"/>
          <w:szCs w:val="24"/>
        </w:rPr>
        <w:t>n.d.</w:t>
      </w:r>
      <w:proofErr w:type="spellEnd"/>
      <w:r w:rsidRPr="008C6F97">
        <w:rPr>
          <w:rFonts w:cs="Arial"/>
          <w:szCs w:val="24"/>
        </w:rPr>
        <w:t xml:space="preserve"> “Summary of the MPDU Program and Its Requirement.”</w:t>
      </w:r>
      <w:proofErr w:type="gramEnd"/>
      <w:r w:rsidRPr="008C6F97">
        <w:rPr>
          <w:rFonts w:cs="Arial"/>
          <w:szCs w:val="24"/>
        </w:rPr>
        <w:t xml:space="preserve"> Montgomery County, MD: Montgomery County Government. </w:t>
      </w:r>
      <w:hyperlink r:id="rId81" w:tooltip="http://www.montgomerycountymd.gov/DHCA/housing/singlefamily/mpdu/program_summary.html" w:history="1">
        <w:r w:rsidRPr="008C6F97">
          <w:rPr>
            <w:rStyle w:val="Hyperlink"/>
            <w:rFonts w:cs="Arial"/>
            <w:szCs w:val="24"/>
          </w:rPr>
          <w:t>http://www.montgomerycountymd.gov/DHCA/housing/singlefamily/mpdu/program_summary.html</w:t>
        </w:r>
      </w:hyperlink>
      <w:r w:rsidRPr="008C6F97">
        <w:rPr>
          <w:rFonts w:cs="Arial"/>
          <w:szCs w:val="24"/>
        </w:rPr>
        <w:t xml:space="preserve">. </w:t>
      </w:r>
      <w:proofErr w:type="gramStart"/>
      <w:r w:rsidRPr="008C6F97">
        <w:rPr>
          <w:rFonts w:cs="Arial"/>
          <w:szCs w:val="24"/>
        </w:rPr>
        <w:t>(Accessed July 14, 2017.)</w:t>
      </w:r>
      <w:proofErr w:type="gramEnd"/>
    </w:p>
  </w:endnote>
  <w:endnote w:id="151">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Trombka</w:t>
      </w:r>
      <w:proofErr w:type="spellEnd"/>
      <w:r w:rsidRPr="008C6F97">
        <w:rPr>
          <w:rFonts w:cs="Arial"/>
          <w:szCs w:val="24"/>
        </w:rPr>
        <w:t xml:space="preserve">, </w:t>
      </w:r>
      <w:proofErr w:type="spellStart"/>
      <w:r w:rsidRPr="008C6F97">
        <w:rPr>
          <w:rFonts w:cs="Arial"/>
          <w:szCs w:val="24"/>
        </w:rPr>
        <w:t>Aron</w:t>
      </w:r>
      <w:proofErr w:type="spellEnd"/>
      <w:r w:rsidRPr="008C6F97">
        <w:rPr>
          <w:rFonts w:cs="Arial"/>
          <w:szCs w:val="24"/>
        </w:rPr>
        <w:t xml:space="preserve">, Michael </w:t>
      </w:r>
      <w:proofErr w:type="spellStart"/>
      <w:r w:rsidRPr="008C6F97">
        <w:rPr>
          <w:rFonts w:cs="Arial"/>
          <w:szCs w:val="24"/>
        </w:rPr>
        <w:t>Faden</w:t>
      </w:r>
      <w:proofErr w:type="spellEnd"/>
      <w:r w:rsidRPr="008C6F97">
        <w:rPr>
          <w:rFonts w:cs="Arial"/>
          <w:szCs w:val="24"/>
        </w:rPr>
        <w:t xml:space="preserve">, Sonya Healy, Marlene </w:t>
      </w:r>
      <w:proofErr w:type="spellStart"/>
      <w:r w:rsidRPr="008C6F97">
        <w:rPr>
          <w:rFonts w:cs="Arial"/>
          <w:szCs w:val="24"/>
        </w:rPr>
        <w:t>Michaelson</w:t>
      </w:r>
      <w:proofErr w:type="spellEnd"/>
      <w:r w:rsidRPr="008C6F97">
        <w:rPr>
          <w:rFonts w:cs="Arial"/>
          <w:szCs w:val="24"/>
        </w:rPr>
        <w:t>, Ralph Wilson, and Sally Roman.</w:t>
      </w:r>
      <w:proofErr w:type="gramEnd"/>
      <w:r w:rsidRPr="008C6F97">
        <w:rPr>
          <w:rFonts w:cs="Arial"/>
          <w:szCs w:val="24"/>
        </w:rPr>
        <w:t xml:space="preserve"> 2004. “Strengthening the Moderately Priced Dwelling Unit Program: A 30-Year Review.” </w:t>
      </w:r>
      <w:proofErr w:type="gramStart"/>
      <w:r w:rsidRPr="008C6F97">
        <w:rPr>
          <w:rFonts w:cs="Arial"/>
          <w:szCs w:val="24"/>
        </w:rPr>
        <w:t xml:space="preserve">In </w:t>
      </w:r>
      <w:r w:rsidRPr="008C6F97">
        <w:rPr>
          <w:rFonts w:cs="Arial"/>
          <w:i/>
          <w:szCs w:val="24"/>
        </w:rPr>
        <w:t>A Report to the Montgomery County Council on Future Program and Policy Options.</w:t>
      </w:r>
      <w:proofErr w:type="gramEnd"/>
      <w:r w:rsidRPr="008C6F97">
        <w:rPr>
          <w:rFonts w:cs="Arial"/>
          <w:szCs w:val="24"/>
        </w:rPr>
        <w:t xml:space="preserve"> Rockville, MD: Montgomery County Council. </w:t>
      </w:r>
      <w:hyperlink r:id="rId82" w:tooltip="http://www.montgomerycountymd.gov/DHCA/Resources/Files/housing/singlefamily/mpdu/report_mpdu30yearreview.pdf" w:history="1">
        <w:r w:rsidRPr="008C6F97">
          <w:rPr>
            <w:rStyle w:val="Hyperlink"/>
            <w:rFonts w:cs="Arial"/>
            <w:szCs w:val="24"/>
          </w:rPr>
          <w:t>http://www.montgomerycountymd.gov/DHCA/Resources/Files/housing/singlefamily/mpdu/report_mpdu30yearreview.pdf</w:t>
        </w:r>
      </w:hyperlink>
      <w:r w:rsidRPr="008C6F97">
        <w:rPr>
          <w:rStyle w:val="Hyperlink"/>
          <w:rFonts w:cs="Arial"/>
          <w:szCs w:val="24"/>
        </w:rPr>
        <w:t>.</w:t>
      </w:r>
    </w:p>
  </w:endnote>
  <w:endnote w:id="152">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gramStart"/>
      <w:r w:rsidRPr="008C6F97">
        <w:rPr>
          <w:rFonts w:cs="Arial"/>
          <w:szCs w:val="24"/>
        </w:rPr>
        <w:t>Democracy Collaborative.</w:t>
      </w:r>
      <w:proofErr w:type="gramEnd"/>
      <w:r w:rsidRPr="008C6F97">
        <w:rPr>
          <w:rFonts w:cs="Arial"/>
          <w:szCs w:val="24"/>
        </w:rPr>
        <w:t xml:space="preserve"> 2017. “Engaging with </w:t>
      </w:r>
      <w:proofErr w:type="spellStart"/>
      <w:r w:rsidRPr="008C6F97">
        <w:rPr>
          <w:rFonts w:cs="Arial"/>
          <w:szCs w:val="24"/>
        </w:rPr>
        <w:t>Eds</w:t>
      </w:r>
      <w:proofErr w:type="spellEnd"/>
      <w:r w:rsidRPr="008C6F97">
        <w:rPr>
          <w:rFonts w:cs="Arial"/>
          <w:szCs w:val="24"/>
        </w:rPr>
        <w:t xml:space="preserve">, Meds, and Other Anchor Institutions to Help Them Help Communities.” </w:t>
      </w:r>
      <w:hyperlink r:id="rId83" w:history="1">
        <w:r w:rsidRPr="008C6F97">
          <w:rPr>
            <w:rStyle w:val="Hyperlink"/>
            <w:rFonts w:cs="Arial"/>
            <w:szCs w:val="24"/>
          </w:rPr>
          <w:t>http://democracycollaborative.org/democracycollaborative/anchorinstitutions/Anchor</w:t>
        </w:r>
        <w:r w:rsidRPr="008C6F97">
          <w:rPr>
            <w:rStyle w:val="Hyperlink"/>
            <w:rFonts w:cs="Arial"/>
            <w:szCs w:val="24"/>
          </w:rPr>
          <w:br/>
          <w:t>%20Institutions</w:t>
        </w:r>
      </w:hyperlink>
      <w:r w:rsidRPr="008C6F97">
        <w:rPr>
          <w:rFonts w:cs="Arial"/>
          <w:szCs w:val="24"/>
        </w:rPr>
        <w:t xml:space="preserve">. </w:t>
      </w:r>
      <w:proofErr w:type="gramStart"/>
      <w:r w:rsidRPr="008C6F97">
        <w:rPr>
          <w:rFonts w:cs="Arial"/>
          <w:szCs w:val="24"/>
        </w:rPr>
        <w:t>(Accessed March 30, 2017.)</w:t>
      </w:r>
      <w:proofErr w:type="gramEnd"/>
    </w:p>
  </w:endnote>
  <w:endnote w:id="153">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Bent, Elliot, et al. 2017. </w:t>
      </w:r>
      <w:r w:rsidRPr="008C6F97">
        <w:rPr>
          <w:rFonts w:cs="Arial"/>
          <w:i/>
          <w:szCs w:val="24"/>
        </w:rPr>
        <w:t>Better Plans for Better Places: How the Sustainable Communities Initiative Changed the Way the Country Plans for a Prosperous and Sustainable Future.</w:t>
      </w:r>
      <w:r w:rsidRPr="008C6F97">
        <w:rPr>
          <w:rFonts w:cs="Arial"/>
          <w:szCs w:val="24"/>
        </w:rPr>
        <w:t xml:space="preserve"> Montpelier, VT: Institute for Sustainable Communities, Sustainable Communities Learning Network. </w:t>
      </w:r>
      <w:hyperlink r:id="rId84" w:tooltip="http://betterplansbetterplaces.iscvt.org/" w:history="1">
        <w:r w:rsidRPr="008C6F97">
          <w:rPr>
            <w:rStyle w:val="Hyperlink"/>
            <w:rFonts w:cs="Arial"/>
            <w:szCs w:val="24"/>
          </w:rPr>
          <w:t>http://betterplansbetterplaces.iscvt.org/</w:t>
        </w:r>
      </w:hyperlink>
      <w:r w:rsidRPr="008C6F97">
        <w:rPr>
          <w:rFonts w:cs="Arial"/>
          <w:szCs w:val="24"/>
        </w:rPr>
        <w:t xml:space="preserve">. </w:t>
      </w:r>
      <w:proofErr w:type="gramStart"/>
      <w:r w:rsidRPr="008C6F97">
        <w:rPr>
          <w:rFonts w:cs="Arial"/>
          <w:szCs w:val="24"/>
        </w:rPr>
        <w:t>(Accessed March 30, 2017.)</w:t>
      </w:r>
      <w:proofErr w:type="gramEnd"/>
    </w:p>
  </w:endnote>
  <w:endnote w:id="154">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Federal Emergency Management Agency (FEMA). 2010. “2010 Getting Real: Inclusive Emergency Management National Capacity Building Training Conference.” </w:t>
      </w:r>
      <w:hyperlink r:id="rId85" w:tooltip="https://www.fema.gov/2010-getting-real-inclusive-emergency-management-national-capacity-building-training-conference" w:history="1">
        <w:r w:rsidRPr="008C6F97">
          <w:rPr>
            <w:rStyle w:val="Hyperlink"/>
            <w:rFonts w:cs="Arial"/>
            <w:szCs w:val="24"/>
          </w:rPr>
          <w:t>https://www.fema.gov/2010-getting-real-inclusive-emergency-management-national-capacity-building-training-conference</w:t>
        </w:r>
      </w:hyperlink>
      <w:r w:rsidRPr="008C6F97">
        <w:rPr>
          <w:rFonts w:cs="Arial"/>
          <w:szCs w:val="24"/>
        </w:rPr>
        <w:t xml:space="preserve">. </w:t>
      </w:r>
      <w:proofErr w:type="gramStart"/>
      <w:r w:rsidRPr="008C6F97">
        <w:rPr>
          <w:rFonts w:cs="Arial"/>
          <w:szCs w:val="24"/>
        </w:rPr>
        <w:t>(Accessed June 7, 2017.)</w:t>
      </w:r>
      <w:proofErr w:type="gramEnd"/>
    </w:p>
  </w:endnote>
  <w:endnote w:id="155">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r w:rsidRPr="008C6F97">
        <w:rPr>
          <w:rFonts w:cs="Arial"/>
          <w:szCs w:val="24"/>
        </w:rPr>
        <w:t>Blyler</w:t>
      </w:r>
      <w:proofErr w:type="spellEnd"/>
      <w:r w:rsidRPr="008C6F97">
        <w:rPr>
          <w:rFonts w:cs="Arial"/>
          <w:szCs w:val="24"/>
        </w:rPr>
        <w:t xml:space="preserve">, Crystal, et al. 2014. </w:t>
      </w:r>
      <w:r w:rsidRPr="008C6F97">
        <w:rPr>
          <w:rFonts w:cs="Arial"/>
          <w:i/>
          <w:szCs w:val="24"/>
        </w:rPr>
        <w:t>Evaluation of the Ticket to Work Program: 2003–2013.</w:t>
      </w:r>
      <w:r w:rsidRPr="008C6F97">
        <w:rPr>
          <w:rFonts w:cs="Arial"/>
          <w:szCs w:val="24"/>
        </w:rPr>
        <w:t xml:space="preserve"> Princeton, NJ: </w:t>
      </w:r>
      <w:proofErr w:type="spellStart"/>
      <w:r w:rsidRPr="008C6F97">
        <w:rPr>
          <w:rFonts w:cs="Arial"/>
          <w:szCs w:val="24"/>
        </w:rPr>
        <w:t>Mathematica</w:t>
      </w:r>
      <w:proofErr w:type="spellEnd"/>
      <w:r w:rsidRPr="008C6F97">
        <w:rPr>
          <w:rFonts w:cs="Arial"/>
          <w:szCs w:val="24"/>
        </w:rPr>
        <w:t xml:space="preserve"> Policy Research, Inc.</w:t>
      </w:r>
    </w:p>
  </w:endnote>
  <w:endnote w:id="156">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Morton, William R. 2013. </w:t>
      </w:r>
      <w:r w:rsidRPr="008C6F97">
        <w:rPr>
          <w:rFonts w:cs="Arial"/>
          <w:i/>
          <w:szCs w:val="24"/>
        </w:rPr>
        <w:t>Ticket to Work and Self-Sufficiency Program: Overview and Current Issues.</w:t>
      </w:r>
      <w:r w:rsidRPr="008C6F97">
        <w:rPr>
          <w:rFonts w:cs="Arial"/>
          <w:szCs w:val="24"/>
        </w:rPr>
        <w:t xml:space="preserve"> Washington, DC: Congressional Research Service.</w:t>
      </w:r>
    </w:p>
  </w:endnote>
  <w:endnote w:id="157">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Morton, </w:t>
      </w:r>
      <w:r w:rsidRPr="008C6F97">
        <w:rPr>
          <w:rFonts w:cs="Arial"/>
          <w:i/>
          <w:szCs w:val="24"/>
        </w:rPr>
        <w:t>Ticket to Work.</w:t>
      </w:r>
    </w:p>
  </w:endnote>
  <w:endnote w:id="158">
    <w:p w:rsidR="007A1436" w:rsidRPr="008C6F97" w:rsidRDefault="007A1436" w:rsidP="009C3635">
      <w:pPr>
        <w:pStyle w:val="EndnoteText"/>
        <w:spacing w:after="200"/>
        <w:rPr>
          <w:rFonts w:cs="Arial"/>
          <w:szCs w:val="24"/>
        </w:rPr>
      </w:pPr>
      <w:r w:rsidRPr="008C6F97">
        <w:rPr>
          <w:rStyle w:val="EndnoteReference"/>
          <w:rFonts w:cs="Arial"/>
          <w:szCs w:val="24"/>
        </w:rPr>
        <w:endnoteRef/>
      </w:r>
      <w:r w:rsidRPr="008C6F97">
        <w:rPr>
          <w:rFonts w:cs="Arial"/>
          <w:szCs w:val="24"/>
        </w:rPr>
        <w:t xml:space="preserve"> </w:t>
      </w:r>
      <w:proofErr w:type="spellStart"/>
      <w:proofErr w:type="gramStart"/>
      <w:r w:rsidRPr="008C6F97">
        <w:rPr>
          <w:rFonts w:cs="Arial"/>
          <w:szCs w:val="24"/>
        </w:rPr>
        <w:t>Kehn</w:t>
      </w:r>
      <w:proofErr w:type="spellEnd"/>
      <w:r w:rsidRPr="008C6F97">
        <w:rPr>
          <w:rFonts w:cs="Arial"/>
          <w:szCs w:val="24"/>
        </w:rPr>
        <w:t xml:space="preserve">, Matthew, and Jody </w:t>
      </w:r>
      <w:proofErr w:type="spellStart"/>
      <w:r w:rsidRPr="008C6F97">
        <w:rPr>
          <w:rFonts w:cs="Arial"/>
          <w:szCs w:val="24"/>
        </w:rPr>
        <w:t>Schimmel</w:t>
      </w:r>
      <w:proofErr w:type="spellEnd"/>
      <w:r w:rsidRPr="008C6F97">
        <w:rPr>
          <w:rFonts w:cs="Arial"/>
          <w:szCs w:val="24"/>
        </w:rPr>
        <w:t>.</w:t>
      </w:r>
      <w:proofErr w:type="gramEnd"/>
      <w:r w:rsidRPr="008C6F97">
        <w:rPr>
          <w:rFonts w:cs="Arial"/>
          <w:szCs w:val="24"/>
        </w:rPr>
        <w:t xml:space="preserve"> 2013. </w:t>
      </w:r>
      <w:r w:rsidRPr="008C6F97">
        <w:rPr>
          <w:rFonts w:cs="Arial"/>
          <w:i/>
          <w:szCs w:val="24"/>
        </w:rPr>
        <w:t>Enrollment, Employment, and Earnings in the Medicaid Buy-In Program, 2011: Final Report.</w:t>
      </w:r>
      <w:r w:rsidRPr="008C6F97">
        <w:rPr>
          <w:rFonts w:cs="Arial"/>
          <w:szCs w:val="24"/>
        </w:rPr>
        <w:t xml:space="preserve"> Washington, DC: </w:t>
      </w:r>
      <w:proofErr w:type="spellStart"/>
      <w:r w:rsidRPr="008C6F97">
        <w:rPr>
          <w:rFonts w:cs="Arial"/>
          <w:szCs w:val="24"/>
        </w:rPr>
        <w:t>Mathematica</w:t>
      </w:r>
      <w:proofErr w:type="spellEnd"/>
      <w:r w:rsidRPr="008C6F97">
        <w:rPr>
          <w:rFonts w:cs="Arial"/>
          <w:szCs w:val="24"/>
        </w:rPr>
        <w:t xml:space="preserve"> Policy Research.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modern"/>
    <w:notTrueType/>
    <w:pitch w:val="variable"/>
    <w:sig w:usb0="8000002F" w:usb1="40000048" w:usb2="00000000" w:usb3="00000000" w:csb0="00000111" w:csb1="00000000"/>
  </w:font>
  <w:font w:name="Franklin Gothic Book">
    <w:panose1 w:val="020B0503020102020204"/>
    <w:charset w:val="00"/>
    <w:family w:val="swiss"/>
    <w:pitch w:val="variable"/>
    <w:sig w:usb0="00000287" w:usb1="00000000" w:usb2="00000000" w:usb3="00000000" w:csb0="0000009F" w:csb1="00000000"/>
  </w:font>
  <w:font w:name="ITCFranklinGothicStd-Book">
    <w:altName w:val="Calibri"/>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ITCFranklinGothicStd-Demi">
    <w:panose1 w:val="00000000000000000000"/>
    <w:charset w:val="4D"/>
    <w:family w:val="auto"/>
    <w:notTrueType/>
    <w:pitch w:val="default"/>
    <w:sig w:usb0="00000003" w:usb1="00000000" w:usb2="00000000" w:usb3="00000000" w:csb0="00000001" w:csb1="00000000"/>
  </w:font>
  <w:font w:name="Arial Bold">
    <w:panose1 w:val="020B07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436" w:rsidRPr="00C1060C" w:rsidRDefault="007A1436" w:rsidP="00C1060C">
    <w:pPr>
      <w:pStyle w:val="Footer"/>
      <w:jc w:val="center"/>
    </w:pPr>
    <w:r>
      <w:fldChar w:fldCharType="begin"/>
    </w:r>
    <w:r>
      <w:instrText xml:space="preserve"> PAGE   \* MERGEFORMAT </w:instrText>
    </w:r>
    <w:r>
      <w:fldChar w:fldCharType="separate"/>
    </w:r>
    <w:r w:rsidR="00AB27A5">
      <w:rPr>
        <w:noProof/>
      </w:rPr>
      <w:t>63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7C2" w:rsidRDefault="00CC27C2" w:rsidP="00445A92">
      <w:pPr>
        <w:spacing w:after="0" w:line="240" w:lineRule="auto"/>
      </w:pPr>
      <w:r>
        <w:separator/>
      </w:r>
    </w:p>
  </w:footnote>
  <w:footnote w:type="continuationSeparator" w:id="0">
    <w:p w:rsidR="00CC27C2" w:rsidRDefault="00CC27C2" w:rsidP="00445A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A34649"/>
    <w:multiLevelType w:val="hybridMultilevel"/>
    <w:tmpl w:val="39443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3A80686"/>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9336DC"/>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7C7416"/>
    <w:multiLevelType w:val="multilevel"/>
    <w:tmpl w:val="AFE436C8"/>
    <w:styleLink w:val="Level1Bulle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A896888"/>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21BB7"/>
    <w:multiLevelType w:val="multilevel"/>
    <w:tmpl w:val="E84AFAF0"/>
    <w:styleLink w:val="List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8">
    <w:nsid w:val="375609F5"/>
    <w:multiLevelType w:val="hybridMultilevel"/>
    <w:tmpl w:val="6D666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DC4FDA"/>
    <w:multiLevelType w:val="hybridMultilevel"/>
    <w:tmpl w:val="9BA0C10E"/>
    <w:lvl w:ilvl="0" w:tplc="B638321C">
      <w:start w:val="1"/>
      <w:numFmt w:val="decimal"/>
      <w:pStyle w:val="TableNumbering"/>
      <w:lvlText w:val="%1."/>
      <w:lvlJc w:val="left"/>
      <w:pPr>
        <w:ind w:left="360" w:hanging="360"/>
      </w:pPr>
      <w:rPr>
        <w:rFonts w:ascii="Arial" w:hAnsi="Arial" w:cstheme="minorHAnsi" w:hint="default"/>
        <w:b w:val="0"/>
        <w:bCs w:val="0"/>
        <w:i w:val="0"/>
        <w:iCs w:val="0"/>
        <w:caps w:val="0"/>
        <w:strike w:val="0"/>
        <w:dstrike w:val="0"/>
        <w:vanish w:val="0"/>
        <w:color w:val="auto"/>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4679D"/>
    <w:multiLevelType w:val="multilevel"/>
    <w:tmpl w:val="61A20E64"/>
    <w:styleLink w:val="List2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1">
    <w:nsid w:val="42587471"/>
    <w:multiLevelType w:val="multilevel"/>
    <w:tmpl w:val="B73E6D4A"/>
    <w:styleLink w:val="List0"/>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2">
    <w:nsid w:val="43206BE4"/>
    <w:multiLevelType w:val="hybridMultilevel"/>
    <w:tmpl w:val="C5CCD1CC"/>
    <w:lvl w:ilvl="0" w:tplc="8BDCFA44">
      <w:start w:val="1"/>
      <w:numFmt w:val="bullet"/>
      <w:pStyle w:val="NCDBulletsLevel2"/>
      <w:lvlText w:val="o"/>
      <w:lvlJc w:val="left"/>
      <w:pPr>
        <w:ind w:left="720" w:hanging="360"/>
      </w:pPr>
      <w:rPr>
        <w:rFonts w:ascii="Courier New" w:hAnsi="Courier New"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6442F"/>
    <w:multiLevelType w:val="hybridMultilevel"/>
    <w:tmpl w:val="F7CCE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050FA"/>
    <w:multiLevelType w:val="hybridMultilevel"/>
    <w:tmpl w:val="AF26C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A5798C"/>
    <w:multiLevelType w:val="multilevel"/>
    <w:tmpl w:val="846A5BFE"/>
    <w:styleLink w:val="List31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6">
    <w:nsid w:val="4A072237"/>
    <w:multiLevelType w:val="multilevel"/>
    <w:tmpl w:val="FD58C45E"/>
    <w:lvl w:ilvl="0">
      <w:start w:val="1"/>
      <w:numFmt w:val="bullet"/>
      <w:pStyle w:val="Bullet2"/>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B1117EB"/>
    <w:multiLevelType w:val="multilevel"/>
    <w:tmpl w:val="8EB416CC"/>
    <w:styleLink w:val="Bullet"/>
    <w:lvl w:ilvl="0">
      <w:numFmt w:val="bullet"/>
      <w:lvlText w:val="•"/>
      <w:lvlJc w:val="left"/>
      <w:pPr>
        <w:tabs>
          <w:tab w:val="num" w:pos="196"/>
        </w:tabs>
        <w:ind w:left="1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abstractNum w:abstractNumId="18">
    <w:nsid w:val="51950CB3"/>
    <w:multiLevelType w:val="hybridMultilevel"/>
    <w:tmpl w:val="AD1E0CD6"/>
    <w:lvl w:ilvl="0" w:tplc="F2F2F7A4">
      <w:start w:val="1"/>
      <w:numFmt w:val="bullet"/>
      <w:pStyle w:val="NCDTextBox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0">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1">
    <w:nsid w:val="54BB5927"/>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062710"/>
    <w:multiLevelType w:val="multilevel"/>
    <w:tmpl w:val="B8FAC3FC"/>
    <w:styleLink w:val="List31"/>
    <w:lvl w:ilvl="0">
      <w:numFmt w:val="bullet"/>
      <w:lvlText w:val="▪"/>
      <w:lvlJc w:val="left"/>
      <w:rPr>
        <w:rFonts w:ascii="Arial" w:eastAsia="Arial" w:hAnsi="Arial" w:cs="Arial"/>
        <w:color w:val="1F497D"/>
        <w:spacing w:val="0"/>
        <w:position w:val="0"/>
      </w:rPr>
    </w:lvl>
    <w:lvl w:ilvl="1">
      <w:start w:val="1"/>
      <w:numFmt w:val="bullet"/>
      <w:lvlText w:val="o"/>
      <w:lvlJc w:val="left"/>
      <w:rPr>
        <w:rFonts w:ascii="Arial" w:eastAsia="Arial" w:hAnsi="Arial" w:cs="Arial"/>
        <w:color w:val="1F497D"/>
        <w:spacing w:val="0"/>
        <w:position w:val="0"/>
      </w:rPr>
    </w:lvl>
    <w:lvl w:ilvl="2">
      <w:start w:val="1"/>
      <w:numFmt w:val="bullet"/>
      <w:lvlText w:val="▪"/>
      <w:lvlJc w:val="left"/>
      <w:rPr>
        <w:rFonts w:ascii="Arial" w:eastAsia="Arial" w:hAnsi="Arial" w:cs="Arial"/>
        <w:color w:val="1F497D"/>
        <w:spacing w:val="0"/>
        <w:position w:val="0"/>
      </w:rPr>
    </w:lvl>
    <w:lvl w:ilvl="3">
      <w:start w:val="1"/>
      <w:numFmt w:val="bullet"/>
      <w:lvlText w:val="•"/>
      <w:lvlJc w:val="left"/>
      <w:rPr>
        <w:rFonts w:ascii="Arial" w:eastAsia="Arial" w:hAnsi="Arial" w:cs="Arial"/>
        <w:color w:val="1F497D"/>
        <w:spacing w:val="0"/>
        <w:position w:val="0"/>
      </w:rPr>
    </w:lvl>
    <w:lvl w:ilvl="4">
      <w:start w:val="1"/>
      <w:numFmt w:val="bullet"/>
      <w:lvlText w:val="o"/>
      <w:lvlJc w:val="left"/>
      <w:rPr>
        <w:rFonts w:ascii="Arial" w:eastAsia="Arial" w:hAnsi="Arial" w:cs="Arial"/>
        <w:color w:val="1F497D"/>
        <w:spacing w:val="0"/>
        <w:position w:val="0"/>
      </w:rPr>
    </w:lvl>
    <w:lvl w:ilvl="5">
      <w:start w:val="1"/>
      <w:numFmt w:val="bullet"/>
      <w:lvlText w:val="▪"/>
      <w:lvlJc w:val="left"/>
      <w:rPr>
        <w:rFonts w:ascii="Arial" w:eastAsia="Arial" w:hAnsi="Arial" w:cs="Arial"/>
        <w:color w:val="1F497D"/>
        <w:spacing w:val="0"/>
        <w:position w:val="0"/>
      </w:rPr>
    </w:lvl>
    <w:lvl w:ilvl="6">
      <w:start w:val="1"/>
      <w:numFmt w:val="bullet"/>
      <w:lvlText w:val="•"/>
      <w:lvlJc w:val="left"/>
      <w:rPr>
        <w:rFonts w:ascii="Arial" w:eastAsia="Arial" w:hAnsi="Arial" w:cs="Arial"/>
        <w:color w:val="1F497D"/>
        <w:spacing w:val="0"/>
        <w:position w:val="0"/>
      </w:rPr>
    </w:lvl>
    <w:lvl w:ilvl="7">
      <w:start w:val="1"/>
      <w:numFmt w:val="bullet"/>
      <w:lvlText w:val="o"/>
      <w:lvlJc w:val="left"/>
      <w:rPr>
        <w:rFonts w:ascii="Arial" w:eastAsia="Arial" w:hAnsi="Arial" w:cs="Arial"/>
        <w:color w:val="1F497D"/>
        <w:spacing w:val="0"/>
        <w:position w:val="0"/>
      </w:rPr>
    </w:lvl>
    <w:lvl w:ilvl="8">
      <w:start w:val="1"/>
      <w:numFmt w:val="bullet"/>
      <w:lvlText w:val="▪"/>
      <w:lvlJc w:val="left"/>
      <w:rPr>
        <w:rFonts w:ascii="Arial" w:eastAsia="Arial" w:hAnsi="Arial" w:cs="Arial"/>
        <w:color w:val="1F497D"/>
        <w:spacing w:val="0"/>
        <w:position w:val="0"/>
      </w:rPr>
    </w:lvl>
  </w:abstractNum>
  <w:abstractNum w:abstractNumId="23">
    <w:nsid w:val="591709EB"/>
    <w:multiLevelType w:val="hybridMultilevel"/>
    <w:tmpl w:val="F2122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F233AF"/>
    <w:multiLevelType w:val="multilevel"/>
    <w:tmpl w:val="F8E89D94"/>
    <w:styleLink w:val="Level2Bullet"/>
    <w:lvl w:ilvl="0">
      <w:start w:val="1"/>
      <w:numFmt w:val="bullet"/>
      <w:lvlText w:val=""/>
      <w:lvlJc w:val="left"/>
      <w:pPr>
        <w:tabs>
          <w:tab w:val="num" w:pos="1080"/>
        </w:tabs>
        <w:ind w:left="108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DA141AC"/>
    <w:multiLevelType w:val="hybridMultilevel"/>
    <w:tmpl w:val="E056D2D8"/>
    <w:lvl w:ilvl="0" w:tplc="D88E7D56">
      <w:start w:val="1"/>
      <w:numFmt w:val="bullet"/>
      <w:pStyle w:val="Bullet3"/>
      <w:lvlText w:val="■"/>
      <w:lvlJc w:val="left"/>
      <w:pPr>
        <w:ind w:left="108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DB81B9B"/>
    <w:multiLevelType w:val="multilevel"/>
    <w:tmpl w:val="03C2830E"/>
    <w:lvl w:ilvl="0">
      <w:start w:val="1"/>
      <w:numFmt w:val="bullet"/>
      <w:pStyle w:val="Bullet10"/>
      <w:lvlText w:val="●"/>
      <w:lvlJc w:val="left"/>
      <w:pPr>
        <w:ind w:left="360" w:hanging="360"/>
      </w:pPr>
      <w:rPr>
        <w:rFonts w:ascii="Times New Roman" w:hAnsi="Times New Roman" w:cs="Times New Roman" w:hint="default"/>
        <w:b w:val="0"/>
        <w:i w:val="0"/>
        <w:color w:val="002C5F"/>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DBF3370"/>
    <w:multiLevelType w:val="hybridMultilevel"/>
    <w:tmpl w:val="C4F69ABA"/>
    <w:lvl w:ilvl="0" w:tplc="49E8A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723E00"/>
    <w:multiLevelType w:val="hybridMultilevel"/>
    <w:tmpl w:val="72B4D5D4"/>
    <w:lvl w:ilvl="0" w:tplc="C19E5DEA">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DC1526"/>
    <w:multiLevelType w:val="hybridMultilevel"/>
    <w:tmpl w:val="E8DCE6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10692"/>
    <w:multiLevelType w:val="hybridMultilevel"/>
    <w:tmpl w:val="EC50592E"/>
    <w:lvl w:ilvl="0" w:tplc="F078B23C">
      <w:start w:val="1"/>
      <w:numFmt w:val="bullet"/>
      <w:pStyle w:val="NCDBulletsLevel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976CA16">
      <w:start w:val="1"/>
      <w:numFmt w:val="bullet"/>
      <w:pStyle w:val="NCDBulletsLeve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24AED"/>
    <w:multiLevelType w:val="hybridMultilevel"/>
    <w:tmpl w:val="70144A32"/>
    <w:lvl w:ilvl="0" w:tplc="E5D0E92E">
      <w:start w:val="1"/>
      <w:numFmt w:val="bullet"/>
      <w:pStyle w:val="TableBullet1"/>
      <w:lvlText w:val="●"/>
      <w:lvlJc w:val="left"/>
      <w:pPr>
        <w:ind w:left="360" w:hanging="360"/>
      </w:pPr>
      <w:rPr>
        <w:rFonts w:ascii="Arial" w:hAnsi="Arial" w:hint="default"/>
        <w:color w:val="000000" w:themeColor="text1"/>
        <w:sz w:val="20"/>
      </w:rPr>
    </w:lvl>
    <w:lvl w:ilvl="1" w:tplc="E79A92C0">
      <w:start w:val="1"/>
      <w:numFmt w:val="bullet"/>
      <w:lvlText w:val=""/>
      <w:lvlJc w:val="left"/>
      <w:pPr>
        <w:ind w:left="1440" w:hanging="360"/>
      </w:pPr>
      <w:rPr>
        <w:rFonts w:ascii="Wingdings" w:hAnsi="Wingdings" w:hint="default"/>
        <w:color w:val="4B76A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BA4D26"/>
    <w:multiLevelType w:val="hybridMultilevel"/>
    <w:tmpl w:val="DCCE747E"/>
    <w:lvl w:ilvl="0" w:tplc="0409000F">
      <w:start w:val="1"/>
      <w:numFmt w:val="decimal"/>
      <w:lvlText w:val="%1."/>
      <w:lvlJc w:val="left"/>
      <w:pPr>
        <w:ind w:left="720" w:hanging="360"/>
      </w:pPr>
    </w:lvl>
    <w:lvl w:ilvl="1" w:tplc="936C3B56">
      <w:start w:val="1"/>
      <w:numFmt w:val="lowerLetter"/>
      <w:pStyle w:val="Numbered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827045"/>
    <w:multiLevelType w:val="hybridMultilevel"/>
    <w:tmpl w:val="52C49188"/>
    <w:lvl w:ilvl="0" w:tplc="2B8887C0">
      <w:start w:val="1"/>
      <w:numFmt w:val="bullet"/>
      <w:pStyle w:val="TableBullet2"/>
      <w:lvlText w:val="–"/>
      <w:lvlJc w:val="left"/>
      <w:pPr>
        <w:ind w:left="63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8"/>
  </w:num>
  <w:num w:numId="2">
    <w:abstractNumId w:val="30"/>
  </w:num>
  <w:num w:numId="3">
    <w:abstractNumId w:val="19"/>
  </w:num>
  <w:num w:numId="4">
    <w:abstractNumId w:val="20"/>
  </w:num>
  <w:num w:numId="5">
    <w:abstractNumId w:val="11"/>
  </w:num>
  <w:num w:numId="6">
    <w:abstractNumId w:val="15"/>
  </w:num>
  <w:num w:numId="7">
    <w:abstractNumId w:val="7"/>
  </w:num>
  <w:num w:numId="8">
    <w:abstractNumId w:val="17"/>
  </w:num>
  <w:num w:numId="9">
    <w:abstractNumId w:val="10"/>
  </w:num>
  <w:num w:numId="10">
    <w:abstractNumId w:val="22"/>
  </w:num>
  <w:num w:numId="11">
    <w:abstractNumId w:val="12"/>
  </w:num>
  <w:num w:numId="12">
    <w:abstractNumId w:val="1"/>
  </w:num>
  <w:num w:numId="13">
    <w:abstractNumId w:val="26"/>
  </w:num>
  <w:num w:numId="14">
    <w:abstractNumId w:val="0"/>
  </w:num>
  <w:num w:numId="15">
    <w:abstractNumId w:val="16"/>
  </w:num>
  <w:num w:numId="16">
    <w:abstractNumId w:val="25"/>
  </w:num>
  <w:num w:numId="17">
    <w:abstractNumId w:val="5"/>
  </w:num>
  <w:num w:numId="18">
    <w:abstractNumId w:val="24"/>
  </w:num>
  <w:num w:numId="19">
    <w:abstractNumId w:val="28"/>
  </w:num>
  <w:num w:numId="20">
    <w:abstractNumId w:val="31"/>
  </w:num>
  <w:num w:numId="21">
    <w:abstractNumId w:val="33"/>
  </w:num>
  <w:num w:numId="22">
    <w:abstractNumId w:val="9"/>
  </w:num>
  <w:num w:numId="23">
    <w:abstractNumId w:val="32"/>
  </w:num>
  <w:num w:numId="24">
    <w:abstractNumId w:val="21"/>
  </w:num>
  <w:num w:numId="25">
    <w:abstractNumId w:val="3"/>
  </w:num>
  <w:num w:numId="26">
    <w:abstractNumId w:val="4"/>
  </w:num>
  <w:num w:numId="27">
    <w:abstractNumId w:val="23"/>
  </w:num>
  <w:num w:numId="28">
    <w:abstractNumId w:val="14"/>
  </w:num>
  <w:num w:numId="29">
    <w:abstractNumId w:val="6"/>
  </w:num>
  <w:num w:numId="30">
    <w:abstractNumId w:val="29"/>
  </w:num>
  <w:num w:numId="31">
    <w:abstractNumId w:val="13"/>
  </w:num>
  <w:num w:numId="32">
    <w:abstractNumId w:val="2"/>
  </w:num>
  <w:num w:numId="33">
    <w:abstractNumId w:val="28"/>
    <w:lvlOverride w:ilvl="0">
      <w:startOverride w:val="1"/>
    </w:lvlOverride>
  </w:num>
  <w:num w:numId="34">
    <w:abstractNumId w:val="28"/>
    <w:lvlOverride w:ilvl="0">
      <w:startOverride w:val="1"/>
    </w:lvlOverride>
  </w:num>
  <w:num w:numId="35">
    <w:abstractNumId w:val="28"/>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8"/>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92"/>
    <w:rsid w:val="00005A1D"/>
    <w:rsid w:val="00041932"/>
    <w:rsid w:val="0006294F"/>
    <w:rsid w:val="00077AF9"/>
    <w:rsid w:val="00092FF6"/>
    <w:rsid w:val="000A3C96"/>
    <w:rsid w:val="000C1F89"/>
    <w:rsid w:val="000C2912"/>
    <w:rsid w:val="000F7AF9"/>
    <w:rsid w:val="00131D63"/>
    <w:rsid w:val="00170CD3"/>
    <w:rsid w:val="00195F12"/>
    <w:rsid w:val="001A47E5"/>
    <w:rsid w:val="001C727B"/>
    <w:rsid w:val="00264065"/>
    <w:rsid w:val="00266FDE"/>
    <w:rsid w:val="00285C24"/>
    <w:rsid w:val="002A3282"/>
    <w:rsid w:val="002B1EFA"/>
    <w:rsid w:val="002D1191"/>
    <w:rsid w:val="002E124F"/>
    <w:rsid w:val="00302970"/>
    <w:rsid w:val="00305D98"/>
    <w:rsid w:val="003213C7"/>
    <w:rsid w:val="00377BB3"/>
    <w:rsid w:val="00391E18"/>
    <w:rsid w:val="00392CAE"/>
    <w:rsid w:val="003B4366"/>
    <w:rsid w:val="003C07AD"/>
    <w:rsid w:val="00445A92"/>
    <w:rsid w:val="00461047"/>
    <w:rsid w:val="00464DF6"/>
    <w:rsid w:val="00467D9F"/>
    <w:rsid w:val="005000A9"/>
    <w:rsid w:val="00537FDE"/>
    <w:rsid w:val="00595704"/>
    <w:rsid w:val="00653E48"/>
    <w:rsid w:val="0066471F"/>
    <w:rsid w:val="00682A71"/>
    <w:rsid w:val="00692C9D"/>
    <w:rsid w:val="006B4062"/>
    <w:rsid w:val="006C676E"/>
    <w:rsid w:val="006F0871"/>
    <w:rsid w:val="007409F0"/>
    <w:rsid w:val="007515C9"/>
    <w:rsid w:val="00780FEC"/>
    <w:rsid w:val="007A1436"/>
    <w:rsid w:val="007B2613"/>
    <w:rsid w:val="007C6446"/>
    <w:rsid w:val="007D192A"/>
    <w:rsid w:val="007D2AF6"/>
    <w:rsid w:val="0086719C"/>
    <w:rsid w:val="008708EC"/>
    <w:rsid w:val="008924F1"/>
    <w:rsid w:val="008A254E"/>
    <w:rsid w:val="008C6F97"/>
    <w:rsid w:val="008F1C13"/>
    <w:rsid w:val="0092026C"/>
    <w:rsid w:val="009317D7"/>
    <w:rsid w:val="00933370"/>
    <w:rsid w:val="00987115"/>
    <w:rsid w:val="00991A16"/>
    <w:rsid w:val="009A0A46"/>
    <w:rsid w:val="009C0E39"/>
    <w:rsid w:val="009C3635"/>
    <w:rsid w:val="00A152D5"/>
    <w:rsid w:val="00A16328"/>
    <w:rsid w:val="00A358AA"/>
    <w:rsid w:val="00A65CE3"/>
    <w:rsid w:val="00A66E4F"/>
    <w:rsid w:val="00A9230D"/>
    <w:rsid w:val="00A9297E"/>
    <w:rsid w:val="00A97D33"/>
    <w:rsid w:val="00A97F0B"/>
    <w:rsid w:val="00AB27A5"/>
    <w:rsid w:val="00AD14B1"/>
    <w:rsid w:val="00AE3559"/>
    <w:rsid w:val="00AF1C98"/>
    <w:rsid w:val="00B134D9"/>
    <w:rsid w:val="00B30880"/>
    <w:rsid w:val="00B40761"/>
    <w:rsid w:val="00B7253F"/>
    <w:rsid w:val="00B92079"/>
    <w:rsid w:val="00B9617A"/>
    <w:rsid w:val="00B96401"/>
    <w:rsid w:val="00BA225F"/>
    <w:rsid w:val="00BB32AD"/>
    <w:rsid w:val="00BB79A6"/>
    <w:rsid w:val="00BF32FE"/>
    <w:rsid w:val="00BF3E91"/>
    <w:rsid w:val="00C00E23"/>
    <w:rsid w:val="00C1060C"/>
    <w:rsid w:val="00C21E91"/>
    <w:rsid w:val="00C4614A"/>
    <w:rsid w:val="00C72F6C"/>
    <w:rsid w:val="00CC27C2"/>
    <w:rsid w:val="00CD3281"/>
    <w:rsid w:val="00CD56E7"/>
    <w:rsid w:val="00CD64C4"/>
    <w:rsid w:val="00D26FE3"/>
    <w:rsid w:val="00D86938"/>
    <w:rsid w:val="00D910BE"/>
    <w:rsid w:val="00DA0814"/>
    <w:rsid w:val="00DB434D"/>
    <w:rsid w:val="00DC60DA"/>
    <w:rsid w:val="00E36A65"/>
    <w:rsid w:val="00E44ACC"/>
    <w:rsid w:val="00E62378"/>
    <w:rsid w:val="00EB06A8"/>
    <w:rsid w:val="00F16A2B"/>
    <w:rsid w:val="00F704ED"/>
    <w:rsid w:val="00F87112"/>
    <w:rsid w:val="00F946BB"/>
    <w:rsid w:val="00FC2C28"/>
    <w:rsid w:val="00FE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qFormat="1"/>
    <w:lsdException w:name="footer" w:qFormat="1"/>
    <w:lsdException w:name="caption" w:uiPriority="35" w:qFormat="1"/>
    <w:lsdException w:name="footnote reference" w:uiPriority="0" w:qFormat="1"/>
    <w:lsdException w:name="page number" w:uiPriority="0"/>
    <w:lsdException w:name="Title" w:semiHidden="0" w:uiPriority="0" w:unhideWhenUsed="0" w:qFormat="1"/>
    <w:lsdException w:name="Default Paragraph Font" w:uiPriority="1"/>
    <w:lsdException w:name="Body Text"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81"/>
  </w:style>
  <w:style w:type="paragraph" w:styleId="Heading1">
    <w:name w:val="heading 1"/>
    <w:next w:val="Normal"/>
    <w:link w:val="Heading1Char"/>
    <w:autoRedefine/>
    <w:uiPriority w:val="9"/>
    <w:qFormat/>
    <w:rsid w:val="002E124F"/>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uiPriority w:val="9"/>
    <w:qFormat/>
    <w:rsid w:val="00170CD3"/>
    <w:pPr>
      <w:keepNext/>
      <w:keepLines/>
      <w:spacing w:after="0" w:line="480" w:lineRule="auto"/>
      <w:outlineLvl w:val="1"/>
    </w:pPr>
    <w:rPr>
      <w:rFonts w:ascii="Arial" w:eastAsia="Times New Roman" w:hAnsi="Arial" w:cs="Times New Roman"/>
      <w:b/>
      <w:sz w:val="28"/>
      <w:szCs w:val="32"/>
    </w:rPr>
  </w:style>
  <w:style w:type="paragraph" w:styleId="Heading3">
    <w:name w:val="heading 3"/>
    <w:next w:val="Normal"/>
    <w:link w:val="Heading3Char"/>
    <w:uiPriority w:val="9"/>
    <w:unhideWhenUsed/>
    <w:qFormat/>
    <w:rsid w:val="007409F0"/>
    <w:pPr>
      <w:keepNext/>
      <w:spacing w:after="0" w:line="480" w:lineRule="auto"/>
      <w:outlineLvl w:val="2"/>
    </w:pPr>
    <w:rPr>
      <w:rFonts w:ascii="Arial" w:eastAsia="Calibri" w:hAnsi="Arial" w:cs="Arial"/>
      <w:b/>
      <w:i/>
      <w:color w:val="000000" w:themeColor="text1"/>
      <w:sz w:val="24"/>
      <w:szCs w:val="24"/>
    </w:rPr>
  </w:style>
  <w:style w:type="paragraph" w:styleId="Heading4">
    <w:name w:val="heading 4"/>
    <w:aliases w:val="NCD.Heading 4"/>
    <w:next w:val="Normal"/>
    <w:link w:val="Heading4Char"/>
    <w:uiPriority w:val="9"/>
    <w:unhideWhenUsed/>
    <w:qFormat/>
    <w:rsid w:val="00445A92"/>
    <w:pPr>
      <w:keepNext/>
      <w:autoSpaceDE w:val="0"/>
      <w:autoSpaceDN w:val="0"/>
      <w:adjustRightInd w:val="0"/>
      <w:spacing w:after="240" w:line="240" w:lineRule="auto"/>
      <w:outlineLvl w:val="3"/>
    </w:pPr>
    <w:rPr>
      <w:rFonts w:ascii="Arial" w:eastAsia="Calibri" w:hAnsi="Arial" w:cs="Arial"/>
      <w:b/>
      <w:i/>
      <w:sz w:val="24"/>
      <w:szCs w:val="24"/>
    </w:rPr>
  </w:style>
  <w:style w:type="paragraph" w:styleId="Heading5">
    <w:name w:val="heading 5"/>
    <w:basedOn w:val="NCDBodyTextSpaceBefore"/>
    <w:next w:val="Normal"/>
    <w:link w:val="Heading5Char"/>
    <w:uiPriority w:val="9"/>
    <w:unhideWhenUsed/>
    <w:qFormat/>
    <w:rsid w:val="00445A92"/>
    <w:pPr>
      <w:spacing w:after="240" w:line="240" w:lineRule="auto"/>
      <w:outlineLvl w:val="4"/>
    </w:pPr>
    <w:rPr>
      <w:i/>
    </w:rPr>
  </w:style>
  <w:style w:type="paragraph" w:styleId="Heading6">
    <w:name w:val="heading 6"/>
    <w:basedOn w:val="BodyText"/>
    <w:next w:val="Normal"/>
    <w:link w:val="Heading6Char"/>
    <w:uiPriority w:val="9"/>
    <w:unhideWhenUsed/>
    <w:rsid w:val="00445A92"/>
    <w:pPr>
      <w:outlineLvl w:val="5"/>
    </w:pPr>
    <w:rPr>
      <w:b/>
      <w:i/>
    </w:rPr>
  </w:style>
  <w:style w:type="paragraph" w:styleId="Heading7">
    <w:name w:val="heading 7"/>
    <w:basedOn w:val="Normal"/>
    <w:next w:val="Normal"/>
    <w:link w:val="Heading7Char"/>
    <w:uiPriority w:val="9"/>
    <w:unhideWhenUsed/>
    <w:qFormat/>
    <w:rsid w:val="00445A92"/>
    <w:pPr>
      <w:keepNext/>
      <w:keepLines/>
      <w:spacing w:before="200" w:after="0" w:line="240" w:lineRule="auto"/>
      <w:outlineLvl w:val="6"/>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4F"/>
    <w:rPr>
      <w:rFonts w:ascii="Arial" w:hAnsi="Arial" w:cs="Arial"/>
      <w:b/>
      <w:sz w:val="36"/>
      <w:szCs w:val="32"/>
    </w:rPr>
  </w:style>
  <w:style w:type="character" w:customStyle="1" w:styleId="Heading2Char">
    <w:name w:val="Heading 2 Char"/>
    <w:basedOn w:val="DefaultParagraphFont"/>
    <w:link w:val="Heading2"/>
    <w:uiPriority w:val="9"/>
    <w:rsid w:val="00170CD3"/>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7409F0"/>
    <w:rPr>
      <w:rFonts w:ascii="Arial" w:eastAsia="Calibri" w:hAnsi="Arial" w:cs="Arial"/>
      <w:b/>
      <w:i/>
      <w:color w:val="000000" w:themeColor="text1"/>
      <w:sz w:val="24"/>
      <w:szCs w:val="24"/>
    </w:rPr>
  </w:style>
  <w:style w:type="character" w:customStyle="1" w:styleId="Heading4Char">
    <w:name w:val="Heading 4 Char"/>
    <w:aliases w:val="NCD.Heading 4 Char"/>
    <w:basedOn w:val="DefaultParagraphFont"/>
    <w:link w:val="Heading4"/>
    <w:uiPriority w:val="9"/>
    <w:rsid w:val="00445A92"/>
    <w:rPr>
      <w:rFonts w:ascii="Arial" w:eastAsia="Calibri" w:hAnsi="Arial" w:cs="Arial"/>
      <w:b/>
      <w:i/>
      <w:sz w:val="24"/>
      <w:szCs w:val="24"/>
    </w:rPr>
  </w:style>
  <w:style w:type="character" w:customStyle="1" w:styleId="Heading5Char">
    <w:name w:val="Heading 5 Char"/>
    <w:basedOn w:val="DefaultParagraphFont"/>
    <w:link w:val="Heading5"/>
    <w:uiPriority w:val="9"/>
    <w:rsid w:val="00445A92"/>
    <w:rPr>
      <w:rFonts w:ascii="Arial" w:eastAsia="Calibri" w:hAnsi="Arial" w:cs="Calibri"/>
      <w:i/>
      <w:color w:val="000000" w:themeColor="text1"/>
      <w:sz w:val="24"/>
      <w:szCs w:val="24"/>
      <w:u w:color="000000"/>
      <w:bdr w:val="nil"/>
    </w:rPr>
  </w:style>
  <w:style w:type="character" w:customStyle="1" w:styleId="Heading6Char">
    <w:name w:val="Heading 6 Char"/>
    <w:basedOn w:val="DefaultParagraphFont"/>
    <w:link w:val="Heading6"/>
    <w:uiPriority w:val="9"/>
    <w:rsid w:val="00445A92"/>
    <w:rPr>
      <w:rFonts w:eastAsia="Times New Roman" w:cs="Times New Roman"/>
      <w:b/>
      <w:i/>
      <w:sz w:val="24"/>
      <w:szCs w:val="24"/>
    </w:rPr>
  </w:style>
  <w:style w:type="character" w:customStyle="1" w:styleId="Heading7Char">
    <w:name w:val="Heading 7 Char"/>
    <w:basedOn w:val="DefaultParagraphFont"/>
    <w:link w:val="Heading7"/>
    <w:uiPriority w:val="9"/>
    <w:rsid w:val="00445A92"/>
    <w:rPr>
      <w:rFonts w:asciiTheme="majorHAnsi" w:eastAsiaTheme="majorEastAsia" w:hAnsiTheme="majorHAnsi" w:cstheme="majorBidi"/>
      <w:i/>
      <w:iCs/>
      <w:sz w:val="24"/>
    </w:rPr>
  </w:style>
  <w:style w:type="paragraph" w:styleId="CommentText">
    <w:name w:val="annotation text"/>
    <w:basedOn w:val="Normal"/>
    <w:link w:val="CommentTextChar"/>
    <w:uiPriority w:val="99"/>
    <w:unhideWhenUsed/>
    <w:rsid w:val="00445A92"/>
    <w:pPr>
      <w:spacing w:after="12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445A92"/>
    <w:rPr>
      <w:rFonts w:ascii="Calibri" w:eastAsia="Calibri" w:hAnsi="Calibri" w:cs="Times New Roman"/>
      <w:sz w:val="20"/>
      <w:szCs w:val="20"/>
    </w:rPr>
  </w:style>
  <w:style w:type="character" w:styleId="CommentReference">
    <w:name w:val="annotation reference"/>
    <w:uiPriority w:val="99"/>
    <w:unhideWhenUsed/>
    <w:rsid w:val="00445A92"/>
    <w:rPr>
      <w:sz w:val="16"/>
      <w:szCs w:val="16"/>
    </w:rPr>
  </w:style>
  <w:style w:type="paragraph" w:styleId="FootnoteText">
    <w:name w:val="footnote text"/>
    <w:basedOn w:val="Normal"/>
    <w:link w:val="FootnoteTextChar"/>
    <w:unhideWhenUsed/>
    <w:qFormat/>
    <w:rsid w:val="00445A92"/>
    <w:pPr>
      <w:spacing w:after="0" w:line="240" w:lineRule="auto"/>
    </w:pPr>
    <w:rPr>
      <w:rFonts w:ascii="Arial" w:eastAsia="Calibri" w:hAnsi="Arial" w:cs="Times New Roman"/>
      <w:sz w:val="24"/>
      <w:szCs w:val="20"/>
    </w:rPr>
  </w:style>
  <w:style w:type="character" w:customStyle="1" w:styleId="FootnoteTextChar">
    <w:name w:val="Footnote Text Char"/>
    <w:basedOn w:val="DefaultParagraphFont"/>
    <w:link w:val="FootnoteText"/>
    <w:rsid w:val="00445A92"/>
    <w:rPr>
      <w:rFonts w:ascii="Arial" w:eastAsia="Calibri" w:hAnsi="Arial" w:cs="Times New Roman"/>
      <w:sz w:val="24"/>
      <w:szCs w:val="20"/>
    </w:rPr>
  </w:style>
  <w:style w:type="character" w:styleId="FootnoteReference">
    <w:name w:val="footnote reference"/>
    <w:unhideWhenUsed/>
    <w:qFormat/>
    <w:rsid w:val="00445A92"/>
    <w:rPr>
      <w:vertAlign w:val="superscript"/>
    </w:rPr>
  </w:style>
  <w:style w:type="character" w:styleId="Hyperlink">
    <w:name w:val="Hyperlink"/>
    <w:uiPriority w:val="99"/>
    <w:unhideWhenUsed/>
    <w:qFormat/>
    <w:rsid w:val="00445A92"/>
    <w:rPr>
      <w:rFonts w:ascii="Arial" w:hAnsi="Arial"/>
      <w:color w:val="0000FF"/>
      <w:sz w:val="24"/>
      <w:u w:val="single"/>
    </w:rPr>
  </w:style>
  <w:style w:type="paragraph" w:styleId="ListParagraph">
    <w:name w:val="List Paragraph"/>
    <w:basedOn w:val="Normal"/>
    <w:uiPriority w:val="34"/>
    <w:qFormat/>
    <w:rsid w:val="00445A92"/>
    <w:pPr>
      <w:spacing w:after="120"/>
      <w:ind w:left="720"/>
      <w:contextualSpacing/>
    </w:pPr>
    <w:rPr>
      <w:rFonts w:ascii="Calibri" w:eastAsia="Calibri" w:hAnsi="Calibri" w:cs="Times New Roman"/>
      <w:sz w:val="24"/>
    </w:rPr>
  </w:style>
  <w:style w:type="paragraph" w:styleId="BalloonText">
    <w:name w:val="Balloon Text"/>
    <w:basedOn w:val="Normal"/>
    <w:link w:val="BalloonTextChar"/>
    <w:uiPriority w:val="99"/>
    <w:semiHidden/>
    <w:unhideWhenUsed/>
    <w:rsid w:val="00445A9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45A92"/>
    <w:rPr>
      <w:rFonts w:ascii="Tahoma" w:eastAsia="Calibri" w:hAnsi="Tahoma" w:cs="Tahoma"/>
      <w:sz w:val="16"/>
      <w:szCs w:val="16"/>
    </w:rPr>
  </w:style>
  <w:style w:type="paragraph" w:customStyle="1" w:styleId="TableNote">
    <w:name w:val="Table Note"/>
    <w:qFormat/>
    <w:rsid w:val="00445A92"/>
    <w:pPr>
      <w:spacing w:before="60" w:after="240" w:line="240" w:lineRule="auto"/>
      <w:contextualSpacing/>
    </w:pPr>
    <w:rPr>
      <w:rFonts w:ascii="Arial" w:eastAsia="Times New Roman" w:hAnsi="Arial" w:cs="Times New Roman"/>
      <w:sz w:val="18"/>
      <w:szCs w:val="24"/>
    </w:rPr>
  </w:style>
  <w:style w:type="character" w:customStyle="1" w:styleId="apple-converted-space">
    <w:name w:val="apple-converted-space"/>
    <w:basedOn w:val="DefaultParagraphFont"/>
    <w:rsid w:val="00445A92"/>
  </w:style>
  <w:style w:type="paragraph" w:customStyle="1" w:styleId="Default">
    <w:name w:val="Default"/>
    <w:rsid w:val="00445A9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italic">
    <w:name w:val="italic"/>
    <w:basedOn w:val="DefaultParagraphFont"/>
    <w:rsid w:val="00445A92"/>
  </w:style>
  <w:style w:type="paragraph" w:customStyle="1" w:styleId="NCDBodyText">
    <w:name w:val="NCD.Body Text"/>
    <w:rsid w:val="002E124F"/>
    <w:pPr>
      <w:pBdr>
        <w:top w:val="nil"/>
        <w:left w:val="nil"/>
        <w:bottom w:val="nil"/>
        <w:right w:val="nil"/>
        <w:between w:val="nil"/>
        <w:bar w:val="nil"/>
      </w:pBdr>
      <w:spacing w:line="360" w:lineRule="auto"/>
    </w:pPr>
    <w:rPr>
      <w:rFonts w:ascii="Arial" w:eastAsia="Calibri" w:hAnsi="Arial" w:cs="Calibri"/>
      <w:color w:val="000000" w:themeColor="text1"/>
      <w:sz w:val="24"/>
      <w:szCs w:val="24"/>
      <w:u w:color="000000"/>
      <w:bdr w:val="nil"/>
    </w:rPr>
  </w:style>
  <w:style w:type="paragraph" w:customStyle="1" w:styleId="Footnote">
    <w:name w:val="Footnote"/>
    <w:rsid w:val="00445A92"/>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Hyperlink"/>
    <w:rsid w:val="00445A92"/>
    <w:rPr>
      <w:rFonts w:ascii="Arial" w:hAnsi="Arial"/>
      <w:color w:val="0000FF"/>
      <w:sz w:val="24"/>
      <w:u w:val="single" w:color="0000FF"/>
    </w:rPr>
  </w:style>
  <w:style w:type="numbering" w:customStyle="1" w:styleId="List0">
    <w:name w:val="List 0"/>
    <w:basedOn w:val="NoList"/>
    <w:rsid w:val="00445A92"/>
    <w:pPr>
      <w:numPr>
        <w:numId w:val="5"/>
      </w:numPr>
    </w:pPr>
  </w:style>
  <w:style w:type="numbering" w:customStyle="1" w:styleId="List1">
    <w:name w:val="List 1"/>
    <w:basedOn w:val="NoList"/>
    <w:rsid w:val="00445A92"/>
    <w:pPr>
      <w:numPr>
        <w:numId w:val="7"/>
      </w:numPr>
    </w:pPr>
  </w:style>
  <w:style w:type="numbering" w:customStyle="1" w:styleId="Bullet">
    <w:name w:val="Bullet"/>
    <w:rsid w:val="00445A92"/>
    <w:pPr>
      <w:numPr>
        <w:numId w:val="8"/>
      </w:numPr>
    </w:pPr>
  </w:style>
  <w:style w:type="numbering" w:customStyle="1" w:styleId="List21">
    <w:name w:val="List 21"/>
    <w:basedOn w:val="NoList"/>
    <w:rsid w:val="00445A92"/>
    <w:pPr>
      <w:numPr>
        <w:numId w:val="9"/>
      </w:numPr>
    </w:pPr>
  </w:style>
  <w:style w:type="numbering" w:customStyle="1" w:styleId="List31">
    <w:name w:val="List 31"/>
    <w:basedOn w:val="NoList"/>
    <w:rsid w:val="00445A92"/>
    <w:pPr>
      <w:numPr>
        <w:numId w:val="10"/>
      </w:numPr>
    </w:pPr>
  </w:style>
  <w:style w:type="character" w:customStyle="1" w:styleId="Hyperlink1">
    <w:name w:val="Hyperlink.1"/>
    <w:basedOn w:val="DefaultParagraphFont"/>
    <w:rsid w:val="00445A92"/>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style>
  <w:style w:type="character" w:customStyle="1" w:styleId="Hyperlink2">
    <w:name w:val="Hyperlink.2"/>
    <w:basedOn w:val="Hyperlink0"/>
    <w:rsid w:val="00445A92"/>
    <w:rPr>
      <w:rFonts w:ascii="Arial" w:eastAsia="Arial" w:hAnsi="Arial" w:cs="Arial"/>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445A92"/>
    <w:rPr>
      <w:b/>
      <w:bCs/>
    </w:rPr>
  </w:style>
  <w:style w:type="character" w:customStyle="1" w:styleId="CommentSubjectChar">
    <w:name w:val="Comment Subject Char"/>
    <w:basedOn w:val="CommentTextChar"/>
    <w:link w:val="CommentSubject"/>
    <w:uiPriority w:val="99"/>
    <w:semiHidden/>
    <w:rsid w:val="00445A92"/>
    <w:rPr>
      <w:rFonts w:ascii="Calibri" w:eastAsia="Calibri" w:hAnsi="Calibri" w:cs="Times New Roman"/>
      <w:b/>
      <w:bCs/>
      <w:sz w:val="20"/>
      <w:szCs w:val="20"/>
    </w:rPr>
  </w:style>
  <w:style w:type="numbering" w:customStyle="1" w:styleId="Bullet1">
    <w:name w:val="Bullet1"/>
    <w:rsid w:val="00445A92"/>
    <w:pPr>
      <w:numPr>
        <w:numId w:val="3"/>
      </w:numPr>
    </w:pPr>
  </w:style>
  <w:style w:type="numbering" w:customStyle="1" w:styleId="List211">
    <w:name w:val="List 211"/>
    <w:basedOn w:val="NoList"/>
    <w:rsid w:val="00445A92"/>
    <w:pPr>
      <w:numPr>
        <w:numId w:val="4"/>
      </w:numPr>
    </w:pPr>
  </w:style>
  <w:style w:type="numbering" w:customStyle="1" w:styleId="List311">
    <w:name w:val="List 311"/>
    <w:basedOn w:val="NoList"/>
    <w:rsid w:val="00445A92"/>
    <w:pPr>
      <w:numPr>
        <w:numId w:val="6"/>
      </w:numPr>
    </w:pPr>
  </w:style>
  <w:style w:type="table" w:styleId="TableGrid">
    <w:name w:val="Table Grid"/>
    <w:basedOn w:val="TableNormal"/>
    <w:uiPriority w:val="59"/>
    <w:rsid w:val="00445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CDTextBoxBullets">
    <w:name w:val="NCD.Text Box Bullets"/>
    <w:qFormat/>
    <w:rsid w:val="00445A92"/>
    <w:pPr>
      <w:numPr>
        <w:numId w:val="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445A92"/>
    <w:pPr>
      <w:keepNext/>
      <w:spacing w:after="240" w:line="240" w:lineRule="auto"/>
      <w:jc w:val="center"/>
    </w:pPr>
    <w:rPr>
      <w:rFonts w:ascii="Arial" w:eastAsia="Calibri" w:hAnsi="Arial" w:cs="Arial"/>
      <w:b/>
      <w:sz w:val="24"/>
      <w:szCs w:val="28"/>
    </w:rPr>
  </w:style>
  <w:style w:type="paragraph" w:customStyle="1" w:styleId="NCDBodyTextSpaceBefore">
    <w:name w:val="NCD.Body Text Space Before"/>
    <w:basedOn w:val="NCDBodyText"/>
    <w:link w:val="NCDBodyTextSpaceBeforeChar"/>
    <w:qFormat/>
    <w:rsid w:val="002E124F"/>
  </w:style>
  <w:style w:type="paragraph" w:customStyle="1" w:styleId="NCDTableText">
    <w:name w:val="NCD.Table Text"/>
    <w:qFormat/>
    <w:rsid w:val="00445A92"/>
    <w:pPr>
      <w:spacing w:after="0" w:line="240" w:lineRule="auto"/>
    </w:pPr>
    <w:rPr>
      <w:rFonts w:ascii="Arial" w:eastAsia="Times New Roman" w:hAnsi="Arial" w:cs="Arial"/>
      <w:sz w:val="20"/>
      <w:szCs w:val="24"/>
    </w:rPr>
  </w:style>
  <w:style w:type="paragraph" w:customStyle="1" w:styleId="NCDTableHeader">
    <w:name w:val="NCD.Table Header"/>
    <w:basedOn w:val="Normal"/>
    <w:qFormat/>
    <w:rsid w:val="00445A92"/>
    <w:pPr>
      <w:spacing w:after="0" w:line="240" w:lineRule="auto"/>
      <w:jc w:val="center"/>
    </w:pPr>
    <w:rPr>
      <w:rFonts w:ascii="Arial" w:eastAsia="Times New Roman" w:hAnsi="Arial" w:cs="Arial"/>
      <w:b/>
      <w:bCs/>
      <w:color w:val="FFFFFF" w:themeColor="background1"/>
      <w:sz w:val="24"/>
      <w:szCs w:val="24"/>
    </w:rPr>
  </w:style>
  <w:style w:type="paragraph" w:customStyle="1" w:styleId="NCDBulletsLevel1">
    <w:name w:val="NCD.Bullets Level 1"/>
    <w:qFormat/>
    <w:rsid w:val="002E124F"/>
    <w:pPr>
      <w:numPr>
        <w:numId w:val="2"/>
      </w:numPr>
      <w:spacing w:line="360" w:lineRule="auto"/>
      <w:ind w:left="360"/>
    </w:pPr>
    <w:rPr>
      <w:rFonts w:ascii="Arial" w:eastAsia="Calibri" w:hAnsi="Arial" w:cs="Arial"/>
      <w:color w:val="000000" w:themeColor="text1"/>
      <w:sz w:val="24"/>
      <w:szCs w:val="24"/>
    </w:rPr>
  </w:style>
  <w:style w:type="paragraph" w:customStyle="1" w:styleId="NCDTextBoxText">
    <w:name w:val="NCD.Text Box Text"/>
    <w:qFormat/>
    <w:rsid w:val="00DA0814"/>
    <w:pPr>
      <w:spacing w:before="60" w:after="60" w:line="240" w:lineRule="auto"/>
    </w:pPr>
    <w:rPr>
      <w:rFonts w:ascii="Arial" w:eastAsia="Calibri" w:hAnsi="Arial" w:cs="Arial"/>
      <w:sz w:val="24"/>
      <w:szCs w:val="24"/>
    </w:rPr>
  </w:style>
  <w:style w:type="paragraph" w:customStyle="1" w:styleId="NCDExhibitTitle">
    <w:name w:val="NCD.Exhibit Title"/>
    <w:qFormat/>
    <w:rsid w:val="00445A92"/>
    <w:pPr>
      <w:keepNext/>
      <w:spacing w:after="240" w:line="240" w:lineRule="auto"/>
    </w:pPr>
    <w:rPr>
      <w:rFonts w:ascii="Arial" w:eastAsia="Calibri" w:hAnsi="Arial" w:cs="Calibri"/>
      <w:b/>
      <w:color w:val="000000"/>
      <w:sz w:val="24"/>
      <w:szCs w:val="24"/>
      <w:u w:color="000000"/>
      <w:bdr w:val="nil"/>
    </w:rPr>
  </w:style>
  <w:style w:type="paragraph" w:customStyle="1" w:styleId="NCDTableSubhead">
    <w:name w:val="NCD.Table Subhead"/>
    <w:basedOn w:val="Normal"/>
    <w:qFormat/>
    <w:rsid w:val="00445A92"/>
    <w:pPr>
      <w:spacing w:after="0" w:line="240" w:lineRule="auto"/>
    </w:pPr>
    <w:rPr>
      <w:rFonts w:ascii="Arial" w:eastAsia="Times New Roman" w:hAnsi="Arial" w:cs="Arial"/>
      <w:b/>
      <w:bCs/>
      <w:sz w:val="24"/>
      <w:szCs w:val="24"/>
    </w:rPr>
  </w:style>
  <w:style w:type="paragraph" w:customStyle="1" w:styleId="NCDTableTextItalic">
    <w:name w:val="NCD.Table Text Italic"/>
    <w:qFormat/>
    <w:rsid w:val="00445A92"/>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445A92"/>
    <w:rPr>
      <w:b/>
      <w:color w:val="FFFFFF" w:themeColor="background1"/>
    </w:rPr>
  </w:style>
  <w:style w:type="paragraph" w:customStyle="1" w:styleId="Heading2noTOC">
    <w:name w:val="Heading 2 no TOC"/>
    <w:basedOn w:val="Heading2"/>
    <w:qFormat/>
    <w:rsid w:val="00445A92"/>
  </w:style>
  <w:style w:type="paragraph" w:customStyle="1" w:styleId="NCDBulletsLevel2">
    <w:name w:val="NCD.Bullets Level 2"/>
    <w:qFormat/>
    <w:rsid w:val="002E124F"/>
    <w:pPr>
      <w:numPr>
        <w:numId w:val="11"/>
      </w:numPr>
      <w:spacing w:after="120" w:line="360" w:lineRule="auto"/>
    </w:pPr>
    <w:rPr>
      <w:rFonts w:ascii="Arial" w:eastAsia="Calibri" w:hAnsi="Arial" w:cs="Calibri"/>
      <w:color w:val="000000"/>
      <w:sz w:val="24"/>
      <w:szCs w:val="24"/>
      <w:u w:color="000000"/>
      <w:bdr w:val="nil"/>
    </w:rPr>
  </w:style>
  <w:style w:type="paragraph" w:customStyle="1" w:styleId="NCDBulletsLevel3">
    <w:name w:val="NCD.Bullets Level 3"/>
    <w:qFormat/>
    <w:rsid w:val="00445A92"/>
    <w:pPr>
      <w:numPr>
        <w:ilvl w:val="2"/>
        <w:numId w:val="2"/>
      </w:numPr>
      <w:shd w:val="clear" w:color="auto" w:fill="FFFFFF"/>
      <w:spacing w:after="120" w:line="360" w:lineRule="auto"/>
      <w:ind w:left="1080"/>
      <w:textAlignment w:val="baseline"/>
    </w:pPr>
    <w:rPr>
      <w:rFonts w:ascii="Arial" w:eastAsia="Calibri" w:hAnsi="Arial" w:cs="Arial"/>
      <w:sz w:val="24"/>
      <w:szCs w:val="24"/>
    </w:rPr>
  </w:style>
  <w:style w:type="paragraph" w:customStyle="1" w:styleId="NCDSpace">
    <w:name w:val="NCD.Space"/>
    <w:qFormat/>
    <w:rsid w:val="00445A92"/>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445A92"/>
    <w:pPr>
      <w:keepNext/>
      <w:spacing w:before="360" w:after="240" w:line="240" w:lineRule="auto"/>
    </w:pPr>
    <w:rPr>
      <w:rFonts w:ascii="Arial" w:eastAsia="Calibri" w:hAnsi="Arial" w:cs="Arial"/>
      <w:b/>
      <w:sz w:val="24"/>
      <w:szCs w:val="24"/>
    </w:rPr>
  </w:style>
  <w:style w:type="paragraph" w:styleId="TOC1">
    <w:name w:val="toc 1"/>
    <w:basedOn w:val="Normal"/>
    <w:next w:val="Normal"/>
    <w:autoRedefine/>
    <w:uiPriority w:val="39"/>
    <w:unhideWhenUsed/>
    <w:qFormat/>
    <w:rsid w:val="002E124F"/>
    <w:pPr>
      <w:tabs>
        <w:tab w:val="right" w:leader="dot" w:pos="9360"/>
      </w:tabs>
      <w:spacing w:before="200" w:after="40" w:line="240" w:lineRule="auto"/>
      <w:ind w:right="720"/>
    </w:pPr>
    <w:rPr>
      <w:rFonts w:ascii="Arial" w:eastAsia="Calibri" w:hAnsi="Arial" w:cs="Times New Roman"/>
      <w:noProof/>
      <w:sz w:val="24"/>
    </w:rPr>
  </w:style>
  <w:style w:type="paragraph" w:styleId="TOC2">
    <w:name w:val="toc 2"/>
    <w:basedOn w:val="Normal"/>
    <w:next w:val="Normal"/>
    <w:autoRedefine/>
    <w:uiPriority w:val="39"/>
    <w:unhideWhenUsed/>
    <w:qFormat/>
    <w:rsid w:val="00445A92"/>
    <w:pPr>
      <w:spacing w:after="40" w:line="240" w:lineRule="auto"/>
      <w:ind w:left="432"/>
    </w:pPr>
    <w:rPr>
      <w:rFonts w:ascii="Arial" w:eastAsia="Calibri" w:hAnsi="Arial" w:cs="Times New Roman"/>
      <w:sz w:val="24"/>
    </w:rPr>
  </w:style>
  <w:style w:type="paragraph" w:styleId="TOC3">
    <w:name w:val="toc 3"/>
    <w:basedOn w:val="Normal"/>
    <w:next w:val="Normal"/>
    <w:autoRedefine/>
    <w:uiPriority w:val="39"/>
    <w:unhideWhenUsed/>
    <w:qFormat/>
    <w:rsid w:val="00445A92"/>
    <w:pPr>
      <w:spacing w:after="40" w:line="240" w:lineRule="auto"/>
      <w:ind w:left="864"/>
    </w:pPr>
    <w:rPr>
      <w:rFonts w:ascii="Calibri" w:eastAsia="Calibri" w:hAnsi="Calibri" w:cs="Times New Roman"/>
      <w:i/>
      <w:sz w:val="24"/>
    </w:rPr>
  </w:style>
  <w:style w:type="paragraph" w:styleId="Header">
    <w:name w:val="header"/>
    <w:basedOn w:val="Normal"/>
    <w:link w:val="HeaderChar"/>
    <w:uiPriority w:val="99"/>
    <w:unhideWhenUsed/>
    <w:qFormat/>
    <w:rsid w:val="00445A92"/>
    <w:pPr>
      <w:tabs>
        <w:tab w:val="center" w:pos="4680"/>
        <w:tab w:val="right" w:pos="9360"/>
      </w:tabs>
      <w:spacing w:after="0" w:line="240" w:lineRule="auto"/>
    </w:pPr>
    <w:rPr>
      <w:rFonts w:ascii="Calibri" w:eastAsia="Calibri" w:hAnsi="Calibri" w:cs="Times New Roman"/>
      <w:sz w:val="24"/>
    </w:rPr>
  </w:style>
  <w:style w:type="character" w:customStyle="1" w:styleId="HeaderChar">
    <w:name w:val="Header Char"/>
    <w:basedOn w:val="DefaultParagraphFont"/>
    <w:link w:val="Header"/>
    <w:uiPriority w:val="99"/>
    <w:rsid w:val="00445A92"/>
    <w:rPr>
      <w:rFonts w:ascii="Calibri" w:eastAsia="Calibri" w:hAnsi="Calibri" w:cs="Times New Roman"/>
      <w:sz w:val="24"/>
    </w:rPr>
  </w:style>
  <w:style w:type="paragraph" w:styleId="Footer">
    <w:name w:val="footer"/>
    <w:basedOn w:val="Normal"/>
    <w:link w:val="FooterChar"/>
    <w:uiPriority w:val="99"/>
    <w:unhideWhenUsed/>
    <w:qFormat/>
    <w:rsid w:val="00445A92"/>
    <w:pPr>
      <w:tabs>
        <w:tab w:val="center" w:pos="4680"/>
        <w:tab w:val="right" w:pos="9360"/>
      </w:tabs>
      <w:spacing w:after="0" w:line="240" w:lineRule="auto"/>
    </w:pPr>
    <w:rPr>
      <w:rFonts w:ascii="Arial" w:eastAsia="Calibri" w:hAnsi="Arial" w:cs="Times New Roman"/>
      <w:sz w:val="24"/>
    </w:rPr>
  </w:style>
  <w:style w:type="character" w:customStyle="1" w:styleId="FooterChar">
    <w:name w:val="Footer Char"/>
    <w:basedOn w:val="DefaultParagraphFont"/>
    <w:link w:val="Footer"/>
    <w:uiPriority w:val="99"/>
    <w:rsid w:val="00445A92"/>
    <w:rPr>
      <w:rFonts w:ascii="Arial" w:eastAsia="Calibri" w:hAnsi="Arial" w:cs="Times New Roman"/>
      <w:sz w:val="24"/>
    </w:rPr>
  </w:style>
  <w:style w:type="character" w:styleId="FollowedHyperlink">
    <w:name w:val="FollowedHyperlink"/>
    <w:basedOn w:val="DefaultParagraphFont"/>
    <w:uiPriority w:val="99"/>
    <w:semiHidden/>
    <w:unhideWhenUsed/>
    <w:rsid w:val="00445A92"/>
    <w:rPr>
      <w:color w:val="800080" w:themeColor="followedHyperlink"/>
      <w:u w:val="single"/>
    </w:rPr>
  </w:style>
  <w:style w:type="paragraph" w:styleId="Revision">
    <w:name w:val="Revision"/>
    <w:hidden/>
    <w:uiPriority w:val="99"/>
    <w:semiHidden/>
    <w:rsid w:val="00445A92"/>
    <w:pPr>
      <w:spacing w:after="0" w:line="240" w:lineRule="auto"/>
    </w:pPr>
    <w:rPr>
      <w:rFonts w:ascii="Calibri" w:eastAsia="Calibri" w:hAnsi="Calibri" w:cs="Times New Roman"/>
      <w:sz w:val="24"/>
    </w:rPr>
  </w:style>
  <w:style w:type="numbering" w:customStyle="1" w:styleId="NoList1">
    <w:name w:val="No List1"/>
    <w:next w:val="NoList"/>
    <w:uiPriority w:val="99"/>
    <w:semiHidden/>
    <w:unhideWhenUsed/>
    <w:rsid w:val="00445A92"/>
  </w:style>
  <w:style w:type="numbering" w:customStyle="1" w:styleId="NoList11">
    <w:name w:val="No List11"/>
    <w:next w:val="NoList"/>
    <w:uiPriority w:val="99"/>
    <w:semiHidden/>
    <w:unhideWhenUsed/>
    <w:rsid w:val="00445A92"/>
  </w:style>
  <w:style w:type="paragraph" w:styleId="Title">
    <w:name w:val="Title"/>
    <w:basedOn w:val="Normal"/>
    <w:next w:val="Normal"/>
    <w:link w:val="TitleChar"/>
    <w:qFormat/>
    <w:rsid w:val="00445A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45A92"/>
    <w:rPr>
      <w:rFonts w:asciiTheme="majorHAnsi" w:eastAsiaTheme="majorEastAsia" w:hAnsiTheme="majorHAnsi" w:cstheme="majorBidi"/>
      <w:color w:val="17365D" w:themeColor="text2" w:themeShade="BF"/>
      <w:spacing w:val="5"/>
      <w:kern w:val="28"/>
      <w:sz w:val="52"/>
      <w:szCs w:val="52"/>
    </w:rPr>
  </w:style>
  <w:style w:type="table" w:customStyle="1" w:styleId="TableGrid1">
    <w:name w:val="Table Grid1"/>
    <w:basedOn w:val="TableNormal"/>
    <w:next w:val="TableGrid"/>
    <w:uiPriority w:val="59"/>
    <w:rsid w:val="00445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P9Hyperlink">
    <w:name w:val="WP9_Hyperlink"/>
    <w:rsid w:val="00445A92"/>
    <w:rPr>
      <w:color w:val="0000FF"/>
      <w:u w:val="single"/>
    </w:rPr>
  </w:style>
  <w:style w:type="table" w:customStyle="1" w:styleId="TableGrid2">
    <w:name w:val="Table Grid2"/>
    <w:basedOn w:val="TableNormal"/>
    <w:next w:val="TableGrid"/>
    <w:uiPriority w:val="59"/>
    <w:rsid w:val="00445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IRDarkBlueTable">
    <w:name w:val="AIR Dark Blue Table"/>
    <w:basedOn w:val="TableNormal"/>
    <w:uiPriority w:val="99"/>
    <w:qFormat/>
    <w:rsid w:val="00445A92"/>
    <w:pPr>
      <w:spacing w:before="40" w:after="40" w:line="240" w:lineRule="auto"/>
    </w:pPr>
    <w:rPr>
      <w:rFonts w:ascii="Arial" w:eastAsia="Times New Roman" w:hAnsi="Arial" w:cs="Times New Roman"/>
      <w:sz w:val="20"/>
      <w:szCs w:val="24"/>
    </w:rPr>
    <w:tblPr>
      <w:tblStyleRowBandSize w:val="1"/>
      <w:tblStyleColBandSize w:val="1"/>
      <w:tblInd w:w="0"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445A92"/>
  </w:style>
  <w:style w:type="numbering" w:customStyle="1" w:styleId="NoList111">
    <w:name w:val="No List111"/>
    <w:next w:val="NoList"/>
    <w:uiPriority w:val="99"/>
    <w:semiHidden/>
    <w:unhideWhenUsed/>
    <w:rsid w:val="00445A92"/>
  </w:style>
  <w:style w:type="paragraph" w:customStyle="1" w:styleId="AboutAIRLocations">
    <w:name w:val="About AIR Locations"/>
    <w:qFormat/>
    <w:rsid w:val="00445A92"/>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445A92"/>
    <w:pPr>
      <w:suppressAutoHyphens/>
      <w:autoSpaceDE w:val="0"/>
      <w:autoSpaceDN w:val="0"/>
      <w:adjustRightInd w:val="0"/>
      <w:spacing w:before="60" w:after="0" w:line="360" w:lineRule="auto"/>
      <w:textAlignment w:val="center"/>
    </w:pPr>
    <w:rPr>
      <w:rFonts w:ascii="Franklin Gothic Book" w:eastAsia="Calibri" w:hAnsi="Franklin Gothic Book" w:cs="ITCFranklinGothicStd-Book"/>
      <w:color w:val="000000"/>
      <w:sz w:val="18"/>
      <w:szCs w:val="18"/>
    </w:rPr>
  </w:style>
  <w:style w:type="paragraph" w:customStyle="1" w:styleId="AboutAIRTitle">
    <w:name w:val="About AIR Title"/>
    <w:basedOn w:val="Normal"/>
    <w:qFormat/>
    <w:rsid w:val="00445A92"/>
    <w:pPr>
      <w:suppressAutoHyphens/>
      <w:autoSpaceDE w:val="0"/>
      <w:autoSpaceDN w:val="0"/>
      <w:adjustRightInd w:val="0"/>
      <w:spacing w:after="0" w:line="288" w:lineRule="auto"/>
      <w:textAlignment w:val="center"/>
    </w:pPr>
    <w:rPr>
      <w:rFonts w:ascii="Franklin Gothic Book" w:eastAsia="Calibri" w:hAnsi="Franklin Gothic Book" w:cs="ITCFranklinGothicStd-Book"/>
      <w:caps/>
      <w:color w:val="005295"/>
      <w:sz w:val="24"/>
      <w:szCs w:val="24"/>
    </w:rPr>
  </w:style>
  <w:style w:type="table" w:customStyle="1" w:styleId="AIRDarkBlueTable1">
    <w:name w:val="AIR Dark Blue Table1"/>
    <w:basedOn w:val="TableNormal"/>
    <w:uiPriority w:val="99"/>
    <w:qFormat/>
    <w:rsid w:val="00445A92"/>
    <w:pPr>
      <w:spacing w:before="40" w:after="40" w:line="240" w:lineRule="auto"/>
    </w:pPr>
    <w:rPr>
      <w:rFonts w:ascii="Arial" w:eastAsia="Times New Roman" w:hAnsi="Arial" w:cs="Times New Roman"/>
      <w:sz w:val="20"/>
      <w:szCs w:val="24"/>
    </w:rPr>
    <w:tblPr>
      <w:tblStyleRowBandSize w:val="1"/>
      <w:tblStyleColBandSize w:val="1"/>
      <w:tblInd w:w="0"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445A92"/>
    <w:pPr>
      <w:spacing w:before="40" w:after="40" w:line="240" w:lineRule="auto"/>
    </w:pPr>
    <w:rPr>
      <w:rFonts w:eastAsia="Times New Roman" w:cs="Times New Roman"/>
      <w:szCs w:val="24"/>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445A92"/>
    <w:pPr>
      <w:spacing w:before="40" w:after="40" w:line="240" w:lineRule="auto"/>
    </w:pPr>
    <w:rPr>
      <w:rFonts w:eastAsia="Times New Roman" w:cs="Times New Roman"/>
      <w:szCs w:val="24"/>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445A92"/>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445A92"/>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445A92"/>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445A92"/>
    <w:pPr>
      <w:spacing w:after="0"/>
    </w:pPr>
    <w:rPr>
      <w:caps w:val="0"/>
    </w:rPr>
  </w:style>
  <w:style w:type="paragraph" w:customStyle="1" w:styleId="BackCoverURL">
    <w:name w:val="Back Cover URL"/>
    <w:basedOn w:val="BackCoverAddress"/>
    <w:qFormat/>
    <w:rsid w:val="00445A92"/>
    <w:pPr>
      <w:spacing w:before="120"/>
    </w:pPr>
    <w:rPr>
      <w:b/>
    </w:rPr>
  </w:style>
  <w:style w:type="paragraph" w:styleId="BodyText">
    <w:name w:val="Body Text"/>
    <w:link w:val="BodyTextChar"/>
    <w:uiPriority w:val="99"/>
    <w:qFormat/>
    <w:rsid w:val="00445A92"/>
    <w:pPr>
      <w:spacing w:after="240" w:line="240" w:lineRule="auto"/>
    </w:pPr>
    <w:rPr>
      <w:rFonts w:eastAsia="Times New Roman" w:cs="Times New Roman"/>
      <w:sz w:val="24"/>
      <w:szCs w:val="24"/>
    </w:rPr>
  </w:style>
  <w:style w:type="character" w:customStyle="1" w:styleId="BodyTextChar">
    <w:name w:val="Body Text Char"/>
    <w:basedOn w:val="DefaultParagraphFont"/>
    <w:link w:val="BodyText"/>
    <w:uiPriority w:val="99"/>
    <w:rsid w:val="00445A92"/>
    <w:rPr>
      <w:rFonts w:eastAsia="Times New Roman" w:cs="Times New Roman"/>
      <w:sz w:val="24"/>
      <w:szCs w:val="24"/>
    </w:rPr>
  </w:style>
  <w:style w:type="paragraph" w:customStyle="1" w:styleId="BlockQuote">
    <w:name w:val="Block Quote"/>
    <w:basedOn w:val="BodyText"/>
    <w:qFormat/>
    <w:rsid w:val="00445A92"/>
    <w:pPr>
      <w:spacing w:before="120"/>
      <w:ind w:left="720"/>
    </w:pPr>
  </w:style>
  <w:style w:type="paragraph" w:styleId="ListBullet">
    <w:name w:val="List Bullet"/>
    <w:basedOn w:val="Normal"/>
    <w:uiPriority w:val="99"/>
    <w:semiHidden/>
    <w:unhideWhenUsed/>
    <w:rsid w:val="00445A92"/>
    <w:pPr>
      <w:numPr>
        <w:numId w:val="12"/>
      </w:numPr>
      <w:spacing w:after="0" w:line="240" w:lineRule="auto"/>
      <w:contextualSpacing/>
    </w:pPr>
    <w:rPr>
      <w:rFonts w:eastAsiaTheme="minorEastAsia"/>
      <w:sz w:val="24"/>
    </w:rPr>
  </w:style>
  <w:style w:type="paragraph" w:customStyle="1" w:styleId="Bullet10">
    <w:name w:val="Bullet 1"/>
    <w:basedOn w:val="ListBullet"/>
    <w:qFormat/>
    <w:rsid w:val="00445A92"/>
    <w:pPr>
      <w:numPr>
        <w:numId w:val="13"/>
      </w:numPr>
      <w:spacing w:after="120"/>
      <w:contextualSpacing w:val="0"/>
    </w:pPr>
    <w:rPr>
      <w:rFonts w:eastAsia="Times New Roman" w:cs="Times New Roman"/>
      <w:szCs w:val="24"/>
    </w:rPr>
  </w:style>
  <w:style w:type="paragraph" w:customStyle="1" w:styleId="Bullet1Last">
    <w:name w:val="Bullet 1_Last"/>
    <w:basedOn w:val="Bullet10"/>
    <w:qFormat/>
    <w:rsid w:val="00445A92"/>
    <w:pPr>
      <w:numPr>
        <w:numId w:val="0"/>
      </w:numPr>
      <w:spacing w:after="240"/>
    </w:pPr>
  </w:style>
  <w:style w:type="paragraph" w:styleId="ListBullet2">
    <w:name w:val="List Bullet 2"/>
    <w:basedOn w:val="Normal"/>
    <w:uiPriority w:val="99"/>
    <w:semiHidden/>
    <w:unhideWhenUsed/>
    <w:rsid w:val="00445A92"/>
    <w:pPr>
      <w:numPr>
        <w:numId w:val="14"/>
      </w:numPr>
      <w:spacing w:after="0" w:line="240" w:lineRule="auto"/>
      <w:contextualSpacing/>
    </w:pPr>
    <w:rPr>
      <w:rFonts w:eastAsiaTheme="minorEastAsia"/>
      <w:sz w:val="24"/>
    </w:rPr>
  </w:style>
  <w:style w:type="paragraph" w:customStyle="1" w:styleId="Bullet2">
    <w:name w:val="Bullet 2"/>
    <w:basedOn w:val="ListBullet2"/>
    <w:qFormat/>
    <w:rsid w:val="00445A92"/>
    <w:pPr>
      <w:numPr>
        <w:numId w:val="15"/>
      </w:numPr>
      <w:spacing w:after="120"/>
    </w:pPr>
    <w:rPr>
      <w:rFonts w:eastAsia="Times New Roman" w:cs="Times New Roman"/>
      <w:szCs w:val="24"/>
    </w:rPr>
  </w:style>
  <w:style w:type="paragraph" w:styleId="ListBullet3">
    <w:name w:val="List Bullet 3"/>
    <w:basedOn w:val="Normal"/>
    <w:uiPriority w:val="99"/>
    <w:unhideWhenUsed/>
    <w:rsid w:val="00445A92"/>
    <w:pPr>
      <w:numPr>
        <w:ilvl w:val="1"/>
        <w:numId w:val="15"/>
      </w:numPr>
      <w:spacing w:after="0" w:line="240" w:lineRule="auto"/>
      <w:contextualSpacing/>
    </w:pPr>
    <w:rPr>
      <w:rFonts w:eastAsiaTheme="minorEastAsia"/>
      <w:sz w:val="24"/>
    </w:rPr>
  </w:style>
  <w:style w:type="paragraph" w:customStyle="1" w:styleId="Bullet3">
    <w:name w:val="Bullet 3"/>
    <w:basedOn w:val="ListBullet3"/>
    <w:qFormat/>
    <w:rsid w:val="00445A92"/>
    <w:pPr>
      <w:numPr>
        <w:ilvl w:val="0"/>
        <w:numId w:val="16"/>
      </w:numPr>
      <w:spacing w:after="120"/>
    </w:pPr>
  </w:style>
  <w:style w:type="paragraph" w:customStyle="1" w:styleId="TableTitle">
    <w:name w:val="Table Title"/>
    <w:qFormat/>
    <w:rsid w:val="00445A92"/>
    <w:pPr>
      <w:keepNext/>
      <w:spacing w:after="120" w:line="240" w:lineRule="auto"/>
    </w:pPr>
    <w:rPr>
      <w:rFonts w:ascii="Arial" w:eastAsia="Times New Roman" w:hAnsi="Arial" w:cs="Times"/>
      <w:b/>
      <w:color w:val="002C5F"/>
      <w:sz w:val="20"/>
      <w:szCs w:val="24"/>
    </w:rPr>
  </w:style>
  <w:style w:type="paragraph" w:styleId="Caption">
    <w:name w:val="caption"/>
    <w:basedOn w:val="TableTitle"/>
    <w:next w:val="Normal"/>
    <w:uiPriority w:val="35"/>
    <w:unhideWhenUsed/>
    <w:qFormat/>
    <w:rsid w:val="00445A92"/>
  </w:style>
  <w:style w:type="paragraph" w:customStyle="1" w:styleId="ContentsHeading">
    <w:name w:val="Contents Heading"/>
    <w:next w:val="BodyText"/>
    <w:qFormat/>
    <w:rsid w:val="00445A92"/>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445A92"/>
    <w:pPr>
      <w:spacing w:after="120" w:line="240" w:lineRule="auto"/>
      <w:jc w:val="right"/>
    </w:pPr>
    <w:rPr>
      <w:rFonts w:eastAsia="Times New Roman" w:cs="Times New Roman"/>
      <w:b/>
      <w:bCs/>
      <w:sz w:val="24"/>
      <w:szCs w:val="20"/>
    </w:rPr>
  </w:style>
  <w:style w:type="paragraph" w:customStyle="1" w:styleId="Copyrightinfo">
    <w:name w:val="Copyright info"/>
    <w:basedOn w:val="Normal"/>
    <w:link w:val="CopyrightinfoChar"/>
    <w:qFormat/>
    <w:rsid w:val="00445A92"/>
    <w:pPr>
      <w:spacing w:after="120" w:line="240" w:lineRule="auto"/>
    </w:pPr>
    <w:rPr>
      <w:rFonts w:eastAsia="Times New Roman" w:cs="Times New Roman"/>
      <w:iCs/>
      <w:sz w:val="20"/>
      <w:szCs w:val="20"/>
    </w:rPr>
  </w:style>
  <w:style w:type="character" w:customStyle="1" w:styleId="CopyrightinfoChar">
    <w:name w:val="Copyright info Char"/>
    <w:basedOn w:val="DefaultParagraphFont"/>
    <w:link w:val="Copyrightinfo"/>
    <w:rsid w:val="00445A92"/>
    <w:rPr>
      <w:rFonts w:eastAsia="Times New Roman" w:cs="Times New Roman"/>
      <w:iCs/>
      <w:sz w:val="20"/>
      <w:szCs w:val="20"/>
    </w:rPr>
  </w:style>
  <w:style w:type="paragraph" w:customStyle="1" w:styleId="CoverAffiliation">
    <w:name w:val="Cover Affiliation"/>
    <w:link w:val="CoverAffiliationChar"/>
    <w:qFormat/>
    <w:rsid w:val="00445A92"/>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445A92"/>
    <w:rPr>
      <w:rFonts w:ascii="Arial" w:eastAsia="Perpetua" w:hAnsi="Arial" w:cs="Times New Roman"/>
      <w:color w:val="595959"/>
      <w:sz w:val="28"/>
      <w:szCs w:val="28"/>
    </w:rPr>
  </w:style>
  <w:style w:type="paragraph" w:customStyle="1" w:styleId="CoverAuthorName">
    <w:name w:val="Cover Author Name"/>
    <w:link w:val="CoverAuthorNameChar"/>
    <w:qFormat/>
    <w:rsid w:val="00445A92"/>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445A92"/>
    <w:rPr>
      <w:rFonts w:ascii="Arial" w:eastAsia="Perpetua" w:hAnsi="Arial" w:cs="Times New Roman"/>
      <w:b/>
      <w:color w:val="595959"/>
      <w:sz w:val="28"/>
      <w:szCs w:val="28"/>
    </w:rPr>
  </w:style>
  <w:style w:type="paragraph" w:customStyle="1" w:styleId="CoverBackAddress">
    <w:name w:val="Cover Back Address"/>
    <w:basedOn w:val="Normal"/>
    <w:qFormat/>
    <w:rsid w:val="00445A92"/>
    <w:pPr>
      <w:suppressAutoHyphens/>
      <w:autoSpaceDE w:val="0"/>
      <w:autoSpaceDN w:val="0"/>
      <w:adjustRightInd w:val="0"/>
      <w:spacing w:after="0" w:line="288" w:lineRule="auto"/>
      <w:textAlignment w:val="center"/>
    </w:pPr>
    <w:rPr>
      <w:rFonts w:ascii="Franklin Gothic Book" w:eastAsia="Calibri" w:hAnsi="Franklin Gothic Book" w:cs="ITCFranklinGothicStd-Book"/>
      <w:color w:val="000000"/>
      <w:sz w:val="20"/>
      <w:szCs w:val="20"/>
    </w:rPr>
  </w:style>
  <w:style w:type="paragraph" w:customStyle="1" w:styleId="CoverBackFooter">
    <w:name w:val="Cover Back Footer"/>
    <w:basedOn w:val="Normal"/>
    <w:qFormat/>
    <w:rsid w:val="00445A92"/>
    <w:pPr>
      <w:tabs>
        <w:tab w:val="center" w:pos="4680"/>
        <w:tab w:val="right" w:pos="9360"/>
      </w:tabs>
      <w:spacing w:after="0" w:line="240" w:lineRule="auto"/>
      <w:ind w:left="720"/>
      <w:jc w:val="right"/>
    </w:pPr>
    <w:rPr>
      <w:rFonts w:ascii="Franklin Gothic Book" w:eastAsia="Times New Roman" w:hAnsi="Franklin Gothic Book" w:cs="Times New Roman"/>
      <w:sz w:val="18"/>
      <w:szCs w:val="18"/>
    </w:rPr>
  </w:style>
  <w:style w:type="paragraph" w:customStyle="1" w:styleId="CoverBackURL">
    <w:name w:val="Cover Back URL"/>
    <w:basedOn w:val="Normal"/>
    <w:qFormat/>
    <w:rsid w:val="00445A92"/>
    <w:pPr>
      <w:suppressAutoHyphens/>
      <w:autoSpaceDE w:val="0"/>
      <w:autoSpaceDN w:val="0"/>
      <w:adjustRightInd w:val="0"/>
      <w:spacing w:before="90" w:after="0" w:line="288" w:lineRule="auto"/>
      <w:textAlignment w:val="center"/>
    </w:pPr>
    <w:rPr>
      <w:rFonts w:ascii="Franklin Gothic Demi" w:eastAsia="Calibri" w:hAnsi="Franklin Gothic Demi" w:cs="ITCFranklinGothicStd-Demi"/>
      <w:color w:val="000000"/>
      <w:sz w:val="20"/>
      <w:szCs w:val="20"/>
    </w:rPr>
  </w:style>
  <w:style w:type="paragraph" w:customStyle="1" w:styleId="CoverDate">
    <w:name w:val="Cover Date"/>
    <w:basedOn w:val="Normal"/>
    <w:qFormat/>
    <w:rsid w:val="00445A92"/>
    <w:pPr>
      <w:jc w:val="center"/>
    </w:pPr>
    <w:rPr>
      <w:rFonts w:ascii="Franklin Gothic Book" w:eastAsia="Perpetua" w:hAnsi="Franklin Gothic Book" w:cs="Times New Roman"/>
      <w:color w:val="FFFFFF"/>
      <w:spacing w:val="12"/>
    </w:rPr>
  </w:style>
  <w:style w:type="paragraph" w:customStyle="1" w:styleId="CoverSubtitle">
    <w:name w:val="Cover Subtitle"/>
    <w:link w:val="CoverSubtitleChar"/>
    <w:qFormat/>
    <w:rsid w:val="00445A92"/>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445A92"/>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445A92"/>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445A92"/>
    <w:rPr>
      <w:rFonts w:ascii="Franklin Gothic Demi" w:eastAsia="Perpetua" w:hAnsi="Franklin Gothic Demi" w:cs="Times New Roman"/>
      <w:color w:val="005295"/>
      <w:sz w:val="50"/>
      <w:szCs w:val="50"/>
    </w:rPr>
  </w:style>
  <w:style w:type="paragraph" w:customStyle="1" w:styleId="FooterLetter">
    <w:name w:val="Footer Letter"/>
    <w:basedOn w:val="Normal"/>
    <w:rsid w:val="00445A92"/>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445A92"/>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445A92"/>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445A92"/>
    <w:pPr>
      <w:numPr>
        <w:numId w:val="17"/>
      </w:numPr>
    </w:pPr>
  </w:style>
  <w:style w:type="numbering" w:customStyle="1" w:styleId="Level2Bullet">
    <w:name w:val="Level 2 Bullet"/>
    <w:basedOn w:val="NoList"/>
    <w:rsid w:val="00445A92"/>
    <w:pPr>
      <w:numPr>
        <w:numId w:val="18"/>
      </w:numPr>
    </w:pPr>
  </w:style>
  <w:style w:type="paragraph" w:styleId="ListNumber4">
    <w:name w:val="List Number 4"/>
    <w:basedOn w:val="Normal"/>
    <w:uiPriority w:val="99"/>
    <w:semiHidden/>
    <w:unhideWhenUsed/>
    <w:rsid w:val="00445A92"/>
    <w:pPr>
      <w:tabs>
        <w:tab w:val="num" w:pos="1440"/>
      </w:tabs>
      <w:spacing w:before="120" w:after="0" w:line="240" w:lineRule="auto"/>
      <w:ind w:left="1440" w:hanging="360"/>
    </w:pPr>
    <w:rPr>
      <w:rFonts w:eastAsiaTheme="minorEastAsia"/>
      <w:sz w:val="24"/>
    </w:rPr>
  </w:style>
  <w:style w:type="paragraph" w:styleId="ListNumber5">
    <w:name w:val="List Number 5"/>
    <w:basedOn w:val="Normal"/>
    <w:uiPriority w:val="99"/>
    <w:semiHidden/>
    <w:unhideWhenUsed/>
    <w:rsid w:val="00445A92"/>
    <w:pPr>
      <w:tabs>
        <w:tab w:val="num" w:pos="1800"/>
      </w:tabs>
      <w:spacing w:before="120" w:after="0" w:line="240" w:lineRule="auto"/>
      <w:ind w:left="1800" w:hanging="360"/>
    </w:pPr>
    <w:rPr>
      <w:rFonts w:eastAsiaTheme="minorEastAsia"/>
      <w:sz w:val="24"/>
    </w:rPr>
  </w:style>
  <w:style w:type="paragraph" w:styleId="NoSpacing">
    <w:name w:val="No Spacing"/>
    <w:link w:val="NoSpacingChar"/>
    <w:uiPriority w:val="1"/>
    <w:qFormat/>
    <w:rsid w:val="00445A92"/>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445A92"/>
    <w:rPr>
      <w:rFonts w:eastAsiaTheme="minorEastAsia"/>
      <w:sz w:val="24"/>
    </w:rPr>
  </w:style>
  <w:style w:type="paragraph" w:styleId="NormalWeb">
    <w:name w:val="Normal (Web)"/>
    <w:basedOn w:val="Normal"/>
    <w:uiPriority w:val="99"/>
    <w:semiHidden/>
    <w:unhideWhenUsed/>
    <w:rsid w:val="00445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edList">
    <w:name w:val="Numbered List"/>
    <w:qFormat/>
    <w:rsid w:val="00A65CE3"/>
    <w:pPr>
      <w:numPr>
        <w:numId w:val="19"/>
      </w:numPr>
      <w:spacing w:line="360" w:lineRule="auto"/>
    </w:pPr>
    <w:rPr>
      <w:rFonts w:ascii="Arial" w:eastAsia="Times New Roman" w:hAnsi="Arial" w:cs="Times New Roman"/>
      <w:sz w:val="24"/>
      <w:szCs w:val="24"/>
    </w:rPr>
  </w:style>
  <w:style w:type="character" w:styleId="PageNumber">
    <w:name w:val="page number"/>
    <w:basedOn w:val="DefaultParagraphFont"/>
    <w:rsid w:val="00445A92"/>
  </w:style>
  <w:style w:type="character" w:styleId="PlaceholderText">
    <w:name w:val="Placeholder Text"/>
    <w:basedOn w:val="DefaultParagraphFont"/>
    <w:uiPriority w:val="99"/>
    <w:semiHidden/>
    <w:rsid w:val="00445A92"/>
    <w:rPr>
      <w:color w:val="808080"/>
    </w:rPr>
  </w:style>
  <w:style w:type="paragraph" w:styleId="Quote">
    <w:name w:val="Quote"/>
    <w:basedOn w:val="Normal"/>
    <w:next w:val="Normal"/>
    <w:link w:val="QuoteChar"/>
    <w:uiPriority w:val="29"/>
    <w:qFormat/>
    <w:rsid w:val="00445A92"/>
    <w:pPr>
      <w:spacing w:after="0" w:line="240" w:lineRule="auto"/>
    </w:pPr>
    <w:rPr>
      <w:rFonts w:eastAsia="Times New Roman" w:cs="Times New Roman"/>
      <w:i/>
      <w:sz w:val="24"/>
      <w:szCs w:val="24"/>
    </w:rPr>
  </w:style>
  <w:style w:type="character" w:customStyle="1" w:styleId="QuoteChar">
    <w:name w:val="Quote Char"/>
    <w:basedOn w:val="DefaultParagraphFont"/>
    <w:link w:val="Quote"/>
    <w:uiPriority w:val="29"/>
    <w:rsid w:val="00445A92"/>
    <w:rPr>
      <w:rFonts w:eastAsia="Times New Roman" w:cs="Times New Roman"/>
      <w:i/>
      <w:sz w:val="24"/>
      <w:szCs w:val="24"/>
    </w:rPr>
  </w:style>
  <w:style w:type="paragraph" w:customStyle="1" w:styleId="Reference">
    <w:name w:val="Reference"/>
    <w:basedOn w:val="Normal"/>
    <w:link w:val="ReferenceChar"/>
    <w:rsid w:val="00445A92"/>
    <w:pPr>
      <w:spacing w:after="240" w:line="240" w:lineRule="auto"/>
      <w:ind w:left="360" w:hanging="360"/>
    </w:pPr>
    <w:rPr>
      <w:rFonts w:ascii="Arial" w:hAnsi="Arial" w:cs="Arial"/>
      <w:sz w:val="24"/>
      <w:szCs w:val="24"/>
    </w:rPr>
  </w:style>
  <w:style w:type="character" w:customStyle="1" w:styleId="ReferenceChar">
    <w:name w:val="Reference Char"/>
    <w:basedOn w:val="DefaultParagraphFont"/>
    <w:link w:val="Reference"/>
    <w:rsid w:val="00445A92"/>
    <w:rPr>
      <w:rFonts w:ascii="Arial" w:hAnsi="Arial" w:cs="Arial"/>
      <w:sz w:val="24"/>
      <w:szCs w:val="24"/>
    </w:rPr>
  </w:style>
  <w:style w:type="character" w:customStyle="1" w:styleId="ReferenceItalics">
    <w:name w:val="Reference Italics"/>
    <w:basedOn w:val="DefaultParagraphFont"/>
    <w:uiPriority w:val="1"/>
    <w:qFormat/>
    <w:rsid w:val="00445A92"/>
    <w:rPr>
      <w:i/>
    </w:rPr>
  </w:style>
  <w:style w:type="character" w:styleId="Strong">
    <w:name w:val="Strong"/>
    <w:basedOn w:val="DefaultParagraphFont"/>
    <w:uiPriority w:val="22"/>
    <w:qFormat/>
    <w:rsid w:val="00445A92"/>
    <w:rPr>
      <w:b/>
      <w:bCs/>
    </w:rPr>
  </w:style>
  <w:style w:type="paragraph" w:customStyle="1" w:styleId="StyleHeading2pHeading220pt">
    <w:name w:val="Style Heading 2p.Heading 2 + 20 pt"/>
    <w:rsid w:val="00445A92"/>
    <w:rPr>
      <w:rFonts w:ascii="Arial" w:eastAsia="Perpetua" w:hAnsi="Arial" w:cs="Times New Roman"/>
      <w:b/>
      <w:bCs/>
      <w:noProof/>
      <w:color w:val="002C5F"/>
      <w:sz w:val="40"/>
      <w:szCs w:val="50"/>
    </w:rPr>
  </w:style>
  <w:style w:type="paragraph" w:customStyle="1" w:styleId="StyleHeading2pHeading220pt1">
    <w:name w:val="Style Heading 2p.Heading 2 + 20 pt1"/>
    <w:rsid w:val="00445A92"/>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445A92"/>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445A92"/>
    <w:pPr>
      <w:numPr>
        <w:numId w:val="20"/>
      </w:numPr>
      <w:tabs>
        <w:tab w:val="left" w:pos="269"/>
      </w:tabs>
      <w:spacing w:line="240" w:lineRule="auto"/>
      <w:ind w:left="269" w:hanging="270"/>
    </w:pPr>
    <w:rPr>
      <w:rFonts w:eastAsiaTheme="minorEastAsia"/>
    </w:rPr>
  </w:style>
  <w:style w:type="paragraph" w:customStyle="1" w:styleId="TableBullet2">
    <w:name w:val="Table Bullet 2"/>
    <w:basedOn w:val="TableText"/>
    <w:qFormat/>
    <w:rsid w:val="00445A92"/>
    <w:pPr>
      <w:numPr>
        <w:numId w:val="21"/>
      </w:numPr>
      <w:spacing w:line="240" w:lineRule="auto"/>
    </w:pPr>
    <w:rPr>
      <w:rFonts w:eastAsiaTheme="minorEastAsia"/>
    </w:rPr>
  </w:style>
  <w:style w:type="paragraph" w:customStyle="1" w:styleId="TableColHeadingLeft">
    <w:name w:val="Table Col Heading Left"/>
    <w:basedOn w:val="TableText"/>
    <w:qFormat/>
    <w:rsid w:val="00445A92"/>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445A92"/>
    <w:pPr>
      <w:jc w:val="center"/>
    </w:pPr>
  </w:style>
  <w:style w:type="table" w:customStyle="1" w:styleId="TableGrid3">
    <w:name w:val="Table Grid3"/>
    <w:basedOn w:val="TableNormal"/>
    <w:next w:val="TableGrid"/>
    <w:rsid w:val="00445A9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445A92"/>
    <w:pPr>
      <w:spacing w:after="0" w:line="240" w:lineRule="auto"/>
    </w:pPr>
    <w:rPr>
      <w:rFonts w:ascii="Franklin Gothic Book" w:eastAsia="Calibri" w:hAnsi="Franklin Gothic Book"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umbering">
    <w:name w:val="Table Numbering"/>
    <w:basedOn w:val="TableText"/>
    <w:qFormat/>
    <w:rsid w:val="00445A92"/>
    <w:pPr>
      <w:numPr>
        <w:numId w:val="22"/>
      </w:numPr>
      <w:spacing w:line="240" w:lineRule="auto"/>
    </w:pPr>
    <w:rPr>
      <w:rFonts w:eastAsiaTheme="minorEastAsia"/>
    </w:rPr>
  </w:style>
  <w:style w:type="paragraph" w:customStyle="1" w:styleId="TableSubheading">
    <w:name w:val="Table Subheading"/>
    <w:qFormat/>
    <w:rsid w:val="00445A92"/>
    <w:rPr>
      <w:rFonts w:ascii="Arial" w:eastAsiaTheme="minorEastAsia" w:hAnsi="Arial" w:cs="Times New Roman"/>
      <w:b/>
      <w:sz w:val="20"/>
      <w:szCs w:val="24"/>
    </w:rPr>
  </w:style>
  <w:style w:type="paragraph" w:customStyle="1" w:styleId="TableTextCentered">
    <w:name w:val="Table Text Centered"/>
    <w:basedOn w:val="TableText"/>
    <w:qFormat/>
    <w:rsid w:val="00445A92"/>
    <w:pPr>
      <w:spacing w:line="240" w:lineRule="auto"/>
      <w:jc w:val="center"/>
    </w:pPr>
  </w:style>
  <w:style w:type="paragraph" w:customStyle="1" w:styleId="TitlePageText">
    <w:name w:val="Title Page Text"/>
    <w:basedOn w:val="Normal"/>
    <w:qFormat/>
    <w:rsid w:val="00445A92"/>
    <w:pPr>
      <w:spacing w:after="0" w:line="240" w:lineRule="auto"/>
      <w:ind w:left="900"/>
    </w:pPr>
    <w:rPr>
      <w:rFonts w:eastAsia="Calibri"/>
      <w:sz w:val="20"/>
    </w:rPr>
  </w:style>
  <w:style w:type="paragraph" w:customStyle="1" w:styleId="TitlePageAddress">
    <w:name w:val="Title Page Address"/>
    <w:basedOn w:val="TitlePageText"/>
    <w:link w:val="TitlePageAddressChar"/>
    <w:qFormat/>
    <w:rsid w:val="00445A92"/>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445A92"/>
    <w:rPr>
      <w:rFonts w:eastAsia="Calibri" w:cs="Times New Roman"/>
      <w:noProof/>
      <w:sz w:val="24"/>
      <w:szCs w:val="24"/>
    </w:rPr>
  </w:style>
  <w:style w:type="paragraph" w:customStyle="1" w:styleId="TitlePageAuthor">
    <w:name w:val="Title Page Author"/>
    <w:basedOn w:val="TitlePageText"/>
    <w:qFormat/>
    <w:rsid w:val="00445A92"/>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445A92"/>
    <w:pPr>
      <w:spacing w:after="0" w:line="240" w:lineRule="auto"/>
      <w:ind w:left="900"/>
    </w:pPr>
    <w:rPr>
      <w:rFonts w:eastAsia="Times New Roman" w:cs="Times New Roman"/>
      <w:sz w:val="20"/>
      <w:szCs w:val="24"/>
    </w:rPr>
  </w:style>
  <w:style w:type="character" w:customStyle="1" w:styleId="TitlePageCopyrightTextChar">
    <w:name w:val="Title Page Copyright Text Char"/>
    <w:basedOn w:val="DefaultParagraphFont"/>
    <w:link w:val="TitlePageCopyrightText"/>
    <w:rsid w:val="00445A92"/>
    <w:rPr>
      <w:rFonts w:eastAsia="Times New Roman" w:cs="Times New Roman"/>
      <w:sz w:val="20"/>
      <w:szCs w:val="24"/>
    </w:rPr>
  </w:style>
  <w:style w:type="paragraph" w:customStyle="1" w:styleId="TitlePageDate">
    <w:name w:val="Title Page Date"/>
    <w:basedOn w:val="TitlePageText"/>
    <w:next w:val="TitlePageText"/>
    <w:qFormat/>
    <w:rsid w:val="00445A92"/>
    <w:pPr>
      <w:spacing w:after="720"/>
      <w:ind w:left="907"/>
    </w:pPr>
    <w:rPr>
      <w:rFonts w:ascii="Arial" w:hAnsi="Arial"/>
      <w:b/>
      <w:sz w:val="32"/>
    </w:rPr>
  </w:style>
  <w:style w:type="paragraph" w:customStyle="1" w:styleId="TitlePageOrganization">
    <w:name w:val="Title Page Organization"/>
    <w:basedOn w:val="TitlePageAuthor"/>
    <w:qFormat/>
    <w:rsid w:val="00445A92"/>
    <w:pPr>
      <w:spacing w:after="2400"/>
    </w:pPr>
    <w:rPr>
      <w:i/>
      <w:iCs/>
    </w:rPr>
  </w:style>
  <w:style w:type="paragraph" w:customStyle="1" w:styleId="TitlePagePublicationNumber">
    <w:name w:val="Title Page Publication Number"/>
    <w:basedOn w:val="Normal"/>
    <w:qFormat/>
    <w:rsid w:val="00445A92"/>
    <w:pPr>
      <w:tabs>
        <w:tab w:val="right" w:pos="9360"/>
      </w:tabs>
      <w:spacing w:after="0" w:line="240" w:lineRule="auto"/>
      <w:jc w:val="right"/>
    </w:pPr>
    <w:rPr>
      <w:rFonts w:eastAsia="Times New Roman" w:cs="Times New Roman"/>
      <w:sz w:val="16"/>
      <w:szCs w:val="16"/>
    </w:rPr>
  </w:style>
  <w:style w:type="paragraph" w:customStyle="1" w:styleId="TitlePagePublicationNumberandDate">
    <w:name w:val="Title Page Publication Number and Date"/>
    <w:basedOn w:val="BodyText"/>
    <w:next w:val="BodyText"/>
    <w:link w:val="TitlePagePublicationNumberandDateChar"/>
    <w:qFormat/>
    <w:rsid w:val="00445A92"/>
    <w:pPr>
      <w:spacing w:after="120"/>
    </w:pPr>
    <w:rPr>
      <w:sz w:val="20"/>
    </w:rPr>
  </w:style>
  <w:style w:type="character" w:customStyle="1" w:styleId="TitlePagePublicationNumberandDateChar">
    <w:name w:val="Title Page Publication Number and Date Char"/>
    <w:basedOn w:val="CopyrightinfoChar"/>
    <w:link w:val="TitlePagePublicationNumberandDate"/>
    <w:rsid w:val="00445A92"/>
    <w:rPr>
      <w:rFonts w:eastAsia="Times New Roman" w:cs="Times New Roman"/>
      <w:iCs w:val="0"/>
      <w:sz w:val="20"/>
      <w:szCs w:val="24"/>
    </w:rPr>
  </w:style>
  <w:style w:type="paragraph" w:customStyle="1" w:styleId="TitlePageTitleSubtitle">
    <w:name w:val="Title Page Title/Subtitle"/>
    <w:basedOn w:val="TitlePageText"/>
    <w:qFormat/>
    <w:rsid w:val="00445A92"/>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445A92"/>
    <w:rPr>
      <w:b/>
    </w:rPr>
  </w:style>
  <w:style w:type="paragraph" w:styleId="TOC4">
    <w:name w:val="toc 4"/>
    <w:basedOn w:val="Normal"/>
    <w:next w:val="Normal"/>
    <w:autoRedefine/>
    <w:uiPriority w:val="39"/>
    <w:rsid w:val="00445A92"/>
    <w:pPr>
      <w:tabs>
        <w:tab w:val="right" w:leader="dot" w:pos="9350"/>
      </w:tabs>
      <w:spacing w:before="120" w:after="0" w:line="240" w:lineRule="auto"/>
      <w:ind w:left="1166" w:right="720" w:hanging="86"/>
    </w:pPr>
    <w:rPr>
      <w:rFonts w:eastAsia="Times New Roman" w:cs="Times"/>
      <w:sz w:val="24"/>
    </w:rPr>
  </w:style>
  <w:style w:type="paragraph" w:customStyle="1" w:styleId="TableTextRight">
    <w:name w:val="Table Text Right"/>
    <w:basedOn w:val="TableText"/>
    <w:qFormat/>
    <w:rsid w:val="00445A92"/>
    <w:pPr>
      <w:spacing w:line="240" w:lineRule="auto"/>
      <w:jc w:val="right"/>
    </w:pPr>
  </w:style>
  <w:style w:type="paragraph" w:customStyle="1" w:styleId="TableColHeadCenter-Narrow">
    <w:name w:val="Table Col Head Center-Narrow"/>
    <w:basedOn w:val="TableColHeadingCenter"/>
    <w:qFormat/>
    <w:rsid w:val="00445A92"/>
    <w:rPr>
      <w:rFonts w:ascii="Arial Narrow" w:hAnsi="Arial Narrow"/>
    </w:rPr>
  </w:style>
  <w:style w:type="paragraph" w:customStyle="1" w:styleId="TableHead">
    <w:name w:val="Table Head"/>
    <w:next w:val="TableofFigures"/>
    <w:qFormat/>
    <w:rsid w:val="00445A92"/>
    <w:pPr>
      <w:keepNext/>
      <w:keepLines/>
      <w:spacing w:before="40" w:after="40" w:line="240" w:lineRule="auto"/>
      <w:jc w:val="center"/>
    </w:pPr>
    <w:rPr>
      <w:rFonts w:ascii="Arial" w:eastAsia="Calibri" w:hAnsi="Arial" w:cs="Arial"/>
      <w:b/>
      <w:sz w:val="24"/>
    </w:rPr>
  </w:style>
  <w:style w:type="paragraph" w:styleId="TableofFigures">
    <w:name w:val="table of figures"/>
    <w:basedOn w:val="Normal"/>
    <w:next w:val="Normal"/>
    <w:uiPriority w:val="99"/>
    <w:semiHidden/>
    <w:unhideWhenUsed/>
    <w:rsid w:val="00445A92"/>
    <w:pPr>
      <w:spacing w:after="0"/>
    </w:pPr>
  </w:style>
  <w:style w:type="paragraph" w:customStyle="1" w:styleId="font5">
    <w:name w:val="font5"/>
    <w:basedOn w:val="Normal"/>
    <w:rsid w:val="00445A92"/>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445A92"/>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660000"/>
      <w:sz w:val="20"/>
      <w:szCs w:val="20"/>
    </w:rPr>
  </w:style>
  <w:style w:type="paragraph" w:customStyle="1" w:styleId="xl66">
    <w:name w:val="xl66"/>
    <w:basedOn w:val="Normal"/>
    <w:rsid w:val="00445A92"/>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445A92"/>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445A92"/>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445A92"/>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445A92"/>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445A9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2">
    <w:name w:val="xl72"/>
    <w:basedOn w:val="Normal"/>
    <w:rsid w:val="00445A92"/>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445A92"/>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445A92"/>
    <w:pPr>
      <w:spacing w:before="480" w:after="240" w:line="240" w:lineRule="auto"/>
      <w:jc w:val="center"/>
      <w:outlineLvl w:val="0"/>
    </w:pPr>
    <w:rPr>
      <w:rFonts w:ascii="Arial" w:eastAsia="Times New Roman" w:hAnsi="Arial" w:cs="Times New Roman"/>
      <w:b/>
      <w:bCs/>
      <w:sz w:val="28"/>
      <w:szCs w:val="24"/>
    </w:rPr>
  </w:style>
  <w:style w:type="paragraph" w:customStyle="1" w:styleId="NCDNationalCouncilStaff">
    <w:name w:val="NCD.National Council Staff"/>
    <w:qFormat/>
    <w:rsid w:val="00445A92"/>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7409F0"/>
    <w:pPr>
      <w:spacing w:before="120" w:after="240" w:line="240" w:lineRule="auto"/>
    </w:pPr>
    <w:rPr>
      <w:rFonts w:ascii="Arial" w:hAnsi="Arial" w:cs="Arial"/>
      <w:szCs w:val="20"/>
    </w:rPr>
  </w:style>
  <w:style w:type="paragraph" w:customStyle="1" w:styleId="NCDInsideCoverText">
    <w:name w:val="NCD.Inside Cover Text"/>
    <w:qFormat/>
    <w:rsid w:val="00445A92"/>
    <w:pPr>
      <w:spacing w:before="480"/>
    </w:pPr>
    <w:rPr>
      <w:rFonts w:ascii="Arial" w:hAnsi="Arial" w:cs="Arial"/>
      <w:sz w:val="24"/>
      <w:szCs w:val="32"/>
    </w:rPr>
  </w:style>
  <w:style w:type="paragraph" w:customStyle="1" w:styleId="NCDInsideCoverTitle">
    <w:name w:val="NCD.Inside Cover Title"/>
    <w:qFormat/>
    <w:rsid w:val="00445A92"/>
    <w:pPr>
      <w:spacing w:before="480" w:after="0" w:line="360" w:lineRule="auto"/>
    </w:pPr>
    <w:rPr>
      <w:rFonts w:ascii="Arial" w:hAnsi="Arial" w:cs="Arial"/>
      <w:b/>
      <w:i/>
      <w:sz w:val="24"/>
      <w:szCs w:val="32"/>
    </w:rPr>
  </w:style>
  <w:style w:type="paragraph" w:customStyle="1" w:styleId="NCDCoverLetterText">
    <w:name w:val="NCD.Cover Letter Text"/>
    <w:qFormat/>
    <w:rsid w:val="00445A92"/>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445A92"/>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445A92"/>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445A92"/>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445A92"/>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445A92"/>
    <w:pPr>
      <w:spacing w:after="360" w:line="240" w:lineRule="auto"/>
    </w:pPr>
    <w:rPr>
      <w:rFonts w:ascii="Arial" w:eastAsia="Times New Roman" w:hAnsi="Arial" w:cs="Times New Roman"/>
      <w:color w:val="7F7F7F" w:themeColor="text1" w:themeTint="80"/>
      <w:sz w:val="36"/>
      <w:szCs w:val="32"/>
    </w:rPr>
  </w:style>
  <w:style w:type="character" w:customStyle="1" w:styleId="NCDBodyTextSpaceBeforeChar">
    <w:name w:val="NCD.Body Text Space Before Char"/>
    <w:basedOn w:val="DefaultParagraphFont"/>
    <w:link w:val="NCDBodyTextSpaceBefore"/>
    <w:rsid w:val="002E124F"/>
    <w:rPr>
      <w:rFonts w:ascii="Arial" w:eastAsia="Calibri" w:hAnsi="Arial" w:cs="Calibri"/>
      <w:color w:val="000000" w:themeColor="text1"/>
      <w:sz w:val="24"/>
      <w:szCs w:val="24"/>
      <w:u w:color="000000"/>
      <w:bdr w:val="nil"/>
    </w:rPr>
  </w:style>
  <w:style w:type="paragraph" w:customStyle="1" w:styleId="EndNoteBibliography">
    <w:name w:val="EndNote Bibliography"/>
    <w:basedOn w:val="Normal"/>
    <w:link w:val="EndNoteBibliographyChar"/>
    <w:rsid w:val="00445A92"/>
    <w:pPr>
      <w:spacing w:after="240" w:line="240" w:lineRule="auto"/>
      <w:ind w:left="720" w:hanging="720"/>
    </w:pPr>
    <w:rPr>
      <w:rFonts w:ascii="Arial" w:hAnsi="Arial" w:cs="Arial"/>
      <w:noProof/>
      <w:sz w:val="24"/>
    </w:rPr>
  </w:style>
  <w:style w:type="character" w:customStyle="1" w:styleId="EndNoteBibliographyChar">
    <w:name w:val="EndNote Bibliography Char"/>
    <w:basedOn w:val="DefaultParagraphFont"/>
    <w:link w:val="EndNoteBibliography"/>
    <w:rsid w:val="00445A92"/>
    <w:rPr>
      <w:rFonts w:ascii="Arial" w:hAnsi="Arial" w:cs="Arial"/>
      <w:noProof/>
      <w:sz w:val="24"/>
    </w:rPr>
  </w:style>
  <w:style w:type="paragraph" w:customStyle="1" w:styleId="EndNoteBibliographyTitle">
    <w:name w:val="EndNote Bibliography Title"/>
    <w:basedOn w:val="Normal"/>
    <w:link w:val="EndNoteBibliographyTitleChar"/>
    <w:rsid w:val="00445A92"/>
    <w:pPr>
      <w:spacing w:after="0"/>
      <w:jc w:val="center"/>
    </w:pPr>
    <w:rPr>
      <w:rFonts w:ascii="Arial" w:eastAsia="Calibri" w:hAnsi="Arial" w:cs="Arial"/>
      <w:noProof/>
      <w:sz w:val="24"/>
      <w:szCs w:val="24"/>
    </w:rPr>
  </w:style>
  <w:style w:type="character" w:customStyle="1" w:styleId="EndNoteBibliographyTitleChar">
    <w:name w:val="EndNote Bibliography Title Char"/>
    <w:basedOn w:val="ReferenceChar"/>
    <w:link w:val="EndNoteBibliographyTitle"/>
    <w:rsid w:val="00445A92"/>
    <w:rPr>
      <w:rFonts w:ascii="Arial" w:eastAsia="Calibri" w:hAnsi="Arial" w:cs="Arial"/>
      <w:noProof/>
      <w:sz w:val="24"/>
      <w:szCs w:val="24"/>
    </w:rPr>
  </w:style>
  <w:style w:type="paragraph" w:customStyle="1" w:styleId="listitem">
    <w:name w:val="list_item"/>
    <w:basedOn w:val="Normal"/>
    <w:rsid w:val="00445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45A92"/>
  </w:style>
  <w:style w:type="paragraph" w:styleId="EndnoteText">
    <w:name w:val="endnote text"/>
    <w:basedOn w:val="Normal"/>
    <w:link w:val="EndnoteTextChar"/>
    <w:uiPriority w:val="99"/>
    <w:unhideWhenUsed/>
    <w:rsid w:val="00445A92"/>
    <w:pPr>
      <w:spacing w:after="240" w:line="240" w:lineRule="auto"/>
    </w:pPr>
    <w:rPr>
      <w:rFonts w:ascii="Arial" w:eastAsia="Calibri" w:hAnsi="Arial" w:cs="Times New Roman"/>
      <w:sz w:val="24"/>
      <w:szCs w:val="20"/>
    </w:rPr>
  </w:style>
  <w:style w:type="character" w:customStyle="1" w:styleId="EndnoteTextChar">
    <w:name w:val="Endnote Text Char"/>
    <w:basedOn w:val="DefaultParagraphFont"/>
    <w:link w:val="EndnoteText"/>
    <w:uiPriority w:val="99"/>
    <w:rsid w:val="00445A92"/>
    <w:rPr>
      <w:rFonts w:ascii="Arial" w:eastAsia="Calibri" w:hAnsi="Arial" w:cs="Times New Roman"/>
      <w:sz w:val="24"/>
      <w:szCs w:val="20"/>
    </w:rPr>
  </w:style>
  <w:style w:type="character" w:styleId="EndnoteReference">
    <w:name w:val="endnote reference"/>
    <w:basedOn w:val="DefaultParagraphFont"/>
    <w:uiPriority w:val="99"/>
    <w:semiHidden/>
    <w:unhideWhenUsed/>
    <w:rsid w:val="00445A92"/>
    <w:rPr>
      <w:vertAlign w:val="superscript"/>
    </w:rPr>
  </w:style>
  <w:style w:type="paragraph" w:customStyle="1" w:styleId="NCDLetterofTransmittalBodyText">
    <w:name w:val="NCD.Letter of Transmittal Body Text"/>
    <w:basedOn w:val="Normal"/>
    <w:qFormat/>
    <w:rsid w:val="00445A92"/>
    <w:pPr>
      <w:autoSpaceDE w:val="0"/>
      <w:autoSpaceDN w:val="0"/>
      <w:spacing w:after="240" w:line="240" w:lineRule="auto"/>
    </w:pPr>
    <w:rPr>
      <w:rFonts w:ascii="Arial" w:eastAsia="Times New Roman" w:hAnsi="Arial" w:cs="Arial"/>
      <w:sz w:val="24"/>
      <w:szCs w:val="24"/>
    </w:rPr>
  </w:style>
  <w:style w:type="paragraph" w:customStyle="1" w:styleId="Heading3noTOC">
    <w:name w:val="Heading 3 no TOC"/>
    <w:qFormat/>
    <w:rsid w:val="00445A92"/>
    <w:pPr>
      <w:keepNext/>
      <w:spacing w:before="360" w:after="240" w:line="240" w:lineRule="auto"/>
    </w:pPr>
    <w:rPr>
      <w:rFonts w:ascii="Arial" w:eastAsia="Calibri" w:hAnsi="Arial" w:cs="Arial"/>
      <w:b/>
      <w:sz w:val="24"/>
      <w:szCs w:val="24"/>
    </w:rPr>
  </w:style>
  <w:style w:type="paragraph" w:customStyle="1" w:styleId="NCDAppendixHeading3">
    <w:name w:val="NCD.Appendix Heading 3"/>
    <w:qFormat/>
    <w:rsid w:val="00445A92"/>
    <w:pPr>
      <w:spacing w:after="240"/>
    </w:pPr>
    <w:rPr>
      <w:rFonts w:ascii="Arial" w:eastAsia="Calibri" w:hAnsi="Arial" w:cs="Calibri"/>
      <w:b/>
      <w:color w:val="95B3D7" w:themeColor="accent1" w:themeTint="99"/>
      <w:sz w:val="24"/>
      <w:szCs w:val="24"/>
      <w:u w:color="000000"/>
      <w:bdr w:val="nil"/>
    </w:rPr>
  </w:style>
  <w:style w:type="paragraph" w:customStyle="1" w:styleId="ncdbodytextspacebefore0">
    <w:name w:val="ncdbodytextspacebefore"/>
    <w:basedOn w:val="Normal"/>
    <w:rsid w:val="00445A92"/>
    <w:pPr>
      <w:spacing w:before="240" w:after="360" w:line="360" w:lineRule="auto"/>
    </w:pPr>
    <w:rPr>
      <w:rFonts w:ascii="Arial" w:hAnsi="Arial" w:cs="Arial"/>
      <w:color w:val="000000"/>
      <w:sz w:val="24"/>
      <w:szCs w:val="24"/>
    </w:rPr>
  </w:style>
  <w:style w:type="character" w:customStyle="1" w:styleId="Mention1">
    <w:name w:val="Mention1"/>
    <w:basedOn w:val="DefaultParagraphFont"/>
    <w:uiPriority w:val="99"/>
    <w:semiHidden/>
    <w:unhideWhenUsed/>
    <w:rsid w:val="00445A92"/>
    <w:rPr>
      <w:color w:val="2B579A"/>
      <w:shd w:val="clear" w:color="auto" w:fill="E6E6E6"/>
    </w:rPr>
  </w:style>
  <w:style w:type="character" w:customStyle="1" w:styleId="Mention2">
    <w:name w:val="Mention2"/>
    <w:basedOn w:val="DefaultParagraphFont"/>
    <w:uiPriority w:val="99"/>
    <w:semiHidden/>
    <w:unhideWhenUsed/>
    <w:rsid w:val="00445A92"/>
    <w:rPr>
      <w:color w:val="2B579A"/>
      <w:shd w:val="clear" w:color="auto" w:fill="E6E6E6"/>
    </w:rPr>
  </w:style>
  <w:style w:type="character" w:customStyle="1" w:styleId="Mention3">
    <w:name w:val="Mention3"/>
    <w:basedOn w:val="DefaultParagraphFont"/>
    <w:uiPriority w:val="99"/>
    <w:semiHidden/>
    <w:unhideWhenUsed/>
    <w:rsid w:val="00445A92"/>
    <w:rPr>
      <w:color w:val="2B579A"/>
      <w:shd w:val="clear" w:color="auto" w:fill="E6E6E6"/>
    </w:rPr>
  </w:style>
  <w:style w:type="paragraph" w:customStyle="1" w:styleId="LetterofTransmittalBodyText">
    <w:name w:val="Letter of Transmittal Body Text"/>
    <w:basedOn w:val="Normal"/>
    <w:qFormat/>
    <w:rsid w:val="001C727B"/>
    <w:pPr>
      <w:autoSpaceDE w:val="0"/>
      <w:autoSpaceDN w:val="0"/>
      <w:spacing w:line="240" w:lineRule="auto"/>
    </w:pPr>
    <w:rPr>
      <w:rFonts w:ascii="Arial" w:eastAsia="Times New Roman" w:hAnsi="Arial" w:cs="Arial"/>
      <w:sz w:val="24"/>
      <w:szCs w:val="24"/>
    </w:rPr>
  </w:style>
  <w:style w:type="paragraph" w:customStyle="1" w:styleId="NumberedList2">
    <w:name w:val="Numbered List 2"/>
    <w:basedOn w:val="NCDBodyTextSpaceBefore"/>
    <w:link w:val="NumberedList2Char"/>
    <w:qFormat/>
    <w:rsid w:val="00A65CE3"/>
    <w:pPr>
      <w:numPr>
        <w:ilvl w:val="1"/>
        <w:numId w:val="23"/>
      </w:numPr>
    </w:pPr>
  </w:style>
  <w:style w:type="character" w:customStyle="1" w:styleId="NumberedList2Char">
    <w:name w:val="Numbered List 2 Char"/>
    <w:basedOn w:val="NCDBodyTextSpaceBeforeChar"/>
    <w:link w:val="NumberedList2"/>
    <w:rsid w:val="00A65CE3"/>
    <w:rPr>
      <w:rFonts w:ascii="Arial" w:eastAsia="Calibri" w:hAnsi="Arial" w:cs="Calibri"/>
      <w:color w:val="000000" w:themeColor="text1"/>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qFormat="1"/>
    <w:lsdException w:name="footer" w:qFormat="1"/>
    <w:lsdException w:name="caption" w:uiPriority="35" w:qFormat="1"/>
    <w:lsdException w:name="footnote reference" w:uiPriority="0" w:qFormat="1"/>
    <w:lsdException w:name="page number" w:uiPriority="0"/>
    <w:lsdException w:name="Title" w:semiHidden="0" w:uiPriority="0" w:unhideWhenUsed="0" w:qFormat="1"/>
    <w:lsdException w:name="Default Paragraph Font" w:uiPriority="1"/>
    <w:lsdException w:name="Body Text"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81"/>
  </w:style>
  <w:style w:type="paragraph" w:styleId="Heading1">
    <w:name w:val="heading 1"/>
    <w:next w:val="Normal"/>
    <w:link w:val="Heading1Char"/>
    <w:autoRedefine/>
    <w:uiPriority w:val="9"/>
    <w:qFormat/>
    <w:rsid w:val="002E124F"/>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uiPriority w:val="9"/>
    <w:qFormat/>
    <w:rsid w:val="00170CD3"/>
    <w:pPr>
      <w:keepNext/>
      <w:keepLines/>
      <w:spacing w:after="0" w:line="480" w:lineRule="auto"/>
      <w:outlineLvl w:val="1"/>
    </w:pPr>
    <w:rPr>
      <w:rFonts w:ascii="Arial" w:eastAsia="Times New Roman" w:hAnsi="Arial" w:cs="Times New Roman"/>
      <w:b/>
      <w:sz w:val="28"/>
      <w:szCs w:val="32"/>
    </w:rPr>
  </w:style>
  <w:style w:type="paragraph" w:styleId="Heading3">
    <w:name w:val="heading 3"/>
    <w:next w:val="Normal"/>
    <w:link w:val="Heading3Char"/>
    <w:uiPriority w:val="9"/>
    <w:unhideWhenUsed/>
    <w:qFormat/>
    <w:rsid w:val="007409F0"/>
    <w:pPr>
      <w:keepNext/>
      <w:spacing w:after="0" w:line="480" w:lineRule="auto"/>
      <w:outlineLvl w:val="2"/>
    </w:pPr>
    <w:rPr>
      <w:rFonts w:ascii="Arial" w:eastAsia="Calibri" w:hAnsi="Arial" w:cs="Arial"/>
      <w:b/>
      <w:i/>
      <w:color w:val="000000" w:themeColor="text1"/>
      <w:sz w:val="24"/>
      <w:szCs w:val="24"/>
    </w:rPr>
  </w:style>
  <w:style w:type="paragraph" w:styleId="Heading4">
    <w:name w:val="heading 4"/>
    <w:aliases w:val="NCD.Heading 4"/>
    <w:next w:val="Normal"/>
    <w:link w:val="Heading4Char"/>
    <w:uiPriority w:val="9"/>
    <w:unhideWhenUsed/>
    <w:qFormat/>
    <w:rsid w:val="00445A92"/>
    <w:pPr>
      <w:keepNext/>
      <w:autoSpaceDE w:val="0"/>
      <w:autoSpaceDN w:val="0"/>
      <w:adjustRightInd w:val="0"/>
      <w:spacing w:after="240" w:line="240" w:lineRule="auto"/>
      <w:outlineLvl w:val="3"/>
    </w:pPr>
    <w:rPr>
      <w:rFonts w:ascii="Arial" w:eastAsia="Calibri" w:hAnsi="Arial" w:cs="Arial"/>
      <w:b/>
      <w:i/>
      <w:sz w:val="24"/>
      <w:szCs w:val="24"/>
    </w:rPr>
  </w:style>
  <w:style w:type="paragraph" w:styleId="Heading5">
    <w:name w:val="heading 5"/>
    <w:basedOn w:val="NCDBodyTextSpaceBefore"/>
    <w:next w:val="Normal"/>
    <w:link w:val="Heading5Char"/>
    <w:uiPriority w:val="9"/>
    <w:unhideWhenUsed/>
    <w:qFormat/>
    <w:rsid w:val="00445A92"/>
    <w:pPr>
      <w:spacing w:after="240" w:line="240" w:lineRule="auto"/>
      <w:outlineLvl w:val="4"/>
    </w:pPr>
    <w:rPr>
      <w:i/>
    </w:rPr>
  </w:style>
  <w:style w:type="paragraph" w:styleId="Heading6">
    <w:name w:val="heading 6"/>
    <w:basedOn w:val="BodyText"/>
    <w:next w:val="Normal"/>
    <w:link w:val="Heading6Char"/>
    <w:uiPriority w:val="9"/>
    <w:unhideWhenUsed/>
    <w:rsid w:val="00445A92"/>
    <w:pPr>
      <w:outlineLvl w:val="5"/>
    </w:pPr>
    <w:rPr>
      <w:b/>
      <w:i/>
    </w:rPr>
  </w:style>
  <w:style w:type="paragraph" w:styleId="Heading7">
    <w:name w:val="heading 7"/>
    <w:basedOn w:val="Normal"/>
    <w:next w:val="Normal"/>
    <w:link w:val="Heading7Char"/>
    <w:uiPriority w:val="9"/>
    <w:unhideWhenUsed/>
    <w:qFormat/>
    <w:rsid w:val="00445A92"/>
    <w:pPr>
      <w:keepNext/>
      <w:keepLines/>
      <w:spacing w:before="200" w:after="0" w:line="240" w:lineRule="auto"/>
      <w:outlineLvl w:val="6"/>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4F"/>
    <w:rPr>
      <w:rFonts w:ascii="Arial" w:hAnsi="Arial" w:cs="Arial"/>
      <w:b/>
      <w:sz w:val="36"/>
      <w:szCs w:val="32"/>
    </w:rPr>
  </w:style>
  <w:style w:type="character" w:customStyle="1" w:styleId="Heading2Char">
    <w:name w:val="Heading 2 Char"/>
    <w:basedOn w:val="DefaultParagraphFont"/>
    <w:link w:val="Heading2"/>
    <w:uiPriority w:val="9"/>
    <w:rsid w:val="00170CD3"/>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7409F0"/>
    <w:rPr>
      <w:rFonts w:ascii="Arial" w:eastAsia="Calibri" w:hAnsi="Arial" w:cs="Arial"/>
      <w:b/>
      <w:i/>
      <w:color w:val="000000" w:themeColor="text1"/>
      <w:sz w:val="24"/>
      <w:szCs w:val="24"/>
    </w:rPr>
  </w:style>
  <w:style w:type="character" w:customStyle="1" w:styleId="Heading4Char">
    <w:name w:val="Heading 4 Char"/>
    <w:aliases w:val="NCD.Heading 4 Char"/>
    <w:basedOn w:val="DefaultParagraphFont"/>
    <w:link w:val="Heading4"/>
    <w:uiPriority w:val="9"/>
    <w:rsid w:val="00445A92"/>
    <w:rPr>
      <w:rFonts w:ascii="Arial" w:eastAsia="Calibri" w:hAnsi="Arial" w:cs="Arial"/>
      <w:b/>
      <w:i/>
      <w:sz w:val="24"/>
      <w:szCs w:val="24"/>
    </w:rPr>
  </w:style>
  <w:style w:type="character" w:customStyle="1" w:styleId="Heading5Char">
    <w:name w:val="Heading 5 Char"/>
    <w:basedOn w:val="DefaultParagraphFont"/>
    <w:link w:val="Heading5"/>
    <w:uiPriority w:val="9"/>
    <w:rsid w:val="00445A92"/>
    <w:rPr>
      <w:rFonts w:ascii="Arial" w:eastAsia="Calibri" w:hAnsi="Arial" w:cs="Calibri"/>
      <w:i/>
      <w:color w:val="000000" w:themeColor="text1"/>
      <w:sz w:val="24"/>
      <w:szCs w:val="24"/>
      <w:u w:color="000000"/>
      <w:bdr w:val="nil"/>
    </w:rPr>
  </w:style>
  <w:style w:type="character" w:customStyle="1" w:styleId="Heading6Char">
    <w:name w:val="Heading 6 Char"/>
    <w:basedOn w:val="DefaultParagraphFont"/>
    <w:link w:val="Heading6"/>
    <w:uiPriority w:val="9"/>
    <w:rsid w:val="00445A92"/>
    <w:rPr>
      <w:rFonts w:eastAsia="Times New Roman" w:cs="Times New Roman"/>
      <w:b/>
      <w:i/>
      <w:sz w:val="24"/>
      <w:szCs w:val="24"/>
    </w:rPr>
  </w:style>
  <w:style w:type="character" w:customStyle="1" w:styleId="Heading7Char">
    <w:name w:val="Heading 7 Char"/>
    <w:basedOn w:val="DefaultParagraphFont"/>
    <w:link w:val="Heading7"/>
    <w:uiPriority w:val="9"/>
    <w:rsid w:val="00445A92"/>
    <w:rPr>
      <w:rFonts w:asciiTheme="majorHAnsi" w:eastAsiaTheme="majorEastAsia" w:hAnsiTheme="majorHAnsi" w:cstheme="majorBidi"/>
      <w:i/>
      <w:iCs/>
      <w:sz w:val="24"/>
    </w:rPr>
  </w:style>
  <w:style w:type="paragraph" w:styleId="CommentText">
    <w:name w:val="annotation text"/>
    <w:basedOn w:val="Normal"/>
    <w:link w:val="CommentTextChar"/>
    <w:uiPriority w:val="99"/>
    <w:unhideWhenUsed/>
    <w:rsid w:val="00445A92"/>
    <w:pPr>
      <w:spacing w:after="12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445A92"/>
    <w:rPr>
      <w:rFonts w:ascii="Calibri" w:eastAsia="Calibri" w:hAnsi="Calibri" w:cs="Times New Roman"/>
      <w:sz w:val="20"/>
      <w:szCs w:val="20"/>
    </w:rPr>
  </w:style>
  <w:style w:type="character" w:styleId="CommentReference">
    <w:name w:val="annotation reference"/>
    <w:uiPriority w:val="99"/>
    <w:unhideWhenUsed/>
    <w:rsid w:val="00445A92"/>
    <w:rPr>
      <w:sz w:val="16"/>
      <w:szCs w:val="16"/>
    </w:rPr>
  </w:style>
  <w:style w:type="paragraph" w:styleId="FootnoteText">
    <w:name w:val="footnote text"/>
    <w:basedOn w:val="Normal"/>
    <w:link w:val="FootnoteTextChar"/>
    <w:unhideWhenUsed/>
    <w:qFormat/>
    <w:rsid w:val="00445A92"/>
    <w:pPr>
      <w:spacing w:after="0" w:line="240" w:lineRule="auto"/>
    </w:pPr>
    <w:rPr>
      <w:rFonts w:ascii="Arial" w:eastAsia="Calibri" w:hAnsi="Arial" w:cs="Times New Roman"/>
      <w:sz w:val="24"/>
      <w:szCs w:val="20"/>
    </w:rPr>
  </w:style>
  <w:style w:type="character" w:customStyle="1" w:styleId="FootnoteTextChar">
    <w:name w:val="Footnote Text Char"/>
    <w:basedOn w:val="DefaultParagraphFont"/>
    <w:link w:val="FootnoteText"/>
    <w:rsid w:val="00445A92"/>
    <w:rPr>
      <w:rFonts w:ascii="Arial" w:eastAsia="Calibri" w:hAnsi="Arial" w:cs="Times New Roman"/>
      <w:sz w:val="24"/>
      <w:szCs w:val="20"/>
    </w:rPr>
  </w:style>
  <w:style w:type="character" w:styleId="FootnoteReference">
    <w:name w:val="footnote reference"/>
    <w:unhideWhenUsed/>
    <w:qFormat/>
    <w:rsid w:val="00445A92"/>
    <w:rPr>
      <w:vertAlign w:val="superscript"/>
    </w:rPr>
  </w:style>
  <w:style w:type="character" w:styleId="Hyperlink">
    <w:name w:val="Hyperlink"/>
    <w:uiPriority w:val="99"/>
    <w:unhideWhenUsed/>
    <w:qFormat/>
    <w:rsid w:val="00445A92"/>
    <w:rPr>
      <w:rFonts w:ascii="Arial" w:hAnsi="Arial"/>
      <w:color w:val="0000FF"/>
      <w:sz w:val="24"/>
      <w:u w:val="single"/>
    </w:rPr>
  </w:style>
  <w:style w:type="paragraph" w:styleId="ListParagraph">
    <w:name w:val="List Paragraph"/>
    <w:basedOn w:val="Normal"/>
    <w:uiPriority w:val="34"/>
    <w:qFormat/>
    <w:rsid w:val="00445A92"/>
    <w:pPr>
      <w:spacing w:after="120"/>
      <w:ind w:left="720"/>
      <w:contextualSpacing/>
    </w:pPr>
    <w:rPr>
      <w:rFonts w:ascii="Calibri" w:eastAsia="Calibri" w:hAnsi="Calibri" w:cs="Times New Roman"/>
      <w:sz w:val="24"/>
    </w:rPr>
  </w:style>
  <w:style w:type="paragraph" w:styleId="BalloonText">
    <w:name w:val="Balloon Text"/>
    <w:basedOn w:val="Normal"/>
    <w:link w:val="BalloonTextChar"/>
    <w:uiPriority w:val="99"/>
    <w:semiHidden/>
    <w:unhideWhenUsed/>
    <w:rsid w:val="00445A9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45A92"/>
    <w:rPr>
      <w:rFonts w:ascii="Tahoma" w:eastAsia="Calibri" w:hAnsi="Tahoma" w:cs="Tahoma"/>
      <w:sz w:val="16"/>
      <w:szCs w:val="16"/>
    </w:rPr>
  </w:style>
  <w:style w:type="paragraph" w:customStyle="1" w:styleId="TableNote">
    <w:name w:val="Table Note"/>
    <w:qFormat/>
    <w:rsid w:val="00445A92"/>
    <w:pPr>
      <w:spacing w:before="60" w:after="240" w:line="240" w:lineRule="auto"/>
      <w:contextualSpacing/>
    </w:pPr>
    <w:rPr>
      <w:rFonts w:ascii="Arial" w:eastAsia="Times New Roman" w:hAnsi="Arial" w:cs="Times New Roman"/>
      <w:sz w:val="18"/>
      <w:szCs w:val="24"/>
    </w:rPr>
  </w:style>
  <w:style w:type="character" w:customStyle="1" w:styleId="apple-converted-space">
    <w:name w:val="apple-converted-space"/>
    <w:basedOn w:val="DefaultParagraphFont"/>
    <w:rsid w:val="00445A92"/>
  </w:style>
  <w:style w:type="paragraph" w:customStyle="1" w:styleId="Default">
    <w:name w:val="Default"/>
    <w:rsid w:val="00445A9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italic">
    <w:name w:val="italic"/>
    <w:basedOn w:val="DefaultParagraphFont"/>
    <w:rsid w:val="00445A92"/>
  </w:style>
  <w:style w:type="paragraph" w:customStyle="1" w:styleId="NCDBodyText">
    <w:name w:val="NCD.Body Text"/>
    <w:rsid w:val="002E124F"/>
    <w:pPr>
      <w:pBdr>
        <w:top w:val="nil"/>
        <w:left w:val="nil"/>
        <w:bottom w:val="nil"/>
        <w:right w:val="nil"/>
        <w:between w:val="nil"/>
        <w:bar w:val="nil"/>
      </w:pBdr>
      <w:spacing w:line="360" w:lineRule="auto"/>
    </w:pPr>
    <w:rPr>
      <w:rFonts w:ascii="Arial" w:eastAsia="Calibri" w:hAnsi="Arial" w:cs="Calibri"/>
      <w:color w:val="000000" w:themeColor="text1"/>
      <w:sz w:val="24"/>
      <w:szCs w:val="24"/>
      <w:u w:color="000000"/>
      <w:bdr w:val="nil"/>
    </w:rPr>
  </w:style>
  <w:style w:type="paragraph" w:customStyle="1" w:styleId="Footnote">
    <w:name w:val="Footnote"/>
    <w:rsid w:val="00445A92"/>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Hyperlink"/>
    <w:rsid w:val="00445A92"/>
    <w:rPr>
      <w:rFonts w:ascii="Arial" w:hAnsi="Arial"/>
      <w:color w:val="0000FF"/>
      <w:sz w:val="24"/>
      <w:u w:val="single" w:color="0000FF"/>
    </w:rPr>
  </w:style>
  <w:style w:type="numbering" w:customStyle="1" w:styleId="List0">
    <w:name w:val="List 0"/>
    <w:basedOn w:val="NoList"/>
    <w:rsid w:val="00445A92"/>
    <w:pPr>
      <w:numPr>
        <w:numId w:val="5"/>
      </w:numPr>
    </w:pPr>
  </w:style>
  <w:style w:type="numbering" w:customStyle="1" w:styleId="List1">
    <w:name w:val="List 1"/>
    <w:basedOn w:val="NoList"/>
    <w:rsid w:val="00445A92"/>
    <w:pPr>
      <w:numPr>
        <w:numId w:val="7"/>
      </w:numPr>
    </w:pPr>
  </w:style>
  <w:style w:type="numbering" w:customStyle="1" w:styleId="Bullet">
    <w:name w:val="Bullet"/>
    <w:rsid w:val="00445A92"/>
    <w:pPr>
      <w:numPr>
        <w:numId w:val="8"/>
      </w:numPr>
    </w:pPr>
  </w:style>
  <w:style w:type="numbering" w:customStyle="1" w:styleId="List21">
    <w:name w:val="List 21"/>
    <w:basedOn w:val="NoList"/>
    <w:rsid w:val="00445A92"/>
    <w:pPr>
      <w:numPr>
        <w:numId w:val="9"/>
      </w:numPr>
    </w:pPr>
  </w:style>
  <w:style w:type="numbering" w:customStyle="1" w:styleId="List31">
    <w:name w:val="List 31"/>
    <w:basedOn w:val="NoList"/>
    <w:rsid w:val="00445A92"/>
    <w:pPr>
      <w:numPr>
        <w:numId w:val="10"/>
      </w:numPr>
    </w:pPr>
  </w:style>
  <w:style w:type="character" w:customStyle="1" w:styleId="Hyperlink1">
    <w:name w:val="Hyperlink.1"/>
    <w:basedOn w:val="DefaultParagraphFont"/>
    <w:rsid w:val="00445A92"/>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style>
  <w:style w:type="character" w:customStyle="1" w:styleId="Hyperlink2">
    <w:name w:val="Hyperlink.2"/>
    <w:basedOn w:val="Hyperlink0"/>
    <w:rsid w:val="00445A92"/>
    <w:rPr>
      <w:rFonts w:ascii="Arial" w:eastAsia="Arial" w:hAnsi="Arial" w:cs="Arial"/>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445A92"/>
    <w:rPr>
      <w:b/>
      <w:bCs/>
    </w:rPr>
  </w:style>
  <w:style w:type="character" w:customStyle="1" w:styleId="CommentSubjectChar">
    <w:name w:val="Comment Subject Char"/>
    <w:basedOn w:val="CommentTextChar"/>
    <w:link w:val="CommentSubject"/>
    <w:uiPriority w:val="99"/>
    <w:semiHidden/>
    <w:rsid w:val="00445A92"/>
    <w:rPr>
      <w:rFonts w:ascii="Calibri" w:eastAsia="Calibri" w:hAnsi="Calibri" w:cs="Times New Roman"/>
      <w:b/>
      <w:bCs/>
      <w:sz w:val="20"/>
      <w:szCs w:val="20"/>
    </w:rPr>
  </w:style>
  <w:style w:type="numbering" w:customStyle="1" w:styleId="Bullet1">
    <w:name w:val="Bullet1"/>
    <w:rsid w:val="00445A92"/>
    <w:pPr>
      <w:numPr>
        <w:numId w:val="3"/>
      </w:numPr>
    </w:pPr>
  </w:style>
  <w:style w:type="numbering" w:customStyle="1" w:styleId="List211">
    <w:name w:val="List 211"/>
    <w:basedOn w:val="NoList"/>
    <w:rsid w:val="00445A92"/>
    <w:pPr>
      <w:numPr>
        <w:numId w:val="4"/>
      </w:numPr>
    </w:pPr>
  </w:style>
  <w:style w:type="numbering" w:customStyle="1" w:styleId="List311">
    <w:name w:val="List 311"/>
    <w:basedOn w:val="NoList"/>
    <w:rsid w:val="00445A92"/>
    <w:pPr>
      <w:numPr>
        <w:numId w:val="6"/>
      </w:numPr>
    </w:pPr>
  </w:style>
  <w:style w:type="table" w:styleId="TableGrid">
    <w:name w:val="Table Grid"/>
    <w:basedOn w:val="TableNormal"/>
    <w:uiPriority w:val="59"/>
    <w:rsid w:val="00445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CDTextBoxBullets">
    <w:name w:val="NCD.Text Box Bullets"/>
    <w:qFormat/>
    <w:rsid w:val="00445A92"/>
    <w:pPr>
      <w:numPr>
        <w:numId w:val="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445A92"/>
    <w:pPr>
      <w:keepNext/>
      <w:spacing w:after="240" w:line="240" w:lineRule="auto"/>
      <w:jc w:val="center"/>
    </w:pPr>
    <w:rPr>
      <w:rFonts w:ascii="Arial" w:eastAsia="Calibri" w:hAnsi="Arial" w:cs="Arial"/>
      <w:b/>
      <w:sz w:val="24"/>
      <w:szCs w:val="28"/>
    </w:rPr>
  </w:style>
  <w:style w:type="paragraph" w:customStyle="1" w:styleId="NCDBodyTextSpaceBefore">
    <w:name w:val="NCD.Body Text Space Before"/>
    <w:basedOn w:val="NCDBodyText"/>
    <w:link w:val="NCDBodyTextSpaceBeforeChar"/>
    <w:qFormat/>
    <w:rsid w:val="002E124F"/>
  </w:style>
  <w:style w:type="paragraph" w:customStyle="1" w:styleId="NCDTableText">
    <w:name w:val="NCD.Table Text"/>
    <w:qFormat/>
    <w:rsid w:val="00445A92"/>
    <w:pPr>
      <w:spacing w:after="0" w:line="240" w:lineRule="auto"/>
    </w:pPr>
    <w:rPr>
      <w:rFonts w:ascii="Arial" w:eastAsia="Times New Roman" w:hAnsi="Arial" w:cs="Arial"/>
      <w:sz w:val="20"/>
      <w:szCs w:val="24"/>
    </w:rPr>
  </w:style>
  <w:style w:type="paragraph" w:customStyle="1" w:styleId="NCDTableHeader">
    <w:name w:val="NCD.Table Header"/>
    <w:basedOn w:val="Normal"/>
    <w:qFormat/>
    <w:rsid w:val="00445A92"/>
    <w:pPr>
      <w:spacing w:after="0" w:line="240" w:lineRule="auto"/>
      <w:jc w:val="center"/>
    </w:pPr>
    <w:rPr>
      <w:rFonts w:ascii="Arial" w:eastAsia="Times New Roman" w:hAnsi="Arial" w:cs="Arial"/>
      <w:b/>
      <w:bCs/>
      <w:color w:val="FFFFFF" w:themeColor="background1"/>
      <w:sz w:val="24"/>
      <w:szCs w:val="24"/>
    </w:rPr>
  </w:style>
  <w:style w:type="paragraph" w:customStyle="1" w:styleId="NCDBulletsLevel1">
    <w:name w:val="NCD.Bullets Level 1"/>
    <w:qFormat/>
    <w:rsid w:val="002E124F"/>
    <w:pPr>
      <w:numPr>
        <w:numId w:val="2"/>
      </w:numPr>
      <w:spacing w:line="360" w:lineRule="auto"/>
      <w:ind w:left="360"/>
    </w:pPr>
    <w:rPr>
      <w:rFonts w:ascii="Arial" w:eastAsia="Calibri" w:hAnsi="Arial" w:cs="Arial"/>
      <w:color w:val="000000" w:themeColor="text1"/>
      <w:sz w:val="24"/>
      <w:szCs w:val="24"/>
    </w:rPr>
  </w:style>
  <w:style w:type="paragraph" w:customStyle="1" w:styleId="NCDTextBoxText">
    <w:name w:val="NCD.Text Box Text"/>
    <w:qFormat/>
    <w:rsid w:val="00DA0814"/>
    <w:pPr>
      <w:spacing w:before="60" w:after="60" w:line="240" w:lineRule="auto"/>
    </w:pPr>
    <w:rPr>
      <w:rFonts w:ascii="Arial" w:eastAsia="Calibri" w:hAnsi="Arial" w:cs="Arial"/>
      <w:sz w:val="24"/>
      <w:szCs w:val="24"/>
    </w:rPr>
  </w:style>
  <w:style w:type="paragraph" w:customStyle="1" w:styleId="NCDExhibitTitle">
    <w:name w:val="NCD.Exhibit Title"/>
    <w:qFormat/>
    <w:rsid w:val="00445A92"/>
    <w:pPr>
      <w:keepNext/>
      <w:spacing w:after="240" w:line="240" w:lineRule="auto"/>
    </w:pPr>
    <w:rPr>
      <w:rFonts w:ascii="Arial" w:eastAsia="Calibri" w:hAnsi="Arial" w:cs="Calibri"/>
      <w:b/>
      <w:color w:val="000000"/>
      <w:sz w:val="24"/>
      <w:szCs w:val="24"/>
      <w:u w:color="000000"/>
      <w:bdr w:val="nil"/>
    </w:rPr>
  </w:style>
  <w:style w:type="paragraph" w:customStyle="1" w:styleId="NCDTableSubhead">
    <w:name w:val="NCD.Table Subhead"/>
    <w:basedOn w:val="Normal"/>
    <w:qFormat/>
    <w:rsid w:val="00445A92"/>
    <w:pPr>
      <w:spacing w:after="0" w:line="240" w:lineRule="auto"/>
    </w:pPr>
    <w:rPr>
      <w:rFonts w:ascii="Arial" w:eastAsia="Times New Roman" w:hAnsi="Arial" w:cs="Arial"/>
      <w:b/>
      <w:bCs/>
      <w:sz w:val="24"/>
      <w:szCs w:val="24"/>
    </w:rPr>
  </w:style>
  <w:style w:type="paragraph" w:customStyle="1" w:styleId="NCDTableTextItalic">
    <w:name w:val="NCD.Table Text Italic"/>
    <w:qFormat/>
    <w:rsid w:val="00445A92"/>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445A92"/>
    <w:rPr>
      <w:b/>
      <w:color w:val="FFFFFF" w:themeColor="background1"/>
    </w:rPr>
  </w:style>
  <w:style w:type="paragraph" w:customStyle="1" w:styleId="Heading2noTOC">
    <w:name w:val="Heading 2 no TOC"/>
    <w:basedOn w:val="Heading2"/>
    <w:qFormat/>
    <w:rsid w:val="00445A92"/>
  </w:style>
  <w:style w:type="paragraph" w:customStyle="1" w:styleId="NCDBulletsLevel2">
    <w:name w:val="NCD.Bullets Level 2"/>
    <w:qFormat/>
    <w:rsid w:val="002E124F"/>
    <w:pPr>
      <w:numPr>
        <w:numId w:val="11"/>
      </w:numPr>
      <w:spacing w:after="120" w:line="360" w:lineRule="auto"/>
    </w:pPr>
    <w:rPr>
      <w:rFonts w:ascii="Arial" w:eastAsia="Calibri" w:hAnsi="Arial" w:cs="Calibri"/>
      <w:color w:val="000000"/>
      <w:sz w:val="24"/>
      <w:szCs w:val="24"/>
      <w:u w:color="000000"/>
      <w:bdr w:val="nil"/>
    </w:rPr>
  </w:style>
  <w:style w:type="paragraph" w:customStyle="1" w:styleId="NCDBulletsLevel3">
    <w:name w:val="NCD.Bullets Level 3"/>
    <w:qFormat/>
    <w:rsid w:val="00445A92"/>
    <w:pPr>
      <w:numPr>
        <w:ilvl w:val="2"/>
        <w:numId w:val="2"/>
      </w:numPr>
      <w:shd w:val="clear" w:color="auto" w:fill="FFFFFF"/>
      <w:spacing w:after="120" w:line="360" w:lineRule="auto"/>
      <w:ind w:left="1080"/>
      <w:textAlignment w:val="baseline"/>
    </w:pPr>
    <w:rPr>
      <w:rFonts w:ascii="Arial" w:eastAsia="Calibri" w:hAnsi="Arial" w:cs="Arial"/>
      <w:sz w:val="24"/>
      <w:szCs w:val="24"/>
    </w:rPr>
  </w:style>
  <w:style w:type="paragraph" w:customStyle="1" w:styleId="NCDSpace">
    <w:name w:val="NCD.Space"/>
    <w:qFormat/>
    <w:rsid w:val="00445A92"/>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445A92"/>
    <w:pPr>
      <w:keepNext/>
      <w:spacing w:before="360" w:after="240" w:line="240" w:lineRule="auto"/>
    </w:pPr>
    <w:rPr>
      <w:rFonts w:ascii="Arial" w:eastAsia="Calibri" w:hAnsi="Arial" w:cs="Arial"/>
      <w:b/>
      <w:sz w:val="24"/>
      <w:szCs w:val="24"/>
    </w:rPr>
  </w:style>
  <w:style w:type="paragraph" w:styleId="TOC1">
    <w:name w:val="toc 1"/>
    <w:basedOn w:val="Normal"/>
    <w:next w:val="Normal"/>
    <w:autoRedefine/>
    <w:uiPriority w:val="39"/>
    <w:unhideWhenUsed/>
    <w:qFormat/>
    <w:rsid w:val="002E124F"/>
    <w:pPr>
      <w:tabs>
        <w:tab w:val="right" w:leader="dot" w:pos="9360"/>
      </w:tabs>
      <w:spacing w:before="200" w:after="40" w:line="240" w:lineRule="auto"/>
      <w:ind w:right="720"/>
    </w:pPr>
    <w:rPr>
      <w:rFonts w:ascii="Arial" w:eastAsia="Calibri" w:hAnsi="Arial" w:cs="Times New Roman"/>
      <w:noProof/>
      <w:sz w:val="24"/>
    </w:rPr>
  </w:style>
  <w:style w:type="paragraph" w:styleId="TOC2">
    <w:name w:val="toc 2"/>
    <w:basedOn w:val="Normal"/>
    <w:next w:val="Normal"/>
    <w:autoRedefine/>
    <w:uiPriority w:val="39"/>
    <w:unhideWhenUsed/>
    <w:qFormat/>
    <w:rsid w:val="00445A92"/>
    <w:pPr>
      <w:spacing w:after="40" w:line="240" w:lineRule="auto"/>
      <w:ind w:left="432"/>
    </w:pPr>
    <w:rPr>
      <w:rFonts w:ascii="Arial" w:eastAsia="Calibri" w:hAnsi="Arial" w:cs="Times New Roman"/>
      <w:sz w:val="24"/>
    </w:rPr>
  </w:style>
  <w:style w:type="paragraph" w:styleId="TOC3">
    <w:name w:val="toc 3"/>
    <w:basedOn w:val="Normal"/>
    <w:next w:val="Normal"/>
    <w:autoRedefine/>
    <w:uiPriority w:val="39"/>
    <w:unhideWhenUsed/>
    <w:qFormat/>
    <w:rsid w:val="00445A92"/>
    <w:pPr>
      <w:spacing w:after="40" w:line="240" w:lineRule="auto"/>
      <w:ind w:left="864"/>
    </w:pPr>
    <w:rPr>
      <w:rFonts w:ascii="Calibri" w:eastAsia="Calibri" w:hAnsi="Calibri" w:cs="Times New Roman"/>
      <w:i/>
      <w:sz w:val="24"/>
    </w:rPr>
  </w:style>
  <w:style w:type="paragraph" w:styleId="Header">
    <w:name w:val="header"/>
    <w:basedOn w:val="Normal"/>
    <w:link w:val="HeaderChar"/>
    <w:uiPriority w:val="99"/>
    <w:unhideWhenUsed/>
    <w:qFormat/>
    <w:rsid w:val="00445A92"/>
    <w:pPr>
      <w:tabs>
        <w:tab w:val="center" w:pos="4680"/>
        <w:tab w:val="right" w:pos="9360"/>
      </w:tabs>
      <w:spacing w:after="0" w:line="240" w:lineRule="auto"/>
    </w:pPr>
    <w:rPr>
      <w:rFonts w:ascii="Calibri" w:eastAsia="Calibri" w:hAnsi="Calibri" w:cs="Times New Roman"/>
      <w:sz w:val="24"/>
    </w:rPr>
  </w:style>
  <w:style w:type="character" w:customStyle="1" w:styleId="HeaderChar">
    <w:name w:val="Header Char"/>
    <w:basedOn w:val="DefaultParagraphFont"/>
    <w:link w:val="Header"/>
    <w:uiPriority w:val="99"/>
    <w:rsid w:val="00445A92"/>
    <w:rPr>
      <w:rFonts w:ascii="Calibri" w:eastAsia="Calibri" w:hAnsi="Calibri" w:cs="Times New Roman"/>
      <w:sz w:val="24"/>
    </w:rPr>
  </w:style>
  <w:style w:type="paragraph" w:styleId="Footer">
    <w:name w:val="footer"/>
    <w:basedOn w:val="Normal"/>
    <w:link w:val="FooterChar"/>
    <w:uiPriority w:val="99"/>
    <w:unhideWhenUsed/>
    <w:qFormat/>
    <w:rsid w:val="00445A92"/>
    <w:pPr>
      <w:tabs>
        <w:tab w:val="center" w:pos="4680"/>
        <w:tab w:val="right" w:pos="9360"/>
      </w:tabs>
      <w:spacing w:after="0" w:line="240" w:lineRule="auto"/>
    </w:pPr>
    <w:rPr>
      <w:rFonts w:ascii="Arial" w:eastAsia="Calibri" w:hAnsi="Arial" w:cs="Times New Roman"/>
      <w:sz w:val="24"/>
    </w:rPr>
  </w:style>
  <w:style w:type="character" w:customStyle="1" w:styleId="FooterChar">
    <w:name w:val="Footer Char"/>
    <w:basedOn w:val="DefaultParagraphFont"/>
    <w:link w:val="Footer"/>
    <w:uiPriority w:val="99"/>
    <w:rsid w:val="00445A92"/>
    <w:rPr>
      <w:rFonts w:ascii="Arial" w:eastAsia="Calibri" w:hAnsi="Arial" w:cs="Times New Roman"/>
      <w:sz w:val="24"/>
    </w:rPr>
  </w:style>
  <w:style w:type="character" w:styleId="FollowedHyperlink">
    <w:name w:val="FollowedHyperlink"/>
    <w:basedOn w:val="DefaultParagraphFont"/>
    <w:uiPriority w:val="99"/>
    <w:semiHidden/>
    <w:unhideWhenUsed/>
    <w:rsid w:val="00445A92"/>
    <w:rPr>
      <w:color w:val="800080" w:themeColor="followedHyperlink"/>
      <w:u w:val="single"/>
    </w:rPr>
  </w:style>
  <w:style w:type="paragraph" w:styleId="Revision">
    <w:name w:val="Revision"/>
    <w:hidden/>
    <w:uiPriority w:val="99"/>
    <w:semiHidden/>
    <w:rsid w:val="00445A92"/>
    <w:pPr>
      <w:spacing w:after="0" w:line="240" w:lineRule="auto"/>
    </w:pPr>
    <w:rPr>
      <w:rFonts w:ascii="Calibri" w:eastAsia="Calibri" w:hAnsi="Calibri" w:cs="Times New Roman"/>
      <w:sz w:val="24"/>
    </w:rPr>
  </w:style>
  <w:style w:type="numbering" w:customStyle="1" w:styleId="NoList1">
    <w:name w:val="No List1"/>
    <w:next w:val="NoList"/>
    <w:uiPriority w:val="99"/>
    <w:semiHidden/>
    <w:unhideWhenUsed/>
    <w:rsid w:val="00445A92"/>
  </w:style>
  <w:style w:type="numbering" w:customStyle="1" w:styleId="NoList11">
    <w:name w:val="No List11"/>
    <w:next w:val="NoList"/>
    <w:uiPriority w:val="99"/>
    <w:semiHidden/>
    <w:unhideWhenUsed/>
    <w:rsid w:val="00445A92"/>
  </w:style>
  <w:style w:type="paragraph" w:styleId="Title">
    <w:name w:val="Title"/>
    <w:basedOn w:val="Normal"/>
    <w:next w:val="Normal"/>
    <w:link w:val="TitleChar"/>
    <w:qFormat/>
    <w:rsid w:val="00445A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45A92"/>
    <w:rPr>
      <w:rFonts w:asciiTheme="majorHAnsi" w:eastAsiaTheme="majorEastAsia" w:hAnsiTheme="majorHAnsi" w:cstheme="majorBidi"/>
      <w:color w:val="17365D" w:themeColor="text2" w:themeShade="BF"/>
      <w:spacing w:val="5"/>
      <w:kern w:val="28"/>
      <w:sz w:val="52"/>
      <w:szCs w:val="52"/>
    </w:rPr>
  </w:style>
  <w:style w:type="table" w:customStyle="1" w:styleId="TableGrid1">
    <w:name w:val="Table Grid1"/>
    <w:basedOn w:val="TableNormal"/>
    <w:next w:val="TableGrid"/>
    <w:uiPriority w:val="59"/>
    <w:rsid w:val="00445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P9Hyperlink">
    <w:name w:val="WP9_Hyperlink"/>
    <w:rsid w:val="00445A92"/>
    <w:rPr>
      <w:color w:val="0000FF"/>
      <w:u w:val="single"/>
    </w:rPr>
  </w:style>
  <w:style w:type="table" w:customStyle="1" w:styleId="TableGrid2">
    <w:name w:val="Table Grid2"/>
    <w:basedOn w:val="TableNormal"/>
    <w:next w:val="TableGrid"/>
    <w:uiPriority w:val="59"/>
    <w:rsid w:val="00445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IRDarkBlueTable">
    <w:name w:val="AIR Dark Blue Table"/>
    <w:basedOn w:val="TableNormal"/>
    <w:uiPriority w:val="99"/>
    <w:qFormat/>
    <w:rsid w:val="00445A92"/>
    <w:pPr>
      <w:spacing w:before="40" w:after="40" w:line="240" w:lineRule="auto"/>
    </w:pPr>
    <w:rPr>
      <w:rFonts w:ascii="Arial" w:eastAsia="Times New Roman" w:hAnsi="Arial" w:cs="Times New Roman"/>
      <w:sz w:val="20"/>
      <w:szCs w:val="24"/>
    </w:rPr>
    <w:tblPr>
      <w:tblStyleRowBandSize w:val="1"/>
      <w:tblStyleColBandSize w:val="1"/>
      <w:tblInd w:w="0"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445A92"/>
  </w:style>
  <w:style w:type="numbering" w:customStyle="1" w:styleId="NoList111">
    <w:name w:val="No List111"/>
    <w:next w:val="NoList"/>
    <w:uiPriority w:val="99"/>
    <w:semiHidden/>
    <w:unhideWhenUsed/>
    <w:rsid w:val="00445A92"/>
  </w:style>
  <w:style w:type="paragraph" w:customStyle="1" w:styleId="AboutAIRLocations">
    <w:name w:val="About AIR Locations"/>
    <w:qFormat/>
    <w:rsid w:val="00445A92"/>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445A92"/>
    <w:pPr>
      <w:suppressAutoHyphens/>
      <w:autoSpaceDE w:val="0"/>
      <w:autoSpaceDN w:val="0"/>
      <w:adjustRightInd w:val="0"/>
      <w:spacing w:before="60" w:after="0" w:line="360" w:lineRule="auto"/>
      <w:textAlignment w:val="center"/>
    </w:pPr>
    <w:rPr>
      <w:rFonts w:ascii="Franklin Gothic Book" w:eastAsia="Calibri" w:hAnsi="Franklin Gothic Book" w:cs="ITCFranklinGothicStd-Book"/>
      <w:color w:val="000000"/>
      <w:sz w:val="18"/>
      <w:szCs w:val="18"/>
    </w:rPr>
  </w:style>
  <w:style w:type="paragraph" w:customStyle="1" w:styleId="AboutAIRTitle">
    <w:name w:val="About AIR Title"/>
    <w:basedOn w:val="Normal"/>
    <w:qFormat/>
    <w:rsid w:val="00445A92"/>
    <w:pPr>
      <w:suppressAutoHyphens/>
      <w:autoSpaceDE w:val="0"/>
      <w:autoSpaceDN w:val="0"/>
      <w:adjustRightInd w:val="0"/>
      <w:spacing w:after="0" w:line="288" w:lineRule="auto"/>
      <w:textAlignment w:val="center"/>
    </w:pPr>
    <w:rPr>
      <w:rFonts w:ascii="Franklin Gothic Book" w:eastAsia="Calibri" w:hAnsi="Franklin Gothic Book" w:cs="ITCFranklinGothicStd-Book"/>
      <w:caps/>
      <w:color w:val="005295"/>
      <w:sz w:val="24"/>
      <w:szCs w:val="24"/>
    </w:rPr>
  </w:style>
  <w:style w:type="table" w:customStyle="1" w:styleId="AIRDarkBlueTable1">
    <w:name w:val="AIR Dark Blue Table1"/>
    <w:basedOn w:val="TableNormal"/>
    <w:uiPriority w:val="99"/>
    <w:qFormat/>
    <w:rsid w:val="00445A92"/>
    <w:pPr>
      <w:spacing w:before="40" w:after="40" w:line="240" w:lineRule="auto"/>
    </w:pPr>
    <w:rPr>
      <w:rFonts w:ascii="Arial" w:eastAsia="Times New Roman" w:hAnsi="Arial" w:cs="Times New Roman"/>
      <w:sz w:val="20"/>
      <w:szCs w:val="24"/>
    </w:rPr>
    <w:tblPr>
      <w:tblStyleRowBandSize w:val="1"/>
      <w:tblStyleColBandSize w:val="1"/>
      <w:tblInd w:w="0"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445A92"/>
    <w:pPr>
      <w:spacing w:before="40" w:after="40" w:line="240" w:lineRule="auto"/>
    </w:pPr>
    <w:rPr>
      <w:rFonts w:eastAsia="Times New Roman" w:cs="Times New Roman"/>
      <w:szCs w:val="24"/>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445A92"/>
    <w:pPr>
      <w:spacing w:before="40" w:after="40" w:line="240" w:lineRule="auto"/>
    </w:pPr>
    <w:rPr>
      <w:rFonts w:eastAsia="Times New Roman" w:cs="Times New Roman"/>
      <w:szCs w:val="24"/>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445A92"/>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445A92"/>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445A92"/>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445A92"/>
    <w:pPr>
      <w:spacing w:after="0"/>
    </w:pPr>
    <w:rPr>
      <w:caps w:val="0"/>
    </w:rPr>
  </w:style>
  <w:style w:type="paragraph" w:customStyle="1" w:styleId="BackCoverURL">
    <w:name w:val="Back Cover URL"/>
    <w:basedOn w:val="BackCoverAddress"/>
    <w:qFormat/>
    <w:rsid w:val="00445A92"/>
    <w:pPr>
      <w:spacing w:before="120"/>
    </w:pPr>
    <w:rPr>
      <w:b/>
    </w:rPr>
  </w:style>
  <w:style w:type="paragraph" w:styleId="BodyText">
    <w:name w:val="Body Text"/>
    <w:link w:val="BodyTextChar"/>
    <w:uiPriority w:val="99"/>
    <w:qFormat/>
    <w:rsid w:val="00445A92"/>
    <w:pPr>
      <w:spacing w:after="240" w:line="240" w:lineRule="auto"/>
    </w:pPr>
    <w:rPr>
      <w:rFonts w:eastAsia="Times New Roman" w:cs="Times New Roman"/>
      <w:sz w:val="24"/>
      <w:szCs w:val="24"/>
    </w:rPr>
  </w:style>
  <w:style w:type="character" w:customStyle="1" w:styleId="BodyTextChar">
    <w:name w:val="Body Text Char"/>
    <w:basedOn w:val="DefaultParagraphFont"/>
    <w:link w:val="BodyText"/>
    <w:uiPriority w:val="99"/>
    <w:rsid w:val="00445A92"/>
    <w:rPr>
      <w:rFonts w:eastAsia="Times New Roman" w:cs="Times New Roman"/>
      <w:sz w:val="24"/>
      <w:szCs w:val="24"/>
    </w:rPr>
  </w:style>
  <w:style w:type="paragraph" w:customStyle="1" w:styleId="BlockQuote">
    <w:name w:val="Block Quote"/>
    <w:basedOn w:val="BodyText"/>
    <w:qFormat/>
    <w:rsid w:val="00445A92"/>
    <w:pPr>
      <w:spacing w:before="120"/>
      <w:ind w:left="720"/>
    </w:pPr>
  </w:style>
  <w:style w:type="paragraph" w:styleId="ListBullet">
    <w:name w:val="List Bullet"/>
    <w:basedOn w:val="Normal"/>
    <w:uiPriority w:val="99"/>
    <w:semiHidden/>
    <w:unhideWhenUsed/>
    <w:rsid w:val="00445A92"/>
    <w:pPr>
      <w:numPr>
        <w:numId w:val="12"/>
      </w:numPr>
      <w:spacing w:after="0" w:line="240" w:lineRule="auto"/>
      <w:contextualSpacing/>
    </w:pPr>
    <w:rPr>
      <w:rFonts w:eastAsiaTheme="minorEastAsia"/>
      <w:sz w:val="24"/>
    </w:rPr>
  </w:style>
  <w:style w:type="paragraph" w:customStyle="1" w:styleId="Bullet10">
    <w:name w:val="Bullet 1"/>
    <w:basedOn w:val="ListBullet"/>
    <w:qFormat/>
    <w:rsid w:val="00445A92"/>
    <w:pPr>
      <w:numPr>
        <w:numId w:val="13"/>
      </w:numPr>
      <w:spacing w:after="120"/>
      <w:contextualSpacing w:val="0"/>
    </w:pPr>
    <w:rPr>
      <w:rFonts w:eastAsia="Times New Roman" w:cs="Times New Roman"/>
      <w:szCs w:val="24"/>
    </w:rPr>
  </w:style>
  <w:style w:type="paragraph" w:customStyle="1" w:styleId="Bullet1Last">
    <w:name w:val="Bullet 1_Last"/>
    <w:basedOn w:val="Bullet10"/>
    <w:qFormat/>
    <w:rsid w:val="00445A92"/>
    <w:pPr>
      <w:numPr>
        <w:numId w:val="0"/>
      </w:numPr>
      <w:spacing w:after="240"/>
    </w:pPr>
  </w:style>
  <w:style w:type="paragraph" w:styleId="ListBullet2">
    <w:name w:val="List Bullet 2"/>
    <w:basedOn w:val="Normal"/>
    <w:uiPriority w:val="99"/>
    <w:semiHidden/>
    <w:unhideWhenUsed/>
    <w:rsid w:val="00445A92"/>
    <w:pPr>
      <w:numPr>
        <w:numId w:val="14"/>
      </w:numPr>
      <w:spacing w:after="0" w:line="240" w:lineRule="auto"/>
      <w:contextualSpacing/>
    </w:pPr>
    <w:rPr>
      <w:rFonts w:eastAsiaTheme="minorEastAsia"/>
      <w:sz w:val="24"/>
    </w:rPr>
  </w:style>
  <w:style w:type="paragraph" w:customStyle="1" w:styleId="Bullet2">
    <w:name w:val="Bullet 2"/>
    <w:basedOn w:val="ListBullet2"/>
    <w:qFormat/>
    <w:rsid w:val="00445A92"/>
    <w:pPr>
      <w:numPr>
        <w:numId w:val="15"/>
      </w:numPr>
      <w:spacing w:after="120"/>
    </w:pPr>
    <w:rPr>
      <w:rFonts w:eastAsia="Times New Roman" w:cs="Times New Roman"/>
      <w:szCs w:val="24"/>
    </w:rPr>
  </w:style>
  <w:style w:type="paragraph" w:styleId="ListBullet3">
    <w:name w:val="List Bullet 3"/>
    <w:basedOn w:val="Normal"/>
    <w:uiPriority w:val="99"/>
    <w:unhideWhenUsed/>
    <w:rsid w:val="00445A92"/>
    <w:pPr>
      <w:numPr>
        <w:ilvl w:val="1"/>
        <w:numId w:val="15"/>
      </w:numPr>
      <w:spacing w:after="0" w:line="240" w:lineRule="auto"/>
      <w:contextualSpacing/>
    </w:pPr>
    <w:rPr>
      <w:rFonts w:eastAsiaTheme="minorEastAsia"/>
      <w:sz w:val="24"/>
    </w:rPr>
  </w:style>
  <w:style w:type="paragraph" w:customStyle="1" w:styleId="Bullet3">
    <w:name w:val="Bullet 3"/>
    <w:basedOn w:val="ListBullet3"/>
    <w:qFormat/>
    <w:rsid w:val="00445A92"/>
    <w:pPr>
      <w:numPr>
        <w:ilvl w:val="0"/>
        <w:numId w:val="16"/>
      </w:numPr>
      <w:spacing w:after="120"/>
    </w:pPr>
  </w:style>
  <w:style w:type="paragraph" w:customStyle="1" w:styleId="TableTitle">
    <w:name w:val="Table Title"/>
    <w:qFormat/>
    <w:rsid w:val="00445A92"/>
    <w:pPr>
      <w:keepNext/>
      <w:spacing w:after="120" w:line="240" w:lineRule="auto"/>
    </w:pPr>
    <w:rPr>
      <w:rFonts w:ascii="Arial" w:eastAsia="Times New Roman" w:hAnsi="Arial" w:cs="Times"/>
      <w:b/>
      <w:color w:val="002C5F"/>
      <w:sz w:val="20"/>
      <w:szCs w:val="24"/>
    </w:rPr>
  </w:style>
  <w:style w:type="paragraph" w:styleId="Caption">
    <w:name w:val="caption"/>
    <w:basedOn w:val="TableTitle"/>
    <w:next w:val="Normal"/>
    <w:uiPriority w:val="35"/>
    <w:unhideWhenUsed/>
    <w:qFormat/>
    <w:rsid w:val="00445A92"/>
  </w:style>
  <w:style w:type="paragraph" w:customStyle="1" w:styleId="ContentsHeading">
    <w:name w:val="Contents Heading"/>
    <w:next w:val="BodyText"/>
    <w:qFormat/>
    <w:rsid w:val="00445A92"/>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445A92"/>
    <w:pPr>
      <w:spacing w:after="120" w:line="240" w:lineRule="auto"/>
      <w:jc w:val="right"/>
    </w:pPr>
    <w:rPr>
      <w:rFonts w:eastAsia="Times New Roman" w:cs="Times New Roman"/>
      <w:b/>
      <w:bCs/>
      <w:sz w:val="24"/>
      <w:szCs w:val="20"/>
    </w:rPr>
  </w:style>
  <w:style w:type="paragraph" w:customStyle="1" w:styleId="Copyrightinfo">
    <w:name w:val="Copyright info"/>
    <w:basedOn w:val="Normal"/>
    <w:link w:val="CopyrightinfoChar"/>
    <w:qFormat/>
    <w:rsid w:val="00445A92"/>
    <w:pPr>
      <w:spacing w:after="120" w:line="240" w:lineRule="auto"/>
    </w:pPr>
    <w:rPr>
      <w:rFonts w:eastAsia="Times New Roman" w:cs="Times New Roman"/>
      <w:iCs/>
      <w:sz w:val="20"/>
      <w:szCs w:val="20"/>
    </w:rPr>
  </w:style>
  <w:style w:type="character" w:customStyle="1" w:styleId="CopyrightinfoChar">
    <w:name w:val="Copyright info Char"/>
    <w:basedOn w:val="DefaultParagraphFont"/>
    <w:link w:val="Copyrightinfo"/>
    <w:rsid w:val="00445A92"/>
    <w:rPr>
      <w:rFonts w:eastAsia="Times New Roman" w:cs="Times New Roman"/>
      <w:iCs/>
      <w:sz w:val="20"/>
      <w:szCs w:val="20"/>
    </w:rPr>
  </w:style>
  <w:style w:type="paragraph" w:customStyle="1" w:styleId="CoverAffiliation">
    <w:name w:val="Cover Affiliation"/>
    <w:link w:val="CoverAffiliationChar"/>
    <w:qFormat/>
    <w:rsid w:val="00445A92"/>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445A92"/>
    <w:rPr>
      <w:rFonts w:ascii="Arial" w:eastAsia="Perpetua" w:hAnsi="Arial" w:cs="Times New Roman"/>
      <w:color w:val="595959"/>
      <w:sz w:val="28"/>
      <w:szCs w:val="28"/>
    </w:rPr>
  </w:style>
  <w:style w:type="paragraph" w:customStyle="1" w:styleId="CoverAuthorName">
    <w:name w:val="Cover Author Name"/>
    <w:link w:val="CoverAuthorNameChar"/>
    <w:qFormat/>
    <w:rsid w:val="00445A92"/>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445A92"/>
    <w:rPr>
      <w:rFonts w:ascii="Arial" w:eastAsia="Perpetua" w:hAnsi="Arial" w:cs="Times New Roman"/>
      <w:b/>
      <w:color w:val="595959"/>
      <w:sz w:val="28"/>
      <w:szCs w:val="28"/>
    </w:rPr>
  </w:style>
  <w:style w:type="paragraph" w:customStyle="1" w:styleId="CoverBackAddress">
    <w:name w:val="Cover Back Address"/>
    <w:basedOn w:val="Normal"/>
    <w:qFormat/>
    <w:rsid w:val="00445A92"/>
    <w:pPr>
      <w:suppressAutoHyphens/>
      <w:autoSpaceDE w:val="0"/>
      <w:autoSpaceDN w:val="0"/>
      <w:adjustRightInd w:val="0"/>
      <w:spacing w:after="0" w:line="288" w:lineRule="auto"/>
      <w:textAlignment w:val="center"/>
    </w:pPr>
    <w:rPr>
      <w:rFonts w:ascii="Franklin Gothic Book" w:eastAsia="Calibri" w:hAnsi="Franklin Gothic Book" w:cs="ITCFranklinGothicStd-Book"/>
      <w:color w:val="000000"/>
      <w:sz w:val="20"/>
      <w:szCs w:val="20"/>
    </w:rPr>
  </w:style>
  <w:style w:type="paragraph" w:customStyle="1" w:styleId="CoverBackFooter">
    <w:name w:val="Cover Back Footer"/>
    <w:basedOn w:val="Normal"/>
    <w:qFormat/>
    <w:rsid w:val="00445A92"/>
    <w:pPr>
      <w:tabs>
        <w:tab w:val="center" w:pos="4680"/>
        <w:tab w:val="right" w:pos="9360"/>
      </w:tabs>
      <w:spacing w:after="0" w:line="240" w:lineRule="auto"/>
      <w:ind w:left="720"/>
      <w:jc w:val="right"/>
    </w:pPr>
    <w:rPr>
      <w:rFonts w:ascii="Franklin Gothic Book" w:eastAsia="Times New Roman" w:hAnsi="Franklin Gothic Book" w:cs="Times New Roman"/>
      <w:sz w:val="18"/>
      <w:szCs w:val="18"/>
    </w:rPr>
  </w:style>
  <w:style w:type="paragraph" w:customStyle="1" w:styleId="CoverBackURL">
    <w:name w:val="Cover Back URL"/>
    <w:basedOn w:val="Normal"/>
    <w:qFormat/>
    <w:rsid w:val="00445A92"/>
    <w:pPr>
      <w:suppressAutoHyphens/>
      <w:autoSpaceDE w:val="0"/>
      <w:autoSpaceDN w:val="0"/>
      <w:adjustRightInd w:val="0"/>
      <w:spacing w:before="90" w:after="0" w:line="288" w:lineRule="auto"/>
      <w:textAlignment w:val="center"/>
    </w:pPr>
    <w:rPr>
      <w:rFonts w:ascii="Franklin Gothic Demi" w:eastAsia="Calibri" w:hAnsi="Franklin Gothic Demi" w:cs="ITCFranklinGothicStd-Demi"/>
      <w:color w:val="000000"/>
      <w:sz w:val="20"/>
      <w:szCs w:val="20"/>
    </w:rPr>
  </w:style>
  <w:style w:type="paragraph" w:customStyle="1" w:styleId="CoverDate">
    <w:name w:val="Cover Date"/>
    <w:basedOn w:val="Normal"/>
    <w:qFormat/>
    <w:rsid w:val="00445A92"/>
    <w:pPr>
      <w:jc w:val="center"/>
    </w:pPr>
    <w:rPr>
      <w:rFonts w:ascii="Franklin Gothic Book" w:eastAsia="Perpetua" w:hAnsi="Franklin Gothic Book" w:cs="Times New Roman"/>
      <w:color w:val="FFFFFF"/>
      <w:spacing w:val="12"/>
    </w:rPr>
  </w:style>
  <w:style w:type="paragraph" w:customStyle="1" w:styleId="CoverSubtitle">
    <w:name w:val="Cover Subtitle"/>
    <w:link w:val="CoverSubtitleChar"/>
    <w:qFormat/>
    <w:rsid w:val="00445A92"/>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445A92"/>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445A92"/>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445A92"/>
    <w:rPr>
      <w:rFonts w:ascii="Franklin Gothic Demi" w:eastAsia="Perpetua" w:hAnsi="Franklin Gothic Demi" w:cs="Times New Roman"/>
      <w:color w:val="005295"/>
      <w:sz w:val="50"/>
      <w:szCs w:val="50"/>
    </w:rPr>
  </w:style>
  <w:style w:type="paragraph" w:customStyle="1" w:styleId="FooterLetter">
    <w:name w:val="Footer Letter"/>
    <w:basedOn w:val="Normal"/>
    <w:rsid w:val="00445A92"/>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445A92"/>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445A92"/>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445A92"/>
    <w:pPr>
      <w:numPr>
        <w:numId w:val="17"/>
      </w:numPr>
    </w:pPr>
  </w:style>
  <w:style w:type="numbering" w:customStyle="1" w:styleId="Level2Bullet">
    <w:name w:val="Level 2 Bullet"/>
    <w:basedOn w:val="NoList"/>
    <w:rsid w:val="00445A92"/>
    <w:pPr>
      <w:numPr>
        <w:numId w:val="18"/>
      </w:numPr>
    </w:pPr>
  </w:style>
  <w:style w:type="paragraph" w:styleId="ListNumber4">
    <w:name w:val="List Number 4"/>
    <w:basedOn w:val="Normal"/>
    <w:uiPriority w:val="99"/>
    <w:semiHidden/>
    <w:unhideWhenUsed/>
    <w:rsid w:val="00445A92"/>
    <w:pPr>
      <w:tabs>
        <w:tab w:val="num" w:pos="1440"/>
      </w:tabs>
      <w:spacing w:before="120" w:after="0" w:line="240" w:lineRule="auto"/>
      <w:ind w:left="1440" w:hanging="360"/>
    </w:pPr>
    <w:rPr>
      <w:rFonts w:eastAsiaTheme="minorEastAsia"/>
      <w:sz w:val="24"/>
    </w:rPr>
  </w:style>
  <w:style w:type="paragraph" w:styleId="ListNumber5">
    <w:name w:val="List Number 5"/>
    <w:basedOn w:val="Normal"/>
    <w:uiPriority w:val="99"/>
    <w:semiHidden/>
    <w:unhideWhenUsed/>
    <w:rsid w:val="00445A92"/>
    <w:pPr>
      <w:tabs>
        <w:tab w:val="num" w:pos="1800"/>
      </w:tabs>
      <w:spacing w:before="120" w:after="0" w:line="240" w:lineRule="auto"/>
      <w:ind w:left="1800" w:hanging="360"/>
    </w:pPr>
    <w:rPr>
      <w:rFonts w:eastAsiaTheme="minorEastAsia"/>
      <w:sz w:val="24"/>
    </w:rPr>
  </w:style>
  <w:style w:type="paragraph" w:styleId="NoSpacing">
    <w:name w:val="No Spacing"/>
    <w:link w:val="NoSpacingChar"/>
    <w:uiPriority w:val="1"/>
    <w:qFormat/>
    <w:rsid w:val="00445A92"/>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445A92"/>
    <w:rPr>
      <w:rFonts w:eastAsiaTheme="minorEastAsia"/>
      <w:sz w:val="24"/>
    </w:rPr>
  </w:style>
  <w:style w:type="paragraph" w:styleId="NormalWeb">
    <w:name w:val="Normal (Web)"/>
    <w:basedOn w:val="Normal"/>
    <w:uiPriority w:val="99"/>
    <w:semiHidden/>
    <w:unhideWhenUsed/>
    <w:rsid w:val="00445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edList">
    <w:name w:val="Numbered List"/>
    <w:qFormat/>
    <w:rsid w:val="00A65CE3"/>
    <w:pPr>
      <w:numPr>
        <w:numId w:val="19"/>
      </w:numPr>
      <w:spacing w:line="360" w:lineRule="auto"/>
    </w:pPr>
    <w:rPr>
      <w:rFonts w:ascii="Arial" w:eastAsia="Times New Roman" w:hAnsi="Arial" w:cs="Times New Roman"/>
      <w:sz w:val="24"/>
      <w:szCs w:val="24"/>
    </w:rPr>
  </w:style>
  <w:style w:type="character" w:styleId="PageNumber">
    <w:name w:val="page number"/>
    <w:basedOn w:val="DefaultParagraphFont"/>
    <w:rsid w:val="00445A92"/>
  </w:style>
  <w:style w:type="character" w:styleId="PlaceholderText">
    <w:name w:val="Placeholder Text"/>
    <w:basedOn w:val="DefaultParagraphFont"/>
    <w:uiPriority w:val="99"/>
    <w:semiHidden/>
    <w:rsid w:val="00445A92"/>
    <w:rPr>
      <w:color w:val="808080"/>
    </w:rPr>
  </w:style>
  <w:style w:type="paragraph" w:styleId="Quote">
    <w:name w:val="Quote"/>
    <w:basedOn w:val="Normal"/>
    <w:next w:val="Normal"/>
    <w:link w:val="QuoteChar"/>
    <w:uiPriority w:val="29"/>
    <w:qFormat/>
    <w:rsid w:val="00445A92"/>
    <w:pPr>
      <w:spacing w:after="0" w:line="240" w:lineRule="auto"/>
    </w:pPr>
    <w:rPr>
      <w:rFonts w:eastAsia="Times New Roman" w:cs="Times New Roman"/>
      <w:i/>
      <w:sz w:val="24"/>
      <w:szCs w:val="24"/>
    </w:rPr>
  </w:style>
  <w:style w:type="character" w:customStyle="1" w:styleId="QuoteChar">
    <w:name w:val="Quote Char"/>
    <w:basedOn w:val="DefaultParagraphFont"/>
    <w:link w:val="Quote"/>
    <w:uiPriority w:val="29"/>
    <w:rsid w:val="00445A92"/>
    <w:rPr>
      <w:rFonts w:eastAsia="Times New Roman" w:cs="Times New Roman"/>
      <w:i/>
      <w:sz w:val="24"/>
      <w:szCs w:val="24"/>
    </w:rPr>
  </w:style>
  <w:style w:type="paragraph" w:customStyle="1" w:styleId="Reference">
    <w:name w:val="Reference"/>
    <w:basedOn w:val="Normal"/>
    <w:link w:val="ReferenceChar"/>
    <w:rsid w:val="00445A92"/>
    <w:pPr>
      <w:spacing w:after="240" w:line="240" w:lineRule="auto"/>
      <w:ind w:left="360" w:hanging="360"/>
    </w:pPr>
    <w:rPr>
      <w:rFonts w:ascii="Arial" w:hAnsi="Arial" w:cs="Arial"/>
      <w:sz w:val="24"/>
      <w:szCs w:val="24"/>
    </w:rPr>
  </w:style>
  <w:style w:type="character" w:customStyle="1" w:styleId="ReferenceChar">
    <w:name w:val="Reference Char"/>
    <w:basedOn w:val="DefaultParagraphFont"/>
    <w:link w:val="Reference"/>
    <w:rsid w:val="00445A92"/>
    <w:rPr>
      <w:rFonts w:ascii="Arial" w:hAnsi="Arial" w:cs="Arial"/>
      <w:sz w:val="24"/>
      <w:szCs w:val="24"/>
    </w:rPr>
  </w:style>
  <w:style w:type="character" w:customStyle="1" w:styleId="ReferenceItalics">
    <w:name w:val="Reference Italics"/>
    <w:basedOn w:val="DefaultParagraphFont"/>
    <w:uiPriority w:val="1"/>
    <w:qFormat/>
    <w:rsid w:val="00445A92"/>
    <w:rPr>
      <w:i/>
    </w:rPr>
  </w:style>
  <w:style w:type="character" w:styleId="Strong">
    <w:name w:val="Strong"/>
    <w:basedOn w:val="DefaultParagraphFont"/>
    <w:uiPriority w:val="22"/>
    <w:qFormat/>
    <w:rsid w:val="00445A92"/>
    <w:rPr>
      <w:b/>
      <w:bCs/>
    </w:rPr>
  </w:style>
  <w:style w:type="paragraph" w:customStyle="1" w:styleId="StyleHeading2pHeading220pt">
    <w:name w:val="Style Heading 2p.Heading 2 + 20 pt"/>
    <w:rsid w:val="00445A92"/>
    <w:rPr>
      <w:rFonts w:ascii="Arial" w:eastAsia="Perpetua" w:hAnsi="Arial" w:cs="Times New Roman"/>
      <w:b/>
      <w:bCs/>
      <w:noProof/>
      <w:color w:val="002C5F"/>
      <w:sz w:val="40"/>
      <w:szCs w:val="50"/>
    </w:rPr>
  </w:style>
  <w:style w:type="paragraph" w:customStyle="1" w:styleId="StyleHeading2pHeading220pt1">
    <w:name w:val="Style Heading 2p.Heading 2 + 20 pt1"/>
    <w:rsid w:val="00445A92"/>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445A92"/>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445A92"/>
    <w:pPr>
      <w:numPr>
        <w:numId w:val="20"/>
      </w:numPr>
      <w:tabs>
        <w:tab w:val="left" w:pos="269"/>
      </w:tabs>
      <w:spacing w:line="240" w:lineRule="auto"/>
      <w:ind w:left="269" w:hanging="270"/>
    </w:pPr>
    <w:rPr>
      <w:rFonts w:eastAsiaTheme="minorEastAsia"/>
    </w:rPr>
  </w:style>
  <w:style w:type="paragraph" w:customStyle="1" w:styleId="TableBullet2">
    <w:name w:val="Table Bullet 2"/>
    <w:basedOn w:val="TableText"/>
    <w:qFormat/>
    <w:rsid w:val="00445A92"/>
    <w:pPr>
      <w:numPr>
        <w:numId w:val="21"/>
      </w:numPr>
      <w:spacing w:line="240" w:lineRule="auto"/>
    </w:pPr>
    <w:rPr>
      <w:rFonts w:eastAsiaTheme="minorEastAsia"/>
    </w:rPr>
  </w:style>
  <w:style w:type="paragraph" w:customStyle="1" w:styleId="TableColHeadingLeft">
    <w:name w:val="Table Col Heading Left"/>
    <w:basedOn w:val="TableText"/>
    <w:qFormat/>
    <w:rsid w:val="00445A92"/>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445A92"/>
    <w:pPr>
      <w:jc w:val="center"/>
    </w:pPr>
  </w:style>
  <w:style w:type="table" w:customStyle="1" w:styleId="TableGrid3">
    <w:name w:val="Table Grid3"/>
    <w:basedOn w:val="TableNormal"/>
    <w:next w:val="TableGrid"/>
    <w:rsid w:val="00445A9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445A92"/>
    <w:pPr>
      <w:spacing w:after="0" w:line="240" w:lineRule="auto"/>
    </w:pPr>
    <w:rPr>
      <w:rFonts w:ascii="Franklin Gothic Book" w:eastAsia="Calibri" w:hAnsi="Franklin Gothic Book"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umbering">
    <w:name w:val="Table Numbering"/>
    <w:basedOn w:val="TableText"/>
    <w:qFormat/>
    <w:rsid w:val="00445A92"/>
    <w:pPr>
      <w:numPr>
        <w:numId w:val="22"/>
      </w:numPr>
      <w:spacing w:line="240" w:lineRule="auto"/>
    </w:pPr>
    <w:rPr>
      <w:rFonts w:eastAsiaTheme="minorEastAsia"/>
    </w:rPr>
  </w:style>
  <w:style w:type="paragraph" w:customStyle="1" w:styleId="TableSubheading">
    <w:name w:val="Table Subheading"/>
    <w:qFormat/>
    <w:rsid w:val="00445A92"/>
    <w:rPr>
      <w:rFonts w:ascii="Arial" w:eastAsiaTheme="minorEastAsia" w:hAnsi="Arial" w:cs="Times New Roman"/>
      <w:b/>
      <w:sz w:val="20"/>
      <w:szCs w:val="24"/>
    </w:rPr>
  </w:style>
  <w:style w:type="paragraph" w:customStyle="1" w:styleId="TableTextCentered">
    <w:name w:val="Table Text Centered"/>
    <w:basedOn w:val="TableText"/>
    <w:qFormat/>
    <w:rsid w:val="00445A92"/>
    <w:pPr>
      <w:spacing w:line="240" w:lineRule="auto"/>
      <w:jc w:val="center"/>
    </w:pPr>
  </w:style>
  <w:style w:type="paragraph" w:customStyle="1" w:styleId="TitlePageText">
    <w:name w:val="Title Page Text"/>
    <w:basedOn w:val="Normal"/>
    <w:qFormat/>
    <w:rsid w:val="00445A92"/>
    <w:pPr>
      <w:spacing w:after="0" w:line="240" w:lineRule="auto"/>
      <w:ind w:left="900"/>
    </w:pPr>
    <w:rPr>
      <w:rFonts w:eastAsia="Calibri"/>
      <w:sz w:val="20"/>
    </w:rPr>
  </w:style>
  <w:style w:type="paragraph" w:customStyle="1" w:styleId="TitlePageAddress">
    <w:name w:val="Title Page Address"/>
    <w:basedOn w:val="TitlePageText"/>
    <w:link w:val="TitlePageAddressChar"/>
    <w:qFormat/>
    <w:rsid w:val="00445A92"/>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445A92"/>
    <w:rPr>
      <w:rFonts w:eastAsia="Calibri" w:cs="Times New Roman"/>
      <w:noProof/>
      <w:sz w:val="24"/>
      <w:szCs w:val="24"/>
    </w:rPr>
  </w:style>
  <w:style w:type="paragraph" w:customStyle="1" w:styleId="TitlePageAuthor">
    <w:name w:val="Title Page Author"/>
    <w:basedOn w:val="TitlePageText"/>
    <w:qFormat/>
    <w:rsid w:val="00445A92"/>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445A92"/>
    <w:pPr>
      <w:spacing w:after="0" w:line="240" w:lineRule="auto"/>
      <w:ind w:left="900"/>
    </w:pPr>
    <w:rPr>
      <w:rFonts w:eastAsia="Times New Roman" w:cs="Times New Roman"/>
      <w:sz w:val="20"/>
      <w:szCs w:val="24"/>
    </w:rPr>
  </w:style>
  <w:style w:type="character" w:customStyle="1" w:styleId="TitlePageCopyrightTextChar">
    <w:name w:val="Title Page Copyright Text Char"/>
    <w:basedOn w:val="DefaultParagraphFont"/>
    <w:link w:val="TitlePageCopyrightText"/>
    <w:rsid w:val="00445A92"/>
    <w:rPr>
      <w:rFonts w:eastAsia="Times New Roman" w:cs="Times New Roman"/>
      <w:sz w:val="20"/>
      <w:szCs w:val="24"/>
    </w:rPr>
  </w:style>
  <w:style w:type="paragraph" w:customStyle="1" w:styleId="TitlePageDate">
    <w:name w:val="Title Page Date"/>
    <w:basedOn w:val="TitlePageText"/>
    <w:next w:val="TitlePageText"/>
    <w:qFormat/>
    <w:rsid w:val="00445A92"/>
    <w:pPr>
      <w:spacing w:after="720"/>
      <w:ind w:left="907"/>
    </w:pPr>
    <w:rPr>
      <w:rFonts w:ascii="Arial" w:hAnsi="Arial"/>
      <w:b/>
      <w:sz w:val="32"/>
    </w:rPr>
  </w:style>
  <w:style w:type="paragraph" w:customStyle="1" w:styleId="TitlePageOrganization">
    <w:name w:val="Title Page Organization"/>
    <w:basedOn w:val="TitlePageAuthor"/>
    <w:qFormat/>
    <w:rsid w:val="00445A92"/>
    <w:pPr>
      <w:spacing w:after="2400"/>
    </w:pPr>
    <w:rPr>
      <w:i/>
      <w:iCs/>
    </w:rPr>
  </w:style>
  <w:style w:type="paragraph" w:customStyle="1" w:styleId="TitlePagePublicationNumber">
    <w:name w:val="Title Page Publication Number"/>
    <w:basedOn w:val="Normal"/>
    <w:qFormat/>
    <w:rsid w:val="00445A92"/>
    <w:pPr>
      <w:tabs>
        <w:tab w:val="right" w:pos="9360"/>
      </w:tabs>
      <w:spacing w:after="0" w:line="240" w:lineRule="auto"/>
      <w:jc w:val="right"/>
    </w:pPr>
    <w:rPr>
      <w:rFonts w:eastAsia="Times New Roman" w:cs="Times New Roman"/>
      <w:sz w:val="16"/>
      <w:szCs w:val="16"/>
    </w:rPr>
  </w:style>
  <w:style w:type="paragraph" w:customStyle="1" w:styleId="TitlePagePublicationNumberandDate">
    <w:name w:val="Title Page Publication Number and Date"/>
    <w:basedOn w:val="BodyText"/>
    <w:next w:val="BodyText"/>
    <w:link w:val="TitlePagePublicationNumberandDateChar"/>
    <w:qFormat/>
    <w:rsid w:val="00445A92"/>
    <w:pPr>
      <w:spacing w:after="120"/>
    </w:pPr>
    <w:rPr>
      <w:sz w:val="20"/>
    </w:rPr>
  </w:style>
  <w:style w:type="character" w:customStyle="1" w:styleId="TitlePagePublicationNumberandDateChar">
    <w:name w:val="Title Page Publication Number and Date Char"/>
    <w:basedOn w:val="CopyrightinfoChar"/>
    <w:link w:val="TitlePagePublicationNumberandDate"/>
    <w:rsid w:val="00445A92"/>
    <w:rPr>
      <w:rFonts w:eastAsia="Times New Roman" w:cs="Times New Roman"/>
      <w:iCs w:val="0"/>
      <w:sz w:val="20"/>
      <w:szCs w:val="24"/>
    </w:rPr>
  </w:style>
  <w:style w:type="paragraph" w:customStyle="1" w:styleId="TitlePageTitleSubtitle">
    <w:name w:val="Title Page Title/Subtitle"/>
    <w:basedOn w:val="TitlePageText"/>
    <w:qFormat/>
    <w:rsid w:val="00445A92"/>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445A92"/>
    <w:rPr>
      <w:b/>
    </w:rPr>
  </w:style>
  <w:style w:type="paragraph" w:styleId="TOC4">
    <w:name w:val="toc 4"/>
    <w:basedOn w:val="Normal"/>
    <w:next w:val="Normal"/>
    <w:autoRedefine/>
    <w:uiPriority w:val="39"/>
    <w:rsid w:val="00445A92"/>
    <w:pPr>
      <w:tabs>
        <w:tab w:val="right" w:leader="dot" w:pos="9350"/>
      </w:tabs>
      <w:spacing w:before="120" w:after="0" w:line="240" w:lineRule="auto"/>
      <w:ind w:left="1166" w:right="720" w:hanging="86"/>
    </w:pPr>
    <w:rPr>
      <w:rFonts w:eastAsia="Times New Roman" w:cs="Times"/>
      <w:sz w:val="24"/>
    </w:rPr>
  </w:style>
  <w:style w:type="paragraph" w:customStyle="1" w:styleId="TableTextRight">
    <w:name w:val="Table Text Right"/>
    <w:basedOn w:val="TableText"/>
    <w:qFormat/>
    <w:rsid w:val="00445A92"/>
    <w:pPr>
      <w:spacing w:line="240" w:lineRule="auto"/>
      <w:jc w:val="right"/>
    </w:pPr>
  </w:style>
  <w:style w:type="paragraph" w:customStyle="1" w:styleId="TableColHeadCenter-Narrow">
    <w:name w:val="Table Col Head Center-Narrow"/>
    <w:basedOn w:val="TableColHeadingCenter"/>
    <w:qFormat/>
    <w:rsid w:val="00445A92"/>
    <w:rPr>
      <w:rFonts w:ascii="Arial Narrow" w:hAnsi="Arial Narrow"/>
    </w:rPr>
  </w:style>
  <w:style w:type="paragraph" w:customStyle="1" w:styleId="TableHead">
    <w:name w:val="Table Head"/>
    <w:next w:val="TableofFigures"/>
    <w:qFormat/>
    <w:rsid w:val="00445A92"/>
    <w:pPr>
      <w:keepNext/>
      <w:keepLines/>
      <w:spacing w:before="40" w:after="40" w:line="240" w:lineRule="auto"/>
      <w:jc w:val="center"/>
    </w:pPr>
    <w:rPr>
      <w:rFonts w:ascii="Arial" w:eastAsia="Calibri" w:hAnsi="Arial" w:cs="Arial"/>
      <w:b/>
      <w:sz w:val="24"/>
    </w:rPr>
  </w:style>
  <w:style w:type="paragraph" w:styleId="TableofFigures">
    <w:name w:val="table of figures"/>
    <w:basedOn w:val="Normal"/>
    <w:next w:val="Normal"/>
    <w:uiPriority w:val="99"/>
    <w:semiHidden/>
    <w:unhideWhenUsed/>
    <w:rsid w:val="00445A92"/>
    <w:pPr>
      <w:spacing w:after="0"/>
    </w:pPr>
  </w:style>
  <w:style w:type="paragraph" w:customStyle="1" w:styleId="font5">
    <w:name w:val="font5"/>
    <w:basedOn w:val="Normal"/>
    <w:rsid w:val="00445A92"/>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445A92"/>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660000"/>
      <w:sz w:val="20"/>
      <w:szCs w:val="20"/>
    </w:rPr>
  </w:style>
  <w:style w:type="paragraph" w:customStyle="1" w:styleId="xl66">
    <w:name w:val="xl66"/>
    <w:basedOn w:val="Normal"/>
    <w:rsid w:val="00445A92"/>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445A92"/>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445A92"/>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445A92"/>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445A92"/>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445A92"/>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2">
    <w:name w:val="xl72"/>
    <w:basedOn w:val="Normal"/>
    <w:rsid w:val="00445A92"/>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445A92"/>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445A92"/>
    <w:pPr>
      <w:spacing w:before="480" w:after="240" w:line="240" w:lineRule="auto"/>
      <w:jc w:val="center"/>
      <w:outlineLvl w:val="0"/>
    </w:pPr>
    <w:rPr>
      <w:rFonts w:ascii="Arial" w:eastAsia="Times New Roman" w:hAnsi="Arial" w:cs="Times New Roman"/>
      <w:b/>
      <w:bCs/>
      <w:sz w:val="28"/>
      <w:szCs w:val="24"/>
    </w:rPr>
  </w:style>
  <w:style w:type="paragraph" w:customStyle="1" w:styleId="NCDNationalCouncilStaff">
    <w:name w:val="NCD.National Council Staff"/>
    <w:qFormat/>
    <w:rsid w:val="00445A92"/>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7409F0"/>
    <w:pPr>
      <w:spacing w:before="120" w:after="240" w:line="240" w:lineRule="auto"/>
    </w:pPr>
    <w:rPr>
      <w:rFonts w:ascii="Arial" w:hAnsi="Arial" w:cs="Arial"/>
      <w:szCs w:val="20"/>
    </w:rPr>
  </w:style>
  <w:style w:type="paragraph" w:customStyle="1" w:styleId="NCDInsideCoverText">
    <w:name w:val="NCD.Inside Cover Text"/>
    <w:qFormat/>
    <w:rsid w:val="00445A92"/>
    <w:pPr>
      <w:spacing w:before="480"/>
    </w:pPr>
    <w:rPr>
      <w:rFonts w:ascii="Arial" w:hAnsi="Arial" w:cs="Arial"/>
      <w:sz w:val="24"/>
      <w:szCs w:val="32"/>
    </w:rPr>
  </w:style>
  <w:style w:type="paragraph" w:customStyle="1" w:styleId="NCDInsideCoverTitle">
    <w:name w:val="NCD.Inside Cover Title"/>
    <w:qFormat/>
    <w:rsid w:val="00445A92"/>
    <w:pPr>
      <w:spacing w:before="480" w:after="0" w:line="360" w:lineRule="auto"/>
    </w:pPr>
    <w:rPr>
      <w:rFonts w:ascii="Arial" w:hAnsi="Arial" w:cs="Arial"/>
      <w:b/>
      <w:i/>
      <w:sz w:val="24"/>
      <w:szCs w:val="32"/>
    </w:rPr>
  </w:style>
  <w:style w:type="paragraph" w:customStyle="1" w:styleId="NCDCoverLetterText">
    <w:name w:val="NCD.Cover Letter Text"/>
    <w:qFormat/>
    <w:rsid w:val="00445A92"/>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445A92"/>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445A92"/>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445A92"/>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445A92"/>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445A92"/>
    <w:pPr>
      <w:spacing w:after="360" w:line="240" w:lineRule="auto"/>
    </w:pPr>
    <w:rPr>
      <w:rFonts w:ascii="Arial" w:eastAsia="Times New Roman" w:hAnsi="Arial" w:cs="Times New Roman"/>
      <w:color w:val="7F7F7F" w:themeColor="text1" w:themeTint="80"/>
      <w:sz w:val="36"/>
      <w:szCs w:val="32"/>
    </w:rPr>
  </w:style>
  <w:style w:type="character" w:customStyle="1" w:styleId="NCDBodyTextSpaceBeforeChar">
    <w:name w:val="NCD.Body Text Space Before Char"/>
    <w:basedOn w:val="DefaultParagraphFont"/>
    <w:link w:val="NCDBodyTextSpaceBefore"/>
    <w:rsid w:val="002E124F"/>
    <w:rPr>
      <w:rFonts w:ascii="Arial" w:eastAsia="Calibri" w:hAnsi="Arial" w:cs="Calibri"/>
      <w:color w:val="000000" w:themeColor="text1"/>
      <w:sz w:val="24"/>
      <w:szCs w:val="24"/>
      <w:u w:color="000000"/>
      <w:bdr w:val="nil"/>
    </w:rPr>
  </w:style>
  <w:style w:type="paragraph" w:customStyle="1" w:styleId="EndNoteBibliography">
    <w:name w:val="EndNote Bibliography"/>
    <w:basedOn w:val="Normal"/>
    <w:link w:val="EndNoteBibliographyChar"/>
    <w:rsid w:val="00445A92"/>
    <w:pPr>
      <w:spacing w:after="240" w:line="240" w:lineRule="auto"/>
      <w:ind w:left="720" w:hanging="720"/>
    </w:pPr>
    <w:rPr>
      <w:rFonts w:ascii="Arial" w:hAnsi="Arial" w:cs="Arial"/>
      <w:noProof/>
      <w:sz w:val="24"/>
    </w:rPr>
  </w:style>
  <w:style w:type="character" w:customStyle="1" w:styleId="EndNoteBibliographyChar">
    <w:name w:val="EndNote Bibliography Char"/>
    <w:basedOn w:val="DefaultParagraphFont"/>
    <w:link w:val="EndNoteBibliography"/>
    <w:rsid w:val="00445A92"/>
    <w:rPr>
      <w:rFonts w:ascii="Arial" w:hAnsi="Arial" w:cs="Arial"/>
      <w:noProof/>
      <w:sz w:val="24"/>
    </w:rPr>
  </w:style>
  <w:style w:type="paragraph" w:customStyle="1" w:styleId="EndNoteBibliographyTitle">
    <w:name w:val="EndNote Bibliography Title"/>
    <w:basedOn w:val="Normal"/>
    <w:link w:val="EndNoteBibliographyTitleChar"/>
    <w:rsid w:val="00445A92"/>
    <w:pPr>
      <w:spacing w:after="0"/>
      <w:jc w:val="center"/>
    </w:pPr>
    <w:rPr>
      <w:rFonts w:ascii="Arial" w:eastAsia="Calibri" w:hAnsi="Arial" w:cs="Arial"/>
      <w:noProof/>
      <w:sz w:val="24"/>
      <w:szCs w:val="24"/>
    </w:rPr>
  </w:style>
  <w:style w:type="character" w:customStyle="1" w:styleId="EndNoteBibliographyTitleChar">
    <w:name w:val="EndNote Bibliography Title Char"/>
    <w:basedOn w:val="ReferenceChar"/>
    <w:link w:val="EndNoteBibliographyTitle"/>
    <w:rsid w:val="00445A92"/>
    <w:rPr>
      <w:rFonts w:ascii="Arial" w:eastAsia="Calibri" w:hAnsi="Arial" w:cs="Arial"/>
      <w:noProof/>
      <w:sz w:val="24"/>
      <w:szCs w:val="24"/>
    </w:rPr>
  </w:style>
  <w:style w:type="paragraph" w:customStyle="1" w:styleId="listitem">
    <w:name w:val="list_item"/>
    <w:basedOn w:val="Normal"/>
    <w:rsid w:val="00445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45A92"/>
  </w:style>
  <w:style w:type="paragraph" w:styleId="EndnoteText">
    <w:name w:val="endnote text"/>
    <w:basedOn w:val="Normal"/>
    <w:link w:val="EndnoteTextChar"/>
    <w:uiPriority w:val="99"/>
    <w:unhideWhenUsed/>
    <w:rsid w:val="00445A92"/>
    <w:pPr>
      <w:spacing w:after="240" w:line="240" w:lineRule="auto"/>
    </w:pPr>
    <w:rPr>
      <w:rFonts w:ascii="Arial" w:eastAsia="Calibri" w:hAnsi="Arial" w:cs="Times New Roman"/>
      <w:sz w:val="24"/>
      <w:szCs w:val="20"/>
    </w:rPr>
  </w:style>
  <w:style w:type="character" w:customStyle="1" w:styleId="EndnoteTextChar">
    <w:name w:val="Endnote Text Char"/>
    <w:basedOn w:val="DefaultParagraphFont"/>
    <w:link w:val="EndnoteText"/>
    <w:uiPriority w:val="99"/>
    <w:rsid w:val="00445A92"/>
    <w:rPr>
      <w:rFonts w:ascii="Arial" w:eastAsia="Calibri" w:hAnsi="Arial" w:cs="Times New Roman"/>
      <w:sz w:val="24"/>
      <w:szCs w:val="20"/>
    </w:rPr>
  </w:style>
  <w:style w:type="character" w:styleId="EndnoteReference">
    <w:name w:val="endnote reference"/>
    <w:basedOn w:val="DefaultParagraphFont"/>
    <w:uiPriority w:val="99"/>
    <w:semiHidden/>
    <w:unhideWhenUsed/>
    <w:rsid w:val="00445A92"/>
    <w:rPr>
      <w:vertAlign w:val="superscript"/>
    </w:rPr>
  </w:style>
  <w:style w:type="paragraph" w:customStyle="1" w:styleId="NCDLetterofTransmittalBodyText">
    <w:name w:val="NCD.Letter of Transmittal Body Text"/>
    <w:basedOn w:val="Normal"/>
    <w:qFormat/>
    <w:rsid w:val="00445A92"/>
    <w:pPr>
      <w:autoSpaceDE w:val="0"/>
      <w:autoSpaceDN w:val="0"/>
      <w:spacing w:after="240" w:line="240" w:lineRule="auto"/>
    </w:pPr>
    <w:rPr>
      <w:rFonts w:ascii="Arial" w:eastAsia="Times New Roman" w:hAnsi="Arial" w:cs="Arial"/>
      <w:sz w:val="24"/>
      <w:szCs w:val="24"/>
    </w:rPr>
  </w:style>
  <w:style w:type="paragraph" w:customStyle="1" w:styleId="Heading3noTOC">
    <w:name w:val="Heading 3 no TOC"/>
    <w:qFormat/>
    <w:rsid w:val="00445A92"/>
    <w:pPr>
      <w:keepNext/>
      <w:spacing w:before="360" w:after="240" w:line="240" w:lineRule="auto"/>
    </w:pPr>
    <w:rPr>
      <w:rFonts w:ascii="Arial" w:eastAsia="Calibri" w:hAnsi="Arial" w:cs="Arial"/>
      <w:b/>
      <w:sz w:val="24"/>
      <w:szCs w:val="24"/>
    </w:rPr>
  </w:style>
  <w:style w:type="paragraph" w:customStyle="1" w:styleId="NCDAppendixHeading3">
    <w:name w:val="NCD.Appendix Heading 3"/>
    <w:qFormat/>
    <w:rsid w:val="00445A92"/>
    <w:pPr>
      <w:spacing w:after="240"/>
    </w:pPr>
    <w:rPr>
      <w:rFonts w:ascii="Arial" w:eastAsia="Calibri" w:hAnsi="Arial" w:cs="Calibri"/>
      <w:b/>
      <w:color w:val="95B3D7" w:themeColor="accent1" w:themeTint="99"/>
      <w:sz w:val="24"/>
      <w:szCs w:val="24"/>
      <w:u w:color="000000"/>
      <w:bdr w:val="nil"/>
    </w:rPr>
  </w:style>
  <w:style w:type="paragraph" w:customStyle="1" w:styleId="ncdbodytextspacebefore0">
    <w:name w:val="ncdbodytextspacebefore"/>
    <w:basedOn w:val="Normal"/>
    <w:rsid w:val="00445A92"/>
    <w:pPr>
      <w:spacing w:before="240" w:after="360" w:line="360" w:lineRule="auto"/>
    </w:pPr>
    <w:rPr>
      <w:rFonts w:ascii="Arial" w:hAnsi="Arial" w:cs="Arial"/>
      <w:color w:val="000000"/>
      <w:sz w:val="24"/>
      <w:szCs w:val="24"/>
    </w:rPr>
  </w:style>
  <w:style w:type="character" w:customStyle="1" w:styleId="Mention1">
    <w:name w:val="Mention1"/>
    <w:basedOn w:val="DefaultParagraphFont"/>
    <w:uiPriority w:val="99"/>
    <w:semiHidden/>
    <w:unhideWhenUsed/>
    <w:rsid w:val="00445A92"/>
    <w:rPr>
      <w:color w:val="2B579A"/>
      <w:shd w:val="clear" w:color="auto" w:fill="E6E6E6"/>
    </w:rPr>
  </w:style>
  <w:style w:type="character" w:customStyle="1" w:styleId="Mention2">
    <w:name w:val="Mention2"/>
    <w:basedOn w:val="DefaultParagraphFont"/>
    <w:uiPriority w:val="99"/>
    <w:semiHidden/>
    <w:unhideWhenUsed/>
    <w:rsid w:val="00445A92"/>
    <w:rPr>
      <w:color w:val="2B579A"/>
      <w:shd w:val="clear" w:color="auto" w:fill="E6E6E6"/>
    </w:rPr>
  </w:style>
  <w:style w:type="character" w:customStyle="1" w:styleId="Mention3">
    <w:name w:val="Mention3"/>
    <w:basedOn w:val="DefaultParagraphFont"/>
    <w:uiPriority w:val="99"/>
    <w:semiHidden/>
    <w:unhideWhenUsed/>
    <w:rsid w:val="00445A92"/>
    <w:rPr>
      <w:color w:val="2B579A"/>
      <w:shd w:val="clear" w:color="auto" w:fill="E6E6E6"/>
    </w:rPr>
  </w:style>
  <w:style w:type="paragraph" w:customStyle="1" w:styleId="LetterofTransmittalBodyText">
    <w:name w:val="Letter of Transmittal Body Text"/>
    <w:basedOn w:val="Normal"/>
    <w:qFormat/>
    <w:rsid w:val="001C727B"/>
    <w:pPr>
      <w:autoSpaceDE w:val="0"/>
      <w:autoSpaceDN w:val="0"/>
      <w:spacing w:line="240" w:lineRule="auto"/>
    </w:pPr>
    <w:rPr>
      <w:rFonts w:ascii="Arial" w:eastAsia="Times New Roman" w:hAnsi="Arial" w:cs="Arial"/>
      <w:sz w:val="24"/>
      <w:szCs w:val="24"/>
    </w:rPr>
  </w:style>
  <w:style w:type="paragraph" w:customStyle="1" w:styleId="NumberedList2">
    <w:name w:val="Numbered List 2"/>
    <w:basedOn w:val="NCDBodyTextSpaceBefore"/>
    <w:link w:val="NumberedList2Char"/>
    <w:qFormat/>
    <w:rsid w:val="00A65CE3"/>
    <w:pPr>
      <w:numPr>
        <w:ilvl w:val="1"/>
        <w:numId w:val="23"/>
      </w:numPr>
    </w:pPr>
  </w:style>
  <w:style w:type="character" w:customStyle="1" w:styleId="NumberedList2Char">
    <w:name w:val="Numbered List 2 Char"/>
    <w:basedOn w:val="NCDBodyTextSpaceBeforeChar"/>
    <w:link w:val="NumberedList2"/>
    <w:rsid w:val="00A65CE3"/>
    <w:rPr>
      <w:rFonts w:ascii="Arial" w:eastAsia="Calibri" w:hAnsi="Arial" w:cs="Calibri"/>
      <w:color w:val="000000" w:themeColor="text1"/>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cd.gov/publications/2017/ncd-letter-cms-hcbs-settings-rule" TargetMode="External"/><Relationship Id="rId18" Type="http://schemas.openxmlformats.org/officeDocument/2006/relationships/hyperlink" Target="https://ncd.gov/publications/2015/02242015" TargetMode="External"/><Relationship Id="rId26" Type="http://schemas.openxmlformats.org/officeDocument/2006/relationships/hyperlink" Target="https://ncd.gov/publications/2010/03232010-1"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cd.gov/publications/2015/05042015/" TargetMode="External"/><Relationship Id="rId34" Type="http://schemas.openxmlformats.org/officeDocument/2006/relationships/hyperlink" Target="https://ncd.gov/publications/2003/April152003" TargetMode="External"/><Relationship Id="rId7" Type="http://schemas.openxmlformats.org/officeDocument/2006/relationships/footnotes" Target="footnotes.xml"/><Relationship Id="rId12" Type="http://schemas.openxmlformats.org/officeDocument/2006/relationships/hyperlink" Target="https://ncd.gov/publications/2017/ncd-comments-education-mandatory-civil-rights-data-collection" TargetMode="External"/><Relationship Id="rId17" Type="http://schemas.openxmlformats.org/officeDocument/2006/relationships/hyperlink" Target="https://ncd.gov/publications/2015/ncd-letter-small-business-administration" TargetMode="External"/><Relationship Id="rId25" Type="http://schemas.openxmlformats.org/officeDocument/2006/relationships/hyperlink" Target="http://www.ncd.gov/publications/2010/Jan192010" TargetMode="External"/><Relationship Id="rId33" Type="http://schemas.openxmlformats.org/officeDocument/2006/relationships/hyperlink" Target="http://www.ncd.gov/publications/2006/Oct31200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cd.gov/publications/2016/impact-affordable-care-act-people-disabilities-2015-status-report" TargetMode="External"/><Relationship Id="rId20" Type="http://schemas.openxmlformats.org/officeDocument/2006/relationships/hyperlink" Target="https://ncd.gov/publications/2015/06182015" TargetMode="External"/><Relationship Id="rId29" Type="http://schemas.openxmlformats.org/officeDocument/2006/relationships/hyperlink" Target="https://ncd.gov/publications/2010/Jan2020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cd.gov/publications/2017/mental-health-college-campuses-investments-accommodations-needed-address-student" TargetMode="External"/><Relationship Id="rId24" Type="http://schemas.openxmlformats.org/officeDocument/2006/relationships/hyperlink" Target="https://ncd.gov/publications/2012/August232012" TargetMode="External"/><Relationship Id="rId32" Type="http://schemas.openxmlformats.org/officeDocument/2006/relationships/hyperlink" Target="http://www.ncd.gov/publications/2007/Oct12007"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ncd.gov/publications/2016/ncd-letter-treasury-tax-debt" TargetMode="External"/><Relationship Id="rId23" Type="http://schemas.openxmlformats.org/officeDocument/2006/relationships/hyperlink" Target="http://www.ncd.gov/publications/2013/05212013/" TargetMode="External"/><Relationship Id="rId28" Type="http://schemas.openxmlformats.org/officeDocument/2006/relationships/hyperlink" Target="https://ncd.gov/publications/2010/03232010-5" TargetMode="External"/><Relationship Id="rId36" Type="http://schemas.openxmlformats.org/officeDocument/2006/relationships/hyperlink" Target="http://www.thinkcollege.net/images/stories/Cohort_2_TPSID.pdf" TargetMode="External"/><Relationship Id="rId10" Type="http://schemas.openxmlformats.org/officeDocument/2006/relationships/image" Target="media/image2.png"/><Relationship Id="rId19" Type="http://schemas.openxmlformats.org/officeDocument/2006/relationships/hyperlink" Target="http://www.ncd.gov/publications/2015/01292015/" TargetMode="External"/><Relationship Id="rId31" Type="http://schemas.openxmlformats.org/officeDocument/2006/relationships/hyperlink" Target="https://ncd.gov/publications/2008/0808200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ncd.gov/publications/2017/letter-cms-requesting-meeting-on-medicaid" TargetMode="External"/><Relationship Id="rId22" Type="http://schemas.openxmlformats.org/officeDocument/2006/relationships/hyperlink" Target="https://ncd.gov/publications/2013/05222013" TargetMode="External"/><Relationship Id="rId27" Type="http://schemas.openxmlformats.org/officeDocument/2006/relationships/hyperlink" Target="https://ncd.gov/publications/2010/03232010-3" TargetMode="External"/><Relationship Id="rId30" Type="http://schemas.openxmlformats.org/officeDocument/2006/relationships/hyperlink" Target="https://ncd.gov/publications/2009/Aug122009" TargetMode="External"/><Relationship Id="rId35" Type="http://schemas.openxmlformats.org/officeDocument/2006/relationships/hyperlink" Target="http://www.thinkcollege.net/"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www.disabilitystatistics.org/" TargetMode="External"/><Relationship Id="rId18" Type="http://schemas.openxmlformats.org/officeDocument/2006/relationships/hyperlink" Target="http://www.thinkcollege.net/about-us/think-college-grant-projects/national-coordinating-center" TargetMode="External"/><Relationship Id="rId26" Type="http://schemas.openxmlformats.org/officeDocument/2006/relationships/hyperlink" Target="http://kff.org/medicaid/issue-brief/medicaid-restructuring-under-the-american-health-care-act-and-nonelderly-adults-with-disabilities/" TargetMode="External"/><Relationship Id="rId39" Type="http://schemas.openxmlformats.org/officeDocument/2006/relationships/hyperlink" Target="https://www.ncsha.org/system/files/resources/TAC_Summary_1.7.11.pdf" TargetMode="External"/><Relationship Id="rId21" Type="http://schemas.openxmlformats.org/officeDocument/2006/relationships/hyperlink" Target="http://www.gao.gov/assets/600/592074.pdf" TargetMode="External"/><Relationship Id="rId34" Type="http://schemas.openxmlformats.org/officeDocument/2006/relationships/hyperlink" Target="https://www.ssa.gov/policy/docs/rsnotes/rsn2016-01.html" TargetMode="External"/><Relationship Id="rId42" Type="http://schemas.openxmlformats.org/officeDocument/2006/relationships/hyperlink" Target="https://ncd.gov/publications/2010/Jan192010/" TargetMode="External"/><Relationship Id="rId47" Type="http://schemas.openxmlformats.org/officeDocument/2006/relationships/hyperlink" Target="https://www.transit.dot.gov/sites/fta.dot.gov/files/docs/Final_FTA_ADA_Circular_C_4710.1.pdf" TargetMode="External"/><Relationship Id="rId50" Type="http://schemas.openxmlformats.org/officeDocument/2006/relationships/hyperlink" Target="https://ici.umn.edu/index.php?products/view/385" TargetMode="External"/><Relationship Id="rId55" Type="http://schemas.openxmlformats.org/officeDocument/2006/relationships/hyperlink" Target="https://msrc.fsu.edu/system/files/Rudd%20et%20al%202011%20Student%20veterans%20A%20national%20survey%20exploring%20psychological%20symptoms%20and%20suicide%20risk_0.pdf" TargetMode="External"/><Relationship Id="rId63" Type="http://schemas.openxmlformats.org/officeDocument/2006/relationships/hyperlink" Target="http://eprints.soton.ac.uk/55260/" TargetMode="External"/><Relationship Id="rId68" Type="http://schemas.openxmlformats.org/officeDocument/2006/relationships/hyperlink" Target="https://ncd.gov/publications/2012/August232012" TargetMode="External"/><Relationship Id="rId76" Type="http://schemas.openxmlformats.org/officeDocument/2006/relationships/hyperlink" Target="https://portal.hud.gov/hudportal/HUD?src=/program_offices/comm_%0bplanning" TargetMode="External"/><Relationship Id="rId84" Type="http://schemas.openxmlformats.org/officeDocument/2006/relationships/hyperlink" Target="http://betterplansbetterplaces.iscvt.org/" TargetMode="External"/><Relationship Id="rId7" Type="http://schemas.openxmlformats.org/officeDocument/2006/relationships/hyperlink" Target="https://www.census.gov/content/dam/Census/library/publications/2016/demo/p60-258.pdf" TargetMode="External"/><Relationship Id="rId71" Type="http://schemas.openxmlformats.org/officeDocument/2006/relationships/hyperlink" Target="https://equalrightscenter.org/wp-content/uploads/equal-rights-center-v.-uber-technologies-inc.-complaint.pdf" TargetMode="External"/><Relationship Id="rId2" Type="http://schemas.openxmlformats.org/officeDocument/2006/relationships/hyperlink" Target="http://journals.sagepub.com/doi/abs/10.1177/00343552070500040101" TargetMode="External"/><Relationship Id="rId16" Type="http://schemas.openxmlformats.org/officeDocument/2006/relationships/hyperlink" Target="https://studentaid.ed.gov/sa/types/grants-scholarships/fseog" TargetMode="External"/><Relationship Id="rId29" Type="http://schemas.openxmlformats.org/officeDocument/2006/relationships/hyperlink" Target="https://www.ssa.gov/policy/docs/statcomps/ssi_asr/2015/sect02.html" TargetMode="External"/><Relationship Id="rId11" Type="http://schemas.openxmlformats.org/officeDocument/2006/relationships/hyperlink" Target="https://www.achieve.org/files/Achieve%20-%20NCEO%20-%20Graduation%20%0bRequirements%2013Nov2013.pdf" TargetMode="External"/><Relationship Id="rId24" Type="http://schemas.openxmlformats.org/officeDocument/2006/relationships/hyperlink" Target="http://leadcenter.org/system/files/resource/downloadable_version/wioa-rehab-act-final-rule-aug.pdf" TargetMode="External"/><Relationship Id="rId32" Type="http://schemas.openxmlformats.org/officeDocument/2006/relationships/hyperlink" Target="http://files.kff.org/attachment/report-medicaid-financial-eligibility-for-seniors-and-people-with-disabilities-in-2015" TargetMode="External"/><Relationship Id="rId37" Type="http://schemas.openxmlformats.org/officeDocument/2006/relationships/hyperlink" Target="https://www.novoco.com/sites/default/files/atoms/files/pahrc_2016_housing_report_080216.pdf" TargetMode="External"/><Relationship Id="rId40" Type="http://schemas.openxmlformats.org/officeDocument/2006/relationships/hyperlink" Target="http://nlihc.org/sites/default/files/Sec4.10_Section-811_2015.pdf" TargetMode="External"/><Relationship Id="rId45" Type="http://schemas.openxmlformats.org/officeDocument/2006/relationships/hyperlink" Target="http://www.aapd.com/our-focus/transportation/" TargetMode="External"/><Relationship Id="rId53" Type="http://schemas.openxmlformats.org/officeDocument/2006/relationships/hyperlink" Target="https://studentaid.ed.gov/sa/sites/default/files/FY2014_FSA_Annual_Report_508.pdf" TargetMode="External"/><Relationship Id="rId58" Type="http://schemas.openxmlformats.org/officeDocument/2006/relationships/hyperlink" Target="http://www.tacinc.org/policy-leadership/current-priorities" TargetMode="External"/><Relationship Id="rId66" Type="http://schemas.openxmlformats.org/officeDocument/2006/relationships/hyperlink" Target="http://journals.sagepub.com/doi/abs/10.1177/1938965511424151" TargetMode="External"/><Relationship Id="rId74" Type="http://schemas.openxmlformats.org/officeDocument/2006/relationships/hyperlink" Target="http://www.apse.org/wp-content/uploads/2014/01/%0bactivity.html" TargetMode="External"/><Relationship Id="rId79" Type="http://schemas.openxmlformats.org/officeDocument/2006/relationships/hyperlink" Target="http://www.nari.org/industry/development/certification/universal-design-certified-professional-udcp/" TargetMode="External"/><Relationship Id="rId5" Type="http://schemas.openxmlformats.org/officeDocument/2006/relationships/hyperlink" Target="https://www.census.gov/library/visualizations/2014/demo/poverty_measure-how.html" TargetMode="External"/><Relationship Id="rId61" Type="http://schemas.openxmlformats.org/officeDocument/2006/relationships/hyperlink" Target="https://www.april-rural.org/images/stories/%0b200911/april_transportation_position_statementjanuary_2010.pdf" TargetMode="External"/><Relationship Id="rId82" Type="http://schemas.openxmlformats.org/officeDocument/2006/relationships/hyperlink" Target="http://www.montgomerycountymd.gov/DHCA/Resources/Files/housing/singlefamily/mpdu/report_mpdu30yearreview.pdf" TargetMode="External"/><Relationship Id="rId19" Type="http://schemas.openxmlformats.org/officeDocument/2006/relationships/hyperlink" Target="https://studentaid.ed.gov/sa/eligibility/intellectual-disabilities" TargetMode="External"/><Relationship Id="rId4" Type="http://schemas.openxmlformats.org/officeDocument/2006/relationships/hyperlink" Target="http://www.air.org/sites/default/files/downloads/report/Labor-Force-Participation-People-with-Disabilities-Yin-Sept-2015.pdf" TargetMode="External"/><Relationship Id="rId9" Type="http://schemas.openxmlformats.org/officeDocument/2006/relationships/hyperlink" Target="https://nces.ed.gov/programs/coe/pdf/Indicator_CGG/COE_CGG_2013_01.pdf" TargetMode="External"/><Relationship Id="rId14" Type="http://schemas.openxmlformats.org/officeDocument/2006/relationships/hyperlink" Target="http://money.howstuffworks.com/personal-finance/college-planning/financial-aid/financial-aid-disabled-students4.htm" TargetMode="External"/><Relationship Id="rId22" Type="http://schemas.openxmlformats.org/officeDocument/2006/relationships/hyperlink" Target="http://www.leadcenter.org/resources/report-brief/2013-lead-center-policy-roundtable-report-making-collaboration-real" TargetMode="External"/><Relationship Id="rId27" Type="http://schemas.openxmlformats.org/officeDocument/2006/relationships/hyperlink" Target="https://kaiserfamilyfoundation.files.wordpress.com/2013/08/7846-04-medicaids-role-for-dual-eligible-beneficiaries.pdf" TargetMode="External"/><Relationship Id="rId30" Type="http://schemas.openxmlformats.org/officeDocument/2006/relationships/hyperlink" Target="http://kff.org/medicaid/issue-brief/streamlining-medicaid-home-and-community-based-services-key-policy-questions/" TargetMode="External"/><Relationship Id="rId35" Type="http://schemas.openxmlformats.org/officeDocument/2006/relationships/hyperlink" Target="https://abetterway.speaker.gov/" TargetMode="External"/><Relationship Id="rId43" Type="http://schemas.openxmlformats.org/officeDocument/2006/relationships/hyperlink" Target="http://www.urban.org/research/publication/housing-policy-levers-promote-economic-mobility" TargetMode="External"/><Relationship Id="rId48" Type="http://schemas.openxmlformats.org/officeDocument/2006/relationships/hyperlink" Target="https://www2.ed.gov/programs/osepidea/618-data/LEA-racial-ethnic-disparities-tables/disproportionality-analysis-by-state-analysis-category.pdf" TargetMode="External"/><Relationship Id="rId56" Type="http://schemas.openxmlformats.org/officeDocument/2006/relationships/hyperlink" Target="https://www.researchgate.net/publication/267198732_Ability_or_Inability_to_Work_Challenges_in_Moving_Towards_a_More_Work-Focused_Disability_Definition_for_Social%0bSecurity_Administration_SSA_Disability_Programs" TargetMode="External"/><Relationship Id="rId64" Type="http://schemas.openxmlformats.org/officeDocument/2006/relationships/hyperlink" Target="https://www.counseling.org/Resources/Library/VISTAS/%0bvistas06_online-only/Johnson.pdf" TargetMode="External"/><Relationship Id="rId69" Type="http://schemas.openxmlformats.org/officeDocument/2006/relationships/hyperlink" Target="https://www.justice.gov/opa/pr/department-justice-reaches-landmark-americans-disabilities-act-settlement-agreement-rhode" TargetMode="External"/><Relationship Id="rId77" Type="http://schemas.openxmlformats.org/officeDocument/2006/relationships/hyperlink" Target="http://www.fairfaxcounty.gov/universaldesign/bfac.htm" TargetMode="External"/><Relationship Id="rId8" Type="http://schemas.openxmlformats.org/officeDocument/2006/relationships/hyperlink" Target="https://www.dol.gov/odep/ietoolkit/publications/375.pdf" TargetMode="External"/><Relationship Id="rId51" Type="http://schemas.openxmlformats.org/officeDocument/2006/relationships/hyperlink" Target="https://ncd.gov/publications/2015/05192015" TargetMode="External"/><Relationship Id="rId72" Type="http://schemas.openxmlformats.org/officeDocument/2006/relationships/hyperlink" Target="https://www.law360.com/cases/57ff9a753b739629f7000002" TargetMode="External"/><Relationship Id="rId80" Type="http://schemas.openxmlformats.org/officeDocument/2006/relationships/hyperlink" Target="https://www.wbdg.org/design-objectives/accessible/beyond-accessibility-universal-design" TargetMode="External"/><Relationship Id="rId85" Type="http://schemas.openxmlformats.org/officeDocument/2006/relationships/hyperlink" Target="https://www.fema.gov/2010-getting-real-inclusive-emergency-management-national-capacity-building-training-conference" TargetMode="External"/><Relationship Id="rId3" Type="http://schemas.openxmlformats.org/officeDocument/2006/relationships/hyperlink" Target="https://www.help.senate.gov/imo/media/doc/HELP%20Committee%20Disability%20and%20Poverty%20Report.pdf" TargetMode="External"/><Relationship Id="rId12" Type="http://schemas.openxmlformats.org/officeDocument/2006/relationships/hyperlink" Target="http://www.washington.edu/doit/sites/default/files/atoms/files/Working-Together-K12-Teachers-Students-Disabilities.pdf" TargetMode="External"/><Relationship Id="rId17" Type="http://schemas.openxmlformats.org/officeDocument/2006/relationships/hyperlink" Target="https://www.aucd.org/docs/policy/appropriations/TPSID_FY15_Brief.pdf" TargetMode="External"/><Relationship Id="rId25" Type="http://schemas.openxmlformats.org/officeDocument/2006/relationships/hyperlink" Target="https://www.mbda.gov/news/blog/2012/03/what-8a-business-development-program?page=2" TargetMode="External"/><Relationship Id="rId33" Type="http://schemas.openxmlformats.org/officeDocument/2006/relationships/hyperlink" Target="https://www.ssa.gov/policy/docs/rsnotes/rsn2015-02.html" TargetMode="External"/><Relationship Id="rId38" Type="http://schemas.openxmlformats.org/officeDocument/2006/relationships/hyperlink" Target="https://www.macfound.org/media/files/How_Housing_Matters_in_Chicago_Conference_White_Paper1.pdf" TargetMode="External"/><Relationship Id="rId46" Type="http://schemas.openxmlformats.org/officeDocument/2006/relationships/hyperlink" Target="http://onlinepubs.trb.org/onlinepubs/tcrp/tcrp_rpt_163IBCurrentUse.pdf" TargetMode="External"/><Relationship Id="rId59" Type="http://schemas.openxmlformats.org/officeDocument/2006/relationships/hyperlink" Target="https://www.census.gov/newsroom/press-releases/2016/cb16-210.html" TargetMode="External"/><Relationship Id="rId67" Type="http://schemas.openxmlformats.org/officeDocument/2006/relationships/hyperlink" Target="https://www.dol.gov/odep/topics/pdf/ACICIEID_Final_Report_9-8-16.pdf" TargetMode="External"/><Relationship Id="rId20" Type="http://schemas.openxmlformats.org/officeDocument/2006/relationships/hyperlink" Target="https://www.census.gov/programs-surveys/acs/data/pums.html" TargetMode="External"/><Relationship Id="rId41" Type="http://schemas.openxmlformats.org/officeDocument/2006/relationships/hyperlink" Target="http://www.cbpp.org/sites/default/files/atoms/files/7-5-16hous-chartbook.pdf" TargetMode="External"/><Relationship Id="rId54" Type="http://schemas.openxmlformats.org/officeDocument/2006/relationships/hyperlink" Target="http://studentdebtcrisis.org/dept-of-ed-disability-forgiveness/" TargetMode="External"/><Relationship Id="rId62" Type="http://schemas.openxmlformats.org/officeDocument/2006/relationships/hyperlink" Target="http://content.iospress.com/articles/journal-of-vocational-rehabilitation/jvr625" TargetMode="External"/><Relationship Id="rId70" Type="http://schemas.openxmlformats.org/officeDocument/2006/relationships/hyperlink" Target="https://www.justice.gov/opa/pr/justice-department-reaches-landmark-settlement-agreement-state-oregon-regarding-americans" TargetMode="External"/><Relationship Id="rId75" Type="http://schemas.openxmlformats.org/officeDocument/2006/relationships/hyperlink" Target="https://www2.ed.gov/legislation/FedRegister/finrule/2001-1/012201a.html" TargetMode="External"/><Relationship Id="rId83" Type="http://schemas.openxmlformats.org/officeDocument/2006/relationships/hyperlink" Target="http://democracycollaborative.org/democracycollaborative/anchorinstitutions/Anchor%20Institutions" TargetMode="External"/><Relationship Id="rId1" Type="http://schemas.openxmlformats.org/officeDocument/2006/relationships/hyperlink" Target="http://journals.sagepub.com/doi/abs/10.1177/1044207308314954" TargetMode="External"/><Relationship Id="rId6" Type="http://schemas.openxmlformats.org/officeDocument/2006/relationships/hyperlink" Target="https://aspe.hhs.gov/computations-2016-poverty-guidelines" TargetMode="External"/><Relationship Id="rId15" Type="http://schemas.openxmlformats.org/officeDocument/2006/relationships/hyperlink" Target="https://nces.ed.gov/pubs2013/2013165.pdf" TargetMode="External"/><Relationship Id="rId23" Type="http://schemas.openxmlformats.org/officeDocument/2006/relationships/hyperlink" Target="https://www2.ed.gov/about/overview/budget/budget17/justifications/i-rehab.pdf" TargetMode="External"/><Relationship Id="rId28" Type="http://schemas.openxmlformats.org/officeDocument/2006/relationships/hyperlink" Target="http://kff.org/medicaid/issue-brief/state-variation-in-medicaid-per-enrollee-spending-for-seniors-and-people-with-disabilities/" TargetMode="External"/><Relationship Id="rId36" Type="http://schemas.openxmlformats.org/officeDocument/2006/relationships/hyperlink" Target="http://scholars.unh.edu/cgi/viewcontent.cgi?article=1066&amp;context=iod" TargetMode="External"/><Relationship Id="rId49" Type="http://schemas.openxmlformats.org/officeDocument/2006/relationships/hyperlink" Target="https://www.ncd.gov/publications/2015/06182015" TargetMode="External"/><Relationship Id="rId57" Type="http://schemas.openxmlformats.org/officeDocument/2006/relationships/hyperlink" Target="https://www.ssa.gov/policy/docs/statcomps/ssi_asr/2015/sect07.html" TargetMode="External"/><Relationship Id="rId10" Type="http://schemas.openxmlformats.org/officeDocument/2006/relationships/hyperlink" Target="https://nces.ed.gov/programs/coe/indicator_cgg.asp" TargetMode="External"/><Relationship Id="rId31" Type="http://schemas.openxmlformats.org/officeDocument/2006/relationships/hyperlink" Target="https://www.cbo.gov/sites/default/files/recurringdata/51301-2017-01-medicaid.pdf" TargetMode="External"/><Relationship Id="rId44" Type="http://schemas.openxmlformats.org/officeDocument/2006/relationships/hyperlink" Target="http://www.apta.com/resources/statistics/Documents/FactBook/2016-APTA-Fact-Book.pdf" TargetMode="External"/><Relationship Id="rId52" Type="http://schemas.openxmlformats.org/officeDocument/2006/relationships/hyperlink" Target="http://www.ncd.gov/publications/2015/05192015" TargetMode="External"/><Relationship Id="rId60" Type="http://schemas.openxmlformats.org/officeDocument/2006/relationships/hyperlink" Target="https://ncd.gov/rawmedia_repository%0b/862358ac_bfec_4afc_8cac_9a02122e231d.pdf" TargetMode="External"/><Relationship Id="rId65" Type="http://schemas.openxmlformats.org/officeDocument/2006/relationships/hyperlink" Target="http://content.iospress.com/articles/journal-of-vocational-rehabilitation/jvr625" TargetMode="External"/><Relationship Id="rId73" Type="http://schemas.openxmlformats.org/officeDocument/2006/relationships/hyperlink" Target="https://equalrightscenter.org/press-releases/equal-rights-center-files-lawsuit-uber-providing-services-inaccessible-wheelchair-riders/" TargetMode="External"/><Relationship Id="rId78" Type="http://schemas.openxmlformats.org/officeDocument/2006/relationships/hyperlink" Target="https://www.nahb.org/en/learn/course-overviews/universal-design-build.aspx" TargetMode="External"/><Relationship Id="rId81" Type="http://schemas.openxmlformats.org/officeDocument/2006/relationships/hyperlink" Target="http://www.montgomerycountymd.gov/DHCA/housing/singlefamily/mpdu/program_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D6CB3-DAFB-4789-B30C-5C261DDF7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112</Pages>
  <Words>29942</Words>
  <Characters>170670</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A Progress Report</dc:title>
  <dc:creator>NCD</dc:creator>
  <cp:lastModifiedBy>Aravindhan C.</cp:lastModifiedBy>
  <cp:revision>71</cp:revision>
  <cp:lastPrinted>2017-09-30T08:17:00Z</cp:lastPrinted>
  <dcterms:created xsi:type="dcterms:W3CDTF">2017-09-18T07:20:00Z</dcterms:created>
  <dcterms:modified xsi:type="dcterms:W3CDTF">2017-10-05T12:47:00Z</dcterms:modified>
</cp:coreProperties>
</file>