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9B" w:rsidRPr="001A12E9" w:rsidRDefault="005C280A" w:rsidP="00B0519B">
      <w:pPr>
        <w:spacing w:after="0" w:line="240" w:lineRule="auto"/>
        <w:ind w:left="-58"/>
        <w:rPr>
          <w:rFonts w:ascii="Times New Roman" w:hAnsi="Times New Roman"/>
          <w:sz w:val="32"/>
          <w:szCs w:val="32"/>
        </w:rPr>
      </w:pPr>
      <w:r w:rsidRPr="006D7EB2">
        <w:rPr>
          <w:rFonts w:ascii="Times New Roman" w:hAnsi="Times New Roman"/>
          <w:noProof/>
          <w:position w:val="2"/>
        </w:rPr>
        <w:drawing>
          <wp:inline distT="0" distB="0" distL="0" distR="0">
            <wp:extent cx="494030" cy="520700"/>
            <wp:effectExtent l="19050" t="0" r="1270" b="0"/>
            <wp:docPr id="3" name="Picture 6" descr="Logo of the National Council on Di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inline>
        </w:drawing>
      </w:r>
      <w:r w:rsidR="00B0519B">
        <w:rPr>
          <w:rFonts w:ascii="Times New Roman" w:hAnsi="Times New Roman"/>
          <w:b/>
          <w:sz w:val="32"/>
          <w:szCs w:val="32"/>
        </w:rPr>
        <w:t xml:space="preserve"> </w:t>
      </w:r>
      <w:r w:rsidR="00B0519B" w:rsidRPr="005C280A">
        <w:rPr>
          <w:rFonts w:ascii="Arial Narrow" w:hAnsi="Arial Narrow"/>
          <w:b/>
          <w:position w:val="28"/>
          <w:sz w:val="32"/>
          <w:szCs w:val="32"/>
        </w:rPr>
        <w:t>National Council on Disability</w:t>
      </w:r>
    </w:p>
    <w:p w:rsidR="00B0519B" w:rsidRPr="005C280A" w:rsidRDefault="00B0519B" w:rsidP="005C280A">
      <w:pPr>
        <w:pBdr>
          <w:top w:val="single" w:sz="12" w:space="3" w:color="auto"/>
        </w:pBdr>
        <w:shd w:val="solid" w:color="FFFFFF" w:fill="auto"/>
        <w:tabs>
          <w:tab w:val="right" w:pos="4781"/>
        </w:tabs>
        <w:spacing w:after="0" w:line="240" w:lineRule="auto"/>
        <w:rPr>
          <w:rFonts w:ascii="Arial" w:hAnsi="Arial" w:cs="Arial"/>
          <w:sz w:val="21"/>
          <w:szCs w:val="21"/>
        </w:rPr>
      </w:pPr>
      <w:proofErr w:type="gramStart"/>
      <w:r w:rsidRPr="005C280A">
        <w:rPr>
          <w:rFonts w:ascii="Arial" w:hAnsi="Arial" w:cs="Arial"/>
          <w:sz w:val="21"/>
          <w:szCs w:val="21"/>
        </w:rPr>
        <w:t>An independent federal agency making recommendations to the President and Congress to enhance the quality of life for all Americans with disabilities and their families.</w:t>
      </w:r>
      <w:proofErr w:type="gramEnd"/>
    </w:p>
    <w:p w:rsidR="00B0519B" w:rsidRDefault="00B0519B" w:rsidP="00B0519B">
      <w:pPr>
        <w:pStyle w:val="NCDLetterheadHead"/>
      </w:pPr>
      <w:r w:rsidRPr="003902D2">
        <w:t>Letter of Transmittal</w:t>
      </w:r>
    </w:p>
    <w:p w:rsidR="00B0519B" w:rsidRDefault="00B0519B" w:rsidP="00B0519B">
      <w:pPr>
        <w:pStyle w:val="NCDLetterText"/>
      </w:pPr>
      <w:r w:rsidRPr="008E42AB">
        <w:t>October 31, 2011</w:t>
      </w:r>
    </w:p>
    <w:p w:rsidR="00B0519B" w:rsidRDefault="00B0519B" w:rsidP="00B0519B">
      <w:pPr>
        <w:pStyle w:val="NCDLetterText"/>
        <w:spacing w:after="0"/>
      </w:pPr>
      <w:r w:rsidRPr="008E42AB">
        <w:t>The President</w:t>
      </w:r>
    </w:p>
    <w:p w:rsidR="00B0519B" w:rsidRPr="008E42AB" w:rsidRDefault="00B0519B" w:rsidP="00B0519B">
      <w:pPr>
        <w:pStyle w:val="NCDLetterText"/>
        <w:spacing w:after="0"/>
      </w:pPr>
      <w:r w:rsidRPr="008E42AB">
        <w:t>The White House</w:t>
      </w:r>
    </w:p>
    <w:p w:rsidR="00B0519B" w:rsidRPr="008E42AB" w:rsidRDefault="00B0519B" w:rsidP="00B0519B">
      <w:pPr>
        <w:pStyle w:val="NCDLetterText"/>
      </w:pPr>
      <w:r w:rsidRPr="008E42AB">
        <w:t>Washington, DC</w:t>
      </w:r>
      <w:r>
        <w:t xml:space="preserve"> </w:t>
      </w:r>
      <w:r w:rsidRPr="008E42AB">
        <w:t>20500</w:t>
      </w:r>
    </w:p>
    <w:p w:rsidR="00B0519B" w:rsidRDefault="00B0519B" w:rsidP="00B0519B">
      <w:pPr>
        <w:pStyle w:val="NCDLetterText"/>
      </w:pPr>
      <w:r w:rsidRPr="008E42AB">
        <w:t>Dear Mr. President:</w:t>
      </w:r>
    </w:p>
    <w:p w:rsidR="00B0519B" w:rsidRDefault="00B0519B" w:rsidP="00B0519B">
      <w:pPr>
        <w:pStyle w:val="NCDLetterText"/>
      </w:pPr>
      <w:r w:rsidRPr="008E42AB">
        <w:t xml:space="preserve">On behalf of the National Council on Disability (NCD), I am pleased to submit the enclosed report, </w:t>
      </w:r>
      <w:r w:rsidRPr="0092053D">
        <w:rPr>
          <w:i/>
        </w:rPr>
        <w:t>National Disability Policy: A Progress Report.</w:t>
      </w:r>
      <w:r>
        <w:t xml:space="preserve"> </w:t>
      </w:r>
      <w:r w:rsidRPr="008E42AB">
        <w:t>In this report, NCD assesses the current state of people with disabilities in America and how emerging trends and government policies are impacting the quality of their lives.</w:t>
      </w:r>
      <w:r>
        <w:t xml:space="preserve"> </w:t>
      </w:r>
      <w:r w:rsidRPr="008E42AB">
        <w:t>The report offers a broad range of recommendations for reforms designed to enhance the independence and self-sufficiency of people with disabilities.</w:t>
      </w:r>
    </w:p>
    <w:p w:rsidR="00B0519B" w:rsidRDefault="00B0519B" w:rsidP="00B0519B">
      <w:pPr>
        <w:pStyle w:val="NCDLetterText"/>
      </w:pPr>
      <w:r w:rsidRPr="008E42AB">
        <w:t>Over the past year, NCD has been actively engaged with our stakeholders across the country.</w:t>
      </w:r>
      <w:r>
        <w:t xml:space="preserve"> </w:t>
      </w:r>
      <w:r w:rsidRPr="008E42AB">
        <w:t>NCD sponsored a variety of opportunities to bring stakeholders and other partners together to exchange information, build collaborations, and develop solutions to long-standing and emerging challenges.</w:t>
      </w:r>
      <w:r>
        <w:t xml:space="preserve"> </w:t>
      </w:r>
      <w:r w:rsidRPr="008E42AB">
        <w:t>Based on what we learned from this extensive community engagement, as well as a review of the most recent national disability data, we found that vast disparities exist between people with and without disabilities in the U</w:t>
      </w:r>
      <w:r>
        <w:t>nited States</w:t>
      </w:r>
      <w:r w:rsidRPr="008E42AB">
        <w:t>.</w:t>
      </w:r>
      <w:r>
        <w:t xml:space="preserve"> </w:t>
      </w:r>
      <w:r w:rsidRPr="008E42AB">
        <w:t>Overall, people with disabilities have lower rates of employment, lower annual earnings, lower educational attainment and achievement; lack adequate access to housing, transportation, technology, and health care; and are more likely to live in poverty.</w:t>
      </w:r>
      <w:r>
        <w:t xml:space="preserve"> </w:t>
      </w:r>
      <w:r w:rsidRPr="008E42AB">
        <w:t xml:space="preserve">Furthermore, the current economic downturn is having a disproportionate negative impact on people with disabilities, and national trend data indicate a decline in many aspects of their quality of life. </w:t>
      </w:r>
    </w:p>
    <w:p w:rsidR="00B0519B" w:rsidRPr="008E42AB" w:rsidRDefault="00B0519B" w:rsidP="00B0519B">
      <w:pPr>
        <w:pStyle w:val="NCDLetterText"/>
      </w:pPr>
      <w:r w:rsidRPr="008E42AB">
        <w:t>NCD also identified a number of recent advances in public policy that, when fully implemented, will have the potential to improve aspects of quality of life for people with disabilities.</w:t>
      </w:r>
      <w:r>
        <w:t xml:space="preserve"> </w:t>
      </w:r>
      <w:r w:rsidRPr="008E42AB">
        <w:t>Some examples include:</w:t>
      </w:r>
    </w:p>
    <w:p w:rsidR="00B0519B" w:rsidRPr="007A7388" w:rsidRDefault="00B0519B" w:rsidP="00B0519B">
      <w:pPr>
        <w:pStyle w:val="NCDLetterText"/>
        <w:numPr>
          <w:ilvl w:val="0"/>
          <w:numId w:val="11"/>
        </w:numPr>
        <w:ind w:right="-360"/>
      </w:pPr>
      <w:r w:rsidRPr="007A7388">
        <w:t>Improved access to health care and health insurance under the Affordable Care Act;</w:t>
      </w:r>
    </w:p>
    <w:p w:rsidR="00B0519B" w:rsidRPr="007A7388" w:rsidRDefault="00B0519B" w:rsidP="00B0519B">
      <w:pPr>
        <w:pStyle w:val="NCDLetterText"/>
        <w:numPr>
          <w:ilvl w:val="0"/>
          <w:numId w:val="11"/>
        </w:numPr>
      </w:pPr>
      <w:r w:rsidRPr="007A7388">
        <w:t>Increased access to federal employment opportunities as a result of the Executive Order on increasing federal employment of people with disabilities;</w:t>
      </w:r>
    </w:p>
    <w:p w:rsidR="00B0519B" w:rsidRPr="007A7388" w:rsidRDefault="00B0519B" w:rsidP="00B0519B">
      <w:pPr>
        <w:pStyle w:val="NCDLetterText"/>
        <w:numPr>
          <w:ilvl w:val="0"/>
          <w:numId w:val="11"/>
        </w:numPr>
      </w:pPr>
      <w:r w:rsidRPr="007A7388">
        <w:t>Increased public awareness of the need for home-</w:t>
      </w:r>
      <w:r>
        <w:t xml:space="preserve"> </w:t>
      </w:r>
      <w:r w:rsidRPr="007A7388">
        <w:t>and</w:t>
      </w:r>
      <w:r>
        <w:t xml:space="preserve"> </w:t>
      </w:r>
      <w:r w:rsidRPr="007A7388">
        <w:t>community-based care instead of institutional care that has resulted from advocacy efforts by the disability community; and</w:t>
      </w:r>
    </w:p>
    <w:p w:rsidR="00B0519B" w:rsidRPr="007A7388" w:rsidRDefault="00B0519B" w:rsidP="00B0519B">
      <w:pPr>
        <w:pStyle w:val="NCDLetterText"/>
        <w:numPr>
          <w:ilvl w:val="0"/>
          <w:numId w:val="11"/>
        </w:numPr>
      </w:pPr>
      <w:r w:rsidRPr="007A7388">
        <w:lastRenderedPageBreak/>
        <w:t xml:space="preserve">Increased community participation as a result of upcoming regulations </w:t>
      </w:r>
      <w:r>
        <w:t xml:space="preserve">of the Americans with Disabilities Act (ADA) </w:t>
      </w:r>
      <w:r w:rsidRPr="007A7388">
        <w:t xml:space="preserve">to improve access to leisure and recreation facilities and public rights-of-way, as well as upcoming regulations </w:t>
      </w:r>
      <w:r>
        <w:t xml:space="preserve">from the Federal Communications Commission </w:t>
      </w:r>
      <w:r w:rsidRPr="007A7388">
        <w:t>to improve access to television and video programming.</w:t>
      </w:r>
    </w:p>
    <w:p w:rsidR="00B0519B" w:rsidRPr="008E42AB" w:rsidRDefault="00B0519B" w:rsidP="00B0519B">
      <w:pPr>
        <w:pStyle w:val="NCDLetterText"/>
      </w:pPr>
      <w:r w:rsidRPr="008E42AB">
        <w:t>A strong federal commitment to the implementation and enforcement of these efforts will be critical to their success.</w:t>
      </w:r>
      <w:r>
        <w:t xml:space="preserve"> </w:t>
      </w:r>
      <w:r w:rsidRPr="008E42AB">
        <w:t>Still, we acknowledge that these are difficult economic times.</w:t>
      </w:r>
      <w:r>
        <w:t xml:space="preserve"> </w:t>
      </w:r>
      <w:r w:rsidRPr="008E42AB">
        <w:t>As a result, we have taken care to include both short- and long-term priorities within our report.</w:t>
      </w:r>
      <w:r>
        <w:t xml:space="preserve"> </w:t>
      </w:r>
      <w:r w:rsidRPr="008E42AB">
        <w:t>Some of our recommendations</w:t>
      </w:r>
      <w:r>
        <w:t>—</w:t>
      </w:r>
      <w:r w:rsidRPr="008E42AB">
        <w:t>such as ending the institutional bias in Medicaid</w:t>
      </w:r>
      <w:r>
        <w:t>—</w:t>
      </w:r>
      <w:r w:rsidRPr="008E42AB">
        <w:t>are long-standing priorities of the disability community, which we urge the federal government to recommit itself to in the years to come.</w:t>
      </w:r>
      <w:r>
        <w:t xml:space="preserve"> </w:t>
      </w:r>
      <w:r w:rsidRPr="008E42AB">
        <w:t>Others</w:t>
      </w:r>
      <w:r>
        <w:t>—</w:t>
      </w:r>
      <w:r w:rsidRPr="008E42AB">
        <w:t>such as ensuring that people with disabilities are included in federal programs related to health disparities</w:t>
      </w:r>
      <w:r>
        <w:t>—</w:t>
      </w:r>
      <w:r w:rsidRPr="008E42AB">
        <w:t>are policy measures that can be addressed in the very near</w:t>
      </w:r>
      <w:r>
        <w:t xml:space="preserve"> </w:t>
      </w:r>
      <w:r w:rsidRPr="008E42AB">
        <w:t>term through swift and effective executive action.</w:t>
      </w:r>
      <w:r>
        <w:t xml:space="preserve"> </w:t>
      </w:r>
      <w:r w:rsidRPr="008E42AB">
        <w:t xml:space="preserve">Even during a time of economic hardship, </w:t>
      </w:r>
      <w:r>
        <w:t xml:space="preserve">we must </w:t>
      </w:r>
      <w:r w:rsidRPr="008E42AB">
        <w:t xml:space="preserve">continue to strive to keep our promises to Americans with </w:t>
      </w:r>
      <w:r>
        <w:t>d</w:t>
      </w:r>
      <w:r w:rsidRPr="008E42AB">
        <w:t>isabilities.</w:t>
      </w:r>
      <w:r>
        <w:t xml:space="preserve"> </w:t>
      </w:r>
      <w:r w:rsidRPr="008E42AB">
        <w:t>Furthermore, given that spending on working-age people with disabilities constitutes 12 percent of federal spending, the quality and effectiveness of disability programs must remain a critical area of emphasis for the federal government.</w:t>
      </w:r>
    </w:p>
    <w:p w:rsidR="00B0519B" w:rsidRDefault="00B0519B" w:rsidP="00B0519B">
      <w:pPr>
        <w:pStyle w:val="NCDLetterText"/>
      </w:pPr>
      <w:r w:rsidRPr="008E42AB">
        <w:t>Much more is needed to reverse the downward trends in the indicators of quality of life for people with disabilities and to eliminate the many disparities between people with and without disabilities.</w:t>
      </w:r>
      <w:r>
        <w:t xml:space="preserve"> </w:t>
      </w:r>
      <w:r w:rsidRPr="008E42AB">
        <w:t>First, in addition to the changes recommended in this report, safeguards are needed to ensure that, as our nation</w:t>
      </w:r>
      <w:r>
        <w:t>’</w:t>
      </w:r>
      <w:r w:rsidRPr="008E42AB">
        <w:t xml:space="preserve">s leaders consider ways to further reduce the federal deficit and to stimulate the economy, any </w:t>
      </w:r>
      <w:r>
        <w:t xml:space="preserve">adopted </w:t>
      </w:r>
      <w:r w:rsidRPr="008E42AB">
        <w:t>changes do not leave people with disabilities even further behind.</w:t>
      </w:r>
      <w:r>
        <w:t xml:space="preserve"> </w:t>
      </w:r>
      <w:r w:rsidRPr="008E42AB">
        <w:t xml:space="preserve">Second, coordination and collaboration </w:t>
      </w:r>
      <w:r>
        <w:t xml:space="preserve">must be emphasized greater </w:t>
      </w:r>
      <w:r w:rsidRPr="008E42AB">
        <w:t xml:space="preserve">across federal disability programs to ensure </w:t>
      </w:r>
      <w:bookmarkStart w:id="0" w:name="OLE_LINK19"/>
      <w:bookmarkStart w:id="1" w:name="OLE_LINK18"/>
      <w:r w:rsidRPr="008E42AB">
        <w:t>uniform application of the overarching goals of the ADA</w:t>
      </w:r>
      <w:r>
        <w:t>—</w:t>
      </w:r>
      <w:r w:rsidRPr="008E42AB">
        <w:t>full participation, equal opportunity, independent living, and economic self-sufficiency</w:t>
      </w:r>
      <w:bookmarkEnd w:id="0"/>
      <w:bookmarkEnd w:id="1"/>
      <w:r w:rsidRPr="008E42AB">
        <w:t xml:space="preserve"> for people with disabilities.</w:t>
      </w:r>
    </w:p>
    <w:p w:rsidR="00B0519B" w:rsidRPr="008E42AB" w:rsidRDefault="00B0519B" w:rsidP="00B0519B">
      <w:pPr>
        <w:pStyle w:val="NCDLetterText"/>
      </w:pPr>
      <w:r w:rsidRPr="008E42AB">
        <w:t xml:space="preserve">NCD stands ready to work with the </w:t>
      </w:r>
      <w:r>
        <w:t>a</w:t>
      </w:r>
      <w:r w:rsidRPr="008E42AB">
        <w:t>dministration and Congress to identify opportunities to improve our nation</w:t>
      </w:r>
      <w:r>
        <w:t>’</w:t>
      </w:r>
      <w:r w:rsidRPr="008E42AB">
        <w:t>s disability policy and to enhance the quality of life, independence, and full inclusion of people with disabilities into all aspects of society.</w:t>
      </w:r>
    </w:p>
    <w:p w:rsidR="00B0519B" w:rsidRPr="008E42AB" w:rsidRDefault="00B0519B" w:rsidP="00B0519B">
      <w:pPr>
        <w:pStyle w:val="NCDLetterText"/>
        <w:spacing w:after="0"/>
      </w:pPr>
      <w:r w:rsidRPr="008E42AB">
        <w:t>Sincerely,</w:t>
      </w:r>
    </w:p>
    <w:p w:rsidR="00B0519B" w:rsidRPr="008E42AB" w:rsidRDefault="00B0519B" w:rsidP="00B0519B">
      <w:pPr>
        <w:spacing w:after="0" w:line="240" w:lineRule="auto"/>
        <w:rPr>
          <w:rFonts w:ascii="Arial" w:hAnsi="Arial" w:cs="Arial"/>
          <w:szCs w:val="24"/>
        </w:rPr>
      </w:pPr>
      <w:r>
        <w:rPr>
          <w:rFonts w:ascii="Arial" w:hAnsi="Arial" w:cs="Arial"/>
          <w:noProof/>
          <w:szCs w:val="24"/>
        </w:rPr>
        <w:drawing>
          <wp:inline distT="0" distB="0" distL="0" distR="0">
            <wp:extent cx="2171700" cy="619125"/>
            <wp:effectExtent l="19050" t="0" r="0" b="0"/>
            <wp:docPr id="2" name="Picture 1" descr="This is an image of the digital signature of Dr. Jonathan M.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n image of the digital signature of Dr. Jonathan M. Young."/>
                    <pic:cNvPicPr>
                      <a:picLocks noChangeAspect="1" noChangeArrowheads="1"/>
                    </pic:cNvPicPr>
                  </pic:nvPicPr>
                  <pic:blipFill>
                    <a:blip r:embed="rId10" cstate="print"/>
                    <a:srcRect l="5000" t="17722"/>
                    <a:stretch>
                      <a:fillRect/>
                    </a:stretch>
                  </pic:blipFill>
                  <pic:spPr bwMode="auto">
                    <a:xfrm>
                      <a:off x="0" y="0"/>
                      <a:ext cx="2171700" cy="619125"/>
                    </a:xfrm>
                    <a:prstGeom prst="rect">
                      <a:avLst/>
                    </a:prstGeom>
                    <a:noFill/>
                    <a:ln w="9525">
                      <a:noFill/>
                      <a:miter lim="800000"/>
                      <a:headEnd/>
                      <a:tailEnd/>
                    </a:ln>
                  </pic:spPr>
                </pic:pic>
              </a:graphicData>
            </a:graphic>
          </wp:inline>
        </w:drawing>
      </w:r>
    </w:p>
    <w:p w:rsidR="00B0519B" w:rsidRPr="008E42AB" w:rsidRDefault="00B0519B" w:rsidP="00B0519B">
      <w:pPr>
        <w:pStyle w:val="NCDLetterText"/>
        <w:spacing w:after="0"/>
      </w:pPr>
      <w:r w:rsidRPr="008E42AB">
        <w:t>Dr. Jonathan M. Young, Ph.D.</w:t>
      </w:r>
    </w:p>
    <w:p w:rsidR="00B0519B" w:rsidRPr="008E42AB" w:rsidRDefault="00B0519B" w:rsidP="00B0519B">
      <w:pPr>
        <w:pStyle w:val="NCDLetterText"/>
      </w:pPr>
      <w:r w:rsidRPr="008E42AB">
        <w:t>Chairman</w:t>
      </w:r>
    </w:p>
    <w:p w:rsidR="00B0519B" w:rsidRPr="008E42AB" w:rsidRDefault="00B0519B" w:rsidP="00B0519B">
      <w:pPr>
        <w:pStyle w:val="NCDLetterText"/>
        <w:spacing w:before="960"/>
        <w:jc w:val="center"/>
      </w:pPr>
      <w:r w:rsidRPr="008E42AB">
        <w:t>(This same letter of transmittal was sent to the President Pro Tempore of the</w:t>
      </w:r>
      <w:r>
        <w:t> </w:t>
      </w:r>
      <w:r w:rsidRPr="008E42AB">
        <w:t>U.S.</w:t>
      </w:r>
      <w:r>
        <w:t> </w:t>
      </w:r>
      <w:r w:rsidRPr="008E42AB">
        <w:t>Senate and the Speaker of the House of Representatives.)</w:t>
      </w:r>
    </w:p>
    <w:p w:rsidR="00B0519B" w:rsidRDefault="00B0519B" w:rsidP="00B0519B">
      <w:pPr>
        <w:autoSpaceDE w:val="0"/>
        <w:autoSpaceDN w:val="0"/>
        <w:adjustRightInd w:val="0"/>
        <w:spacing w:after="0" w:line="288" w:lineRule="atLeast"/>
        <w:rPr>
          <w:rFonts w:ascii="Helvetica" w:hAnsi="Helvetica" w:cs="Helvetica"/>
          <w:sz w:val="23"/>
          <w:szCs w:val="23"/>
        </w:rPr>
        <w:sectPr w:rsidR="00B0519B" w:rsidSect="00101C2D">
          <w:headerReference w:type="default" r:id="rId11"/>
          <w:footerReference w:type="default" r:id="rId12"/>
          <w:headerReference w:type="first" r:id="rId13"/>
          <w:footerReference w:type="first" r:id="rId14"/>
          <w:endnotePr>
            <w:numFmt w:val="decimal"/>
          </w:endnotePr>
          <w:pgSz w:w="12240" w:h="15840" w:code="1"/>
          <w:pgMar w:top="360" w:right="1440" w:bottom="1440" w:left="1440" w:header="720" w:footer="720" w:gutter="0"/>
          <w:cols w:space="720"/>
          <w:titlePg/>
          <w:docGrid w:linePitch="360"/>
        </w:sectPr>
      </w:pPr>
    </w:p>
    <w:p w:rsidR="00B0519B" w:rsidRPr="004A1DD4" w:rsidRDefault="00B0519B" w:rsidP="00B0519B">
      <w:pPr>
        <w:pStyle w:val="Heading1"/>
        <w:spacing w:before="0"/>
        <w:jc w:val="center"/>
      </w:pPr>
      <w:bookmarkStart w:id="2" w:name="_Toc304437128"/>
      <w:r w:rsidRPr="004A1DD4">
        <w:lastRenderedPageBreak/>
        <w:t xml:space="preserve">National Council </w:t>
      </w:r>
      <w:r>
        <w:t>on Disability Members and Staff</w:t>
      </w:r>
      <w:bookmarkEnd w:id="2"/>
    </w:p>
    <w:p w:rsidR="00B0519B" w:rsidRPr="004A1DD4" w:rsidRDefault="00B0519B" w:rsidP="00B0519B">
      <w:pPr>
        <w:pStyle w:val="Heading2"/>
        <w:spacing w:before="480" w:after="0" w:afterAutospacing="0"/>
        <w:jc w:val="center"/>
      </w:pPr>
      <w:bookmarkStart w:id="3" w:name="_Toc304437129"/>
      <w:r>
        <w:t>Members</w:t>
      </w:r>
      <w:bookmarkEnd w:id="3"/>
    </w:p>
    <w:p w:rsidR="00B0519B" w:rsidRPr="001E1B29" w:rsidRDefault="00B0519B" w:rsidP="00B0519B">
      <w:pPr>
        <w:pStyle w:val="NCDLetterText"/>
        <w:spacing w:after="0" w:line="280" w:lineRule="exact"/>
        <w:jc w:val="center"/>
      </w:pPr>
      <w:r>
        <w:t xml:space="preserve">Jonathan M. Young, Ph.D., </w:t>
      </w:r>
      <w:r>
        <w:rPr>
          <w:i/>
        </w:rPr>
        <w:t>Chair</w:t>
      </w:r>
    </w:p>
    <w:p w:rsidR="00B0519B" w:rsidRPr="001E1B29" w:rsidRDefault="00B0519B" w:rsidP="00B0519B">
      <w:pPr>
        <w:pStyle w:val="NCDLetterText"/>
        <w:spacing w:after="0" w:line="280" w:lineRule="exact"/>
        <w:jc w:val="center"/>
      </w:pPr>
      <w:r>
        <w:t xml:space="preserve">Fernando M. Torres-Gil, Ph.D., </w:t>
      </w:r>
      <w:r>
        <w:rPr>
          <w:i/>
        </w:rPr>
        <w:t>Vice Chair</w:t>
      </w:r>
    </w:p>
    <w:p w:rsidR="00B0519B" w:rsidRDefault="00B0519B" w:rsidP="00B0519B">
      <w:pPr>
        <w:pStyle w:val="NCDLetterText"/>
        <w:spacing w:after="0" w:line="280" w:lineRule="exact"/>
        <w:jc w:val="center"/>
      </w:pPr>
      <w:r>
        <w:t>Gary Blumenthal</w:t>
      </w:r>
    </w:p>
    <w:p w:rsidR="00B0519B" w:rsidRDefault="00B0519B" w:rsidP="00B0519B">
      <w:pPr>
        <w:pStyle w:val="NCDLetterText"/>
        <w:spacing w:after="0" w:line="280" w:lineRule="exact"/>
        <w:jc w:val="center"/>
      </w:pPr>
      <w:r>
        <w:t>Chester A. Finn</w:t>
      </w:r>
    </w:p>
    <w:p w:rsidR="00B0519B" w:rsidRDefault="00B0519B" w:rsidP="00B0519B">
      <w:pPr>
        <w:pStyle w:val="NCDLetterText"/>
        <w:spacing w:after="0" w:line="280" w:lineRule="exact"/>
        <w:jc w:val="center"/>
      </w:pPr>
      <w:r>
        <w:t>Sara Gelser</w:t>
      </w:r>
    </w:p>
    <w:p w:rsidR="00B0519B" w:rsidRPr="001E1B29" w:rsidRDefault="00B0519B" w:rsidP="00B0519B">
      <w:pPr>
        <w:pStyle w:val="NCDLetterText"/>
        <w:spacing w:after="0" w:line="280" w:lineRule="exact"/>
        <w:jc w:val="center"/>
      </w:pPr>
      <w:r w:rsidRPr="001E1B29">
        <w:t>Marylyn Howe</w:t>
      </w:r>
    </w:p>
    <w:p w:rsidR="00B0519B" w:rsidRDefault="00B0519B" w:rsidP="00B0519B">
      <w:pPr>
        <w:pStyle w:val="NCDLetterText"/>
        <w:spacing w:after="0" w:line="280" w:lineRule="exact"/>
        <w:jc w:val="center"/>
      </w:pPr>
      <w:r>
        <w:t>Janice Lehrer-Stein</w:t>
      </w:r>
    </w:p>
    <w:p w:rsidR="00B0519B" w:rsidRPr="001E1B29" w:rsidRDefault="00B0519B" w:rsidP="00B0519B">
      <w:pPr>
        <w:pStyle w:val="NCDLetterText"/>
        <w:spacing w:after="0" w:line="280" w:lineRule="exact"/>
        <w:jc w:val="center"/>
      </w:pPr>
      <w:r w:rsidRPr="001E1B29">
        <w:t>Lonnie Moore</w:t>
      </w:r>
    </w:p>
    <w:p w:rsidR="00B0519B" w:rsidRPr="001E1B29" w:rsidRDefault="00B0519B" w:rsidP="00B0519B">
      <w:pPr>
        <w:pStyle w:val="NCDLetterText"/>
        <w:spacing w:after="0" w:line="280" w:lineRule="exact"/>
        <w:jc w:val="center"/>
      </w:pPr>
      <w:r>
        <w:t>Ari Ne’eman</w:t>
      </w:r>
    </w:p>
    <w:p w:rsidR="00B0519B" w:rsidRDefault="00B0519B" w:rsidP="00B0519B">
      <w:pPr>
        <w:pStyle w:val="NCDLetterText"/>
        <w:spacing w:after="0" w:line="280" w:lineRule="exact"/>
        <w:jc w:val="center"/>
      </w:pPr>
      <w:r>
        <w:t>Dongwoo Joseph (“Joe”) Pak, MBA</w:t>
      </w:r>
    </w:p>
    <w:p w:rsidR="00B0519B" w:rsidRDefault="00B0519B" w:rsidP="00B0519B">
      <w:pPr>
        <w:pStyle w:val="NCDLetterText"/>
        <w:spacing w:after="0" w:line="280" w:lineRule="exact"/>
        <w:jc w:val="center"/>
      </w:pPr>
      <w:r>
        <w:t>Carol Jean Reynolds</w:t>
      </w:r>
    </w:p>
    <w:p w:rsidR="00B0519B" w:rsidRDefault="00B0519B" w:rsidP="00B0519B">
      <w:pPr>
        <w:pStyle w:val="NCDLetterText"/>
        <w:spacing w:after="0" w:line="280" w:lineRule="exact"/>
        <w:jc w:val="center"/>
      </w:pPr>
      <w:r>
        <w:t>Clyde E. Terry</w:t>
      </w:r>
    </w:p>
    <w:p w:rsidR="00B0519B" w:rsidRDefault="00B0519B" w:rsidP="00B0519B">
      <w:pPr>
        <w:pStyle w:val="NCDLetterText"/>
        <w:spacing w:after="0" w:line="280" w:lineRule="exact"/>
        <w:jc w:val="center"/>
      </w:pPr>
      <w:r w:rsidRPr="001E1B29">
        <w:t>Linda Wetters</w:t>
      </w:r>
    </w:p>
    <w:p w:rsidR="00B0519B" w:rsidRPr="001E1B29" w:rsidRDefault="00B0519B" w:rsidP="00B0519B">
      <w:pPr>
        <w:pStyle w:val="NCDLetterText"/>
        <w:spacing w:after="0" w:line="280" w:lineRule="exact"/>
        <w:jc w:val="center"/>
      </w:pPr>
      <w:r>
        <w:t>Pamela Young-Holmes</w:t>
      </w:r>
    </w:p>
    <w:p w:rsidR="00B0519B" w:rsidRPr="001E1B29" w:rsidRDefault="00B0519B" w:rsidP="00B0519B">
      <w:pPr>
        <w:pStyle w:val="Heading2"/>
        <w:spacing w:before="480" w:after="0" w:afterAutospacing="0"/>
        <w:jc w:val="center"/>
      </w:pPr>
      <w:bookmarkStart w:id="4" w:name="_Toc304437130"/>
      <w:r w:rsidRPr="001E1B29">
        <w:t>St</w:t>
      </w:r>
      <w:r>
        <w:t>aff</w:t>
      </w:r>
      <w:bookmarkEnd w:id="4"/>
    </w:p>
    <w:p w:rsidR="00B0519B" w:rsidRDefault="00B0519B" w:rsidP="00B0519B">
      <w:pPr>
        <w:pStyle w:val="NCDLetterText"/>
        <w:spacing w:after="0" w:line="280" w:lineRule="exact"/>
        <w:jc w:val="center"/>
      </w:pPr>
      <w:r>
        <w:t>Aaron Bishop</w:t>
      </w:r>
      <w:r w:rsidRPr="001E1B29">
        <w:t>, Executive Director</w:t>
      </w:r>
    </w:p>
    <w:p w:rsidR="00B0519B" w:rsidRDefault="00B0519B" w:rsidP="00B0519B">
      <w:pPr>
        <w:pStyle w:val="NCDLetterText"/>
        <w:spacing w:after="0" w:line="280" w:lineRule="exact"/>
        <w:jc w:val="center"/>
      </w:pPr>
      <w:r>
        <w:t>Stacey S. Brown, Staff Assistant</w:t>
      </w:r>
    </w:p>
    <w:p w:rsidR="00B0519B" w:rsidRDefault="00B0519B" w:rsidP="00B0519B">
      <w:pPr>
        <w:pStyle w:val="NCDLetterText"/>
        <w:spacing w:after="0" w:line="280" w:lineRule="exact"/>
        <w:jc w:val="center"/>
      </w:pPr>
      <w:r>
        <w:t>Julie Carroll, Senior Attorney Advisor</w:t>
      </w:r>
    </w:p>
    <w:p w:rsidR="00B0519B" w:rsidRDefault="00B0519B" w:rsidP="00B0519B">
      <w:pPr>
        <w:pStyle w:val="NCDLetterText"/>
        <w:spacing w:after="0" w:line="280" w:lineRule="exact"/>
        <w:jc w:val="center"/>
      </w:pPr>
      <w:r>
        <w:t>Lawrence Carter-Long, Public Affairs Specialist</w:t>
      </w:r>
    </w:p>
    <w:p w:rsidR="00B0519B" w:rsidRDefault="00B0519B" w:rsidP="00B0519B">
      <w:pPr>
        <w:pStyle w:val="NCDLetterText"/>
        <w:spacing w:after="0" w:line="280" w:lineRule="exact"/>
        <w:jc w:val="center"/>
      </w:pPr>
      <w:r>
        <w:t>Joan M. Durocher, General Counsel &amp; Director of Policy</w:t>
      </w:r>
    </w:p>
    <w:p w:rsidR="00B0519B" w:rsidRDefault="00B0519B" w:rsidP="00B0519B">
      <w:pPr>
        <w:pStyle w:val="NCDLetterText"/>
        <w:spacing w:after="0" w:line="280" w:lineRule="exact"/>
        <w:jc w:val="center"/>
      </w:pPr>
      <w:r>
        <w:t>Lisa Grubb, Confidential Special Assistant / Coordinator of Administration</w:t>
      </w:r>
    </w:p>
    <w:p w:rsidR="00B0519B" w:rsidRDefault="00B0519B" w:rsidP="00B0519B">
      <w:pPr>
        <w:pStyle w:val="NCDLetterText"/>
        <w:spacing w:after="0" w:line="280" w:lineRule="exact"/>
        <w:jc w:val="center"/>
      </w:pPr>
      <w:r>
        <w:t>Geraldine-Drake Hawkins, Ph.D., Senior Policy Analyst</w:t>
      </w:r>
    </w:p>
    <w:p w:rsidR="00B0519B" w:rsidRDefault="00B0519B" w:rsidP="00B0519B">
      <w:pPr>
        <w:pStyle w:val="NCDLetterText"/>
        <w:spacing w:after="0" w:line="280" w:lineRule="exact"/>
        <w:jc w:val="center"/>
      </w:pPr>
      <w:r>
        <w:t>Carla Nelson, Administrative Specialist</w:t>
      </w:r>
    </w:p>
    <w:p w:rsidR="00B0519B" w:rsidRDefault="00B0519B" w:rsidP="00B0519B">
      <w:pPr>
        <w:pStyle w:val="NCDLetterText"/>
        <w:spacing w:after="0" w:line="280" w:lineRule="exact"/>
        <w:jc w:val="center"/>
      </w:pPr>
      <w:r>
        <w:t>Ken Pezzella, Financial Analyst</w:t>
      </w:r>
    </w:p>
    <w:p w:rsidR="00B0519B" w:rsidRDefault="00B0519B" w:rsidP="00B0519B">
      <w:pPr>
        <w:pStyle w:val="NCDLetterText"/>
        <w:spacing w:after="0" w:line="280" w:lineRule="exact"/>
        <w:jc w:val="center"/>
      </w:pPr>
      <w:r>
        <w:t>Robyn Powell, Attorney Advisor</w:t>
      </w:r>
    </w:p>
    <w:p w:rsidR="00B0519B" w:rsidRDefault="00B0519B" w:rsidP="00B0519B">
      <w:pPr>
        <w:pStyle w:val="NCDLetterText"/>
        <w:spacing w:after="0" w:line="280" w:lineRule="exact"/>
        <w:jc w:val="center"/>
      </w:pPr>
      <w:r>
        <w:t>Mark Seifarth, Legislative Affairs Specialist</w:t>
      </w:r>
    </w:p>
    <w:p w:rsidR="00B0519B" w:rsidRDefault="00B0519B" w:rsidP="00B0519B">
      <w:pPr>
        <w:pStyle w:val="NCDLetterText"/>
        <w:spacing w:after="0" w:line="280" w:lineRule="exact"/>
        <w:jc w:val="center"/>
      </w:pPr>
      <w:r>
        <w:t>Anne Sommers, Director of Legislative Affairs &amp; Outreach</w:t>
      </w:r>
    </w:p>
    <w:p w:rsidR="00B0519B" w:rsidRDefault="00B0519B" w:rsidP="00B0519B">
      <w:pPr>
        <w:pStyle w:val="Heading1"/>
        <w:pageBreakBefore/>
        <w:spacing w:after="480"/>
        <w:jc w:val="center"/>
      </w:pPr>
      <w:bookmarkStart w:id="5" w:name="_Toc304437131"/>
      <w:r w:rsidRPr="001E1B29">
        <w:lastRenderedPageBreak/>
        <w:t>Acknowledgments</w:t>
      </w:r>
      <w:bookmarkEnd w:id="5"/>
    </w:p>
    <w:p w:rsidR="00B0519B" w:rsidRPr="00F17736" w:rsidRDefault="00B0519B" w:rsidP="00B0519B">
      <w:pPr>
        <w:pStyle w:val="NCDLetterText"/>
      </w:pPr>
      <w:r w:rsidRPr="00F17736">
        <w:t>The National Council on Disability (NCD) thanks Sue Swenson, the Deputy Assistant Secretary for the Office of Special Education and Rehabilitation Services and, at the time, Acting Director for the National Institute on Disability and Rehabilitation Research (NIDRR). NCD collaborated with NIDRR, updated and used selected trend data from an unpublished report, Indicators of the State of Disability, written by Doris Werwie, PhD, and Scott Sargrad. NCD also thanks Natalia Pane and Dahlia Shaewitz at the American Institute</w:t>
      </w:r>
      <w:r w:rsidR="00B43027">
        <w:t>s</w:t>
      </w:r>
      <w:r w:rsidRPr="00F17736">
        <w:t xml:space="preserve"> for Research for their assistance in assembling the data for this report.</w:t>
      </w:r>
    </w:p>
    <w:p w:rsidR="00B0519B" w:rsidRPr="00B45EFF" w:rsidRDefault="00B0519B" w:rsidP="00B0519B">
      <w:pPr>
        <w:pStyle w:val="Heading1"/>
        <w:pageBreakBefore/>
      </w:pPr>
      <w:bookmarkStart w:id="6" w:name="_Toc304437132"/>
      <w:r w:rsidRPr="00B45EFF">
        <w:lastRenderedPageBreak/>
        <w:t>Table of Contents</w:t>
      </w:r>
      <w:bookmarkEnd w:id="6"/>
    </w:p>
    <w:p w:rsidR="00B0519B" w:rsidRPr="004B2549" w:rsidRDefault="00A50A79" w:rsidP="00B0519B">
      <w:pPr>
        <w:pStyle w:val="TOC1"/>
        <w:rPr>
          <w:rFonts w:ascii="Calibri" w:eastAsia="Times New Roman" w:hAnsi="Calibri" w:cs="Times New Roman"/>
          <w:b w:val="0"/>
          <w:sz w:val="22"/>
          <w:szCs w:val="22"/>
        </w:rPr>
      </w:pPr>
      <w:r>
        <w:fldChar w:fldCharType="begin"/>
      </w:r>
      <w:r w:rsidR="00B0519B">
        <w:instrText xml:space="preserve"> TOC \o "1-3" \h \z \u </w:instrText>
      </w:r>
      <w:r>
        <w:fldChar w:fldCharType="separate"/>
      </w:r>
      <w:hyperlink w:anchor="_Toc304437133" w:history="1">
        <w:r w:rsidR="00B0519B" w:rsidRPr="00F16C0B">
          <w:rPr>
            <w:rStyle w:val="Hyperlink"/>
          </w:rPr>
          <w:t>Executive Summary</w:t>
        </w:r>
        <w:r w:rsidR="00B0519B">
          <w:rPr>
            <w:webHidden/>
          </w:rPr>
          <w:tab/>
        </w:r>
        <w:r>
          <w:rPr>
            <w:webHidden/>
          </w:rPr>
          <w:fldChar w:fldCharType="begin"/>
        </w:r>
        <w:r w:rsidR="00B0519B">
          <w:rPr>
            <w:webHidden/>
          </w:rPr>
          <w:instrText xml:space="preserve"> PAGEREF _Toc304437133 \h </w:instrText>
        </w:r>
        <w:r>
          <w:rPr>
            <w:webHidden/>
          </w:rPr>
        </w:r>
        <w:r>
          <w:rPr>
            <w:webHidden/>
          </w:rPr>
          <w:fldChar w:fldCharType="separate"/>
        </w:r>
        <w:r w:rsidR="006D7CF5">
          <w:rPr>
            <w:webHidden/>
          </w:rPr>
          <w:t>7</w:t>
        </w:r>
        <w:r>
          <w:rPr>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34" w:history="1">
        <w:r w:rsidR="00B0519B" w:rsidRPr="00F16C0B">
          <w:rPr>
            <w:rStyle w:val="Hyperlink"/>
          </w:rPr>
          <w:t>Introduction</w:t>
        </w:r>
        <w:r w:rsidR="00B0519B">
          <w:rPr>
            <w:webHidden/>
          </w:rPr>
          <w:tab/>
        </w:r>
        <w:r w:rsidR="00A50A79">
          <w:rPr>
            <w:webHidden/>
          </w:rPr>
          <w:fldChar w:fldCharType="begin"/>
        </w:r>
        <w:r w:rsidR="00B0519B">
          <w:rPr>
            <w:webHidden/>
          </w:rPr>
          <w:instrText xml:space="preserve"> PAGEREF _Toc304437134 \h </w:instrText>
        </w:r>
        <w:r w:rsidR="00A50A79">
          <w:rPr>
            <w:webHidden/>
          </w:rPr>
        </w:r>
        <w:r w:rsidR="00A50A79">
          <w:rPr>
            <w:webHidden/>
          </w:rPr>
          <w:fldChar w:fldCharType="separate"/>
        </w:r>
        <w:r w:rsidR="006D7CF5">
          <w:rPr>
            <w:webHidden/>
          </w:rPr>
          <w:t>9</w:t>
        </w:r>
        <w:r w:rsidR="00A50A79">
          <w:rPr>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35" w:history="1">
        <w:r w:rsidR="00B0519B" w:rsidRPr="00F16C0B">
          <w:rPr>
            <w:rStyle w:val="Hyperlink"/>
            <w:noProof/>
          </w:rPr>
          <w:t>Purpose</w:t>
        </w:r>
        <w:r w:rsidR="00B0519B">
          <w:rPr>
            <w:noProof/>
            <w:webHidden/>
          </w:rPr>
          <w:tab/>
        </w:r>
        <w:r w:rsidR="00A50A79">
          <w:rPr>
            <w:noProof/>
            <w:webHidden/>
          </w:rPr>
          <w:fldChar w:fldCharType="begin"/>
        </w:r>
        <w:r w:rsidR="00B0519B">
          <w:rPr>
            <w:noProof/>
            <w:webHidden/>
          </w:rPr>
          <w:instrText xml:space="preserve"> PAGEREF _Toc304437135 \h </w:instrText>
        </w:r>
        <w:r w:rsidR="00A50A79">
          <w:rPr>
            <w:noProof/>
            <w:webHidden/>
          </w:rPr>
        </w:r>
        <w:r w:rsidR="00A50A79">
          <w:rPr>
            <w:noProof/>
            <w:webHidden/>
          </w:rPr>
          <w:fldChar w:fldCharType="separate"/>
        </w:r>
        <w:r w:rsidR="006D7CF5">
          <w:rPr>
            <w:noProof/>
            <w:webHidden/>
          </w:rPr>
          <w:t>9</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36" w:history="1">
        <w:r w:rsidR="00B0519B" w:rsidRPr="00F16C0B">
          <w:rPr>
            <w:rStyle w:val="Hyperlink"/>
            <w:noProof/>
          </w:rPr>
          <w:t>Community Engagement</w:t>
        </w:r>
        <w:r w:rsidR="00B0519B">
          <w:rPr>
            <w:noProof/>
            <w:webHidden/>
          </w:rPr>
          <w:tab/>
        </w:r>
        <w:r w:rsidR="00A50A79">
          <w:rPr>
            <w:noProof/>
            <w:webHidden/>
          </w:rPr>
          <w:fldChar w:fldCharType="begin"/>
        </w:r>
        <w:r w:rsidR="00B0519B">
          <w:rPr>
            <w:noProof/>
            <w:webHidden/>
          </w:rPr>
          <w:instrText xml:space="preserve"> PAGEREF _Toc304437136 \h </w:instrText>
        </w:r>
        <w:r w:rsidR="00A50A79">
          <w:rPr>
            <w:noProof/>
            <w:webHidden/>
          </w:rPr>
        </w:r>
        <w:r w:rsidR="00A50A79">
          <w:rPr>
            <w:noProof/>
            <w:webHidden/>
          </w:rPr>
          <w:fldChar w:fldCharType="separate"/>
        </w:r>
        <w:r w:rsidR="006D7CF5">
          <w:rPr>
            <w:noProof/>
            <w:webHidden/>
          </w:rPr>
          <w:t>10</w:t>
        </w:r>
        <w:r w:rsidR="00A50A79">
          <w:rPr>
            <w:noProof/>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37" w:history="1">
        <w:r w:rsidR="00B0519B" w:rsidRPr="00F16C0B">
          <w:rPr>
            <w:rStyle w:val="Hyperlink"/>
          </w:rPr>
          <w:t>chapter 1: Community Living</w:t>
        </w:r>
        <w:r w:rsidR="00B0519B">
          <w:rPr>
            <w:webHidden/>
          </w:rPr>
          <w:tab/>
        </w:r>
        <w:r w:rsidR="00A50A79">
          <w:rPr>
            <w:webHidden/>
          </w:rPr>
          <w:fldChar w:fldCharType="begin"/>
        </w:r>
        <w:r w:rsidR="00B0519B">
          <w:rPr>
            <w:webHidden/>
          </w:rPr>
          <w:instrText xml:space="preserve"> PAGEREF _Toc304437137 \h </w:instrText>
        </w:r>
        <w:r w:rsidR="00A50A79">
          <w:rPr>
            <w:webHidden/>
          </w:rPr>
        </w:r>
        <w:r w:rsidR="00A50A79">
          <w:rPr>
            <w:webHidden/>
          </w:rPr>
          <w:fldChar w:fldCharType="separate"/>
        </w:r>
        <w:r w:rsidR="006D7CF5">
          <w:rPr>
            <w:webHidden/>
          </w:rPr>
          <w:t>13</w:t>
        </w:r>
        <w:r w:rsidR="00A50A79">
          <w:rPr>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38" w:history="1">
        <w:r w:rsidR="00B0519B" w:rsidRPr="00F16C0B">
          <w:rPr>
            <w:rStyle w:val="Hyperlink"/>
            <w:noProof/>
          </w:rPr>
          <w:t>Access to Home- and Community-Based Services: There’s No Place Like Home</w:t>
        </w:r>
        <w:r w:rsidR="00B0519B">
          <w:rPr>
            <w:noProof/>
            <w:webHidden/>
          </w:rPr>
          <w:tab/>
        </w:r>
        <w:r w:rsidR="00A50A79">
          <w:rPr>
            <w:noProof/>
            <w:webHidden/>
          </w:rPr>
          <w:fldChar w:fldCharType="begin"/>
        </w:r>
        <w:r w:rsidR="00B0519B">
          <w:rPr>
            <w:noProof/>
            <w:webHidden/>
          </w:rPr>
          <w:instrText xml:space="preserve"> PAGEREF _Toc304437138 \h </w:instrText>
        </w:r>
        <w:r w:rsidR="00A50A79">
          <w:rPr>
            <w:noProof/>
            <w:webHidden/>
          </w:rPr>
        </w:r>
        <w:r w:rsidR="00A50A79">
          <w:rPr>
            <w:noProof/>
            <w:webHidden/>
          </w:rPr>
          <w:fldChar w:fldCharType="separate"/>
        </w:r>
        <w:r w:rsidR="006D7CF5">
          <w:rPr>
            <w:noProof/>
            <w:webHidden/>
          </w:rPr>
          <w:t>13</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39" w:history="1">
        <w:r w:rsidR="00B0519B" w:rsidRPr="00F16C0B">
          <w:rPr>
            <w:rStyle w:val="Hyperlink"/>
            <w:noProof/>
          </w:rPr>
          <w:t>Housing</w:t>
        </w:r>
        <w:r w:rsidR="00B0519B">
          <w:rPr>
            <w:noProof/>
            <w:webHidden/>
          </w:rPr>
          <w:tab/>
        </w:r>
        <w:r w:rsidR="00A50A79">
          <w:rPr>
            <w:noProof/>
            <w:webHidden/>
          </w:rPr>
          <w:fldChar w:fldCharType="begin"/>
        </w:r>
        <w:r w:rsidR="00B0519B">
          <w:rPr>
            <w:noProof/>
            <w:webHidden/>
          </w:rPr>
          <w:instrText xml:space="preserve"> PAGEREF _Toc304437139 \h </w:instrText>
        </w:r>
        <w:r w:rsidR="00A50A79">
          <w:rPr>
            <w:noProof/>
            <w:webHidden/>
          </w:rPr>
        </w:r>
        <w:r w:rsidR="00A50A79">
          <w:rPr>
            <w:noProof/>
            <w:webHidden/>
          </w:rPr>
          <w:fldChar w:fldCharType="separate"/>
        </w:r>
        <w:r w:rsidR="006D7CF5">
          <w:rPr>
            <w:noProof/>
            <w:webHidden/>
          </w:rPr>
          <w:t>16</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0" w:history="1">
        <w:r w:rsidR="00B0519B" w:rsidRPr="00F16C0B">
          <w:rPr>
            <w:rStyle w:val="Hyperlink"/>
            <w:noProof/>
          </w:rPr>
          <w:t>Healthy Living</w:t>
        </w:r>
        <w:r w:rsidR="00B0519B">
          <w:rPr>
            <w:noProof/>
            <w:webHidden/>
          </w:rPr>
          <w:tab/>
        </w:r>
        <w:r w:rsidR="00A50A79">
          <w:rPr>
            <w:noProof/>
            <w:webHidden/>
          </w:rPr>
          <w:fldChar w:fldCharType="begin"/>
        </w:r>
        <w:r w:rsidR="00B0519B">
          <w:rPr>
            <w:noProof/>
            <w:webHidden/>
          </w:rPr>
          <w:instrText xml:space="preserve"> PAGEREF _Toc304437140 \h </w:instrText>
        </w:r>
        <w:r w:rsidR="00A50A79">
          <w:rPr>
            <w:noProof/>
            <w:webHidden/>
          </w:rPr>
        </w:r>
        <w:r w:rsidR="00A50A79">
          <w:rPr>
            <w:noProof/>
            <w:webHidden/>
          </w:rPr>
          <w:fldChar w:fldCharType="separate"/>
        </w:r>
        <w:r w:rsidR="006D7CF5">
          <w:rPr>
            <w:noProof/>
            <w:webHidden/>
          </w:rPr>
          <w:t>19</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1" w:history="1">
        <w:r w:rsidR="00B0519B" w:rsidRPr="00F16C0B">
          <w:rPr>
            <w:rStyle w:val="Hyperlink"/>
            <w:noProof/>
          </w:rPr>
          <w:t>Transportation</w:t>
        </w:r>
        <w:r w:rsidR="00B0519B">
          <w:rPr>
            <w:noProof/>
            <w:webHidden/>
          </w:rPr>
          <w:tab/>
        </w:r>
        <w:r w:rsidR="00A50A79">
          <w:rPr>
            <w:noProof/>
            <w:webHidden/>
          </w:rPr>
          <w:fldChar w:fldCharType="begin"/>
        </w:r>
        <w:r w:rsidR="00B0519B">
          <w:rPr>
            <w:noProof/>
            <w:webHidden/>
          </w:rPr>
          <w:instrText xml:space="preserve"> PAGEREF _Toc304437141 \h </w:instrText>
        </w:r>
        <w:r w:rsidR="00A50A79">
          <w:rPr>
            <w:noProof/>
            <w:webHidden/>
          </w:rPr>
        </w:r>
        <w:r w:rsidR="00A50A79">
          <w:rPr>
            <w:noProof/>
            <w:webHidden/>
          </w:rPr>
          <w:fldChar w:fldCharType="separate"/>
        </w:r>
        <w:r w:rsidR="006D7CF5">
          <w:rPr>
            <w:noProof/>
            <w:webHidden/>
          </w:rPr>
          <w:t>23</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2" w:history="1">
        <w:r w:rsidR="00B0519B" w:rsidRPr="00F16C0B">
          <w:rPr>
            <w:rStyle w:val="Hyperlink"/>
            <w:noProof/>
          </w:rPr>
          <w:t>State of Emergency Management and Disability</w:t>
        </w:r>
        <w:r w:rsidR="00B0519B">
          <w:rPr>
            <w:noProof/>
            <w:webHidden/>
          </w:rPr>
          <w:tab/>
        </w:r>
        <w:r w:rsidR="00A50A79">
          <w:rPr>
            <w:noProof/>
            <w:webHidden/>
          </w:rPr>
          <w:fldChar w:fldCharType="begin"/>
        </w:r>
        <w:r w:rsidR="00B0519B">
          <w:rPr>
            <w:noProof/>
            <w:webHidden/>
          </w:rPr>
          <w:instrText xml:space="preserve"> PAGEREF _Toc304437142 \h </w:instrText>
        </w:r>
        <w:r w:rsidR="00A50A79">
          <w:rPr>
            <w:noProof/>
            <w:webHidden/>
          </w:rPr>
        </w:r>
        <w:r w:rsidR="00A50A79">
          <w:rPr>
            <w:noProof/>
            <w:webHidden/>
          </w:rPr>
          <w:fldChar w:fldCharType="separate"/>
        </w:r>
        <w:r w:rsidR="006D7CF5">
          <w:rPr>
            <w:noProof/>
            <w:webHidden/>
          </w:rPr>
          <w:t>24</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3" w:history="1">
        <w:r w:rsidR="00B0519B" w:rsidRPr="00F16C0B">
          <w:rPr>
            <w:rStyle w:val="Hyperlink"/>
            <w:noProof/>
          </w:rPr>
          <w:t>Access to Technology: The Case for a Technology Bill of Rights</w:t>
        </w:r>
        <w:r w:rsidR="00B0519B">
          <w:rPr>
            <w:noProof/>
            <w:webHidden/>
          </w:rPr>
          <w:tab/>
        </w:r>
        <w:r w:rsidR="00A50A79">
          <w:rPr>
            <w:noProof/>
            <w:webHidden/>
          </w:rPr>
          <w:fldChar w:fldCharType="begin"/>
        </w:r>
        <w:r w:rsidR="00B0519B">
          <w:rPr>
            <w:noProof/>
            <w:webHidden/>
          </w:rPr>
          <w:instrText xml:space="preserve"> PAGEREF _Toc304437143 \h </w:instrText>
        </w:r>
        <w:r w:rsidR="00A50A79">
          <w:rPr>
            <w:noProof/>
            <w:webHidden/>
          </w:rPr>
        </w:r>
        <w:r w:rsidR="00A50A79">
          <w:rPr>
            <w:noProof/>
            <w:webHidden/>
          </w:rPr>
          <w:fldChar w:fldCharType="separate"/>
        </w:r>
        <w:r w:rsidR="006D7CF5">
          <w:rPr>
            <w:noProof/>
            <w:webHidden/>
          </w:rPr>
          <w:t>27</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4" w:history="1">
        <w:r w:rsidR="00B0519B" w:rsidRPr="00F16C0B">
          <w:rPr>
            <w:rStyle w:val="Hyperlink"/>
            <w:noProof/>
          </w:rPr>
          <w:t>Voting</w:t>
        </w:r>
        <w:r w:rsidR="00B0519B">
          <w:rPr>
            <w:noProof/>
            <w:webHidden/>
          </w:rPr>
          <w:tab/>
        </w:r>
        <w:r w:rsidR="00A50A79">
          <w:rPr>
            <w:noProof/>
            <w:webHidden/>
          </w:rPr>
          <w:fldChar w:fldCharType="begin"/>
        </w:r>
        <w:r w:rsidR="00B0519B">
          <w:rPr>
            <w:noProof/>
            <w:webHidden/>
          </w:rPr>
          <w:instrText xml:space="preserve"> PAGEREF _Toc304437144 \h </w:instrText>
        </w:r>
        <w:r w:rsidR="00A50A79">
          <w:rPr>
            <w:noProof/>
            <w:webHidden/>
          </w:rPr>
        </w:r>
        <w:r w:rsidR="00A50A79">
          <w:rPr>
            <w:noProof/>
            <w:webHidden/>
          </w:rPr>
          <w:fldChar w:fldCharType="separate"/>
        </w:r>
        <w:r w:rsidR="006D7CF5">
          <w:rPr>
            <w:noProof/>
            <w:webHidden/>
          </w:rPr>
          <w:t>30</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5" w:history="1">
        <w:r w:rsidR="00B0519B" w:rsidRPr="00F16C0B">
          <w:rPr>
            <w:rStyle w:val="Hyperlink"/>
            <w:noProof/>
          </w:rPr>
          <w:t>Unequal Parental Rights: The Eugenics Movement Back Door?</w:t>
        </w:r>
        <w:r w:rsidR="00B0519B">
          <w:rPr>
            <w:noProof/>
            <w:webHidden/>
          </w:rPr>
          <w:tab/>
        </w:r>
        <w:r w:rsidR="00A50A79">
          <w:rPr>
            <w:noProof/>
            <w:webHidden/>
          </w:rPr>
          <w:fldChar w:fldCharType="begin"/>
        </w:r>
        <w:r w:rsidR="00B0519B">
          <w:rPr>
            <w:noProof/>
            <w:webHidden/>
          </w:rPr>
          <w:instrText xml:space="preserve"> PAGEREF _Toc304437145 \h </w:instrText>
        </w:r>
        <w:r w:rsidR="00A50A79">
          <w:rPr>
            <w:noProof/>
            <w:webHidden/>
          </w:rPr>
        </w:r>
        <w:r w:rsidR="00A50A79">
          <w:rPr>
            <w:noProof/>
            <w:webHidden/>
          </w:rPr>
          <w:fldChar w:fldCharType="separate"/>
        </w:r>
        <w:r w:rsidR="006D7CF5">
          <w:rPr>
            <w:noProof/>
            <w:webHidden/>
          </w:rPr>
          <w:t>31</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6" w:history="1">
        <w:r w:rsidR="00B0519B" w:rsidRPr="00F16C0B">
          <w:rPr>
            <w:rStyle w:val="Hyperlink"/>
            <w:noProof/>
          </w:rPr>
          <w:t>Military Families with Disabilities: Closing the Medicaid Portability Gap</w:t>
        </w:r>
        <w:r w:rsidR="00B0519B">
          <w:rPr>
            <w:noProof/>
            <w:webHidden/>
          </w:rPr>
          <w:tab/>
        </w:r>
        <w:r w:rsidR="00A50A79">
          <w:rPr>
            <w:noProof/>
            <w:webHidden/>
          </w:rPr>
          <w:fldChar w:fldCharType="begin"/>
        </w:r>
        <w:r w:rsidR="00B0519B">
          <w:rPr>
            <w:noProof/>
            <w:webHidden/>
          </w:rPr>
          <w:instrText xml:space="preserve"> PAGEREF _Toc304437146 \h </w:instrText>
        </w:r>
        <w:r w:rsidR="00A50A79">
          <w:rPr>
            <w:noProof/>
            <w:webHidden/>
          </w:rPr>
        </w:r>
        <w:r w:rsidR="00A50A79">
          <w:rPr>
            <w:noProof/>
            <w:webHidden/>
          </w:rPr>
          <w:fldChar w:fldCharType="separate"/>
        </w:r>
        <w:r w:rsidR="006D7CF5">
          <w:rPr>
            <w:noProof/>
            <w:webHidden/>
          </w:rPr>
          <w:t>32</w:t>
        </w:r>
        <w:r w:rsidR="00A50A79">
          <w:rPr>
            <w:noProof/>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47" w:history="1">
        <w:r w:rsidR="00B0519B" w:rsidRPr="00F16C0B">
          <w:rPr>
            <w:rStyle w:val="Hyperlink"/>
          </w:rPr>
          <w:t>Chapter 2: Learning</w:t>
        </w:r>
        <w:r w:rsidR="00B0519B">
          <w:rPr>
            <w:webHidden/>
          </w:rPr>
          <w:tab/>
        </w:r>
        <w:r w:rsidR="00A50A79">
          <w:rPr>
            <w:webHidden/>
          </w:rPr>
          <w:fldChar w:fldCharType="begin"/>
        </w:r>
        <w:r w:rsidR="00B0519B">
          <w:rPr>
            <w:webHidden/>
          </w:rPr>
          <w:instrText xml:space="preserve"> PAGEREF _Toc304437147 \h </w:instrText>
        </w:r>
        <w:r w:rsidR="00A50A79">
          <w:rPr>
            <w:webHidden/>
          </w:rPr>
        </w:r>
        <w:r w:rsidR="00A50A79">
          <w:rPr>
            <w:webHidden/>
          </w:rPr>
          <w:fldChar w:fldCharType="separate"/>
        </w:r>
        <w:r w:rsidR="006D7CF5">
          <w:rPr>
            <w:webHidden/>
          </w:rPr>
          <w:t>35</w:t>
        </w:r>
        <w:r w:rsidR="00A50A79">
          <w:rPr>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8" w:history="1">
        <w:r w:rsidR="00B0519B" w:rsidRPr="00F16C0B">
          <w:rPr>
            <w:rStyle w:val="Hyperlink"/>
            <w:noProof/>
          </w:rPr>
          <w:t>Education and Lifelong Learning</w:t>
        </w:r>
        <w:r w:rsidR="00B0519B">
          <w:rPr>
            <w:noProof/>
            <w:webHidden/>
          </w:rPr>
          <w:tab/>
        </w:r>
        <w:r w:rsidR="00A50A79">
          <w:rPr>
            <w:noProof/>
            <w:webHidden/>
          </w:rPr>
          <w:fldChar w:fldCharType="begin"/>
        </w:r>
        <w:r w:rsidR="00B0519B">
          <w:rPr>
            <w:noProof/>
            <w:webHidden/>
          </w:rPr>
          <w:instrText xml:space="preserve"> PAGEREF _Toc304437148 \h </w:instrText>
        </w:r>
        <w:r w:rsidR="00A50A79">
          <w:rPr>
            <w:noProof/>
            <w:webHidden/>
          </w:rPr>
        </w:r>
        <w:r w:rsidR="00A50A79">
          <w:rPr>
            <w:noProof/>
            <w:webHidden/>
          </w:rPr>
          <w:fldChar w:fldCharType="separate"/>
        </w:r>
        <w:r w:rsidR="006D7CF5">
          <w:rPr>
            <w:noProof/>
            <w:webHidden/>
          </w:rPr>
          <w:t>35</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49" w:history="1">
        <w:r w:rsidR="00B0519B" w:rsidRPr="00F16C0B">
          <w:rPr>
            <w:rStyle w:val="Hyperlink"/>
            <w:noProof/>
          </w:rPr>
          <w:t>Early Intervention</w:t>
        </w:r>
        <w:r w:rsidR="00B0519B">
          <w:rPr>
            <w:noProof/>
            <w:webHidden/>
          </w:rPr>
          <w:tab/>
        </w:r>
        <w:r w:rsidR="00A50A79">
          <w:rPr>
            <w:noProof/>
            <w:webHidden/>
          </w:rPr>
          <w:fldChar w:fldCharType="begin"/>
        </w:r>
        <w:r w:rsidR="00B0519B">
          <w:rPr>
            <w:noProof/>
            <w:webHidden/>
          </w:rPr>
          <w:instrText xml:space="preserve"> PAGEREF _Toc304437149 \h </w:instrText>
        </w:r>
        <w:r w:rsidR="00A50A79">
          <w:rPr>
            <w:noProof/>
            <w:webHidden/>
          </w:rPr>
        </w:r>
        <w:r w:rsidR="00A50A79">
          <w:rPr>
            <w:noProof/>
            <w:webHidden/>
          </w:rPr>
          <w:fldChar w:fldCharType="separate"/>
        </w:r>
        <w:r w:rsidR="006D7CF5">
          <w:rPr>
            <w:noProof/>
            <w:webHidden/>
          </w:rPr>
          <w:t>42</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0" w:history="1">
        <w:r w:rsidR="00B0519B" w:rsidRPr="00F16C0B">
          <w:rPr>
            <w:rStyle w:val="Hyperlink"/>
            <w:noProof/>
          </w:rPr>
          <w:t>Youth and Transition</w:t>
        </w:r>
        <w:r w:rsidR="00B0519B">
          <w:rPr>
            <w:noProof/>
            <w:webHidden/>
          </w:rPr>
          <w:tab/>
        </w:r>
        <w:r w:rsidR="00A50A79">
          <w:rPr>
            <w:noProof/>
            <w:webHidden/>
          </w:rPr>
          <w:fldChar w:fldCharType="begin"/>
        </w:r>
        <w:r w:rsidR="00B0519B">
          <w:rPr>
            <w:noProof/>
            <w:webHidden/>
          </w:rPr>
          <w:instrText xml:space="preserve"> PAGEREF _Toc304437150 \h </w:instrText>
        </w:r>
        <w:r w:rsidR="00A50A79">
          <w:rPr>
            <w:noProof/>
            <w:webHidden/>
          </w:rPr>
        </w:r>
        <w:r w:rsidR="00A50A79">
          <w:rPr>
            <w:noProof/>
            <w:webHidden/>
          </w:rPr>
          <w:fldChar w:fldCharType="separate"/>
        </w:r>
        <w:r w:rsidR="006D7CF5">
          <w:rPr>
            <w:noProof/>
            <w:webHidden/>
          </w:rPr>
          <w:t>44</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1" w:history="1">
        <w:r w:rsidR="00B0519B" w:rsidRPr="00F16C0B">
          <w:rPr>
            <w:rStyle w:val="Hyperlink"/>
            <w:noProof/>
          </w:rPr>
          <w:t>Postsecondary Education</w:t>
        </w:r>
        <w:r w:rsidR="00B0519B">
          <w:rPr>
            <w:noProof/>
            <w:webHidden/>
          </w:rPr>
          <w:tab/>
        </w:r>
        <w:r w:rsidR="00A50A79">
          <w:rPr>
            <w:noProof/>
            <w:webHidden/>
          </w:rPr>
          <w:fldChar w:fldCharType="begin"/>
        </w:r>
        <w:r w:rsidR="00B0519B">
          <w:rPr>
            <w:noProof/>
            <w:webHidden/>
          </w:rPr>
          <w:instrText xml:space="preserve"> PAGEREF _Toc304437151 \h </w:instrText>
        </w:r>
        <w:r w:rsidR="00A50A79">
          <w:rPr>
            <w:noProof/>
            <w:webHidden/>
          </w:rPr>
        </w:r>
        <w:r w:rsidR="00A50A79">
          <w:rPr>
            <w:noProof/>
            <w:webHidden/>
          </w:rPr>
          <w:fldChar w:fldCharType="separate"/>
        </w:r>
        <w:r w:rsidR="006D7CF5">
          <w:rPr>
            <w:noProof/>
            <w:webHidden/>
          </w:rPr>
          <w:t>44</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2" w:history="1">
        <w:r w:rsidR="00B0519B" w:rsidRPr="00F16C0B">
          <w:rPr>
            <w:rStyle w:val="Hyperlink"/>
            <w:noProof/>
          </w:rPr>
          <w:t>Bullying and Students with Disabilities</w:t>
        </w:r>
        <w:r w:rsidR="00B0519B">
          <w:rPr>
            <w:noProof/>
            <w:webHidden/>
          </w:rPr>
          <w:tab/>
        </w:r>
        <w:r w:rsidR="00A50A79">
          <w:rPr>
            <w:noProof/>
            <w:webHidden/>
          </w:rPr>
          <w:fldChar w:fldCharType="begin"/>
        </w:r>
        <w:r w:rsidR="00B0519B">
          <w:rPr>
            <w:noProof/>
            <w:webHidden/>
          </w:rPr>
          <w:instrText xml:space="preserve"> PAGEREF _Toc304437152 \h </w:instrText>
        </w:r>
        <w:r w:rsidR="00A50A79">
          <w:rPr>
            <w:noProof/>
            <w:webHidden/>
          </w:rPr>
        </w:r>
        <w:r w:rsidR="00A50A79">
          <w:rPr>
            <w:noProof/>
            <w:webHidden/>
          </w:rPr>
          <w:fldChar w:fldCharType="separate"/>
        </w:r>
        <w:r w:rsidR="006D7CF5">
          <w:rPr>
            <w:noProof/>
            <w:webHidden/>
          </w:rPr>
          <w:t>46</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3" w:history="1">
        <w:r w:rsidR="00B0519B" w:rsidRPr="00F16C0B">
          <w:rPr>
            <w:rStyle w:val="Hyperlink"/>
            <w:noProof/>
          </w:rPr>
          <w:t>Community Reentry of Inmates with Disabilities</w:t>
        </w:r>
        <w:r w:rsidR="00B0519B">
          <w:rPr>
            <w:noProof/>
            <w:webHidden/>
          </w:rPr>
          <w:tab/>
        </w:r>
        <w:r w:rsidR="00A50A79">
          <w:rPr>
            <w:noProof/>
            <w:webHidden/>
          </w:rPr>
          <w:fldChar w:fldCharType="begin"/>
        </w:r>
        <w:r w:rsidR="00B0519B">
          <w:rPr>
            <w:noProof/>
            <w:webHidden/>
          </w:rPr>
          <w:instrText xml:space="preserve"> PAGEREF _Toc304437153 \h </w:instrText>
        </w:r>
        <w:r w:rsidR="00A50A79">
          <w:rPr>
            <w:noProof/>
            <w:webHidden/>
          </w:rPr>
        </w:r>
        <w:r w:rsidR="00A50A79">
          <w:rPr>
            <w:noProof/>
            <w:webHidden/>
          </w:rPr>
          <w:fldChar w:fldCharType="separate"/>
        </w:r>
        <w:r w:rsidR="006D7CF5">
          <w:rPr>
            <w:noProof/>
            <w:webHidden/>
          </w:rPr>
          <w:t>49</w:t>
        </w:r>
        <w:r w:rsidR="00A50A79">
          <w:rPr>
            <w:noProof/>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54" w:history="1">
        <w:r w:rsidR="00B0519B" w:rsidRPr="00F16C0B">
          <w:rPr>
            <w:rStyle w:val="Hyperlink"/>
          </w:rPr>
          <w:t>Chapter 3: Earning</w:t>
        </w:r>
        <w:r w:rsidR="00B0519B">
          <w:rPr>
            <w:webHidden/>
          </w:rPr>
          <w:tab/>
        </w:r>
        <w:r w:rsidR="00A50A79">
          <w:rPr>
            <w:webHidden/>
          </w:rPr>
          <w:fldChar w:fldCharType="begin"/>
        </w:r>
        <w:r w:rsidR="00B0519B">
          <w:rPr>
            <w:webHidden/>
          </w:rPr>
          <w:instrText xml:space="preserve"> PAGEREF _Toc304437154 \h </w:instrText>
        </w:r>
        <w:r w:rsidR="00A50A79">
          <w:rPr>
            <w:webHidden/>
          </w:rPr>
        </w:r>
        <w:r w:rsidR="00A50A79">
          <w:rPr>
            <w:webHidden/>
          </w:rPr>
          <w:fldChar w:fldCharType="separate"/>
        </w:r>
        <w:r w:rsidR="006D7CF5">
          <w:rPr>
            <w:webHidden/>
          </w:rPr>
          <w:t>51</w:t>
        </w:r>
        <w:r w:rsidR="00A50A79">
          <w:rPr>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5" w:history="1">
        <w:r w:rsidR="00B0519B" w:rsidRPr="00F16C0B">
          <w:rPr>
            <w:rStyle w:val="Hyperlink"/>
            <w:noProof/>
          </w:rPr>
          <w:t>Employment</w:t>
        </w:r>
        <w:r w:rsidR="00B0519B">
          <w:rPr>
            <w:noProof/>
            <w:webHidden/>
          </w:rPr>
          <w:tab/>
        </w:r>
        <w:r w:rsidR="00A50A79">
          <w:rPr>
            <w:noProof/>
            <w:webHidden/>
          </w:rPr>
          <w:fldChar w:fldCharType="begin"/>
        </w:r>
        <w:r w:rsidR="00B0519B">
          <w:rPr>
            <w:noProof/>
            <w:webHidden/>
          </w:rPr>
          <w:instrText xml:space="preserve"> PAGEREF _Toc304437155 \h </w:instrText>
        </w:r>
        <w:r w:rsidR="00A50A79">
          <w:rPr>
            <w:noProof/>
            <w:webHidden/>
          </w:rPr>
        </w:r>
        <w:r w:rsidR="00A50A79">
          <w:rPr>
            <w:noProof/>
            <w:webHidden/>
          </w:rPr>
          <w:fldChar w:fldCharType="separate"/>
        </w:r>
        <w:r w:rsidR="006D7CF5">
          <w:rPr>
            <w:noProof/>
            <w:webHidden/>
          </w:rPr>
          <w:t>51</w:t>
        </w:r>
        <w:r w:rsidR="00A50A79">
          <w:rPr>
            <w:noProof/>
            <w:webHidden/>
          </w:rPr>
          <w:fldChar w:fldCharType="end"/>
        </w:r>
      </w:hyperlink>
    </w:p>
    <w:p w:rsidR="00B0519B" w:rsidRPr="004B2549" w:rsidRDefault="006729FE" w:rsidP="00B0519B">
      <w:pPr>
        <w:pStyle w:val="TOC2"/>
        <w:tabs>
          <w:tab w:val="right" w:leader="dot" w:pos="9350"/>
        </w:tabs>
        <w:rPr>
          <w:rFonts w:ascii="Calibri" w:eastAsia="Times New Roman" w:hAnsi="Calibri"/>
          <w:noProof/>
          <w:sz w:val="22"/>
        </w:rPr>
      </w:pPr>
      <w:hyperlink w:anchor="_Toc304437156" w:history="1">
        <w:r w:rsidR="00B0519B" w:rsidRPr="00F16C0B">
          <w:rPr>
            <w:rStyle w:val="Hyperlink"/>
            <w:noProof/>
          </w:rPr>
          <w:t>Financial Status</w:t>
        </w:r>
        <w:r w:rsidR="00B0519B">
          <w:rPr>
            <w:noProof/>
            <w:webHidden/>
          </w:rPr>
          <w:tab/>
        </w:r>
        <w:r w:rsidR="00A50A79">
          <w:rPr>
            <w:noProof/>
            <w:webHidden/>
          </w:rPr>
          <w:fldChar w:fldCharType="begin"/>
        </w:r>
        <w:r w:rsidR="00B0519B">
          <w:rPr>
            <w:noProof/>
            <w:webHidden/>
          </w:rPr>
          <w:instrText xml:space="preserve"> PAGEREF _Toc304437156 \h </w:instrText>
        </w:r>
        <w:r w:rsidR="00A50A79">
          <w:rPr>
            <w:noProof/>
            <w:webHidden/>
          </w:rPr>
        </w:r>
        <w:r w:rsidR="00A50A79">
          <w:rPr>
            <w:noProof/>
            <w:webHidden/>
          </w:rPr>
          <w:fldChar w:fldCharType="separate"/>
        </w:r>
        <w:r w:rsidR="006D7CF5">
          <w:rPr>
            <w:noProof/>
            <w:webHidden/>
          </w:rPr>
          <w:t>56</w:t>
        </w:r>
        <w:r w:rsidR="00A50A79">
          <w:rPr>
            <w:noProof/>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57" w:history="1">
        <w:r w:rsidR="00B0519B" w:rsidRPr="00F16C0B">
          <w:rPr>
            <w:rStyle w:val="Hyperlink"/>
          </w:rPr>
          <w:t>Conclusion</w:t>
        </w:r>
        <w:r w:rsidR="00B0519B">
          <w:rPr>
            <w:webHidden/>
          </w:rPr>
          <w:tab/>
        </w:r>
        <w:r w:rsidR="00A50A79">
          <w:rPr>
            <w:webHidden/>
          </w:rPr>
          <w:fldChar w:fldCharType="begin"/>
        </w:r>
        <w:r w:rsidR="00B0519B">
          <w:rPr>
            <w:webHidden/>
          </w:rPr>
          <w:instrText xml:space="preserve"> PAGEREF _Toc304437157 \h </w:instrText>
        </w:r>
        <w:r w:rsidR="00A50A79">
          <w:rPr>
            <w:webHidden/>
          </w:rPr>
        </w:r>
        <w:r w:rsidR="00A50A79">
          <w:rPr>
            <w:webHidden/>
          </w:rPr>
          <w:fldChar w:fldCharType="separate"/>
        </w:r>
        <w:r w:rsidR="006D7CF5">
          <w:rPr>
            <w:webHidden/>
          </w:rPr>
          <w:t>59</w:t>
        </w:r>
        <w:r w:rsidR="00A50A79">
          <w:rPr>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58" w:history="1">
        <w:r w:rsidR="00B0519B" w:rsidRPr="00F16C0B">
          <w:rPr>
            <w:rStyle w:val="Hyperlink"/>
          </w:rPr>
          <w:t>Appendix A: Disability Tables</w:t>
        </w:r>
        <w:r w:rsidR="00B0519B">
          <w:rPr>
            <w:webHidden/>
          </w:rPr>
          <w:tab/>
        </w:r>
        <w:r w:rsidR="00A50A79">
          <w:rPr>
            <w:webHidden/>
          </w:rPr>
          <w:fldChar w:fldCharType="begin"/>
        </w:r>
        <w:r w:rsidR="00B0519B">
          <w:rPr>
            <w:webHidden/>
          </w:rPr>
          <w:instrText xml:space="preserve"> PAGEREF _Toc304437158 \h </w:instrText>
        </w:r>
        <w:r w:rsidR="00A50A79">
          <w:rPr>
            <w:webHidden/>
          </w:rPr>
        </w:r>
        <w:r w:rsidR="00A50A79">
          <w:rPr>
            <w:webHidden/>
          </w:rPr>
          <w:fldChar w:fldCharType="separate"/>
        </w:r>
        <w:r w:rsidR="006D7CF5">
          <w:rPr>
            <w:webHidden/>
          </w:rPr>
          <w:t>61</w:t>
        </w:r>
        <w:r w:rsidR="00A50A79">
          <w:rPr>
            <w:webHidden/>
          </w:rPr>
          <w:fldChar w:fldCharType="end"/>
        </w:r>
      </w:hyperlink>
    </w:p>
    <w:p w:rsidR="00B0519B" w:rsidRPr="004B2549" w:rsidRDefault="006729FE" w:rsidP="00B0519B">
      <w:pPr>
        <w:pStyle w:val="TOC1"/>
        <w:rPr>
          <w:rFonts w:ascii="Calibri" w:eastAsia="Times New Roman" w:hAnsi="Calibri" w:cs="Times New Roman"/>
          <w:b w:val="0"/>
          <w:sz w:val="22"/>
          <w:szCs w:val="22"/>
        </w:rPr>
      </w:pPr>
      <w:hyperlink w:anchor="_Toc304437159" w:history="1">
        <w:r w:rsidR="00B0519B" w:rsidRPr="00F16C0B">
          <w:rPr>
            <w:rStyle w:val="Hyperlink"/>
          </w:rPr>
          <w:t>Endnotes</w:t>
        </w:r>
        <w:r w:rsidR="00B0519B">
          <w:rPr>
            <w:webHidden/>
          </w:rPr>
          <w:tab/>
        </w:r>
        <w:r w:rsidR="00A50A79">
          <w:rPr>
            <w:webHidden/>
          </w:rPr>
          <w:fldChar w:fldCharType="begin"/>
        </w:r>
        <w:r w:rsidR="00B0519B">
          <w:rPr>
            <w:webHidden/>
          </w:rPr>
          <w:instrText xml:space="preserve"> PAGEREF _Toc304437159 \h </w:instrText>
        </w:r>
        <w:r w:rsidR="00A50A79">
          <w:rPr>
            <w:webHidden/>
          </w:rPr>
        </w:r>
        <w:r w:rsidR="00A50A79">
          <w:rPr>
            <w:webHidden/>
          </w:rPr>
          <w:fldChar w:fldCharType="separate"/>
        </w:r>
        <w:r w:rsidR="006D7CF5">
          <w:rPr>
            <w:webHidden/>
          </w:rPr>
          <w:t>65</w:t>
        </w:r>
        <w:r w:rsidR="00A50A79">
          <w:rPr>
            <w:webHidden/>
          </w:rPr>
          <w:fldChar w:fldCharType="end"/>
        </w:r>
      </w:hyperlink>
    </w:p>
    <w:p w:rsidR="00B0519B" w:rsidRDefault="00A50A79" w:rsidP="00B0519B">
      <w:pPr>
        <w:tabs>
          <w:tab w:val="left" w:pos="935"/>
        </w:tabs>
        <w:sectPr w:rsidR="00B0519B" w:rsidSect="00101C2D">
          <w:headerReference w:type="default" r:id="rId15"/>
          <w:footerReference w:type="default" r:id="rId16"/>
          <w:headerReference w:type="first" r:id="rId17"/>
          <w:footerReference w:type="first" r:id="rId18"/>
          <w:endnotePr>
            <w:numFmt w:val="decimal"/>
          </w:endnotePr>
          <w:pgSz w:w="12240" w:h="15840" w:code="1"/>
          <w:pgMar w:top="1440" w:right="1440" w:bottom="1440" w:left="1440" w:header="720" w:footer="720" w:gutter="0"/>
          <w:cols w:space="720"/>
          <w:docGrid w:linePitch="360"/>
        </w:sectPr>
      </w:pPr>
      <w:r>
        <w:fldChar w:fldCharType="end"/>
      </w:r>
      <w:bookmarkStart w:id="7" w:name="OLE_LINK25"/>
    </w:p>
    <w:p w:rsidR="00B0519B" w:rsidRDefault="00B0519B" w:rsidP="00B0519B">
      <w:pPr>
        <w:pStyle w:val="BodyText"/>
      </w:pPr>
    </w:p>
    <w:p w:rsidR="00B0519B" w:rsidRDefault="00B0519B" w:rsidP="00B0519B">
      <w:pPr>
        <w:pStyle w:val="Heading1"/>
      </w:pPr>
      <w:r>
        <w:br w:type="page"/>
      </w:r>
      <w:bookmarkStart w:id="8" w:name="_Toc304437133"/>
      <w:r>
        <w:lastRenderedPageBreak/>
        <w:t>Executive Summary</w:t>
      </w:r>
      <w:bookmarkEnd w:id="8"/>
    </w:p>
    <w:p w:rsidR="00B0519B" w:rsidRPr="00361CD4" w:rsidRDefault="00B0519B" w:rsidP="00B0519B">
      <w:pPr>
        <w:pStyle w:val="BodyText"/>
      </w:pPr>
      <w:r w:rsidRPr="00361CD4">
        <w:t>This annual progress report by the National Council on Disability (NCD) describes the current state of people with disabilities in America.</w:t>
      </w:r>
      <w:r>
        <w:t xml:space="preserve"> </w:t>
      </w:r>
      <w:r w:rsidRPr="00361CD4">
        <w:t xml:space="preserve">Findings are based on information gathered through a variety of </w:t>
      </w:r>
      <w:r>
        <w:t xml:space="preserve">events with </w:t>
      </w:r>
      <w:r w:rsidRPr="00361CD4">
        <w:t>NCD stakeholders; the most recent figures from an extensive set of national data indicators measuring the quality of life of people with disabilities in the U</w:t>
      </w:r>
      <w:r>
        <w:t>nited States</w:t>
      </w:r>
      <w:r w:rsidRPr="00361CD4">
        <w:t>; and recent studies and reports</w:t>
      </w:r>
      <w:r>
        <w:t xml:space="preserve"> from NCD</w:t>
      </w:r>
      <w:r w:rsidRPr="00361CD4">
        <w:t xml:space="preserve">. </w:t>
      </w:r>
    </w:p>
    <w:p w:rsidR="00B0519B" w:rsidRPr="00361CD4" w:rsidRDefault="00B0519B" w:rsidP="00B0519B">
      <w:pPr>
        <w:pStyle w:val="BodyText"/>
      </w:pPr>
      <w:r w:rsidRPr="00361CD4">
        <w:t>These indicators reveal vast disparities between people with and without disabilities in the U</w:t>
      </w:r>
      <w:r>
        <w:t>nited States</w:t>
      </w:r>
      <w:r w:rsidRPr="00361CD4">
        <w:t>.</w:t>
      </w:r>
      <w:r>
        <w:t xml:space="preserve"> </w:t>
      </w:r>
      <w:r w:rsidRPr="00361CD4">
        <w:t>Overall, people with disabilities have lower employment rates, lower annual earnings, lower educational attainment and achievement; lack adequate access to housing, transportation, technology, and health care; and are more likely to live in poverty.</w:t>
      </w:r>
      <w:r>
        <w:t xml:space="preserve"> </w:t>
      </w:r>
    </w:p>
    <w:p w:rsidR="00B0519B" w:rsidRPr="00361CD4" w:rsidRDefault="00B0519B" w:rsidP="00B0519B">
      <w:pPr>
        <w:pStyle w:val="BodyText"/>
        <w:rPr>
          <w:szCs w:val="24"/>
        </w:rPr>
      </w:pPr>
      <w:r w:rsidRPr="00361CD4">
        <w:rPr>
          <w:szCs w:val="24"/>
        </w:rPr>
        <w:t>These disparities have persisted over time, despite substantial federal and state investments in programs and services for people with disabilities, as well as a number of disability rights protections provided in legislation, regulations, and public policies.</w:t>
      </w:r>
      <w:r>
        <w:rPr>
          <w:szCs w:val="24"/>
        </w:rPr>
        <w:t xml:space="preserve"> </w:t>
      </w:r>
      <w:r w:rsidRPr="00361CD4">
        <w:rPr>
          <w:szCs w:val="24"/>
        </w:rPr>
        <w:t>Moreover,</w:t>
      </w:r>
      <w:r>
        <w:rPr>
          <w:szCs w:val="24"/>
        </w:rPr>
        <w:t xml:space="preserve"> </w:t>
      </w:r>
      <w:r w:rsidRPr="00361CD4">
        <w:rPr>
          <w:szCs w:val="24"/>
        </w:rPr>
        <w:t>in recent years many of the disparities between people with and without disabilities have increased.</w:t>
      </w:r>
      <w:r>
        <w:rPr>
          <w:szCs w:val="24"/>
        </w:rPr>
        <w:t xml:space="preserve"> </w:t>
      </w:r>
      <w:r w:rsidRPr="00361CD4">
        <w:rPr>
          <w:szCs w:val="24"/>
        </w:rPr>
        <w:t>In too many aspects of living, learning, and earning, more people with disabilities are falling behind.</w:t>
      </w:r>
      <w:r>
        <w:rPr>
          <w:szCs w:val="24"/>
        </w:rPr>
        <w:t xml:space="preserve"> </w:t>
      </w:r>
      <w:r w:rsidRPr="00361CD4">
        <w:rPr>
          <w:szCs w:val="24"/>
        </w:rPr>
        <w:t>The economic downturn is having a particularly detrimental effect on people with disabilities.</w:t>
      </w:r>
      <w:r>
        <w:rPr>
          <w:szCs w:val="24"/>
        </w:rPr>
        <w:t xml:space="preserve"> </w:t>
      </w:r>
      <w:r w:rsidRPr="00361CD4">
        <w:rPr>
          <w:szCs w:val="24"/>
        </w:rPr>
        <w:t>Since 2008, job loss among people with disabilities has far exceeded that of people without disabilities.</w:t>
      </w:r>
      <w:r>
        <w:rPr>
          <w:szCs w:val="24"/>
        </w:rPr>
        <w:t xml:space="preserve"> </w:t>
      </w:r>
      <w:r w:rsidRPr="00361CD4">
        <w:rPr>
          <w:szCs w:val="24"/>
        </w:rPr>
        <w:t>Median earnings for people with disabilities dropped 7 percent from 2008-2009.</w:t>
      </w:r>
      <w:r>
        <w:rPr>
          <w:szCs w:val="24"/>
        </w:rPr>
        <w:t xml:space="preserve"> </w:t>
      </w:r>
      <w:r w:rsidRPr="00361CD4">
        <w:rPr>
          <w:szCs w:val="24"/>
        </w:rPr>
        <w:t>The number of people applying for Social Security Disability Insurance benefits is on the rise.</w:t>
      </w:r>
      <w:r>
        <w:rPr>
          <w:szCs w:val="24"/>
        </w:rPr>
        <w:t xml:space="preserve"> </w:t>
      </w:r>
      <w:r w:rsidRPr="00361CD4">
        <w:rPr>
          <w:szCs w:val="24"/>
        </w:rPr>
        <w:t>More people with disabilities are on waiting lists for home-</w:t>
      </w:r>
      <w:r>
        <w:rPr>
          <w:szCs w:val="24"/>
        </w:rPr>
        <w:t xml:space="preserve"> </w:t>
      </w:r>
      <w:r w:rsidRPr="00361CD4">
        <w:rPr>
          <w:szCs w:val="24"/>
        </w:rPr>
        <w:t>and</w:t>
      </w:r>
      <w:r>
        <w:rPr>
          <w:szCs w:val="24"/>
        </w:rPr>
        <w:t xml:space="preserve"> </w:t>
      </w:r>
      <w:r w:rsidRPr="00361CD4">
        <w:rPr>
          <w:szCs w:val="24"/>
        </w:rPr>
        <w:t>community-based services.</w:t>
      </w:r>
      <w:r>
        <w:rPr>
          <w:szCs w:val="24"/>
        </w:rPr>
        <w:t xml:space="preserve"> </w:t>
      </w:r>
      <w:r w:rsidRPr="00361CD4">
        <w:rPr>
          <w:szCs w:val="24"/>
        </w:rPr>
        <w:t xml:space="preserve">The percentage of </w:t>
      </w:r>
      <w:r w:rsidRPr="005A6B6D">
        <w:rPr>
          <w:szCs w:val="24"/>
        </w:rPr>
        <w:t>young people in the nursing home population is increasing.</w:t>
      </w:r>
      <w:r>
        <w:rPr>
          <w:b/>
          <w:szCs w:val="24"/>
        </w:rPr>
        <w:t xml:space="preserve"> </w:t>
      </w:r>
      <w:r w:rsidRPr="00361CD4">
        <w:rPr>
          <w:szCs w:val="24"/>
        </w:rPr>
        <w:t>Disability discrimination is on the rise in housing, employment, and air travel.</w:t>
      </w:r>
      <w:r>
        <w:rPr>
          <w:szCs w:val="24"/>
        </w:rPr>
        <w:t xml:space="preserve"> </w:t>
      </w:r>
      <w:r w:rsidRPr="00361CD4">
        <w:rPr>
          <w:szCs w:val="24"/>
        </w:rPr>
        <w:t>Too many students with disabilities are still being segregated and are experiencing poor education achievement outcomes.</w:t>
      </w:r>
      <w:r>
        <w:rPr>
          <w:szCs w:val="24"/>
        </w:rPr>
        <w:t xml:space="preserve"> </w:t>
      </w:r>
      <w:r w:rsidRPr="00361CD4">
        <w:rPr>
          <w:szCs w:val="24"/>
        </w:rPr>
        <w:t>These are alarming trends that, if not reversed soon, will result in substantial financial and human costs to our society.</w:t>
      </w:r>
    </w:p>
    <w:p w:rsidR="00B0519B" w:rsidRPr="00361CD4" w:rsidRDefault="00B0519B" w:rsidP="00B0519B">
      <w:pPr>
        <w:pStyle w:val="BodyText"/>
        <w:rPr>
          <w:szCs w:val="24"/>
        </w:rPr>
      </w:pPr>
      <w:r w:rsidRPr="00361CD4">
        <w:rPr>
          <w:szCs w:val="24"/>
        </w:rPr>
        <w:lastRenderedPageBreak/>
        <w:t>We are at a critical juncture in our nation</w:t>
      </w:r>
      <w:r>
        <w:rPr>
          <w:szCs w:val="24"/>
        </w:rPr>
        <w:t>’</w:t>
      </w:r>
      <w:r w:rsidRPr="00361CD4">
        <w:rPr>
          <w:szCs w:val="24"/>
        </w:rPr>
        <w:t>s disability policy.</w:t>
      </w:r>
      <w:r>
        <w:rPr>
          <w:szCs w:val="24"/>
        </w:rPr>
        <w:t xml:space="preserve"> </w:t>
      </w:r>
      <w:r w:rsidRPr="00361CD4">
        <w:rPr>
          <w:szCs w:val="24"/>
        </w:rPr>
        <w:t>As our nation</w:t>
      </w:r>
      <w:r>
        <w:rPr>
          <w:szCs w:val="24"/>
        </w:rPr>
        <w:t>’</w:t>
      </w:r>
      <w:r w:rsidRPr="00361CD4">
        <w:rPr>
          <w:szCs w:val="24"/>
        </w:rPr>
        <w:t>s leaders focus on how to reduce the federal deficit and rescue the declining economy, spending on disability programs will come under greater scrutiny.</w:t>
      </w:r>
      <w:r>
        <w:rPr>
          <w:szCs w:val="24"/>
        </w:rPr>
        <w:t xml:space="preserve"> We must review the nation’</w:t>
      </w:r>
      <w:r w:rsidRPr="004040B9">
        <w:rPr>
          <w:szCs w:val="24"/>
        </w:rPr>
        <w:t>s approach to disability policy and make comprehensive changes t</w:t>
      </w:r>
      <w:r>
        <w:rPr>
          <w:szCs w:val="24"/>
        </w:rPr>
        <w:t xml:space="preserve">o </w:t>
      </w:r>
      <w:r w:rsidRPr="004040B9">
        <w:rPr>
          <w:szCs w:val="24"/>
        </w:rPr>
        <w:t>ensure that these programs are aligned with the overarching goals of the A</w:t>
      </w:r>
      <w:r>
        <w:rPr>
          <w:szCs w:val="24"/>
        </w:rPr>
        <w:t>merican</w:t>
      </w:r>
      <w:r w:rsidR="00B43027">
        <w:rPr>
          <w:szCs w:val="24"/>
        </w:rPr>
        <w:t>s</w:t>
      </w:r>
      <w:r w:rsidR="00C112B3">
        <w:rPr>
          <w:szCs w:val="24"/>
        </w:rPr>
        <w:t xml:space="preserve"> with Disabilities</w:t>
      </w:r>
      <w:r>
        <w:rPr>
          <w:szCs w:val="24"/>
        </w:rPr>
        <w:t xml:space="preserve"> </w:t>
      </w:r>
      <w:r w:rsidRPr="004040B9">
        <w:rPr>
          <w:szCs w:val="24"/>
        </w:rPr>
        <w:t>A</w:t>
      </w:r>
      <w:r>
        <w:rPr>
          <w:szCs w:val="24"/>
        </w:rPr>
        <w:t>ct—</w:t>
      </w:r>
      <w:r w:rsidRPr="004040B9">
        <w:rPr>
          <w:szCs w:val="24"/>
        </w:rPr>
        <w:t>full participation, equal opportunity, independent living, and economic self-sufficiency.</w:t>
      </w:r>
      <w:r>
        <w:rPr>
          <w:szCs w:val="24"/>
        </w:rPr>
        <w:t xml:space="preserve"> </w:t>
      </w:r>
      <w:r w:rsidRPr="00361CD4">
        <w:rPr>
          <w:szCs w:val="24"/>
        </w:rPr>
        <w:t xml:space="preserve">Long-term fiscal stability depends, in part, on providing people with disabilities </w:t>
      </w:r>
      <w:r>
        <w:rPr>
          <w:szCs w:val="24"/>
        </w:rPr>
        <w:t xml:space="preserve">with </w:t>
      </w:r>
      <w:r w:rsidRPr="00361CD4">
        <w:rPr>
          <w:szCs w:val="24"/>
        </w:rPr>
        <w:t>meaningful opportunities to contribute to our collective well-being and on eliminating outdated policies that trap people with disabilities in poverty and dependency</w:t>
      </w:r>
      <w:r>
        <w:rPr>
          <w:szCs w:val="24"/>
        </w:rPr>
        <w:t>, such as Social Security work disincentives, the institutional bias in Medicaid, and barriers to an inclusive education</w:t>
      </w:r>
      <w:r w:rsidRPr="00361CD4">
        <w:rPr>
          <w:szCs w:val="24"/>
        </w:rPr>
        <w:t>.</w:t>
      </w:r>
    </w:p>
    <w:p w:rsidR="00B0519B" w:rsidRDefault="00B0519B" w:rsidP="00B0519B">
      <w:pPr>
        <w:pStyle w:val="BodyText"/>
        <w:rPr>
          <w:szCs w:val="24"/>
        </w:rPr>
      </w:pPr>
      <w:r w:rsidRPr="00361CD4">
        <w:rPr>
          <w:szCs w:val="24"/>
        </w:rPr>
        <w:t>This report contains many recommendations for improving the quality of life of people with disabilities.</w:t>
      </w:r>
      <w:r>
        <w:rPr>
          <w:szCs w:val="24"/>
        </w:rPr>
        <w:t xml:space="preserve"> Given that t</w:t>
      </w:r>
      <w:r w:rsidRPr="00361CD4">
        <w:rPr>
          <w:szCs w:val="24"/>
        </w:rPr>
        <w:t>he comprehensive reform of our nation</w:t>
      </w:r>
      <w:r>
        <w:rPr>
          <w:szCs w:val="24"/>
        </w:rPr>
        <w:t>’</w:t>
      </w:r>
      <w:r w:rsidRPr="00361CD4">
        <w:rPr>
          <w:szCs w:val="24"/>
        </w:rPr>
        <w:t xml:space="preserve">s approach to disability policy </w:t>
      </w:r>
      <w:r>
        <w:rPr>
          <w:szCs w:val="24"/>
        </w:rPr>
        <w:t>will be</w:t>
      </w:r>
      <w:r w:rsidRPr="00361CD4">
        <w:rPr>
          <w:szCs w:val="24"/>
        </w:rPr>
        <w:t xml:space="preserve"> a long-term process, </w:t>
      </w:r>
      <w:r>
        <w:rPr>
          <w:szCs w:val="24"/>
        </w:rPr>
        <w:t xml:space="preserve">immediate </w:t>
      </w:r>
      <w:r w:rsidRPr="00361CD4">
        <w:rPr>
          <w:szCs w:val="24"/>
        </w:rPr>
        <w:t xml:space="preserve">priority should be given to the recommendations that </w:t>
      </w:r>
      <w:r>
        <w:rPr>
          <w:szCs w:val="24"/>
        </w:rPr>
        <w:t>will lead to better education outcomes and increased employment and independent living opportunities for people with disabilities.</w:t>
      </w:r>
    </w:p>
    <w:p w:rsidR="00B0519B" w:rsidRPr="00213981" w:rsidRDefault="00B0519B" w:rsidP="00B0519B">
      <w:pPr>
        <w:pStyle w:val="Heading1"/>
      </w:pPr>
      <w:r>
        <w:br w:type="page"/>
      </w:r>
      <w:bookmarkStart w:id="9" w:name="_Toc304437134"/>
      <w:r w:rsidRPr="00213981">
        <w:lastRenderedPageBreak/>
        <w:t>I</w:t>
      </w:r>
      <w:r>
        <w:t>ntroduction</w:t>
      </w:r>
      <w:bookmarkEnd w:id="9"/>
    </w:p>
    <w:p w:rsidR="00B0519B" w:rsidRPr="008E0AD4" w:rsidRDefault="00B0519B" w:rsidP="00B0519B">
      <w:pPr>
        <w:pStyle w:val="Heading2"/>
      </w:pPr>
      <w:bookmarkStart w:id="10" w:name="_Toc304437135"/>
      <w:r w:rsidRPr="008E0AD4">
        <w:t>Purpose</w:t>
      </w:r>
      <w:bookmarkEnd w:id="10"/>
    </w:p>
    <w:p w:rsidR="00B0519B" w:rsidRPr="00AA164F" w:rsidRDefault="00B0519B" w:rsidP="00B0519B">
      <w:pPr>
        <w:pStyle w:val="BodyText"/>
      </w:pPr>
      <w:r w:rsidRPr="00AA164F">
        <w:t xml:space="preserve">The National Council on Disability (NCD) is an independent </w:t>
      </w:r>
      <w:r>
        <w:t>f</w:t>
      </w:r>
      <w:r w:rsidRPr="00AA164F">
        <w:t>ederal agency with 15</w:t>
      </w:r>
      <w:r>
        <w:t> </w:t>
      </w:r>
      <w:r w:rsidRPr="00AA164F">
        <w:t>members appointed by the President of the United States and confirmed by the U.S.</w:t>
      </w:r>
      <w:r>
        <w:t> </w:t>
      </w:r>
      <w:r w:rsidRPr="00AA164F">
        <w:t xml:space="preserve">Senate. NCD </w:t>
      </w:r>
      <w:r>
        <w:t>recommends</w:t>
      </w:r>
      <w:r w:rsidRPr="00AA164F">
        <w:t xml:space="preserve"> policies, programs, practices, and procedures that guarantee equal opportunity for all individuals with disabilities, regardless of the nature or severity of the disability, and </w:t>
      </w:r>
      <w:r>
        <w:t xml:space="preserve">that </w:t>
      </w:r>
      <w:r w:rsidRPr="00AA164F">
        <w:t>empower individuals with disabilities to achieve economic self-sufficiency, independent living, and inclusion and integration into all aspects of society.</w:t>
      </w:r>
    </w:p>
    <w:p w:rsidR="00B0519B" w:rsidRPr="00AA164F" w:rsidRDefault="00B0519B" w:rsidP="00B0519B">
      <w:pPr>
        <w:pStyle w:val="BodyText"/>
      </w:pPr>
      <w:r>
        <w:t xml:space="preserve">In preparation for writing this annual progress report, NCD reviewed the </w:t>
      </w:r>
      <w:r w:rsidRPr="00AA164F">
        <w:t>current state</w:t>
      </w:r>
      <w:r>
        <w:t xml:space="preserve"> of people with disabilities in the United States. </w:t>
      </w:r>
      <w:r w:rsidRPr="00AA164F">
        <w:t>Th</w:t>
      </w:r>
      <w:r>
        <w:t>is</w:t>
      </w:r>
      <w:r w:rsidRPr="00AA164F">
        <w:t xml:space="preserve"> report is based on information gathered through a variety of </w:t>
      </w:r>
      <w:r>
        <w:t>NCD stakeholder events</w:t>
      </w:r>
      <w:r w:rsidRPr="00AA164F">
        <w:t xml:space="preserve">; the most recent figures </w:t>
      </w:r>
      <w:r>
        <w:t>from</w:t>
      </w:r>
      <w:r w:rsidRPr="00AA164F">
        <w:t xml:space="preserve"> an extensive set of national data indicators measuring the quality of life of people with disabilities in the </w:t>
      </w:r>
      <w:r>
        <w:t>United States</w:t>
      </w:r>
      <w:r w:rsidRPr="00AA164F">
        <w:t>; and recent NCD studies</w:t>
      </w:r>
      <w:r>
        <w:t xml:space="preserve"> and reports. </w:t>
      </w:r>
      <w:r w:rsidRPr="00AA164F">
        <w:t xml:space="preserve">The national data indicators cover </w:t>
      </w:r>
      <w:r>
        <w:t xml:space="preserve">several aspects of living, learning, and earning, including community participation, housing, health, transportation, technology, </w:t>
      </w:r>
      <w:r w:rsidRPr="00AA164F">
        <w:t xml:space="preserve">education, </w:t>
      </w:r>
      <w:r>
        <w:t xml:space="preserve">employment, and </w:t>
      </w:r>
      <w:r w:rsidRPr="00AA164F">
        <w:t>financ</w:t>
      </w:r>
      <w:r>
        <w:t>ial status.</w:t>
      </w:r>
    </w:p>
    <w:p w:rsidR="00B0519B" w:rsidRDefault="00B0519B" w:rsidP="00B0519B">
      <w:pPr>
        <w:pStyle w:val="BodyText"/>
      </w:pPr>
      <w:r w:rsidRPr="00AA164F">
        <w:t xml:space="preserve">In general, these indicators </w:t>
      </w:r>
      <w:r>
        <w:t>reveal</w:t>
      </w:r>
      <w:r w:rsidRPr="00AA164F">
        <w:t xml:space="preserve"> vast disparities between people with and without disabilities in the </w:t>
      </w:r>
      <w:r>
        <w:t>United States</w:t>
      </w:r>
      <w:r w:rsidRPr="00AA164F">
        <w:t>.</w:t>
      </w:r>
      <w:r>
        <w:t xml:space="preserve"> </w:t>
      </w:r>
      <w:r w:rsidRPr="00AA164F">
        <w:t>Overall, people with disabilities have lower rates of employment, annual earnings, educational attainment</w:t>
      </w:r>
      <w:r>
        <w:t>,</w:t>
      </w:r>
      <w:r w:rsidRPr="00AA164F">
        <w:t xml:space="preserve"> and achievement</w:t>
      </w:r>
      <w:r>
        <w:t>;</w:t>
      </w:r>
      <w:r w:rsidRPr="00AA164F">
        <w:t xml:space="preserve"> </w:t>
      </w:r>
      <w:r>
        <w:t>lack sufficient access to housing,</w:t>
      </w:r>
      <w:r w:rsidRPr="00AA164F">
        <w:t xml:space="preserve"> </w:t>
      </w:r>
      <w:r>
        <w:t>transportation, and health care;</w:t>
      </w:r>
      <w:r w:rsidRPr="00AA164F">
        <w:t xml:space="preserve"> and are more likely to live in poverty.</w:t>
      </w:r>
      <w:r>
        <w:t xml:space="preserve"> </w:t>
      </w:r>
    </w:p>
    <w:p w:rsidR="00B0519B" w:rsidRDefault="00B0519B" w:rsidP="00B0519B">
      <w:pPr>
        <w:pStyle w:val="BodyText"/>
        <w:rPr>
          <w:szCs w:val="24"/>
        </w:rPr>
      </w:pPr>
      <w:r w:rsidRPr="00AA164F">
        <w:rPr>
          <w:szCs w:val="24"/>
        </w:rPr>
        <w:t>A</w:t>
      </w:r>
      <w:r>
        <w:rPr>
          <w:szCs w:val="24"/>
        </w:rPr>
        <w:t>s</w:t>
      </w:r>
      <w:r w:rsidRPr="00AA164F">
        <w:rPr>
          <w:szCs w:val="24"/>
        </w:rPr>
        <w:t xml:space="preserve"> this report</w:t>
      </w:r>
      <w:r>
        <w:rPr>
          <w:szCs w:val="24"/>
        </w:rPr>
        <w:t xml:space="preserve"> was being written</w:t>
      </w:r>
      <w:r w:rsidRPr="00AA164F">
        <w:rPr>
          <w:szCs w:val="24"/>
        </w:rPr>
        <w:t>, our nation</w:t>
      </w:r>
      <w:r>
        <w:rPr>
          <w:szCs w:val="24"/>
        </w:rPr>
        <w:t>’</w:t>
      </w:r>
      <w:r w:rsidRPr="00AA164F">
        <w:rPr>
          <w:szCs w:val="24"/>
        </w:rPr>
        <w:t xml:space="preserve">s leaders </w:t>
      </w:r>
      <w:r>
        <w:rPr>
          <w:szCs w:val="24"/>
        </w:rPr>
        <w:t xml:space="preserve">passed legislation to </w:t>
      </w:r>
      <w:r w:rsidRPr="00AA164F">
        <w:rPr>
          <w:szCs w:val="24"/>
        </w:rPr>
        <w:t xml:space="preserve">raise the debt ceiling to avoid an economic catastrophe. </w:t>
      </w:r>
      <w:r>
        <w:rPr>
          <w:szCs w:val="24"/>
        </w:rPr>
        <w:t>This legislation created a 12-member special congressional committee</w:t>
      </w:r>
      <w:r w:rsidRPr="00AA164F">
        <w:rPr>
          <w:szCs w:val="24"/>
        </w:rPr>
        <w:t xml:space="preserve"> </w:t>
      </w:r>
      <w:r>
        <w:rPr>
          <w:szCs w:val="24"/>
        </w:rPr>
        <w:t xml:space="preserve">tasked with identifying sources of additional and significant </w:t>
      </w:r>
      <w:r w:rsidRPr="00AA164F">
        <w:rPr>
          <w:szCs w:val="24"/>
        </w:rPr>
        <w:t xml:space="preserve">deficit reductions. </w:t>
      </w:r>
      <w:r>
        <w:rPr>
          <w:szCs w:val="24"/>
        </w:rPr>
        <w:t>This is a</w:t>
      </w:r>
      <w:r w:rsidRPr="00AA164F">
        <w:rPr>
          <w:szCs w:val="24"/>
        </w:rPr>
        <w:t xml:space="preserve"> critical juncture in our nation</w:t>
      </w:r>
      <w:r>
        <w:rPr>
          <w:szCs w:val="24"/>
        </w:rPr>
        <w:t>’</w:t>
      </w:r>
      <w:r w:rsidRPr="00AA164F">
        <w:rPr>
          <w:szCs w:val="24"/>
        </w:rPr>
        <w:t>s disability policy.</w:t>
      </w:r>
      <w:r>
        <w:rPr>
          <w:szCs w:val="24"/>
        </w:rPr>
        <w:t xml:space="preserve"> </w:t>
      </w:r>
      <w:r w:rsidRPr="00AA164F">
        <w:rPr>
          <w:szCs w:val="24"/>
        </w:rPr>
        <w:t xml:space="preserve">Historically, discussions about deficit reductions have </w:t>
      </w:r>
      <w:r>
        <w:rPr>
          <w:szCs w:val="24"/>
        </w:rPr>
        <w:t xml:space="preserve">painted people with disabilities with a broad brush and have resulted in sweeping slashes to services and supports without regard to </w:t>
      </w:r>
      <w:r>
        <w:rPr>
          <w:szCs w:val="24"/>
        </w:rPr>
        <w:lastRenderedPageBreak/>
        <w:t xml:space="preserve">the detrimental, real-life effects of those cuts on the ability of people with disabilities to live, learn, and earn and to contribute to our nation’s economy. </w:t>
      </w:r>
    </w:p>
    <w:p w:rsidR="00B0519B" w:rsidRPr="00AA164F" w:rsidRDefault="00B0519B" w:rsidP="00B0519B">
      <w:pPr>
        <w:pStyle w:val="BodyText"/>
        <w:rPr>
          <w:szCs w:val="24"/>
        </w:rPr>
      </w:pPr>
      <w:r w:rsidRPr="00AA164F">
        <w:rPr>
          <w:szCs w:val="24"/>
        </w:rPr>
        <w:t xml:space="preserve">This report </w:t>
      </w:r>
      <w:r>
        <w:rPr>
          <w:szCs w:val="24"/>
        </w:rPr>
        <w:t xml:space="preserve">offers fiscally responsible </w:t>
      </w:r>
      <w:r w:rsidRPr="00AA164F">
        <w:rPr>
          <w:szCs w:val="24"/>
        </w:rPr>
        <w:t xml:space="preserve">recommendations </w:t>
      </w:r>
      <w:r>
        <w:rPr>
          <w:szCs w:val="24"/>
        </w:rPr>
        <w:t xml:space="preserve">that promote the </w:t>
      </w:r>
      <w:r w:rsidRPr="00AA164F">
        <w:rPr>
          <w:szCs w:val="24"/>
        </w:rPr>
        <w:t>independence and self-sufficiency of people with disabilities.</w:t>
      </w:r>
      <w:r>
        <w:rPr>
          <w:szCs w:val="24"/>
        </w:rPr>
        <w:t xml:space="preserve"> </w:t>
      </w:r>
      <w:r w:rsidRPr="00AA164F">
        <w:rPr>
          <w:szCs w:val="24"/>
        </w:rPr>
        <w:t xml:space="preserve">Long-term fiscal stability depends, in part, on providing people with disabilities </w:t>
      </w:r>
      <w:r>
        <w:rPr>
          <w:szCs w:val="24"/>
        </w:rPr>
        <w:t xml:space="preserve">with </w:t>
      </w:r>
      <w:r w:rsidRPr="00AA164F">
        <w:rPr>
          <w:szCs w:val="24"/>
        </w:rPr>
        <w:t>meaningful opportunities to contribute to our collective well-being and on eliminating outdated policies that trap people with disabilities in poverty and dependency.</w:t>
      </w:r>
    </w:p>
    <w:p w:rsidR="00B0519B" w:rsidRPr="008E0AD4" w:rsidRDefault="00B0519B" w:rsidP="00B0519B">
      <w:pPr>
        <w:pStyle w:val="Heading2"/>
      </w:pPr>
      <w:bookmarkStart w:id="11" w:name="_Toc304437136"/>
      <w:r w:rsidRPr="008E0AD4">
        <w:t>Community Engagement</w:t>
      </w:r>
      <w:bookmarkEnd w:id="11"/>
    </w:p>
    <w:p w:rsidR="00B0519B" w:rsidRPr="00801D29" w:rsidRDefault="00B0519B" w:rsidP="00B0519B">
      <w:pPr>
        <w:pStyle w:val="NCDBlockquote"/>
        <w:spacing w:after="0"/>
        <w:ind w:left="806"/>
      </w:pPr>
      <w:r w:rsidRPr="00801D29">
        <w:t xml:space="preserve">Coming together is a beginning, keeping together is progress, and working together is success. </w:t>
      </w:r>
    </w:p>
    <w:p w:rsidR="00B0519B" w:rsidRPr="00801D29" w:rsidRDefault="00B0519B" w:rsidP="00B0519B">
      <w:pPr>
        <w:pStyle w:val="NCDQuoteSource"/>
      </w:pPr>
      <w:r w:rsidRPr="00801D29">
        <w:t>—Henry Ford</w:t>
      </w:r>
    </w:p>
    <w:p w:rsidR="00B0519B" w:rsidRPr="00AA164F" w:rsidRDefault="00B0519B" w:rsidP="00B0519B">
      <w:pPr>
        <w:pStyle w:val="BodyText"/>
      </w:pPr>
      <w:r>
        <w:t>I</w:t>
      </w:r>
      <w:r w:rsidRPr="00AA164F">
        <w:t xml:space="preserve">n 2010, NCD </w:t>
      </w:r>
      <w:r>
        <w:t>implemented new, targeted</w:t>
      </w:r>
      <w:r w:rsidRPr="00AA164F">
        <w:t xml:space="preserve"> ways to </w:t>
      </w:r>
      <w:r>
        <w:t>engage</w:t>
      </w:r>
      <w:r w:rsidRPr="00AA164F">
        <w:t xml:space="preserve"> with stakeholders </w:t>
      </w:r>
      <w:r>
        <w:t xml:space="preserve">and collect timely and relevant suggestions for agency actions going forward. </w:t>
      </w:r>
      <w:r w:rsidRPr="00AA164F">
        <w:t xml:space="preserve">NCD also </w:t>
      </w:r>
      <w:r>
        <w:t xml:space="preserve">initiated steps to connect stakeholders with one another </w:t>
      </w:r>
      <w:r w:rsidRPr="00AA164F">
        <w:t>for the exchange of information, collaboration, and the development of solutions to emerging and long-standing challenges.</w:t>
      </w:r>
      <w:r>
        <w:t xml:space="preserve"> </w:t>
      </w:r>
      <w:r w:rsidRPr="00AA164F">
        <w:t xml:space="preserve">We began by conducting the first-ever </w:t>
      </w:r>
      <w:r>
        <w:t>National Summit on Disability Policy</w:t>
      </w:r>
      <w:r w:rsidRPr="00AA164F">
        <w:t xml:space="preserve">, </w:t>
      </w:r>
      <w:r>
        <w:t>in observance of the</w:t>
      </w:r>
      <w:r w:rsidRPr="00AA164F">
        <w:t xml:space="preserve"> 20th anniversary of the Americans with Disabilities Act (ADA)</w:t>
      </w:r>
      <w:r>
        <w:t>,</w:t>
      </w:r>
      <w:r w:rsidRPr="00AA164F">
        <w:t xml:space="preserve"> to launch a national dialogue on disability policies and programs for the 21st century.</w:t>
      </w:r>
      <w:r>
        <w:t xml:space="preserve"> M</w:t>
      </w:r>
      <w:r w:rsidRPr="00AA164F">
        <w:t xml:space="preserve">ore than 500 people from U.S. </w:t>
      </w:r>
      <w:r>
        <w:t>t</w:t>
      </w:r>
      <w:r w:rsidRPr="00AA164F">
        <w:t xml:space="preserve">erritories, tribal entities, 48 states, and one foreign country gathered at the multiday </w:t>
      </w:r>
      <w:r>
        <w:t>s</w:t>
      </w:r>
      <w:r w:rsidRPr="00AA164F">
        <w:t xml:space="preserve">ummit to identify emerging opportunities to </w:t>
      </w:r>
      <w:r>
        <w:t xml:space="preserve">improve outcomes in living, learning, and earning for people with disabilities. </w:t>
      </w:r>
      <w:r w:rsidRPr="00AA164F">
        <w:t xml:space="preserve">Participants </w:t>
      </w:r>
      <w:r>
        <w:t>stressed</w:t>
      </w:r>
      <w:r w:rsidRPr="00AA164F">
        <w:t xml:space="preserve"> the need for </w:t>
      </w:r>
      <w:r>
        <w:t>greater</w:t>
      </w:r>
      <w:r w:rsidRPr="00AA164F">
        <w:t xml:space="preserve"> collaboration across federal agencies to improve the flexibility and </w:t>
      </w:r>
      <w:r>
        <w:t xml:space="preserve">coordination of vital </w:t>
      </w:r>
      <w:r w:rsidRPr="00AA164F">
        <w:t>programs and services.</w:t>
      </w:r>
    </w:p>
    <w:p w:rsidR="00B0519B" w:rsidRDefault="00B0519B" w:rsidP="00B0519B">
      <w:pPr>
        <w:pStyle w:val="BodyText"/>
        <w:rPr>
          <w:color w:val="000000"/>
          <w:szCs w:val="24"/>
        </w:rPr>
      </w:pPr>
      <w:r w:rsidRPr="00C52D85">
        <w:rPr>
          <w:szCs w:val="24"/>
        </w:rPr>
        <w:t>NCD</w:t>
      </w:r>
      <w:r>
        <w:rPr>
          <w:szCs w:val="24"/>
        </w:rPr>
        <w:t>’</w:t>
      </w:r>
      <w:r w:rsidRPr="00C52D85">
        <w:rPr>
          <w:szCs w:val="24"/>
        </w:rPr>
        <w:t>s commitment to community engagement is guided by a conviction that the greatest progress in the quality of life for people with disabilities will come from effective coordination and collaboration.</w:t>
      </w:r>
      <w:r>
        <w:rPr>
          <w:szCs w:val="24"/>
        </w:rPr>
        <w:t xml:space="preserve"> </w:t>
      </w:r>
      <w:r w:rsidRPr="00C52D85">
        <w:rPr>
          <w:szCs w:val="24"/>
        </w:rPr>
        <w:t xml:space="preserve">NCD </w:t>
      </w:r>
      <w:r>
        <w:rPr>
          <w:szCs w:val="24"/>
        </w:rPr>
        <w:t xml:space="preserve">has </w:t>
      </w:r>
      <w:r w:rsidRPr="00C52D85">
        <w:rPr>
          <w:szCs w:val="24"/>
        </w:rPr>
        <w:t xml:space="preserve">developed a new strategic plan under the leadership of Chairman Young, with the theme </w:t>
      </w:r>
      <w:r>
        <w:rPr>
          <w:szCs w:val="24"/>
        </w:rPr>
        <w:t>“</w:t>
      </w:r>
      <w:r w:rsidRPr="00C52D85">
        <w:rPr>
          <w:szCs w:val="24"/>
        </w:rPr>
        <w:t>Living, Learning, and Earning.</w:t>
      </w:r>
      <w:r>
        <w:rPr>
          <w:szCs w:val="24"/>
        </w:rPr>
        <w:t>”</w:t>
      </w:r>
      <w:r w:rsidRPr="00C52D85">
        <w:rPr>
          <w:szCs w:val="24"/>
        </w:rPr>
        <w:t xml:space="preserve"> Instead </w:t>
      </w:r>
      <w:r w:rsidRPr="00C52D85">
        <w:rPr>
          <w:szCs w:val="24"/>
        </w:rPr>
        <w:lastRenderedPageBreak/>
        <w:t>of thinking about housing, employment, health, or transportation in isolation, we will examine how these essential elements of life influence one another.</w:t>
      </w:r>
      <w:r>
        <w:rPr>
          <w:szCs w:val="24"/>
        </w:rPr>
        <w:t xml:space="preserve"> </w:t>
      </w:r>
      <w:r w:rsidRPr="00C52D85">
        <w:rPr>
          <w:szCs w:val="24"/>
        </w:rPr>
        <w:t xml:space="preserve">With the international legal framework embracing these interconnections </w:t>
      </w:r>
      <w:r>
        <w:rPr>
          <w:szCs w:val="24"/>
        </w:rPr>
        <w:t xml:space="preserve">through </w:t>
      </w:r>
      <w:r w:rsidRPr="00C52D85">
        <w:rPr>
          <w:szCs w:val="24"/>
        </w:rPr>
        <w:t xml:space="preserve">the adoption of the Convention on the Rights of Persons with Disabilities, it is more important </w:t>
      </w:r>
      <w:r>
        <w:rPr>
          <w:szCs w:val="24"/>
        </w:rPr>
        <w:t>than ever to examine this</w:t>
      </w:r>
      <w:r w:rsidRPr="00C52D85">
        <w:rPr>
          <w:szCs w:val="24"/>
        </w:rPr>
        <w:t xml:space="preserve"> nation</w:t>
      </w:r>
      <w:r>
        <w:rPr>
          <w:szCs w:val="24"/>
        </w:rPr>
        <w:t>’</w:t>
      </w:r>
      <w:r w:rsidRPr="00C52D85">
        <w:rPr>
          <w:szCs w:val="24"/>
        </w:rPr>
        <w:t xml:space="preserve">s progress. </w:t>
      </w:r>
    </w:p>
    <w:p w:rsidR="00B0519B" w:rsidRPr="00AA164F" w:rsidRDefault="00B0519B" w:rsidP="00B0519B">
      <w:pPr>
        <w:pStyle w:val="BodyText"/>
      </w:pPr>
      <w:r w:rsidRPr="00C52D85">
        <w:t>NCD addresses these issues by asking: How do we develop fully accessible communities for our children, parents, coworkers, and friends who have disabilities? How do we approach learning more holistically, and take it from a traditional</w:t>
      </w:r>
      <w:r>
        <w:t xml:space="preserve"> K</w:t>
      </w:r>
      <w:r w:rsidRPr="00F34820">
        <w:t>–</w:t>
      </w:r>
      <w:r>
        <w:t xml:space="preserve">12 framework to incorporate the entire span of an individual’s lifelong learning process? </w:t>
      </w:r>
      <w:r w:rsidRPr="00AA164F">
        <w:t xml:space="preserve">How do we enhance earning opportunities so </w:t>
      </w:r>
      <w:r>
        <w:t xml:space="preserve">that </w:t>
      </w:r>
      <w:r w:rsidRPr="00AA164F">
        <w:t>th</w:t>
      </w:r>
      <w:r>
        <w:t xml:space="preserve">e ADA’s goal of economic self-sufficiency is achieved? How do we make all the pieces fit successfully together? </w:t>
      </w:r>
    </w:p>
    <w:p w:rsidR="00B0519B" w:rsidRDefault="00B0519B" w:rsidP="00B0519B">
      <w:pPr>
        <w:pStyle w:val="BodyText"/>
      </w:pPr>
      <w:r>
        <w:br w:type="page"/>
      </w:r>
    </w:p>
    <w:p w:rsidR="00B0519B" w:rsidRDefault="00B0519B" w:rsidP="00B0519B">
      <w:pPr>
        <w:pStyle w:val="Heading1"/>
      </w:pPr>
      <w:r>
        <w:lastRenderedPageBreak/>
        <w:br w:type="page"/>
      </w:r>
      <w:bookmarkStart w:id="12" w:name="_Toc304437137"/>
      <w:r w:rsidR="00545C6E">
        <w:rPr>
          <w:rStyle w:val="NCDCHAPTER"/>
        </w:rPr>
        <w:lastRenderedPageBreak/>
        <w:t>C</w:t>
      </w:r>
      <w:r w:rsidRPr="003F2158">
        <w:rPr>
          <w:rStyle w:val="NCDCHAPTER"/>
        </w:rPr>
        <w:t>hapter 1:</w:t>
      </w:r>
      <w:r>
        <w:t xml:space="preserve"> Community Living</w:t>
      </w:r>
      <w:bookmarkEnd w:id="12"/>
    </w:p>
    <w:bookmarkEnd w:id="7"/>
    <w:p w:rsidR="00B0519B" w:rsidRDefault="00B0519B" w:rsidP="00B0519B">
      <w:pPr>
        <w:pStyle w:val="BodyText"/>
      </w:pPr>
      <w:r w:rsidRPr="00AA164F">
        <w:t xml:space="preserve">Satisfaction with community living throughout </w:t>
      </w:r>
      <w:r>
        <w:t>the lifespan</w:t>
      </w:r>
      <w:r w:rsidRPr="00AA164F">
        <w:t xml:space="preserve"> </w:t>
      </w:r>
      <w:r>
        <w:t>depends on</w:t>
      </w:r>
      <w:r w:rsidRPr="00AA164F">
        <w:t xml:space="preserve"> having personal choices,</w:t>
      </w:r>
      <w:r>
        <w:t xml:space="preserve"> access to places and information, </w:t>
      </w:r>
      <w:r w:rsidRPr="00AA164F">
        <w:t>and the safety and freedom to fully participate in community life. </w:t>
      </w:r>
      <w:r>
        <w:t xml:space="preserve">As millions of people with disabilities know, the failure to coordinate various elements of inclusion means missing out on opportunities to live, learn, and earn. Successful community living occurs when people have independence, safety and security, freedom of mobility, freedom of communication, affordable and accessible housing and transportation, and access to health care and long-term services and supports. It occurs when citizens with disabilities are involved in all aspects of community planning and implementation, including emergency preparedness. </w:t>
      </w:r>
    </w:p>
    <w:p w:rsidR="00B0519B" w:rsidRPr="00AA164F" w:rsidRDefault="00B0519B" w:rsidP="00B0519B">
      <w:pPr>
        <w:pStyle w:val="BodyText"/>
        <w:rPr>
          <w:b/>
        </w:rPr>
      </w:pPr>
      <w:r>
        <w:t xml:space="preserve">On May 5 and </w:t>
      </w:r>
      <w:r w:rsidRPr="00AA164F">
        <w:t xml:space="preserve">6, 2011, NCD hosted a </w:t>
      </w:r>
      <w:r>
        <w:t>“</w:t>
      </w:r>
      <w:r w:rsidRPr="00AA164F">
        <w:t>Living Forum</w:t>
      </w:r>
      <w:r>
        <w:t>”</w:t>
      </w:r>
      <w:r w:rsidRPr="00AA164F">
        <w:t xml:space="preserve"> in Portland</w:t>
      </w:r>
      <w:r>
        <w:t>,</w:t>
      </w:r>
      <w:r w:rsidRPr="00AA164F">
        <w:t xml:space="preserve"> Oregon, </w:t>
      </w:r>
      <w:r>
        <w:t>focused</w:t>
      </w:r>
      <w:r w:rsidRPr="00AA164F">
        <w:t xml:space="preserve"> on community living systems change.</w:t>
      </w:r>
      <w:r>
        <w:t xml:space="preserve"> At the end of the forum, NCD hosted a town hall and invited members of the public to share their disability policy priorities and concerns. Common themes included </w:t>
      </w:r>
      <w:r w:rsidRPr="00AA164F">
        <w:t>person-centered planning</w:t>
      </w:r>
      <w:r>
        <w:t>;</w:t>
      </w:r>
      <w:r w:rsidRPr="00AA164F">
        <w:t xml:space="preserve"> </w:t>
      </w:r>
      <w:r>
        <w:t xml:space="preserve">the need for </w:t>
      </w:r>
      <w:r w:rsidRPr="00AA164F">
        <w:t xml:space="preserve">more prevention and early intervention services, </w:t>
      </w:r>
      <w:r>
        <w:t xml:space="preserve">more </w:t>
      </w:r>
      <w:r w:rsidRPr="00AA164F">
        <w:t>accessible,</w:t>
      </w:r>
      <w:r>
        <w:t xml:space="preserve"> affordable integrated housing,</w:t>
      </w:r>
      <w:r w:rsidRPr="00AA164F">
        <w:t xml:space="preserve"> </w:t>
      </w:r>
      <w:r>
        <w:t xml:space="preserve">and </w:t>
      </w:r>
      <w:r w:rsidRPr="00AA164F">
        <w:t>better transition services for youth with disab</w:t>
      </w:r>
      <w:r>
        <w:t xml:space="preserve">ilities; </w:t>
      </w:r>
      <w:r w:rsidRPr="00AA164F">
        <w:t xml:space="preserve">and the </w:t>
      </w:r>
      <w:r>
        <w:t>need to redirect</w:t>
      </w:r>
      <w:r w:rsidRPr="00AA164F">
        <w:t xml:space="preserve"> scarce public resources away from expensive institutions to community-based supports and services.</w:t>
      </w:r>
    </w:p>
    <w:p w:rsidR="00B0519B" w:rsidRPr="008E0AD4" w:rsidRDefault="00B0519B" w:rsidP="00B0519B">
      <w:pPr>
        <w:pStyle w:val="Heading2"/>
      </w:pPr>
      <w:bookmarkStart w:id="13" w:name="_Toc304437138"/>
      <w:r w:rsidRPr="008E0AD4">
        <w:t>Access to Home- and Community-</w:t>
      </w:r>
      <w:r>
        <w:t>B</w:t>
      </w:r>
      <w:r w:rsidRPr="008E0AD4">
        <w:t>ased Services: There</w:t>
      </w:r>
      <w:r>
        <w:t>’</w:t>
      </w:r>
      <w:r w:rsidRPr="008E0AD4">
        <w:t xml:space="preserve">s No Place </w:t>
      </w:r>
      <w:r>
        <w:t>L</w:t>
      </w:r>
      <w:r w:rsidRPr="008E0AD4">
        <w:t>ike Home</w:t>
      </w:r>
      <w:bookmarkEnd w:id="13"/>
    </w:p>
    <w:p w:rsidR="00B0519B" w:rsidRDefault="00B0519B" w:rsidP="00B0519B">
      <w:pPr>
        <w:pStyle w:val="BodyText"/>
      </w:pPr>
      <w:bookmarkStart w:id="14" w:name="OLE_LINK6"/>
      <w:r w:rsidRPr="00AA164F">
        <w:t xml:space="preserve">No disability policy is in greater need of reform than </w:t>
      </w:r>
      <w:r>
        <w:t xml:space="preserve">the antiquated </w:t>
      </w:r>
      <w:r w:rsidRPr="00AA164F">
        <w:t>Medicaid rules that favor institutional settings over home</w:t>
      </w:r>
      <w:r>
        <w:t>-</w:t>
      </w:r>
      <w:r w:rsidRPr="00AA164F">
        <w:t xml:space="preserve"> and community-based services</w:t>
      </w:r>
      <w:r>
        <w:t xml:space="preserve"> (HCBS). </w:t>
      </w:r>
      <w:r w:rsidRPr="00AA164F">
        <w:t xml:space="preserve">States receiving federal Medicaid </w:t>
      </w:r>
      <w:r>
        <w:t xml:space="preserve">funds are required to cover nursing home services, whereas home- and community-based services are optional. </w:t>
      </w:r>
      <w:r w:rsidRPr="00AA164F">
        <w:t xml:space="preserve">In </w:t>
      </w:r>
      <w:r w:rsidR="006729FE">
        <w:t xml:space="preserve">FY </w:t>
      </w:r>
      <w:r w:rsidRPr="00AA164F">
        <w:t xml:space="preserve">2009, </w:t>
      </w:r>
      <w:r w:rsidR="006729FE">
        <w:t>5</w:t>
      </w:r>
      <w:r>
        <w:t>7</w:t>
      </w:r>
      <w:r w:rsidRPr="00AA164F">
        <w:t xml:space="preserve"> percent of Medicaid long-term care </w:t>
      </w:r>
      <w:r>
        <w:t xml:space="preserve">(LTC) </w:t>
      </w:r>
      <w:r w:rsidRPr="00AA164F">
        <w:t xml:space="preserve">dollars </w:t>
      </w:r>
      <w:r>
        <w:t xml:space="preserve">was directed toward </w:t>
      </w:r>
      <w:r w:rsidRPr="00AA164F">
        <w:t>institutional care</w:t>
      </w:r>
      <w:r w:rsidR="006729FE">
        <w:t xml:space="preserve">. </w:t>
      </w:r>
      <w:r w:rsidRPr="00AA164F">
        <w:t xml:space="preserve">The remaining </w:t>
      </w:r>
      <w:r w:rsidR="006729FE">
        <w:t>43</w:t>
      </w:r>
      <w:r w:rsidRPr="00AA164F">
        <w:t xml:space="preserve"> percent was </w:t>
      </w:r>
      <w:r w:rsidR="006729FE">
        <w:t xml:space="preserve">spent on “home health and personal care,” which includes HCBS waivers. </w:t>
      </w:r>
      <w:bookmarkStart w:id="15" w:name="_GoBack"/>
      <w:bookmarkEnd w:id="15"/>
      <w:r>
        <w:t xml:space="preserve">This long-standing institutional bias persists, </w:t>
      </w:r>
      <w:r w:rsidRPr="00AA164F">
        <w:t xml:space="preserve">despite the strong preference of seniors and people with disabilities to </w:t>
      </w:r>
      <w:r>
        <w:t xml:space="preserve">live and </w:t>
      </w:r>
      <w:r w:rsidRPr="00AA164F">
        <w:t>receive services in their homes.</w:t>
      </w:r>
      <w:r w:rsidRPr="001C6B71">
        <w:rPr>
          <w:rStyle w:val="EndnoteReference"/>
        </w:rPr>
        <w:endnoteReference w:id="1"/>
      </w:r>
    </w:p>
    <w:p w:rsidR="00B0519B" w:rsidRDefault="00B0519B" w:rsidP="00B0519B">
      <w:pPr>
        <w:pStyle w:val="NCDTableNumber"/>
      </w:pPr>
      <w:proofErr w:type="gramStart"/>
      <w:r w:rsidRPr="00B30C39">
        <w:lastRenderedPageBreak/>
        <w:t>Table 1.</w:t>
      </w:r>
      <w:proofErr w:type="gramEnd"/>
    </w:p>
    <w:p w:rsidR="00B0519B" w:rsidRPr="00B30C39" w:rsidRDefault="00B0519B" w:rsidP="00B0519B">
      <w:pPr>
        <w:pStyle w:val="TableTitle"/>
      </w:pPr>
      <w:r w:rsidRPr="00B30C39">
        <w:t>Medicaid Long-Term Care Dollars (billions) Spent on Home/Community-Based Services vs. Institutional Care, 1990–2009</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80"/>
        <w:gridCol w:w="910"/>
        <w:gridCol w:w="910"/>
        <w:gridCol w:w="910"/>
        <w:gridCol w:w="910"/>
        <w:gridCol w:w="910"/>
        <w:gridCol w:w="910"/>
        <w:gridCol w:w="910"/>
        <w:gridCol w:w="910"/>
      </w:tblGrid>
      <w:tr w:rsidR="00B0519B" w:rsidRPr="00AC25B5" w:rsidTr="00101C2D">
        <w:trPr>
          <w:jc w:val="center"/>
        </w:trPr>
        <w:tc>
          <w:tcPr>
            <w:tcW w:w="1645"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1990</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1995</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2000</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2002</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2004</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2006</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2008</w:t>
            </w:r>
          </w:p>
        </w:tc>
        <w:tc>
          <w:tcPr>
            <w:tcW w:w="72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r w:rsidRPr="00AC25B5">
              <w:t>2009</w:t>
            </w:r>
          </w:p>
        </w:tc>
      </w:tr>
      <w:tr w:rsidR="00B0519B" w:rsidRPr="00974D43" w:rsidTr="00101C2D">
        <w:trPr>
          <w:jc w:val="center"/>
        </w:trPr>
        <w:tc>
          <w:tcPr>
            <w:tcW w:w="1645" w:type="dxa"/>
            <w:tcBorders>
              <w:top w:val="single" w:sz="18" w:space="0" w:color="auto"/>
            </w:tcBorders>
            <w:shd w:val="clear" w:color="auto" w:fill="E6E6E6"/>
            <w:vAlign w:val="bottom"/>
            <w:hideMark/>
          </w:tcPr>
          <w:p w:rsidR="00B0519B" w:rsidRPr="005E2F35" w:rsidRDefault="00B0519B" w:rsidP="00101C2D">
            <w:pPr>
              <w:pStyle w:val="TableText"/>
              <w:rPr>
                <w:b/>
              </w:rPr>
            </w:pPr>
            <w:r w:rsidRPr="005E2F35">
              <w:rPr>
                <w:b/>
              </w:rPr>
              <w:t>Total spent on LTC (billions)</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32</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54</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75</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92</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100</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109</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115</w:t>
            </w:r>
          </w:p>
        </w:tc>
        <w:tc>
          <w:tcPr>
            <w:tcW w:w="720" w:type="dxa"/>
            <w:tcBorders>
              <w:top w:val="single" w:sz="18" w:space="0" w:color="auto"/>
            </w:tcBorders>
            <w:shd w:val="clear" w:color="auto" w:fill="auto"/>
            <w:vAlign w:val="bottom"/>
            <w:hideMark/>
          </w:tcPr>
          <w:p w:rsidR="00B0519B" w:rsidRPr="005E2F35" w:rsidRDefault="00B0519B" w:rsidP="00101C2D">
            <w:pPr>
              <w:pStyle w:val="TableText"/>
              <w:jc w:val="center"/>
            </w:pPr>
            <w:r w:rsidRPr="005E2F35">
              <w:t>122</w:t>
            </w:r>
          </w:p>
        </w:tc>
      </w:tr>
      <w:tr w:rsidR="00B0519B" w:rsidRPr="00974D43" w:rsidTr="00101C2D">
        <w:trPr>
          <w:jc w:val="center"/>
        </w:trPr>
        <w:tc>
          <w:tcPr>
            <w:tcW w:w="1645" w:type="dxa"/>
            <w:tcBorders>
              <w:bottom w:val="single" w:sz="4" w:space="0" w:color="auto"/>
            </w:tcBorders>
            <w:shd w:val="clear" w:color="auto" w:fill="E6E6E6"/>
            <w:vAlign w:val="bottom"/>
            <w:hideMark/>
          </w:tcPr>
          <w:p w:rsidR="00B0519B" w:rsidRPr="005E2F35" w:rsidRDefault="00B43027" w:rsidP="00101C2D">
            <w:pPr>
              <w:pStyle w:val="TableText"/>
              <w:rPr>
                <w:b/>
              </w:rPr>
            </w:pPr>
            <w:r>
              <w:rPr>
                <w:b/>
              </w:rPr>
              <w:t>Total spent on</w:t>
            </w:r>
            <w:r w:rsidR="00B0519B" w:rsidRPr="005E2F35">
              <w:rPr>
                <w:b/>
              </w:rPr>
              <w:t xml:space="preserve"> home- and community-based care (billions)</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4.16</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10.80</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22.5</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29.44</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37.00</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44.69</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48.30</w:t>
            </w:r>
          </w:p>
        </w:tc>
        <w:tc>
          <w:tcPr>
            <w:tcW w:w="720" w:type="dxa"/>
            <w:tcBorders>
              <w:bottom w:val="single" w:sz="4" w:space="0" w:color="auto"/>
            </w:tcBorders>
            <w:shd w:val="clear" w:color="auto" w:fill="auto"/>
            <w:vAlign w:val="bottom"/>
            <w:hideMark/>
          </w:tcPr>
          <w:p w:rsidR="00B0519B" w:rsidRPr="005E2F35" w:rsidRDefault="00B0519B" w:rsidP="00101C2D">
            <w:pPr>
              <w:pStyle w:val="TableText"/>
              <w:jc w:val="center"/>
            </w:pPr>
            <w:r w:rsidRPr="005E2F35">
              <w:t>52.46</w:t>
            </w:r>
          </w:p>
        </w:tc>
      </w:tr>
      <w:tr w:rsidR="00B0519B" w:rsidRPr="00974D43" w:rsidTr="00101C2D">
        <w:trPr>
          <w:jc w:val="center"/>
        </w:trPr>
        <w:tc>
          <w:tcPr>
            <w:tcW w:w="1645" w:type="dxa"/>
            <w:tcBorders>
              <w:bottom w:val="single" w:sz="18" w:space="0" w:color="auto"/>
            </w:tcBorders>
            <w:shd w:val="clear" w:color="auto" w:fill="E6E6E6"/>
            <w:vAlign w:val="bottom"/>
            <w:hideMark/>
          </w:tcPr>
          <w:p w:rsidR="00B0519B" w:rsidRPr="005E2F35" w:rsidRDefault="00B0519B" w:rsidP="00101C2D">
            <w:pPr>
              <w:pStyle w:val="TableText"/>
              <w:rPr>
                <w:b/>
              </w:rPr>
            </w:pPr>
            <w:r w:rsidRPr="005E2F35">
              <w:rPr>
                <w:b/>
              </w:rPr>
              <w:t>Total spent on institutional care (billions)</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27.84</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43.20</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52.50</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62.56</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63.00</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64.31</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66.7</w:t>
            </w:r>
          </w:p>
        </w:tc>
        <w:tc>
          <w:tcPr>
            <w:tcW w:w="720" w:type="dxa"/>
            <w:tcBorders>
              <w:bottom w:val="single" w:sz="18" w:space="0" w:color="auto"/>
            </w:tcBorders>
            <w:shd w:val="clear" w:color="auto" w:fill="auto"/>
            <w:vAlign w:val="bottom"/>
            <w:hideMark/>
          </w:tcPr>
          <w:p w:rsidR="00B0519B" w:rsidRPr="005E2F35" w:rsidRDefault="00B0519B" w:rsidP="00101C2D">
            <w:pPr>
              <w:pStyle w:val="TableText"/>
              <w:jc w:val="center"/>
            </w:pPr>
            <w:r w:rsidRPr="005E2F35">
              <w:t>69.54</w:t>
            </w:r>
          </w:p>
        </w:tc>
      </w:tr>
    </w:tbl>
    <w:p w:rsidR="00B0519B" w:rsidRPr="00974D43" w:rsidRDefault="00B0519B" w:rsidP="00B0519B">
      <w:pPr>
        <w:pStyle w:val="TableNote"/>
      </w:pPr>
      <w:r w:rsidRPr="00CF29A7">
        <w:rPr>
          <w:b/>
        </w:rPr>
        <w:t>Source:</w:t>
      </w:r>
      <w:r w:rsidRPr="00BF6980">
        <w:t xml:space="preserve"> </w:t>
      </w:r>
      <w:hyperlink r:id="rId19" w:history="1">
        <w:r w:rsidRPr="00BF6980">
          <w:rPr>
            <w:rStyle w:val="Hyperlink"/>
          </w:rPr>
          <w:t>http://www.Statehealthfacts.org</w:t>
        </w:r>
      </w:hyperlink>
      <w:r w:rsidRPr="00BF6980">
        <w:rPr>
          <w:color w:val="000000"/>
        </w:rPr>
        <w:t>.</w:t>
      </w:r>
    </w:p>
    <w:p w:rsidR="00B0519B" w:rsidRDefault="00B0519B" w:rsidP="00E06628">
      <w:pPr>
        <w:pStyle w:val="BodyText"/>
        <w:spacing w:after="0"/>
      </w:pPr>
      <w:r w:rsidRPr="00AA164F">
        <w:t xml:space="preserve">The institutional bias in Medicaid is an unsound fiscal policy that </w:t>
      </w:r>
      <w:r>
        <w:t xml:space="preserve">the </w:t>
      </w:r>
      <w:r w:rsidRPr="00F34820">
        <w:rPr>
          <w:b/>
        </w:rPr>
        <w:t>United States</w:t>
      </w:r>
      <w:r w:rsidRPr="00AA164F">
        <w:t xml:space="preserve"> can ill</w:t>
      </w:r>
      <w:r>
        <w:t xml:space="preserve"> </w:t>
      </w:r>
      <w:r w:rsidRPr="00AA164F">
        <w:t xml:space="preserve">afford </w:t>
      </w:r>
      <w:r>
        <w:t>in this time of fiscal crisis. HCBS</w:t>
      </w:r>
      <w:r w:rsidRPr="00AA164F">
        <w:t xml:space="preserve"> </w:t>
      </w:r>
      <w:r>
        <w:t xml:space="preserve">can cost two-thirds to four-fifths less per person annually than nursing home care, depending on the </w:t>
      </w:r>
      <w:r w:rsidR="00857C75">
        <w:t>geographic area</w:t>
      </w:r>
      <w:r>
        <w:t>.</w:t>
      </w:r>
      <w:r w:rsidRPr="001C6B71">
        <w:rPr>
          <w:rStyle w:val="EndnoteReference"/>
        </w:rPr>
        <w:endnoteReference w:id="2"/>
      </w:r>
      <w:r w:rsidRPr="00AA164F">
        <w:t xml:space="preserve"> </w:t>
      </w:r>
      <w:r>
        <w:t>Moreover, a</w:t>
      </w:r>
      <w:r w:rsidRPr="00AA164F">
        <w:t xml:space="preserve">verage costs for home- and community-based services are </w:t>
      </w:r>
      <w:r>
        <w:t xml:space="preserve">increasing </w:t>
      </w:r>
      <w:r w:rsidRPr="00AA164F">
        <w:t xml:space="preserve">at a slower pace </w:t>
      </w:r>
      <w:r>
        <w:t>than are those for</w:t>
      </w:r>
      <w:r w:rsidRPr="00AA164F">
        <w:t xml:space="preserve"> institutional care.</w:t>
      </w:r>
      <w:r w:rsidRPr="001C6B71">
        <w:rPr>
          <w:rStyle w:val="EndnoteReference"/>
        </w:rPr>
        <w:endnoteReference w:id="3"/>
      </w:r>
      <w:r w:rsidRPr="00AA164F">
        <w:t xml:space="preserve"> The average </w:t>
      </w:r>
      <w:r>
        <w:t xml:space="preserve">cost to Medicaid for a person with an intellectual disability to receive services in an institutional setting in 2009 </w:t>
      </w:r>
      <w:r w:rsidRPr="00AA164F">
        <w:t xml:space="preserve">was approximately $137,000, compared </w:t>
      </w:r>
      <w:r>
        <w:t>with</w:t>
      </w:r>
      <w:r w:rsidRPr="00AA164F">
        <w:t xml:space="preserve"> an average of $44,000 to </w:t>
      </w:r>
      <w:r>
        <w:t>support</w:t>
      </w:r>
      <w:r w:rsidRPr="00AA164F">
        <w:t xml:space="preserve"> the same person in the community.</w:t>
      </w:r>
      <w:r w:rsidRPr="001C6B71">
        <w:rPr>
          <w:rStyle w:val="EndnoteReference"/>
        </w:rPr>
        <w:endnoteReference w:id="4"/>
      </w:r>
      <w:r>
        <w:t xml:space="preserve"> </w:t>
      </w:r>
    </w:p>
    <w:tbl>
      <w:tblPr>
        <w:tblW w:w="0" w:type="auto"/>
        <w:tblLook w:val="04A0" w:firstRow="1" w:lastRow="0" w:firstColumn="1" w:lastColumn="0" w:noHBand="0" w:noVBand="1"/>
      </w:tblPr>
      <w:tblGrid>
        <w:gridCol w:w="9576"/>
      </w:tblGrid>
      <w:tr w:rsidR="00E06628" w:rsidRPr="003F5D93" w:rsidTr="00A12CA5">
        <w:trPr>
          <w:trHeight w:hRule="exact" w:val="288"/>
        </w:trPr>
        <w:tc>
          <w:tcPr>
            <w:tcW w:w="9576" w:type="dxa"/>
          </w:tcPr>
          <w:p w:rsidR="00E06628" w:rsidRPr="00544DFD" w:rsidRDefault="00E06628" w:rsidP="00E06628">
            <w:pPr>
              <w:pStyle w:val="BodyText"/>
              <w:spacing w:after="0" w:line="240" w:lineRule="auto"/>
              <w:rPr>
                <w:color w:val="FFFFFF"/>
                <w:sz w:val="16"/>
                <w:szCs w:val="16"/>
              </w:rPr>
            </w:pPr>
            <w:r w:rsidRPr="00544DFD">
              <w:rPr>
                <w:color w:val="FFFFFF"/>
                <w:sz w:val="16"/>
                <w:szCs w:val="16"/>
              </w:rPr>
              <w:t>Begin highlighted text:</w:t>
            </w:r>
          </w:p>
        </w:tc>
      </w:tr>
      <w:tr w:rsidR="00E06628" w:rsidRPr="003F5D93" w:rsidTr="00E06628">
        <w:tc>
          <w:tcPr>
            <w:tcW w:w="9576" w:type="dxa"/>
          </w:tcPr>
          <w:p w:rsidR="00E06628" w:rsidRPr="00C474AE" w:rsidRDefault="00E06628" w:rsidP="00E06628">
            <w:pPr>
              <w:pStyle w:val="NCDPullquote"/>
              <w:spacing w:after="0"/>
              <w:ind w:left="806"/>
            </w:pPr>
            <w:r w:rsidRPr="003F5D93">
              <w:t>The average cost to Medicaid for a person with an intellectual disability to receive services in an institutional setting in 2009 was approximately $137,000, compared with an average of $44,000 to support the same person in the community.</w:t>
            </w:r>
          </w:p>
        </w:tc>
      </w:tr>
      <w:tr w:rsidR="00E06628" w:rsidRPr="003F5D93" w:rsidTr="00A12CA5">
        <w:trPr>
          <w:trHeight w:hRule="exact" w:val="432"/>
        </w:trPr>
        <w:tc>
          <w:tcPr>
            <w:tcW w:w="9576" w:type="dxa"/>
          </w:tcPr>
          <w:p w:rsidR="00E06628" w:rsidRPr="00544DFD" w:rsidRDefault="00E06628" w:rsidP="00E06628">
            <w:pPr>
              <w:pStyle w:val="BodyText"/>
              <w:spacing w:after="120" w:line="240" w:lineRule="auto"/>
              <w:rPr>
                <w:color w:val="FFFFFF"/>
                <w:sz w:val="16"/>
                <w:szCs w:val="16"/>
              </w:rPr>
            </w:pPr>
            <w:r w:rsidRPr="00544DFD">
              <w:rPr>
                <w:color w:val="FFFFFF"/>
                <w:sz w:val="16"/>
                <w:szCs w:val="16"/>
              </w:rPr>
              <w:t>End highlighted text.</w:t>
            </w:r>
          </w:p>
        </w:tc>
      </w:tr>
    </w:tbl>
    <w:p w:rsidR="00B0519B" w:rsidRDefault="00B0519B" w:rsidP="00B0519B">
      <w:pPr>
        <w:pStyle w:val="BodyText"/>
      </w:pPr>
      <w:r w:rsidRPr="00AA164F">
        <w:t xml:space="preserve">The institutional bias in Medicaid not only is fiscally irresponsible </w:t>
      </w:r>
      <w:r>
        <w:t>but also</w:t>
      </w:r>
      <w:r w:rsidRPr="00AA164F">
        <w:t xml:space="preserve"> </w:t>
      </w:r>
      <w:r>
        <w:t>violates</w:t>
      </w:r>
      <w:r w:rsidRPr="00AA164F">
        <w:t xml:space="preserve"> one of the most </w:t>
      </w:r>
      <w:r>
        <w:t>cherished American values</w:t>
      </w:r>
      <w:r w:rsidRPr="00F34820">
        <w:t>—</w:t>
      </w:r>
      <w:r>
        <w:t>the right to live in the community.</w:t>
      </w:r>
      <w:r w:rsidRPr="00AA164F">
        <w:t xml:space="preserve"> On June 21, 2011, NCD and the Bipartisan </w:t>
      </w:r>
      <w:r>
        <w:t>Disabilities Caucus provided a c</w:t>
      </w:r>
      <w:r w:rsidRPr="00AA164F">
        <w:t xml:space="preserve">ongressional </w:t>
      </w:r>
      <w:r>
        <w:t>b</w:t>
      </w:r>
      <w:r w:rsidRPr="00AA164F">
        <w:t xml:space="preserve">riefing on </w:t>
      </w:r>
      <w:r>
        <w:lastRenderedPageBreak/>
        <w:t xml:space="preserve">a </w:t>
      </w:r>
      <w:r w:rsidRPr="00AA164F">
        <w:t xml:space="preserve">landmark Supreme Court </w:t>
      </w:r>
      <w:r>
        <w:t xml:space="preserve">decision, </w:t>
      </w:r>
      <w:r w:rsidRPr="009D794A">
        <w:rPr>
          <w:i/>
        </w:rPr>
        <w:t>Olmstead v. L.C</w:t>
      </w:r>
      <w:r w:rsidRPr="00AA164F">
        <w:t>.</w:t>
      </w:r>
      <w:r>
        <w:t>,</w:t>
      </w:r>
      <w:r w:rsidRPr="001C6B71">
        <w:rPr>
          <w:rStyle w:val="EndnoteReference"/>
        </w:rPr>
        <w:endnoteReference w:id="5"/>
      </w:r>
      <w:r w:rsidRPr="00AA164F">
        <w:t xml:space="preserve"> and the </w:t>
      </w:r>
      <w:r>
        <w:t>benefits</w:t>
      </w:r>
      <w:r w:rsidRPr="00AA164F">
        <w:t xml:space="preserve"> of </w:t>
      </w:r>
      <w:r>
        <w:t>HCBS</w:t>
      </w:r>
      <w:r w:rsidRPr="00AA164F">
        <w:t>, delivered primarily under Medicaid.</w:t>
      </w:r>
      <w:r>
        <w:t xml:space="preserve"> </w:t>
      </w:r>
      <w:r w:rsidRPr="00AA164F">
        <w:t xml:space="preserve">In </w:t>
      </w:r>
      <w:r w:rsidRPr="009D794A">
        <w:rPr>
          <w:i/>
        </w:rPr>
        <w:t>Olmstead</w:t>
      </w:r>
      <w:r w:rsidRPr="00AA164F">
        <w:t xml:space="preserve">, the Supreme Court ruled that </w:t>
      </w:r>
      <w:r>
        <w:t>“</w:t>
      </w:r>
      <w:r w:rsidRPr="00AA164F">
        <w:t>under the ADA, unnecessary institutional segregation of the disabled constitutes discrimination.</w:t>
      </w:r>
      <w:r>
        <w:t>”</w:t>
      </w:r>
      <w:bookmarkStart w:id="16" w:name="OLE_LINK5"/>
      <w:r w:rsidRPr="001C6B71">
        <w:rPr>
          <w:rStyle w:val="EndnoteReference"/>
        </w:rPr>
        <w:endnoteReference w:id="6"/>
      </w:r>
      <w:bookmarkEnd w:id="16"/>
      <w:r>
        <w:t xml:space="preserve"> </w:t>
      </w:r>
      <w:r w:rsidRPr="00AA164F">
        <w:t xml:space="preserve">In recent years, the U.S. Department of Justice has focused enforcement efforts on requiring states to offer </w:t>
      </w:r>
      <w:r>
        <w:t xml:space="preserve">HCBS instead of </w:t>
      </w:r>
      <w:r w:rsidRPr="00AA164F">
        <w:t>confining people in institutions.</w:t>
      </w:r>
      <w:r w:rsidRPr="001C6B71">
        <w:rPr>
          <w:rStyle w:val="EndnoteReference"/>
        </w:rPr>
        <w:endnoteReference w:id="7"/>
      </w:r>
      <w:r w:rsidRPr="00AA164F">
        <w:t xml:space="preserve"> </w:t>
      </w:r>
      <w:r>
        <w:t>Although m</w:t>
      </w:r>
      <w:r w:rsidRPr="00AA164F">
        <w:t>any individuals have successfully transitioned to community settings</w:t>
      </w:r>
      <w:r>
        <w:t xml:space="preserve"> in recent years, </w:t>
      </w:r>
      <w:r w:rsidRPr="00AA164F">
        <w:t>waiting lists for community services have grown considerably</w:t>
      </w:r>
      <w:r>
        <w:t>,</w:t>
      </w:r>
      <w:r w:rsidRPr="00AA164F">
        <w:t xml:space="preserve"> and many who </w:t>
      </w:r>
      <w:r>
        <w:t>would opt for community services are</w:t>
      </w:r>
      <w:r w:rsidRPr="00AA164F">
        <w:t xml:space="preserve"> not able to obtain them.</w:t>
      </w:r>
    </w:p>
    <w:p w:rsidR="00B0519B" w:rsidRPr="00AA164F" w:rsidRDefault="00B0519B" w:rsidP="00B0519B">
      <w:pPr>
        <w:pStyle w:val="BodyText"/>
      </w:pPr>
      <w:r w:rsidRPr="00AA164F">
        <w:t xml:space="preserve">Recent state budget crises </w:t>
      </w:r>
      <w:r>
        <w:t>have compounded</w:t>
      </w:r>
      <w:r w:rsidRPr="00AA164F">
        <w:t xml:space="preserve"> the problem and threaten to erode </w:t>
      </w:r>
      <w:r>
        <w:t>the</w:t>
      </w:r>
      <w:r w:rsidRPr="00AA164F">
        <w:t xml:space="preserve"> gains made in recent years as many states short-sightedly cut home</w:t>
      </w:r>
      <w:r>
        <w:t>-</w:t>
      </w:r>
      <w:r w:rsidRPr="00AA164F">
        <w:t xml:space="preserve"> and community-based services </w:t>
      </w:r>
      <w:r>
        <w:t>in an attempt</w:t>
      </w:r>
      <w:r w:rsidRPr="00AA164F">
        <w:t xml:space="preserve"> to balance their budgets.</w:t>
      </w:r>
      <w:r>
        <w:t xml:space="preserve"> Although </w:t>
      </w:r>
      <w:r w:rsidRPr="00AA164F">
        <w:t xml:space="preserve">states are prohibited by the Affordable Care Act from </w:t>
      </w:r>
      <w:r>
        <w:t>limiting</w:t>
      </w:r>
      <w:r w:rsidRPr="00AA164F">
        <w:t xml:space="preserve"> Medicaid eligibility, other </w:t>
      </w:r>
      <w:r>
        <w:t xml:space="preserve">state </w:t>
      </w:r>
      <w:r w:rsidRPr="00AA164F">
        <w:t xml:space="preserve">policies </w:t>
      </w:r>
      <w:r>
        <w:t>have reduced</w:t>
      </w:r>
      <w:r w:rsidRPr="00AA164F">
        <w:t xml:space="preserve"> </w:t>
      </w:r>
      <w:r>
        <w:t>HCBS by lowering</w:t>
      </w:r>
      <w:r w:rsidRPr="00AA164F">
        <w:t xml:space="preserve"> reimbursement rates to HCBS providers and reducing the number of approved HCBS hours per beneficiary.</w:t>
      </w:r>
      <w:r>
        <w:t xml:space="preserve"> </w:t>
      </w:r>
      <w:r w:rsidRPr="00AA164F">
        <w:t xml:space="preserve">Additionally, the </w:t>
      </w:r>
      <w:r>
        <w:t xml:space="preserve">expiration of the </w:t>
      </w:r>
      <w:r w:rsidRPr="00AA164F">
        <w:t>enhanced Medicaid F</w:t>
      </w:r>
      <w:r>
        <w:t>ederal Medical Assistance Percentage (F</w:t>
      </w:r>
      <w:r w:rsidRPr="00AA164F">
        <w:t>MAP</w:t>
      </w:r>
      <w:r>
        <w:t>)</w:t>
      </w:r>
      <w:r w:rsidRPr="00AA164F">
        <w:t xml:space="preserve"> made available to states through the American Recovery and Reinvestment Act (ARRA) has led to state expenditures on HCBS dropping to pre-recession levels</w:t>
      </w:r>
      <w:r>
        <w:t>.</w:t>
      </w:r>
      <w:r w:rsidRPr="001C6B71">
        <w:rPr>
          <w:rStyle w:val="EndnoteReference"/>
        </w:rPr>
        <w:endnoteReference w:id="8"/>
      </w:r>
    </w:p>
    <w:p w:rsidR="00B0519B" w:rsidRPr="00AA164F" w:rsidRDefault="00B0519B" w:rsidP="00B0519B">
      <w:pPr>
        <w:pStyle w:val="BodyText"/>
      </w:pPr>
      <w:r>
        <w:t xml:space="preserve">Many people have turned to the courts to prevent states from cutting </w:t>
      </w:r>
      <w:r w:rsidRPr="00AA164F">
        <w:t>essential home- and community-based services</w:t>
      </w:r>
      <w:r>
        <w:t xml:space="preserve">, given that the effect of these cuts is often a guaranteed path for Medicaid beneficiaries to an institutional placement, which is at odds with the </w:t>
      </w:r>
      <w:r>
        <w:rPr>
          <w:i/>
        </w:rPr>
        <w:t xml:space="preserve">Olmstead </w:t>
      </w:r>
      <w:r>
        <w:t>decision.</w:t>
      </w:r>
      <w:r w:rsidRPr="001C6B71">
        <w:rPr>
          <w:rStyle w:val="EndnoteReference"/>
        </w:rPr>
        <w:endnoteReference w:id="9"/>
      </w:r>
      <w:r w:rsidRPr="00AA164F">
        <w:t xml:space="preserve"> This is a tragic waste of scarce resources.</w:t>
      </w:r>
      <w:r>
        <w:t xml:space="preserve"> H</w:t>
      </w:r>
      <w:r w:rsidRPr="00AA164F">
        <w:t>ome-</w:t>
      </w:r>
      <w:r>
        <w:t xml:space="preserve"> </w:t>
      </w:r>
      <w:r w:rsidRPr="00AA164F">
        <w:t xml:space="preserve">and community-based services </w:t>
      </w:r>
      <w:r>
        <w:t xml:space="preserve">need </w:t>
      </w:r>
      <w:r w:rsidRPr="00AA164F">
        <w:t xml:space="preserve">federal protection that does not </w:t>
      </w:r>
      <w:r>
        <w:t>force</w:t>
      </w:r>
      <w:r w:rsidRPr="00AA164F">
        <w:t xml:space="preserve"> people with disabilities to litigate in order to stay in their homes.</w:t>
      </w:r>
    </w:p>
    <w:p w:rsidR="00B0519B" w:rsidRDefault="00B0519B" w:rsidP="00B0519B">
      <w:pPr>
        <w:pStyle w:val="BodyText"/>
      </w:pPr>
      <w:r w:rsidRPr="00AA164F">
        <w:t xml:space="preserve">As Congress and the Administration grapple with the federal debt crisis, </w:t>
      </w:r>
      <w:r>
        <w:t xml:space="preserve">the </w:t>
      </w:r>
      <w:r w:rsidRPr="00AA164F">
        <w:t xml:space="preserve">elimination of the institutional bias in Medicaid is </w:t>
      </w:r>
      <w:r>
        <w:t>both a moral and a fiscal imperative.</w:t>
      </w:r>
      <w:r w:rsidRPr="00AA164F">
        <w:t xml:space="preserve"> Data show that people ages 31 to 64 now make up 14 percent of the nursing home population</w:t>
      </w:r>
      <w:r>
        <w:t>,</w:t>
      </w:r>
      <w:r w:rsidRPr="001C6B71">
        <w:rPr>
          <w:rStyle w:val="EndnoteReference"/>
        </w:rPr>
        <w:endnoteReference w:id="10"/>
      </w:r>
      <w:r>
        <w:t xml:space="preserve"> </w:t>
      </w:r>
      <w:r w:rsidRPr="00AA164F">
        <w:t xml:space="preserve">up from 10 percent just </w:t>
      </w:r>
      <w:r>
        <w:t>a decade</w:t>
      </w:r>
      <w:r w:rsidRPr="00AA164F">
        <w:t xml:space="preserve"> ago. The data do not show why this age group is entering nursing homes in higher numbers, but reversing this alarming trend must be</w:t>
      </w:r>
      <w:r>
        <w:t>come</w:t>
      </w:r>
      <w:r w:rsidRPr="00AA164F">
        <w:t xml:space="preserve"> a national priority.</w:t>
      </w:r>
    </w:p>
    <w:tbl>
      <w:tblPr>
        <w:tblW w:w="0" w:type="auto"/>
        <w:tblLook w:val="04A0" w:firstRow="1" w:lastRow="0" w:firstColumn="1" w:lastColumn="0" w:noHBand="0" w:noVBand="1"/>
      </w:tblPr>
      <w:tblGrid>
        <w:gridCol w:w="9576"/>
      </w:tblGrid>
      <w:tr w:rsidR="00E06628" w:rsidRPr="003F5D93" w:rsidTr="00E06628">
        <w:tc>
          <w:tcPr>
            <w:tcW w:w="9576" w:type="dxa"/>
          </w:tcPr>
          <w:p w:rsidR="00E06628" w:rsidRPr="00544DFD" w:rsidRDefault="00E06628" w:rsidP="00E06628">
            <w:pPr>
              <w:pStyle w:val="BodyText"/>
              <w:spacing w:after="0" w:line="240" w:lineRule="auto"/>
              <w:rPr>
                <w:color w:val="FFFFFF"/>
                <w:sz w:val="16"/>
                <w:szCs w:val="16"/>
              </w:rPr>
            </w:pPr>
            <w:r w:rsidRPr="00544DFD">
              <w:rPr>
                <w:color w:val="FFFFFF"/>
                <w:sz w:val="16"/>
                <w:szCs w:val="16"/>
              </w:rPr>
              <w:lastRenderedPageBreak/>
              <w:t>Begin highlighted text:</w:t>
            </w:r>
          </w:p>
        </w:tc>
      </w:tr>
      <w:tr w:rsidR="00E06628" w:rsidRPr="003F5D93" w:rsidTr="00E06628">
        <w:tc>
          <w:tcPr>
            <w:tcW w:w="9576" w:type="dxa"/>
          </w:tcPr>
          <w:p w:rsidR="00E06628" w:rsidRPr="00C474AE" w:rsidRDefault="00E06628" w:rsidP="00E06628">
            <w:pPr>
              <w:pStyle w:val="NCDPullquote"/>
              <w:spacing w:after="0"/>
              <w:ind w:left="806"/>
            </w:pPr>
            <w:r w:rsidRPr="00D34D21">
              <w:t>Data show that young people ages 31 to 64 now make up 14 percent of the nursing home population, up from 10 percent just a decade ago.</w:t>
            </w:r>
          </w:p>
        </w:tc>
      </w:tr>
      <w:tr w:rsidR="00E06628" w:rsidRPr="003F5D93" w:rsidTr="00E06628">
        <w:tc>
          <w:tcPr>
            <w:tcW w:w="9576" w:type="dxa"/>
          </w:tcPr>
          <w:p w:rsidR="00E06628" w:rsidRPr="00544DFD" w:rsidRDefault="00E06628" w:rsidP="00E06628">
            <w:pPr>
              <w:pStyle w:val="BodyText"/>
              <w:spacing w:after="120" w:line="240" w:lineRule="auto"/>
              <w:rPr>
                <w:color w:val="FFFFFF"/>
                <w:sz w:val="16"/>
                <w:szCs w:val="16"/>
              </w:rPr>
            </w:pPr>
            <w:r w:rsidRPr="00544DFD">
              <w:rPr>
                <w:color w:val="FFFFFF"/>
                <w:sz w:val="16"/>
                <w:szCs w:val="16"/>
              </w:rPr>
              <w:t>End highlighted text.</w:t>
            </w:r>
          </w:p>
        </w:tc>
      </w:tr>
    </w:tbl>
    <w:p w:rsidR="00E06628" w:rsidRDefault="00E06628" w:rsidP="00E06628">
      <w:pPr>
        <w:pStyle w:val="BodyText"/>
        <w:spacing w:after="0"/>
      </w:pP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545C6E">
        <w:trPr>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545C6E">
        <w:trPr>
          <w:trHeight w:val="20"/>
          <w:jc w:val="center"/>
        </w:trPr>
        <w:tc>
          <w:tcPr>
            <w:tcW w:w="9360" w:type="dxa"/>
            <w:shd w:val="clear" w:color="auto" w:fill="E6E6E6"/>
            <w:vAlign w:val="bottom"/>
          </w:tcPr>
          <w:p w:rsidR="00B0519B" w:rsidRPr="005E2F35" w:rsidRDefault="00B0519B" w:rsidP="00101C2D">
            <w:pPr>
              <w:pStyle w:val="TableTextList"/>
              <w:ind w:left="425"/>
            </w:pPr>
            <w:r w:rsidRPr="005E2F35">
              <w:t xml:space="preserve">Congress should eliminate the institutional bias in Medicaid. </w:t>
            </w:r>
          </w:p>
          <w:p w:rsidR="00B0519B" w:rsidRPr="00F05475" w:rsidRDefault="00B0519B" w:rsidP="00101C2D">
            <w:pPr>
              <w:pStyle w:val="TableTextList"/>
              <w:ind w:left="425"/>
            </w:pPr>
            <w:r w:rsidRPr="00F05475">
              <w:t xml:space="preserve">The Centers for Medicare and Medicaid Services (CMS) should require states to ensure that reductions in reimbursement rates do not create additional barriers to care for people with disabilities. </w:t>
            </w:r>
          </w:p>
          <w:p w:rsidR="00B0519B" w:rsidRPr="00F05475" w:rsidRDefault="00B0519B" w:rsidP="00101C2D">
            <w:pPr>
              <w:pStyle w:val="TableTextList"/>
              <w:ind w:left="425"/>
            </w:pPr>
            <w:r w:rsidRPr="00F05475">
              <w:t>CMS should issue a letter requiring states to notify Medicaid beneficiaries of their due process rights when reductions are made to home- and community-based services (HCBS).</w:t>
            </w:r>
          </w:p>
          <w:p w:rsidR="00B0519B" w:rsidRPr="00F05475" w:rsidRDefault="00B0519B" w:rsidP="00101C2D">
            <w:pPr>
              <w:pStyle w:val="TableTextList"/>
              <w:ind w:left="425"/>
            </w:pPr>
            <w:r w:rsidRPr="00F05475">
              <w:t xml:space="preserve">Congress should lower the Federal Medical Assistance Percentage for institutional care for states that fail to meet their </w:t>
            </w:r>
            <w:r w:rsidRPr="00F05475">
              <w:rPr>
                <w:i/>
              </w:rPr>
              <w:t xml:space="preserve">Olmstead </w:t>
            </w:r>
            <w:r w:rsidRPr="00F05475">
              <w:t>obligations.</w:t>
            </w:r>
          </w:p>
          <w:p w:rsidR="00B0519B" w:rsidRPr="00F05475" w:rsidRDefault="00B0519B" w:rsidP="00101C2D">
            <w:pPr>
              <w:pStyle w:val="TableTextList"/>
              <w:ind w:left="425"/>
            </w:pPr>
            <w:r w:rsidRPr="00F05475">
              <w:t>Congress should retain the Community Living Assistance Services and Supports (CLASS) Act, ensuring adequate opportunity for the U.S. Department of Health and Human Services to pursue changes to ensure its self-sufficiency and to enhance access to long-term services and supports outside of Medicaid.</w:t>
            </w:r>
          </w:p>
          <w:p w:rsidR="00B0519B" w:rsidRPr="00F05475" w:rsidRDefault="00B0519B" w:rsidP="00101C2D">
            <w:pPr>
              <w:pStyle w:val="TableTextList"/>
              <w:ind w:left="425"/>
            </w:pPr>
            <w:r w:rsidRPr="00F05475">
              <w:t>CMS should issue regulations specifying what HCBS waiver dollars can and cannot be used for, ensuring that states cannot use funds allocated for HCBS for “gated communities” and other settings with “institution-like” characteristics.</w:t>
            </w:r>
          </w:p>
        </w:tc>
      </w:tr>
    </w:tbl>
    <w:p w:rsidR="00B0519B" w:rsidRPr="000F6E2B" w:rsidRDefault="00B0519B" w:rsidP="00B0519B">
      <w:pPr>
        <w:pStyle w:val="Heading2"/>
      </w:pPr>
      <w:bookmarkStart w:id="17" w:name="_Toc304437139"/>
      <w:r w:rsidRPr="000F6E2B">
        <w:t>Housing</w:t>
      </w:r>
      <w:bookmarkEnd w:id="17"/>
    </w:p>
    <w:p w:rsidR="00B0519B" w:rsidRDefault="00B0519B" w:rsidP="00B0519B">
      <w:pPr>
        <w:pStyle w:val="BodyText"/>
      </w:pPr>
      <w:r w:rsidRPr="00AA164F">
        <w:t>Efforts to enhance home</w:t>
      </w:r>
      <w:r>
        <w:t>-</w:t>
      </w:r>
      <w:r w:rsidRPr="00AA164F">
        <w:t xml:space="preserve"> and community-based services are often impeded by the lack of </w:t>
      </w:r>
      <w:r>
        <w:t xml:space="preserve">affordable, accessible housing. </w:t>
      </w:r>
      <w:r w:rsidRPr="00AA164F">
        <w:t xml:space="preserve">It is </w:t>
      </w:r>
      <w:r>
        <w:t>nearly</w:t>
      </w:r>
      <w:r w:rsidRPr="00AA164F">
        <w:t xml:space="preserve"> impossible for people with disabilities </w:t>
      </w:r>
      <w:r>
        <w:t>living on Supplemental Security Income (SSI)</w:t>
      </w:r>
      <w:r w:rsidRPr="00AA164F">
        <w:t xml:space="preserve"> to obtain decent, safe, affordable, and accessible housing in the community without a permanent housing subsidy.</w:t>
      </w:r>
      <w:r w:rsidRPr="001C6B71">
        <w:rPr>
          <w:rStyle w:val="EndnoteReference"/>
        </w:rPr>
        <w:endnoteReference w:id="11"/>
      </w:r>
      <w:r>
        <w:t xml:space="preserve"> </w:t>
      </w:r>
      <w:r w:rsidRPr="00AA164F">
        <w:t>Workers on average must earn $15 per hour over a 40</w:t>
      </w:r>
      <w:r>
        <w:t>-</w:t>
      </w:r>
      <w:r w:rsidRPr="00AA164F">
        <w:t>hour work week to afford a one-bedroom rental at the national average.</w:t>
      </w:r>
      <w:r w:rsidRPr="001C6B71">
        <w:rPr>
          <w:rStyle w:val="EndnoteReference"/>
        </w:rPr>
        <w:endnoteReference w:id="12"/>
      </w:r>
      <w:r>
        <w:t xml:space="preserve"> </w:t>
      </w:r>
      <w:r w:rsidRPr="00AA164F">
        <w:t xml:space="preserve">This means that people with disabilities receiving SSI </w:t>
      </w:r>
      <w:r w:rsidRPr="00AA164F">
        <w:lastRenderedPageBreak/>
        <w:t>would need to triple their income to afford housing</w:t>
      </w:r>
      <w:r w:rsidRPr="00F34820">
        <w:t>—</w:t>
      </w:r>
      <w:r>
        <w:t>making housing out of reach for many. A recent government report estimated at least 43 percent of homeless adults in shelters—about 421,000 people—identify as a person with a disability.</w:t>
      </w:r>
      <w:r w:rsidRPr="001C6B71">
        <w:rPr>
          <w:rStyle w:val="EndnoteReference"/>
        </w:rPr>
        <w:endnoteReference w:id="13"/>
      </w:r>
      <w:r>
        <w:t xml:space="preserve"> </w:t>
      </w:r>
    </w:p>
    <w:p w:rsidR="00B0519B" w:rsidRDefault="00B0519B" w:rsidP="00B0519B">
      <w:pPr>
        <w:pStyle w:val="BodyText"/>
      </w:pPr>
      <w:r w:rsidRPr="00D254C5">
        <w:t xml:space="preserve">Many people with disabilities </w:t>
      </w:r>
      <w:r>
        <w:t xml:space="preserve">can live in the community with the right supports. </w:t>
      </w:r>
      <w:r w:rsidRPr="00D254C5">
        <w:t xml:space="preserve">A variety of private and nonprofit entities have </w:t>
      </w:r>
      <w:r>
        <w:t>used</w:t>
      </w:r>
      <w:r w:rsidRPr="00D254C5">
        <w:t xml:space="preserve"> public </w:t>
      </w:r>
      <w:r>
        <w:t>funds</w:t>
      </w:r>
      <w:r w:rsidRPr="00D254C5">
        <w:t xml:space="preserve"> to establish </w:t>
      </w:r>
      <w:r>
        <w:t xml:space="preserve">successful </w:t>
      </w:r>
      <w:r w:rsidRPr="00D254C5">
        <w:t>housing programs</w:t>
      </w:r>
      <w:r w:rsidRPr="00D254C5">
        <w:rPr>
          <w:rStyle w:val="EndnoteReference"/>
        </w:rPr>
        <w:endnoteReference w:id="14"/>
      </w:r>
      <w:r>
        <w:t xml:space="preserve"> </w:t>
      </w:r>
      <w:r w:rsidRPr="00D254C5">
        <w:t xml:space="preserve">that </w:t>
      </w:r>
      <w:r>
        <w:t>include</w:t>
      </w:r>
      <w:r w:rsidRPr="00D254C5">
        <w:t xml:space="preserve"> supportive services </w:t>
      </w:r>
      <w:r>
        <w:t>such as</w:t>
      </w:r>
      <w:r w:rsidRPr="00D254C5">
        <w:t xml:space="preserve"> counseling, peer support, assistance </w:t>
      </w:r>
      <w:r>
        <w:t>with</w:t>
      </w:r>
      <w:r w:rsidRPr="00D254C5">
        <w:t xml:space="preserve"> home</w:t>
      </w:r>
      <w:r>
        <w:t xml:space="preserve"> </w:t>
      </w:r>
      <w:r w:rsidRPr="00D254C5">
        <w:t>buying and lending, home modifications, and personal services such as housekeeping, cooking, and shopping.</w:t>
      </w:r>
      <w:r w:rsidRPr="001C6B71">
        <w:rPr>
          <w:rStyle w:val="EndnoteReference"/>
        </w:rPr>
        <w:endnoteReference w:id="15"/>
      </w:r>
      <w:r>
        <w:t xml:space="preserve"> These programs have enabled m</w:t>
      </w:r>
      <w:r w:rsidRPr="00D254C5">
        <w:t xml:space="preserve">any people who once lived in group homes or institutions </w:t>
      </w:r>
      <w:r>
        <w:t>to</w:t>
      </w:r>
      <w:r w:rsidRPr="00D254C5">
        <w:t xml:space="preserve"> move into integrated housing</w:t>
      </w:r>
      <w:r>
        <w:t>,</w:t>
      </w:r>
      <w:r w:rsidRPr="00D254C5">
        <w:t xml:space="preserve"> </w:t>
      </w:r>
      <w:r>
        <w:t xml:space="preserve">including </w:t>
      </w:r>
      <w:r w:rsidRPr="00D254C5">
        <w:t xml:space="preserve">apartments, condos, rentals, </w:t>
      </w:r>
      <w:r>
        <w:t>or</w:t>
      </w:r>
      <w:r w:rsidRPr="00D254C5">
        <w:t xml:space="preserve"> </w:t>
      </w:r>
      <w:r>
        <w:t xml:space="preserve">their own </w:t>
      </w:r>
      <w:r w:rsidRPr="00D254C5">
        <w:t>homes</w:t>
      </w:r>
      <w:r>
        <w:t xml:space="preserve">. However, many people with disabilities are not eligible for supportive housing programs. </w:t>
      </w:r>
      <w:r w:rsidRPr="00D254C5">
        <w:t>Some supportive housing programs restrict eligibility to people who are homeless</w:t>
      </w:r>
      <w:r>
        <w:t xml:space="preserve">, receive </w:t>
      </w:r>
      <w:r w:rsidRPr="00D254C5">
        <w:t>certain services</w:t>
      </w:r>
      <w:r>
        <w:t>,</w:t>
      </w:r>
      <w:r w:rsidRPr="00D254C5">
        <w:t xml:space="preserve"> or participat</w:t>
      </w:r>
      <w:r>
        <w:t>e</w:t>
      </w:r>
      <w:r w:rsidRPr="00D254C5">
        <w:t xml:space="preserve"> in treatment programs</w:t>
      </w:r>
      <w:r>
        <w:t>, which has led to complaints that these eligibility requirements restrict choice and independence.</w:t>
      </w:r>
      <w:r w:rsidRPr="00D254C5">
        <w:t xml:space="preserve"> </w:t>
      </w:r>
    </w:p>
    <w:p w:rsidR="00B0519B" w:rsidRDefault="00B0519B" w:rsidP="00A12CA5">
      <w:pPr>
        <w:pStyle w:val="BodyText"/>
        <w:spacing w:after="0"/>
        <w:rPr>
          <w:color w:val="000000"/>
        </w:rPr>
      </w:pPr>
      <w:r>
        <w:rPr>
          <w:color w:val="000000"/>
        </w:rPr>
        <w:t>D</w:t>
      </w:r>
      <w:r w:rsidRPr="00D254C5">
        <w:rPr>
          <w:color w:val="000000"/>
        </w:rPr>
        <w:t>iscrimination continues to be a barrier to accessible, affordable housing for people with disabilities.</w:t>
      </w:r>
      <w:r>
        <w:rPr>
          <w:color w:val="000000"/>
        </w:rPr>
        <w:t xml:space="preserve"> </w:t>
      </w:r>
      <w:r w:rsidRPr="00D254C5">
        <w:t>Housing discrimination complaints based on disability are the most frequent</w:t>
      </w:r>
      <w:r w:rsidRPr="00F34820">
        <w:t>—</w:t>
      </w:r>
      <w:r w:rsidRPr="00D254C5">
        <w:t>30 percent higher than those based on race</w:t>
      </w:r>
      <w:r w:rsidRPr="00F34820">
        <w:t>—</w:t>
      </w:r>
      <w:r w:rsidRPr="00D254C5">
        <w:t>and increased more than 20</w:t>
      </w:r>
      <w:r>
        <w:t> </w:t>
      </w:r>
      <w:r w:rsidRPr="00D254C5">
        <w:t>percent between 2005 and 2009</w:t>
      </w:r>
      <w:r>
        <w:t xml:space="preserve"> (Table 2)</w:t>
      </w:r>
      <w:r w:rsidRPr="00D254C5">
        <w:t>.</w:t>
      </w:r>
      <w:r>
        <w:rPr>
          <w:color w:val="000000"/>
        </w:rPr>
        <w:t xml:space="preserve"> </w:t>
      </w:r>
    </w:p>
    <w:tbl>
      <w:tblPr>
        <w:tblW w:w="0" w:type="auto"/>
        <w:tblLook w:val="04A0" w:firstRow="1" w:lastRow="0" w:firstColumn="1" w:lastColumn="0" w:noHBand="0" w:noVBand="1"/>
      </w:tblPr>
      <w:tblGrid>
        <w:gridCol w:w="9576"/>
      </w:tblGrid>
      <w:tr w:rsidR="00E06628" w:rsidRPr="003F5D93" w:rsidTr="00A12CA5">
        <w:trPr>
          <w:trHeight w:hRule="exact" w:val="288"/>
        </w:trPr>
        <w:tc>
          <w:tcPr>
            <w:tcW w:w="9576" w:type="dxa"/>
          </w:tcPr>
          <w:p w:rsidR="00E06628" w:rsidRPr="00544DFD" w:rsidRDefault="00E06628" w:rsidP="00E06628">
            <w:pPr>
              <w:pStyle w:val="BodyText"/>
              <w:spacing w:after="0" w:line="240" w:lineRule="auto"/>
              <w:rPr>
                <w:color w:val="FFFFFF"/>
                <w:sz w:val="16"/>
                <w:szCs w:val="16"/>
              </w:rPr>
            </w:pPr>
            <w:r w:rsidRPr="00544DFD">
              <w:rPr>
                <w:color w:val="FFFFFF"/>
                <w:sz w:val="16"/>
                <w:szCs w:val="16"/>
              </w:rPr>
              <w:t>Begin highlighted text:</w:t>
            </w:r>
          </w:p>
        </w:tc>
      </w:tr>
      <w:tr w:rsidR="00E06628" w:rsidRPr="003F5D93" w:rsidTr="00E06628">
        <w:tc>
          <w:tcPr>
            <w:tcW w:w="9576" w:type="dxa"/>
          </w:tcPr>
          <w:p w:rsidR="00E06628" w:rsidRPr="00C474AE" w:rsidRDefault="00E06628" w:rsidP="00E06628">
            <w:pPr>
              <w:pStyle w:val="NCDPullquote"/>
              <w:spacing w:after="0"/>
              <w:ind w:left="806"/>
            </w:pPr>
            <w:r w:rsidRPr="00D34D21">
              <w:t>Housing discrimination complaints based on disability are the most frequent—30 percent higher than those based on race—and increased more than 20 percent between 2005 and 2009.</w:t>
            </w:r>
          </w:p>
        </w:tc>
      </w:tr>
      <w:tr w:rsidR="00E06628" w:rsidRPr="003F5D93" w:rsidTr="00A12CA5">
        <w:trPr>
          <w:trHeight w:hRule="exact" w:val="432"/>
        </w:trPr>
        <w:tc>
          <w:tcPr>
            <w:tcW w:w="9576" w:type="dxa"/>
          </w:tcPr>
          <w:p w:rsidR="00E06628" w:rsidRPr="00544DFD" w:rsidRDefault="00E06628" w:rsidP="00E06628">
            <w:pPr>
              <w:pStyle w:val="BodyText"/>
              <w:spacing w:after="120" w:line="240" w:lineRule="auto"/>
              <w:rPr>
                <w:color w:val="FFFFFF"/>
                <w:sz w:val="16"/>
                <w:szCs w:val="16"/>
              </w:rPr>
            </w:pPr>
            <w:r w:rsidRPr="00544DFD">
              <w:rPr>
                <w:color w:val="FFFFFF"/>
                <w:sz w:val="16"/>
                <w:szCs w:val="16"/>
              </w:rPr>
              <w:t>End highlighted text.</w:t>
            </w:r>
          </w:p>
        </w:tc>
      </w:tr>
    </w:tbl>
    <w:p w:rsidR="00E06628" w:rsidRDefault="00E06628" w:rsidP="00B0519B">
      <w:pPr>
        <w:pStyle w:val="BodyText"/>
        <w:rPr>
          <w:color w:val="000000"/>
        </w:rPr>
      </w:pPr>
    </w:p>
    <w:p w:rsidR="00B0519B" w:rsidRDefault="00B0519B" w:rsidP="00B0519B">
      <w:pPr>
        <w:pStyle w:val="NCDTableNumber"/>
      </w:pPr>
      <w:proofErr w:type="gramStart"/>
      <w:r w:rsidRPr="00837381">
        <w:lastRenderedPageBreak/>
        <w:t xml:space="preserve">Table </w:t>
      </w:r>
      <w:r>
        <w:t>2.</w:t>
      </w:r>
      <w:proofErr w:type="gramEnd"/>
    </w:p>
    <w:p w:rsidR="00B0519B" w:rsidRPr="00837381" w:rsidRDefault="00B0519B" w:rsidP="00B0519B">
      <w:pPr>
        <w:pStyle w:val="TableTitle"/>
      </w:pPr>
      <w:r w:rsidRPr="00837381">
        <w:t>Bases of Housing Discrimination Complaints, 2005</w:t>
      </w:r>
      <w:r w:rsidRPr="00F34820">
        <w:t>–</w:t>
      </w:r>
      <w:r w:rsidRPr="00837381">
        <w:t>09</w:t>
      </w:r>
    </w:p>
    <w:tbl>
      <w:tblPr>
        <w:tblW w:w="9450" w:type="dxa"/>
        <w:tblInd w:w="115"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76"/>
        <w:gridCol w:w="1356"/>
        <w:gridCol w:w="1357"/>
        <w:gridCol w:w="1357"/>
        <w:gridCol w:w="1357"/>
        <w:gridCol w:w="1447"/>
      </w:tblGrid>
      <w:tr w:rsidR="00B0519B" w:rsidRPr="00AC25B5" w:rsidTr="00101C2D">
        <w:trPr>
          <w:tblHeader/>
        </w:trPr>
        <w:tc>
          <w:tcPr>
            <w:tcW w:w="2576"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p>
        </w:tc>
        <w:tc>
          <w:tcPr>
            <w:tcW w:w="1356"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2005</w:t>
            </w:r>
          </w:p>
        </w:tc>
        <w:tc>
          <w:tcPr>
            <w:tcW w:w="1357"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2006</w:t>
            </w:r>
          </w:p>
        </w:tc>
        <w:tc>
          <w:tcPr>
            <w:tcW w:w="1357"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2007</w:t>
            </w:r>
          </w:p>
        </w:tc>
        <w:tc>
          <w:tcPr>
            <w:tcW w:w="1357"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2008</w:t>
            </w:r>
          </w:p>
        </w:tc>
        <w:tc>
          <w:tcPr>
            <w:tcW w:w="1447"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2009</w:t>
            </w:r>
          </w:p>
        </w:tc>
      </w:tr>
      <w:tr w:rsidR="00B0519B" w:rsidRPr="002A69BB" w:rsidTr="00101C2D">
        <w:tc>
          <w:tcPr>
            <w:tcW w:w="2576" w:type="dxa"/>
            <w:tcBorders>
              <w:top w:val="single" w:sz="18" w:space="0" w:color="auto"/>
            </w:tcBorders>
            <w:shd w:val="clear" w:color="auto" w:fill="E6E6E6"/>
            <w:vAlign w:val="bottom"/>
          </w:tcPr>
          <w:p w:rsidR="00B0519B" w:rsidRPr="005E2F35" w:rsidRDefault="00B0519B" w:rsidP="00101C2D">
            <w:pPr>
              <w:pStyle w:val="TableText"/>
              <w:rPr>
                <w:b/>
              </w:rPr>
            </w:pPr>
            <w:r w:rsidRPr="005E2F35">
              <w:rPr>
                <w:b/>
              </w:rPr>
              <w:t>Disability</w:t>
            </w:r>
          </w:p>
        </w:tc>
        <w:tc>
          <w:tcPr>
            <w:tcW w:w="1356" w:type="dxa"/>
            <w:tcBorders>
              <w:top w:val="single" w:sz="18" w:space="0" w:color="auto"/>
            </w:tcBorders>
            <w:vAlign w:val="bottom"/>
          </w:tcPr>
          <w:p w:rsidR="00B0519B" w:rsidRPr="005E2F35" w:rsidRDefault="00B0519B" w:rsidP="00101C2D">
            <w:pPr>
              <w:pStyle w:val="TableText"/>
              <w:jc w:val="center"/>
            </w:pPr>
            <w:r w:rsidRPr="005E2F35">
              <w:t>3,766</w:t>
            </w:r>
          </w:p>
        </w:tc>
        <w:tc>
          <w:tcPr>
            <w:tcW w:w="1357" w:type="dxa"/>
            <w:tcBorders>
              <w:top w:val="single" w:sz="18" w:space="0" w:color="auto"/>
            </w:tcBorders>
            <w:vAlign w:val="bottom"/>
          </w:tcPr>
          <w:p w:rsidR="00B0519B" w:rsidRPr="005E2F35" w:rsidRDefault="00B0519B" w:rsidP="00101C2D">
            <w:pPr>
              <w:pStyle w:val="TableText"/>
              <w:jc w:val="center"/>
            </w:pPr>
            <w:r w:rsidRPr="005E2F35">
              <w:t>4,110</w:t>
            </w:r>
          </w:p>
        </w:tc>
        <w:tc>
          <w:tcPr>
            <w:tcW w:w="1357" w:type="dxa"/>
            <w:tcBorders>
              <w:top w:val="single" w:sz="18" w:space="0" w:color="auto"/>
            </w:tcBorders>
            <w:vAlign w:val="bottom"/>
          </w:tcPr>
          <w:p w:rsidR="00B0519B" w:rsidRPr="005E2F35" w:rsidRDefault="00B0519B" w:rsidP="00101C2D">
            <w:pPr>
              <w:pStyle w:val="TableText"/>
              <w:jc w:val="center"/>
            </w:pPr>
            <w:r w:rsidRPr="005E2F35">
              <w:t>4,410</w:t>
            </w:r>
          </w:p>
        </w:tc>
        <w:tc>
          <w:tcPr>
            <w:tcW w:w="1357" w:type="dxa"/>
            <w:tcBorders>
              <w:top w:val="single" w:sz="18" w:space="0" w:color="auto"/>
            </w:tcBorders>
            <w:vAlign w:val="bottom"/>
          </w:tcPr>
          <w:p w:rsidR="00B0519B" w:rsidRPr="005E2F35" w:rsidRDefault="00B0519B" w:rsidP="00101C2D">
            <w:pPr>
              <w:pStyle w:val="TableText"/>
              <w:jc w:val="center"/>
            </w:pPr>
            <w:r w:rsidRPr="005E2F35">
              <w:t>4,675</w:t>
            </w:r>
          </w:p>
        </w:tc>
        <w:tc>
          <w:tcPr>
            <w:tcW w:w="1447" w:type="dxa"/>
            <w:tcBorders>
              <w:top w:val="single" w:sz="18" w:space="0" w:color="auto"/>
            </w:tcBorders>
            <w:vAlign w:val="bottom"/>
          </w:tcPr>
          <w:p w:rsidR="00B0519B" w:rsidRPr="005E2F35" w:rsidRDefault="00B0519B" w:rsidP="00101C2D">
            <w:pPr>
              <w:pStyle w:val="TableText"/>
              <w:jc w:val="center"/>
            </w:pPr>
            <w:r w:rsidRPr="005E2F35">
              <w:t>4,458</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Race</w:t>
            </w:r>
          </w:p>
        </w:tc>
        <w:tc>
          <w:tcPr>
            <w:tcW w:w="1356" w:type="dxa"/>
            <w:vAlign w:val="bottom"/>
          </w:tcPr>
          <w:p w:rsidR="00B0519B" w:rsidRPr="005E2F35" w:rsidRDefault="00B0519B" w:rsidP="00101C2D">
            <w:pPr>
              <w:pStyle w:val="TableText"/>
              <w:jc w:val="center"/>
            </w:pPr>
            <w:r w:rsidRPr="005E2F35">
              <w:t>3,472</w:t>
            </w:r>
          </w:p>
        </w:tc>
        <w:tc>
          <w:tcPr>
            <w:tcW w:w="1357" w:type="dxa"/>
            <w:vAlign w:val="bottom"/>
          </w:tcPr>
          <w:p w:rsidR="00B0519B" w:rsidRPr="005E2F35" w:rsidRDefault="00B0519B" w:rsidP="00101C2D">
            <w:pPr>
              <w:pStyle w:val="TableText"/>
              <w:jc w:val="center"/>
            </w:pPr>
            <w:r w:rsidRPr="005E2F35">
              <w:t>4,043</w:t>
            </w:r>
          </w:p>
        </w:tc>
        <w:tc>
          <w:tcPr>
            <w:tcW w:w="1357" w:type="dxa"/>
            <w:vAlign w:val="bottom"/>
          </w:tcPr>
          <w:p w:rsidR="00B0519B" w:rsidRPr="005E2F35" w:rsidRDefault="00B0519B" w:rsidP="00101C2D">
            <w:pPr>
              <w:pStyle w:val="TableText"/>
              <w:jc w:val="center"/>
            </w:pPr>
            <w:r w:rsidRPr="005E2F35">
              <w:t>3,750</w:t>
            </w:r>
          </w:p>
        </w:tc>
        <w:tc>
          <w:tcPr>
            <w:tcW w:w="1357" w:type="dxa"/>
            <w:vAlign w:val="bottom"/>
          </w:tcPr>
          <w:p w:rsidR="00B0519B" w:rsidRPr="005E2F35" w:rsidRDefault="00B0519B" w:rsidP="00101C2D">
            <w:pPr>
              <w:pStyle w:val="TableText"/>
              <w:jc w:val="center"/>
            </w:pPr>
            <w:r w:rsidRPr="005E2F35">
              <w:t>3,669</w:t>
            </w:r>
          </w:p>
        </w:tc>
        <w:tc>
          <w:tcPr>
            <w:tcW w:w="1447" w:type="dxa"/>
            <w:vAlign w:val="bottom"/>
          </w:tcPr>
          <w:p w:rsidR="00B0519B" w:rsidRPr="005E2F35" w:rsidRDefault="00B0519B" w:rsidP="00101C2D">
            <w:pPr>
              <w:pStyle w:val="TableText"/>
              <w:jc w:val="center"/>
            </w:pPr>
            <w:r w:rsidRPr="005E2F35">
              <w:t>3,203</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Retaliation</w:t>
            </w:r>
          </w:p>
        </w:tc>
        <w:tc>
          <w:tcPr>
            <w:tcW w:w="1356" w:type="dxa"/>
            <w:vAlign w:val="bottom"/>
          </w:tcPr>
          <w:p w:rsidR="00B0519B" w:rsidRPr="005E2F35" w:rsidRDefault="00B0519B" w:rsidP="00101C2D">
            <w:pPr>
              <w:pStyle w:val="TableText"/>
              <w:jc w:val="center"/>
            </w:pPr>
            <w:r w:rsidRPr="005E2F35">
              <w:t>452</w:t>
            </w:r>
          </w:p>
        </w:tc>
        <w:tc>
          <w:tcPr>
            <w:tcW w:w="1357" w:type="dxa"/>
            <w:vAlign w:val="bottom"/>
          </w:tcPr>
          <w:p w:rsidR="00B0519B" w:rsidRPr="005E2F35" w:rsidRDefault="00B0519B" w:rsidP="00101C2D">
            <w:pPr>
              <w:pStyle w:val="TableText"/>
              <w:jc w:val="center"/>
            </w:pPr>
            <w:r w:rsidRPr="005E2F35">
              <w:t>577</w:t>
            </w:r>
          </w:p>
        </w:tc>
        <w:tc>
          <w:tcPr>
            <w:tcW w:w="1357" w:type="dxa"/>
            <w:vAlign w:val="bottom"/>
          </w:tcPr>
          <w:p w:rsidR="00B0519B" w:rsidRPr="005E2F35" w:rsidRDefault="00B0519B" w:rsidP="00101C2D">
            <w:pPr>
              <w:pStyle w:val="TableText"/>
              <w:jc w:val="center"/>
            </w:pPr>
            <w:r w:rsidRPr="005E2F35">
              <w:t>588</w:t>
            </w:r>
          </w:p>
        </w:tc>
        <w:tc>
          <w:tcPr>
            <w:tcW w:w="1357" w:type="dxa"/>
            <w:vAlign w:val="bottom"/>
          </w:tcPr>
          <w:p w:rsidR="00B0519B" w:rsidRPr="005E2F35" w:rsidRDefault="00B0519B" w:rsidP="00101C2D">
            <w:pPr>
              <w:pStyle w:val="TableText"/>
              <w:jc w:val="center"/>
            </w:pPr>
            <w:r w:rsidRPr="005E2F35">
              <w:t>575</w:t>
            </w:r>
          </w:p>
        </w:tc>
        <w:tc>
          <w:tcPr>
            <w:tcW w:w="1447" w:type="dxa"/>
            <w:vAlign w:val="bottom"/>
          </w:tcPr>
          <w:p w:rsidR="00B0519B" w:rsidRPr="005E2F35" w:rsidRDefault="00B0519B" w:rsidP="00101C2D">
            <w:pPr>
              <w:pStyle w:val="TableText"/>
              <w:jc w:val="center"/>
            </w:pPr>
            <w:r w:rsidRPr="005E2F35">
              <w:t>654</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Familial status</w:t>
            </w:r>
          </w:p>
        </w:tc>
        <w:tc>
          <w:tcPr>
            <w:tcW w:w="1356" w:type="dxa"/>
            <w:vAlign w:val="bottom"/>
          </w:tcPr>
          <w:p w:rsidR="00B0519B" w:rsidRPr="005E2F35" w:rsidRDefault="00B0519B" w:rsidP="00101C2D">
            <w:pPr>
              <w:pStyle w:val="TableText"/>
              <w:jc w:val="center"/>
            </w:pPr>
            <w:r w:rsidRPr="005E2F35">
              <w:t>1,414</w:t>
            </w:r>
          </w:p>
        </w:tc>
        <w:tc>
          <w:tcPr>
            <w:tcW w:w="1357" w:type="dxa"/>
            <w:vAlign w:val="bottom"/>
          </w:tcPr>
          <w:p w:rsidR="00B0519B" w:rsidRPr="005E2F35" w:rsidRDefault="00B0519B" w:rsidP="00101C2D">
            <w:pPr>
              <w:pStyle w:val="TableText"/>
              <w:jc w:val="center"/>
            </w:pPr>
            <w:r w:rsidRPr="005E2F35">
              <w:t>1,433</w:t>
            </w:r>
          </w:p>
        </w:tc>
        <w:tc>
          <w:tcPr>
            <w:tcW w:w="1357" w:type="dxa"/>
            <w:vAlign w:val="bottom"/>
          </w:tcPr>
          <w:p w:rsidR="00B0519B" w:rsidRPr="005E2F35" w:rsidRDefault="00B0519B" w:rsidP="00101C2D">
            <w:pPr>
              <w:pStyle w:val="TableText"/>
              <w:jc w:val="center"/>
            </w:pPr>
            <w:r w:rsidRPr="005E2F35">
              <w:t>1,447</w:t>
            </w:r>
          </w:p>
        </w:tc>
        <w:tc>
          <w:tcPr>
            <w:tcW w:w="1357" w:type="dxa"/>
            <w:vAlign w:val="bottom"/>
          </w:tcPr>
          <w:p w:rsidR="00B0519B" w:rsidRPr="005E2F35" w:rsidRDefault="00B0519B" w:rsidP="00101C2D">
            <w:pPr>
              <w:pStyle w:val="TableText"/>
              <w:jc w:val="center"/>
            </w:pPr>
            <w:r w:rsidRPr="005E2F35">
              <w:t>1,690</w:t>
            </w:r>
          </w:p>
        </w:tc>
        <w:tc>
          <w:tcPr>
            <w:tcW w:w="1447" w:type="dxa"/>
            <w:vAlign w:val="bottom"/>
          </w:tcPr>
          <w:p w:rsidR="00B0519B" w:rsidRPr="005E2F35" w:rsidRDefault="00B0519B" w:rsidP="00101C2D">
            <w:pPr>
              <w:pStyle w:val="TableText"/>
              <w:jc w:val="center"/>
            </w:pPr>
            <w:r w:rsidRPr="005E2F35">
              <w:t>2,017</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National origin</w:t>
            </w:r>
          </w:p>
        </w:tc>
        <w:tc>
          <w:tcPr>
            <w:tcW w:w="1356" w:type="dxa"/>
            <w:vAlign w:val="bottom"/>
          </w:tcPr>
          <w:p w:rsidR="00B0519B" w:rsidRPr="005E2F35" w:rsidRDefault="00B0519B" w:rsidP="00101C2D">
            <w:pPr>
              <w:pStyle w:val="TableText"/>
              <w:jc w:val="center"/>
            </w:pPr>
            <w:r w:rsidRPr="005E2F35">
              <w:t>1,225</w:t>
            </w:r>
          </w:p>
        </w:tc>
        <w:tc>
          <w:tcPr>
            <w:tcW w:w="1357" w:type="dxa"/>
            <w:vAlign w:val="bottom"/>
          </w:tcPr>
          <w:p w:rsidR="00B0519B" w:rsidRPr="005E2F35" w:rsidRDefault="00B0519B" w:rsidP="00101C2D">
            <w:pPr>
              <w:pStyle w:val="TableText"/>
              <w:jc w:val="center"/>
            </w:pPr>
            <w:r w:rsidRPr="005E2F35">
              <w:t>1,427</w:t>
            </w:r>
          </w:p>
        </w:tc>
        <w:tc>
          <w:tcPr>
            <w:tcW w:w="1357" w:type="dxa"/>
            <w:vAlign w:val="bottom"/>
          </w:tcPr>
          <w:p w:rsidR="00B0519B" w:rsidRPr="005E2F35" w:rsidRDefault="00B0519B" w:rsidP="00101C2D">
            <w:pPr>
              <w:pStyle w:val="TableText"/>
              <w:jc w:val="center"/>
            </w:pPr>
            <w:r w:rsidRPr="005E2F35">
              <w:t>1,299</w:t>
            </w:r>
          </w:p>
        </w:tc>
        <w:tc>
          <w:tcPr>
            <w:tcW w:w="1357" w:type="dxa"/>
            <w:vAlign w:val="bottom"/>
          </w:tcPr>
          <w:p w:rsidR="00B0519B" w:rsidRPr="005E2F35" w:rsidRDefault="00B0519B" w:rsidP="00101C2D">
            <w:pPr>
              <w:pStyle w:val="TableText"/>
              <w:jc w:val="center"/>
            </w:pPr>
            <w:r w:rsidRPr="005E2F35">
              <w:t>1,364</w:t>
            </w:r>
          </w:p>
        </w:tc>
        <w:tc>
          <w:tcPr>
            <w:tcW w:w="1447" w:type="dxa"/>
            <w:vAlign w:val="bottom"/>
          </w:tcPr>
          <w:p w:rsidR="00B0519B" w:rsidRPr="005E2F35" w:rsidRDefault="00B0519B" w:rsidP="00101C2D">
            <w:pPr>
              <w:pStyle w:val="TableText"/>
              <w:jc w:val="center"/>
            </w:pPr>
            <w:r w:rsidRPr="005E2F35">
              <w:t>1,313</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Sex</w:t>
            </w:r>
          </w:p>
        </w:tc>
        <w:tc>
          <w:tcPr>
            <w:tcW w:w="1356" w:type="dxa"/>
            <w:vAlign w:val="bottom"/>
          </w:tcPr>
          <w:p w:rsidR="00B0519B" w:rsidRPr="005E2F35" w:rsidRDefault="00B0519B" w:rsidP="00101C2D">
            <w:pPr>
              <w:pStyle w:val="TableText"/>
              <w:jc w:val="center"/>
            </w:pPr>
            <w:r w:rsidRPr="005E2F35">
              <w:t>961</w:t>
            </w:r>
          </w:p>
        </w:tc>
        <w:tc>
          <w:tcPr>
            <w:tcW w:w="1357" w:type="dxa"/>
            <w:vAlign w:val="bottom"/>
          </w:tcPr>
          <w:p w:rsidR="00B0519B" w:rsidRPr="005E2F35" w:rsidRDefault="00B0519B" w:rsidP="00101C2D">
            <w:pPr>
              <w:pStyle w:val="TableText"/>
              <w:jc w:val="center"/>
            </w:pPr>
            <w:r w:rsidRPr="005E2F35">
              <w:t>997</w:t>
            </w:r>
          </w:p>
        </w:tc>
        <w:tc>
          <w:tcPr>
            <w:tcW w:w="1357" w:type="dxa"/>
            <w:vAlign w:val="bottom"/>
          </w:tcPr>
          <w:p w:rsidR="00B0519B" w:rsidRPr="005E2F35" w:rsidRDefault="00B0519B" w:rsidP="00101C2D">
            <w:pPr>
              <w:pStyle w:val="TableText"/>
              <w:jc w:val="center"/>
            </w:pPr>
            <w:r w:rsidRPr="005E2F35">
              <w:t>1,008</w:t>
            </w:r>
          </w:p>
        </w:tc>
        <w:tc>
          <w:tcPr>
            <w:tcW w:w="1357" w:type="dxa"/>
            <w:vAlign w:val="bottom"/>
          </w:tcPr>
          <w:p w:rsidR="00B0519B" w:rsidRPr="005E2F35" w:rsidRDefault="00B0519B" w:rsidP="00101C2D">
            <w:pPr>
              <w:pStyle w:val="TableText"/>
              <w:jc w:val="center"/>
            </w:pPr>
            <w:r w:rsidRPr="005E2F35">
              <w:t>1,133</w:t>
            </w:r>
          </w:p>
        </w:tc>
        <w:tc>
          <w:tcPr>
            <w:tcW w:w="1447" w:type="dxa"/>
            <w:vAlign w:val="bottom"/>
          </w:tcPr>
          <w:p w:rsidR="00B0519B" w:rsidRPr="005E2F35" w:rsidRDefault="00B0519B" w:rsidP="00101C2D">
            <w:pPr>
              <w:pStyle w:val="TableText"/>
              <w:jc w:val="center"/>
            </w:pPr>
            <w:r w:rsidRPr="005E2F35">
              <w:t>1,075</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Religion</w:t>
            </w:r>
          </w:p>
        </w:tc>
        <w:tc>
          <w:tcPr>
            <w:tcW w:w="1356" w:type="dxa"/>
            <w:vAlign w:val="bottom"/>
          </w:tcPr>
          <w:p w:rsidR="00B0519B" w:rsidRPr="005E2F35" w:rsidRDefault="00B0519B" w:rsidP="00101C2D">
            <w:pPr>
              <w:pStyle w:val="TableText"/>
              <w:jc w:val="center"/>
            </w:pPr>
            <w:r w:rsidRPr="005E2F35">
              <w:t>218</w:t>
            </w:r>
          </w:p>
        </w:tc>
        <w:tc>
          <w:tcPr>
            <w:tcW w:w="1357" w:type="dxa"/>
            <w:vAlign w:val="bottom"/>
          </w:tcPr>
          <w:p w:rsidR="00B0519B" w:rsidRPr="005E2F35" w:rsidRDefault="00B0519B" w:rsidP="00101C2D">
            <w:pPr>
              <w:pStyle w:val="TableText"/>
              <w:jc w:val="center"/>
            </w:pPr>
            <w:r w:rsidRPr="005E2F35">
              <w:t>258</w:t>
            </w:r>
          </w:p>
        </w:tc>
        <w:tc>
          <w:tcPr>
            <w:tcW w:w="1357" w:type="dxa"/>
            <w:vAlign w:val="bottom"/>
          </w:tcPr>
          <w:p w:rsidR="00B0519B" w:rsidRPr="005E2F35" w:rsidRDefault="00B0519B" w:rsidP="00101C2D">
            <w:pPr>
              <w:pStyle w:val="TableText"/>
              <w:jc w:val="center"/>
            </w:pPr>
            <w:r w:rsidRPr="005E2F35">
              <w:t>266</w:t>
            </w:r>
          </w:p>
        </w:tc>
        <w:tc>
          <w:tcPr>
            <w:tcW w:w="1357" w:type="dxa"/>
            <w:vAlign w:val="bottom"/>
          </w:tcPr>
          <w:p w:rsidR="00B0519B" w:rsidRPr="005E2F35" w:rsidRDefault="00B0519B" w:rsidP="00101C2D">
            <w:pPr>
              <w:pStyle w:val="TableText"/>
              <w:jc w:val="center"/>
            </w:pPr>
            <w:r w:rsidRPr="005E2F35">
              <w:t>339</w:t>
            </w:r>
          </w:p>
        </w:tc>
        <w:tc>
          <w:tcPr>
            <w:tcW w:w="1447" w:type="dxa"/>
            <w:vAlign w:val="bottom"/>
          </w:tcPr>
          <w:p w:rsidR="00B0519B" w:rsidRPr="005E2F35" w:rsidRDefault="00B0519B" w:rsidP="00101C2D">
            <w:pPr>
              <w:pStyle w:val="TableText"/>
              <w:jc w:val="center"/>
            </w:pPr>
            <w:r w:rsidRPr="005E2F35">
              <w:t>302</w:t>
            </w:r>
          </w:p>
        </w:tc>
      </w:tr>
      <w:tr w:rsidR="00B0519B" w:rsidRPr="002A69BB" w:rsidTr="00101C2D">
        <w:tc>
          <w:tcPr>
            <w:tcW w:w="2576" w:type="dxa"/>
            <w:shd w:val="clear" w:color="auto" w:fill="E6E6E6"/>
            <w:vAlign w:val="bottom"/>
          </w:tcPr>
          <w:p w:rsidR="00B0519B" w:rsidRPr="005E2F35" w:rsidRDefault="00B0519B" w:rsidP="00101C2D">
            <w:pPr>
              <w:pStyle w:val="TableText"/>
              <w:rPr>
                <w:b/>
              </w:rPr>
            </w:pPr>
            <w:r w:rsidRPr="005E2F35">
              <w:rPr>
                <w:b/>
              </w:rPr>
              <w:t>Color</w:t>
            </w:r>
          </w:p>
        </w:tc>
        <w:tc>
          <w:tcPr>
            <w:tcW w:w="1356" w:type="dxa"/>
            <w:vAlign w:val="bottom"/>
          </w:tcPr>
          <w:p w:rsidR="00B0519B" w:rsidRPr="005E2F35" w:rsidRDefault="00B0519B" w:rsidP="00101C2D">
            <w:pPr>
              <w:pStyle w:val="TableText"/>
              <w:jc w:val="center"/>
            </w:pPr>
            <w:r w:rsidRPr="005E2F35">
              <w:t>142</w:t>
            </w:r>
          </w:p>
        </w:tc>
        <w:tc>
          <w:tcPr>
            <w:tcW w:w="1357" w:type="dxa"/>
            <w:vAlign w:val="bottom"/>
          </w:tcPr>
          <w:p w:rsidR="00B0519B" w:rsidRPr="005E2F35" w:rsidRDefault="00B0519B" w:rsidP="00101C2D">
            <w:pPr>
              <w:pStyle w:val="TableText"/>
              <w:jc w:val="center"/>
            </w:pPr>
            <w:r w:rsidRPr="005E2F35">
              <w:t>154</w:t>
            </w:r>
          </w:p>
        </w:tc>
        <w:tc>
          <w:tcPr>
            <w:tcW w:w="1357" w:type="dxa"/>
            <w:vAlign w:val="bottom"/>
          </w:tcPr>
          <w:p w:rsidR="00B0519B" w:rsidRPr="005E2F35" w:rsidRDefault="00B0519B" w:rsidP="00101C2D">
            <w:pPr>
              <w:pStyle w:val="TableText"/>
              <w:jc w:val="center"/>
            </w:pPr>
            <w:r w:rsidRPr="005E2F35">
              <w:t>173</w:t>
            </w:r>
          </w:p>
        </w:tc>
        <w:tc>
          <w:tcPr>
            <w:tcW w:w="1357" w:type="dxa"/>
            <w:vAlign w:val="bottom"/>
          </w:tcPr>
          <w:p w:rsidR="00B0519B" w:rsidRPr="005E2F35" w:rsidRDefault="00B0519B" w:rsidP="00101C2D">
            <w:pPr>
              <w:pStyle w:val="TableText"/>
              <w:jc w:val="center"/>
            </w:pPr>
            <w:r w:rsidRPr="005E2F35">
              <w:t>262</w:t>
            </w:r>
          </w:p>
        </w:tc>
        <w:tc>
          <w:tcPr>
            <w:tcW w:w="1447" w:type="dxa"/>
            <w:vAlign w:val="bottom"/>
          </w:tcPr>
          <w:p w:rsidR="00B0519B" w:rsidRPr="005E2F35" w:rsidRDefault="00B0519B" w:rsidP="00101C2D">
            <w:pPr>
              <w:pStyle w:val="TableText"/>
              <w:jc w:val="center"/>
            </w:pPr>
            <w:r w:rsidRPr="005E2F35">
              <w:t>251</w:t>
            </w:r>
          </w:p>
        </w:tc>
      </w:tr>
    </w:tbl>
    <w:p w:rsidR="00B0519B" w:rsidRPr="009445AB" w:rsidRDefault="00B0519B" w:rsidP="00B0519B">
      <w:pPr>
        <w:pStyle w:val="TableNote"/>
        <w:ind w:right="-180"/>
      </w:pPr>
      <w:r w:rsidRPr="00CF29A7">
        <w:rPr>
          <w:b/>
        </w:rPr>
        <w:t>Source:</w:t>
      </w:r>
      <w:r w:rsidRPr="009445AB">
        <w:t xml:space="preserve"> U.S. Department of Housing and Urban Development, The State Of Fair Housing Report, FY</w:t>
      </w:r>
      <w:r>
        <w:t> </w:t>
      </w:r>
      <w:r w:rsidRPr="009445AB">
        <w:t>2009</w:t>
      </w:r>
    </w:p>
    <w:p w:rsidR="00B0519B" w:rsidRDefault="00B0519B" w:rsidP="00B0519B">
      <w:pPr>
        <w:pStyle w:val="BodyText"/>
      </w:pPr>
      <w:r w:rsidRPr="00D254C5">
        <w:t xml:space="preserve">A 2005 </w:t>
      </w:r>
      <w:r>
        <w:t xml:space="preserve">U.S. </w:t>
      </w:r>
      <w:r w:rsidRPr="00D254C5">
        <w:t>Department of Housing and Urban Development</w:t>
      </w:r>
      <w:r>
        <w:t>/</w:t>
      </w:r>
      <w:r w:rsidRPr="00D254C5">
        <w:t xml:space="preserve">Urban Institute study found </w:t>
      </w:r>
      <w:r>
        <w:t xml:space="preserve">that </w:t>
      </w:r>
      <w:r w:rsidRPr="00D254C5">
        <w:t xml:space="preserve">individuals who were </w:t>
      </w:r>
      <w:r>
        <w:t>d</w:t>
      </w:r>
      <w:r w:rsidRPr="00D254C5">
        <w:t>eaf or used a wheelchair experienced adverse treatment during the rental process, even at rates greater than African</w:t>
      </w:r>
      <w:r>
        <w:t xml:space="preserve"> </w:t>
      </w:r>
      <w:r w:rsidRPr="00D254C5">
        <w:t>American and Hispanic renters.</w:t>
      </w:r>
      <w:r>
        <w:t xml:space="preserve"> </w:t>
      </w:r>
      <w:r w:rsidRPr="00D254C5">
        <w:t xml:space="preserve">In addition to fewer accessible housing options, wheelchair users learned about fewer housing units and were more likely to </w:t>
      </w:r>
      <w:r>
        <w:t xml:space="preserve">have fewer opportunities to </w:t>
      </w:r>
      <w:r w:rsidRPr="00D254C5">
        <w:t>inspect units</w:t>
      </w:r>
      <w:r>
        <w:t xml:space="preserve"> than</w:t>
      </w:r>
      <w:r w:rsidRPr="00D254C5">
        <w:t xml:space="preserve"> those without disabilities.</w:t>
      </w:r>
      <w:r>
        <w:t xml:space="preserve"> I</w:t>
      </w:r>
      <w:r w:rsidRPr="00D254C5">
        <w:t xml:space="preserve">ndividuals who were </w:t>
      </w:r>
      <w:r>
        <w:t>d</w:t>
      </w:r>
      <w:r w:rsidRPr="00D254C5">
        <w:t xml:space="preserve">eaf and TTY </w:t>
      </w:r>
      <w:r>
        <w:t xml:space="preserve">users </w:t>
      </w:r>
      <w:r w:rsidRPr="00D254C5">
        <w:t>were refused service in 25</w:t>
      </w:r>
      <w:r>
        <w:t xml:space="preserve"> </w:t>
      </w:r>
      <w:r w:rsidRPr="00D254C5">
        <w:t>percent of cases and were given less information about the housing process when their calls were accepted.</w:t>
      </w:r>
      <w:r w:rsidRPr="001C6B71">
        <w:rPr>
          <w:rStyle w:val="EndnoteReference"/>
          <w:szCs w:val="24"/>
        </w:rPr>
        <w:endnoteReference w:id="16"/>
      </w:r>
      <w:r w:rsidRPr="00D254C5">
        <w:t xml:space="preserve"> Thus, as a result of discrimination, people with disabilities have limited access </w:t>
      </w:r>
      <w:r>
        <w:t>to an</w:t>
      </w:r>
      <w:r w:rsidRPr="00D254C5">
        <w:t xml:space="preserve"> insufficient supply of accessible, affordable housing.</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101C2D">
        <w:trPr>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101C2D">
        <w:trPr>
          <w:cantSplit/>
          <w:trHeight w:val="20"/>
          <w:jc w:val="center"/>
        </w:trPr>
        <w:tc>
          <w:tcPr>
            <w:tcW w:w="9360" w:type="dxa"/>
            <w:shd w:val="clear" w:color="auto" w:fill="E6E6E6"/>
            <w:vAlign w:val="bottom"/>
          </w:tcPr>
          <w:p w:rsidR="00B0519B" w:rsidRPr="00B30C39" w:rsidRDefault="00B0519B" w:rsidP="00B0519B">
            <w:pPr>
              <w:pStyle w:val="TableTextList"/>
              <w:numPr>
                <w:ilvl w:val="0"/>
                <w:numId w:val="12"/>
              </w:numPr>
              <w:ind w:left="425"/>
            </w:pPr>
            <w:r w:rsidRPr="00B30C39">
              <w:t>The U.S. Department of Housing and Urban Development (HUD) should increase affordable, accessible, and integrated housing for people with disabilities.</w:t>
            </w:r>
          </w:p>
          <w:p w:rsidR="00B0519B" w:rsidRPr="00F05475" w:rsidRDefault="00B0519B" w:rsidP="00101C2D">
            <w:pPr>
              <w:pStyle w:val="TableTextList"/>
              <w:ind w:left="425"/>
            </w:pPr>
            <w:r w:rsidRPr="00F05475">
              <w:t>HUD should increase housing vouchers for people with disabilities.</w:t>
            </w:r>
          </w:p>
          <w:p w:rsidR="00B0519B" w:rsidRPr="00F05475" w:rsidRDefault="00B0519B" w:rsidP="00101C2D">
            <w:pPr>
              <w:pStyle w:val="TableTextList"/>
              <w:ind w:left="425"/>
            </w:pPr>
            <w:r w:rsidRPr="00F05475">
              <w:t xml:space="preserve">Congress and HUD should create a permanent home modification fund to pay for reasonable accommodations in private market housing. </w:t>
            </w:r>
          </w:p>
          <w:p w:rsidR="00B0519B" w:rsidRPr="00F05475" w:rsidRDefault="00B0519B" w:rsidP="00101C2D">
            <w:pPr>
              <w:pStyle w:val="TableTextList"/>
              <w:ind w:left="425"/>
            </w:pPr>
            <w:r w:rsidRPr="00F05475">
              <w:t>Congress should redirect federal housing and treatment funds now supporting institutional facilities (nursing homes, etc.) toward integrated housing options.</w:t>
            </w:r>
          </w:p>
          <w:p w:rsidR="00B0519B" w:rsidRPr="00F05475" w:rsidRDefault="00B0519B" w:rsidP="00101C2D">
            <w:pPr>
              <w:pStyle w:val="TableTextList"/>
              <w:ind w:left="425"/>
            </w:pPr>
            <w:r w:rsidRPr="00F05475">
              <w:t>HUD should prevent the loss of accessible, publically subsidized housing through investment and preservation strategies.</w:t>
            </w:r>
          </w:p>
          <w:p w:rsidR="00B0519B" w:rsidRPr="00F05475" w:rsidRDefault="00B0519B" w:rsidP="00101C2D">
            <w:pPr>
              <w:pStyle w:val="TableTextList"/>
              <w:ind w:left="425"/>
            </w:pPr>
            <w:r w:rsidRPr="00F05475">
              <w:t>Supportive housing programs should eliminate the requirement that a person be homeless in order to be eligible for a supportive housing unit.</w:t>
            </w:r>
          </w:p>
          <w:p w:rsidR="00B0519B" w:rsidRPr="00F05475" w:rsidRDefault="00B0519B" w:rsidP="00101C2D">
            <w:pPr>
              <w:pStyle w:val="TableTextList"/>
              <w:ind w:left="425"/>
            </w:pPr>
            <w:r w:rsidRPr="00F05475">
              <w:t>HUD and the Substance Abuse and Mental Health Services Administration should collaborate to create better community-based and integrated housing solutions for people with psychiatric disabilities.</w:t>
            </w:r>
          </w:p>
          <w:p w:rsidR="00B0519B" w:rsidRPr="00F05475" w:rsidRDefault="00B0519B" w:rsidP="00101C2D">
            <w:pPr>
              <w:pStyle w:val="TableTextList"/>
              <w:ind w:left="425"/>
            </w:pPr>
            <w:r w:rsidRPr="00F05475">
              <w:t xml:space="preserve">HUD should allow a phaseout of housing supports as individuals move into employment. </w:t>
            </w:r>
          </w:p>
          <w:p w:rsidR="00B0519B" w:rsidRPr="00F05475" w:rsidRDefault="00B0519B" w:rsidP="00101C2D">
            <w:pPr>
              <w:pStyle w:val="TableTextList"/>
              <w:spacing w:after="60"/>
              <w:ind w:left="432"/>
            </w:pPr>
            <w:r w:rsidRPr="00F05475">
              <w:t>HUD should improve fair housing enforcement of disability rights, including ensuring that all agencies at the local, state and federal levels follow HUD’s guidance to “affirmatively further fair housing” for people with disabilities by reviewing and eliminating obstacles to accessible housing.</w:t>
            </w:r>
          </w:p>
        </w:tc>
      </w:tr>
    </w:tbl>
    <w:p w:rsidR="00B0519B" w:rsidRPr="002A544F" w:rsidRDefault="00B0519B" w:rsidP="00B0519B">
      <w:pPr>
        <w:pStyle w:val="Heading2"/>
      </w:pPr>
      <w:bookmarkStart w:id="18" w:name="_Toc304437140"/>
      <w:r w:rsidRPr="002A544F">
        <w:t>Healthy Living</w:t>
      </w:r>
      <w:bookmarkEnd w:id="18"/>
    </w:p>
    <w:p w:rsidR="00B0519B" w:rsidRPr="00AA164F" w:rsidRDefault="00B0519B" w:rsidP="00B0519B">
      <w:pPr>
        <w:pStyle w:val="BodyText"/>
      </w:pPr>
      <w:r w:rsidRPr="00AA164F">
        <w:t>The greatest barriers to healthy living for people with disabilities have been the inaccessibility of health care (e.g., inaccessible mammography equipment</w:t>
      </w:r>
      <w:r>
        <w:t>,</w:t>
      </w:r>
      <w:r w:rsidRPr="00AA164F">
        <w:t xml:space="preserve"> exam tables, weight scales) and the discriminatory practices of health insurers, resulting in significant health disparities for people with disabilities.</w:t>
      </w:r>
      <w:r w:rsidRPr="001C6B71">
        <w:rPr>
          <w:rStyle w:val="EndnoteReference"/>
        </w:rPr>
        <w:endnoteReference w:id="17"/>
      </w:r>
      <w:r w:rsidRPr="00AA164F">
        <w:t xml:space="preserve"> </w:t>
      </w:r>
      <w:r>
        <w:t>T</w:t>
      </w:r>
      <w:r w:rsidRPr="00AA164F">
        <w:t>he ADA d</w:t>
      </w:r>
      <w:r>
        <w:t>oes</w:t>
      </w:r>
      <w:r w:rsidRPr="00AA164F">
        <w:t xml:space="preserve"> not address discrimination in the health insurance market.</w:t>
      </w:r>
      <w:r>
        <w:t xml:space="preserve"> However, the </w:t>
      </w:r>
      <w:r w:rsidRPr="00AA164F">
        <w:t>passage of the Affordable Care Act of 2010 (ACA)</w:t>
      </w:r>
      <w:r w:rsidRPr="001C6B71">
        <w:rPr>
          <w:rStyle w:val="EndnoteReference"/>
        </w:rPr>
        <w:endnoteReference w:id="18"/>
      </w:r>
      <w:r w:rsidRPr="00AA164F">
        <w:t xml:space="preserve"> </w:t>
      </w:r>
      <w:r>
        <w:t>began an effort to eliminate</w:t>
      </w:r>
      <w:r w:rsidRPr="00AA164F">
        <w:t xml:space="preserve"> discrimination against people with disabilities in the health care market, which </w:t>
      </w:r>
      <w:r>
        <w:t>many</w:t>
      </w:r>
      <w:r w:rsidRPr="00AA164F">
        <w:t xml:space="preserve"> </w:t>
      </w:r>
      <w:r>
        <w:t>call</w:t>
      </w:r>
      <w:r w:rsidRPr="00AA164F">
        <w:t xml:space="preserve"> the </w:t>
      </w:r>
      <w:r>
        <w:t>“</w:t>
      </w:r>
      <w:r w:rsidRPr="00AA164F">
        <w:t>unfinished business</w:t>
      </w:r>
      <w:r>
        <w:t>”</w:t>
      </w:r>
      <w:r w:rsidRPr="00AA164F">
        <w:t xml:space="preserve"> of the ADA.</w:t>
      </w:r>
      <w:r w:rsidRPr="001C6B71">
        <w:rPr>
          <w:rStyle w:val="EndnoteReference"/>
        </w:rPr>
        <w:endnoteReference w:id="19"/>
      </w:r>
      <w:r w:rsidRPr="00AA164F">
        <w:t xml:space="preserve"> </w:t>
      </w:r>
    </w:p>
    <w:p w:rsidR="00B0519B" w:rsidRPr="00AA164F" w:rsidRDefault="00B0519B" w:rsidP="00B0519B">
      <w:pPr>
        <w:pStyle w:val="BodyText"/>
      </w:pPr>
      <w:r w:rsidRPr="00AA164F">
        <w:lastRenderedPageBreak/>
        <w:t xml:space="preserve">Under the ACA, insurers are prohibited from denying coverage to children </w:t>
      </w:r>
      <w:r>
        <w:t xml:space="preserve">if that denial is </w:t>
      </w:r>
      <w:r w:rsidRPr="00AA164F">
        <w:t>based solely on the fact that they were born with disabilit</w:t>
      </w:r>
      <w:r>
        <w:t>ies</w:t>
      </w:r>
      <w:r w:rsidRPr="00AA164F">
        <w:t>.</w:t>
      </w:r>
      <w:r>
        <w:t xml:space="preserve"> </w:t>
      </w:r>
      <w:r w:rsidRPr="00AA164F">
        <w:t xml:space="preserve">In 2014, all 129 million Americans with preexisting health conditions will be protected from insurance discrimination </w:t>
      </w:r>
      <w:r>
        <w:t xml:space="preserve">because of </w:t>
      </w:r>
      <w:r w:rsidRPr="00AA164F">
        <w:t>preexisting condition</w:t>
      </w:r>
      <w:r>
        <w:t>s</w:t>
      </w:r>
      <w:r w:rsidRPr="00AA164F">
        <w:t xml:space="preserve"> or health status.</w:t>
      </w:r>
      <w:r>
        <w:t xml:space="preserve"> </w:t>
      </w:r>
      <w:r w:rsidRPr="00AA164F">
        <w:t>Additionally, the ACA Patient</w:t>
      </w:r>
      <w:r>
        <w:t>’</w:t>
      </w:r>
      <w:r w:rsidRPr="00AA164F">
        <w:t xml:space="preserve">s Bill of Rights </w:t>
      </w:r>
      <w:r>
        <w:t>outlaws</w:t>
      </w:r>
      <w:r w:rsidRPr="00AA164F">
        <w:t xml:space="preserve"> many of the worst abuses of the insurance industry, such as arbitrary annual and lifetime caps on benefits</w:t>
      </w:r>
      <w:r>
        <w:t>,</w:t>
      </w:r>
      <w:r w:rsidRPr="00AA164F">
        <w:t xml:space="preserve"> that have </w:t>
      </w:r>
      <w:r>
        <w:t xml:space="preserve">resulted in a denial of health care when people </w:t>
      </w:r>
      <w:r w:rsidRPr="00AA164F">
        <w:t>need it most.</w:t>
      </w:r>
    </w:p>
    <w:p w:rsidR="00B0519B" w:rsidRDefault="00B0519B" w:rsidP="00A12CA5">
      <w:pPr>
        <w:pStyle w:val="BodyText"/>
        <w:spacing w:after="0"/>
      </w:pPr>
      <w:r w:rsidRPr="00AA164F">
        <w:t xml:space="preserve">In 2014, Medicaid will </w:t>
      </w:r>
      <w:r>
        <w:t>expand</w:t>
      </w:r>
      <w:r w:rsidRPr="00AA164F">
        <w:t xml:space="preserve"> </w:t>
      </w:r>
      <w:r>
        <w:t xml:space="preserve">to </w:t>
      </w:r>
      <w:r w:rsidRPr="00AA164F">
        <w:t xml:space="preserve">cover many Americans with disabilities who </w:t>
      </w:r>
      <w:r>
        <w:t>do</w:t>
      </w:r>
      <w:r w:rsidRPr="00AA164F">
        <w:t xml:space="preserve"> not qualify for coverage now.</w:t>
      </w:r>
      <w:r>
        <w:t xml:space="preserve"> </w:t>
      </w:r>
      <w:r w:rsidRPr="00AA164F">
        <w:t>States are establishing Affordable Insurance Exchanges</w:t>
      </w:r>
      <w:r>
        <w:t>, which are</w:t>
      </w:r>
      <w:r w:rsidRPr="00AA164F">
        <w:t xml:space="preserve"> new competitive marketplaces </w:t>
      </w:r>
      <w:r>
        <w:t>to</w:t>
      </w:r>
      <w:r w:rsidRPr="00AA164F">
        <w:t xml:space="preserve"> provide better insurance options for those who buy individual </w:t>
      </w:r>
      <w:r>
        <w:t>coverage</w:t>
      </w:r>
      <w:r w:rsidRPr="00AA164F">
        <w:t>.</w:t>
      </w:r>
      <w:r>
        <w:t xml:space="preserve"> </w:t>
      </w:r>
      <w:r w:rsidRPr="00AA164F">
        <w:t xml:space="preserve">Recently, </w:t>
      </w:r>
      <w:r>
        <w:t>the U.S. Department of Health and Human Services (</w:t>
      </w:r>
      <w:r w:rsidRPr="00AA164F">
        <w:t>HHS</w:t>
      </w:r>
      <w:r>
        <w:t>)</w:t>
      </w:r>
      <w:r w:rsidRPr="00AA164F">
        <w:t xml:space="preserve"> proposed </w:t>
      </w:r>
      <w:r>
        <w:t xml:space="preserve">requirements to make every </w:t>
      </w:r>
      <w:r w:rsidRPr="00AA164F">
        <w:t xml:space="preserve">Exchange technologically accessible and </w:t>
      </w:r>
      <w:r>
        <w:t>understandable</w:t>
      </w:r>
      <w:r w:rsidRPr="00AA164F">
        <w:t xml:space="preserve"> for people with disabilities—including those who rely on assistive technology to navigate the </w:t>
      </w:r>
      <w:r>
        <w:t>Internet</w:t>
      </w:r>
      <w:r w:rsidRPr="00AA164F">
        <w:t>.</w:t>
      </w:r>
      <w:r>
        <w:t xml:space="preserve"> </w:t>
      </w:r>
      <w:r w:rsidRPr="00AA164F">
        <w:t>Additionally, the ACA calls on the U.S. Access Board to establish accessibility standards for medical diagnostic equipment.</w:t>
      </w:r>
      <w:r>
        <w:t xml:space="preserve"> </w:t>
      </w:r>
      <w:r w:rsidRPr="00AA164F">
        <w:t xml:space="preserve">Thus, </w:t>
      </w:r>
      <w:r>
        <w:t>if</w:t>
      </w:r>
      <w:r w:rsidRPr="00AA164F">
        <w:t xml:space="preserve"> the </w:t>
      </w:r>
      <w:r>
        <w:t>ACA</w:t>
      </w:r>
      <w:r w:rsidRPr="00AA164F">
        <w:t xml:space="preserve"> is fully implemented, it holds great promise for improved access, care</w:t>
      </w:r>
      <w:r>
        <w:t>,</w:t>
      </w:r>
      <w:r w:rsidRPr="00AA164F">
        <w:t xml:space="preserve"> and quality of life for people with disabilities.</w:t>
      </w:r>
    </w:p>
    <w:tbl>
      <w:tblPr>
        <w:tblW w:w="0" w:type="auto"/>
        <w:tblLook w:val="04A0" w:firstRow="1" w:lastRow="0" w:firstColumn="1" w:lastColumn="0" w:noHBand="0" w:noVBand="1"/>
      </w:tblPr>
      <w:tblGrid>
        <w:gridCol w:w="9576"/>
      </w:tblGrid>
      <w:tr w:rsidR="00E06628" w:rsidRPr="003F5D93" w:rsidTr="00546BAD">
        <w:trPr>
          <w:trHeight w:hRule="exact" w:val="288"/>
        </w:trPr>
        <w:tc>
          <w:tcPr>
            <w:tcW w:w="9576" w:type="dxa"/>
          </w:tcPr>
          <w:p w:rsidR="00E06628" w:rsidRPr="00544DFD" w:rsidRDefault="00E06628" w:rsidP="00E06628">
            <w:pPr>
              <w:pStyle w:val="BodyText"/>
              <w:spacing w:after="0" w:line="240" w:lineRule="auto"/>
              <w:rPr>
                <w:color w:val="FFFFFF"/>
                <w:sz w:val="16"/>
                <w:szCs w:val="16"/>
              </w:rPr>
            </w:pPr>
            <w:r w:rsidRPr="00544DFD">
              <w:rPr>
                <w:color w:val="FFFFFF"/>
                <w:sz w:val="16"/>
                <w:szCs w:val="16"/>
              </w:rPr>
              <w:t>Begin highlighted text:</w:t>
            </w:r>
          </w:p>
        </w:tc>
      </w:tr>
      <w:tr w:rsidR="00E06628" w:rsidRPr="003F5D93" w:rsidTr="00E06628">
        <w:tc>
          <w:tcPr>
            <w:tcW w:w="9576" w:type="dxa"/>
          </w:tcPr>
          <w:p w:rsidR="00E06628" w:rsidRPr="00C474AE" w:rsidRDefault="00E06628" w:rsidP="00E06628">
            <w:pPr>
              <w:pStyle w:val="NCDPullquote"/>
              <w:spacing w:after="0"/>
              <w:ind w:left="806"/>
            </w:pPr>
            <w:r w:rsidRPr="00D34D21">
              <w:t>Recently, HHS proposed requirements to make every Exchange technologically accessible and understandable for people with disabilities—including those who rely on assistive technology to navigate the Internet.</w:t>
            </w:r>
          </w:p>
        </w:tc>
      </w:tr>
      <w:tr w:rsidR="00E06628" w:rsidRPr="003F5D93" w:rsidTr="00546BAD">
        <w:trPr>
          <w:trHeight w:hRule="exact" w:val="432"/>
        </w:trPr>
        <w:tc>
          <w:tcPr>
            <w:tcW w:w="9576" w:type="dxa"/>
          </w:tcPr>
          <w:p w:rsidR="00E06628" w:rsidRPr="00544DFD" w:rsidRDefault="00E06628" w:rsidP="00E06628">
            <w:pPr>
              <w:pStyle w:val="BodyText"/>
              <w:spacing w:after="120" w:line="240" w:lineRule="auto"/>
              <w:rPr>
                <w:color w:val="FFFFFF"/>
                <w:sz w:val="16"/>
                <w:szCs w:val="16"/>
              </w:rPr>
            </w:pPr>
            <w:r w:rsidRPr="00544DFD">
              <w:rPr>
                <w:color w:val="FFFFFF"/>
                <w:sz w:val="16"/>
                <w:szCs w:val="16"/>
              </w:rPr>
              <w:t>End highlighted text.</w:t>
            </w:r>
          </w:p>
        </w:tc>
      </w:tr>
    </w:tbl>
    <w:p w:rsidR="00B0519B" w:rsidRDefault="00B0519B" w:rsidP="00B0519B">
      <w:pPr>
        <w:pStyle w:val="BodyText"/>
      </w:pPr>
      <w:r>
        <w:t>S</w:t>
      </w:r>
      <w:r w:rsidRPr="00AA164F">
        <w:t>ome key issues remain</w:t>
      </w:r>
      <w:r>
        <w:t xml:space="preserve"> to be addressed</w:t>
      </w:r>
      <w:r w:rsidRPr="00AA164F">
        <w:t xml:space="preserve">, however, if people with disabilities are </w:t>
      </w:r>
      <w:r>
        <w:t xml:space="preserve">to gain </w:t>
      </w:r>
      <w:r w:rsidRPr="00AA164F">
        <w:t>equal access to health care.</w:t>
      </w:r>
      <w:r>
        <w:t xml:space="preserve"> </w:t>
      </w:r>
      <w:r w:rsidRPr="00AA164F">
        <w:t xml:space="preserve">The absence of professional training on disability competency for health care practitioners is one of the most significant barriers </w:t>
      </w:r>
      <w:r>
        <w:t>to</w:t>
      </w:r>
      <w:r w:rsidRPr="00AA164F">
        <w:t xml:space="preserve"> </w:t>
      </w:r>
      <w:r>
        <w:t xml:space="preserve">having </w:t>
      </w:r>
      <w:r w:rsidRPr="00AA164F">
        <w:t>people with disabilities receiv</w:t>
      </w:r>
      <w:r>
        <w:t>e</w:t>
      </w:r>
      <w:r w:rsidRPr="00AA164F">
        <w:t xml:space="preserve"> appropriate and effective health care.</w:t>
      </w:r>
      <w:r w:rsidRPr="001C6B71">
        <w:rPr>
          <w:rStyle w:val="EndnoteReference"/>
        </w:rPr>
        <w:endnoteReference w:id="20"/>
      </w:r>
      <w:r>
        <w:t xml:space="preserve"> </w:t>
      </w:r>
      <w:r w:rsidRPr="00AA164F">
        <w:t>Historically, federally</w:t>
      </w:r>
      <w:r>
        <w:t xml:space="preserve"> </w:t>
      </w:r>
      <w:r w:rsidRPr="00AA164F">
        <w:t xml:space="preserve">funded cultural competency </w:t>
      </w:r>
      <w:r>
        <w:t xml:space="preserve">projects </w:t>
      </w:r>
      <w:r w:rsidRPr="00AA164F">
        <w:t xml:space="preserve">among health professions have not included </w:t>
      </w:r>
      <w:r>
        <w:t>disability</w:t>
      </w:r>
      <w:r w:rsidRPr="00AA164F">
        <w:t>.</w:t>
      </w:r>
      <w:r>
        <w:t xml:space="preserve"> </w:t>
      </w:r>
      <w:r w:rsidRPr="00AA164F">
        <w:t xml:space="preserve">Few professional health care training programs address disability </w:t>
      </w:r>
      <w:r w:rsidRPr="00AA164F">
        <w:lastRenderedPageBreak/>
        <w:t>cultural competency in their curricula.</w:t>
      </w:r>
      <w:r>
        <w:t xml:space="preserve"> </w:t>
      </w:r>
      <w:r w:rsidRPr="00AA164F">
        <w:t xml:space="preserve">Disability </w:t>
      </w:r>
      <w:r>
        <w:t xml:space="preserve">cultural </w:t>
      </w:r>
      <w:r w:rsidRPr="00AA164F">
        <w:t>competency is generally not a requirement for medical practitioner licensing, educational institution accreditation, or medical education loan forgiveness.</w:t>
      </w:r>
      <w:r>
        <w:t xml:space="preserve"> </w:t>
      </w:r>
      <w:r w:rsidRPr="00AA164F">
        <w:t xml:space="preserve">There is no standard definition of what it means to be </w:t>
      </w:r>
      <w:r>
        <w:t>“</w:t>
      </w:r>
      <w:r w:rsidRPr="00AA164F">
        <w:t>culturally competent</w:t>
      </w:r>
      <w:r>
        <w:t>”</w:t>
      </w:r>
      <w:r w:rsidRPr="00AA164F">
        <w:t xml:space="preserve"> to serve people with disabilities and there is no comprehensive model curriculum.</w:t>
      </w:r>
      <w:r>
        <w:t xml:space="preserve"> The result is that people with disabilities sometimes fail to get appropriate care, or even avoid getting needed health care, because providers do not have the necessary knowledge to treat them appropriately.</w:t>
      </w:r>
      <w:r w:rsidRPr="001C6B71">
        <w:rPr>
          <w:rStyle w:val="EndnoteReference"/>
        </w:rPr>
        <w:endnoteReference w:id="21"/>
      </w:r>
    </w:p>
    <w:p w:rsidR="00B0519B" w:rsidRPr="00E241C6" w:rsidRDefault="00B0519B" w:rsidP="00B0519B">
      <w:pPr>
        <w:pStyle w:val="BodyText"/>
      </w:pPr>
      <w:r>
        <w:t xml:space="preserve">People with disabilities often do not have access to health promotion services and physical fitness activities. </w:t>
      </w:r>
      <w:r w:rsidRPr="00E241C6">
        <w:t xml:space="preserve">The need for </w:t>
      </w:r>
      <w:r>
        <w:t>h</w:t>
      </w:r>
      <w:r w:rsidRPr="00E241C6">
        <w:t xml:space="preserve">ealthful living and engagement in leisure and recreational activities is universally accepted, but </w:t>
      </w:r>
      <w:r>
        <w:t xml:space="preserve">it </w:t>
      </w:r>
      <w:r w:rsidRPr="00E241C6">
        <w:t xml:space="preserve">is perhaps even more </w:t>
      </w:r>
      <w:r>
        <w:t xml:space="preserve">essential </w:t>
      </w:r>
      <w:r w:rsidRPr="00E241C6">
        <w:t>for people with disabilities.</w:t>
      </w:r>
      <w:r>
        <w:t xml:space="preserve"> A f</w:t>
      </w:r>
      <w:r w:rsidRPr="00E241C6">
        <w:t>ocus on physical health</w:t>
      </w:r>
      <w:r>
        <w:t xml:space="preserve">, </w:t>
      </w:r>
      <w:r w:rsidRPr="00E241C6">
        <w:t>nutrition, exercise</w:t>
      </w:r>
      <w:r>
        <w:t>,</w:t>
      </w:r>
      <w:r w:rsidRPr="00E241C6">
        <w:t xml:space="preserve"> and lifestyles that promote vigorous engagement in society and culture can have significant benefits for people with physical, intellectual</w:t>
      </w:r>
      <w:r>
        <w:t>,</w:t>
      </w:r>
      <w:r w:rsidRPr="00E241C6">
        <w:t xml:space="preserve"> or mental disabilities.</w:t>
      </w:r>
      <w:r w:rsidRPr="001C6B71">
        <w:rPr>
          <w:rStyle w:val="EndnoteReference"/>
        </w:rPr>
        <w:endnoteReference w:id="22"/>
      </w:r>
      <w:r w:rsidRPr="00E241C6">
        <w:t xml:space="preserve"> Yet research shows </w:t>
      </w:r>
      <w:r>
        <w:t xml:space="preserve">that </w:t>
      </w:r>
      <w:r w:rsidRPr="00E241C6">
        <w:t>people with disabilities are less likely to participate in leisure time physical activities.</w:t>
      </w:r>
      <w:r w:rsidRPr="001C6B71">
        <w:rPr>
          <w:rStyle w:val="EndnoteReference"/>
        </w:rPr>
        <w:endnoteReference w:id="23"/>
      </w:r>
      <w:r>
        <w:t xml:space="preserve"> </w:t>
      </w:r>
      <w:r w:rsidRPr="00E241C6">
        <w:t>Reasons cited for lower participation include lack of access to fitness facilities, inaccessible exercise equipment, lack of transportation, lack of adapted sports programs, and physical inability to exercise.</w:t>
      </w:r>
      <w:r w:rsidRPr="001C6B71">
        <w:rPr>
          <w:rStyle w:val="EndnoteReference"/>
        </w:rPr>
        <w:endnoteReference w:id="24"/>
      </w:r>
    </w:p>
    <w:p w:rsidR="00B0519B" w:rsidRPr="00E241C6" w:rsidRDefault="00B0519B" w:rsidP="00B0519B">
      <w:pPr>
        <w:pStyle w:val="BodyText"/>
      </w:pPr>
      <w:r w:rsidRPr="00E241C6">
        <w:t xml:space="preserve">Physical fitness has long been credited </w:t>
      </w:r>
      <w:r>
        <w:t>as</w:t>
      </w:r>
      <w:r w:rsidRPr="00E241C6">
        <w:t xml:space="preserve"> beneficial for all Americans.</w:t>
      </w:r>
      <w:r w:rsidRPr="001C6B71">
        <w:rPr>
          <w:rStyle w:val="EndnoteReference"/>
        </w:rPr>
        <w:endnoteReference w:id="25"/>
      </w:r>
      <w:r w:rsidRPr="00E241C6">
        <w:t xml:space="preserve"> Vigorous exercise for </w:t>
      </w:r>
      <w:r>
        <w:t>30</w:t>
      </w:r>
      <w:r w:rsidRPr="00E241C6">
        <w:t xml:space="preserve"> minutes </w:t>
      </w:r>
      <w:r>
        <w:t>a</w:t>
      </w:r>
      <w:r w:rsidRPr="00E241C6">
        <w:t xml:space="preserve"> day at least five times </w:t>
      </w:r>
      <w:r>
        <w:t>a</w:t>
      </w:r>
      <w:r w:rsidRPr="00E241C6">
        <w:t xml:space="preserve"> week is recommended for adults to extend longevity, improve concentration</w:t>
      </w:r>
      <w:r>
        <w:t>,</w:t>
      </w:r>
      <w:r w:rsidRPr="00E241C6">
        <w:t xml:space="preserve"> and alleviate depression.</w:t>
      </w:r>
      <w:r w:rsidRPr="001C6B71">
        <w:rPr>
          <w:rStyle w:val="EndnoteReference"/>
        </w:rPr>
        <w:endnoteReference w:id="26"/>
      </w:r>
      <w:r>
        <w:t xml:space="preserve"> </w:t>
      </w:r>
      <w:r w:rsidRPr="00E241C6">
        <w:t xml:space="preserve">Muscle-strengthening activity is recommended for adults at least two times </w:t>
      </w:r>
      <w:r>
        <w:t>a</w:t>
      </w:r>
      <w:r w:rsidRPr="00E241C6">
        <w:t xml:space="preserve"> week.</w:t>
      </w:r>
      <w:r w:rsidRPr="001C6B71">
        <w:rPr>
          <w:rStyle w:val="EndnoteReference"/>
        </w:rPr>
        <w:endnoteReference w:id="27"/>
      </w:r>
      <w:r>
        <w:t xml:space="preserve"> Although </w:t>
      </w:r>
      <w:r w:rsidRPr="00E241C6">
        <w:t>pe</w:t>
      </w:r>
      <w:r>
        <w:t>ople</w:t>
      </w:r>
      <w:r w:rsidRPr="00E241C6">
        <w:t xml:space="preserve"> with disabilities may need a customized form of exercise to compensate for specific limitations posed by </w:t>
      </w:r>
      <w:r>
        <w:t xml:space="preserve">the </w:t>
      </w:r>
      <w:r w:rsidRPr="00E241C6">
        <w:t>disability, many forms of competitive sport and exercise are available.</w:t>
      </w:r>
      <w:r>
        <w:t xml:space="preserve"> </w:t>
      </w:r>
      <w:r w:rsidRPr="00E241C6">
        <w:t>These sports include chair yoga,</w:t>
      </w:r>
      <w:r w:rsidRPr="001C6B71">
        <w:rPr>
          <w:rStyle w:val="EndnoteReference"/>
        </w:rPr>
        <w:endnoteReference w:id="28"/>
      </w:r>
      <w:r w:rsidRPr="00E241C6">
        <w:t xml:space="preserve"> wheelchair basketball,</w:t>
      </w:r>
      <w:r w:rsidRPr="001C6B71">
        <w:rPr>
          <w:rStyle w:val="EndnoteReference"/>
        </w:rPr>
        <w:endnoteReference w:id="29"/>
      </w:r>
      <w:r w:rsidRPr="00E241C6">
        <w:t xml:space="preserve"> </w:t>
      </w:r>
      <w:r>
        <w:t xml:space="preserve">downhill and cross-country </w:t>
      </w:r>
      <w:r w:rsidRPr="00E241C6">
        <w:t>skiing and golfing</w:t>
      </w:r>
      <w:r>
        <w:t xml:space="preserve"> for people who are blind or visually impaired</w:t>
      </w:r>
      <w:r w:rsidRPr="00E241C6">
        <w:t>,</w:t>
      </w:r>
      <w:r w:rsidRPr="001C6B71">
        <w:rPr>
          <w:rStyle w:val="EndnoteReference"/>
        </w:rPr>
        <w:endnoteReference w:id="30"/>
      </w:r>
      <w:r w:rsidRPr="00E241C6">
        <w:t xml:space="preserve"> downhill ski competitions for pe</w:t>
      </w:r>
      <w:r>
        <w:t>ople</w:t>
      </w:r>
      <w:r w:rsidRPr="00E241C6">
        <w:t xml:space="preserve"> using prosthetics,</w:t>
      </w:r>
      <w:r w:rsidRPr="001C6B71">
        <w:rPr>
          <w:rStyle w:val="EndnoteReference"/>
        </w:rPr>
        <w:endnoteReference w:id="31"/>
      </w:r>
      <w:r w:rsidRPr="00E241C6">
        <w:t xml:space="preserve"> and the development of </w:t>
      </w:r>
      <w:bookmarkStart w:id="19" w:name="OLE_LINK3"/>
      <w:bookmarkStart w:id="20" w:name="OLE_LINK4"/>
      <w:r w:rsidRPr="00E241C6">
        <w:t>prosthetic limbs for long</w:t>
      </w:r>
      <w:r>
        <w:t>-</w:t>
      </w:r>
      <w:r w:rsidRPr="00E241C6">
        <w:t>distance runners</w:t>
      </w:r>
      <w:bookmarkEnd w:id="19"/>
      <w:bookmarkEnd w:id="20"/>
      <w:r w:rsidRPr="00E241C6">
        <w:t>,</w:t>
      </w:r>
      <w:r w:rsidRPr="001C6B71">
        <w:rPr>
          <w:rStyle w:val="EndnoteReference"/>
        </w:rPr>
        <w:endnoteReference w:id="32"/>
      </w:r>
      <w:r w:rsidRPr="00E241C6">
        <w:t xml:space="preserve"> just to name a few.</w:t>
      </w:r>
      <w:r>
        <w:t xml:space="preserve"> </w:t>
      </w:r>
    </w:p>
    <w:p w:rsidR="00B0519B" w:rsidRPr="00E241C6" w:rsidRDefault="00B0519B" w:rsidP="00B0519B">
      <w:pPr>
        <w:pStyle w:val="BodyText"/>
      </w:pPr>
      <w:r>
        <w:t xml:space="preserve">Access to health promotion initiatives that encourage </w:t>
      </w:r>
      <w:r w:rsidRPr="00E241C6">
        <w:t xml:space="preserve">high standards of personal health </w:t>
      </w:r>
      <w:r>
        <w:t xml:space="preserve">is </w:t>
      </w:r>
      <w:r w:rsidRPr="00E241C6">
        <w:t>equally important.</w:t>
      </w:r>
      <w:r>
        <w:t xml:space="preserve"> </w:t>
      </w:r>
      <w:r w:rsidRPr="00E241C6">
        <w:t xml:space="preserve">The percentage of people with disabilities who </w:t>
      </w:r>
      <w:r w:rsidRPr="00970D9B">
        <w:t xml:space="preserve">are obese is much </w:t>
      </w:r>
      <w:r w:rsidRPr="00970D9B">
        <w:lastRenderedPageBreak/>
        <w:t>higher than the percentage of obese people without disabilities (see Table A1 in Appendix A). The percentage of persons with disabilities who smoke is</w:t>
      </w:r>
      <w:r w:rsidRPr="00E241C6">
        <w:t xml:space="preserve"> much higher than the percentage of people without disabilities </w:t>
      </w:r>
      <w:r>
        <w:t xml:space="preserve">who smoke </w:t>
      </w:r>
      <w:r w:rsidRPr="00E241C6">
        <w:t>(</w:t>
      </w:r>
      <w:r w:rsidRPr="00970D9B">
        <w:t>see Tables A2a and</w:t>
      </w:r>
      <w:r>
        <w:t xml:space="preserve"> A2b</w:t>
      </w:r>
      <w:r w:rsidRPr="00E241C6">
        <w:t xml:space="preserve"> in Appendix </w:t>
      </w:r>
      <w:r w:rsidRPr="00ED1427">
        <w:t>A</w:t>
      </w:r>
      <w:r w:rsidRPr="00E241C6">
        <w:t>).</w:t>
      </w:r>
      <w:r>
        <w:t xml:space="preserve"> </w:t>
      </w:r>
      <w:r w:rsidRPr="00E241C6">
        <w:t>Th</w:t>
      </w:r>
      <w:r>
        <w:t xml:space="preserve">e dangers represented by these percentages </w:t>
      </w:r>
      <w:r w:rsidRPr="00E241C6">
        <w:t>should be addressed through a public health education campaign.</w:t>
      </w:r>
    </w:p>
    <w:p w:rsidR="00B0519B" w:rsidRDefault="00B0519B" w:rsidP="00B0519B">
      <w:pPr>
        <w:pStyle w:val="BodyText"/>
      </w:pPr>
      <w:r w:rsidRPr="00ED1427">
        <w:t>Americans with disabilities have long desired to participate fully in all aspects of recreation and culture.</w:t>
      </w:r>
      <w:r>
        <w:t xml:space="preserve"> </w:t>
      </w:r>
      <w:r w:rsidRPr="00ED1427">
        <w:t xml:space="preserve">Proposed </w:t>
      </w:r>
      <w:r>
        <w:t xml:space="preserve">ADA </w:t>
      </w:r>
      <w:r w:rsidRPr="00ED1427">
        <w:t>regulations</w:t>
      </w:r>
      <w:r w:rsidRPr="001C6B71">
        <w:rPr>
          <w:rStyle w:val="EndnoteReference"/>
        </w:rPr>
        <w:endnoteReference w:id="33"/>
      </w:r>
      <w:r w:rsidRPr="00ED1427">
        <w:t xml:space="preserve"> </w:t>
      </w:r>
      <w:r>
        <w:t xml:space="preserve">and </w:t>
      </w:r>
      <w:r w:rsidRPr="00304039">
        <w:t>the recently enacted 21st Century Communications and Video Accessibility Act</w:t>
      </w:r>
      <w:r w:rsidRPr="001C6B71">
        <w:rPr>
          <w:rStyle w:val="EndnoteReference"/>
        </w:rPr>
        <w:endnoteReference w:id="34"/>
      </w:r>
      <w:r w:rsidRPr="00ED1427">
        <w:t xml:space="preserve"> should greatly increase opportunities for disabled Americans to engage in social events such as </w:t>
      </w:r>
      <w:r>
        <w:t>concerts,</w:t>
      </w:r>
      <w:r w:rsidRPr="00E241C6">
        <w:t xml:space="preserve"> leisure </w:t>
      </w:r>
      <w:r>
        <w:t>activities,</w:t>
      </w:r>
      <w:r w:rsidRPr="00E241C6">
        <w:t xml:space="preserve"> and television and Internet programming</w:t>
      </w:r>
      <w:r>
        <w:t>. However,</w:t>
      </w:r>
      <w:r w:rsidRPr="00E241C6">
        <w:t xml:space="preserve"> accessibility and implementation continue to be slow and inconsistent.</w:t>
      </w:r>
      <w:r>
        <w:t xml:space="preserve"> </w:t>
      </w:r>
      <w:r w:rsidRPr="00E241C6">
        <w:t xml:space="preserve">Further attention is necessary to ensure </w:t>
      </w:r>
      <w:r>
        <w:t xml:space="preserve">that </w:t>
      </w:r>
      <w:r w:rsidRPr="00E241C6">
        <w:t>pe</w:t>
      </w:r>
      <w:r>
        <w:t>ople</w:t>
      </w:r>
      <w:r w:rsidRPr="00E241C6">
        <w:t xml:space="preserve"> with disabilities are included in leisure and recreation, from youth sports leagues to concerts, lectures</w:t>
      </w:r>
      <w:r>
        <w:t>,</w:t>
      </w:r>
      <w:r w:rsidRPr="00E241C6">
        <w:t xml:space="preserve"> and education to senior activities.</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101C2D">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101C2D">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13"/>
              </w:numPr>
              <w:ind w:left="425"/>
            </w:pPr>
            <w:r w:rsidRPr="00F05475">
              <w:t>The U.S. Department of Health and Human Services (HHS) should fund a comprehensive project to develop and disseminate model curricula for medical and health professions on disability cultural competency.</w:t>
            </w:r>
          </w:p>
          <w:p w:rsidR="00B0519B" w:rsidRPr="00F05475" w:rsidRDefault="00B0519B" w:rsidP="00101C2D">
            <w:pPr>
              <w:pStyle w:val="TableTextList"/>
              <w:ind w:left="425"/>
            </w:pPr>
            <w:r w:rsidRPr="00F05475">
              <w:t>HHS and the Centers for Disease Control and Prevention should conduct a national public awareness campaign focusing on the benefits of fitness and healthful lifestyles for people with disabilities and the need to make leisure and recreational activities accessible and inclusive.</w:t>
            </w:r>
          </w:p>
          <w:p w:rsidR="00B0519B" w:rsidRPr="00F05475" w:rsidRDefault="00B0519B" w:rsidP="00101C2D">
            <w:pPr>
              <w:pStyle w:val="TableTextList"/>
              <w:ind w:left="425"/>
            </w:pPr>
            <w:r w:rsidRPr="00F05475">
              <w:t xml:space="preserve">HHS should ensure the inclusion of people with disabilities within the definition of “medically underserved populations,” as well as within other relevant categories relating to the acknowledgment of disparities in access to health care </w:t>
            </w:r>
            <w:r w:rsidRPr="00F05475">
              <w:rPr>
                <w:rFonts w:eastAsia="Calibri"/>
              </w:rPr>
              <w:t>and equal access to research funding and related benefits aimed at decreasing health disparities</w:t>
            </w:r>
            <w:r w:rsidRPr="00F05475">
              <w:t>.</w:t>
            </w:r>
          </w:p>
          <w:p w:rsidR="00B0519B" w:rsidRPr="00F05475" w:rsidRDefault="00B0519B" w:rsidP="00101C2D">
            <w:pPr>
              <w:pStyle w:val="TableTextList"/>
              <w:spacing w:after="60"/>
              <w:ind w:left="432"/>
            </w:pPr>
            <w:r w:rsidRPr="00F05475">
              <w:t xml:space="preserve">HHS should work to ensure the inclusion of people with disabilities as an emphasis area in funding opportunities relating to health disparities, health professions, and other areas aimed at enhancing access to health care, </w:t>
            </w:r>
            <w:r w:rsidRPr="00F05475">
              <w:rPr>
                <w:rFonts w:eastAsia="Calibri"/>
              </w:rPr>
              <w:t>improving the quality of care, increasing available treatment and interventions, and decreasing health disparities</w:t>
            </w:r>
            <w:r w:rsidRPr="00F05475">
              <w:t>.</w:t>
            </w:r>
          </w:p>
        </w:tc>
      </w:tr>
    </w:tbl>
    <w:p w:rsidR="00B0519B" w:rsidRDefault="00B0519B" w:rsidP="00B0519B">
      <w:pPr>
        <w:pStyle w:val="Heading2"/>
      </w:pPr>
      <w:bookmarkStart w:id="21" w:name="_Toc304437141"/>
      <w:r>
        <w:lastRenderedPageBreak/>
        <w:t>Transportation</w:t>
      </w:r>
      <w:bookmarkEnd w:id="21"/>
    </w:p>
    <w:p w:rsidR="00B0519B" w:rsidRPr="00AA164F" w:rsidRDefault="00B0519B" w:rsidP="00B0519B">
      <w:pPr>
        <w:pStyle w:val="BodyText"/>
      </w:pPr>
      <w:r w:rsidRPr="00AA164F">
        <w:t>People with disabilities are more likely than people without disabilities to report that they have inadequate transportation. (34 percent versus 16 percent, respectively)</w:t>
      </w:r>
      <w:r w:rsidRPr="00F34820">
        <w:t>—</w:t>
      </w:r>
      <w:r w:rsidRPr="00AA164F">
        <w:t>a gap of 18 percentage points.</w:t>
      </w:r>
      <w:r w:rsidRPr="001C6B71">
        <w:rPr>
          <w:rStyle w:val="EndnoteReference"/>
        </w:rPr>
        <w:endnoteReference w:id="35"/>
      </w:r>
      <w:r>
        <w:t xml:space="preserve"> </w:t>
      </w:r>
      <w:r w:rsidRPr="00AA164F">
        <w:t xml:space="preserve">Transportation appears </w:t>
      </w:r>
      <w:r>
        <w:t>to be</w:t>
      </w:r>
      <w:r w:rsidRPr="00AA164F">
        <w:t xml:space="preserve"> a </w:t>
      </w:r>
      <w:r>
        <w:t xml:space="preserve">greater </w:t>
      </w:r>
      <w:r w:rsidRPr="00AA164F">
        <w:t>problem in 2010 for both people with and without disabilities</w:t>
      </w:r>
      <w:r>
        <w:t>,</w:t>
      </w:r>
      <w:r w:rsidRPr="00AA164F">
        <w:t xml:space="preserve"> </w:t>
      </w:r>
      <w:r>
        <w:t>increasing</w:t>
      </w:r>
      <w:r w:rsidRPr="00AA164F">
        <w:t xml:space="preserve"> from 30 percent in 2004 to 34 percent in 2010 for people with disabilities and from 13 percent in 2004 to 16</w:t>
      </w:r>
      <w:r>
        <w:t xml:space="preserve"> </w:t>
      </w:r>
      <w:r w:rsidRPr="00AA164F">
        <w:t>percent in 2010 for people without disabilities.</w:t>
      </w:r>
      <w:r w:rsidRPr="001C6B71">
        <w:rPr>
          <w:rStyle w:val="EndnoteReference"/>
        </w:rPr>
        <w:endnoteReference w:id="36"/>
      </w:r>
    </w:p>
    <w:p w:rsidR="00B0519B" w:rsidRPr="00AA164F" w:rsidRDefault="00B0519B" w:rsidP="00B0519B">
      <w:pPr>
        <w:pStyle w:val="BodyText"/>
      </w:pPr>
      <w:r>
        <w:t>The realities behind</w:t>
      </w:r>
      <w:r w:rsidRPr="00AA164F">
        <w:t xml:space="preserve"> these statistics </w:t>
      </w:r>
      <w:r>
        <w:t>reveal</w:t>
      </w:r>
      <w:r w:rsidRPr="00AA164F">
        <w:t xml:space="preserve"> lives severely limited by the lack of transportation</w:t>
      </w:r>
      <w:r>
        <w:t xml:space="preserve"> options</w:t>
      </w:r>
      <w:r w:rsidRPr="00AA164F">
        <w:t xml:space="preserve">. Some people with disabilities who </w:t>
      </w:r>
      <w:r>
        <w:t>would otherwise be able to work</w:t>
      </w:r>
      <w:r w:rsidRPr="00AA164F">
        <w:t xml:space="preserve"> cannot do so because of inadequate transportation. Others cannot shop, socialize, </w:t>
      </w:r>
      <w:r>
        <w:t>go to religious services</w:t>
      </w:r>
      <w:r w:rsidRPr="00AA164F">
        <w:t xml:space="preserve">, or even leave their homes. </w:t>
      </w:r>
      <w:r>
        <w:t>S</w:t>
      </w:r>
      <w:r w:rsidRPr="00AA164F">
        <w:t xml:space="preserve">ome individuals with disabilities who need medical services </w:t>
      </w:r>
      <w:r>
        <w:t>are confined to</w:t>
      </w:r>
      <w:r w:rsidRPr="00AA164F">
        <w:t xml:space="preserve"> institutions solely </w:t>
      </w:r>
      <w:r>
        <w:t>because of</w:t>
      </w:r>
      <w:r w:rsidRPr="00AA164F">
        <w:t xml:space="preserve"> the lack of safe, reliable transportation </w:t>
      </w:r>
      <w:r>
        <w:t xml:space="preserve">options </w:t>
      </w:r>
      <w:r w:rsidRPr="00AA164F">
        <w:t xml:space="preserve">to </w:t>
      </w:r>
      <w:r>
        <w:t xml:space="preserve">get them to </w:t>
      </w:r>
      <w:r w:rsidRPr="00AA164F">
        <w:t>needed medical services.</w:t>
      </w:r>
      <w:r w:rsidRPr="001C6B71">
        <w:rPr>
          <w:rStyle w:val="EndnoteReference"/>
        </w:rPr>
        <w:endnoteReference w:id="37"/>
      </w:r>
    </w:p>
    <w:p w:rsidR="00B0519B" w:rsidRPr="007A0AB4" w:rsidRDefault="00B0519B" w:rsidP="00B0519B">
      <w:pPr>
        <w:pStyle w:val="BodyText"/>
      </w:pPr>
      <w:r w:rsidRPr="00AA164F">
        <w:t xml:space="preserve">Transportation barriers faced by people with disabilities are not necessarily the ones </w:t>
      </w:r>
      <w:r>
        <w:t>getting</w:t>
      </w:r>
      <w:r w:rsidRPr="00AA164F">
        <w:t xml:space="preserve"> </w:t>
      </w:r>
      <w:r>
        <w:t xml:space="preserve">the most attention </w:t>
      </w:r>
      <w:r w:rsidRPr="00AA164F">
        <w:t>in policy debates. Often</w:t>
      </w:r>
      <w:r>
        <w:t>,</w:t>
      </w:r>
      <w:r w:rsidRPr="00AA164F">
        <w:t xml:space="preserve"> federal policy</w:t>
      </w:r>
      <w:r>
        <w:t xml:space="preserve">makers have </w:t>
      </w:r>
      <w:r w:rsidRPr="00AA164F">
        <w:t>focus</w:t>
      </w:r>
      <w:r>
        <w:t>ed</w:t>
      </w:r>
      <w:r w:rsidRPr="00AA164F">
        <w:t xml:space="preserve"> </w:t>
      </w:r>
      <w:r>
        <w:t xml:space="preserve">only </w:t>
      </w:r>
      <w:r w:rsidRPr="00AA164F">
        <w:t xml:space="preserve">on the transportation access requirements </w:t>
      </w:r>
      <w:r>
        <w:t>of</w:t>
      </w:r>
      <w:r w:rsidRPr="00AA164F">
        <w:t xml:space="preserve"> the ADA. The ADA </w:t>
      </w:r>
      <w:r>
        <w:t>led to</w:t>
      </w:r>
      <w:r w:rsidRPr="00AA164F">
        <w:t xml:space="preserve"> great improvements, but many compliance gaps remain that pose significant </w:t>
      </w:r>
      <w:r>
        <w:t xml:space="preserve">transportation </w:t>
      </w:r>
      <w:r w:rsidRPr="00AA164F">
        <w:t>problems for people with disabilities.</w:t>
      </w:r>
      <w:r>
        <w:t xml:space="preserve"> Additionally, b</w:t>
      </w:r>
      <w:r w:rsidRPr="00AA164F">
        <w:t xml:space="preserve">ecause the ADA merely requires that where public transportation is provided, it must be made accessible for people with disabilities, </w:t>
      </w:r>
      <w:r>
        <w:t xml:space="preserve">an absence of public transportation usually translates to no transportation at all for people with disabilities. </w:t>
      </w:r>
      <w:r w:rsidRPr="007A0AB4">
        <w:t>In rural areas, people with disabilities often become isolated and dependent on others</w:t>
      </w:r>
      <w:r>
        <w:t xml:space="preserve"> and are at a significant </w:t>
      </w:r>
      <w:r w:rsidRPr="007A0AB4">
        <w:t xml:space="preserve">disadvantage in their </w:t>
      </w:r>
      <w:r>
        <w:t>transportation</w:t>
      </w:r>
      <w:r w:rsidRPr="007A0AB4">
        <w:t xml:space="preserve"> options in our automobile-dependent society.</w:t>
      </w:r>
      <w:r>
        <w:t xml:space="preserve"> </w:t>
      </w:r>
    </w:p>
    <w:p w:rsidR="00B0519B" w:rsidRDefault="00B0519B" w:rsidP="00A12CA5">
      <w:pPr>
        <w:pStyle w:val="BodyText"/>
        <w:spacing w:after="0"/>
      </w:pPr>
      <w:r w:rsidRPr="007A0AB4">
        <w:rPr>
          <w:color w:val="000000"/>
        </w:rPr>
        <w:t>People with disabilities also continue to have difficulties with air travel.</w:t>
      </w:r>
      <w:r>
        <w:rPr>
          <w:color w:val="000000"/>
        </w:rPr>
        <w:t xml:space="preserve"> </w:t>
      </w:r>
      <w:r>
        <w:t>According to t</w:t>
      </w:r>
      <w:r w:rsidRPr="007A0AB4">
        <w:t xml:space="preserve">he </w:t>
      </w:r>
      <w:r>
        <w:t xml:space="preserve">U.S. </w:t>
      </w:r>
      <w:r w:rsidRPr="007A0AB4">
        <w:t>Depart</w:t>
      </w:r>
      <w:r w:rsidRPr="00AA164F">
        <w:t>ment of Transportation</w:t>
      </w:r>
      <w:r>
        <w:t xml:space="preserve">, </w:t>
      </w:r>
      <w:r w:rsidRPr="00AA164F">
        <w:t>airlines received 21,001 disability-related complaints in 2010, a 23 percent increase from the previous year.</w:t>
      </w:r>
      <w:r w:rsidRPr="001C6B71">
        <w:rPr>
          <w:rStyle w:val="EndnoteReference"/>
        </w:rPr>
        <w:endnoteReference w:id="38"/>
      </w:r>
      <w:r>
        <w:t xml:space="preserve"> I</w:t>
      </w:r>
      <w:r w:rsidRPr="00AA164F">
        <w:t>n 2009</w:t>
      </w:r>
      <w:r>
        <w:t>, some</w:t>
      </w:r>
      <w:r w:rsidRPr="00AA164F">
        <w:t xml:space="preserve"> 17,068 complaints were filed (a 22 percent increase from 2008)</w:t>
      </w:r>
      <w:r>
        <w:t>,</w:t>
      </w:r>
      <w:r w:rsidRPr="00AA164F">
        <w:t xml:space="preserve"> and 14,006 complaints were filed in 2008.</w:t>
      </w:r>
      <w:r w:rsidRPr="001C6B71">
        <w:rPr>
          <w:rStyle w:val="EndnoteReference"/>
        </w:rPr>
        <w:endnoteReference w:id="39"/>
      </w:r>
      <w:r>
        <w:t xml:space="preserve"> </w:t>
      </w:r>
      <w:r w:rsidRPr="00AA164F">
        <w:t xml:space="preserve">More than half of the complaints received in 2010 concerned </w:t>
      </w:r>
      <w:r>
        <w:t xml:space="preserve">the </w:t>
      </w:r>
      <w:r w:rsidRPr="00AA164F">
        <w:t xml:space="preserve">failure </w:t>
      </w:r>
      <w:r w:rsidRPr="00AA164F">
        <w:lastRenderedPageBreak/>
        <w:t xml:space="preserve">to provide adequate assistance to </w:t>
      </w:r>
      <w:r>
        <w:t>wheelchair users</w:t>
      </w:r>
      <w:r w:rsidRPr="00AA164F">
        <w:t>.</w:t>
      </w:r>
      <w:r w:rsidRPr="001C6B71">
        <w:rPr>
          <w:rStyle w:val="EndnoteReference"/>
        </w:rPr>
        <w:endnoteReference w:id="40"/>
      </w:r>
      <w:r w:rsidRPr="00AA164F">
        <w:t xml:space="preserve"> </w:t>
      </w:r>
      <w:r>
        <w:t>Additional c</w:t>
      </w:r>
      <w:r w:rsidRPr="00AA164F">
        <w:t xml:space="preserve">omplaints </w:t>
      </w:r>
      <w:r>
        <w:t xml:space="preserve">alleged refusal to allow boarding, denial of boarding without an attendant, </w:t>
      </w:r>
      <w:r w:rsidRPr="00AA164F">
        <w:t xml:space="preserve">security issues concerning </w:t>
      </w:r>
      <w:r>
        <w:t xml:space="preserve">the </w:t>
      </w:r>
      <w:r w:rsidRPr="00AA164F">
        <w:t xml:space="preserve">disability, aircraft </w:t>
      </w:r>
      <w:r>
        <w:t>in</w:t>
      </w:r>
      <w:r w:rsidRPr="00AA164F">
        <w:t>accessib</w:t>
      </w:r>
      <w:r>
        <w:t>i</w:t>
      </w:r>
      <w:r w:rsidRPr="00AA164F">
        <w:t>l</w:t>
      </w:r>
      <w:r>
        <w:t>ity</w:t>
      </w:r>
      <w:r w:rsidRPr="00AA164F">
        <w:t xml:space="preserve">, airport </w:t>
      </w:r>
      <w:r>
        <w:t>in</w:t>
      </w:r>
      <w:r w:rsidRPr="00AA164F">
        <w:t>accessib</w:t>
      </w:r>
      <w:r>
        <w:t>i</w:t>
      </w:r>
      <w:r w:rsidRPr="00AA164F">
        <w:t>l</w:t>
      </w:r>
      <w:r>
        <w:t>ity</w:t>
      </w:r>
      <w:r w:rsidRPr="00AA164F">
        <w:t xml:space="preserve">, </w:t>
      </w:r>
      <w:r>
        <w:t xml:space="preserve">disputes about </w:t>
      </w:r>
      <w:r w:rsidRPr="00AA164F">
        <w:t>advance</w:t>
      </w:r>
      <w:r>
        <w:t xml:space="preserve"> </w:t>
      </w:r>
      <w:r w:rsidRPr="00AA164F">
        <w:t>notice, seating accommodation</w:t>
      </w:r>
      <w:r>
        <w:t>s</w:t>
      </w:r>
      <w:r w:rsidRPr="00AA164F">
        <w:t>, damage to assistive device, storage or delay of assistive device, service animal problem, and unsatisfactory information.</w:t>
      </w:r>
      <w:r>
        <w:t xml:space="preserve"> </w:t>
      </w:r>
    </w:p>
    <w:tbl>
      <w:tblPr>
        <w:tblW w:w="0" w:type="auto"/>
        <w:tblLook w:val="04A0" w:firstRow="1" w:lastRow="0" w:firstColumn="1" w:lastColumn="0" w:noHBand="0" w:noVBand="1"/>
      </w:tblPr>
      <w:tblGrid>
        <w:gridCol w:w="9576"/>
      </w:tblGrid>
      <w:tr w:rsidR="00A12CA5" w:rsidRPr="003F5D93" w:rsidTr="00546BAD">
        <w:trPr>
          <w:trHeight w:hRule="exact" w:val="288"/>
        </w:trPr>
        <w:tc>
          <w:tcPr>
            <w:tcW w:w="9576" w:type="dxa"/>
          </w:tcPr>
          <w:p w:rsidR="00A12CA5" w:rsidRPr="00544DFD" w:rsidRDefault="00A12CA5" w:rsidP="00A12CA5">
            <w:pPr>
              <w:pStyle w:val="BodyText"/>
              <w:spacing w:after="0" w:line="240" w:lineRule="auto"/>
              <w:rPr>
                <w:color w:val="FFFFFF"/>
                <w:sz w:val="16"/>
                <w:szCs w:val="16"/>
              </w:rPr>
            </w:pPr>
            <w:r w:rsidRPr="00544DFD">
              <w:rPr>
                <w:color w:val="FFFFFF"/>
                <w:sz w:val="16"/>
                <w:szCs w:val="16"/>
              </w:rPr>
              <w:t>Begin highlighted text:</w:t>
            </w:r>
          </w:p>
        </w:tc>
      </w:tr>
      <w:tr w:rsidR="00A12CA5" w:rsidRPr="003F5D93" w:rsidTr="00A12CA5">
        <w:tc>
          <w:tcPr>
            <w:tcW w:w="9576" w:type="dxa"/>
          </w:tcPr>
          <w:p w:rsidR="00A12CA5" w:rsidRPr="00C474AE" w:rsidRDefault="00A12CA5" w:rsidP="00A12CA5">
            <w:pPr>
              <w:pStyle w:val="NCDPullquote"/>
              <w:spacing w:after="0"/>
              <w:ind w:left="806"/>
            </w:pPr>
            <w:r w:rsidRPr="00D34D21">
              <w:t>According to the U.S. Department of Transportation, airlines received 21,001 disability-related complaints in 2010, a 23 percent increase from the previous year.</w:t>
            </w:r>
          </w:p>
        </w:tc>
      </w:tr>
      <w:tr w:rsidR="00A12CA5" w:rsidRPr="003F5D93" w:rsidTr="00546BAD">
        <w:trPr>
          <w:trHeight w:hRule="exact" w:val="432"/>
        </w:trPr>
        <w:tc>
          <w:tcPr>
            <w:tcW w:w="9576" w:type="dxa"/>
          </w:tcPr>
          <w:p w:rsidR="00A12CA5" w:rsidRPr="00544DFD" w:rsidRDefault="00A12CA5" w:rsidP="00A12CA5">
            <w:pPr>
              <w:pStyle w:val="BodyText"/>
              <w:spacing w:after="120" w:line="240" w:lineRule="auto"/>
              <w:rPr>
                <w:color w:val="FFFFFF"/>
                <w:sz w:val="16"/>
                <w:szCs w:val="16"/>
              </w:rPr>
            </w:pPr>
            <w:r w:rsidRPr="00544DFD">
              <w:rPr>
                <w:color w:val="FFFFFF"/>
                <w:sz w:val="16"/>
                <w:szCs w:val="16"/>
              </w:rPr>
              <w:t>End highlighted text.</w:t>
            </w:r>
          </w:p>
        </w:tc>
      </w:tr>
    </w:tbl>
    <w:p w:rsidR="00B0519B" w:rsidRDefault="00B0519B" w:rsidP="00B0519B">
      <w:pPr>
        <w:pStyle w:val="BodyText"/>
      </w:pPr>
      <w:r w:rsidRPr="00AA164F">
        <w:t>As we approach the 25</w:t>
      </w:r>
      <w:r w:rsidRPr="00F34820">
        <w:t>th</w:t>
      </w:r>
      <w:r w:rsidRPr="00AA164F">
        <w:t xml:space="preserve"> anniversary of the Air Carrier Access Act</w:t>
      </w:r>
      <w:r>
        <w:t xml:space="preserve"> (ACAA)</w:t>
      </w:r>
      <w:r w:rsidRPr="00AA164F">
        <w:t>,</w:t>
      </w:r>
      <w:r w:rsidRPr="001C6B71">
        <w:rPr>
          <w:rStyle w:val="EndnoteReference"/>
        </w:rPr>
        <w:endnoteReference w:id="41"/>
      </w:r>
      <w:r w:rsidRPr="00AA164F">
        <w:t xml:space="preserve"> it is time to revisit the ACAA</w:t>
      </w:r>
      <w:r>
        <w:t>, and its</w:t>
      </w:r>
      <w:r w:rsidRPr="00AA164F">
        <w:t xml:space="preserve"> regulations and enforcement</w:t>
      </w:r>
      <w:r>
        <w:t>,</w:t>
      </w:r>
      <w:r w:rsidRPr="00AA164F">
        <w:t xml:space="preserve"> to determine why </w:t>
      </w:r>
      <w:r>
        <w:t xml:space="preserve">discriminatory service </w:t>
      </w:r>
      <w:r w:rsidRPr="00AA164F">
        <w:t>in this important transportation sector</w:t>
      </w:r>
      <w:r>
        <w:t xml:space="preserve"> persists</w:t>
      </w:r>
      <w:r w:rsidRPr="00AA164F">
        <w:t>.</w:t>
      </w:r>
      <w:r>
        <w:t xml:space="preserve"> </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101C2D">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101C2D">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14"/>
              </w:numPr>
              <w:ind w:left="425"/>
            </w:pPr>
            <w:r w:rsidRPr="00F05475">
              <w:t>Congress should adopt flexible policies for making transportation available to people with disabilities beyond the public transportation system.</w:t>
            </w:r>
          </w:p>
          <w:p w:rsidR="00B0519B" w:rsidRPr="00F05475" w:rsidRDefault="00B0519B" w:rsidP="00101C2D">
            <w:pPr>
              <w:pStyle w:val="TableTextList"/>
              <w:ind w:left="425"/>
            </w:pPr>
            <w:r w:rsidRPr="00F05475">
              <w:t>Congress should hold a hearing to examine the experiences of air travelers with disabilities, industry best practices, and enforcement activities by the U.S. Department of Transportation and develop corrective actions to make nondiscrimination in air travel a reality.</w:t>
            </w:r>
          </w:p>
          <w:p w:rsidR="00B0519B" w:rsidRPr="00F05475" w:rsidRDefault="00B0519B" w:rsidP="00101C2D">
            <w:pPr>
              <w:pStyle w:val="TableTextList"/>
              <w:spacing w:after="60"/>
              <w:ind w:left="432"/>
            </w:pPr>
            <w:r w:rsidRPr="00F05475">
              <w:t>The Transportation Security Administration should work to ensure the accessibility of aviation security screenings for all people with disabilities, including wheelchair users and those with invisible disabilities.</w:t>
            </w:r>
          </w:p>
        </w:tc>
      </w:tr>
    </w:tbl>
    <w:p w:rsidR="00B0519B" w:rsidRPr="00E44ACA" w:rsidRDefault="00B0519B" w:rsidP="00B0519B">
      <w:pPr>
        <w:pStyle w:val="Heading2"/>
      </w:pPr>
      <w:bookmarkStart w:id="22" w:name="_Toc304437142"/>
      <w:r w:rsidRPr="00E44ACA">
        <w:t>State of Emergency Management and Disability</w:t>
      </w:r>
      <w:bookmarkEnd w:id="22"/>
      <w:r w:rsidRPr="00E44ACA">
        <w:t xml:space="preserve"> </w:t>
      </w:r>
    </w:p>
    <w:p w:rsidR="00B0519B" w:rsidRPr="008A404E" w:rsidRDefault="00B0519B" w:rsidP="00B0519B">
      <w:pPr>
        <w:pStyle w:val="BodyText"/>
      </w:pPr>
      <w:r w:rsidRPr="008A404E">
        <w:t>With earthquakes, tsunamis, tornados, excessive heat</w:t>
      </w:r>
      <w:r>
        <w:t>,</w:t>
      </w:r>
      <w:r w:rsidRPr="008A404E">
        <w:t xml:space="preserve"> and beyond, 2011 has been a year of devastating emergencies in the United States and worldwide. Historically, the United States has had a poor track record in emergency preparedness for people with disabilities</w:t>
      </w:r>
      <w:r w:rsidRPr="00F34820">
        <w:t>—</w:t>
      </w:r>
      <w:r w:rsidRPr="008A404E">
        <w:t xml:space="preserve">unnecessary separation from families; loss of independence resulting in institutionalization; inaccessible emergency transportation, communication, housing, </w:t>
      </w:r>
      <w:r w:rsidRPr="008A404E">
        <w:lastRenderedPageBreak/>
        <w:t xml:space="preserve">and medical care; and loss of life that could have been avoided. </w:t>
      </w:r>
      <w:r>
        <w:t>An e</w:t>
      </w:r>
      <w:r w:rsidRPr="008A404E">
        <w:t xml:space="preserve">xample </w:t>
      </w:r>
      <w:r>
        <w:t xml:space="preserve">is </w:t>
      </w:r>
      <w:r w:rsidRPr="008A404E">
        <w:t>a deaf couple in Athens, Alabama, who narrowly escaped when a tornado destroyed their home.</w:t>
      </w:r>
      <w:r>
        <w:t xml:space="preserve"> </w:t>
      </w:r>
      <w:r w:rsidRPr="008A404E">
        <w:t xml:space="preserve">With the electricity off and unable to hear the tornado or audible warnings, they did not have access to </w:t>
      </w:r>
      <w:r>
        <w:t>audible alerts that</w:t>
      </w:r>
      <w:r w:rsidRPr="008A404E">
        <w:t xml:space="preserve"> protected the hearing community.</w:t>
      </w:r>
      <w:r w:rsidRPr="001C6B71">
        <w:rPr>
          <w:rStyle w:val="EndnoteReference"/>
        </w:rPr>
        <w:endnoteReference w:id="42"/>
      </w:r>
    </w:p>
    <w:p w:rsidR="00B0519B" w:rsidRPr="008A404E" w:rsidRDefault="00B0519B" w:rsidP="00B0519B">
      <w:pPr>
        <w:pStyle w:val="BodyText"/>
      </w:pPr>
      <w:r w:rsidRPr="008A404E">
        <w:t>In the United States, national efforts to improve outcomes for people with disabilities in emergencies</w:t>
      </w:r>
      <w:r>
        <w:t xml:space="preserve"> have become </w:t>
      </w:r>
      <w:r w:rsidRPr="008A404E">
        <w:t>increasingly urgent.</w:t>
      </w:r>
      <w:r>
        <w:t xml:space="preserve"> </w:t>
      </w:r>
      <w:r w:rsidRPr="008A404E">
        <w:t xml:space="preserve">In response to Executive Order 13347, </w:t>
      </w:r>
      <w:r w:rsidRPr="008A404E">
        <w:rPr>
          <w:i/>
        </w:rPr>
        <w:t>Individuals with Disabilities in Emergency Preparedness</w:t>
      </w:r>
      <w:r w:rsidRPr="008A404E">
        <w:t>, member agencies of the Federal Interagency Coordinating Council on Emergency Preparedness and Individuals with Disabilities (ICC) coordinate on a multitude of concerns, addressing health, transportation</w:t>
      </w:r>
      <w:r>
        <w:t>,</w:t>
      </w:r>
      <w:r w:rsidRPr="008A404E">
        <w:t xml:space="preserve"> and other critical areas.</w:t>
      </w:r>
      <w:r>
        <w:t xml:space="preserve"> </w:t>
      </w:r>
      <w:r w:rsidRPr="008A404E">
        <w:t>The Federal Emergency Management Agency (FEMA) now has an Office of Disability Integration and Coordination, with staff in headquarters and most of its 10 regions.</w:t>
      </w:r>
      <w:r>
        <w:t xml:space="preserve"> </w:t>
      </w:r>
      <w:r w:rsidRPr="008A404E">
        <w:t>The U.S. Department of Justice is providing increased technical assistance and enforcement of civil rights laws covering disability access in emergency management.</w:t>
      </w:r>
      <w:r>
        <w:t xml:space="preserve"> </w:t>
      </w:r>
      <w:r w:rsidRPr="008A404E">
        <w:t>State, local</w:t>
      </w:r>
      <w:r>
        <w:t>,</w:t>
      </w:r>
      <w:r w:rsidRPr="008A404E">
        <w:t xml:space="preserve"> and tribal governments</w:t>
      </w:r>
      <w:r>
        <w:t>,</w:t>
      </w:r>
      <w:r w:rsidRPr="008A404E">
        <w:t xml:space="preserve"> as well as private entities</w:t>
      </w:r>
      <w:r>
        <w:t>,</w:t>
      </w:r>
      <w:r w:rsidRPr="008A404E">
        <w:t xml:space="preserve"> also are showing increased attention to these important matters, including implementation of the recommendations issued </w:t>
      </w:r>
      <w:r>
        <w:t xml:space="preserve">in </w:t>
      </w:r>
      <w:r w:rsidRPr="00D322B4">
        <w:rPr>
          <w:rStyle w:val="Emphasis"/>
          <w:rFonts w:cs="Arial"/>
          <w:i w:val="0"/>
        </w:rPr>
        <w:t>August</w:t>
      </w:r>
      <w:r w:rsidRPr="00F34820">
        <w:rPr>
          <w:i/>
        </w:rPr>
        <w:t xml:space="preserve"> </w:t>
      </w:r>
      <w:r>
        <w:t xml:space="preserve">2009 </w:t>
      </w:r>
      <w:r w:rsidRPr="008A404E">
        <w:t xml:space="preserve">by NCD in </w:t>
      </w:r>
      <w:r w:rsidRPr="008A404E">
        <w:rPr>
          <w:rStyle w:val="Emphasis"/>
          <w:rFonts w:cs="Arial"/>
        </w:rPr>
        <w:t>Effective Emergency Management: Making Improvements for Communities and People with Disabilities</w:t>
      </w:r>
      <w:r>
        <w:rPr>
          <w:rStyle w:val="Emphasis"/>
          <w:rFonts w:cs="Arial"/>
        </w:rPr>
        <w:t xml:space="preserve">. </w:t>
      </w:r>
    </w:p>
    <w:p w:rsidR="00B0519B" w:rsidRPr="00F57A5E" w:rsidRDefault="00B0519B" w:rsidP="00B0519B">
      <w:pPr>
        <w:pStyle w:val="BodyText"/>
      </w:pPr>
      <w:r w:rsidRPr="008A404E">
        <w:t xml:space="preserve">However, national efforts </w:t>
      </w:r>
      <w:r>
        <w:t xml:space="preserve">have been delayed and are fraught with </w:t>
      </w:r>
      <w:r w:rsidRPr="00F57A5E">
        <w:t>challenges.</w:t>
      </w:r>
      <w:r>
        <w:t xml:space="preserve"> </w:t>
      </w:r>
      <w:r w:rsidRPr="00F57A5E">
        <w:t>Despite the integration mandate in the</w:t>
      </w:r>
      <w:r>
        <w:t xml:space="preserve"> ADA,</w:t>
      </w:r>
      <w:r w:rsidRPr="00F57A5E">
        <w:t xml:space="preserve"> many efforts to </w:t>
      </w:r>
      <w:r>
        <w:t>integrate</w:t>
      </w:r>
      <w:r w:rsidRPr="00F57A5E">
        <w:t xml:space="preserve"> people with disabilities in emergency situations focus on separate, </w:t>
      </w:r>
      <w:r>
        <w:t>“</w:t>
      </w:r>
      <w:r w:rsidRPr="00F57A5E">
        <w:t>special needs</w:t>
      </w:r>
      <w:r>
        <w:t>”</w:t>
      </w:r>
      <w:r w:rsidRPr="00F57A5E">
        <w:t xml:space="preserve"> solutions</w:t>
      </w:r>
      <w:r>
        <w:t>,</w:t>
      </w:r>
      <w:r w:rsidRPr="00F57A5E">
        <w:t xml:space="preserve"> which lead to segregation, separation, and discrimination.</w:t>
      </w:r>
      <w:r>
        <w:t xml:space="preserve"> </w:t>
      </w:r>
      <w:r w:rsidRPr="00F57A5E">
        <w:t xml:space="preserve">Despite the </w:t>
      </w:r>
      <w:r>
        <w:t>increased a</w:t>
      </w:r>
      <w:r w:rsidRPr="00F57A5E">
        <w:t xml:space="preserve">ctivity (efforts to provide checklists, </w:t>
      </w:r>
      <w:r>
        <w:t>“</w:t>
      </w:r>
      <w:r w:rsidRPr="00F57A5E">
        <w:t>how-to</w:t>
      </w:r>
      <w:r>
        <w:t>”</w:t>
      </w:r>
      <w:r w:rsidRPr="00F57A5E">
        <w:t xml:space="preserve"> guides, and trainings to emergency managers, schools, nursing homes</w:t>
      </w:r>
      <w:r>
        <w:t>,</w:t>
      </w:r>
      <w:r w:rsidRPr="00F57A5E">
        <w:t xml:space="preserve"> and others), research-based knowledge to support these activities</w:t>
      </w:r>
      <w:r>
        <w:t xml:space="preserve"> is </w:t>
      </w:r>
      <w:r w:rsidRPr="00F57A5E">
        <w:t>severe</w:t>
      </w:r>
      <w:r>
        <w:t>ly</w:t>
      </w:r>
      <w:r w:rsidRPr="00F57A5E">
        <w:t xml:space="preserve"> lack</w:t>
      </w:r>
      <w:r>
        <w:t>ing</w:t>
      </w:r>
      <w:r w:rsidRPr="00F57A5E">
        <w:t>.</w:t>
      </w:r>
      <w:r>
        <w:t xml:space="preserve"> </w:t>
      </w:r>
      <w:r w:rsidRPr="00F57A5E">
        <w:t>NCD, the ICC</w:t>
      </w:r>
      <w:r>
        <w:t>,</w:t>
      </w:r>
      <w:r w:rsidRPr="00F57A5E">
        <w:t xml:space="preserve"> and others have repeatedly reported on this lack of research since as early as 2005</w:t>
      </w:r>
      <w:r>
        <w:t>.</w:t>
      </w:r>
      <w:r w:rsidRPr="001C6B71">
        <w:rPr>
          <w:rStyle w:val="EndnoteReference"/>
        </w:rPr>
        <w:endnoteReference w:id="43"/>
      </w:r>
      <w:r>
        <w:t xml:space="preserve"> </w:t>
      </w:r>
      <w:r w:rsidRPr="008A404E">
        <w:t xml:space="preserve">Without strong, reliable information, our national efforts </w:t>
      </w:r>
      <w:r>
        <w:t xml:space="preserve">must depend </w:t>
      </w:r>
      <w:r w:rsidRPr="008A404E">
        <w:t>on best guesses and good intentions rather than fact</w:t>
      </w:r>
      <w:r>
        <w:t>s</w:t>
      </w:r>
      <w:r w:rsidRPr="008A404E">
        <w:t>.</w:t>
      </w:r>
      <w:r>
        <w:t xml:space="preserve"> </w:t>
      </w:r>
      <w:r w:rsidRPr="008A404E">
        <w:t xml:space="preserve">The National Institute on Disability and Rehabilitation Research and several other </w:t>
      </w:r>
      <w:r>
        <w:t>f</w:t>
      </w:r>
      <w:r w:rsidRPr="008A404E">
        <w:t>ederal agencies have provided funding f</w:t>
      </w:r>
      <w:r w:rsidRPr="00F57A5E">
        <w:t xml:space="preserve">or research and development projects, but the number </w:t>
      </w:r>
      <w:r w:rsidRPr="00F57A5E">
        <w:lastRenderedPageBreak/>
        <w:t xml:space="preserve">of </w:t>
      </w:r>
      <w:r>
        <w:t>f</w:t>
      </w:r>
      <w:r w:rsidRPr="00F57A5E">
        <w:t xml:space="preserve">ederal projects being funded and the number of participating agencies </w:t>
      </w:r>
      <w:r>
        <w:t xml:space="preserve">remain </w:t>
      </w:r>
      <w:r w:rsidRPr="00F57A5E">
        <w:t xml:space="preserve">at unacceptably </w:t>
      </w:r>
      <w:r>
        <w:t>low</w:t>
      </w:r>
      <w:r w:rsidRPr="00F57A5E">
        <w:t xml:space="preserve"> levels.</w:t>
      </w:r>
      <w:r>
        <w:t xml:space="preserve"> </w:t>
      </w:r>
      <w:r w:rsidRPr="00F57A5E">
        <w:t>Federal budget concerns may lead to decreased capacity to fund new projects specific to emergency management and disability.</w:t>
      </w:r>
    </w:p>
    <w:p w:rsidR="00B0519B" w:rsidRPr="00F57A5E" w:rsidRDefault="00B0519B" w:rsidP="00B0519B">
      <w:pPr>
        <w:pStyle w:val="BodyText"/>
        <w:ind w:right="-180"/>
      </w:pPr>
      <w:r w:rsidRPr="00F57A5E">
        <w:t>Despite the lack of evidence-based practices to inform our national efforts, some progress has been made in discre</w:t>
      </w:r>
      <w:r>
        <w:t>te</w:t>
      </w:r>
      <w:r w:rsidRPr="00F57A5E">
        <w:t xml:space="preserve"> </w:t>
      </w:r>
      <w:r>
        <w:t>areas</w:t>
      </w:r>
      <w:r w:rsidRPr="00F57A5E">
        <w:t xml:space="preserve"> across the nation to develop knowledge and best practices.</w:t>
      </w:r>
      <w:r>
        <w:t xml:space="preserve"> </w:t>
      </w:r>
      <w:r w:rsidRPr="00F57A5E">
        <w:t xml:space="preserve">For example, the Research and Training Center on Independent Living at </w:t>
      </w:r>
      <w:r>
        <w:t xml:space="preserve">the </w:t>
      </w:r>
      <w:r w:rsidRPr="00F57A5E">
        <w:t xml:space="preserve">University </w:t>
      </w:r>
      <w:r>
        <w:t xml:space="preserve">of </w:t>
      </w:r>
      <w:r w:rsidRPr="00F57A5E">
        <w:t xml:space="preserve">Kansas and </w:t>
      </w:r>
      <w:r>
        <w:t xml:space="preserve">the </w:t>
      </w:r>
      <w:r w:rsidRPr="00F57A5E">
        <w:t xml:space="preserve">Kansas Department of Health and Environment created an interactive </w:t>
      </w:r>
      <w:r w:rsidRPr="00F57A5E">
        <w:rPr>
          <w:bCs/>
        </w:rPr>
        <w:t>clearinghouse</w:t>
      </w:r>
      <w:r w:rsidRPr="00F57A5E">
        <w:t xml:space="preserve"> of best practices relevant to disaster and the health, safety, and disability communities.</w:t>
      </w:r>
      <w:r>
        <w:t xml:space="preserve"> </w:t>
      </w:r>
      <w:r w:rsidRPr="00F57A5E">
        <w:t xml:space="preserve">This website </w:t>
      </w:r>
      <w:r>
        <w:t>(</w:t>
      </w:r>
      <w:hyperlink r:id="rId20" w:history="1">
        <w:r w:rsidRPr="00725DF1">
          <w:rPr>
            <w:rStyle w:val="Hyperlink"/>
            <w:rFonts w:eastAsia="Calibri" w:cs="Arial"/>
          </w:rPr>
          <w:t>http://www.disabilityprepared.ku.edu</w:t>
        </w:r>
      </w:hyperlink>
      <w:r>
        <w:t xml:space="preserve">) </w:t>
      </w:r>
      <w:r w:rsidRPr="00F57A5E">
        <w:t xml:space="preserve">allows communities to </w:t>
      </w:r>
      <w:r>
        <w:t>share</w:t>
      </w:r>
      <w:r w:rsidRPr="00F57A5E">
        <w:t xml:space="preserve"> best practices across multiple areas related to emergency management and allows members to communicate </w:t>
      </w:r>
      <w:r>
        <w:t>through</w:t>
      </w:r>
      <w:r w:rsidRPr="00F57A5E">
        <w:t xml:space="preserve"> social media sites.</w:t>
      </w:r>
      <w:r>
        <w:t xml:space="preserve"> </w:t>
      </w:r>
      <w:r w:rsidRPr="00F57A5E">
        <w:t>In September 2011</w:t>
      </w:r>
      <w:r>
        <w:t>,</w:t>
      </w:r>
      <w:r w:rsidRPr="00F57A5E">
        <w:t xml:space="preserve"> the F</w:t>
      </w:r>
      <w:r>
        <w:t>EMA,</w:t>
      </w:r>
      <w:r w:rsidRPr="00F57A5E">
        <w:t xml:space="preserve"> in collaboration with NCD, </w:t>
      </w:r>
      <w:r>
        <w:t>hosted</w:t>
      </w:r>
      <w:r w:rsidRPr="00F57A5E">
        <w:t xml:space="preserve"> the </w:t>
      </w:r>
      <w:r>
        <w:t>“</w:t>
      </w:r>
      <w:r w:rsidRPr="00F57A5E">
        <w:t>Getting Real II Conference</w:t>
      </w:r>
      <w:r w:rsidRPr="00F34820">
        <w:t>—</w:t>
      </w:r>
      <w:r w:rsidRPr="00F57A5E">
        <w:t>Promising Practices in Inclusive Emergency Management for the Whole Community.</w:t>
      </w:r>
      <w:r>
        <w:t xml:space="preserve">” </w:t>
      </w:r>
      <w:r w:rsidRPr="00F57A5E">
        <w:t>More effort, research</w:t>
      </w:r>
      <w:r>
        <w:t>,</w:t>
      </w:r>
      <w:r w:rsidRPr="00F57A5E">
        <w:t xml:space="preserve"> and collaboration along these lines </w:t>
      </w:r>
      <w:r>
        <w:t>are</w:t>
      </w:r>
      <w:r w:rsidRPr="00F57A5E">
        <w:t xml:space="preserve"> needed across the </w:t>
      </w:r>
      <w:r>
        <w:t>nation</w:t>
      </w:r>
      <w:r w:rsidRPr="00F57A5E">
        <w:t>.</w:t>
      </w:r>
    </w:p>
    <w:p w:rsidR="00B0519B" w:rsidRDefault="00B0519B" w:rsidP="00B0519B">
      <w:pPr>
        <w:pStyle w:val="BodyText"/>
      </w:pPr>
      <w:r>
        <w:t>P</w:t>
      </w:r>
      <w:r w:rsidRPr="00F57A5E">
        <w:t>rogress</w:t>
      </w:r>
      <w:r>
        <w:t xml:space="preserve"> is impeded by</w:t>
      </w:r>
      <w:r w:rsidRPr="00F57A5E">
        <w:t xml:space="preserve"> </w:t>
      </w:r>
      <w:r>
        <w:t xml:space="preserve">the </w:t>
      </w:r>
      <w:r w:rsidRPr="00F57A5E">
        <w:t>continue</w:t>
      </w:r>
      <w:r>
        <w:t>d</w:t>
      </w:r>
      <w:r w:rsidRPr="00F57A5E">
        <w:t xml:space="preserve"> unacceptable </w:t>
      </w:r>
      <w:r>
        <w:t>“</w:t>
      </w:r>
      <w:r w:rsidRPr="00F57A5E">
        <w:t>silo</w:t>
      </w:r>
      <w:r>
        <w:t>”</w:t>
      </w:r>
      <w:r w:rsidRPr="00F57A5E">
        <w:t xml:space="preserve"> approach to emergency management and disability. Technologies, ideas, and plans continue to be developed for the emergency management community or the disability community, rather than </w:t>
      </w:r>
      <w:r>
        <w:t>inclusively integrating</w:t>
      </w:r>
      <w:r w:rsidRPr="0042118B">
        <w:t xml:space="preserve"> the </w:t>
      </w:r>
      <w:r>
        <w:t>“</w:t>
      </w:r>
      <w:r w:rsidRPr="0042118B">
        <w:t>whole</w:t>
      </w:r>
      <w:r>
        <w:t>”</w:t>
      </w:r>
      <w:r w:rsidRPr="0042118B">
        <w:t xml:space="preserve"> community</w:t>
      </w:r>
      <w:r>
        <w:t>.</w:t>
      </w:r>
      <w:r w:rsidRPr="001C6B71">
        <w:rPr>
          <w:rStyle w:val="EndnoteReference"/>
        </w:rPr>
        <w:endnoteReference w:id="44"/>
      </w:r>
      <w:r>
        <w:t xml:space="preserve"> This approach results in a national emergency management system resigned to playing catch up because it was not designed for all participants. </w:t>
      </w:r>
    </w:p>
    <w:p w:rsidR="00B0519B" w:rsidRDefault="00B0519B" w:rsidP="00B0519B">
      <w:pPr>
        <w:pStyle w:val="BodyText"/>
      </w:pPr>
      <w:r>
        <w:t>Additionally, most resources address evacuating and serving people with disabilities in shelters. In many cases, however, people with disabilities are left behind or are advised to shelter in place.</w:t>
      </w:r>
      <w:r w:rsidRPr="001C6B71">
        <w:rPr>
          <w:rStyle w:val="EndnoteReference"/>
        </w:rPr>
        <w:endnoteReference w:id="45"/>
      </w:r>
      <w:r>
        <w:t xml:space="preserve"> More resources are needed to assist people with disabilities in planning for emergencies, particularly people who stay in place during a disaster.</w:t>
      </w:r>
      <w:r w:rsidRPr="008A404E">
        <w:t xml:space="preserve"> </w:t>
      </w:r>
    </w:p>
    <w:p w:rsidR="00B0519B" w:rsidRDefault="00B0519B" w:rsidP="00B0519B">
      <w:pPr>
        <w:pStyle w:val="BodyText"/>
      </w:pPr>
      <w:r w:rsidRPr="008A404E">
        <w:t>The Office of Disability Integration and Coordination at F</w:t>
      </w:r>
      <w:r w:rsidRPr="00F57A5E">
        <w:t>EMA is working to facilitate a fully integrated approach. Unfortunately, this office does not have sufficient staff or resources to meet this critical national need.</w:t>
      </w:r>
      <w:r w:rsidRPr="001C6B71">
        <w:rPr>
          <w:rStyle w:val="EndnoteReference"/>
        </w:rPr>
        <w:endnoteReference w:id="46"/>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16"/>
              </w:numPr>
              <w:ind w:left="425"/>
            </w:pPr>
            <w:r w:rsidRPr="00F05475">
              <w:t xml:space="preserve">The President should issue an Executive Order requiring all federal agencies that conduct or fund research, development, or demonstration projects related to emergency management to </w:t>
            </w:r>
          </w:p>
          <w:p w:rsidR="00B0519B" w:rsidRPr="00F05475" w:rsidRDefault="00B0519B" w:rsidP="00101C2D">
            <w:pPr>
              <w:pStyle w:val="TableTextList2"/>
              <w:ind w:left="785"/>
            </w:pPr>
            <w:r w:rsidRPr="00F05475">
              <w:t xml:space="preserve">develop and implement procedures to ensure the inclusion of people with disabilities and other access and functional needs within the scope of those research, development, or demonstration projects; and </w:t>
            </w:r>
          </w:p>
          <w:p w:rsidR="00B0519B" w:rsidRPr="00F05475" w:rsidRDefault="00B0519B" w:rsidP="00101C2D">
            <w:pPr>
              <w:pStyle w:val="TableTextList2"/>
              <w:ind w:left="785"/>
            </w:pPr>
            <w:r w:rsidRPr="00F05475">
              <w:t xml:space="preserve">report annually to the President and Congress on the results of those efforts and key findings from the research, development, or demonstration projects. The Executive Order should emphasize the importance of an inclusive, “whole community” approach to research, development, and demonstration projects related to emergency preparedness, mitigation, response and recovery. </w:t>
            </w:r>
          </w:p>
          <w:p w:rsidR="00B0519B" w:rsidRPr="00F05475" w:rsidRDefault="00B0519B" w:rsidP="00101C2D">
            <w:pPr>
              <w:pStyle w:val="TableTextList"/>
              <w:ind w:left="425"/>
            </w:pPr>
            <w:r w:rsidRPr="00F05475">
              <w:t xml:space="preserve">Congress should pass legislation that </w:t>
            </w:r>
          </w:p>
          <w:p w:rsidR="00B0519B" w:rsidRPr="00F05475" w:rsidRDefault="00B0519B" w:rsidP="00B0519B">
            <w:pPr>
              <w:pStyle w:val="TableTextList2"/>
              <w:numPr>
                <w:ilvl w:val="0"/>
                <w:numId w:val="18"/>
              </w:numPr>
              <w:ind w:left="785"/>
            </w:pPr>
            <w:r w:rsidRPr="00F05475">
              <w:t xml:space="preserve">establishes the Office of Disability Integration and Coordination (ODIC) as a permanent office within Federal Emergency Management Agency; </w:t>
            </w:r>
          </w:p>
          <w:p w:rsidR="00B0519B" w:rsidRPr="00F05475" w:rsidRDefault="00B0519B" w:rsidP="00101C2D">
            <w:pPr>
              <w:pStyle w:val="TableTextList2"/>
              <w:ind w:left="785"/>
            </w:pPr>
            <w:r w:rsidRPr="00F05475">
              <w:t xml:space="preserve">authorizes funds for staff and resources in Headquarters and the 10 regional offices sufficient to meet national and regional needs; and </w:t>
            </w:r>
          </w:p>
          <w:p w:rsidR="00B0519B" w:rsidRPr="00F05475" w:rsidRDefault="00B0519B" w:rsidP="00101C2D">
            <w:pPr>
              <w:pStyle w:val="TableTextList2"/>
              <w:ind w:left="785"/>
            </w:pPr>
            <w:r w:rsidRPr="00F05475">
              <w:t>charges ODIC with coordinating within the U.S. Department of Homeland Security and with other key stakeholders to integrate people with disabilities into emergency preparedness, mitigation, response, and recovery.</w:t>
            </w:r>
          </w:p>
          <w:p w:rsidR="00B0519B" w:rsidRPr="00F05475" w:rsidRDefault="00B0519B" w:rsidP="00101C2D">
            <w:pPr>
              <w:pStyle w:val="TableTextList"/>
              <w:spacing w:after="60"/>
              <w:ind w:left="432"/>
            </w:pPr>
            <w:r w:rsidRPr="00F05475">
              <w:t>ODIC should provide training for people with disabilities on preparing for emergencies, including training for people with disabilities who have limited English proficiency.</w:t>
            </w:r>
          </w:p>
        </w:tc>
      </w:tr>
    </w:tbl>
    <w:p w:rsidR="00B0519B" w:rsidRPr="002E6167" w:rsidRDefault="00B0519B" w:rsidP="00B0519B">
      <w:pPr>
        <w:pStyle w:val="Heading2"/>
      </w:pPr>
      <w:bookmarkStart w:id="23" w:name="_Toc304437143"/>
      <w:r w:rsidRPr="002E6167">
        <w:t>Access to Technology: The Case for a Technology Bill of Rights</w:t>
      </w:r>
      <w:bookmarkEnd w:id="23"/>
    </w:p>
    <w:p w:rsidR="00B0519B" w:rsidRPr="002E6167" w:rsidRDefault="00B0519B" w:rsidP="00B0519B">
      <w:pPr>
        <w:pStyle w:val="BodyText"/>
      </w:pPr>
      <w:r w:rsidRPr="002E6167">
        <w:t xml:space="preserve">Technology and its advances provide opportunities for significant improvements in the quality and independence of the lives of individuals with disabilities at work </w:t>
      </w:r>
      <w:r>
        <w:t xml:space="preserve">and </w:t>
      </w:r>
      <w:r w:rsidRPr="002E6167">
        <w:t>in education, travel, entertainment, health</w:t>
      </w:r>
      <w:r>
        <w:t xml:space="preserve"> </w:t>
      </w:r>
      <w:r w:rsidRPr="002E6167">
        <w:t xml:space="preserve">care, and </w:t>
      </w:r>
      <w:r>
        <w:t>community</w:t>
      </w:r>
      <w:r w:rsidRPr="002E6167">
        <w:t xml:space="preserve"> living. Many technological advances show great promise of improved accessibility</w:t>
      </w:r>
      <w:r>
        <w:t>. H</w:t>
      </w:r>
      <w:r w:rsidRPr="002E6167">
        <w:t xml:space="preserve">owever, </w:t>
      </w:r>
      <w:r>
        <w:t xml:space="preserve">technology </w:t>
      </w:r>
      <w:r w:rsidRPr="002E6167">
        <w:t>also ha</w:t>
      </w:r>
      <w:r>
        <w:t>s</w:t>
      </w:r>
      <w:r w:rsidRPr="002E6167">
        <w:t xml:space="preserve"> the potential to create new barriers for people with disabilities when </w:t>
      </w:r>
      <w:r>
        <w:t xml:space="preserve">they are </w:t>
      </w:r>
      <w:r w:rsidRPr="002E6167">
        <w:t xml:space="preserve">not designed with </w:t>
      </w:r>
      <w:r>
        <w:t xml:space="preserve">all users </w:t>
      </w:r>
      <w:r w:rsidRPr="002E6167">
        <w:t xml:space="preserve">in mind. Given the rapid rate at which technology evolves in </w:t>
      </w:r>
      <w:r w:rsidRPr="002E6167">
        <w:lastRenderedPageBreak/>
        <w:t>today</w:t>
      </w:r>
      <w:r>
        <w:t>’</w:t>
      </w:r>
      <w:r w:rsidRPr="002E6167">
        <w:t xml:space="preserve">s marketplace, retrofitting is not practical or cost-efficient, and assistive technology vendors </w:t>
      </w:r>
      <w:r>
        <w:t xml:space="preserve">struggle to keep up with ever-changing </w:t>
      </w:r>
      <w:r w:rsidRPr="002E6167">
        <w:t>mainstream technology.</w:t>
      </w:r>
      <w:r w:rsidRPr="001C6B71">
        <w:rPr>
          <w:rStyle w:val="EndnoteReference"/>
        </w:rPr>
        <w:endnoteReference w:id="47"/>
      </w:r>
      <w:r>
        <w:t xml:space="preserve"> </w:t>
      </w:r>
    </w:p>
    <w:p w:rsidR="00B0519B" w:rsidRPr="002E6167" w:rsidRDefault="00B0519B" w:rsidP="00B0519B">
      <w:pPr>
        <w:pStyle w:val="BodyText"/>
      </w:pPr>
      <w:r w:rsidRPr="002E6167">
        <w:t xml:space="preserve">People with disabilities report difficulties in accessing </w:t>
      </w:r>
      <w:r>
        <w:t xml:space="preserve">and using </w:t>
      </w:r>
      <w:r w:rsidRPr="002E6167">
        <w:t>a variety of technologies, including cell phones,</w:t>
      </w:r>
      <w:r w:rsidRPr="001C6B71">
        <w:rPr>
          <w:rStyle w:val="EndnoteReference"/>
        </w:rPr>
        <w:endnoteReference w:id="48"/>
      </w:r>
      <w:r>
        <w:t xml:space="preserve"> </w:t>
      </w:r>
      <w:r w:rsidRPr="002E6167">
        <w:t>consumer electronics,</w:t>
      </w:r>
      <w:r w:rsidRPr="001C6B71">
        <w:rPr>
          <w:rStyle w:val="EndnoteReference"/>
        </w:rPr>
        <w:endnoteReference w:id="49"/>
      </w:r>
      <w:r w:rsidRPr="002E6167">
        <w:t xml:space="preserve"> distance learning software,</w:t>
      </w:r>
      <w:r w:rsidRPr="001C6B71">
        <w:rPr>
          <w:rStyle w:val="EndnoteReference"/>
        </w:rPr>
        <w:endnoteReference w:id="50"/>
      </w:r>
      <w:r w:rsidRPr="002E6167">
        <w:t xml:space="preserve"> electronic readers,</w:t>
      </w:r>
      <w:r w:rsidRPr="001C6B71">
        <w:rPr>
          <w:rStyle w:val="EndnoteReference"/>
        </w:rPr>
        <w:endnoteReference w:id="51"/>
      </w:r>
      <w:r w:rsidRPr="002E6167">
        <w:t xml:space="preserve"> and home appliances.</w:t>
      </w:r>
      <w:r w:rsidRPr="001C6B71">
        <w:rPr>
          <w:rStyle w:val="EndnoteReference"/>
        </w:rPr>
        <w:endnoteReference w:id="52"/>
      </w:r>
      <w:r w:rsidRPr="002E6167">
        <w:t xml:space="preserve"> Yet, a variety of manufacturers have demonstrated that where there is a commitment to making products accessible, it is very feasible.</w:t>
      </w:r>
      <w:r w:rsidRPr="001C6B71">
        <w:rPr>
          <w:rStyle w:val="EndnoteReference"/>
        </w:rPr>
        <w:endnoteReference w:id="53"/>
      </w:r>
    </w:p>
    <w:p w:rsidR="00B0519B" w:rsidRPr="002E6167" w:rsidRDefault="00B0519B" w:rsidP="00B0519B">
      <w:pPr>
        <w:pStyle w:val="BodyText"/>
      </w:pPr>
      <w:r w:rsidRPr="002E6167">
        <w:t>The same is true for making websites accessible for people with disabilities.</w:t>
      </w:r>
      <w:r>
        <w:t xml:space="preserve"> </w:t>
      </w:r>
      <w:r w:rsidRPr="002E6167">
        <w:t>Many large companies have made their websites accessible for people who are blind or visually impaired,</w:t>
      </w:r>
      <w:r w:rsidRPr="001C6B71">
        <w:rPr>
          <w:rStyle w:val="EndnoteReference"/>
        </w:rPr>
        <w:endnoteReference w:id="54"/>
      </w:r>
      <w:r w:rsidRPr="002E6167">
        <w:t xml:space="preserve"> demonstrating </w:t>
      </w:r>
      <w:r>
        <w:t xml:space="preserve">that </w:t>
      </w:r>
      <w:r w:rsidRPr="002E6167">
        <w:t>such access is possible.</w:t>
      </w:r>
      <w:r w:rsidRPr="001C6B71">
        <w:rPr>
          <w:rStyle w:val="EndnoteReference"/>
        </w:rPr>
        <w:endnoteReference w:id="55"/>
      </w:r>
      <w:r w:rsidRPr="002E6167">
        <w:t xml:space="preserve"> However, many of these </w:t>
      </w:r>
      <w:r>
        <w:t>w</w:t>
      </w:r>
      <w:r w:rsidRPr="002E6167">
        <w:t xml:space="preserve">ebsites do not provide captioning of audio for people who are deaf or hard-of-hearing, and many commercial </w:t>
      </w:r>
      <w:r>
        <w:t>w</w:t>
      </w:r>
      <w:r w:rsidRPr="002E6167">
        <w:t>ebsites remain largely inaccessible to both populations.</w:t>
      </w:r>
      <w:r>
        <w:t xml:space="preserve"> </w:t>
      </w:r>
      <w:r w:rsidRPr="002E6167">
        <w:t xml:space="preserve">The </w:t>
      </w:r>
      <w:r>
        <w:t xml:space="preserve">U.S. </w:t>
      </w:r>
      <w:r w:rsidRPr="002E6167">
        <w:t xml:space="preserve">Department of Justice has yet to incorporate web access standards into ADA regulations, even though web accessibility standards have been in use for many years, both in the </w:t>
      </w:r>
      <w:r>
        <w:t>United States</w:t>
      </w:r>
      <w:r w:rsidRPr="002E6167">
        <w:t xml:space="preserve"> and internationally.</w:t>
      </w:r>
      <w:r>
        <w:t xml:space="preserve"> </w:t>
      </w:r>
      <w:r w:rsidRPr="002E6167">
        <w:t>The World Wide Web Consortium (W3C) first published web access standards in May 1999,</w:t>
      </w:r>
      <w:r w:rsidRPr="001C6B71">
        <w:rPr>
          <w:rStyle w:val="EndnoteReference"/>
        </w:rPr>
        <w:endnoteReference w:id="56"/>
      </w:r>
      <w:r w:rsidRPr="002E6167">
        <w:t xml:space="preserve"> and the U.S. Access Board published a federal web accessibility standard in December 2000.</w:t>
      </w:r>
      <w:r w:rsidRPr="001C6B71">
        <w:rPr>
          <w:rStyle w:val="EndnoteReference"/>
        </w:rPr>
        <w:endnoteReference w:id="57"/>
      </w:r>
      <w:r>
        <w:t xml:space="preserve"> </w:t>
      </w:r>
    </w:p>
    <w:p w:rsidR="00B0519B" w:rsidRDefault="00B0519B" w:rsidP="00A12CA5">
      <w:pPr>
        <w:pStyle w:val="BodyText"/>
        <w:spacing w:after="0"/>
      </w:pPr>
      <w:r w:rsidRPr="002E6167">
        <w:t>A recent Harris Poll survey revealed a significant gap between people with and without disabilities in the use of technology to access the Internet.</w:t>
      </w:r>
      <w:r>
        <w:t xml:space="preserve"> </w:t>
      </w:r>
      <w:r w:rsidRPr="002E6167">
        <w:t xml:space="preserve">(See Table </w:t>
      </w:r>
      <w:r>
        <w:t>A</w:t>
      </w:r>
      <w:r w:rsidRPr="002E6167">
        <w:t xml:space="preserve">3 in Appendix </w:t>
      </w:r>
      <w:r w:rsidRPr="00970D9B">
        <w:t>A)</w:t>
      </w:r>
      <w:r w:rsidRPr="002E6167">
        <w:t>.</w:t>
      </w:r>
      <w:r>
        <w:t xml:space="preserve"> </w:t>
      </w:r>
      <w:r w:rsidRPr="002E6167">
        <w:t>People with disabilities are much less likely to use the Internet across all age groups. Eighty-five percent of adults without disabilities report using a computer or other electronic device to access the Internet from home, work</w:t>
      </w:r>
      <w:r>
        <w:t>,</w:t>
      </w:r>
      <w:r w:rsidRPr="002E6167">
        <w:t xml:space="preserve"> or another location, compared </w:t>
      </w:r>
      <w:r>
        <w:t>with</w:t>
      </w:r>
      <w:r w:rsidRPr="002E6167">
        <w:t xml:space="preserve"> 54 percent of adults with disabilities</w:t>
      </w:r>
      <w:r>
        <w:t>—</w:t>
      </w:r>
      <w:r w:rsidRPr="002E6167">
        <w:t>a gap of 31 percent. The gap is smallest among youth, but a 10 percent difference still exists. The gap increases threefold among those 65 or older to 33 percent. Clearly, too many people with disabilities are being left behind in this digital age.</w:t>
      </w:r>
      <w:r>
        <w:t xml:space="preserve"> </w:t>
      </w:r>
    </w:p>
    <w:tbl>
      <w:tblPr>
        <w:tblW w:w="0" w:type="auto"/>
        <w:tblLook w:val="04A0" w:firstRow="1" w:lastRow="0" w:firstColumn="1" w:lastColumn="0" w:noHBand="0" w:noVBand="1"/>
      </w:tblPr>
      <w:tblGrid>
        <w:gridCol w:w="9576"/>
      </w:tblGrid>
      <w:tr w:rsidR="00A12CA5" w:rsidRPr="003F5D93" w:rsidTr="00A12CA5">
        <w:trPr>
          <w:cantSplit/>
        </w:trPr>
        <w:tc>
          <w:tcPr>
            <w:tcW w:w="9576" w:type="dxa"/>
          </w:tcPr>
          <w:p w:rsidR="00A12CA5" w:rsidRPr="00544DFD" w:rsidRDefault="00A12CA5" w:rsidP="00A12CA5">
            <w:pPr>
              <w:pStyle w:val="BodyText"/>
              <w:keepNext/>
              <w:keepLines/>
              <w:spacing w:after="0" w:line="240" w:lineRule="auto"/>
              <w:rPr>
                <w:color w:val="FFFFFF"/>
                <w:sz w:val="16"/>
                <w:szCs w:val="16"/>
              </w:rPr>
            </w:pPr>
            <w:r w:rsidRPr="00544DFD">
              <w:rPr>
                <w:color w:val="FFFFFF"/>
                <w:sz w:val="16"/>
                <w:szCs w:val="16"/>
              </w:rPr>
              <w:lastRenderedPageBreak/>
              <w:t>Begin highlighted text:</w:t>
            </w:r>
          </w:p>
        </w:tc>
      </w:tr>
      <w:tr w:rsidR="00A12CA5" w:rsidRPr="003F5D93" w:rsidTr="00A12CA5">
        <w:trPr>
          <w:cantSplit/>
        </w:trPr>
        <w:tc>
          <w:tcPr>
            <w:tcW w:w="9576" w:type="dxa"/>
          </w:tcPr>
          <w:p w:rsidR="00A12CA5" w:rsidRPr="00C474AE" w:rsidRDefault="00A12CA5" w:rsidP="00A12CA5">
            <w:pPr>
              <w:pStyle w:val="NCDPullquote"/>
              <w:spacing w:after="0"/>
              <w:ind w:left="806"/>
            </w:pPr>
            <w:r w:rsidRPr="00D34D21">
              <w:t>A recent Harris Poll survey revealed a significant gap between people with and without disabilities in the use of technology to access the Internet.</w:t>
            </w:r>
          </w:p>
        </w:tc>
      </w:tr>
      <w:tr w:rsidR="00A12CA5" w:rsidRPr="003F5D93" w:rsidTr="00546BAD">
        <w:trPr>
          <w:cantSplit/>
          <w:trHeight w:hRule="exact" w:val="432"/>
        </w:trPr>
        <w:tc>
          <w:tcPr>
            <w:tcW w:w="9576" w:type="dxa"/>
          </w:tcPr>
          <w:p w:rsidR="00A12CA5" w:rsidRPr="00544DFD" w:rsidRDefault="00A12CA5" w:rsidP="00A12CA5">
            <w:pPr>
              <w:pStyle w:val="BodyText"/>
              <w:spacing w:after="120" w:line="240" w:lineRule="auto"/>
              <w:rPr>
                <w:color w:val="FFFFFF"/>
                <w:sz w:val="16"/>
                <w:szCs w:val="16"/>
              </w:rPr>
            </w:pPr>
            <w:r w:rsidRPr="00544DFD">
              <w:rPr>
                <w:color w:val="FFFFFF"/>
                <w:sz w:val="16"/>
                <w:szCs w:val="16"/>
              </w:rPr>
              <w:t>End highlighted text.</w:t>
            </w:r>
          </w:p>
        </w:tc>
      </w:tr>
    </w:tbl>
    <w:p w:rsidR="00B0519B" w:rsidRDefault="00B0519B" w:rsidP="00B0519B">
      <w:pPr>
        <w:pStyle w:val="BodyText"/>
      </w:pPr>
      <w:r w:rsidRPr="0007250E">
        <w:t>Federal policy regarding technology access has been piecemeal, with technologies inconsistently regulated by access requirements, and only in certain settings. The ADA applies to ATMs and automatic fare machines.</w:t>
      </w:r>
      <w:r w:rsidRPr="001C6B71">
        <w:rPr>
          <w:rStyle w:val="EndnoteReference"/>
          <w:szCs w:val="24"/>
        </w:rPr>
        <w:endnoteReference w:id="58"/>
      </w:r>
      <w:r w:rsidRPr="0007250E">
        <w:t xml:space="preserve"> The Telecommunications Act</w:t>
      </w:r>
      <w:r w:rsidRPr="001C6B71">
        <w:rPr>
          <w:rStyle w:val="EndnoteReference"/>
          <w:szCs w:val="24"/>
        </w:rPr>
        <w:endnoteReference w:id="59"/>
      </w:r>
      <w:r w:rsidRPr="0007250E">
        <w:t xml:space="preserve"> and the </w:t>
      </w:r>
      <w:bookmarkStart w:id="24" w:name="OLE_LINK7"/>
      <w:bookmarkStart w:id="25" w:name="OLE_LINK8"/>
      <w:r w:rsidRPr="0007250E">
        <w:t>recently enacted 21st Century Communications and Video Accessibility Act,</w:t>
      </w:r>
      <w:r w:rsidRPr="001C6B71">
        <w:rPr>
          <w:rStyle w:val="EndnoteReference"/>
          <w:szCs w:val="24"/>
        </w:rPr>
        <w:endnoteReference w:id="60"/>
      </w:r>
      <w:r w:rsidRPr="0007250E">
        <w:t xml:space="preserve"> </w:t>
      </w:r>
      <w:bookmarkEnd w:id="24"/>
      <w:bookmarkEnd w:id="25"/>
      <w:r w:rsidRPr="0007250E">
        <w:t>apply to certain communications and video programming technologies and services but do not apply uniformly.</w:t>
      </w:r>
      <w:r>
        <w:t xml:space="preserve"> </w:t>
      </w:r>
      <w:r w:rsidRPr="0007250E">
        <w:t>Section 508 of the Rehabilitation Act</w:t>
      </w:r>
      <w:r w:rsidRPr="001C6B71">
        <w:rPr>
          <w:rStyle w:val="EndnoteReference"/>
          <w:szCs w:val="24"/>
        </w:rPr>
        <w:endnoteReference w:id="61"/>
      </w:r>
      <w:r w:rsidRPr="0007250E">
        <w:t xml:space="preserve"> applies to certain technologies, but only in the federal environment.</w:t>
      </w:r>
      <w:r>
        <w:t xml:space="preserve"> </w:t>
      </w:r>
      <w:r w:rsidRPr="0007250E">
        <w:t>Most consumer electronics and home appliances</w:t>
      </w:r>
      <w:r>
        <w:t>—</w:t>
      </w:r>
      <w:r w:rsidRPr="0007250E">
        <w:t>items that have great potential to enhance independent living and quality of life for people with disabilities</w:t>
      </w:r>
      <w:r>
        <w:t>—</w:t>
      </w:r>
      <w:r w:rsidRPr="0007250E">
        <w:t>are not covered by any accessibility standards. Accessibility laws and policies are needed that are not technology- or environment-specific, but rather are comprehensive and function-based and remain applicable over time as technology evolves.</w:t>
      </w:r>
      <w:r>
        <w:t xml:space="preserve"> </w:t>
      </w:r>
      <w:r w:rsidRPr="0007250E">
        <w:t>As the rate at which technology evolves increases exponentially, so does the potential for an u</w:t>
      </w:r>
      <w:r>
        <w:t xml:space="preserve">nbridgeable technology divide. </w:t>
      </w:r>
      <w:r w:rsidRPr="0007250E">
        <w:t>The policies we adopt today will determine whether the technology of the future empowers people with disabilities to live, learn, and earn.</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468"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cantSplit/>
          <w:trHeight w:val="20"/>
          <w:jc w:val="center"/>
        </w:trPr>
        <w:tc>
          <w:tcPr>
            <w:tcW w:w="9468" w:type="dxa"/>
            <w:shd w:val="clear" w:color="auto" w:fill="E6E6E6"/>
            <w:vAlign w:val="bottom"/>
          </w:tcPr>
          <w:p w:rsidR="00B0519B" w:rsidRPr="00F05475" w:rsidRDefault="00B0519B" w:rsidP="00B0519B">
            <w:pPr>
              <w:pStyle w:val="TableTextList"/>
              <w:numPr>
                <w:ilvl w:val="0"/>
                <w:numId w:val="19"/>
              </w:numPr>
              <w:ind w:left="425"/>
            </w:pPr>
            <w:r w:rsidRPr="00F05475">
              <w:t>Congress should enact a comprehensive Technology Bill of Rights for people with disabilities to</w:t>
            </w:r>
          </w:p>
          <w:p w:rsidR="00B0519B" w:rsidRPr="00F05475" w:rsidRDefault="00B0519B" w:rsidP="00B0519B">
            <w:pPr>
              <w:pStyle w:val="TableTextList2"/>
              <w:numPr>
                <w:ilvl w:val="0"/>
                <w:numId w:val="20"/>
              </w:numPr>
              <w:ind w:left="785"/>
            </w:pPr>
            <w:r w:rsidRPr="00F05475">
              <w:t xml:space="preserve">clearly establish that manufacturers must create accessible user interfaces for all products; </w:t>
            </w:r>
          </w:p>
          <w:p w:rsidR="00B0519B" w:rsidRPr="00F05475" w:rsidRDefault="00B0519B" w:rsidP="00101C2D">
            <w:pPr>
              <w:pStyle w:val="TableTextList2"/>
              <w:ind w:left="785"/>
            </w:pPr>
            <w:r w:rsidRPr="00F05475">
              <w:t xml:space="preserve">authorize the U.S. Access Board to establish uniform technology access standards; and </w:t>
            </w:r>
          </w:p>
          <w:p w:rsidR="00B0519B" w:rsidRPr="00F05475" w:rsidRDefault="00B0519B" w:rsidP="00101C2D">
            <w:pPr>
              <w:pStyle w:val="TableTextList2"/>
              <w:ind w:left="785"/>
            </w:pPr>
            <w:r w:rsidRPr="00F05475">
              <w:t xml:space="preserve">provide for effective enforcement mechanisms. </w:t>
            </w:r>
          </w:p>
          <w:p w:rsidR="00B0519B" w:rsidRPr="00F05475" w:rsidRDefault="00B0519B" w:rsidP="00101C2D">
            <w:pPr>
              <w:pStyle w:val="TableTextList"/>
              <w:spacing w:after="60"/>
              <w:ind w:left="432"/>
            </w:pPr>
            <w:r w:rsidRPr="00F05475">
              <w:t>The U.S. Department of Justice should incorporate web accessibility standards into ADA Title III regulations.</w:t>
            </w:r>
          </w:p>
        </w:tc>
      </w:tr>
    </w:tbl>
    <w:p w:rsidR="00B0519B" w:rsidRPr="00700126" w:rsidRDefault="00B0519B" w:rsidP="00B0519B">
      <w:pPr>
        <w:pStyle w:val="Heading2"/>
      </w:pPr>
      <w:bookmarkStart w:id="26" w:name="_Toc304437144"/>
      <w:r w:rsidRPr="00700126">
        <w:t>Voting</w:t>
      </w:r>
      <w:bookmarkEnd w:id="26"/>
    </w:p>
    <w:p w:rsidR="00B0519B" w:rsidRDefault="00B0519B" w:rsidP="00B0519B">
      <w:pPr>
        <w:pStyle w:val="BodyText"/>
        <w:ind w:right="-180"/>
      </w:pPr>
      <w:r w:rsidRPr="00700126">
        <w:t xml:space="preserve">Since the accessibility provisions of the Help America Vote Act (HAVA) were implemented, </w:t>
      </w:r>
      <w:r>
        <w:t>t</w:t>
      </w:r>
      <w:r w:rsidRPr="00700126">
        <w:t>he number of pe</w:t>
      </w:r>
      <w:r>
        <w:t>ople</w:t>
      </w:r>
      <w:r w:rsidRPr="00700126">
        <w:t xml:space="preserve"> with disabilities who </w:t>
      </w:r>
      <w:r>
        <w:t>vote has increased (Table 3). However, r</w:t>
      </w:r>
      <w:r w:rsidRPr="00700126">
        <w:t>ecent reduction</w:t>
      </w:r>
      <w:r w:rsidR="00857C75">
        <w:t>s</w:t>
      </w:r>
      <w:r w:rsidRPr="00700126">
        <w:t xml:space="preserve"> in HAVA funds</w:t>
      </w:r>
      <w:r>
        <w:t xml:space="preserve"> may set back</w:t>
      </w:r>
      <w:r w:rsidRPr="00700126">
        <w:t xml:space="preserve"> efforts to make polling places and the voting process accessible to people with disabilities </w:t>
      </w:r>
      <w:r>
        <w:t>because</w:t>
      </w:r>
      <w:r w:rsidRPr="00700126">
        <w:t xml:space="preserve"> states no longer have the support they need </w:t>
      </w:r>
      <w:r>
        <w:t>to continue</w:t>
      </w:r>
      <w:r w:rsidRPr="00700126">
        <w:t xml:space="preserve"> improvements. Additionally, as many states move to require voters to show photo identification, there is concern </w:t>
      </w:r>
      <w:r>
        <w:t xml:space="preserve">that </w:t>
      </w:r>
      <w:r w:rsidRPr="00700126">
        <w:t xml:space="preserve">this </w:t>
      </w:r>
      <w:r>
        <w:t xml:space="preserve">requirement </w:t>
      </w:r>
      <w:r w:rsidRPr="00700126">
        <w:t>may discourage some people with disabilities from voting</w:t>
      </w:r>
      <w:r>
        <w:t xml:space="preserve"> because many people with disabilities </w:t>
      </w:r>
      <w:r w:rsidRPr="00700126">
        <w:t>do not possess a driver</w:t>
      </w:r>
      <w:r>
        <w:t>’</w:t>
      </w:r>
      <w:r w:rsidRPr="00700126">
        <w:t>s license.</w:t>
      </w:r>
      <w:r>
        <w:t xml:space="preserve"> </w:t>
      </w:r>
      <w:r w:rsidRPr="00700126">
        <w:t xml:space="preserve">Studies must be undertaken to determine whether there </w:t>
      </w:r>
      <w:r>
        <w:t xml:space="preserve">is </w:t>
      </w:r>
      <w:r w:rsidRPr="00700126">
        <w:t>a disproportionate negative impact on people with disabilities.</w:t>
      </w:r>
    </w:p>
    <w:p w:rsidR="00B0519B" w:rsidRDefault="00B0519B" w:rsidP="00B0519B">
      <w:pPr>
        <w:pStyle w:val="NCDTableNumber"/>
      </w:pPr>
      <w:r w:rsidRPr="00700126">
        <w:t xml:space="preserve">Table </w:t>
      </w:r>
      <w:r>
        <w:t>3.</w:t>
      </w:r>
    </w:p>
    <w:p w:rsidR="00B0519B" w:rsidRPr="00700126" w:rsidRDefault="00B0519B" w:rsidP="00B0519B">
      <w:pPr>
        <w:pStyle w:val="TableTitle"/>
      </w:pPr>
      <w:r w:rsidRPr="00700126">
        <w:t>Percent</w:t>
      </w:r>
      <w:r>
        <w:t>age</w:t>
      </w:r>
      <w:r w:rsidRPr="00700126">
        <w:t xml:space="preserve"> of </w:t>
      </w:r>
      <w:r>
        <w:t>P</w:t>
      </w:r>
      <w:r w:rsidRPr="00700126">
        <w:t xml:space="preserve">eople </w:t>
      </w:r>
      <w:r>
        <w:t>V</w:t>
      </w:r>
      <w:r w:rsidRPr="00700126">
        <w:t xml:space="preserve">oting in </w:t>
      </w:r>
      <w:r>
        <w:t>N</w:t>
      </w:r>
      <w:r w:rsidRPr="00700126">
        <w:t xml:space="preserve">ational </w:t>
      </w:r>
      <w:r>
        <w:t>E</w:t>
      </w:r>
      <w:r w:rsidRPr="00700126">
        <w:t>lections, 1992</w:t>
      </w:r>
      <w:r>
        <w:t>–</w:t>
      </w:r>
      <w:r w:rsidRPr="00700126">
        <w:t>2010</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59"/>
        <w:gridCol w:w="1101"/>
        <w:gridCol w:w="1100"/>
        <w:gridCol w:w="1100"/>
        <w:gridCol w:w="1100"/>
        <w:gridCol w:w="1100"/>
      </w:tblGrid>
      <w:tr w:rsidR="00B0519B" w:rsidRPr="00AC25B5" w:rsidTr="00203192">
        <w:trPr>
          <w:cantSplit/>
          <w:tblHeader/>
          <w:jc w:val="center"/>
        </w:trPr>
        <w:tc>
          <w:tcPr>
            <w:tcW w:w="530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p>
        </w:tc>
        <w:tc>
          <w:tcPr>
            <w:tcW w:w="144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1992</w:t>
            </w:r>
          </w:p>
        </w:tc>
        <w:tc>
          <w:tcPr>
            <w:tcW w:w="144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1996</w:t>
            </w:r>
          </w:p>
        </w:tc>
        <w:tc>
          <w:tcPr>
            <w:tcW w:w="144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2000</w:t>
            </w:r>
          </w:p>
        </w:tc>
        <w:tc>
          <w:tcPr>
            <w:tcW w:w="144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2004</w:t>
            </w:r>
          </w:p>
        </w:tc>
        <w:tc>
          <w:tcPr>
            <w:tcW w:w="1440" w:type="dxa"/>
            <w:tcBorders>
              <w:top w:val="single" w:sz="18" w:space="0" w:color="auto"/>
              <w:bottom w:val="single" w:sz="18" w:space="0" w:color="auto"/>
            </w:tcBorders>
            <w:shd w:val="clear" w:color="auto" w:fill="E6E6E6"/>
            <w:vAlign w:val="bottom"/>
          </w:tcPr>
          <w:p w:rsidR="00B0519B" w:rsidRPr="00AC25B5" w:rsidRDefault="00B0519B" w:rsidP="00101C2D">
            <w:pPr>
              <w:pStyle w:val="TableHead"/>
            </w:pPr>
            <w:r w:rsidRPr="00AC25B5">
              <w:t>2010</w:t>
            </w:r>
          </w:p>
        </w:tc>
      </w:tr>
      <w:tr w:rsidR="00B0519B" w:rsidRPr="002A69BB" w:rsidTr="00203192">
        <w:trPr>
          <w:cantSplit/>
          <w:jc w:val="center"/>
        </w:trPr>
        <w:tc>
          <w:tcPr>
            <w:tcW w:w="5300" w:type="dxa"/>
            <w:tcBorders>
              <w:top w:val="single" w:sz="18" w:space="0" w:color="auto"/>
            </w:tcBorders>
            <w:shd w:val="clear" w:color="auto" w:fill="E6E6E6"/>
            <w:vAlign w:val="bottom"/>
          </w:tcPr>
          <w:p w:rsidR="00B0519B" w:rsidRPr="0087021D" w:rsidRDefault="00B0519B" w:rsidP="00101C2D">
            <w:pPr>
              <w:pStyle w:val="TableText"/>
              <w:rPr>
                <w:b/>
              </w:rPr>
            </w:pPr>
            <w:r w:rsidRPr="0087021D">
              <w:rPr>
                <w:b/>
              </w:rPr>
              <w:t>People with disabilities</w:t>
            </w:r>
          </w:p>
        </w:tc>
        <w:tc>
          <w:tcPr>
            <w:tcW w:w="1440" w:type="dxa"/>
            <w:tcBorders>
              <w:top w:val="single" w:sz="18" w:space="0" w:color="auto"/>
            </w:tcBorders>
            <w:vAlign w:val="bottom"/>
          </w:tcPr>
          <w:p w:rsidR="00B0519B" w:rsidRPr="002A69BB" w:rsidRDefault="00B0519B" w:rsidP="00101C2D">
            <w:pPr>
              <w:pStyle w:val="TableText"/>
              <w:jc w:val="center"/>
            </w:pPr>
            <w:r w:rsidRPr="002A69BB">
              <w:t>45%</w:t>
            </w:r>
          </w:p>
        </w:tc>
        <w:tc>
          <w:tcPr>
            <w:tcW w:w="1440" w:type="dxa"/>
            <w:tcBorders>
              <w:top w:val="single" w:sz="18" w:space="0" w:color="auto"/>
            </w:tcBorders>
            <w:vAlign w:val="bottom"/>
          </w:tcPr>
          <w:p w:rsidR="00B0519B" w:rsidRPr="002A69BB" w:rsidRDefault="00B0519B" w:rsidP="00101C2D">
            <w:pPr>
              <w:pStyle w:val="TableText"/>
              <w:jc w:val="center"/>
            </w:pPr>
            <w:r w:rsidRPr="002A69BB">
              <w:t>33%</w:t>
            </w:r>
          </w:p>
        </w:tc>
        <w:tc>
          <w:tcPr>
            <w:tcW w:w="1440" w:type="dxa"/>
            <w:tcBorders>
              <w:top w:val="single" w:sz="18" w:space="0" w:color="auto"/>
            </w:tcBorders>
            <w:vAlign w:val="bottom"/>
          </w:tcPr>
          <w:p w:rsidR="00B0519B" w:rsidRPr="002A69BB" w:rsidRDefault="00B0519B" w:rsidP="00101C2D">
            <w:pPr>
              <w:pStyle w:val="TableText"/>
              <w:jc w:val="center"/>
            </w:pPr>
            <w:r w:rsidRPr="002A69BB">
              <w:t>41%</w:t>
            </w:r>
          </w:p>
        </w:tc>
        <w:tc>
          <w:tcPr>
            <w:tcW w:w="1440" w:type="dxa"/>
            <w:tcBorders>
              <w:top w:val="single" w:sz="18" w:space="0" w:color="auto"/>
            </w:tcBorders>
            <w:vAlign w:val="bottom"/>
          </w:tcPr>
          <w:p w:rsidR="00B0519B" w:rsidRPr="002A69BB" w:rsidRDefault="00B0519B" w:rsidP="00101C2D">
            <w:pPr>
              <w:pStyle w:val="TableText"/>
              <w:jc w:val="center"/>
            </w:pPr>
            <w:r w:rsidRPr="002A69BB">
              <w:t>52%</w:t>
            </w:r>
          </w:p>
        </w:tc>
        <w:tc>
          <w:tcPr>
            <w:tcW w:w="1440" w:type="dxa"/>
            <w:tcBorders>
              <w:top w:val="single" w:sz="18" w:space="0" w:color="auto"/>
            </w:tcBorders>
            <w:vAlign w:val="bottom"/>
          </w:tcPr>
          <w:p w:rsidR="00B0519B" w:rsidRPr="002A69BB" w:rsidRDefault="00B0519B" w:rsidP="00101C2D">
            <w:pPr>
              <w:pStyle w:val="TableText"/>
              <w:jc w:val="center"/>
            </w:pPr>
            <w:r w:rsidRPr="002A69BB">
              <w:t>59%</w:t>
            </w:r>
          </w:p>
        </w:tc>
      </w:tr>
      <w:tr w:rsidR="00B0519B" w:rsidRPr="002A69BB" w:rsidTr="00203192">
        <w:trPr>
          <w:cantSplit/>
          <w:jc w:val="center"/>
        </w:trPr>
        <w:tc>
          <w:tcPr>
            <w:tcW w:w="5300" w:type="dxa"/>
            <w:shd w:val="clear" w:color="auto" w:fill="E6E6E6"/>
            <w:vAlign w:val="bottom"/>
          </w:tcPr>
          <w:p w:rsidR="00B0519B" w:rsidRPr="0087021D" w:rsidRDefault="00B0519B" w:rsidP="00101C2D">
            <w:pPr>
              <w:pStyle w:val="TableText"/>
              <w:rPr>
                <w:b/>
              </w:rPr>
            </w:pPr>
            <w:r w:rsidRPr="0087021D">
              <w:rPr>
                <w:b/>
              </w:rPr>
              <w:t>People without disabilities</w:t>
            </w:r>
          </w:p>
        </w:tc>
        <w:tc>
          <w:tcPr>
            <w:tcW w:w="1440" w:type="dxa"/>
            <w:vAlign w:val="bottom"/>
          </w:tcPr>
          <w:p w:rsidR="00B0519B" w:rsidRPr="002A69BB" w:rsidRDefault="00B0519B" w:rsidP="00101C2D">
            <w:pPr>
              <w:pStyle w:val="TableText"/>
              <w:jc w:val="center"/>
            </w:pPr>
            <w:r w:rsidRPr="002A69BB">
              <w:t>56%</w:t>
            </w:r>
          </w:p>
        </w:tc>
        <w:tc>
          <w:tcPr>
            <w:tcW w:w="1440" w:type="dxa"/>
            <w:vAlign w:val="bottom"/>
          </w:tcPr>
          <w:p w:rsidR="00B0519B" w:rsidRPr="002A69BB" w:rsidRDefault="00B0519B" w:rsidP="00101C2D">
            <w:pPr>
              <w:pStyle w:val="TableText"/>
              <w:jc w:val="center"/>
            </w:pPr>
            <w:r w:rsidRPr="002A69BB">
              <w:t>50%</w:t>
            </w:r>
          </w:p>
        </w:tc>
        <w:tc>
          <w:tcPr>
            <w:tcW w:w="1440" w:type="dxa"/>
            <w:vAlign w:val="bottom"/>
          </w:tcPr>
          <w:p w:rsidR="00B0519B" w:rsidRPr="002A69BB" w:rsidRDefault="00B0519B" w:rsidP="00101C2D">
            <w:pPr>
              <w:pStyle w:val="TableText"/>
              <w:jc w:val="center"/>
            </w:pPr>
            <w:r w:rsidRPr="002A69BB">
              <w:t>52%</w:t>
            </w:r>
          </w:p>
        </w:tc>
        <w:tc>
          <w:tcPr>
            <w:tcW w:w="1440" w:type="dxa"/>
            <w:vAlign w:val="bottom"/>
          </w:tcPr>
          <w:p w:rsidR="00B0519B" w:rsidRPr="002A69BB" w:rsidRDefault="00B0519B" w:rsidP="00101C2D">
            <w:pPr>
              <w:pStyle w:val="TableText"/>
              <w:jc w:val="center"/>
            </w:pPr>
            <w:r w:rsidRPr="002A69BB">
              <w:t>56%</w:t>
            </w:r>
          </w:p>
        </w:tc>
        <w:tc>
          <w:tcPr>
            <w:tcW w:w="1440" w:type="dxa"/>
            <w:vAlign w:val="bottom"/>
          </w:tcPr>
          <w:p w:rsidR="00B0519B" w:rsidRPr="002A69BB" w:rsidRDefault="00B0519B" w:rsidP="00101C2D">
            <w:pPr>
              <w:pStyle w:val="TableText"/>
              <w:jc w:val="center"/>
            </w:pPr>
            <w:r w:rsidRPr="002A69BB">
              <w:t>59%</w:t>
            </w:r>
          </w:p>
        </w:tc>
      </w:tr>
    </w:tbl>
    <w:p w:rsidR="00B0519B" w:rsidRPr="009445AB" w:rsidRDefault="00B0519B" w:rsidP="00B0519B">
      <w:pPr>
        <w:pStyle w:val="TableNote"/>
      </w:pPr>
      <w:r w:rsidRPr="00CF29A7">
        <w:rPr>
          <w:b/>
        </w:rPr>
        <w:t>Source:</w:t>
      </w:r>
      <w:r w:rsidRPr="009445AB">
        <w:t xml:space="preserve"> Harris Poll, selected Presidential election years.</w:t>
      </w:r>
    </w:p>
    <w:p w:rsidR="00B0519B" w:rsidRPr="00991153" w:rsidRDefault="00B0519B" w:rsidP="00B0519B">
      <w:pPr>
        <w:pStyle w:val="Heading2"/>
      </w:pPr>
      <w:bookmarkStart w:id="27" w:name="_Toc304437145"/>
      <w:r w:rsidRPr="00991153">
        <w:lastRenderedPageBreak/>
        <w:t>Unequal Parental Rights:</w:t>
      </w:r>
      <w:r>
        <w:t xml:space="preserve"> </w:t>
      </w:r>
      <w:r w:rsidRPr="00991153">
        <w:t>The Eugenics Movement Back Door?</w:t>
      </w:r>
      <w:bookmarkEnd w:id="27"/>
      <w:r w:rsidRPr="00991153">
        <w:t xml:space="preserve"> </w:t>
      </w:r>
    </w:p>
    <w:p w:rsidR="00B0519B" w:rsidRPr="00AA164F" w:rsidRDefault="00B0519B" w:rsidP="00B0519B">
      <w:pPr>
        <w:pStyle w:val="BodyText"/>
      </w:pPr>
      <w:r w:rsidRPr="00AA164F">
        <w:t xml:space="preserve">The right to parent is one of the most fundamental </w:t>
      </w:r>
      <w:r>
        <w:t xml:space="preserve">rights </w:t>
      </w:r>
      <w:r w:rsidRPr="00AA164F">
        <w:t>in the U.S.</w:t>
      </w:r>
      <w:r>
        <w:t xml:space="preserve"> Constitution</w:t>
      </w:r>
      <w:r w:rsidRPr="00AA164F">
        <w:t xml:space="preserve">, rooted in the </w:t>
      </w:r>
      <w:r>
        <w:t>d</w:t>
      </w:r>
      <w:r w:rsidRPr="00AA164F">
        <w:t xml:space="preserve">ue </w:t>
      </w:r>
      <w:r>
        <w:t>p</w:t>
      </w:r>
      <w:r w:rsidRPr="00AA164F">
        <w:t xml:space="preserve">rocess </w:t>
      </w:r>
      <w:r>
        <w:t>c</w:t>
      </w:r>
      <w:r w:rsidRPr="00AA164F">
        <w:t>lause of the Fourteenth Amendment. However, those rights do not extend equally to people with disabilities.</w:t>
      </w:r>
      <w:r>
        <w:t xml:space="preserve"> Alt</w:t>
      </w:r>
      <w:r w:rsidRPr="00AA164F">
        <w:t>hough the involuntary sterilization of people with disabilities is relegated to the recent past, parental rights of people with disabilities are constantly under threat.</w:t>
      </w:r>
      <w:r>
        <w:t xml:space="preserve"> </w:t>
      </w:r>
      <w:r w:rsidRPr="00AA164F">
        <w:t>State statutes, judicial decisions, and child welfare practices are sometimes based on the presumption of parental incompetence when the parent has a disability.</w:t>
      </w:r>
      <w:r w:rsidRPr="001C6B71">
        <w:rPr>
          <w:rStyle w:val="EndnoteReference"/>
          <w:szCs w:val="24"/>
        </w:rPr>
        <w:endnoteReference w:id="62"/>
      </w:r>
    </w:p>
    <w:p w:rsidR="00B0519B" w:rsidRPr="00AA164F" w:rsidRDefault="00B0519B" w:rsidP="00B0519B">
      <w:pPr>
        <w:pStyle w:val="BodyText"/>
      </w:pPr>
      <w:r w:rsidRPr="00AA164F">
        <w:t>NCD</w:t>
      </w:r>
      <w:r>
        <w:t>’</w:t>
      </w:r>
      <w:r w:rsidRPr="00AA164F">
        <w:t xml:space="preserve">s </w:t>
      </w:r>
      <w:r>
        <w:t xml:space="preserve">“Living Forum” </w:t>
      </w:r>
      <w:r w:rsidRPr="00AA164F">
        <w:t>in Portland, Oregon</w:t>
      </w:r>
      <w:r>
        <w:t>,</w:t>
      </w:r>
      <w:r w:rsidRPr="00AA164F">
        <w:t xml:space="preserve"> </w:t>
      </w:r>
      <w:r>
        <w:t>focused attention</w:t>
      </w:r>
      <w:r w:rsidRPr="00AA164F">
        <w:t xml:space="preserve"> </w:t>
      </w:r>
      <w:r>
        <w:t xml:space="preserve">on </w:t>
      </w:r>
      <w:r w:rsidRPr="00AA164F">
        <w:t>many issues facing parents with disabilities.</w:t>
      </w:r>
      <w:r>
        <w:t xml:space="preserve"> A</w:t>
      </w:r>
      <w:r w:rsidRPr="00AA164F">
        <w:t xml:space="preserve"> panel discussion identified numerous discriminatory state laws and practices carried out by child welfare agencies and family courts </w:t>
      </w:r>
      <w:r>
        <w:t>that have caused</w:t>
      </w:r>
      <w:r w:rsidRPr="00AA164F">
        <w:t xml:space="preserve"> parents with disabilities </w:t>
      </w:r>
      <w:r>
        <w:t>to lose legal</w:t>
      </w:r>
      <w:r w:rsidRPr="00AA164F">
        <w:t xml:space="preserve"> custody of their children.</w:t>
      </w:r>
      <w:r>
        <w:t xml:space="preserve"> </w:t>
      </w:r>
      <w:r w:rsidRPr="00AA164F">
        <w:t>Bias against parents with disabilities influence</w:t>
      </w:r>
      <w:r>
        <w:t>s</w:t>
      </w:r>
      <w:r w:rsidRPr="00AA164F">
        <w:t xml:space="preserve"> termination of parental rights and child custody cases to the detriment of the rights of parents with disabilities</w:t>
      </w:r>
      <w:r>
        <w:t>.</w:t>
      </w:r>
      <w:r w:rsidRPr="001C6B71">
        <w:rPr>
          <w:rStyle w:val="EndnoteReference"/>
          <w:szCs w:val="24"/>
        </w:rPr>
        <w:endnoteReference w:id="63"/>
      </w:r>
      <w:r w:rsidRPr="00AA164F">
        <w:t xml:space="preserve"> Parents with intellectual or developmental disabilities and those with psychiatric disabilities face the most discrimination within the child welfare system, </w:t>
      </w:r>
      <w:r>
        <w:t>because</w:t>
      </w:r>
      <w:r w:rsidRPr="00AA164F">
        <w:t xml:space="preserve"> more than 30 states include mental illness and developmental or intellectual disability as grounds for termination of parental rights</w:t>
      </w:r>
      <w:r>
        <w:t>.</w:t>
      </w:r>
      <w:r w:rsidRPr="001C6B71">
        <w:rPr>
          <w:rStyle w:val="EndnoteReference"/>
          <w:szCs w:val="24"/>
        </w:rPr>
        <w:endnoteReference w:id="64"/>
      </w:r>
      <w:r>
        <w:t xml:space="preserve"> </w:t>
      </w:r>
      <w:r w:rsidRPr="00AA164F">
        <w:t xml:space="preserve">To date, only </w:t>
      </w:r>
      <w:r>
        <w:t>3</w:t>
      </w:r>
      <w:r w:rsidRPr="00AA164F">
        <w:t xml:space="preserve"> states </w:t>
      </w:r>
      <w:r>
        <w:t xml:space="preserve">(Idaho, Kansas, and Missouri) </w:t>
      </w:r>
      <w:r w:rsidRPr="00AA164F">
        <w:t>have passed laws specifically protecting the parenting rights of individuals with disabilities.</w:t>
      </w:r>
      <w:r w:rsidRPr="001C6B71">
        <w:rPr>
          <w:rStyle w:val="EndnoteReference"/>
          <w:szCs w:val="24"/>
        </w:rPr>
        <w:endnoteReference w:id="65"/>
      </w:r>
      <w:r w:rsidRPr="00AA164F">
        <w:t xml:space="preserve"> </w:t>
      </w:r>
    </w:p>
    <w:p w:rsidR="00B0519B" w:rsidRDefault="00B0519B" w:rsidP="00B0519B">
      <w:pPr>
        <w:pStyle w:val="BodyText"/>
      </w:pPr>
      <w:r>
        <w:t>T</w:t>
      </w:r>
      <w:r w:rsidRPr="00AA164F">
        <w:t xml:space="preserve">here are countless </w:t>
      </w:r>
      <w:r>
        <w:t xml:space="preserve">devastating reports </w:t>
      </w:r>
      <w:r w:rsidRPr="00AA164F">
        <w:t>of people with disabilities who have lost their parental rights because of their disability.</w:t>
      </w:r>
      <w:r>
        <w:t xml:space="preserve"> </w:t>
      </w:r>
      <w:r w:rsidRPr="00AA164F">
        <w:t>For example, in 2010, a blind couple</w:t>
      </w:r>
      <w:r>
        <w:t>’s 2-day old daughter</w:t>
      </w:r>
      <w:r w:rsidRPr="00AA164F">
        <w:t xml:space="preserve"> </w:t>
      </w:r>
      <w:r>
        <w:t xml:space="preserve">was placed in protective custody when the state of Kansas wrongfully deemed the blind parents unable to care for the child. The family was reunited after a 57-day battle. </w:t>
      </w:r>
      <w:r w:rsidRPr="00AA164F">
        <w:t>This issue represents a critical policy concern that has not been the subject of serious attention from the disability policy and advocacy communities</w:t>
      </w:r>
      <w:r>
        <w:t xml:space="preserve"> or child welfare officials</w:t>
      </w:r>
      <w:r w:rsidRPr="00AA164F">
        <w:t>.</w:t>
      </w:r>
      <w:r>
        <w:t xml:space="preserve"> </w:t>
      </w:r>
      <w:r w:rsidRPr="00AA164F">
        <w:t xml:space="preserve">NCD is </w:t>
      </w:r>
      <w:r>
        <w:t>committed</w:t>
      </w:r>
      <w:r w:rsidRPr="00AA164F">
        <w:t xml:space="preserve"> </w:t>
      </w:r>
      <w:r>
        <w:t>to</w:t>
      </w:r>
      <w:r w:rsidRPr="00AA164F">
        <w:t xml:space="preserve"> addressing the rights of parents with disabilities and is conducting extensive research </w:t>
      </w:r>
      <w:r>
        <w:t xml:space="preserve">and </w:t>
      </w:r>
      <w:r w:rsidRPr="00AA164F">
        <w:t xml:space="preserve">meeting with stakeholders </w:t>
      </w:r>
      <w:r>
        <w:t xml:space="preserve">to produce </w:t>
      </w:r>
      <w:r w:rsidRPr="00AA164F">
        <w:t xml:space="preserve">a report on this </w:t>
      </w:r>
      <w:r>
        <w:t>subject</w:t>
      </w:r>
      <w:r w:rsidRPr="00AA164F">
        <w:t>.</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trHeight w:val="20"/>
          <w:jc w:val="center"/>
        </w:trPr>
        <w:tc>
          <w:tcPr>
            <w:tcW w:w="9360" w:type="dxa"/>
            <w:shd w:val="clear" w:color="auto" w:fill="E6E6E6"/>
            <w:vAlign w:val="bottom"/>
          </w:tcPr>
          <w:p w:rsidR="00B0519B" w:rsidRPr="00F05475" w:rsidRDefault="00B0519B" w:rsidP="00B0519B">
            <w:pPr>
              <w:pStyle w:val="TableTextList"/>
              <w:numPr>
                <w:ilvl w:val="0"/>
                <w:numId w:val="21"/>
              </w:numPr>
              <w:ind w:left="425"/>
            </w:pPr>
            <w:r w:rsidRPr="00F05475">
              <w:t xml:space="preserve">States must eliminate statutes that include disability as grounds for termination of parental rights. </w:t>
            </w:r>
          </w:p>
          <w:p w:rsidR="00B0519B" w:rsidRPr="00F05475" w:rsidRDefault="00B0519B" w:rsidP="00101C2D">
            <w:pPr>
              <w:pStyle w:val="TableTextList"/>
              <w:ind w:left="425"/>
            </w:pPr>
            <w:r w:rsidRPr="00F05475">
              <w:t xml:space="preserve">The U.S. Department of Justice should issue guidance advising states that </w:t>
            </w:r>
            <w:r w:rsidRPr="00857C75">
              <w:rPr>
                <w:i/>
              </w:rPr>
              <w:t>per se</w:t>
            </w:r>
            <w:r w:rsidRPr="00F05475">
              <w:t xml:space="preserve"> presumptions of parental incompetence based on disability violate the ADA and requiring states to ensure that parenting assessments are fully accessible to parents with disabilities.</w:t>
            </w:r>
          </w:p>
          <w:p w:rsidR="00B0519B" w:rsidRPr="00F05475" w:rsidRDefault="00B0519B" w:rsidP="00101C2D">
            <w:pPr>
              <w:pStyle w:val="TableTextList"/>
              <w:ind w:left="425"/>
            </w:pPr>
            <w:r w:rsidRPr="00F05475">
              <w:t>Congress should address the disparate treatment experienced by parents with disabilities through legislation, including adding specific protections for parents with disabilities in the Adoption and Safe Families Act.</w:t>
            </w:r>
          </w:p>
          <w:p w:rsidR="00B0519B" w:rsidRPr="00F05475" w:rsidRDefault="00B0519B" w:rsidP="00101C2D">
            <w:pPr>
              <w:pStyle w:val="TableTextList"/>
              <w:spacing w:after="60"/>
              <w:ind w:left="432"/>
            </w:pPr>
            <w:r w:rsidRPr="00F05475">
              <w:t>Government agencies such as the U.S. Department of Health and Human Services and the U.S. Department of Justice should maintain statistics about parents with disabilities and their interaction with the child welfare and court systems.</w:t>
            </w:r>
          </w:p>
        </w:tc>
      </w:tr>
    </w:tbl>
    <w:p w:rsidR="00B0519B" w:rsidRPr="00233B9C" w:rsidRDefault="00B0519B" w:rsidP="00B0519B">
      <w:pPr>
        <w:pStyle w:val="Heading2"/>
      </w:pPr>
      <w:bookmarkStart w:id="29" w:name="_Toc304437146"/>
      <w:r w:rsidRPr="00F34820">
        <w:t xml:space="preserve">Military Families </w:t>
      </w:r>
      <w:r>
        <w:t>w</w:t>
      </w:r>
      <w:r w:rsidRPr="00F34820">
        <w:t>ith Disabilities: Closing the Medicaid Portability</w:t>
      </w:r>
      <w:r>
        <w:t> </w:t>
      </w:r>
      <w:r w:rsidRPr="00F34820">
        <w:t>Gap</w:t>
      </w:r>
      <w:bookmarkEnd w:id="29"/>
    </w:p>
    <w:p w:rsidR="00B0519B" w:rsidRPr="008E7D4E" w:rsidRDefault="00B0519B" w:rsidP="00B0519B">
      <w:pPr>
        <w:pStyle w:val="BodyText"/>
        <w:rPr>
          <w:u w:val="single"/>
        </w:rPr>
      </w:pPr>
      <w:r w:rsidRPr="008E7D4E">
        <w:t>NCD recently completed a study of Marine Corps families with disabilities for the</w:t>
      </w:r>
      <w:r>
        <w:t xml:space="preserve"> U.S.</w:t>
      </w:r>
      <w:r w:rsidRPr="008E7D4E">
        <w:t xml:space="preserve"> Marine Corps</w:t>
      </w:r>
      <w:r>
        <w:t xml:space="preserve"> (USMC)</w:t>
      </w:r>
      <w:r w:rsidRPr="008E7D4E">
        <w:t>. The requirement to move</w:t>
      </w:r>
      <w:r>
        <w:t xml:space="preserve"> </w:t>
      </w:r>
      <w:r w:rsidRPr="008E7D4E">
        <w:t>regularly, often to destinations not of one</w:t>
      </w:r>
      <w:r>
        <w:t>’</w:t>
      </w:r>
      <w:r w:rsidRPr="008E7D4E">
        <w:t>s choosing, is a constant in military life</w:t>
      </w:r>
      <w:r>
        <w:t xml:space="preserve"> and each time</w:t>
      </w:r>
      <w:r w:rsidRPr="008E7D4E">
        <w:t xml:space="preserve"> entails logistical, emotional, and financial stressors. The results of NCD</w:t>
      </w:r>
      <w:r>
        <w:t>’</w:t>
      </w:r>
      <w:r w:rsidRPr="008E7D4E">
        <w:t xml:space="preserve">s USMC study reinforced that </w:t>
      </w:r>
      <w:r>
        <w:t>these</w:t>
      </w:r>
      <w:r w:rsidRPr="008E7D4E">
        <w:t xml:space="preserve"> challenges can be significantly more arduous for families with </w:t>
      </w:r>
      <w:r>
        <w:t xml:space="preserve">members who have </w:t>
      </w:r>
      <w:r w:rsidRPr="008E7D4E">
        <w:t>disabilities, especially if the families are young</w:t>
      </w:r>
      <w:r>
        <w:t>,</w:t>
      </w:r>
      <w:r w:rsidRPr="008E7D4E">
        <w:t xml:space="preserve"> the disability involved is severe</w:t>
      </w:r>
      <w:r>
        <w:t>, or both</w:t>
      </w:r>
      <w:r w:rsidRPr="008E7D4E">
        <w:t xml:space="preserve">. Every time a family </w:t>
      </w:r>
      <w:r>
        <w:t>relocates,</w:t>
      </w:r>
      <w:r w:rsidRPr="008E7D4E">
        <w:t xml:space="preserve"> </w:t>
      </w:r>
      <w:r>
        <w:t>its members</w:t>
      </w:r>
      <w:r w:rsidRPr="008E7D4E">
        <w:t xml:space="preserve"> must </w:t>
      </w:r>
      <w:r>
        <w:t>learn</w:t>
      </w:r>
      <w:r w:rsidRPr="008E7D4E">
        <w:t xml:space="preserve"> about the resources available and the process for accessing the</w:t>
      </w:r>
      <w:r>
        <w:t>se services</w:t>
      </w:r>
      <w:r w:rsidRPr="008E7D4E">
        <w:t>. Then they must reassemble their family member</w:t>
      </w:r>
      <w:r>
        <w:t>’</w:t>
      </w:r>
      <w:r w:rsidRPr="008E7D4E">
        <w:t>s continuum of care</w:t>
      </w:r>
      <w:r>
        <w:t>, that is,</w:t>
      </w:r>
      <w:r w:rsidRPr="008E7D4E">
        <w:t xml:space="preserve"> request, coordinate, and advocate for the services needed.</w:t>
      </w:r>
    </w:p>
    <w:p w:rsidR="00B0519B" w:rsidRDefault="00B0519B" w:rsidP="00B0519B">
      <w:pPr>
        <w:pStyle w:val="BodyText"/>
      </w:pPr>
      <w:r w:rsidRPr="008E7D4E">
        <w:t xml:space="preserve">The lack of Medicaid waiver portability, specifically, is a significant obstacle to obtaining and keeping long-term supports and services for </w:t>
      </w:r>
      <w:r>
        <w:t>such families</w:t>
      </w:r>
      <w:r w:rsidRPr="008E7D4E">
        <w:t>, because there are long wait</w:t>
      </w:r>
      <w:r>
        <w:t>ing</w:t>
      </w:r>
      <w:r w:rsidRPr="008E7D4E">
        <w:t xml:space="preserve"> lists for these waivers and new applicants start at the bottom of the wait</w:t>
      </w:r>
      <w:r>
        <w:t xml:space="preserve">ing </w:t>
      </w:r>
      <w:r w:rsidRPr="008E7D4E">
        <w:t>list each time the family moves to a new state.</w:t>
      </w:r>
      <w:r>
        <w:t xml:space="preserve"> </w:t>
      </w:r>
      <w:r w:rsidRPr="008E7D4E">
        <w:t>Many of the families who participated in NCD</w:t>
      </w:r>
      <w:r>
        <w:t>’</w:t>
      </w:r>
      <w:r w:rsidRPr="008E7D4E">
        <w:t xml:space="preserve">s USMC study called for a mechanism to help individuals retain Medicaid benefits </w:t>
      </w:r>
      <w:r w:rsidRPr="008E7D4E">
        <w:lastRenderedPageBreak/>
        <w:t>when they move to a new state.</w:t>
      </w:r>
      <w:r>
        <w:t xml:space="preserve"> </w:t>
      </w:r>
      <w:r w:rsidRPr="008E7D4E">
        <w:t>One of NCD</w:t>
      </w:r>
      <w:r>
        <w:t>’</w:t>
      </w:r>
      <w:r w:rsidRPr="008E7D4E">
        <w:t xml:space="preserve">s recommendations from the study is for Congress to implement mechanisms to enable military </w:t>
      </w:r>
      <w:r>
        <w:t>families with disabilities</w:t>
      </w:r>
      <w:r w:rsidRPr="008E7D4E">
        <w:t xml:space="preserve"> to maintain </w:t>
      </w:r>
      <w:r>
        <w:t xml:space="preserve">the services they would receive under </w:t>
      </w:r>
      <w:r w:rsidRPr="008E7D4E">
        <w:t xml:space="preserve">Medicaid when they move from state to state </w:t>
      </w:r>
      <w:r>
        <w:t xml:space="preserve">instead of </w:t>
      </w:r>
      <w:r w:rsidRPr="008E7D4E">
        <w:t>requiring them to go to the bottom of the wait</w:t>
      </w:r>
      <w:r>
        <w:t xml:space="preserve">ing </w:t>
      </w:r>
      <w:r w:rsidRPr="008E7D4E">
        <w:t xml:space="preserve">list each time they </w:t>
      </w:r>
      <w:r>
        <w:t>relocate</w:t>
      </w:r>
      <w:r w:rsidRPr="008E7D4E">
        <w:t>.</w:t>
      </w:r>
      <w:r>
        <w:t xml:space="preserve"> </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203192">
        <w:trPr>
          <w:trHeight w:val="20"/>
          <w:jc w:val="center"/>
        </w:trPr>
        <w:tc>
          <w:tcPr>
            <w:tcW w:w="9360" w:type="dxa"/>
            <w:shd w:val="clear" w:color="auto" w:fill="E6E6E6"/>
            <w:vAlign w:val="bottom"/>
          </w:tcPr>
          <w:p w:rsidR="00B0519B" w:rsidRPr="00F05475" w:rsidRDefault="00B0519B" w:rsidP="00B0519B">
            <w:pPr>
              <w:pStyle w:val="TableTextList"/>
              <w:numPr>
                <w:ilvl w:val="0"/>
                <w:numId w:val="22"/>
              </w:numPr>
              <w:spacing w:after="60"/>
              <w:ind w:left="425"/>
            </w:pPr>
            <w:r w:rsidRPr="00F05475">
              <w:t>Congress should ensure that the health insurance available to military families (Tricare and ECHO) cover the same services the family would receive if enrolled in Medicaid.</w:t>
            </w:r>
          </w:p>
        </w:tc>
      </w:tr>
    </w:tbl>
    <w:p w:rsidR="00B0519B" w:rsidRDefault="00B0519B" w:rsidP="00B0519B">
      <w:pPr>
        <w:pStyle w:val="BodyText"/>
      </w:pPr>
      <w:r>
        <w:br w:type="page"/>
      </w:r>
    </w:p>
    <w:bookmarkEnd w:id="14"/>
    <w:p w:rsidR="00B0519B" w:rsidRDefault="00B0519B" w:rsidP="00B0519B">
      <w:pPr>
        <w:pStyle w:val="Heading1"/>
      </w:pPr>
      <w:r>
        <w:lastRenderedPageBreak/>
        <w:br w:type="page"/>
      </w:r>
      <w:bookmarkStart w:id="30" w:name="_Toc304437147"/>
      <w:r w:rsidRPr="00773C6D">
        <w:rPr>
          <w:rStyle w:val="NCDCHAPTER"/>
        </w:rPr>
        <w:lastRenderedPageBreak/>
        <w:t>Chapter 2:</w:t>
      </w:r>
      <w:r>
        <w:t xml:space="preserve"> Learning</w:t>
      </w:r>
      <w:bookmarkEnd w:id="30"/>
    </w:p>
    <w:p w:rsidR="00B0519B" w:rsidRPr="00C96490" w:rsidRDefault="00B0519B" w:rsidP="00B0519B">
      <w:pPr>
        <w:pStyle w:val="Heading2"/>
      </w:pPr>
      <w:bookmarkStart w:id="31" w:name="_Toc304437148"/>
      <w:r w:rsidRPr="00C96490">
        <w:t>Education and Lifelong Learning</w:t>
      </w:r>
      <w:bookmarkEnd w:id="31"/>
    </w:p>
    <w:p w:rsidR="00B0519B" w:rsidRPr="00C96490" w:rsidRDefault="00B0519B" w:rsidP="00B0519B">
      <w:pPr>
        <w:pStyle w:val="BodyText"/>
      </w:pPr>
      <w:r w:rsidRPr="00C96490">
        <w:t xml:space="preserve">The </w:t>
      </w:r>
      <w:r>
        <w:t>f</w:t>
      </w:r>
      <w:r w:rsidRPr="00C96490">
        <w:t xml:space="preserve">ederal </w:t>
      </w:r>
      <w:r>
        <w:t>g</w:t>
      </w:r>
      <w:r w:rsidRPr="00C96490">
        <w:t xml:space="preserve">overnment has established a long-standing role of </w:t>
      </w:r>
      <w:r>
        <w:t xml:space="preserve">helping </w:t>
      </w:r>
      <w:r w:rsidRPr="00C96490">
        <w:t>all students reach challenging standards and of supporting state and local high</w:t>
      </w:r>
      <w:r>
        <w:t>-</w:t>
      </w:r>
      <w:r w:rsidRPr="00C96490">
        <w:t>quality education efforts.</w:t>
      </w:r>
      <w:r w:rsidRPr="001C6B71">
        <w:rPr>
          <w:rStyle w:val="EndnoteReference"/>
          <w:szCs w:val="24"/>
        </w:rPr>
        <w:endnoteReference w:id="66"/>
      </w:r>
      <w:r>
        <w:t xml:space="preserve"> </w:t>
      </w:r>
      <w:r w:rsidRPr="00C96490">
        <w:t xml:space="preserve">A generation of </w:t>
      </w:r>
      <w:r>
        <w:t>Individuals with Disabilities Education Act (</w:t>
      </w:r>
      <w:r w:rsidRPr="00C96490">
        <w:t>IDEA</w:t>
      </w:r>
      <w:r>
        <w:t>)–</w:t>
      </w:r>
      <w:r w:rsidRPr="00C96490">
        <w:t xml:space="preserve">protected young adults </w:t>
      </w:r>
      <w:r>
        <w:t xml:space="preserve">are moving on </w:t>
      </w:r>
      <w:r w:rsidRPr="00C96490">
        <w:t xml:space="preserve">to pursue careers and other life activities. </w:t>
      </w:r>
      <w:r>
        <w:t>In contrast to</w:t>
      </w:r>
      <w:r w:rsidRPr="00C96490">
        <w:t xml:space="preserve"> previous generations, they have grown up with an expectation that school populations include students </w:t>
      </w:r>
      <w:r>
        <w:t>with</w:t>
      </w:r>
      <w:r w:rsidRPr="00C96490">
        <w:t xml:space="preserve"> a broad spectrum of abilities.</w:t>
      </w:r>
      <w:r>
        <w:t xml:space="preserve"> </w:t>
      </w:r>
      <w:r w:rsidRPr="00C96490">
        <w:t>Th</w:t>
      </w:r>
      <w:r>
        <w:t xml:space="preserve">eir experience </w:t>
      </w:r>
      <w:r w:rsidRPr="00C96490">
        <w:t xml:space="preserve">is largely due to generations of students </w:t>
      </w:r>
      <w:r>
        <w:t xml:space="preserve">who have </w:t>
      </w:r>
      <w:r w:rsidRPr="00C96490">
        <w:t>enjoy</w:t>
      </w:r>
      <w:r>
        <w:t>ed</w:t>
      </w:r>
      <w:r w:rsidRPr="00C96490">
        <w:t xml:space="preserve"> the protections of </w:t>
      </w:r>
      <w:r>
        <w:t>IDEA</w:t>
      </w:r>
      <w:r w:rsidRPr="00C96490">
        <w:t xml:space="preserve">, which guarantees the right to a free appropriate public education for all eligible students with disabilities. Students with disabilities not covered by IDEA are protected by Section 504 of the Rehabilitation Act </w:t>
      </w:r>
      <w:r>
        <w:t xml:space="preserve">of 1973 </w:t>
      </w:r>
      <w:r w:rsidRPr="00C96490">
        <w:t>(Section 504). Before the landmark law</w:t>
      </w:r>
      <w:r>
        <w:t>s</w:t>
      </w:r>
      <w:r w:rsidRPr="00C96490">
        <w:t>, children and youth without disabilities were welcome in public schools wh</w:t>
      </w:r>
      <w:r>
        <w:t>ile</w:t>
      </w:r>
      <w:r w:rsidRPr="00C96490">
        <w:t xml:space="preserve"> their peers with disabilities were </w:t>
      </w:r>
      <w:r>
        <w:t xml:space="preserve">excluded or </w:t>
      </w:r>
      <w:r w:rsidRPr="00C96490">
        <w:t>segregated.</w:t>
      </w:r>
      <w:r>
        <w:t xml:space="preserve"> Segregation was the rule, not the exception. </w:t>
      </w:r>
    </w:p>
    <w:p w:rsidR="00B0519B" w:rsidRPr="00C96490" w:rsidRDefault="00B0519B" w:rsidP="00B0519B">
      <w:pPr>
        <w:pStyle w:val="BodyText"/>
      </w:pPr>
      <w:r w:rsidRPr="00C96490">
        <w:t xml:space="preserve">Although </w:t>
      </w:r>
      <w:r>
        <w:t>Americans</w:t>
      </w:r>
      <w:r w:rsidRPr="00C96490">
        <w:t xml:space="preserve"> celebrated the 35</w:t>
      </w:r>
      <w:r w:rsidRPr="00F34820">
        <w:t>th</w:t>
      </w:r>
      <w:r w:rsidRPr="00C96490">
        <w:t xml:space="preserve"> anniversary of IDEA last year, many observers report that the law is far from delivering on its promises. Despite progress made across a number of educational indicators and </w:t>
      </w:r>
      <w:r>
        <w:t xml:space="preserve">the </w:t>
      </w:r>
      <w:r w:rsidRPr="00C96490">
        <w:t xml:space="preserve">discontinuation of the </w:t>
      </w:r>
      <w:r>
        <w:t>“</w:t>
      </w:r>
      <w:r w:rsidRPr="00C96490">
        <w:t>proxy rule,</w:t>
      </w:r>
      <w:r>
        <w:t>”</w:t>
      </w:r>
      <w:r w:rsidRPr="001C6B71">
        <w:rPr>
          <w:rStyle w:val="EndnoteReference"/>
          <w:szCs w:val="24"/>
        </w:rPr>
        <w:endnoteReference w:id="67"/>
      </w:r>
      <w:r w:rsidRPr="00C96490">
        <w:t xml:space="preserve"> self-advocates, parents, and other supporters of equal opportunity report that meaningful inclusion is hampered by insufficient permeation of inclusion principles</w:t>
      </w:r>
      <w:r>
        <w:t xml:space="preserve"> into institutions</w:t>
      </w:r>
      <w:r w:rsidRPr="00C96490">
        <w:t>.</w:t>
      </w:r>
      <w:r>
        <w:t xml:space="preserve"> S</w:t>
      </w:r>
      <w:r w:rsidRPr="00C96490">
        <w:t xml:space="preserve">tudents </w:t>
      </w:r>
      <w:r>
        <w:t xml:space="preserve">with disabilities </w:t>
      </w:r>
      <w:r w:rsidRPr="00C96490">
        <w:t xml:space="preserve">continue to face barriers to learning and achievement opportunities. </w:t>
      </w:r>
    </w:p>
    <w:p w:rsidR="00B0519B" w:rsidRDefault="00B0519B" w:rsidP="00B0519B">
      <w:pPr>
        <w:pStyle w:val="BodyText"/>
        <w:rPr>
          <w:color w:val="000000"/>
        </w:rPr>
      </w:pPr>
      <w:r>
        <w:t xml:space="preserve">Although </w:t>
      </w:r>
      <w:r w:rsidRPr="00C96490">
        <w:t>t</w:t>
      </w:r>
      <w:r w:rsidRPr="00C96490">
        <w:rPr>
          <w:color w:val="000000"/>
        </w:rPr>
        <w:t xml:space="preserve">he percentage of students with disabilities </w:t>
      </w:r>
      <w:r>
        <w:rPr>
          <w:color w:val="000000"/>
        </w:rPr>
        <w:t xml:space="preserve">who were </w:t>
      </w:r>
      <w:r w:rsidRPr="00C96490">
        <w:rPr>
          <w:color w:val="000000"/>
        </w:rPr>
        <w:t>served more than 80</w:t>
      </w:r>
      <w:r>
        <w:rPr>
          <w:color w:val="000000"/>
        </w:rPr>
        <w:t xml:space="preserve"> percent</w:t>
      </w:r>
      <w:r w:rsidRPr="00C96490">
        <w:rPr>
          <w:color w:val="000000"/>
        </w:rPr>
        <w:t xml:space="preserve"> of the time in general classrooms </w:t>
      </w:r>
      <w:r>
        <w:rPr>
          <w:color w:val="000000"/>
        </w:rPr>
        <w:t xml:space="preserve">increased steadily over the past 19 years, </w:t>
      </w:r>
      <w:r w:rsidRPr="00C96490">
        <w:rPr>
          <w:color w:val="000000"/>
        </w:rPr>
        <w:t xml:space="preserve">a closer look reveals that inclusion in the general classroom </w:t>
      </w:r>
      <w:r>
        <w:rPr>
          <w:color w:val="000000"/>
        </w:rPr>
        <w:t xml:space="preserve">is not consistent across all disabilities (Table 4). </w:t>
      </w:r>
      <w:r w:rsidRPr="00C96490">
        <w:rPr>
          <w:color w:val="000000"/>
        </w:rPr>
        <w:t>Students with speech or language impairments, specific learning disabilities, or hearing or visual impairments are the most likely to be included in general classes, wh</w:t>
      </w:r>
      <w:r>
        <w:rPr>
          <w:color w:val="000000"/>
        </w:rPr>
        <w:t>ereas</w:t>
      </w:r>
      <w:r w:rsidRPr="00C96490">
        <w:rPr>
          <w:color w:val="000000"/>
        </w:rPr>
        <w:t xml:space="preserve"> those with intellectual disabilities or multiple disabilities are the least likely to be included</w:t>
      </w:r>
      <w:r>
        <w:rPr>
          <w:color w:val="000000"/>
        </w:rPr>
        <w:t xml:space="preserve"> (Table 5)</w:t>
      </w:r>
      <w:r w:rsidRPr="00C96490">
        <w:rPr>
          <w:color w:val="000000"/>
        </w:rPr>
        <w:t>.</w:t>
      </w:r>
      <w:r>
        <w:rPr>
          <w:color w:val="000000"/>
        </w:rPr>
        <w:t xml:space="preserve"> </w:t>
      </w:r>
    </w:p>
    <w:p w:rsidR="00B0519B" w:rsidRDefault="00B0519B" w:rsidP="00B0519B">
      <w:pPr>
        <w:pStyle w:val="NCDTableNumber"/>
      </w:pPr>
      <w:r w:rsidRPr="005566A4">
        <w:lastRenderedPageBreak/>
        <w:t>Table</w:t>
      </w:r>
      <w:r>
        <w:t xml:space="preserve"> 4.</w:t>
      </w:r>
    </w:p>
    <w:p w:rsidR="00B0519B" w:rsidRPr="005566A4" w:rsidRDefault="00B0519B" w:rsidP="00B0519B">
      <w:pPr>
        <w:pStyle w:val="TableTitle"/>
      </w:pPr>
      <w:r w:rsidRPr="005566A4">
        <w:t xml:space="preserve">Percentage of Students </w:t>
      </w:r>
      <w:r>
        <w:t>A</w:t>
      </w:r>
      <w:r w:rsidRPr="005566A4">
        <w:t>ges 6–21</w:t>
      </w:r>
      <w:r>
        <w:t xml:space="preserve"> S</w:t>
      </w:r>
      <w:r w:rsidRPr="005566A4">
        <w:t xml:space="preserve">erved </w:t>
      </w:r>
      <w:r>
        <w:t>u</w:t>
      </w:r>
      <w:r w:rsidRPr="005566A4">
        <w:t>nder the Individuals with Disabilities Education Act (IDEA), Part B,</w:t>
      </w:r>
      <w:r>
        <w:t> </w:t>
      </w:r>
      <w:r w:rsidRPr="005566A4">
        <w:t>by</w:t>
      </w:r>
      <w:r>
        <w:t> E</w:t>
      </w:r>
      <w:r w:rsidRPr="005566A4">
        <w:t xml:space="preserve">ducational </w:t>
      </w:r>
      <w:r>
        <w:t>E</w:t>
      </w:r>
      <w:r w:rsidRPr="005566A4">
        <w:t xml:space="preserve">nvironment, </w:t>
      </w:r>
      <w:r>
        <w:t>S</w:t>
      </w:r>
      <w:r w:rsidRPr="005566A4">
        <w:t xml:space="preserve">elected </w:t>
      </w:r>
      <w:r>
        <w:t>S</w:t>
      </w:r>
      <w:r w:rsidRPr="005566A4">
        <w:t xml:space="preserve">chool </w:t>
      </w:r>
      <w:r>
        <w:t>Y</w:t>
      </w:r>
      <w:r w:rsidRPr="005566A4">
        <w:t>ears, 1990–91</w:t>
      </w:r>
      <w:r>
        <w:t> t</w:t>
      </w:r>
      <w:r w:rsidRPr="005566A4">
        <w:t>hrough</w:t>
      </w:r>
      <w:r>
        <w:t> </w:t>
      </w:r>
      <w:r w:rsidRPr="005566A4">
        <w:t>2008–09</w:t>
      </w:r>
    </w:p>
    <w:tbl>
      <w:tblPr>
        <w:tblW w:w="9922" w:type="dxa"/>
        <w:tblInd w:w="115"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81"/>
        <w:gridCol w:w="807"/>
        <w:gridCol w:w="810"/>
        <w:gridCol w:w="810"/>
        <w:gridCol w:w="990"/>
        <w:gridCol w:w="990"/>
        <w:gridCol w:w="1080"/>
        <w:gridCol w:w="1080"/>
        <w:gridCol w:w="990"/>
        <w:gridCol w:w="810"/>
        <w:gridCol w:w="774"/>
      </w:tblGrid>
      <w:tr w:rsidR="00B0519B" w:rsidRPr="00AC25B5" w:rsidTr="00203192">
        <w:trPr>
          <w:cantSplit/>
          <w:trHeight w:val="20"/>
          <w:tblHeader/>
        </w:trPr>
        <w:tc>
          <w:tcPr>
            <w:tcW w:w="781"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Year</w:t>
            </w:r>
          </w:p>
        </w:tc>
        <w:tc>
          <w:tcPr>
            <w:tcW w:w="807"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Regular school: 80% or more</w:t>
            </w:r>
          </w:p>
        </w:tc>
        <w:tc>
          <w:tcPr>
            <w:tcW w:w="81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 xml:space="preserve">Regular school: 79–40% </w:t>
            </w:r>
          </w:p>
        </w:tc>
        <w:tc>
          <w:tcPr>
            <w:tcW w:w="81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 xml:space="preserve">Regular school: Less than 40% </w:t>
            </w:r>
          </w:p>
        </w:tc>
        <w:tc>
          <w:tcPr>
            <w:tcW w:w="99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Separate school for students with disability: Public</w:t>
            </w:r>
          </w:p>
        </w:tc>
        <w:tc>
          <w:tcPr>
            <w:tcW w:w="99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Separate school for students with disability: Private</w:t>
            </w:r>
          </w:p>
        </w:tc>
        <w:tc>
          <w:tcPr>
            <w:tcW w:w="108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Separate residential facility: Public</w:t>
            </w:r>
          </w:p>
        </w:tc>
        <w:tc>
          <w:tcPr>
            <w:tcW w:w="108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Separate residential facility: Private</w:t>
            </w:r>
          </w:p>
        </w:tc>
        <w:tc>
          <w:tcPr>
            <w:tcW w:w="99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Parentally placed in regular private school</w:t>
            </w:r>
          </w:p>
        </w:tc>
        <w:tc>
          <w:tcPr>
            <w:tcW w:w="81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Home-bound/ hospital place-ment</w:t>
            </w:r>
          </w:p>
        </w:tc>
        <w:tc>
          <w:tcPr>
            <w:tcW w:w="774"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rPr>
                <w:sz w:val="18"/>
                <w:szCs w:val="18"/>
              </w:rPr>
            </w:pPr>
            <w:r w:rsidRPr="00AC25B5">
              <w:rPr>
                <w:sz w:val="18"/>
                <w:szCs w:val="18"/>
              </w:rPr>
              <w:t>Correc-tional facility</w:t>
            </w:r>
          </w:p>
        </w:tc>
      </w:tr>
      <w:tr w:rsidR="00B0519B" w:rsidRPr="00613A3B" w:rsidTr="00203192">
        <w:trPr>
          <w:cantSplit/>
          <w:trHeight w:val="20"/>
        </w:trPr>
        <w:tc>
          <w:tcPr>
            <w:tcW w:w="781" w:type="dxa"/>
            <w:tcBorders>
              <w:top w:val="single" w:sz="18" w:space="0" w:color="auto"/>
            </w:tcBorders>
            <w:shd w:val="pct10" w:color="auto" w:fill="auto"/>
            <w:vAlign w:val="bottom"/>
            <w:hideMark/>
          </w:tcPr>
          <w:p w:rsidR="00B0519B" w:rsidRPr="00613A3B" w:rsidRDefault="00B0519B" w:rsidP="00101C2D">
            <w:pPr>
              <w:pStyle w:val="TableText"/>
              <w:rPr>
                <w:b/>
                <w:sz w:val="18"/>
                <w:szCs w:val="18"/>
              </w:rPr>
            </w:pPr>
            <w:r w:rsidRPr="00613A3B">
              <w:rPr>
                <w:b/>
                <w:sz w:val="18"/>
                <w:szCs w:val="18"/>
              </w:rPr>
              <w:t>90–91</w:t>
            </w:r>
          </w:p>
        </w:tc>
        <w:tc>
          <w:tcPr>
            <w:tcW w:w="807"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33.1</w:t>
            </w:r>
          </w:p>
        </w:tc>
        <w:tc>
          <w:tcPr>
            <w:tcW w:w="81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36.4</w:t>
            </w:r>
          </w:p>
        </w:tc>
        <w:tc>
          <w:tcPr>
            <w:tcW w:w="81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25</w:t>
            </w:r>
          </w:p>
        </w:tc>
        <w:tc>
          <w:tcPr>
            <w:tcW w:w="99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2.9</w:t>
            </w:r>
          </w:p>
        </w:tc>
        <w:tc>
          <w:tcPr>
            <w:tcW w:w="99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1.3</w:t>
            </w:r>
          </w:p>
        </w:tc>
        <w:tc>
          <w:tcPr>
            <w:tcW w:w="108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0.6</w:t>
            </w:r>
          </w:p>
        </w:tc>
        <w:tc>
          <w:tcPr>
            <w:tcW w:w="108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tcBorders>
              <w:top w:val="single" w:sz="18" w:space="0" w:color="auto"/>
            </w:tcBorders>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94–95</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44.8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28.5</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22.4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0.6</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95–96</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45.7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28.5</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21.5</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2.1</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96–97</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46.1</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28.3</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21.4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97–98</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46.8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20.4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1.8</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98–99</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46</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29.9</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20</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1.8</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99–00</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45.9</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29.8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1.9</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00–01</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46.5</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29.8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19.5</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1.9</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01–02</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48.2</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28.5</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19.2</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1.7</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1.2</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02–03</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48.2</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28.7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19</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1.7</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1.2</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03–04</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49.9</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27.7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18.5</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1.7</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1.1</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04–05</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51.9</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26.5</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17.6</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1.8</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1.2</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05–06</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54.2</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25.1</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16.7</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1.8</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1.2</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0.5</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06–07</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53.7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23.7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17.6</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2.9</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07–08</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56.8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22.4</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15.4</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1.1</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r>
      <w:tr w:rsidR="00B0519B" w:rsidRPr="00613A3B" w:rsidTr="00203192">
        <w:trPr>
          <w:cantSplit/>
          <w:trHeight w:val="20"/>
        </w:trPr>
        <w:tc>
          <w:tcPr>
            <w:tcW w:w="781" w:type="dxa"/>
            <w:shd w:val="pct10" w:color="auto" w:fill="auto"/>
            <w:vAlign w:val="bottom"/>
            <w:hideMark/>
          </w:tcPr>
          <w:p w:rsidR="00B0519B" w:rsidRPr="00613A3B" w:rsidRDefault="00B0519B" w:rsidP="00101C2D">
            <w:pPr>
              <w:pStyle w:val="TableText"/>
              <w:rPr>
                <w:b/>
                <w:sz w:val="18"/>
                <w:szCs w:val="18"/>
              </w:rPr>
            </w:pPr>
            <w:r w:rsidRPr="00613A3B">
              <w:rPr>
                <w:b/>
                <w:sz w:val="18"/>
                <w:szCs w:val="18"/>
              </w:rPr>
              <w:t>08–09</w:t>
            </w:r>
          </w:p>
        </w:tc>
        <w:tc>
          <w:tcPr>
            <w:tcW w:w="807"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58</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21.7</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15.1</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3</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108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w:t>
            </w:r>
          </w:p>
        </w:tc>
        <w:tc>
          <w:tcPr>
            <w:tcW w:w="99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1.1</w:t>
            </w:r>
          </w:p>
        </w:tc>
        <w:tc>
          <w:tcPr>
            <w:tcW w:w="810"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c>
          <w:tcPr>
            <w:tcW w:w="774" w:type="dxa"/>
            <w:shd w:val="clear" w:color="auto" w:fill="auto"/>
            <w:vAlign w:val="bottom"/>
            <w:hideMark/>
          </w:tcPr>
          <w:p w:rsidR="00B0519B" w:rsidRPr="00613A3B" w:rsidRDefault="00B0519B" w:rsidP="00101C2D">
            <w:pPr>
              <w:pStyle w:val="TableText"/>
              <w:jc w:val="center"/>
              <w:rPr>
                <w:sz w:val="18"/>
                <w:szCs w:val="18"/>
              </w:rPr>
            </w:pPr>
            <w:r w:rsidRPr="00613A3B">
              <w:rPr>
                <w:sz w:val="18"/>
                <w:szCs w:val="18"/>
              </w:rPr>
              <w:t>0.4</w:t>
            </w:r>
          </w:p>
        </w:tc>
      </w:tr>
    </w:tbl>
    <w:p w:rsidR="00B0519B" w:rsidRPr="002A708C" w:rsidRDefault="00B0519B" w:rsidP="00B0519B">
      <w:pPr>
        <w:pStyle w:val="TableNote"/>
        <w:spacing w:after="120"/>
        <w:ind w:right="-360"/>
        <w:rPr>
          <w:color w:val="000000"/>
        </w:rPr>
      </w:pPr>
      <w:r w:rsidRPr="00CF29A7">
        <w:rPr>
          <w:b/>
        </w:rPr>
        <w:t>Source:</w:t>
      </w:r>
      <w:r w:rsidRPr="002A708C">
        <w:t xml:space="preserve"> U.S. Department of Education, Institute of Education Sciences, Condition of Education, </w:t>
      </w:r>
      <w:r w:rsidRPr="002A708C">
        <w:rPr>
          <w:bCs/>
          <w:color w:val="000000"/>
        </w:rPr>
        <w:t xml:space="preserve">Table A-7-2, </w:t>
      </w:r>
      <w:hyperlink r:id="rId21" w:history="1">
        <w:r w:rsidRPr="002A708C">
          <w:rPr>
            <w:rStyle w:val="Hyperlink"/>
          </w:rPr>
          <w:t>http://nces.ed.gov/programs/coe/tables/table-cwd-2.asp</w:t>
        </w:r>
      </w:hyperlink>
      <w:r w:rsidRPr="002A708C">
        <w:t xml:space="preserve"> compiled from </w:t>
      </w:r>
      <w:r w:rsidRPr="002A708C">
        <w:rPr>
          <w:color w:val="000000"/>
        </w:rPr>
        <w:t>U.S. Department of Education, Office of Special Education Programs, Individuals with Disabilities Education Act (IDEA) database</w:t>
      </w:r>
    </w:p>
    <w:p w:rsidR="00B0519B" w:rsidRPr="002A708C" w:rsidRDefault="00B0519B" w:rsidP="00B0519B">
      <w:pPr>
        <w:pStyle w:val="TableNote"/>
      </w:pPr>
      <w:r w:rsidRPr="00CF29A7">
        <w:rPr>
          <w:b/>
        </w:rPr>
        <w:t>Note:</w:t>
      </w:r>
      <w:r w:rsidRPr="00F34820">
        <w:t xml:space="preserve"> Includes children and youth in the 50 states, the District of Columbia, and the Bureau of Indian Education schools. Data for 2007–08 and 2008–09 do not include Vermont. Detail may not sum to totals because of rounding. </w:t>
      </w:r>
    </w:p>
    <w:p w:rsidR="00B0519B" w:rsidRDefault="00B0519B" w:rsidP="00B0519B">
      <w:pPr>
        <w:pStyle w:val="NCDTableNumber"/>
      </w:pPr>
      <w:r>
        <w:lastRenderedPageBreak/>
        <w:t>Table 5.</w:t>
      </w:r>
    </w:p>
    <w:p w:rsidR="00B0519B" w:rsidRDefault="00B0519B" w:rsidP="00B0519B">
      <w:pPr>
        <w:pStyle w:val="TableTitle"/>
      </w:pPr>
      <w:r w:rsidRPr="005566A4">
        <w:t>Percent</w:t>
      </w:r>
      <w:r>
        <w:t>age</w:t>
      </w:r>
      <w:r w:rsidRPr="005566A4">
        <w:t xml:space="preserve"> of Students </w:t>
      </w:r>
      <w:r>
        <w:t>w</w:t>
      </w:r>
      <w:r w:rsidRPr="005566A4">
        <w:t>ith Disabilities in Regular Schools by Percent</w:t>
      </w:r>
      <w:r>
        <w:t>age</w:t>
      </w:r>
      <w:r w:rsidRPr="005566A4">
        <w:t xml:space="preserve"> of Time in General Classes by Disability Type, 2008</w:t>
      </w:r>
      <w:r>
        <w:t>–</w:t>
      </w:r>
      <w:r w:rsidRPr="005566A4">
        <w:t>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10"/>
        <w:gridCol w:w="1980"/>
        <w:gridCol w:w="1890"/>
        <w:gridCol w:w="1980"/>
      </w:tblGrid>
      <w:tr w:rsidR="00B0519B" w:rsidRPr="00AC25B5" w:rsidTr="00203192">
        <w:trPr>
          <w:cantSplit/>
          <w:trHeight w:val="20"/>
          <w:tblHeader/>
          <w:jc w:val="center"/>
        </w:trPr>
        <w:tc>
          <w:tcPr>
            <w:tcW w:w="3510" w:type="dxa"/>
            <w:tcBorders>
              <w:top w:val="single" w:sz="18" w:space="0" w:color="auto"/>
              <w:bottom w:val="single" w:sz="18" w:space="0" w:color="auto"/>
            </w:tcBorders>
            <w:shd w:val="pct10" w:color="auto" w:fill="auto"/>
            <w:noWrap/>
            <w:vAlign w:val="bottom"/>
            <w:hideMark/>
          </w:tcPr>
          <w:p w:rsidR="00B0519B" w:rsidRPr="00AC25B5" w:rsidRDefault="00B0519B" w:rsidP="00101C2D">
            <w:pPr>
              <w:pStyle w:val="TableHead"/>
            </w:pPr>
          </w:p>
        </w:tc>
        <w:tc>
          <w:tcPr>
            <w:tcW w:w="198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pPr>
            <w:r w:rsidRPr="00AC25B5">
              <w:t xml:space="preserve">Regular school: </w:t>
            </w:r>
            <w:r w:rsidRPr="00AC25B5">
              <w:br/>
              <w:t>80% or more</w:t>
            </w:r>
          </w:p>
        </w:tc>
        <w:tc>
          <w:tcPr>
            <w:tcW w:w="189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pPr>
            <w:r w:rsidRPr="00AC25B5">
              <w:t xml:space="preserve">Regular school: </w:t>
            </w:r>
            <w:r w:rsidRPr="00AC25B5">
              <w:br/>
              <w:t>79–40%</w:t>
            </w:r>
          </w:p>
        </w:tc>
        <w:tc>
          <w:tcPr>
            <w:tcW w:w="1980" w:type="dxa"/>
            <w:tcBorders>
              <w:top w:val="single" w:sz="18" w:space="0" w:color="auto"/>
              <w:bottom w:val="single" w:sz="18" w:space="0" w:color="auto"/>
            </w:tcBorders>
            <w:shd w:val="pct10" w:color="auto" w:fill="auto"/>
            <w:vAlign w:val="bottom"/>
            <w:hideMark/>
          </w:tcPr>
          <w:p w:rsidR="00B0519B" w:rsidRPr="00AC25B5" w:rsidRDefault="00B0519B" w:rsidP="00101C2D">
            <w:pPr>
              <w:pStyle w:val="TableHead"/>
            </w:pPr>
            <w:r w:rsidRPr="00AC25B5">
              <w:t xml:space="preserve">Regular school: </w:t>
            </w:r>
            <w:r w:rsidRPr="00AC25B5">
              <w:br/>
              <w:t xml:space="preserve">Less than 40% </w:t>
            </w:r>
          </w:p>
        </w:tc>
      </w:tr>
      <w:tr w:rsidR="00B0519B" w:rsidRPr="002A69BB" w:rsidTr="00203192">
        <w:trPr>
          <w:cantSplit/>
          <w:trHeight w:val="20"/>
          <w:jc w:val="center"/>
        </w:trPr>
        <w:tc>
          <w:tcPr>
            <w:tcW w:w="3510" w:type="dxa"/>
            <w:tcBorders>
              <w:top w:val="single" w:sz="18" w:space="0" w:color="auto"/>
            </w:tcBorders>
            <w:shd w:val="pct10" w:color="auto" w:fill="auto"/>
            <w:vAlign w:val="bottom"/>
            <w:hideMark/>
          </w:tcPr>
          <w:p w:rsidR="00B0519B" w:rsidRPr="00AD31F8" w:rsidRDefault="00B0519B" w:rsidP="00101C2D">
            <w:pPr>
              <w:pStyle w:val="TableText"/>
              <w:rPr>
                <w:b/>
              </w:rPr>
            </w:pPr>
            <w:r w:rsidRPr="00AD31F8">
              <w:rPr>
                <w:b/>
              </w:rPr>
              <w:t>Intellectual disability</w:t>
            </w:r>
          </w:p>
        </w:tc>
        <w:tc>
          <w:tcPr>
            <w:tcW w:w="1980" w:type="dxa"/>
            <w:tcBorders>
              <w:top w:val="single" w:sz="18" w:space="0" w:color="auto"/>
            </w:tcBorders>
            <w:shd w:val="clear" w:color="auto" w:fill="auto"/>
            <w:vAlign w:val="bottom"/>
            <w:hideMark/>
          </w:tcPr>
          <w:p w:rsidR="00B0519B" w:rsidRPr="00AD31F8" w:rsidRDefault="00B0519B" w:rsidP="00101C2D">
            <w:pPr>
              <w:pStyle w:val="TableText"/>
              <w:jc w:val="center"/>
            </w:pPr>
            <w:r w:rsidRPr="00AD31F8">
              <w:t>16.2</w:t>
            </w:r>
          </w:p>
        </w:tc>
        <w:tc>
          <w:tcPr>
            <w:tcW w:w="1890" w:type="dxa"/>
            <w:tcBorders>
              <w:top w:val="single" w:sz="18" w:space="0" w:color="auto"/>
            </w:tcBorders>
            <w:shd w:val="clear" w:color="auto" w:fill="auto"/>
            <w:vAlign w:val="bottom"/>
            <w:hideMark/>
          </w:tcPr>
          <w:p w:rsidR="00B0519B" w:rsidRPr="00AD31F8" w:rsidRDefault="00B0519B" w:rsidP="00101C2D">
            <w:pPr>
              <w:pStyle w:val="TableText"/>
              <w:jc w:val="center"/>
            </w:pPr>
            <w:r w:rsidRPr="00AD31F8">
              <w:t>27.4</w:t>
            </w:r>
          </w:p>
        </w:tc>
        <w:tc>
          <w:tcPr>
            <w:tcW w:w="1980" w:type="dxa"/>
            <w:tcBorders>
              <w:top w:val="single" w:sz="18" w:space="0" w:color="auto"/>
            </w:tcBorders>
            <w:shd w:val="clear" w:color="auto" w:fill="auto"/>
            <w:vAlign w:val="bottom"/>
            <w:hideMark/>
          </w:tcPr>
          <w:p w:rsidR="00B0519B" w:rsidRPr="00AD31F8" w:rsidRDefault="00B0519B" w:rsidP="00101C2D">
            <w:pPr>
              <w:pStyle w:val="TableText"/>
              <w:jc w:val="center"/>
            </w:pPr>
            <w:r w:rsidRPr="00AD31F8">
              <w:t>48.9</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Multiple disabilities</w:t>
            </w:r>
          </w:p>
        </w:tc>
        <w:tc>
          <w:tcPr>
            <w:tcW w:w="1980" w:type="dxa"/>
            <w:shd w:val="clear" w:color="auto" w:fill="auto"/>
            <w:vAlign w:val="bottom"/>
            <w:hideMark/>
          </w:tcPr>
          <w:p w:rsidR="00B0519B" w:rsidRPr="00AD31F8" w:rsidRDefault="00B0519B" w:rsidP="00101C2D">
            <w:pPr>
              <w:pStyle w:val="TableText"/>
              <w:jc w:val="center"/>
            </w:pPr>
            <w:r w:rsidRPr="00AD31F8">
              <w:t>13.2</w:t>
            </w:r>
          </w:p>
        </w:tc>
        <w:tc>
          <w:tcPr>
            <w:tcW w:w="1890" w:type="dxa"/>
            <w:shd w:val="clear" w:color="auto" w:fill="auto"/>
            <w:vAlign w:val="bottom"/>
            <w:hideMark/>
          </w:tcPr>
          <w:p w:rsidR="00B0519B" w:rsidRPr="00AD31F8" w:rsidRDefault="00B0519B" w:rsidP="00101C2D">
            <w:pPr>
              <w:pStyle w:val="TableText"/>
              <w:jc w:val="center"/>
            </w:pPr>
            <w:r w:rsidRPr="00AD31F8">
              <w:t>16.5</w:t>
            </w:r>
          </w:p>
        </w:tc>
        <w:tc>
          <w:tcPr>
            <w:tcW w:w="1980" w:type="dxa"/>
            <w:shd w:val="clear" w:color="auto" w:fill="auto"/>
            <w:vAlign w:val="bottom"/>
            <w:hideMark/>
          </w:tcPr>
          <w:p w:rsidR="00B0519B" w:rsidRPr="00AD31F8" w:rsidRDefault="00B0519B" w:rsidP="00101C2D">
            <w:pPr>
              <w:pStyle w:val="TableText"/>
              <w:jc w:val="center"/>
            </w:pPr>
            <w:r w:rsidRPr="00AD31F8">
              <w:t>46.2</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Autism</w:t>
            </w:r>
          </w:p>
        </w:tc>
        <w:tc>
          <w:tcPr>
            <w:tcW w:w="1980" w:type="dxa"/>
            <w:shd w:val="clear" w:color="auto" w:fill="auto"/>
            <w:vAlign w:val="bottom"/>
            <w:hideMark/>
          </w:tcPr>
          <w:p w:rsidR="00B0519B" w:rsidRPr="00AD31F8" w:rsidRDefault="00B0519B" w:rsidP="00101C2D">
            <w:pPr>
              <w:pStyle w:val="TableText"/>
              <w:jc w:val="center"/>
            </w:pPr>
            <w:r w:rsidRPr="00AD31F8">
              <w:t>36.1</w:t>
            </w:r>
          </w:p>
        </w:tc>
        <w:tc>
          <w:tcPr>
            <w:tcW w:w="1890" w:type="dxa"/>
            <w:shd w:val="clear" w:color="auto" w:fill="auto"/>
            <w:vAlign w:val="bottom"/>
            <w:hideMark/>
          </w:tcPr>
          <w:p w:rsidR="00B0519B" w:rsidRPr="00AD31F8" w:rsidRDefault="00B0519B" w:rsidP="00101C2D">
            <w:pPr>
              <w:pStyle w:val="TableText"/>
              <w:jc w:val="center"/>
            </w:pPr>
            <w:r w:rsidRPr="00AD31F8">
              <w:t>18.3</w:t>
            </w:r>
          </w:p>
        </w:tc>
        <w:tc>
          <w:tcPr>
            <w:tcW w:w="1980" w:type="dxa"/>
            <w:shd w:val="clear" w:color="auto" w:fill="auto"/>
            <w:vAlign w:val="bottom"/>
            <w:hideMark/>
          </w:tcPr>
          <w:p w:rsidR="00B0519B" w:rsidRPr="00AD31F8" w:rsidRDefault="00B0519B" w:rsidP="00101C2D">
            <w:pPr>
              <w:pStyle w:val="TableText"/>
              <w:jc w:val="center"/>
            </w:pPr>
            <w:r w:rsidRPr="00AD31F8">
              <w:t>35.8</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Deaf-blindness</w:t>
            </w:r>
          </w:p>
        </w:tc>
        <w:tc>
          <w:tcPr>
            <w:tcW w:w="1980" w:type="dxa"/>
            <w:shd w:val="clear" w:color="auto" w:fill="auto"/>
            <w:vAlign w:val="bottom"/>
            <w:hideMark/>
          </w:tcPr>
          <w:p w:rsidR="00B0519B" w:rsidRPr="00AD31F8" w:rsidRDefault="00B0519B" w:rsidP="00101C2D">
            <w:pPr>
              <w:pStyle w:val="TableText"/>
              <w:jc w:val="center"/>
            </w:pPr>
            <w:r w:rsidRPr="00AD31F8">
              <w:t>30</w:t>
            </w:r>
          </w:p>
        </w:tc>
        <w:tc>
          <w:tcPr>
            <w:tcW w:w="1890" w:type="dxa"/>
            <w:shd w:val="clear" w:color="auto" w:fill="auto"/>
            <w:vAlign w:val="bottom"/>
            <w:hideMark/>
          </w:tcPr>
          <w:p w:rsidR="00B0519B" w:rsidRPr="00AD31F8" w:rsidRDefault="00B0519B" w:rsidP="00101C2D">
            <w:pPr>
              <w:pStyle w:val="TableText"/>
              <w:jc w:val="center"/>
            </w:pPr>
            <w:r w:rsidRPr="00AD31F8">
              <w:t>16.7</w:t>
            </w:r>
          </w:p>
        </w:tc>
        <w:tc>
          <w:tcPr>
            <w:tcW w:w="1980" w:type="dxa"/>
            <w:shd w:val="clear" w:color="auto" w:fill="auto"/>
            <w:vAlign w:val="bottom"/>
            <w:hideMark/>
          </w:tcPr>
          <w:p w:rsidR="00B0519B" w:rsidRPr="00AD31F8" w:rsidRDefault="00B0519B" w:rsidP="00101C2D">
            <w:pPr>
              <w:pStyle w:val="TableText"/>
              <w:jc w:val="center"/>
            </w:pPr>
            <w:r w:rsidRPr="00AD31F8">
              <w:t>29.1</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Orthopedic impairments</w:t>
            </w:r>
          </w:p>
        </w:tc>
        <w:tc>
          <w:tcPr>
            <w:tcW w:w="1980" w:type="dxa"/>
            <w:shd w:val="clear" w:color="auto" w:fill="auto"/>
            <w:vAlign w:val="bottom"/>
            <w:hideMark/>
          </w:tcPr>
          <w:p w:rsidR="00B0519B" w:rsidRPr="00AD31F8" w:rsidRDefault="00B0519B" w:rsidP="00101C2D">
            <w:pPr>
              <w:pStyle w:val="TableText"/>
              <w:jc w:val="center"/>
            </w:pPr>
            <w:r w:rsidRPr="00AD31F8">
              <w:t>51.3</w:t>
            </w:r>
          </w:p>
        </w:tc>
        <w:tc>
          <w:tcPr>
            <w:tcW w:w="1890" w:type="dxa"/>
            <w:shd w:val="clear" w:color="auto" w:fill="auto"/>
            <w:vAlign w:val="bottom"/>
            <w:hideMark/>
          </w:tcPr>
          <w:p w:rsidR="00B0519B" w:rsidRPr="00AD31F8" w:rsidRDefault="00B0519B" w:rsidP="00101C2D">
            <w:pPr>
              <w:pStyle w:val="TableText"/>
              <w:jc w:val="center"/>
            </w:pPr>
            <w:r w:rsidRPr="00AD31F8">
              <w:t>16.6</w:t>
            </w:r>
          </w:p>
        </w:tc>
        <w:tc>
          <w:tcPr>
            <w:tcW w:w="1980" w:type="dxa"/>
            <w:shd w:val="clear" w:color="auto" w:fill="auto"/>
            <w:vAlign w:val="bottom"/>
            <w:hideMark/>
          </w:tcPr>
          <w:p w:rsidR="00B0519B" w:rsidRPr="00AD31F8" w:rsidRDefault="00B0519B" w:rsidP="00101C2D">
            <w:pPr>
              <w:pStyle w:val="TableText"/>
              <w:jc w:val="center"/>
            </w:pPr>
            <w:r w:rsidRPr="00AD31F8">
              <w:t>24.8</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Other health impairments</w:t>
            </w:r>
          </w:p>
        </w:tc>
        <w:tc>
          <w:tcPr>
            <w:tcW w:w="1980" w:type="dxa"/>
            <w:shd w:val="clear" w:color="auto" w:fill="auto"/>
            <w:vAlign w:val="bottom"/>
            <w:hideMark/>
          </w:tcPr>
          <w:p w:rsidR="00B0519B" w:rsidRPr="00AD31F8" w:rsidRDefault="00B0519B" w:rsidP="00101C2D">
            <w:pPr>
              <w:pStyle w:val="TableText"/>
              <w:jc w:val="center"/>
            </w:pPr>
            <w:r w:rsidRPr="00AD31F8">
              <w:t>60.1</w:t>
            </w:r>
          </w:p>
        </w:tc>
        <w:tc>
          <w:tcPr>
            <w:tcW w:w="1890" w:type="dxa"/>
            <w:shd w:val="clear" w:color="auto" w:fill="auto"/>
            <w:vAlign w:val="bottom"/>
            <w:hideMark/>
          </w:tcPr>
          <w:p w:rsidR="00B0519B" w:rsidRPr="00AD31F8" w:rsidRDefault="00B0519B" w:rsidP="00101C2D">
            <w:pPr>
              <w:pStyle w:val="TableText"/>
              <w:jc w:val="center"/>
            </w:pPr>
            <w:r w:rsidRPr="00AD31F8">
              <w:t>24.6</w:t>
            </w:r>
          </w:p>
        </w:tc>
        <w:tc>
          <w:tcPr>
            <w:tcW w:w="1980" w:type="dxa"/>
            <w:shd w:val="clear" w:color="auto" w:fill="auto"/>
            <w:vAlign w:val="bottom"/>
            <w:hideMark/>
          </w:tcPr>
          <w:p w:rsidR="00B0519B" w:rsidRPr="00AD31F8" w:rsidRDefault="00B0519B" w:rsidP="00101C2D">
            <w:pPr>
              <w:pStyle w:val="TableText"/>
              <w:jc w:val="center"/>
            </w:pPr>
            <w:r w:rsidRPr="00AD31F8">
              <w:t>24.8</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Emotional disturbance</w:t>
            </w:r>
          </w:p>
        </w:tc>
        <w:tc>
          <w:tcPr>
            <w:tcW w:w="1980" w:type="dxa"/>
            <w:shd w:val="clear" w:color="auto" w:fill="auto"/>
            <w:vAlign w:val="bottom"/>
            <w:hideMark/>
          </w:tcPr>
          <w:p w:rsidR="00B0519B" w:rsidRPr="00AD31F8" w:rsidRDefault="00B0519B" w:rsidP="00101C2D">
            <w:pPr>
              <w:pStyle w:val="TableText"/>
              <w:jc w:val="center"/>
            </w:pPr>
            <w:r w:rsidRPr="00AD31F8">
              <w:t>39.2</w:t>
            </w:r>
          </w:p>
        </w:tc>
        <w:tc>
          <w:tcPr>
            <w:tcW w:w="1890" w:type="dxa"/>
            <w:shd w:val="clear" w:color="auto" w:fill="auto"/>
            <w:vAlign w:val="bottom"/>
            <w:hideMark/>
          </w:tcPr>
          <w:p w:rsidR="00B0519B" w:rsidRPr="00AD31F8" w:rsidRDefault="00B0519B" w:rsidP="00101C2D">
            <w:pPr>
              <w:pStyle w:val="TableText"/>
              <w:jc w:val="center"/>
            </w:pPr>
            <w:r w:rsidRPr="00AD31F8">
              <w:t>19.4</w:t>
            </w:r>
          </w:p>
        </w:tc>
        <w:tc>
          <w:tcPr>
            <w:tcW w:w="1980" w:type="dxa"/>
            <w:shd w:val="clear" w:color="auto" w:fill="auto"/>
            <w:vAlign w:val="bottom"/>
            <w:hideMark/>
          </w:tcPr>
          <w:p w:rsidR="00B0519B" w:rsidRPr="00AD31F8" w:rsidRDefault="00B0519B" w:rsidP="00101C2D">
            <w:pPr>
              <w:pStyle w:val="TableText"/>
              <w:jc w:val="center"/>
            </w:pPr>
            <w:r w:rsidRPr="00AD31F8">
              <w:t>23.2</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Traumatic brain injury</w:t>
            </w:r>
          </w:p>
        </w:tc>
        <w:tc>
          <w:tcPr>
            <w:tcW w:w="1980" w:type="dxa"/>
            <w:shd w:val="clear" w:color="auto" w:fill="auto"/>
            <w:vAlign w:val="bottom"/>
            <w:hideMark/>
          </w:tcPr>
          <w:p w:rsidR="00B0519B" w:rsidRPr="00AD31F8" w:rsidRDefault="00B0519B" w:rsidP="00101C2D">
            <w:pPr>
              <w:pStyle w:val="TableText"/>
              <w:jc w:val="center"/>
            </w:pPr>
            <w:r w:rsidRPr="00AD31F8">
              <w:t>45</w:t>
            </w:r>
          </w:p>
        </w:tc>
        <w:tc>
          <w:tcPr>
            <w:tcW w:w="1890" w:type="dxa"/>
            <w:shd w:val="clear" w:color="auto" w:fill="auto"/>
            <w:vAlign w:val="bottom"/>
            <w:hideMark/>
          </w:tcPr>
          <w:p w:rsidR="00B0519B" w:rsidRPr="00AD31F8" w:rsidRDefault="00B0519B" w:rsidP="00101C2D">
            <w:pPr>
              <w:pStyle w:val="TableText"/>
              <w:jc w:val="center"/>
            </w:pPr>
            <w:r w:rsidRPr="00AD31F8">
              <w:t>23.2</w:t>
            </w:r>
          </w:p>
        </w:tc>
        <w:tc>
          <w:tcPr>
            <w:tcW w:w="1980" w:type="dxa"/>
            <w:shd w:val="clear" w:color="auto" w:fill="auto"/>
            <w:vAlign w:val="bottom"/>
            <w:hideMark/>
          </w:tcPr>
          <w:p w:rsidR="00B0519B" w:rsidRPr="00AD31F8" w:rsidRDefault="00B0519B" w:rsidP="00101C2D">
            <w:pPr>
              <w:pStyle w:val="TableText"/>
              <w:jc w:val="center"/>
            </w:pPr>
            <w:r w:rsidRPr="00AD31F8">
              <w:t>23</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Developmental delay</w:t>
            </w:r>
          </w:p>
        </w:tc>
        <w:tc>
          <w:tcPr>
            <w:tcW w:w="1980" w:type="dxa"/>
            <w:shd w:val="clear" w:color="auto" w:fill="auto"/>
            <w:vAlign w:val="bottom"/>
            <w:hideMark/>
          </w:tcPr>
          <w:p w:rsidR="00B0519B" w:rsidRPr="00AD31F8" w:rsidRDefault="00B0519B" w:rsidP="00101C2D">
            <w:pPr>
              <w:pStyle w:val="TableText"/>
              <w:jc w:val="center"/>
            </w:pPr>
            <w:r w:rsidRPr="00AD31F8">
              <w:t>61.8</w:t>
            </w:r>
          </w:p>
        </w:tc>
        <w:tc>
          <w:tcPr>
            <w:tcW w:w="1890" w:type="dxa"/>
            <w:shd w:val="clear" w:color="auto" w:fill="auto"/>
            <w:vAlign w:val="bottom"/>
            <w:hideMark/>
          </w:tcPr>
          <w:p w:rsidR="00B0519B" w:rsidRPr="00AD31F8" w:rsidRDefault="00B0519B" w:rsidP="00101C2D">
            <w:pPr>
              <w:pStyle w:val="TableText"/>
              <w:jc w:val="center"/>
            </w:pPr>
            <w:r w:rsidRPr="00AD31F8">
              <w:t>20.6</w:t>
            </w:r>
          </w:p>
        </w:tc>
        <w:tc>
          <w:tcPr>
            <w:tcW w:w="1980" w:type="dxa"/>
            <w:shd w:val="clear" w:color="auto" w:fill="auto"/>
            <w:vAlign w:val="bottom"/>
            <w:hideMark/>
          </w:tcPr>
          <w:p w:rsidR="00B0519B" w:rsidRPr="00AD31F8" w:rsidRDefault="00B0519B" w:rsidP="00101C2D">
            <w:pPr>
              <w:pStyle w:val="TableText"/>
              <w:jc w:val="center"/>
            </w:pPr>
            <w:r w:rsidRPr="00AD31F8">
              <w:t>16.2</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Hearing impairments</w:t>
            </w:r>
          </w:p>
        </w:tc>
        <w:tc>
          <w:tcPr>
            <w:tcW w:w="1980" w:type="dxa"/>
            <w:shd w:val="clear" w:color="auto" w:fill="auto"/>
            <w:vAlign w:val="bottom"/>
            <w:hideMark/>
          </w:tcPr>
          <w:p w:rsidR="00B0519B" w:rsidRPr="00AD31F8" w:rsidRDefault="00B0519B" w:rsidP="00101C2D">
            <w:pPr>
              <w:pStyle w:val="TableText"/>
              <w:jc w:val="center"/>
            </w:pPr>
            <w:r w:rsidRPr="00AD31F8">
              <w:t>53.3</w:t>
            </w:r>
          </w:p>
        </w:tc>
        <w:tc>
          <w:tcPr>
            <w:tcW w:w="1890" w:type="dxa"/>
            <w:shd w:val="clear" w:color="auto" w:fill="auto"/>
            <w:vAlign w:val="bottom"/>
            <w:hideMark/>
          </w:tcPr>
          <w:p w:rsidR="00B0519B" w:rsidRPr="00AD31F8" w:rsidRDefault="00B0519B" w:rsidP="00101C2D">
            <w:pPr>
              <w:pStyle w:val="TableText"/>
              <w:jc w:val="center"/>
            </w:pPr>
            <w:r w:rsidRPr="00AD31F8">
              <w:t>17.2</w:t>
            </w:r>
          </w:p>
        </w:tc>
        <w:tc>
          <w:tcPr>
            <w:tcW w:w="1980" w:type="dxa"/>
            <w:shd w:val="clear" w:color="auto" w:fill="auto"/>
            <w:vAlign w:val="bottom"/>
            <w:hideMark/>
          </w:tcPr>
          <w:p w:rsidR="00B0519B" w:rsidRPr="00AD31F8" w:rsidRDefault="00B0519B" w:rsidP="00101C2D">
            <w:pPr>
              <w:pStyle w:val="TableText"/>
              <w:jc w:val="center"/>
            </w:pPr>
            <w:r w:rsidRPr="00AD31F8">
              <w:t>15.8</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Visual impairments</w:t>
            </w:r>
          </w:p>
        </w:tc>
        <w:tc>
          <w:tcPr>
            <w:tcW w:w="1980" w:type="dxa"/>
            <w:shd w:val="clear" w:color="auto" w:fill="auto"/>
            <w:vAlign w:val="bottom"/>
            <w:hideMark/>
          </w:tcPr>
          <w:p w:rsidR="00B0519B" w:rsidRPr="00AD31F8" w:rsidRDefault="00B0519B" w:rsidP="00101C2D">
            <w:pPr>
              <w:pStyle w:val="TableText"/>
              <w:jc w:val="center"/>
            </w:pPr>
            <w:r w:rsidRPr="00AD31F8">
              <w:t>61.6</w:t>
            </w:r>
          </w:p>
        </w:tc>
        <w:tc>
          <w:tcPr>
            <w:tcW w:w="1890" w:type="dxa"/>
            <w:shd w:val="clear" w:color="auto" w:fill="auto"/>
            <w:vAlign w:val="bottom"/>
            <w:hideMark/>
          </w:tcPr>
          <w:p w:rsidR="00B0519B" w:rsidRPr="00AD31F8" w:rsidRDefault="00B0519B" w:rsidP="00101C2D">
            <w:pPr>
              <w:pStyle w:val="TableText"/>
              <w:jc w:val="center"/>
            </w:pPr>
            <w:r w:rsidRPr="00AD31F8">
              <w:t>13.9</w:t>
            </w:r>
          </w:p>
        </w:tc>
        <w:tc>
          <w:tcPr>
            <w:tcW w:w="1980" w:type="dxa"/>
            <w:shd w:val="clear" w:color="auto" w:fill="auto"/>
            <w:vAlign w:val="bottom"/>
            <w:hideMark/>
          </w:tcPr>
          <w:p w:rsidR="00B0519B" w:rsidRPr="00AD31F8" w:rsidRDefault="00B0519B" w:rsidP="00101C2D">
            <w:pPr>
              <w:pStyle w:val="TableText"/>
              <w:jc w:val="center"/>
            </w:pPr>
            <w:r w:rsidRPr="00AD31F8">
              <w:t>12</w:t>
            </w:r>
          </w:p>
        </w:tc>
      </w:tr>
      <w:tr w:rsidR="00B0519B" w:rsidRPr="002A69BB" w:rsidTr="00203192">
        <w:trPr>
          <w:cantSplit/>
          <w:trHeight w:val="20"/>
          <w:jc w:val="center"/>
        </w:trPr>
        <w:tc>
          <w:tcPr>
            <w:tcW w:w="3510" w:type="dxa"/>
            <w:shd w:val="pct10" w:color="auto" w:fill="auto"/>
            <w:vAlign w:val="bottom"/>
            <w:hideMark/>
          </w:tcPr>
          <w:p w:rsidR="00B0519B" w:rsidRPr="00AD31F8" w:rsidRDefault="00B0519B" w:rsidP="00101C2D">
            <w:pPr>
              <w:pStyle w:val="TableText"/>
              <w:rPr>
                <w:b/>
              </w:rPr>
            </w:pPr>
            <w:r w:rsidRPr="00AD31F8">
              <w:rPr>
                <w:b/>
              </w:rPr>
              <w:t>Specific learning disabilities</w:t>
            </w:r>
          </w:p>
        </w:tc>
        <w:tc>
          <w:tcPr>
            <w:tcW w:w="1980" w:type="dxa"/>
            <w:shd w:val="clear" w:color="auto" w:fill="auto"/>
            <w:vAlign w:val="bottom"/>
            <w:hideMark/>
          </w:tcPr>
          <w:p w:rsidR="00B0519B" w:rsidRPr="00AD31F8" w:rsidRDefault="00B0519B" w:rsidP="00101C2D">
            <w:pPr>
              <w:pStyle w:val="TableText"/>
              <w:jc w:val="center"/>
            </w:pPr>
            <w:r w:rsidRPr="00AD31F8">
              <w:t>60.9</w:t>
            </w:r>
          </w:p>
        </w:tc>
        <w:tc>
          <w:tcPr>
            <w:tcW w:w="1890" w:type="dxa"/>
            <w:shd w:val="clear" w:color="auto" w:fill="auto"/>
            <w:vAlign w:val="bottom"/>
            <w:hideMark/>
          </w:tcPr>
          <w:p w:rsidR="00B0519B" w:rsidRPr="00AD31F8" w:rsidRDefault="00B0519B" w:rsidP="00101C2D">
            <w:pPr>
              <w:pStyle w:val="TableText"/>
              <w:jc w:val="center"/>
            </w:pPr>
            <w:r w:rsidRPr="00AD31F8">
              <w:t>28.4</w:t>
            </w:r>
          </w:p>
        </w:tc>
        <w:tc>
          <w:tcPr>
            <w:tcW w:w="1980" w:type="dxa"/>
            <w:shd w:val="clear" w:color="auto" w:fill="auto"/>
            <w:vAlign w:val="bottom"/>
            <w:hideMark/>
          </w:tcPr>
          <w:p w:rsidR="00B0519B" w:rsidRPr="00AD31F8" w:rsidRDefault="00B0519B" w:rsidP="00101C2D">
            <w:pPr>
              <w:pStyle w:val="TableText"/>
              <w:jc w:val="center"/>
            </w:pPr>
            <w:r w:rsidRPr="00AD31F8">
              <w:t>8.6</w:t>
            </w:r>
          </w:p>
        </w:tc>
      </w:tr>
      <w:tr w:rsidR="00B0519B" w:rsidRPr="002A69BB" w:rsidTr="00203192">
        <w:trPr>
          <w:cantSplit/>
          <w:trHeight w:val="20"/>
          <w:jc w:val="center"/>
        </w:trPr>
        <w:tc>
          <w:tcPr>
            <w:tcW w:w="3510" w:type="dxa"/>
            <w:shd w:val="pct10" w:color="auto" w:fill="auto"/>
            <w:noWrap/>
            <w:vAlign w:val="bottom"/>
            <w:hideMark/>
          </w:tcPr>
          <w:p w:rsidR="00B0519B" w:rsidRPr="00AD31F8" w:rsidRDefault="00B0519B" w:rsidP="00101C2D">
            <w:pPr>
              <w:pStyle w:val="TableText"/>
              <w:rPr>
                <w:b/>
              </w:rPr>
            </w:pPr>
            <w:r w:rsidRPr="00AD31F8">
              <w:rPr>
                <w:b/>
              </w:rPr>
              <w:t>Speech or language impairments</w:t>
            </w:r>
          </w:p>
        </w:tc>
        <w:tc>
          <w:tcPr>
            <w:tcW w:w="1980" w:type="dxa"/>
            <w:shd w:val="clear" w:color="auto" w:fill="auto"/>
            <w:vAlign w:val="bottom"/>
            <w:hideMark/>
          </w:tcPr>
          <w:p w:rsidR="00B0519B" w:rsidRPr="00AD31F8" w:rsidRDefault="00B0519B" w:rsidP="00101C2D">
            <w:pPr>
              <w:pStyle w:val="TableText"/>
              <w:jc w:val="center"/>
            </w:pPr>
            <w:r w:rsidRPr="00AD31F8">
              <w:t>86.4</w:t>
            </w:r>
          </w:p>
        </w:tc>
        <w:tc>
          <w:tcPr>
            <w:tcW w:w="1890" w:type="dxa"/>
            <w:shd w:val="clear" w:color="auto" w:fill="auto"/>
            <w:vAlign w:val="bottom"/>
            <w:hideMark/>
          </w:tcPr>
          <w:p w:rsidR="00B0519B" w:rsidRPr="00AD31F8" w:rsidRDefault="00B0519B" w:rsidP="00101C2D">
            <w:pPr>
              <w:pStyle w:val="TableText"/>
              <w:jc w:val="center"/>
            </w:pPr>
            <w:r w:rsidRPr="00AD31F8">
              <w:t>5.7</w:t>
            </w:r>
          </w:p>
        </w:tc>
        <w:tc>
          <w:tcPr>
            <w:tcW w:w="1980" w:type="dxa"/>
            <w:shd w:val="clear" w:color="auto" w:fill="auto"/>
            <w:vAlign w:val="bottom"/>
            <w:hideMark/>
          </w:tcPr>
          <w:p w:rsidR="00B0519B" w:rsidRPr="00AD31F8" w:rsidRDefault="00B0519B" w:rsidP="00101C2D">
            <w:pPr>
              <w:pStyle w:val="TableText"/>
              <w:jc w:val="center"/>
            </w:pPr>
            <w:r w:rsidRPr="00AD31F8">
              <w:t>4.7</w:t>
            </w:r>
          </w:p>
        </w:tc>
      </w:tr>
    </w:tbl>
    <w:p w:rsidR="00B0519B" w:rsidRDefault="00B0519B" w:rsidP="00B0519B">
      <w:pPr>
        <w:pStyle w:val="TableNote"/>
        <w:spacing w:after="120"/>
        <w:rPr>
          <w:color w:val="000000"/>
        </w:rPr>
      </w:pPr>
      <w:r w:rsidRPr="00CF29A7">
        <w:rPr>
          <w:b/>
        </w:rPr>
        <w:t>Source:</w:t>
      </w:r>
      <w:r>
        <w:t xml:space="preserve"> </w:t>
      </w:r>
      <w:r w:rsidRPr="004256CC">
        <w:t xml:space="preserve">U.S. Department of Education, Institute of Education Sciences, Condition of Education, </w:t>
      </w:r>
      <w:r>
        <w:br/>
      </w:r>
      <w:r w:rsidRPr="004256CC">
        <w:rPr>
          <w:bCs/>
          <w:color w:val="000000"/>
        </w:rPr>
        <w:t xml:space="preserve">Table A-7-2, </w:t>
      </w:r>
      <w:hyperlink r:id="rId22" w:history="1">
        <w:r w:rsidRPr="004256CC">
          <w:rPr>
            <w:rStyle w:val="Hyperlink"/>
          </w:rPr>
          <w:t>http://nces.ed.gov/programs/coe/tables/table-cwd-2.asp</w:t>
        </w:r>
      </w:hyperlink>
      <w:r w:rsidRPr="004256CC">
        <w:t xml:space="preserve"> compiled from </w:t>
      </w:r>
      <w:r w:rsidRPr="004256CC">
        <w:rPr>
          <w:color w:val="000000"/>
        </w:rPr>
        <w:t>U.S. Department of Education, Office of Special Education Programs, Individuals with Disabilities Education Act (IDEA) database.</w:t>
      </w:r>
      <w:r>
        <w:rPr>
          <w:color w:val="000000"/>
        </w:rPr>
        <w:t xml:space="preserve"> </w:t>
      </w:r>
    </w:p>
    <w:p w:rsidR="00B0519B" w:rsidRPr="004256CC" w:rsidRDefault="00B0519B" w:rsidP="00B0519B">
      <w:pPr>
        <w:pStyle w:val="TableNote"/>
      </w:pPr>
      <w:r w:rsidRPr="00CF29A7">
        <w:rPr>
          <w:b/>
        </w:rPr>
        <w:t>Note:</w:t>
      </w:r>
      <w:r w:rsidRPr="004256CC">
        <w:t xml:space="preserve"> Includes children and youth in the 50 states, the District of Columbia, and the Bureau of Indian Education schools. Data for 2007–08 and 2008–09 do not include Vermont. Detail may not sum to totals because of rounding. </w:t>
      </w:r>
    </w:p>
    <w:p w:rsidR="00B0519B" w:rsidRPr="005566A4" w:rsidRDefault="00857C75" w:rsidP="00B0519B">
      <w:pPr>
        <w:pStyle w:val="BodyText"/>
      </w:pPr>
      <w:r w:rsidRPr="00857C75">
        <w:t>Similarly, the data on the number of students with disabilities who exit high school with a diploma varies by disability, as well as by state</w:t>
      </w:r>
      <w:r w:rsidR="00B0519B">
        <w:t xml:space="preserve">. When aggregated, </w:t>
      </w:r>
      <w:r w:rsidR="00B0519B" w:rsidRPr="005566A4">
        <w:t>the higher rates of graduation with a high school diploma for students with certain disabilities can mask the very low rates for students with other disabilities</w:t>
      </w:r>
      <w:r w:rsidR="00B0519B">
        <w:t xml:space="preserve"> (Table 6)</w:t>
      </w:r>
      <w:r w:rsidR="00B0519B" w:rsidRPr="005566A4">
        <w:t>.</w:t>
      </w:r>
      <w:r w:rsidR="00B0519B">
        <w:t xml:space="preserve"> </w:t>
      </w:r>
    </w:p>
    <w:p w:rsidR="00B0519B" w:rsidRDefault="00B0519B" w:rsidP="00B0519B">
      <w:pPr>
        <w:pStyle w:val="NCDTableNumber"/>
      </w:pPr>
      <w:r w:rsidRPr="005566A4">
        <w:lastRenderedPageBreak/>
        <w:t xml:space="preserve">Table </w:t>
      </w:r>
      <w:r>
        <w:t>6.</w:t>
      </w:r>
    </w:p>
    <w:p w:rsidR="00B0519B" w:rsidRPr="005566A4" w:rsidRDefault="00B0519B" w:rsidP="00B0519B">
      <w:pPr>
        <w:pStyle w:val="TableTitle"/>
      </w:pPr>
      <w:r>
        <w:t xml:space="preserve">Percentage </w:t>
      </w:r>
      <w:r w:rsidRPr="005566A4">
        <w:t>of 14</w:t>
      </w:r>
      <w:r>
        <w:t>-</w:t>
      </w:r>
      <w:r w:rsidRPr="005566A4">
        <w:t xml:space="preserve"> to 21-</w:t>
      </w:r>
      <w:r>
        <w:t>Y</w:t>
      </w:r>
      <w:r w:rsidRPr="005566A4">
        <w:t>ear-</w:t>
      </w:r>
      <w:r>
        <w:t>O</w:t>
      </w:r>
      <w:r w:rsidRPr="005566A4">
        <w:t xml:space="preserve">ld Students Served </w:t>
      </w:r>
      <w:r>
        <w:t>u</w:t>
      </w:r>
      <w:r w:rsidRPr="005566A4">
        <w:t xml:space="preserve">nder IDEA, Part B, Who Exited School by Exit Reason </w:t>
      </w:r>
      <w:r>
        <w:t>and Type of Disability, 2007–08</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05"/>
        <w:gridCol w:w="1634"/>
        <w:gridCol w:w="1725"/>
        <w:gridCol w:w="1271"/>
        <w:gridCol w:w="1725"/>
      </w:tblGrid>
      <w:tr w:rsidR="00B0519B" w:rsidRPr="00AC25B5" w:rsidTr="00203192">
        <w:trPr>
          <w:cantSplit/>
          <w:trHeight w:val="20"/>
          <w:tblHeader/>
          <w:jc w:val="center"/>
        </w:trPr>
        <w:tc>
          <w:tcPr>
            <w:tcW w:w="2980" w:type="dxa"/>
            <w:tcBorders>
              <w:top w:val="single" w:sz="18" w:space="0" w:color="auto"/>
              <w:bottom w:val="single" w:sz="18" w:space="0" w:color="auto"/>
            </w:tcBorders>
            <w:shd w:val="clear" w:color="000000" w:fill="E6E6E6"/>
            <w:vAlign w:val="bottom"/>
            <w:hideMark/>
          </w:tcPr>
          <w:p w:rsidR="00B0519B" w:rsidRPr="00AC25B5" w:rsidRDefault="00B0519B" w:rsidP="00101C2D">
            <w:pPr>
              <w:pStyle w:val="TableHead"/>
              <w:jc w:val="left"/>
            </w:pPr>
            <w:r w:rsidRPr="00AC25B5">
              <w:t>Type of disability</w:t>
            </w:r>
          </w:p>
        </w:tc>
        <w:tc>
          <w:tcPr>
            <w:tcW w:w="1620" w:type="dxa"/>
            <w:tcBorders>
              <w:top w:val="single" w:sz="18" w:space="0" w:color="auto"/>
              <w:bottom w:val="single" w:sz="18" w:space="0" w:color="auto"/>
            </w:tcBorders>
            <w:shd w:val="clear" w:color="000000" w:fill="E6E6E6"/>
            <w:vAlign w:val="bottom"/>
            <w:hideMark/>
          </w:tcPr>
          <w:p w:rsidR="00B0519B" w:rsidRPr="00AC25B5" w:rsidRDefault="00B0519B" w:rsidP="00101C2D">
            <w:pPr>
              <w:pStyle w:val="TableHead"/>
            </w:pPr>
            <w:r w:rsidRPr="00AC25B5">
              <w:t>Graduated with diploma</w:t>
            </w:r>
          </w:p>
        </w:tc>
        <w:tc>
          <w:tcPr>
            <w:tcW w:w="1710" w:type="dxa"/>
            <w:tcBorders>
              <w:top w:val="single" w:sz="18" w:space="0" w:color="auto"/>
              <w:bottom w:val="single" w:sz="18" w:space="0" w:color="auto"/>
            </w:tcBorders>
            <w:shd w:val="clear" w:color="000000" w:fill="E6E6E6"/>
            <w:vAlign w:val="bottom"/>
            <w:hideMark/>
          </w:tcPr>
          <w:p w:rsidR="00B0519B" w:rsidRPr="00AC25B5" w:rsidRDefault="00B0519B" w:rsidP="00101C2D">
            <w:pPr>
              <w:pStyle w:val="TableHead"/>
            </w:pPr>
            <w:r w:rsidRPr="00AC25B5">
              <w:t>Received a certificate of attendance</w:t>
            </w:r>
          </w:p>
        </w:tc>
        <w:tc>
          <w:tcPr>
            <w:tcW w:w="1260" w:type="dxa"/>
            <w:tcBorders>
              <w:top w:val="single" w:sz="18" w:space="0" w:color="auto"/>
              <w:bottom w:val="single" w:sz="18" w:space="0" w:color="auto"/>
            </w:tcBorders>
            <w:shd w:val="clear" w:color="000000" w:fill="E6E6E6"/>
            <w:vAlign w:val="bottom"/>
            <w:hideMark/>
          </w:tcPr>
          <w:p w:rsidR="00B0519B" w:rsidRPr="00AC25B5" w:rsidRDefault="00B0519B" w:rsidP="00101C2D">
            <w:pPr>
              <w:pStyle w:val="TableHead"/>
            </w:pPr>
            <w:r w:rsidRPr="00AC25B5">
              <w:t>Dropped out</w:t>
            </w:r>
          </w:p>
        </w:tc>
        <w:tc>
          <w:tcPr>
            <w:tcW w:w="1710" w:type="dxa"/>
            <w:tcBorders>
              <w:top w:val="single" w:sz="18" w:space="0" w:color="auto"/>
              <w:bottom w:val="single" w:sz="18" w:space="0" w:color="auto"/>
            </w:tcBorders>
            <w:shd w:val="clear" w:color="000000" w:fill="E6E6E6"/>
            <w:vAlign w:val="bottom"/>
            <w:hideMark/>
          </w:tcPr>
          <w:p w:rsidR="00B0519B" w:rsidRPr="00AC25B5" w:rsidRDefault="00B0519B" w:rsidP="00101C2D">
            <w:pPr>
              <w:pStyle w:val="TableHead"/>
            </w:pPr>
            <w:r w:rsidRPr="00AC25B5">
              <w:t>Reached maximum age</w:t>
            </w:r>
          </w:p>
        </w:tc>
      </w:tr>
      <w:tr w:rsidR="00B0519B" w:rsidRPr="002A69BB" w:rsidTr="00203192">
        <w:trPr>
          <w:cantSplit/>
          <w:trHeight w:val="20"/>
          <w:jc w:val="center"/>
        </w:trPr>
        <w:tc>
          <w:tcPr>
            <w:tcW w:w="2980" w:type="dxa"/>
            <w:tcBorders>
              <w:top w:val="single" w:sz="18"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Visual impairments</w:t>
            </w:r>
          </w:p>
        </w:tc>
        <w:tc>
          <w:tcPr>
            <w:tcW w:w="1620" w:type="dxa"/>
            <w:tcBorders>
              <w:top w:val="single" w:sz="18" w:space="0" w:color="auto"/>
            </w:tcBorders>
            <w:shd w:val="clear" w:color="auto" w:fill="auto"/>
            <w:noWrap/>
            <w:vAlign w:val="bottom"/>
            <w:hideMark/>
          </w:tcPr>
          <w:p w:rsidR="00B0519B" w:rsidRPr="000B395F" w:rsidRDefault="00B0519B" w:rsidP="00101C2D">
            <w:pPr>
              <w:pStyle w:val="TableText"/>
              <w:jc w:val="center"/>
            </w:pPr>
            <w:r w:rsidRPr="000B395F">
              <w:t>77%</w:t>
            </w:r>
          </w:p>
        </w:tc>
        <w:tc>
          <w:tcPr>
            <w:tcW w:w="1710" w:type="dxa"/>
            <w:tcBorders>
              <w:top w:val="single" w:sz="18" w:space="0" w:color="auto"/>
            </w:tcBorders>
            <w:shd w:val="clear" w:color="auto" w:fill="auto"/>
            <w:noWrap/>
            <w:vAlign w:val="bottom"/>
            <w:hideMark/>
          </w:tcPr>
          <w:p w:rsidR="00B0519B" w:rsidRPr="000B395F" w:rsidRDefault="00B0519B" w:rsidP="00101C2D">
            <w:pPr>
              <w:pStyle w:val="TableText"/>
              <w:jc w:val="center"/>
            </w:pPr>
            <w:r w:rsidRPr="000B395F">
              <w:t>10%</w:t>
            </w:r>
          </w:p>
        </w:tc>
        <w:tc>
          <w:tcPr>
            <w:tcW w:w="1260" w:type="dxa"/>
            <w:tcBorders>
              <w:top w:val="single" w:sz="18" w:space="0" w:color="auto"/>
            </w:tcBorders>
            <w:shd w:val="clear" w:color="auto" w:fill="auto"/>
            <w:noWrap/>
            <w:vAlign w:val="bottom"/>
            <w:hideMark/>
          </w:tcPr>
          <w:p w:rsidR="00B0519B" w:rsidRPr="000B395F" w:rsidRDefault="00B0519B" w:rsidP="00101C2D">
            <w:pPr>
              <w:pStyle w:val="TableText"/>
              <w:jc w:val="center"/>
            </w:pPr>
            <w:r w:rsidRPr="000B395F">
              <w:t>10%</w:t>
            </w:r>
          </w:p>
        </w:tc>
        <w:tc>
          <w:tcPr>
            <w:tcW w:w="1710" w:type="dxa"/>
            <w:tcBorders>
              <w:top w:val="single" w:sz="18" w:space="0" w:color="auto"/>
            </w:tcBorders>
            <w:shd w:val="clear" w:color="auto" w:fill="auto"/>
            <w:noWrap/>
            <w:vAlign w:val="bottom"/>
            <w:hideMark/>
          </w:tcPr>
          <w:p w:rsidR="00B0519B" w:rsidRPr="000B395F" w:rsidRDefault="00B0519B" w:rsidP="00101C2D">
            <w:pPr>
              <w:pStyle w:val="TableText"/>
              <w:jc w:val="center"/>
            </w:pPr>
            <w:r w:rsidRPr="000B395F">
              <w:t>2%</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Hearing Impairments</w:t>
            </w:r>
          </w:p>
        </w:tc>
        <w:tc>
          <w:tcPr>
            <w:tcW w:w="1620" w:type="dxa"/>
            <w:shd w:val="clear" w:color="auto" w:fill="auto"/>
            <w:noWrap/>
            <w:vAlign w:val="bottom"/>
            <w:hideMark/>
          </w:tcPr>
          <w:p w:rsidR="00B0519B" w:rsidRPr="000B395F" w:rsidRDefault="00B0519B" w:rsidP="00101C2D">
            <w:pPr>
              <w:pStyle w:val="TableText"/>
              <w:jc w:val="center"/>
            </w:pPr>
            <w:r w:rsidRPr="000B395F">
              <w:t>70%</w:t>
            </w:r>
          </w:p>
        </w:tc>
        <w:tc>
          <w:tcPr>
            <w:tcW w:w="1710" w:type="dxa"/>
            <w:shd w:val="clear" w:color="auto" w:fill="auto"/>
            <w:noWrap/>
            <w:vAlign w:val="bottom"/>
            <w:hideMark/>
          </w:tcPr>
          <w:p w:rsidR="00B0519B" w:rsidRPr="000B395F" w:rsidRDefault="00B0519B" w:rsidP="00101C2D">
            <w:pPr>
              <w:pStyle w:val="TableText"/>
              <w:jc w:val="center"/>
            </w:pPr>
            <w:r w:rsidRPr="000B395F">
              <w:t>17%</w:t>
            </w:r>
          </w:p>
        </w:tc>
        <w:tc>
          <w:tcPr>
            <w:tcW w:w="1260" w:type="dxa"/>
            <w:shd w:val="clear" w:color="auto" w:fill="auto"/>
            <w:noWrap/>
            <w:vAlign w:val="bottom"/>
            <w:hideMark/>
          </w:tcPr>
          <w:p w:rsidR="00B0519B" w:rsidRPr="000B395F" w:rsidRDefault="00B0519B" w:rsidP="00101C2D">
            <w:pPr>
              <w:pStyle w:val="TableText"/>
              <w:jc w:val="center"/>
            </w:pPr>
            <w:r w:rsidRPr="000B395F">
              <w:t>11%</w:t>
            </w:r>
          </w:p>
        </w:tc>
        <w:tc>
          <w:tcPr>
            <w:tcW w:w="1710" w:type="dxa"/>
            <w:shd w:val="clear" w:color="auto" w:fill="auto"/>
            <w:noWrap/>
            <w:vAlign w:val="bottom"/>
            <w:hideMark/>
          </w:tcPr>
          <w:p w:rsidR="00B0519B" w:rsidRPr="000B395F" w:rsidRDefault="00B0519B" w:rsidP="00101C2D">
            <w:pPr>
              <w:pStyle w:val="TableText"/>
              <w:jc w:val="center"/>
            </w:pPr>
            <w:r w:rsidRPr="000B395F">
              <w:t>2%</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Other health impairments</w:t>
            </w:r>
          </w:p>
        </w:tc>
        <w:tc>
          <w:tcPr>
            <w:tcW w:w="1620" w:type="dxa"/>
            <w:shd w:val="clear" w:color="auto" w:fill="auto"/>
            <w:noWrap/>
            <w:vAlign w:val="bottom"/>
            <w:hideMark/>
          </w:tcPr>
          <w:p w:rsidR="00B0519B" w:rsidRPr="000B395F" w:rsidRDefault="00B0519B" w:rsidP="00101C2D">
            <w:pPr>
              <w:pStyle w:val="TableText"/>
              <w:jc w:val="center"/>
            </w:pPr>
            <w:r w:rsidRPr="000B395F">
              <w:t>67%</w:t>
            </w:r>
          </w:p>
        </w:tc>
        <w:tc>
          <w:tcPr>
            <w:tcW w:w="1710" w:type="dxa"/>
            <w:shd w:val="clear" w:color="auto" w:fill="auto"/>
            <w:noWrap/>
            <w:vAlign w:val="bottom"/>
            <w:hideMark/>
          </w:tcPr>
          <w:p w:rsidR="00B0519B" w:rsidRPr="000B395F" w:rsidRDefault="00B0519B" w:rsidP="00101C2D">
            <w:pPr>
              <w:pStyle w:val="TableText"/>
              <w:jc w:val="center"/>
            </w:pPr>
            <w:r w:rsidRPr="000B395F">
              <w:t>10%</w:t>
            </w:r>
          </w:p>
        </w:tc>
        <w:tc>
          <w:tcPr>
            <w:tcW w:w="1260" w:type="dxa"/>
            <w:shd w:val="clear" w:color="auto" w:fill="auto"/>
            <w:noWrap/>
            <w:vAlign w:val="bottom"/>
            <w:hideMark/>
          </w:tcPr>
          <w:p w:rsidR="00B0519B" w:rsidRPr="000B395F" w:rsidRDefault="00B0519B" w:rsidP="00101C2D">
            <w:pPr>
              <w:pStyle w:val="TableText"/>
              <w:jc w:val="center"/>
            </w:pPr>
            <w:r w:rsidRPr="000B395F">
              <w:t>22%</w:t>
            </w:r>
          </w:p>
        </w:tc>
        <w:tc>
          <w:tcPr>
            <w:tcW w:w="1710" w:type="dxa"/>
            <w:shd w:val="clear" w:color="auto" w:fill="auto"/>
            <w:noWrap/>
            <w:vAlign w:val="bottom"/>
            <w:hideMark/>
          </w:tcPr>
          <w:p w:rsidR="00B0519B" w:rsidRPr="000B395F" w:rsidRDefault="00B0519B" w:rsidP="00101C2D">
            <w:pPr>
              <w:pStyle w:val="TableText"/>
              <w:jc w:val="center"/>
            </w:pPr>
            <w:r w:rsidRPr="000B395F">
              <w:t>1%</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Speech or language impairments</w:t>
            </w:r>
          </w:p>
        </w:tc>
        <w:tc>
          <w:tcPr>
            <w:tcW w:w="1620" w:type="dxa"/>
            <w:shd w:val="clear" w:color="auto" w:fill="auto"/>
            <w:noWrap/>
            <w:vAlign w:val="bottom"/>
            <w:hideMark/>
          </w:tcPr>
          <w:p w:rsidR="00B0519B" w:rsidRPr="000B395F" w:rsidRDefault="00B0519B" w:rsidP="00101C2D">
            <w:pPr>
              <w:pStyle w:val="TableText"/>
              <w:jc w:val="center"/>
            </w:pPr>
            <w:r w:rsidRPr="000B395F">
              <w:t>67%</w:t>
            </w:r>
          </w:p>
        </w:tc>
        <w:tc>
          <w:tcPr>
            <w:tcW w:w="1710" w:type="dxa"/>
            <w:shd w:val="clear" w:color="auto" w:fill="auto"/>
            <w:noWrap/>
            <w:vAlign w:val="bottom"/>
            <w:hideMark/>
          </w:tcPr>
          <w:p w:rsidR="00B0519B" w:rsidRPr="000B395F" w:rsidRDefault="00B0519B" w:rsidP="00101C2D">
            <w:pPr>
              <w:pStyle w:val="TableText"/>
              <w:jc w:val="center"/>
            </w:pPr>
            <w:r w:rsidRPr="000B395F">
              <w:t>12%</w:t>
            </w:r>
          </w:p>
        </w:tc>
        <w:tc>
          <w:tcPr>
            <w:tcW w:w="1260" w:type="dxa"/>
            <w:shd w:val="clear" w:color="auto" w:fill="auto"/>
            <w:noWrap/>
            <w:vAlign w:val="bottom"/>
            <w:hideMark/>
          </w:tcPr>
          <w:p w:rsidR="00B0519B" w:rsidRPr="000B395F" w:rsidRDefault="00B0519B" w:rsidP="00101C2D">
            <w:pPr>
              <w:pStyle w:val="TableText"/>
              <w:jc w:val="center"/>
            </w:pPr>
            <w:r w:rsidRPr="000B395F">
              <w:t>20%</w:t>
            </w:r>
          </w:p>
        </w:tc>
        <w:tc>
          <w:tcPr>
            <w:tcW w:w="1710" w:type="dxa"/>
            <w:shd w:val="clear" w:color="auto" w:fill="auto"/>
            <w:noWrap/>
            <w:vAlign w:val="bottom"/>
            <w:hideMark/>
          </w:tcPr>
          <w:p w:rsidR="00B0519B" w:rsidRPr="000B395F" w:rsidRDefault="00B0519B" w:rsidP="00101C2D">
            <w:pPr>
              <w:pStyle w:val="TableText"/>
              <w:jc w:val="center"/>
            </w:pPr>
            <w:r w:rsidRPr="000B395F">
              <w:t>0%</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Traumatic brain injury</w:t>
            </w:r>
          </w:p>
        </w:tc>
        <w:tc>
          <w:tcPr>
            <w:tcW w:w="1620" w:type="dxa"/>
            <w:shd w:val="clear" w:color="auto" w:fill="auto"/>
            <w:noWrap/>
            <w:vAlign w:val="bottom"/>
            <w:hideMark/>
          </w:tcPr>
          <w:p w:rsidR="00B0519B" w:rsidRPr="000B395F" w:rsidRDefault="00B0519B" w:rsidP="00101C2D">
            <w:pPr>
              <w:pStyle w:val="TableText"/>
              <w:jc w:val="center"/>
            </w:pPr>
            <w:r w:rsidRPr="000B395F">
              <w:t>65%</w:t>
            </w:r>
          </w:p>
        </w:tc>
        <w:tc>
          <w:tcPr>
            <w:tcW w:w="1710" w:type="dxa"/>
            <w:shd w:val="clear" w:color="auto" w:fill="auto"/>
            <w:noWrap/>
            <w:vAlign w:val="bottom"/>
            <w:hideMark/>
          </w:tcPr>
          <w:p w:rsidR="00B0519B" w:rsidRPr="000B395F" w:rsidRDefault="00B0519B" w:rsidP="00101C2D">
            <w:pPr>
              <w:pStyle w:val="TableText"/>
              <w:jc w:val="center"/>
            </w:pPr>
            <w:r w:rsidRPr="000B395F">
              <w:t>16%</w:t>
            </w:r>
          </w:p>
        </w:tc>
        <w:tc>
          <w:tcPr>
            <w:tcW w:w="1260" w:type="dxa"/>
            <w:shd w:val="clear" w:color="auto" w:fill="auto"/>
            <w:noWrap/>
            <w:vAlign w:val="bottom"/>
            <w:hideMark/>
          </w:tcPr>
          <w:p w:rsidR="00B0519B" w:rsidRPr="000B395F" w:rsidRDefault="00B0519B" w:rsidP="00101C2D">
            <w:pPr>
              <w:pStyle w:val="TableText"/>
              <w:jc w:val="center"/>
            </w:pPr>
            <w:r w:rsidRPr="000B395F">
              <w:t>15%</w:t>
            </w:r>
          </w:p>
        </w:tc>
        <w:tc>
          <w:tcPr>
            <w:tcW w:w="1710" w:type="dxa"/>
            <w:shd w:val="clear" w:color="auto" w:fill="auto"/>
            <w:noWrap/>
            <w:vAlign w:val="bottom"/>
            <w:hideMark/>
          </w:tcPr>
          <w:p w:rsidR="00B0519B" w:rsidRPr="000B395F" w:rsidRDefault="00B0519B" w:rsidP="00101C2D">
            <w:pPr>
              <w:pStyle w:val="TableText"/>
              <w:jc w:val="center"/>
            </w:pPr>
            <w:r w:rsidRPr="000B395F">
              <w:t>3%</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Specific learning disabilities</w:t>
            </w:r>
          </w:p>
        </w:tc>
        <w:tc>
          <w:tcPr>
            <w:tcW w:w="1620" w:type="dxa"/>
            <w:shd w:val="clear" w:color="auto" w:fill="auto"/>
            <w:noWrap/>
            <w:vAlign w:val="bottom"/>
            <w:hideMark/>
          </w:tcPr>
          <w:p w:rsidR="00B0519B" w:rsidRPr="000B395F" w:rsidRDefault="00B0519B" w:rsidP="00101C2D">
            <w:pPr>
              <w:pStyle w:val="TableText"/>
              <w:jc w:val="center"/>
            </w:pPr>
            <w:r w:rsidRPr="000B395F">
              <w:t>64%</w:t>
            </w:r>
          </w:p>
        </w:tc>
        <w:tc>
          <w:tcPr>
            <w:tcW w:w="1710" w:type="dxa"/>
            <w:shd w:val="clear" w:color="auto" w:fill="auto"/>
            <w:noWrap/>
            <w:vAlign w:val="bottom"/>
            <w:hideMark/>
          </w:tcPr>
          <w:p w:rsidR="00B0519B" w:rsidRPr="000B395F" w:rsidRDefault="00B0519B" w:rsidP="00101C2D">
            <w:pPr>
              <w:pStyle w:val="TableText"/>
              <w:jc w:val="center"/>
            </w:pPr>
            <w:r w:rsidRPr="000B395F">
              <w:t>11%</w:t>
            </w:r>
          </w:p>
        </w:tc>
        <w:tc>
          <w:tcPr>
            <w:tcW w:w="1260" w:type="dxa"/>
            <w:shd w:val="clear" w:color="auto" w:fill="auto"/>
            <w:noWrap/>
            <w:vAlign w:val="bottom"/>
            <w:hideMark/>
          </w:tcPr>
          <w:p w:rsidR="00B0519B" w:rsidRPr="000B395F" w:rsidRDefault="00B0519B" w:rsidP="00101C2D">
            <w:pPr>
              <w:pStyle w:val="TableText"/>
              <w:jc w:val="center"/>
            </w:pPr>
            <w:r w:rsidRPr="000B395F">
              <w:t>24%</w:t>
            </w:r>
          </w:p>
        </w:tc>
        <w:tc>
          <w:tcPr>
            <w:tcW w:w="1710" w:type="dxa"/>
            <w:shd w:val="clear" w:color="auto" w:fill="auto"/>
            <w:noWrap/>
            <w:vAlign w:val="bottom"/>
            <w:hideMark/>
          </w:tcPr>
          <w:p w:rsidR="00B0519B" w:rsidRPr="000B395F" w:rsidRDefault="00B0519B" w:rsidP="00101C2D">
            <w:pPr>
              <w:pStyle w:val="TableText"/>
              <w:jc w:val="center"/>
            </w:pPr>
            <w:r w:rsidRPr="000B395F">
              <w:t>1%</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Autism</w:t>
            </w:r>
          </w:p>
        </w:tc>
        <w:tc>
          <w:tcPr>
            <w:tcW w:w="1620" w:type="dxa"/>
            <w:shd w:val="clear" w:color="auto" w:fill="auto"/>
            <w:noWrap/>
            <w:vAlign w:val="bottom"/>
            <w:hideMark/>
          </w:tcPr>
          <w:p w:rsidR="00B0519B" w:rsidRPr="000B395F" w:rsidRDefault="00B0519B" w:rsidP="00101C2D">
            <w:pPr>
              <w:pStyle w:val="TableText"/>
              <w:jc w:val="center"/>
            </w:pPr>
            <w:r w:rsidRPr="000B395F">
              <w:t>63%</w:t>
            </w:r>
          </w:p>
        </w:tc>
        <w:tc>
          <w:tcPr>
            <w:tcW w:w="1710" w:type="dxa"/>
            <w:shd w:val="clear" w:color="auto" w:fill="auto"/>
            <w:noWrap/>
            <w:vAlign w:val="bottom"/>
            <w:hideMark/>
          </w:tcPr>
          <w:p w:rsidR="00B0519B" w:rsidRPr="000B395F" w:rsidRDefault="00B0519B" w:rsidP="00101C2D">
            <w:pPr>
              <w:pStyle w:val="TableText"/>
              <w:jc w:val="center"/>
            </w:pPr>
            <w:r w:rsidRPr="000B395F">
              <w:t>24%</w:t>
            </w:r>
          </w:p>
        </w:tc>
        <w:tc>
          <w:tcPr>
            <w:tcW w:w="1260" w:type="dxa"/>
            <w:shd w:val="clear" w:color="auto" w:fill="auto"/>
            <w:noWrap/>
            <w:vAlign w:val="bottom"/>
            <w:hideMark/>
          </w:tcPr>
          <w:p w:rsidR="00B0519B" w:rsidRPr="000B395F" w:rsidRDefault="00B0519B" w:rsidP="00101C2D">
            <w:pPr>
              <w:pStyle w:val="TableText"/>
              <w:jc w:val="center"/>
            </w:pPr>
            <w:r w:rsidRPr="000B395F">
              <w:t>7%</w:t>
            </w:r>
          </w:p>
        </w:tc>
        <w:tc>
          <w:tcPr>
            <w:tcW w:w="1710" w:type="dxa"/>
            <w:shd w:val="clear" w:color="auto" w:fill="auto"/>
            <w:noWrap/>
            <w:vAlign w:val="bottom"/>
            <w:hideMark/>
          </w:tcPr>
          <w:p w:rsidR="00B0519B" w:rsidRPr="000B395F" w:rsidRDefault="00B0519B" w:rsidP="00101C2D">
            <w:pPr>
              <w:pStyle w:val="TableText"/>
              <w:jc w:val="center"/>
            </w:pPr>
            <w:r w:rsidRPr="000B395F">
              <w:t>6%</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Orthopedic impairments</w:t>
            </w:r>
          </w:p>
        </w:tc>
        <w:tc>
          <w:tcPr>
            <w:tcW w:w="1620" w:type="dxa"/>
            <w:shd w:val="clear" w:color="auto" w:fill="auto"/>
            <w:noWrap/>
            <w:vAlign w:val="bottom"/>
            <w:hideMark/>
          </w:tcPr>
          <w:p w:rsidR="00B0519B" w:rsidRPr="000B395F" w:rsidRDefault="00B0519B" w:rsidP="00101C2D">
            <w:pPr>
              <w:pStyle w:val="TableText"/>
              <w:jc w:val="center"/>
            </w:pPr>
            <w:r w:rsidRPr="000B395F">
              <w:t>62%</w:t>
            </w:r>
          </w:p>
        </w:tc>
        <w:tc>
          <w:tcPr>
            <w:tcW w:w="1710" w:type="dxa"/>
            <w:shd w:val="clear" w:color="auto" w:fill="auto"/>
            <w:noWrap/>
            <w:vAlign w:val="bottom"/>
            <w:hideMark/>
          </w:tcPr>
          <w:p w:rsidR="00B0519B" w:rsidRPr="000B395F" w:rsidRDefault="00B0519B" w:rsidP="00101C2D">
            <w:pPr>
              <w:pStyle w:val="TableText"/>
              <w:jc w:val="center"/>
            </w:pPr>
            <w:r w:rsidRPr="000B395F">
              <w:t>18%</w:t>
            </w:r>
          </w:p>
        </w:tc>
        <w:tc>
          <w:tcPr>
            <w:tcW w:w="1260" w:type="dxa"/>
            <w:shd w:val="clear" w:color="auto" w:fill="auto"/>
            <w:noWrap/>
            <w:vAlign w:val="bottom"/>
            <w:hideMark/>
          </w:tcPr>
          <w:p w:rsidR="00B0519B" w:rsidRPr="000B395F" w:rsidRDefault="00B0519B" w:rsidP="00101C2D">
            <w:pPr>
              <w:pStyle w:val="TableText"/>
              <w:jc w:val="center"/>
            </w:pPr>
            <w:r w:rsidRPr="000B395F">
              <w:t>13%</w:t>
            </w:r>
          </w:p>
        </w:tc>
        <w:tc>
          <w:tcPr>
            <w:tcW w:w="1710" w:type="dxa"/>
            <w:shd w:val="clear" w:color="auto" w:fill="auto"/>
            <w:noWrap/>
            <w:vAlign w:val="bottom"/>
            <w:hideMark/>
          </w:tcPr>
          <w:p w:rsidR="00B0519B" w:rsidRPr="000B395F" w:rsidRDefault="00B0519B" w:rsidP="00101C2D">
            <w:pPr>
              <w:pStyle w:val="TableText"/>
              <w:jc w:val="center"/>
            </w:pPr>
            <w:r w:rsidRPr="000B395F">
              <w:t>4%</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Deaf-Blindness</w:t>
            </w:r>
          </w:p>
        </w:tc>
        <w:tc>
          <w:tcPr>
            <w:tcW w:w="1620" w:type="dxa"/>
            <w:shd w:val="clear" w:color="auto" w:fill="auto"/>
            <w:noWrap/>
            <w:vAlign w:val="bottom"/>
            <w:hideMark/>
          </w:tcPr>
          <w:p w:rsidR="00B0519B" w:rsidRPr="000B395F" w:rsidRDefault="00B0519B" w:rsidP="00101C2D">
            <w:pPr>
              <w:pStyle w:val="TableText"/>
              <w:jc w:val="center"/>
            </w:pPr>
            <w:r w:rsidRPr="000B395F">
              <w:t>57%</w:t>
            </w:r>
          </w:p>
        </w:tc>
        <w:tc>
          <w:tcPr>
            <w:tcW w:w="1710" w:type="dxa"/>
            <w:shd w:val="clear" w:color="auto" w:fill="auto"/>
            <w:noWrap/>
            <w:vAlign w:val="bottom"/>
            <w:hideMark/>
          </w:tcPr>
          <w:p w:rsidR="00B0519B" w:rsidRPr="000B395F" w:rsidRDefault="00B0519B" w:rsidP="00101C2D">
            <w:pPr>
              <w:pStyle w:val="TableText"/>
              <w:jc w:val="center"/>
            </w:pPr>
            <w:r w:rsidRPr="000B395F">
              <w:t>19%</w:t>
            </w:r>
          </w:p>
        </w:tc>
        <w:tc>
          <w:tcPr>
            <w:tcW w:w="1260" w:type="dxa"/>
            <w:shd w:val="clear" w:color="auto" w:fill="auto"/>
            <w:noWrap/>
            <w:vAlign w:val="bottom"/>
            <w:hideMark/>
          </w:tcPr>
          <w:p w:rsidR="00B0519B" w:rsidRPr="000B395F" w:rsidRDefault="00B0519B" w:rsidP="00101C2D">
            <w:pPr>
              <w:pStyle w:val="TableText"/>
              <w:jc w:val="center"/>
            </w:pPr>
            <w:r w:rsidRPr="000B395F">
              <w:t>9%</w:t>
            </w:r>
          </w:p>
        </w:tc>
        <w:tc>
          <w:tcPr>
            <w:tcW w:w="1710" w:type="dxa"/>
            <w:shd w:val="clear" w:color="auto" w:fill="auto"/>
            <w:noWrap/>
            <w:vAlign w:val="bottom"/>
            <w:hideMark/>
          </w:tcPr>
          <w:p w:rsidR="00B0519B" w:rsidRPr="000B395F" w:rsidRDefault="00B0519B" w:rsidP="00101C2D">
            <w:pPr>
              <w:pStyle w:val="TableText"/>
              <w:jc w:val="center"/>
            </w:pPr>
            <w:r w:rsidRPr="000B395F">
              <w:t>12%</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Emotional disturbance</w:t>
            </w:r>
          </w:p>
        </w:tc>
        <w:tc>
          <w:tcPr>
            <w:tcW w:w="1620" w:type="dxa"/>
            <w:shd w:val="clear" w:color="auto" w:fill="auto"/>
            <w:noWrap/>
            <w:vAlign w:val="bottom"/>
            <w:hideMark/>
          </w:tcPr>
          <w:p w:rsidR="00B0519B" w:rsidRPr="000B395F" w:rsidRDefault="00B0519B" w:rsidP="00101C2D">
            <w:pPr>
              <w:pStyle w:val="TableText"/>
              <w:jc w:val="center"/>
            </w:pPr>
            <w:r w:rsidRPr="000B395F">
              <w:t>46%</w:t>
            </w:r>
          </w:p>
        </w:tc>
        <w:tc>
          <w:tcPr>
            <w:tcW w:w="1710" w:type="dxa"/>
            <w:shd w:val="clear" w:color="auto" w:fill="auto"/>
            <w:noWrap/>
            <w:vAlign w:val="bottom"/>
            <w:hideMark/>
          </w:tcPr>
          <w:p w:rsidR="00B0519B" w:rsidRPr="000B395F" w:rsidRDefault="00B0519B" w:rsidP="00101C2D">
            <w:pPr>
              <w:pStyle w:val="TableText"/>
              <w:jc w:val="center"/>
            </w:pPr>
            <w:r w:rsidRPr="000B395F">
              <w:t>9%</w:t>
            </w:r>
          </w:p>
        </w:tc>
        <w:tc>
          <w:tcPr>
            <w:tcW w:w="1260" w:type="dxa"/>
            <w:shd w:val="clear" w:color="auto" w:fill="auto"/>
            <w:noWrap/>
            <w:vAlign w:val="bottom"/>
            <w:hideMark/>
          </w:tcPr>
          <w:p w:rsidR="00B0519B" w:rsidRPr="000B395F" w:rsidRDefault="00B0519B" w:rsidP="00101C2D">
            <w:pPr>
              <w:pStyle w:val="TableText"/>
              <w:jc w:val="center"/>
            </w:pPr>
            <w:r w:rsidRPr="000B395F">
              <w:t>43%</w:t>
            </w:r>
          </w:p>
        </w:tc>
        <w:tc>
          <w:tcPr>
            <w:tcW w:w="1710" w:type="dxa"/>
            <w:shd w:val="clear" w:color="auto" w:fill="auto"/>
            <w:noWrap/>
            <w:vAlign w:val="bottom"/>
            <w:hideMark/>
          </w:tcPr>
          <w:p w:rsidR="00B0519B" w:rsidRPr="000B395F" w:rsidRDefault="00B0519B" w:rsidP="00101C2D">
            <w:pPr>
              <w:pStyle w:val="TableText"/>
              <w:jc w:val="center"/>
            </w:pPr>
            <w:r w:rsidRPr="000B395F">
              <w:t>1%</w:t>
            </w:r>
          </w:p>
        </w:tc>
      </w:tr>
      <w:tr w:rsidR="00B0519B" w:rsidRPr="002A69BB" w:rsidTr="00203192">
        <w:trPr>
          <w:cantSplit/>
          <w:trHeight w:val="20"/>
          <w:jc w:val="center"/>
        </w:trPr>
        <w:tc>
          <w:tcPr>
            <w:tcW w:w="2980" w:type="dxa"/>
            <w:tcBorders>
              <w:top w:val="single" w:sz="4" w:space="0" w:color="auto"/>
              <w:bottom w:val="single" w:sz="4" w:space="0" w:color="auto"/>
            </w:tcBorders>
            <w:shd w:val="clear" w:color="auto" w:fill="E6E6E6"/>
            <w:noWrap/>
            <w:vAlign w:val="bottom"/>
            <w:hideMark/>
          </w:tcPr>
          <w:p w:rsidR="00B0519B" w:rsidRPr="000B395F" w:rsidRDefault="00B0519B" w:rsidP="00101C2D">
            <w:pPr>
              <w:pStyle w:val="TableText"/>
              <w:rPr>
                <w:b/>
              </w:rPr>
            </w:pPr>
            <w:r w:rsidRPr="000B395F">
              <w:rPr>
                <w:b/>
              </w:rPr>
              <w:t>Multiple disabilities</w:t>
            </w:r>
          </w:p>
        </w:tc>
        <w:tc>
          <w:tcPr>
            <w:tcW w:w="1620" w:type="dxa"/>
            <w:shd w:val="clear" w:color="auto" w:fill="auto"/>
            <w:noWrap/>
            <w:vAlign w:val="bottom"/>
            <w:hideMark/>
          </w:tcPr>
          <w:p w:rsidR="00B0519B" w:rsidRPr="000B395F" w:rsidRDefault="00B0519B" w:rsidP="00101C2D">
            <w:pPr>
              <w:pStyle w:val="TableText"/>
              <w:jc w:val="center"/>
            </w:pPr>
            <w:r w:rsidRPr="000B395F">
              <w:t>46%</w:t>
            </w:r>
          </w:p>
        </w:tc>
        <w:tc>
          <w:tcPr>
            <w:tcW w:w="1710" w:type="dxa"/>
            <w:shd w:val="clear" w:color="auto" w:fill="auto"/>
            <w:noWrap/>
            <w:vAlign w:val="bottom"/>
            <w:hideMark/>
          </w:tcPr>
          <w:p w:rsidR="00B0519B" w:rsidRPr="000B395F" w:rsidRDefault="00B0519B" w:rsidP="00101C2D">
            <w:pPr>
              <w:pStyle w:val="TableText"/>
              <w:jc w:val="center"/>
            </w:pPr>
            <w:r w:rsidRPr="000B395F">
              <w:t>26%</w:t>
            </w:r>
          </w:p>
        </w:tc>
        <w:tc>
          <w:tcPr>
            <w:tcW w:w="1260" w:type="dxa"/>
            <w:shd w:val="clear" w:color="auto" w:fill="auto"/>
            <w:noWrap/>
            <w:vAlign w:val="bottom"/>
            <w:hideMark/>
          </w:tcPr>
          <w:p w:rsidR="00B0519B" w:rsidRPr="000B395F" w:rsidRDefault="00B0519B" w:rsidP="00101C2D">
            <w:pPr>
              <w:pStyle w:val="TableText"/>
              <w:jc w:val="center"/>
            </w:pPr>
            <w:r w:rsidRPr="000B395F">
              <w:t>18%</w:t>
            </w:r>
          </w:p>
        </w:tc>
        <w:tc>
          <w:tcPr>
            <w:tcW w:w="1710" w:type="dxa"/>
            <w:shd w:val="clear" w:color="auto" w:fill="auto"/>
            <w:noWrap/>
            <w:vAlign w:val="bottom"/>
            <w:hideMark/>
          </w:tcPr>
          <w:p w:rsidR="00B0519B" w:rsidRPr="000B395F" w:rsidRDefault="00B0519B" w:rsidP="00101C2D">
            <w:pPr>
              <w:pStyle w:val="TableText"/>
              <w:jc w:val="center"/>
            </w:pPr>
            <w:r w:rsidRPr="000B395F">
              <w:t>8%</w:t>
            </w:r>
          </w:p>
        </w:tc>
      </w:tr>
      <w:tr w:rsidR="00B0519B" w:rsidRPr="002A69BB" w:rsidTr="00203192">
        <w:trPr>
          <w:cantSplit/>
          <w:trHeight w:val="20"/>
          <w:jc w:val="center"/>
        </w:trPr>
        <w:tc>
          <w:tcPr>
            <w:tcW w:w="2980" w:type="dxa"/>
            <w:tcBorders>
              <w:top w:val="single" w:sz="4" w:space="0" w:color="auto"/>
              <w:bottom w:val="single" w:sz="18" w:space="0" w:color="auto"/>
            </w:tcBorders>
            <w:shd w:val="clear" w:color="auto" w:fill="E6E6E6"/>
            <w:noWrap/>
            <w:vAlign w:val="bottom"/>
            <w:hideMark/>
          </w:tcPr>
          <w:p w:rsidR="00B0519B" w:rsidRPr="000B395F" w:rsidRDefault="00B0519B" w:rsidP="00101C2D">
            <w:pPr>
              <w:pStyle w:val="TableText"/>
              <w:rPr>
                <w:b/>
              </w:rPr>
            </w:pPr>
            <w:r w:rsidRPr="000B395F">
              <w:rPr>
                <w:b/>
              </w:rPr>
              <w:t>Intellectual disability</w:t>
            </w:r>
          </w:p>
        </w:tc>
        <w:tc>
          <w:tcPr>
            <w:tcW w:w="1620" w:type="dxa"/>
            <w:shd w:val="clear" w:color="auto" w:fill="auto"/>
            <w:noWrap/>
            <w:vAlign w:val="bottom"/>
            <w:hideMark/>
          </w:tcPr>
          <w:p w:rsidR="00B0519B" w:rsidRPr="000B395F" w:rsidRDefault="00B0519B" w:rsidP="00101C2D">
            <w:pPr>
              <w:pStyle w:val="TableText"/>
              <w:jc w:val="center"/>
            </w:pPr>
            <w:r w:rsidRPr="000B395F">
              <w:t>38%</w:t>
            </w:r>
          </w:p>
        </w:tc>
        <w:tc>
          <w:tcPr>
            <w:tcW w:w="1710" w:type="dxa"/>
            <w:shd w:val="clear" w:color="auto" w:fill="auto"/>
            <w:noWrap/>
            <w:vAlign w:val="bottom"/>
            <w:hideMark/>
          </w:tcPr>
          <w:p w:rsidR="00B0519B" w:rsidRPr="000B395F" w:rsidRDefault="00B0519B" w:rsidP="00101C2D">
            <w:pPr>
              <w:pStyle w:val="TableText"/>
              <w:jc w:val="center"/>
            </w:pPr>
            <w:r w:rsidRPr="000B395F">
              <w:t>36%</w:t>
            </w:r>
          </w:p>
        </w:tc>
        <w:tc>
          <w:tcPr>
            <w:tcW w:w="1260" w:type="dxa"/>
            <w:shd w:val="clear" w:color="auto" w:fill="auto"/>
            <w:noWrap/>
            <w:vAlign w:val="bottom"/>
            <w:hideMark/>
          </w:tcPr>
          <w:p w:rsidR="00B0519B" w:rsidRPr="000B395F" w:rsidRDefault="00B0519B" w:rsidP="00101C2D">
            <w:pPr>
              <w:pStyle w:val="TableText"/>
              <w:jc w:val="center"/>
            </w:pPr>
            <w:r w:rsidRPr="000B395F">
              <w:t>22%</w:t>
            </w:r>
          </w:p>
        </w:tc>
        <w:tc>
          <w:tcPr>
            <w:tcW w:w="1710" w:type="dxa"/>
            <w:shd w:val="clear" w:color="auto" w:fill="auto"/>
            <w:noWrap/>
            <w:vAlign w:val="bottom"/>
            <w:hideMark/>
          </w:tcPr>
          <w:p w:rsidR="00B0519B" w:rsidRPr="000B395F" w:rsidRDefault="00B0519B" w:rsidP="00101C2D">
            <w:pPr>
              <w:pStyle w:val="TableText"/>
              <w:jc w:val="center"/>
            </w:pPr>
            <w:r w:rsidRPr="000B395F">
              <w:t>5%</w:t>
            </w:r>
          </w:p>
        </w:tc>
      </w:tr>
    </w:tbl>
    <w:p w:rsidR="00B0519B" w:rsidRDefault="00B0519B" w:rsidP="00B0519B">
      <w:pPr>
        <w:pStyle w:val="TableNote"/>
        <w:spacing w:after="120"/>
      </w:pPr>
      <w:r w:rsidRPr="00CF29A7">
        <w:rPr>
          <w:b/>
        </w:rPr>
        <w:t>Source:</w:t>
      </w:r>
      <w:r w:rsidRPr="004256CC">
        <w:t xml:space="preserve"> U.S. Department of Education, Office of Special Education Programs, Individuals with Disabilities Education Act (IDEA) database. Retrieved September 8, 2010, from </w:t>
      </w:r>
      <w:hyperlink r:id="rId23" w:history="1">
        <w:r w:rsidRPr="00095B0B">
          <w:rPr>
            <w:rStyle w:val="Hyperlink"/>
          </w:rPr>
          <w:t>https://www.ideadata.org/PartBData.asp</w:t>
        </w:r>
      </w:hyperlink>
      <w:r w:rsidRPr="004256CC">
        <w:t>.</w:t>
      </w:r>
      <w:r>
        <w:t xml:space="preserve"> </w:t>
      </w:r>
      <w:r w:rsidRPr="004256CC">
        <w:t>(This table was prepared September 2010.)</w:t>
      </w:r>
      <w:r>
        <w:t xml:space="preserve"> </w:t>
      </w:r>
    </w:p>
    <w:p w:rsidR="00B0519B" w:rsidRPr="004256CC" w:rsidRDefault="00B0519B" w:rsidP="00B0519B">
      <w:pPr>
        <w:pStyle w:val="TableNote"/>
      </w:pPr>
      <w:r w:rsidRPr="00CF29A7">
        <w:rPr>
          <w:b/>
        </w:rPr>
        <w:t>Note:</w:t>
      </w:r>
      <w:r w:rsidRPr="004256CC">
        <w:t xml:space="preserve"> Students may exit special education services </w:t>
      </w:r>
      <w:r>
        <w:t>because of</w:t>
      </w:r>
      <w:r w:rsidRPr="004256CC">
        <w:t xml:space="preserve"> maximum age beginning at age 18 depending on state law or practice or order of any court. </w:t>
      </w:r>
      <w:r>
        <w:t>“</w:t>
      </w:r>
      <w:r w:rsidRPr="004256CC">
        <w:t>Dropped out</w:t>
      </w:r>
      <w:r>
        <w:t>”</w:t>
      </w:r>
      <w:r w:rsidRPr="004256CC">
        <w:t xml:space="preserve"> is defined as the total who were enrolled at some point in the reporting year, were not enrolled at the end of the reporting year, and did not exit through any of the other bases described. I</w:t>
      </w:r>
      <w:r>
        <w:t>t i</w:t>
      </w:r>
      <w:r w:rsidRPr="004256CC">
        <w:t xml:space="preserve">ncludes students previously categorized as </w:t>
      </w:r>
      <w:r>
        <w:t>“</w:t>
      </w:r>
      <w:r w:rsidRPr="004256CC">
        <w:t>moved, not known to continue.</w:t>
      </w:r>
      <w:r>
        <w:t>”</w:t>
      </w:r>
      <w:r w:rsidRPr="004256CC">
        <w:t xml:space="preserve"> Other health impairments include having limited strength, vitality, or alertness </w:t>
      </w:r>
      <w:r>
        <w:t xml:space="preserve">as a result of </w:t>
      </w:r>
      <w:r w:rsidRPr="004256CC">
        <w:t>chronic or acute health problems such as a heart condition, tuberculosis, rheumatic fever, nephritis, asthma, sickle cell anemia, hemophilia, epilepsy, lead poisoning, leukemia, or diabetes.</w:t>
      </w:r>
    </w:p>
    <w:p w:rsidR="00B0519B" w:rsidRDefault="00B0519B" w:rsidP="00B0519B">
      <w:pPr>
        <w:pStyle w:val="BodyText"/>
      </w:pPr>
      <w:r>
        <w:t>N</w:t>
      </w:r>
      <w:r w:rsidRPr="005566A4">
        <w:t xml:space="preserve">ational data can </w:t>
      </w:r>
      <w:r>
        <w:t xml:space="preserve">also </w:t>
      </w:r>
      <w:r w:rsidRPr="005566A4">
        <w:t>mask serious problems in some states.</w:t>
      </w:r>
      <w:r>
        <w:t xml:space="preserve"> </w:t>
      </w:r>
      <w:r w:rsidRPr="005566A4">
        <w:t>States show significant variation in the percentage of students with disabilities who exit with a diploma.</w:t>
      </w:r>
      <w:r>
        <w:t xml:space="preserve"> </w:t>
      </w:r>
      <w:r w:rsidRPr="005566A4">
        <w:t>Minnesota and Nebraska graduate over 60 percent, wh</w:t>
      </w:r>
      <w:r>
        <w:t>ereas</w:t>
      </w:r>
      <w:r w:rsidRPr="005566A4">
        <w:t xml:space="preserve"> Nevada, Mississippi, and Louisiana graduate fewer than 20 percent (</w:t>
      </w:r>
      <w:r>
        <w:t>s</w:t>
      </w:r>
      <w:r w:rsidRPr="005566A4">
        <w:t xml:space="preserve">ee Table </w:t>
      </w:r>
      <w:r>
        <w:t>A</w:t>
      </w:r>
      <w:r w:rsidRPr="005566A4">
        <w:t xml:space="preserve">4 in Appendix </w:t>
      </w:r>
      <w:r w:rsidRPr="00970D9B">
        <w:t>A).</w:t>
      </w:r>
      <w:r w:rsidRPr="005566A4">
        <w:t xml:space="preserve"> </w:t>
      </w:r>
    </w:p>
    <w:p w:rsidR="00B0519B" w:rsidRDefault="00B0519B" w:rsidP="00B0519B">
      <w:pPr>
        <w:pStyle w:val="BodyText"/>
        <w:rPr>
          <w:rStyle w:val="apple-style-span"/>
          <w:rFonts w:cs="Arial"/>
          <w:color w:val="000000"/>
        </w:rPr>
      </w:pPr>
      <w:r>
        <w:t>Federal public policy and resources should reflect a stronger commitment to the implementation of fully inclusive</w:t>
      </w:r>
      <w:r>
        <w:rPr>
          <w:rStyle w:val="apple-style-span"/>
          <w:rFonts w:cs="Arial"/>
          <w:color w:val="000000"/>
          <w:szCs w:val="24"/>
        </w:rPr>
        <w:t xml:space="preserve"> education practices that benefit all students, including </w:t>
      </w:r>
      <w:r>
        <w:rPr>
          <w:rStyle w:val="apple-style-span"/>
          <w:rFonts w:cs="Arial"/>
          <w:color w:val="000000"/>
          <w:szCs w:val="24"/>
        </w:rPr>
        <w:lastRenderedPageBreak/>
        <w:t xml:space="preserve">students with disabilities. Public policies should promote students with disabilities as part of the general education population and not as a segregated subpopulation. </w:t>
      </w:r>
      <w:bookmarkStart w:id="38" w:name="OLE_LINK47"/>
      <w:bookmarkStart w:id="39" w:name="OLE_LINK48"/>
      <w:bookmarkStart w:id="40" w:name="OLE_LINK49"/>
      <w:r>
        <w:rPr>
          <w:rStyle w:val="apple-style-span"/>
          <w:rFonts w:cs="Arial"/>
          <w:color w:val="000000"/>
          <w:szCs w:val="24"/>
        </w:rPr>
        <w:t>Overwhelming evidence demonstrates that fully inclusive schools, in which students with disabilities are fully engaged in the general educational setting and have access to the general education curriculum, result in higher academic performance for both students with disabilities and their nondisabled peers,</w:t>
      </w:r>
      <w:r w:rsidRPr="001C6B71">
        <w:rPr>
          <w:rStyle w:val="EndnoteReference"/>
          <w:szCs w:val="24"/>
        </w:rPr>
        <w:endnoteReference w:id="68"/>
      </w:r>
      <w:r>
        <w:rPr>
          <w:rStyle w:val="apple-style-span"/>
          <w:rFonts w:cs="Arial"/>
          <w:color w:val="000000"/>
          <w:szCs w:val="24"/>
        </w:rPr>
        <w:t xml:space="preserve"> whereas the placement of students in segregated classrooms because of diagnosis or special needs leads to detrimental outcomes.</w:t>
      </w:r>
      <w:r w:rsidRPr="001C6B71">
        <w:rPr>
          <w:rStyle w:val="EndnoteReference"/>
          <w:szCs w:val="24"/>
        </w:rPr>
        <w:endnoteReference w:id="69"/>
      </w:r>
    </w:p>
    <w:bookmarkEnd w:id="38"/>
    <w:bookmarkEnd w:id="39"/>
    <w:bookmarkEnd w:id="40"/>
    <w:p w:rsidR="00B0519B" w:rsidRDefault="00B0519B" w:rsidP="00B0519B">
      <w:pPr>
        <w:pStyle w:val="BodyText"/>
      </w:pPr>
      <w:r>
        <w:t>Significant academic achievement gaps exist between students with disabilities and students without disabilities at the 8</w:t>
      </w:r>
      <w:r w:rsidR="00857C75" w:rsidRPr="00857C75">
        <w:rPr>
          <w:vertAlign w:val="superscript"/>
        </w:rPr>
        <w:t>th</w:t>
      </w:r>
      <w:r w:rsidR="00857C75">
        <w:t xml:space="preserve"> grade</w:t>
      </w:r>
      <w:r>
        <w:t xml:space="preserve"> level, as shown by scores on the National Assessment of Educational Progress (NAEP), which is often called the Nation’s Report Card. Although mathematics scores have increased over time for all </w:t>
      </w:r>
      <w:r w:rsidR="00857C75" w:rsidRPr="00857C75">
        <w:t>8</w:t>
      </w:r>
      <w:r w:rsidR="00857C75" w:rsidRPr="000E501F">
        <w:rPr>
          <w:vertAlign w:val="superscript"/>
        </w:rPr>
        <w:t>th</w:t>
      </w:r>
      <w:r w:rsidR="00857C75" w:rsidRPr="00857C75">
        <w:t xml:space="preserve"> grade </w:t>
      </w:r>
      <w:r>
        <w:t>students, the significant gap (approximately 40 points) between the achievement scores of students with disabilities and those of students without disabilities remains relatively the same. Reading scores of 8</w:t>
      </w:r>
      <w:r w:rsidR="000E501F" w:rsidRPr="000E501F">
        <w:rPr>
          <w:vertAlign w:val="superscript"/>
        </w:rPr>
        <w:t>th</w:t>
      </w:r>
      <w:r w:rsidR="000E501F">
        <w:t xml:space="preserve"> grade</w:t>
      </w:r>
      <w:r>
        <w:t xml:space="preserve"> students also show a significant and persistent gap (approximately 30 points) between students with and without disabilities. The gap widens significantly (approximately 50 points) when the mathematics and reading scores of </w:t>
      </w:r>
      <w:r w:rsidR="000E501F">
        <w:t>8</w:t>
      </w:r>
      <w:r w:rsidR="000E501F" w:rsidRPr="000E501F">
        <w:rPr>
          <w:vertAlign w:val="superscript"/>
        </w:rPr>
        <w:t>th</w:t>
      </w:r>
      <w:r w:rsidR="000E501F">
        <w:t xml:space="preserve"> </w:t>
      </w:r>
      <w:r>
        <w:t>grade African American and Hispanic students with disabilities are compared with the scores of white students without disabilities (Tables 7 and 8). These data clearly indicate that progress has been meager over the years in addressing the academic achievement of racial and ethnic minorities with disabilities and in closing the wide achievement gaps between students with disabilities and students without disabilities.</w:t>
      </w:r>
    </w:p>
    <w:p w:rsidR="00B0519B" w:rsidRDefault="00B0519B" w:rsidP="00B0519B">
      <w:pPr>
        <w:pStyle w:val="NCDTableNumber"/>
      </w:pPr>
      <w:r w:rsidRPr="005566A4">
        <w:lastRenderedPageBreak/>
        <w:t xml:space="preserve">Table </w:t>
      </w:r>
      <w:r>
        <w:t>7.</w:t>
      </w:r>
    </w:p>
    <w:p w:rsidR="00B0519B" w:rsidRPr="005566A4" w:rsidRDefault="00B0519B" w:rsidP="00B0519B">
      <w:pPr>
        <w:pStyle w:val="TableTitle"/>
      </w:pPr>
      <w:r w:rsidRPr="005566A4">
        <w:t>NAEP Grade 8 Reading Scores by Race/Ethnicity and Disability Status, 2002</w:t>
      </w:r>
      <w:r>
        <w:t>–09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965"/>
        <w:gridCol w:w="879"/>
        <w:gridCol w:w="879"/>
        <w:gridCol w:w="879"/>
        <w:gridCol w:w="879"/>
        <w:gridCol w:w="879"/>
      </w:tblGrid>
      <w:tr w:rsidR="00B0519B" w:rsidRPr="00AC25B5" w:rsidTr="00203192">
        <w:trPr>
          <w:cantSplit/>
          <w:tblHeader/>
          <w:jc w:val="center"/>
        </w:trPr>
        <w:tc>
          <w:tcPr>
            <w:tcW w:w="4069"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p>
        </w:tc>
        <w:tc>
          <w:tcPr>
            <w:tcW w:w="720"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r w:rsidRPr="00AC25B5">
              <w:t>2002</w:t>
            </w:r>
          </w:p>
        </w:tc>
        <w:tc>
          <w:tcPr>
            <w:tcW w:w="720"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r w:rsidRPr="00AC25B5">
              <w:t>2003</w:t>
            </w:r>
          </w:p>
        </w:tc>
        <w:tc>
          <w:tcPr>
            <w:tcW w:w="720"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r w:rsidRPr="00AC25B5">
              <w:t>2005</w:t>
            </w:r>
          </w:p>
        </w:tc>
        <w:tc>
          <w:tcPr>
            <w:tcW w:w="720"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r w:rsidRPr="00AC25B5">
              <w:t>2007</w:t>
            </w:r>
          </w:p>
        </w:tc>
        <w:tc>
          <w:tcPr>
            <w:tcW w:w="720" w:type="dxa"/>
            <w:tcBorders>
              <w:top w:val="single" w:sz="18" w:space="0" w:color="auto"/>
              <w:bottom w:val="single" w:sz="18" w:space="0" w:color="auto"/>
            </w:tcBorders>
            <w:shd w:val="clear" w:color="auto" w:fill="E6E6E6"/>
            <w:vAlign w:val="bottom"/>
          </w:tcPr>
          <w:p w:rsidR="00B0519B" w:rsidRPr="00AC25B5" w:rsidRDefault="00B0519B" w:rsidP="00203192">
            <w:pPr>
              <w:pStyle w:val="TableHead"/>
              <w:spacing w:before="20" w:after="20"/>
            </w:pPr>
            <w:r w:rsidRPr="00AC25B5">
              <w:t>2009</w:t>
            </w:r>
          </w:p>
        </w:tc>
      </w:tr>
      <w:tr w:rsidR="00B0519B" w:rsidRPr="002A69BB" w:rsidTr="00203192">
        <w:trPr>
          <w:cantSplit/>
          <w:jc w:val="center"/>
        </w:trPr>
        <w:tc>
          <w:tcPr>
            <w:tcW w:w="4069" w:type="dxa"/>
            <w:tcBorders>
              <w:top w:val="single" w:sz="18" w:space="0" w:color="auto"/>
            </w:tcBorders>
            <w:shd w:val="clear" w:color="auto" w:fill="E6E6E6"/>
            <w:vAlign w:val="bottom"/>
          </w:tcPr>
          <w:p w:rsidR="00B0519B" w:rsidRPr="005B6AAF" w:rsidRDefault="00B0519B" w:rsidP="00203192">
            <w:pPr>
              <w:pStyle w:val="TableText"/>
              <w:spacing w:before="20" w:after="20"/>
              <w:rPr>
                <w:b/>
              </w:rPr>
            </w:pPr>
            <w:r w:rsidRPr="005B6AAF">
              <w:rPr>
                <w:b/>
              </w:rPr>
              <w:t>All students with a disability</w:t>
            </w:r>
          </w:p>
        </w:tc>
        <w:tc>
          <w:tcPr>
            <w:tcW w:w="720" w:type="dxa"/>
            <w:tcBorders>
              <w:top w:val="single" w:sz="18" w:space="0" w:color="auto"/>
            </w:tcBorders>
            <w:vAlign w:val="bottom"/>
          </w:tcPr>
          <w:p w:rsidR="00B0519B" w:rsidRPr="005B6AAF" w:rsidRDefault="00B0519B" w:rsidP="00203192">
            <w:pPr>
              <w:pStyle w:val="TableText"/>
              <w:spacing w:before="20" w:after="20"/>
              <w:jc w:val="center"/>
            </w:pPr>
            <w:r w:rsidRPr="005B6AAF">
              <w:t>228</w:t>
            </w:r>
          </w:p>
        </w:tc>
        <w:tc>
          <w:tcPr>
            <w:tcW w:w="720" w:type="dxa"/>
            <w:tcBorders>
              <w:top w:val="single" w:sz="18" w:space="0" w:color="auto"/>
            </w:tcBorders>
            <w:vAlign w:val="bottom"/>
          </w:tcPr>
          <w:p w:rsidR="00B0519B" w:rsidRPr="005B6AAF" w:rsidRDefault="00B0519B" w:rsidP="00203192">
            <w:pPr>
              <w:pStyle w:val="TableText"/>
              <w:spacing w:before="20" w:after="20"/>
              <w:jc w:val="center"/>
            </w:pPr>
            <w:r w:rsidRPr="005B6AAF">
              <w:t>225</w:t>
            </w:r>
          </w:p>
        </w:tc>
        <w:tc>
          <w:tcPr>
            <w:tcW w:w="720" w:type="dxa"/>
            <w:tcBorders>
              <w:top w:val="single" w:sz="18" w:space="0" w:color="auto"/>
            </w:tcBorders>
            <w:vAlign w:val="bottom"/>
          </w:tcPr>
          <w:p w:rsidR="00B0519B" w:rsidRPr="005B6AAF" w:rsidRDefault="00B0519B" w:rsidP="00203192">
            <w:pPr>
              <w:pStyle w:val="TableText"/>
              <w:spacing w:before="20" w:after="20"/>
              <w:jc w:val="center"/>
            </w:pPr>
            <w:r w:rsidRPr="005B6AAF">
              <w:t>227</w:t>
            </w:r>
          </w:p>
        </w:tc>
        <w:tc>
          <w:tcPr>
            <w:tcW w:w="720" w:type="dxa"/>
            <w:tcBorders>
              <w:top w:val="single" w:sz="18" w:space="0" w:color="auto"/>
            </w:tcBorders>
            <w:vAlign w:val="bottom"/>
          </w:tcPr>
          <w:p w:rsidR="00B0519B" w:rsidRPr="005B6AAF" w:rsidRDefault="00B0519B" w:rsidP="00203192">
            <w:pPr>
              <w:pStyle w:val="TableText"/>
              <w:spacing w:before="20" w:after="20"/>
              <w:jc w:val="center"/>
            </w:pPr>
            <w:r w:rsidRPr="005B6AAF">
              <w:t>227</w:t>
            </w:r>
          </w:p>
        </w:tc>
        <w:tc>
          <w:tcPr>
            <w:tcW w:w="720" w:type="dxa"/>
            <w:tcBorders>
              <w:top w:val="single" w:sz="18" w:space="0" w:color="auto"/>
            </w:tcBorders>
            <w:vAlign w:val="bottom"/>
          </w:tcPr>
          <w:p w:rsidR="00B0519B" w:rsidRPr="005B6AAF" w:rsidRDefault="00B0519B" w:rsidP="00203192">
            <w:pPr>
              <w:pStyle w:val="TableText"/>
              <w:spacing w:before="20" w:after="20"/>
              <w:jc w:val="center"/>
            </w:pPr>
            <w:r w:rsidRPr="005B6AAF">
              <w:t>230</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All students without a disability</w:t>
            </w:r>
          </w:p>
        </w:tc>
        <w:tc>
          <w:tcPr>
            <w:tcW w:w="720" w:type="dxa"/>
            <w:vAlign w:val="bottom"/>
          </w:tcPr>
          <w:p w:rsidR="00B0519B" w:rsidRPr="005B6AAF" w:rsidRDefault="00B0519B" w:rsidP="00203192">
            <w:pPr>
              <w:pStyle w:val="TableText"/>
              <w:spacing w:before="20" w:after="20"/>
              <w:jc w:val="center"/>
            </w:pPr>
            <w:r w:rsidRPr="005B6AAF">
              <w:t>268</w:t>
            </w:r>
          </w:p>
        </w:tc>
        <w:tc>
          <w:tcPr>
            <w:tcW w:w="720" w:type="dxa"/>
            <w:vAlign w:val="bottom"/>
          </w:tcPr>
          <w:p w:rsidR="00B0519B" w:rsidRPr="005B6AAF" w:rsidRDefault="00B0519B" w:rsidP="00203192">
            <w:pPr>
              <w:pStyle w:val="TableText"/>
              <w:spacing w:before="20" w:after="20"/>
              <w:jc w:val="center"/>
            </w:pPr>
            <w:r w:rsidRPr="005B6AAF">
              <w:t>267</w:t>
            </w:r>
          </w:p>
        </w:tc>
        <w:tc>
          <w:tcPr>
            <w:tcW w:w="720" w:type="dxa"/>
            <w:vAlign w:val="bottom"/>
          </w:tcPr>
          <w:p w:rsidR="00B0519B" w:rsidRPr="005B6AAF" w:rsidRDefault="00B0519B" w:rsidP="00203192">
            <w:pPr>
              <w:pStyle w:val="TableText"/>
              <w:spacing w:before="20" w:after="20"/>
              <w:jc w:val="center"/>
            </w:pPr>
            <w:r w:rsidRPr="005B6AAF">
              <w:t>266</w:t>
            </w:r>
          </w:p>
        </w:tc>
        <w:tc>
          <w:tcPr>
            <w:tcW w:w="720" w:type="dxa"/>
            <w:vAlign w:val="bottom"/>
          </w:tcPr>
          <w:p w:rsidR="00B0519B" w:rsidRPr="005B6AAF" w:rsidRDefault="00B0519B" w:rsidP="00203192">
            <w:pPr>
              <w:pStyle w:val="TableText"/>
              <w:spacing w:before="20" w:after="20"/>
              <w:jc w:val="center"/>
            </w:pPr>
            <w:r w:rsidRPr="005B6AAF">
              <w:t>266</w:t>
            </w:r>
          </w:p>
        </w:tc>
        <w:tc>
          <w:tcPr>
            <w:tcW w:w="720" w:type="dxa"/>
            <w:vAlign w:val="bottom"/>
          </w:tcPr>
          <w:p w:rsidR="00B0519B" w:rsidRPr="005B6AAF" w:rsidRDefault="00B0519B" w:rsidP="00203192">
            <w:pPr>
              <w:pStyle w:val="TableText"/>
              <w:spacing w:before="20" w:after="20"/>
              <w:jc w:val="center"/>
            </w:pPr>
            <w:r w:rsidRPr="005B6AAF">
              <w:t>267</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White with a disability</w:t>
            </w:r>
          </w:p>
        </w:tc>
        <w:tc>
          <w:tcPr>
            <w:tcW w:w="720" w:type="dxa"/>
            <w:vAlign w:val="bottom"/>
          </w:tcPr>
          <w:p w:rsidR="00B0519B" w:rsidRPr="005B6AAF" w:rsidRDefault="00B0519B" w:rsidP="00203192">
            <w:pPr>
              <w:pStyle w:val="TableText"/>
              <w:spacing w:before="20" w:after="20"/>
              <w:jc w:val="center"/>
            </w:pPr>
            <w:r w:rsidRPr="005B6AAF">
              <w:t>237</w:t>
            </w:r>
          </w:p>
        </w:tc>
        <w:tc>
          <w:tcPr>
            <w:tcW w:w="720" w:type="dxa"/>
            <w:vAlign w:val="bottom"/>
          </w:tcPr>
          <w:p w:rsidR="00B0519B" w:rsidRPr="005B6AAF" w:rsidRDefault="00B0519B" w:rsidP="00203192">
            <w:pPr>
              <w:pStyle w:val="TableText"/>
              <w:spacing w:before="20" w:after="20"/>
              <w:jc w:val="center"/>
            </w:pPr>
            <w:r w:rsidRPr="005B6AAF">
              <w:t>234</w:t>
            </w:r>
          </w:p>
        </w:tc>
        <w:tc>
          <w:tcPr>
            <w:tcW w:w="720" w:type="dxa"/>
            <w:vAlign w:val="bottom"/>
          </w:tcPr>
          <w:p w:rsidR="00B0519B" w:rsidRPr="005B6AAF" w:rsidRDefault="00B0519B" w:rsidP="00203192">
            <w:pPr>
              <w:pStyle w:val="TableText"/>
              <w:spacing w:before="20" w:after="20"/>
              <w:jc w:val="center"/>
            </w:pPr>
            <w:r w:rsidRPr="005B6AAF">
              <w:t>236</w:t>
            </w:r>
          </w:p>
        </w:tc>
        <w:tc>
          <w:tcPr>
            <w:tcW w:w="720" w:type="dxa"/>
            <w:vAlign w:val="bottom"/>
          </w:tcPr>
          <w:p w:rsidR="00B0519B" w:rsidRPr="005B6AAF" w:rsidRDefault="00B0519B" w:rsidP="00203192">
            <w:pPr>
              <w:pStyle w:val="TableText"/>
              <w:spacing w:before="20" w:after="20"/>
              <w:jc w:val="center"/>
            </w:pPr>
            <w:r w:rsidRPr="005B6AAF">
              <w:t>237</w:t>
            </w:r>
          </w:p>
        </w:tc>
        <w:tc>
          <w:tcPr>
            <w:tcW w:w="720" w:type="dxa"/>
            <w:vAlign w:val="bottom"/>
          </w:tcPr>
          <w:p w:rsidR="00B0519B" w:rsidRPr="005B6AAF" w:rsidRDefault="00B0519B" w:rsidP="00203192">
            <w:pPr>
              <w:pStyle w:val="TableText"/>
              <w:spacing w:before="20" w:after="20"/>
              <w:jc w:val="center"/>
            </w:pPr>
            <w:r w:rsidRPr="005B6AAF">
              <w:t>240</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Black with a disability</w:t>
            </w:r>
          </w:p>
        </w:tc>
        <w:tc>
          <w:tcPr>
            <w:tcW w:w="720" w:type="dxa"/>
            <w:vAlign w:val="bottom"/>
          </w:tcPr>
          <w:p w:rsidR="00B0519B" w:rsidRPr="005B6AAF" w:rsidRDefault="00B0519B" w:rsidP="00203192">
            <w:pPr>
              <w:pStyle w:val="TableText"/>
              <w:spacing w:before="20" w:after="20"/>
              <w:jc w:val="center"/>
            </w:pPr>
            <w:r w:rsidRPr="005B6AAF">
              <w:t>212</w:t>
            </w:r>
          </w:p>
        </w:tc>
        <w:tc>
          <w:tcPr>
            <w:tcW w:w="720" w:type="dxa"/>
            <w:vAlign w:val="bottom"/>
          </w:tcPr>
          <w:p w:rsidR="00B0519B" w:rsidRPr="005B6AAF" w:rsidRDefault="00B0519B" w:rsidP="00203192">
            <w:pPr>
              <w:pStyle w:val="TableText"/>
              <w:spacing w:before="20" w:after="20"/>
              <w:jc w:val="center"/>
            </w:pPr>
            <w:r w:rsidRPr="005B6AAF">
              <w:t>208</w:t>
            </w:r>
          </w:p>
        </w:tc>
        <w:tc>
          <w:tcPr>
            <w:tcW w:w="720" w:type="dxa"/>
            <w:vAlign w:val="bottom"/>
          </w:tcPr>
          <w:p w:rsidR="00B0519B" w:rsidRPr="005B6AAF" w:rsidRDefault="00B0519B" w:rsidP="00203192">
            <w:pPr>
              <w:pStyle w:val="TableText"/>
              <w:spacing w:before="20" w:after="20"/>
              <w:jc w:val="center"/>
            </w:pPr>
            <w:r w:rsidRPr="005B6AAF">
              <w:t>208</w:t>
            </w:r>
          </w:p>
        </w:tc>
        <w:tc>
          <w:tcPr>
            <w:tcW w:w="720" w:type="dxa"/>
            <w:vAlign w:val="bottom"/>
          </w:tcPr>
          <w:p w:rsidR="00B0519B" w:rsidRPr="005B6AAF" w:rsidRDefault="00B0519B" w:rsidP="00203192">
            <w:pPr>
              <w:pStyle w:val="TableText"/>
              <w:spacing w:before="20" w:after="20"/>
              <w:jc w:val="center"/>
            </w:pPr>
            <w:r w:rsidRPr="005B6AAF">
              <w:t>209</w:t>
            </w:r>
          </w:p>
        </w:tc>
        <w:tc>
          <w:tcPr>
            <w:tcW w:w="720" w:type="dxa"/>
            <w:vAlign w:val="bottom"/>
          </w:tcPr>
          <w:p w:rsidR="00B0519B" w:rsidRPr="005B6AAF" w:rsidRDefault="00B0519B" w:rsidP="00203192">
            <w:pPr>
              <w:pStyle w:val="TableText"/>
              <w:spacing w:before="20" w:after="20"/>
              <w:jc w:val="center"/>
            </w:pPr>
            <w:r w:rsidRPr="005B6AAF">
              <w:t>213</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Hispanic with a disability</w:t>
            </w:r>
          </w:p>
        </w:tc>
        <w:tc>
          <w:tcPr>
            <w:tcW w:w="720" w:type="dxa"/>
            <w:vAlign w:val="bottom"/>
          </w:tcPr>
          <w:p w:rsidR="00B0519B" w:rsidRPr="005B6AAF" w:rsidRDefault="00B0519B" w:rsidP="00203192">
            <w:pPr>
              <w:pStyle w:val="TableText"/>
              <w:spacing w:before="20" w:after="20"/>
              <w:jc w:val="center"/>
            </w:pPr>
            <w:r w:rsidRPr="005B6AAF">
              <w:t>211</w:t>
            </w:r>
          </w:p>
        </w:tc>
        <w:tc>
          <w:tcPr>
            <w:tcW w:w="720" w:type="dxa"/>
            <w:vAlign w:val="bottom"/>
          </w:tcPr>
          <w:p w:rsidR="00B0519B" w:rsidRPr="005B6AAF" w:rsidRDefault="00B0519B" w:rsidP="00203192">
            <w:pPr>
              <w:pStyle w:val="TableText"/>
              <w:spacing w:before="20" w:after="20"/>
              <w:jc w:val="center"/>
            </w:pPr>
            <w:r w:rsidRPr="005B6AAF">
              <w:t>209</w:t>
            </w:r>
          </w:p>
        </w:tc>
        <w:tc>
          <w:tcPr>
            <w:tcW w:w="720" w:type="dxa"/>
            <w:vAlign w:val="bottom"/>
          </w:tcPr>
          <w:p w:rsidR="00B0519B" w:rsidRPr="005B6AAF" w:rsidRDefault="00B0519B" w:rsidP="00203192">
            <w:pPr>
              <w:pStyle w:val="TableText"/>
              <w:spacing w:before="20" w:after="20"/>
              <w:jc w:val="center"/>
            </w:pPr>
            <w:r w:rsidRPr="005B6AAF">
              <w:t>212</w:t>
            </w:r>
          </w:p>
        </w:tc>
        <w:tc>
          <w:tcPr>
            <w:tcW w:w="720" w:type="dxa"/>
            <w:vAlign w:val="bottom"/>
          </w:tcPr>
          <w:p w:rsidR="00B0519B" w:rsidRPr="005B6AAF" w:rsidRDefault="00B0519B" w:rsidP="00203192">
            <w:pPr>
              <w:pStyle w:val="TableText"/>
              <w:spacing w:before="20" w:after="20"/>
              <w:jc w:val="center"/>
            </w:pPr>
            <w:r w:rsidRPr="005B6AAF">
              <w:t>212</w:t>
            </w:r>
          </w:p>
        </w:tc>
        <w:tc>
          <w:tcPr>
            <w:tcW w:w="720" w:type="dxa"/>
            <w:vAlign w:val="bottom"/>
          </w:tcPr>
          <w:p w:rsidR="00B0519B" w:rsidRPr="005B6AAF" w:rsidRDefault="00B0519B" w:rsidP="00203192">
            <w:pPr>
              <w:pStyle w:val="TableText"/>
              <w:spacing w:before="20" w:after="20"/>
              <w:jc w:val="center"/>
            </w:pPr>
            <w:r w:rsidRPr="005B6AAF">
              <w:t>212</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Asian/Pacific Islander with a disability</w:t>
            </w:r>
          </w:p>
        </w:tc>
        <w:tc>
          <w:tcPr>
            <w:tcW w:w="720" w:type="dxa"/>
            <w:vAlign w:val="bottom"/>
          </w:tcPr>
          <w:p w:rsidR="00B0519B" w:rsidRPr="005B6AAF" w:rsidRDefault="00B0519B" w:rsidP="00203192">
            <w:pPr>
              <w:pStyle w:val="TableText"/>
              <w:spacing w:before="20" w:after="20"/>
              <w:jc w:val="center"/>
            </w:pPr>
            <w:r w:rsidRPr="005B6AAF">
              <w:t>223</w:t>
            </w:r>
          </w:p>
        </w:tc>
        <w:tc>
          <w:tcPr>
            <w:tcW w:w="720" w:type="dxa"/>
            <w:vAlign w:val="bottom"/>
          </w:tcPr>
          <w:p w:rsidR="00B0519B" w:rsidRPr="005B6AAF" w:rsidRDefault="00B0519B" w:rsidP="00203192">
            <w:pPr>
              <w:pStyle w:val="TableText"/>
              <w:spacing w:before="20" w:after="20"/>
              <w:jc w:val="center"/>
            </w:pPr>
            <w:r w:rsidRPr="005B6AAF">
              <w:t>226</w:t>
            </w:r>
          </w:p>
        </w:tc>
        <w:tc>
          <w:tcPr>
            <w:tcW w:w="720" w:type="dxa"/>
            <w:vAlign w:val="bottom"/>
          </w:tcPr>
          <w:p w:rsidR="00B0519B" w:rsidRPr="005B6AAF" w:rsidRDefault="00B0519B" w:rsidP="00203192">
            <w:pPr>
              <w:pStyle w:val="TableText"/>
              <w:spacing w:before="20" w:after="20"/>
              <w:jc w:val="center"/>
            </w:pPr>
            <w:r w:rsidRPr="005B6AAF">
              <w:t>227</w:t>
            </w:r>
          </w:p>
        </w:tc>
        <w:tc>
          <w:tcPr>
            <w:tcW w:w="720" w:type="dxa"/>
            <w:vAlign w:val="bottom"/>
          </w:tcPr>
          <w:p w:rsidR="00B0519B" w:rsidRPr="005B6AAF" w:rsidRDefault="00B0519B" w:rsidP="00203192">
            <w:pPr>
              <w:pStyle w:val="TableText"/>
              <w:spacing w:before="20" w:after="20"/>
              <w:jc w:val="center"/>
            </w:pPr>
            <w:r w:rsidRPr="005B6AAF">
              <w:t>229</w:t>
            </w:r>
          </w:p>
        </w:tc>
        <w:tc>
          <w:tcPr>
            <w:tcW w:w="720" w:type="dxa"/>
            <w:vAlign w:val="bottom"/>
          </w:tcPr>
          <w:p w:rsidR="00B0519B" w:rsidRPr="005B6AAF" w:rsidRDefault="00B0519B" w:rsidP="00203192">
            <w:pPr>
              <w:pStyle w:val="TableText"/>
              <w:spacing w:before="20" w:after="20"/>
              <w:jc w:val="center"/>
            </w:pPr>
            <w:r w:rsidRPr="005B6AAF">
              <w:t>232</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American Indian with a disability</w:t>
            </w:r>
          </w:p>
        </w:tc>
        <w:tc>
          <w:tcPr>
            <w:tcW w:w="720" w:type="dxa"/>
            <w:vAlign w:val="bottom"/>
          </w:tcPr>
          <w:p w:rsidR="00B0519B" w:rsidRPr="005B6AAF" w:rsidRDefault="00B0519B" w:rsidP="00203192">
            <w:pPr>
              <w:pStyle w:val="TableText"/>
              <w:spacing w:before="20" w:after="20"/>
              <w:jc w:val="center"/>
            </w:pPr>
            <w:r w:rsidRPr="005B6AAF">
              <w:t>217</w:t>
            </w:r>
          </w:p>
        </w:tc>
        <w:tc>
          <w:tcPr>
            <w:tcW w:w="720" w:type="dxa"/>
            <w:vAlign w:val="bottom"/>
          </w:tcPr>
          <w:p w:rsidR="00B0519B" w:rsidRPr="005B6AAF" w:rsidRDefault="00B0519B" w:rsidP="00203192">
            <w:pPr>
              <w:pStyle w:val="TableText"/>
              <w:spacing w:before="20" w:after="20"/>
              <w:jc w:val="center"/>
            </w:pPr>
            <w:r w:rsidRPr="005B6AAF">
              <w:t>210</w:t>
            </w:r>
          </w:p>
        </w:tc>
        <w:tc>
          <w:tcPr>
            <w:tcW w:w="720" w:type="dxa"/>
            <w:vAlign w:val="bottom"/>
          </w:tcPr>
          <w:p w:rsidR="00B0519B" w:rsidRPr="005B6AAF" w:rsidRDefault="00B0519B" w:rsidP="00203192">
            <w:pPr>
              <w:pStyle w:val="TableText"/>
              <w:spacing w:before="20" w:after="20"/>
              <w:jc w:val="center"/>
            </w:pPr>
            <w:r w:rsidRPr="005B6AAF">
              <w:t>222</w:t>
            </w:r>
          </w:p>
        </w:tc>
        <w:tc>
          <w:tcPr>
            <w:tcW w:w="720" w:type="dxa"/>
            <w:vAlign w:val="bottom"/>
          </w:tcPr>
          <w:p w:rsidR="00B0519B" w:rsidRPr="005B6AAF" w:rsidRDefault="00B0519B" w:rsidP="00203192">
            <w:pPr>
              <w:pStyle w:val="TableText"/>
              <w:spacing w:before="20" w:after="20"/>
              <w:jc w:val="center"/>
            </w:pPr>
            <w:r w:rsidRPr="005B6AAF">
              <w:t>214</w:t>
            </w:r>
          </w:p>
        </w:tc>
        <w:tc>
          <w:tcPr>
            <w:tcW w:w="720" w:type="dxa"/>
            <w:vAlign w:val="bottom"/>
          </w:tcPr>
          <w:p w:rsidR="00B0519B" w:rsidRPr="005B6AAF" w:rsidRDefault="00B0519B" w:rsidP="00203192">
            <w:pPr>
              <w:pStyle w:val="TableText"/>
              <w:spacing w:before="20" w:after="20"/>
              <w:jc w:val="center"/>
            </w:pPr>
            <w:r w:rsidRPr="005B6AAF">
              <w:t>218</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White without a disability</w:t>
            </w:r>
          </w:p>
        </w:tc>
        <w:tc>
          <w:tcPr>
            <w:tcW w:w="720" w:type="dxa"/>
            <w:vAlign w:val="bottom"/>
          </w:tcPr>
          <w:p w:rsidR="00B0519B" w:rsidRPr="005B6AAF" w:rsidRDefault="00B0519B" w:rsidP="00203192">
            <w:pPr>
              <w:pStyle w:val="TableText"/>
              <w:spacing w:before="20" w:after="20"/>
              <w:jc w:val="center"/>
            </w:pPr>
            <w:r w:rsidRPr="005B6AAF">
              <w:t>274</w:t>
            </w:r>
          </w:p>
        </w:tc>
        <w:tc>
          <w:tcPr>
            <w:tcW w:w="720" w:type="dxa"/>
            <w:vAlign w:val="bottom"/>
          </w:tcPr>
          <w:p w:rsidR="00B0519B" w:rsidRPr="005B6AAF" w:rsidRDefault="00B0519B" w:rsidP="00203192">
            <w:pPr>
              <w:pStyle w:val="TableText"/>
              <w:spacing w:before="20" w:after="20"/>
              <w:jc w:val="center"/>
            </w:pPr>
            <w:r w:rsidRPr="005B6AAF">
              <w:t>274</w:t>
            </w:r>
          </w:p>
        </w:tc>
        <w:tc>
          <w:tcPr>
            <w:tcW w:w="720" w:type="dxa"/>
            <w:vAlign w:val="bottom"/>
          </w:tcPr>
          <w:p w:rsidR="00B0519B" w:rsidRPr="005B6AAF" w:rsidRDefault="00B0519B" w:rsidP="00203192">
            <w:pPr>
              <w:pStyle w:val="TableText"/>
              <w:spacing w:before="20" w:after="20"/>
              <w:jc w:val="center"/>
            </w:pPr>
            <w:r w:rsidRPr="005B6AAF">
              <w:t>273</w:t>
            </w:r>
          </w:p>
        </w:tc>
        <w:tc>
          <w:tcPr>
            <w:tcW w:w="720" w:type="dxa"/>
            <w:vAlign w:val="bottom"/>
          </w:tcPr>
          <w:p w:rsidR="00B0519B" w:rsidRPr="005B6AAF" w:rsidRDefault="00B0519B" w:rsidP="00203192">
            <w:pPr>
              <w:pStyle w:val="TableText"/>
              <w:spacing w:before="20" w:after="20"/>
              <w:jc w:val="center"/>
            </w:pPr>
            <w:r w:rsidRPr="005B6AAF">
              <w:t>274</w:t>
            </w:r>
          </w:p>
        </w:tc>
        <w:tc>
          <w:tcPr>
            <w:tcW w:w="720" w:type="dxa"/>
            <w:vAlign w:val="bottom"/>
          </w:tcPr>
          <w:p w:rsidR="00B0519B" w:rsidRPr="005B6AAF" w:rsidRDefault="00B0519B" w:rsidP="00203192">
            <w:pPr>
              <w:pStyle w:val="TableText"/>
              <w:spacing w:before="20" w:after="20"/>
              <w:jc w:val="center"/>
            </w:pPr>
            <w:r w:rsidRPr="005B6AAF">
              <w:t>275</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Black without a disability</w:t>
            </w:r>
          </w:p>
        </w:tc>
        <w:tc>
          <w:tcPr>
            <w:tcW w:w="720" w:type="dxa"/>
            <w:vAlign w:val="bottom"/>
          </w:tcPr>
          <w:p w:rsidR="00B0519B" w:rsidRPr="005B6AAF" w:rsidRDefault="00B0519B" w:rsidP="00203192">
            <w:pPr>
              <w:pStyle w:val="TableText"/>
              <w:spacing w:before="20" w:after="20"/>
              <w:jc w:val="center"/>
            </w:pPr>
            <w:r w:rsidRPr="005B6AAF">
              <w:t>248</w:t>
            </w:r>
          </w:p>
        </w:tc>
        <w:tc>
          <w:tcPr>
            <w:tcW w:w="720" w:type="dxa"/>
            <w:vAlign w:val="bottom"/>
          </w:tcPr>
          <w:p w:rsidR="00B0519B" w:rsidRPr="005B6AAF" w:rsidRDefault="00B0519B" w:rsidP="00203192">
            <w:pPr>
              <w:pStyle w:val="TableText"/>
              <w:spacing w:before="20" w:after="20"/>
              <w:jc w:val="center"/>
            </w:pPr>
            <w:r w:rsidRPr="005B6AAF">
              <w:t>248</w:t>
            </w:r>
          </w:p>
        </w:tc>
        <w:tc>
          <w:tcPr>
            <w:tcW w:w="720" w:type="dxa"/>
            <w:vAlign w:val="bottom"/>
          </w:tcPr>
          <w:p w:rsidR="00B0519B" w:rsidRPr="005B6AAF" w:rsidRDefault="00B0519B" w:rsidP="00203192">
            <w:pPr>
              <w:pStyle w:val="TableText"/>
              <w:spacing w:before="20" w:after="20"/>
              <w:jc w:val="center"/>
            </w:pPr>
            <w:r w:rsidRPr="005B6AAF">
              <w:t>246</w:t>
            </w:r>
          </w:p>
        </w:tc>
        <w:tc>
          <w:tcPr>
            <w:tcW w:w="720" w:type="dxa"/>
            <w:vAlign w:val="bottom"/>
          </w:tcPr>
          <w:p w:rsidR="00B0519B" w:rsidRPr="005B6AAF" w:rsidRDefault="00B0519B" w:rsidP="00203192">
            <w:pPr>
              <w:pStyle w:val="TableText"/>
              <w:spacing w:before="20" w:after="20"/>
              <w:jc w:val="center"/>
            </w:pPr>
            <w:r w:rsidRPr="005B6AAF">
              <w:t>248</w:t>
            </w:r>
          </w:p>
        </w:tc>
        <w:tc>
          <w:tcPr>
            <w:tcW w:w="720" w:type="dxa"/>
            <w:vAlign w:val="bottom"/>
          </w:tcPr>
          <w:p w:rsidR="00B0519B" w:rsidRPr="005B6AAF" w:rsidRDefault="00B0519B" w:rsidP="00203192">
            <w:pPr>
              <w:pStyle w:val="TableText"/>
              <w:spacing w:before="20" w:after="20"/>
              <w:jc w:val="center"/>
            </w:pPr>
            <w:r w:rsidRPr="005B6AAF">
              <w:t>250</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Hispanic without a disability</w:t>
            </w:r>
          </w:p>
        </w:tc>
        <w:tc>
          <w:tcPr>
            <w:tcW w:w="720" w:type="dxa"/>
            <w:vAlign w:val="bottom"/>
          </w:tcPr>
          <w:p w:rsidR="00B0519B" w:rsidRPr="005B6AAF" w:rsidRDefault="00B0519B" w:rsidP="00203192">
            <w:pPr>
              <w:pStyle w:val="TableText"/>
              <w:spacing w:before="20" w:after="20"/>
              <w:jc w:val="center"/>
            </w:pPr>
            <w:r w:rsidRPr="005B6AAF">
              <w:t>249</w:t>
            </w:r>
          </w:p>
        </w:tc>
        <w:tc>
          <w:tcPr>
            <w:tcW w:w="720" w:type="dxa"/>
            <w:vAlign w:val="bottom"/>
          </w:tcPr>
          <w:p w:rsidR="00B0519B" w:rsidRPr="005B6AAF" w:rsidRDefault="00B0519B" w:rsidP="00203192">
            <w:pPr>
              <w:pStyle w:val="TableText"/>
              <w:spacing w:before="20" w:after="20"/>
              <w:jc w:val="center"/>
            </w:pPr>
            <w:r w:rsidRPr="005B6AAF">
              <w:t>248</w:t>
            </w:r>
          </w:p>
        </w:tc>
        <w:tc>
          <w:tcPr>
            <w:tcW w:w="720" w:type="dxa"/>
            <w:vAlign w:val="bottom"/>
          </w:tcPr>
          <w:p w:rsidR="00B0519B" w:rsidRPr="005B6AAF" w:rsidRDefault="00B0519B" w:rsidP="00203192">
            <w:pPr>
              <w:pStyle w:val="TableText"/>
              <w:spacing w:before="20" w:after="20"/>
              <w:jc w:val="center"/>
            </w:pPr>
            <w:r w:rsidRPr="005B6AAF">
              <w:t>248</w:t>
            </w:r>
          </w:p>
        </w:tc>
        <w:tc>
          <w:tcPr>
            <w:tcW w:w="720" w:type="dxa"/>
            <w:vAlign w:val="bottom"/>
          </w:tcPr>
          <w:p w:rsidR="00B0519B" w:rsidRPr="005B6AAF" w:rsidRDefault="00B0519B" w:rsidP="00203192">
            <w:pPr>
              <w:pStyle w:val="TableText"/>
              <w:spacing w:before="20" w:after="20"/>
              <w:jc w:val="center"/>
            </w:pPr>
            <w:r w:rsidRPr="005B6AAF">
              <w:t>249</w:t>
            </w:r>
          </w:p>
        </w:tc>
        <w:tc>
          <w:tcPr>
            <w:tcW w:w="720" w:type="dxa"/>
            <w:vAlign w:val="bottom"/>
          </w:tcPr>
          <w:p w:rsidR="00B0519B" w:rsidRPr="005B6AAF" w:rsidRDefault="00B0519B" w:rsidP="00203192">
            <w:pPr>
              <w:pStyle w:val="TableText"/>
              <w:spacing w:before="20" w:after="20"/>
              <w:jc w:val="center"/>
            </w:pPr>
            <w:r w:rsidRPr="005B6AAF">
              <w:t>251</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Asian/Pacific Islander without a disability</w:t>
            </w:r>
          </w:p>
        </w:tc>
        <w:tc>
          <w:tcPr>
            <w:tcW w:w="720" w:type="dxa"/>
            <w:vAlign w:val="bottom"/>
          </w:tcPr>
          <w:p w:rsidR="00B0519B" w:rsidRPr="005B6AAF" w:rsidRDefault="00B0519B" w:rsidP="00203192">
            <w:pPr>
              <w:pStyle w:val="TableText"/>
              <w:spacing w:before="20" w:after="20"/>
              <w:jc w:val="center"/>
            </w:pPr>
            <w:r w:rsidRPr="005B6AAF">
              <w:t>267</w:t>
            </w:r>
          </w:p>
        </w:tc>
        <w:tc>
          <w:tcPr>
            <w:tcW w:w="720" w:type="dxa"/>
            <w:vAlign w:val="bottom"/>
          </w:tcPr>
          <w:p w:rsidR="00B0519B" w:rsidRPr="005B6AAF" w:rsidRDefault="00B0519B" w:rsidP="00203192">
            <w:pPr>
              <w:pStyle w:val="TableText"/>
              <w:spacing w:before="20" w:after="20"/>
              <w:jc w:val="center"/>
            </w:pPr>
            <w:r w:rsidRPr="005B6AAF">
              <w:t>271</w:t>
            </w:r>
          </w:p>
        </w:tc>
        <w:tc>
          <w:tcPr>
            <w:tcW w:w="720" w:type="dxa"/>
            <w:vAlign w:val="bottom"/>
          </w:tcPr>
          <w:p w:rsidR="00B0519B" w:rsidRPr="005B6AAF" w:rsidRDefault="00B0519B" w:rsidP="00203192">
            <w:pPr>
              <w:pStyle w:val="TableText"/>
              <w:spacing w:before="20" w:after="20"/>
              <w:jc w:val="center"/>
            </w:pPr>
            <w:r w:rsidRPr="005B6AAF">
              <w:t>271</w:t>
            </w:r>
          </w:p>
        </w:tc>
        <w:tc>
          <w:tcPr>
            <w:tcW w:w="720" w:type="dxa"/>
            <w:vAlign w:val="bottom"/>
          </w:tcPr>
          <w:p w:rsidR="00B0519B" w:rsidRPr="005B6AAF" w:rsidRDefault="00B0519B" w:rsidP="00203192">
            <w:pPr>
              <w:pStyle w:val="TableText"/>
              <w:spacing w:before="20" w:after="20"/>
              <w:jc w:val="center"/>
            </w:pPr>
            <w:r w:rsidRPr="005B6AAF">
              <w:t>271</w:t>
            </w:r>
          </w:p>
        </w:tc>
        <w:tc>
          <w:tcPr>
            <w:tcW w:w="720" w:type="dxa"/>
            <w:vAlign w:val="bottom"/>
          </w:tcPr>
          <w:p w:rsidR="00B0519B" w:rsidRPr="005B6AAF" w:rsidRDefault="00B0519B" w:rsidP="00203192">
            <w:pPr>
              <w:pStyle w:val="TableText"/>
              <w:spacing w:before="20" w:after="20"/>
              <w:jc w:val="center"/>
            </w:pPr>
            <w:r w:rsidRPr="005B6AAF">
              <w:t>275</w:t>
            </w:r>
          </w:p>
        </w:tc>
      </w:tr>
      <w:tr w:rsidR="00B0519B" w:rsidRPr="002A69BB" w:rsidTr="00203192">
        <w:trPr>
          <w:cantSplit/>
          <w:jc w:val="center"/>
        </w:trPr>
        <w:tc>
          <w:tcPr>
            <w:tcW w:w="4069" w:type="dxa"/>
            <w:shd w:val="clear" w:color="auto" w:fill="E6E6E6"/>
            <w:vAlign w:val="bottom"/>
          </w:tcPr>
          <w:p w:rsidR="00B0519B" w:rsidRPr="005B6AAF" w:rsidRDefault="00B0519B" w:rsidP="00203192">
            <w:pPr>
              <w:pStyle w:val="TableText"/>
              <w:spacing w:before="20" w:after="20"/>
              <w:rPr>
                <w:b/>
              </w:rPr>
            </w:pPr>
            <w:r w:rsidRPr="005B6AAF">
              <w:rPr>
                <w:b/>
              </w:rPr>
              <w:t>American Indian without a disability</w:t>
            </w:r>
          </w:p>
        </w:tc>
        <w:tc>
          <w:tcPr>
            <w:tcW w:w="720" w:type="dxa"/>
            <w:vAlign w:val="bottom"/>
          </w:tcPr>
          <w:p w:rsidR="00B0519B" w:rsidRPr="005B6AAF" w:rsidRDefault="00B0519B" w:rsidP="00203192">
            <w:pPr>
              <w:pStyle w:val="TableText"/>
              <w:spacing w:before="20" w:after="20"/>
              <w:jc w:val="center"/>
            </w:pPr>
            <w:r w:rsidRPr="005B6AAF">
              <w:t>256</w:t>
            </w:r>
          </w:p>
        </w:tc>
        <w:tc>
          <w:tcPr>
            <w:tcW w:w="720" w:type="dxa"/>
            <w:vAlign w:val="bottom"/>
          </w:tcPr>
          <w:p w:rsidR="00B0519B" w:rsidRPr="005B6AAF" w:rsidRDefault="00B0519B" w:rsidP="00203192">
            <w:pPr>
              <w:pStyle w:val="TableText"/>
              <w:spacing w:before="20" w:after="20"/>
              <w:jc w:val="center"/>
            </w:pPr>
            <w:r w:rsidRPr="005B6AAF">
              <w:t>254</w:t>
            </w:r>
          </w:p>
        </w:tc>
        <w:tc>
          <w:tcPr>
            <w:tcW w:w="720" w:type="dxa"/>
            <w:vAlign w:val="bottom"/>
          </w:tcPr>
          <w:p w:rsidR="00B0519B" w:rsidRPr="005B6AAF" w:rsidRDefault="00B0519B" w:rsidP="00203192">
            <w:pPr>
              <w:pStyle w:val="TableText"/>
              <w:spacing w:before="20" w:after="20"/>
              <w:jc w:val="center"/>
            </w:pPr>
            <w:r w:rsidRPr="005B6AAF">
              <w:t>255</w:t>
            </w:r>
          </w:p>
        </w:tc>
        <w:tc>
          <w:tcPr>
            <w:tcW w:w="720" w:type="dxa"/>
            <w:vAlign w:val="bottom"/>
          </w:tcPr>
          <w:p w:rsidR="00B0519B" w:rsidRPr="005B6AAF" w:rsidRDefault="00B0519B" w:rsidP="00203192">
            <w:pPr>
              <w:pStyle w:val="TableText"/>
              <w:spacing w:before="20" w:after="20"/>
              <w:jc w:val="center"/>
            </w:pPr>
            <w:r w:rsidRPr="005B6AAF">
              <w:t>253</w:t>
            </w:r>
          </w:p>
        </w:tc>
        <w:tc>
          <w:tcPr>
            <w:tcW w:w="720" w:type="dxa"/>
            <w:vAlign w:val="bottom"/>
          </w:tcPr>
          <w:p w:rsidR="00B0519B" w:rsidRPr="005B6AAF" w:rsidRDefault="00B0519B" w:rsidP="00203192">
            <w:pPr>
              <w:pStyle w:val="TableText"/>
              <w:spacing w:before="20" w:after="20"/>
              <w:jc w:val="center"/>
            </w:pPr>
            <w:r w:rsidRPr="005B6AAF">
              <w:t>258</w:t>
            </w:r>
          </w:p>
        </w:tc>
      </w:tr>
    </w:tbl>
    <w:p w:rsidR="00B0519B" w:rsidRPr="004256CC" w:rsidRDefault="00B0519B" w:rsidP="00B0519B">
      <w:pPr>
        <w:pStyle w:val="TableNote"/>
      </w:pPr>
      <w:r w:rsidRPr="00CF29A7">
        <w:rPr>
          <w:b/>
        </w:rPr>
        <w:t>Source:</w:t>
      </w:r>
      <w:r w:rsidRPr="004256CC">
        <w:t xml:space="preserve"> U.S. Department of Education, Institute of Education Sciences, National Center for Education Statistics, National Assessment of Educational Progress (NAEP), NAEP Data Explorer, July 2011</w:t>
      </w:r>
    </w:p>
    <w:p w:rsidR="00B0519B" w:rsidRDefault="00B0519B" w:rsidP="00B0519B">
      <w:pPr>
        <w:pStyle w:val="NCDTableNumber"/>
      </w:pPr>
      <w:r w:rsidRPr="005566A4">
        <w:t xml:space="preserve">Table </w:t>
      </w:r>
      <w:r>
        <w:t>8</w:t>
      </w:r>
      <w:r w:rsidRPr="005566A4">
        <w:t xml:space="preserve">. </w:t>
      </w:r>
    </w:p>
    <w:p w:rsidR="00B0519B" w:rsidRDefault="00B0519B" w:rsidP="00B0519B">
      <w:pPr>
        <w:pStyle w:val="TableTitle"/>
      </w:pPr>
      <w:r w:rsidRPr="005566A4">
        <w:t>NAEP Grade 8 Mathematics Scores by Race/Ethnicity and Disability Status, 2000</w:t>
      </w:r>
      <w:r>
        <w:t>–</w:t>
      </w:r>
      <w:r w:rsidRPr="005566A4">
        <w:t xml:space="preserve">09 </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950"/>
        <w:gridCol w:w="854"/>
        <w:gridCol w:w="889"/>
        <w:gridCol w:w="889"/>
        <w:gridCol w:w="889"/>
        <w:gridCol w:w="889"/>
      </w:tblGrid>
      <w:tr w:rsidR="00B0519B" w:rsidRPr="00AC25B5" w:rsidTr="00203192">
        <w:trPr>
          <w:tblHeader/>
          <w:jc w:val="center"/>
        </w:trPr>
        <w:tc>
          <w:tcPr>
            <w:tcW w:w="4950"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p>
        </w:tc>
        <w:tc>
          <w:tcPr>
            <w:tcW w:w="854"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r w:rsidRPr="00AC25B5">
              <w:t>2000</w:t>
            </w:r>
          </w:p>
        </w:tc>
        <w:tc>
          <w:tcPr>
            <w:tcW w:w="889"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r w:rsidRPr="00AC25B5">
              <w:t>2003</w:t>
            </w:r>
          </w:p>
        </w:tc>
        <w:tc>
          <w:tcPr>
            <w:tcW w:w="889"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r w:rsidRPr="00AC25B5">
              <w:t>2005</w:t>
            </w:r>
          </w:p>
        </w:tc>
        <w:tc>
          <w:tcPr>
            <w:tcW w:w="889"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r w:rsidRPr="00AC25B5">
              <w:t>2007</w:t>
            </w:r>
          </w:p>
        </w:tc>
        <w:tc>
          <w:tcPr>
            <w:tcW w:w="889" w:type="dxa"/>
            <w:tcBorders>
              <w:top w:val="single" w:sz="18" w:space="0" w:color="auto"/>
              <w:bottom w:val="single" w:sz="18" w:space="0" w:color="auto"/>
            </w:tcBorders>
            <w:shd w:val="pct10" w:color="auto" w:fill="auto"/>
          </w:tcPr>
          <w:p w:rsidR="00B0519B" w:rsidRPr="00AC25B5" w:rsidRDefault="00B0519B" w:rsidP="00203192">
            <w:pPr>
              <w:pStyle w:val="TableHead"/>
              <w:spacing w:before="20" w:after="20"/>
            </w:pPr>
            <w:r w:rsidRPr="00AC25B5">
              <w:t>2009</w:t>
            </w:r>
          </w:p>
        </w:tc>
      </w:tr>
      <w:tr w:rsidR="00B0519B" w:rsidRPr="002A69BB" w:rsidTr="00203192">
        <w:trPr>
          <w:jc w:val="center"/>
        </w:trPr>
        <w:tc>
          <w:tcPr>
            <w:tcW w:w="4950" w:type="dxa"/>
            <w:tcBorders>
              <w:top w:val="single" w:sz="18" w:space="0" w:color="auto"/>
            </w:tcBorders>
            <w:shd w:val="pct10" w:color="auto" w:fill="auto"/>
          </w:tcPr>
          <w:p w:rsidR="00B0519B" w:rsidRPr="00CF29A7" w:rsidRDefault="00B0519B" w:rsidP="00203192">
            <w:pPr>
              <w:pStyle w:val="TableText"/>
              <w:spacing w:before="20" w:after="20"/>
              <w:rPr>
                <w:b/>
              </w:rPr>
            </w:pPr>
            <w:r w:rsidRPr="00CF29A7">
              <w:rPr>
                <w:b/>
              </w:rPr>
              <w:t xml:space="preserve">All students with a disability </w:t>
            </w:r>
          </w:p>
        </w:tc>
        <w:tc>
          <w:tcPr>
            <w:tcW w:w="854" w:type="dxa"/>
            <w:tcBorders>
              <w:top w:val="single" w:sz="18" w:space="0" w:color="auto"/>
            </w:tcBorders>
          </w:tcPr>
          <w:p w:rsidR="00B0519B" w:rsidRPr="00CF29A7" w:rsidRDefault="00B0519B" w:rsidP="00203192">
            <w:pPr>
              <w:pStyle w:val="TableText"/>
              <w:spacing w:before="20" w:after="20"/>
              <w:jc w:val="center"/>
            </w:pPr>
            <w:r w:rsidRPr="00CF29A7">
              <w:t>230</w:t>
            </w:r>
          </w:p>
        </w:tc>
        <w:tc>
          <w:tcPr>
            <w:tcW w:w="889" w:type="dxa"/>
            <w:tcBorders>
              <w:top w:val="single" w:sz="18" w:space="0" w:color="auto"/>
            </w:tcBorders>
          </w:tcPr>
          <w:p w:rsidR="00B0519B" w:rsidRPr="00CF29A7" w:rsidRDefault="00B0519B" w:rsidP="00203192">
            <w:pPr>
              <w:pStyle w:val="TableText"/>
              <w:spacing w:before="20" w:after="20"/>
              <w:jc w:val="center"/>
            </w:pPr>
            <w:r w:rsidRPr="00CF29A7">
              <w:t>242</w:t>
            </w:r>
          </w:p>
        </w:tc>
        <w:tc>
          <w:tcPr>
            <w:tcW w:w="889" w:type="dxa"/>
            <w:tcBorders>
              <w:top w:val="single" w:sz="18" w:space="0" w:color="auto"/>
            </w:tcBorders>
          </w:tcPr>
          <w:p w:rsidR="00B0519B" w:rsidRPr="00CF29A7" w:rsidRDefault="00B0519B" w:rsidP="00203192">
            <w:pPr>
              <w:pStyle w:val="TableText"/>
              <w:spacing w:before="20" w:after="20"/>
              <w:jc w:val="center"/>
            </w:pPr>
            <w:r w:rsidRPr="00CF29A7">
              <w:t>245</w:t>
            </w:r>
          </w:p>
        </w:tc>
        <w:tc>
          <w:tcPr>
            <w:tcW w:w="889" w:type="dxa"/>
            <w:tcBorders>
              <w:top w:val="single" w:sz="18" w:space="0" w:color="auto"/>
            </w:tcBorders>
          </w:tcPr>
          <w:p w:rsidR="00B0519B" w:rsidRPr="00CF29A7" w:rsidRDefault="00B0519B" w:rsidP="00203192">
            <w:pPr>
              <w:pStyle w:val="TableText"/>
              <w:spacing w:before="20" w:after="20"/>
              <w:jc w:val="center"/>
            </w:pPr>
            <w:r w:rsidRPr="00CF29A7">
              <w:t>246</w:t>
            </w:r>
          </w:p>
        </w:tc>
        <w:tc>
          <w:tcPr>
            <w:tcW w:w="889" w:type="dxa"/>
            <w:tcBorders>
              <w:top w:val="single" w:sz="18" w:space="0" w:color="auto"/>
            </w:tcBorders>
          </w:tcPr>
          <w:p w:rsidR="00B0519B" w:rsidRPr="00CF29A7" w:rsidRDefault="00B0519B" w:rsidP="00203192">
            <w:pPr>
              <w:pStyle w:val="TableText"/>
              <w:spacing w:before="20" w:after="20"/>
              <w:jc w:val="center"/>
            </w:pPr>
            <w:r w:rsidRPr="00CF29A7">
              <w:t>249</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All students without a disability</w:t>
            </w:r>
          </w:p>
        </w:tc>
        <w:tc>
          <w:tcPr>
            <w:tcW w:w="854" w:type="dxa"/>
          </w:tcPr>
          <w:p w:rsidR="00B0519B" w:rsidRPr="00CF29A7" w:rsidRDefault="00B0519B" w:rsidP="00203192">
            <w:pPr>
              <w:pStyle w:val="TableText"/>
              <w:spacing w:before="20" w:after="20"/>
              <w:jc w:val="center"/>
            </w:pPr>
            <w:r w:rsidRPr="00CF29A7">
              <w:t>276</w:t>
            </w:r>
          </w:p>
        </w:tc>
        <w:tc>
          <w:tcPr>
            <w:tcW w:w="889" w:type="dxa"/>
          </w:tcPr>
          <w:p w:rsidR="00B0519B" w:rsidRPr="00CF29A7" w:rsidRDefault="00B0519B" w:rsidP="00203192">
            <w:pPr>
              <w:pStyle w:val="TableText"/>
              <w:spacing w:before="20" w:after="20"/>
              <w:jc w:val="center"/>
            </w:pPr>
            <w:r w:rsidRPr="00CF29A7">
              <w:t>282</w:t>
            </w:r>
          </w:p>
        </w:tc>
        <w:tc>
          <w:tcPr>
            <w:tcW w:w="889" w:type="dxa"/>
          </w:tcPr>
          <w:p w:rsidR="00B0519B" w:rsidRPr="00CF29A7" w:rsidRDefault="00B0519B" w:rsidP="00203192">
            <w:pPr>
              <w:pStyle w:val="TableText"/>
              <w:spacing w:before="20" w:after="20"/>
              <w:jc w:val="center"/>
            </w:pPr>
            <w:r w:rsidRPr="00CF29A7">
              <w:t>283</w:t>
            </w:r>
          </w:p>
        </w:tc>
        <w:tc>
          <w:tcPr>
            <w:tcW w:w="889" w:type="dxa"/>
          </w:tcPr>
          <w:p w:rsidR="00B0519B" w:rsidRPr="00CF29A7" w:rsidRDefault="00B0519B" w:rsidP="00203192">
            <w:pPr>
              <w:pStyle w:val="TableText"/>
              <w:spacing w:before="20" w:after="20"/>
              <w:jc w:val="center"/>
            </w:pPr>
            <w:r w:rsidRPr="00CF29A7">
              <w:t>285</w:t>
            </w:r>
          </w:p>
        </w:tc>
        <w:tc>
          <w:tcPr>
            <w:tcW w:w="889" w:type="dxa"/>
          </w:tcPr>
          <w:p w:rsidR="00B0519B" w:rsidRPr="00CF29A7" w:rsidRDefault="00B0519B" w:rsidP="00203192">
            <w:pPr>
              <w:pStyle w:val="TableText"/>
              <w:spacing w:before="20" w:after="20"/>
              <w:jc w:val="center"/>
            </w:pPr>
            <w:r w:rsidRPr="00CF29A7">
              <w:t>287</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White with a disability</w:t>
            </w:r>
          </w:p>
        </w:tc>
        <w:tc>
          <w:tcPr>
            <w:tcW w:w="854" w:type="dxa"/>
          </w:tcPr>
          <w:p w:rsidR="00B0519B" w:rsidRPr="00CF29A7" w:rsidRDefault="00B0519B" w:rsidP="00203192">
            <w:pPr>
              <w:pStyle w:val="TableText"/>
              <w:spacing w:before="20" w:after="20"/>
              <w:jc w:val="center"/>
            </w:pPr>
            <w:r w:rsidRPr="00CF29A7">
              <w:t>239</w:t>
            </w:r>
          </w:p>
        </w:tc>
        <w:tc>
          <w:tcPr>
            <w:tcW w:w="889" w:type="dxa"/>
          </w:tcPr>
          <w:p w:rsidR="00B0519B" w:rsidRPr="00CF29A7" w:rsidRDefault="00B0519B" w:rsidP="00203192">
            <w:pPr>
              <w:pStyle w:val="TableText"/>
              <w:spacing w:before="20" w:after="20"/>
              <w:jc w:val="center"/>
            </w:pPr>
            <w:r w:rsidRPr="00CF29A7">
              <w:t>253</w:t>
            </w:r>
          </w:p>
        </w:tc>
        <w:tc>
          <w:tcPr>
            <w:tcW w:w="889" w:type="dxa"/>
          </w:tcPr>
          <w:p w:rsidR="00B0519B" w:rsidRPr="00CF29A7" w:rsidRDefault="00B0519B" w:rsidP="00203192">
            <w:pPr>
              <w:pStyle w:val="TableText"/>
              <w:spacing w:before="20" w:after="20"/>
              <w:jc w:val="center"/>
            </w:pPr>
            <w:r w:rsidRPr="00CF29A7">
              <w:t>255</w:t>
            </w:r>
          </w:p>
        </w:tc>
        <w:tc>
          <w:tcPr>
            <w:tcW w:w="889" w:type="dxa"/>
          </w:tcPr>
          <w:p w:rsidR="00B0519B" w:rsidRPr="00CF29A7" w:rsidRDefault="00B0519B" w:rsidP="00203192">
            <w:pPr>
              <w:pStyle w:val="TableText"/>
              <w:spacing w:before="20" w:after="20"/>
              <w:jc w:val="center"/>
            </w:pPr>
            <w:r w:rsidRPr="00CF29A7">
              <w:t>257</w:t>
            </w:r>
          </w:p>
        </w:tc>
        <w:tc>
          <w:tcPr>
            <w:tcW w:w="889" w:type="dxa"/>
          </w:tcPr>
          <w:p w:rsidR="00B0519B" w:rsidRPr="00CF29A7" w:rsidRDefault="00B0519B" w:rsidP="00203192">
            <w:pPr>
              <w:pStyle w:val="TableText"/>
              <w:spacing w:before="20" w:after="20"/>
              <w:jc w:val="center"/>
            </w:pPr>
            <w:r w:rsidRPr="00CF29A7">
              <w:t>260</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Black with a disability</w:t>
            </w:r>
          </w:p>
        </w:tc>
        <w:tc>
          <w:tcPr>
            <w:tcW w:w="854" w:type="dxa"/>
          </w:tcPr>
          <w:p w:rsidR="00B0519B" w:rsidRPr="00CF29A7" w:rsidRDefault="00B0519B" w:rsidP="00203192">
            <w:pPr>
              <w:pStyle w:val="TableText"/>
              <w:spacing w:before="20" w:after="20"/>
              <w:jc w:val="center"/>
            </w:pPr>
            <w:r w:rsidRPr="00CF29A7">
              <w:t>206</w:t>
            </w:r>
          </w:p>
        </w:tc>
        <w:tc>
          <w:tcPr>
            <w:tcW w:w="889" w:type="dxa"/>
          </w:tcPr>
          <w:p w:rsidR="00B0519B" w:rsidRPr="00CF29A7" w:rsidRDefault="00B0519B" w:rsidP="00203192">
            <w:pPr>
              <w:pStyle w:val="TableText"/>
              <w:spacing w:before="20" w:after="20"/>
              <w:jc w:val="center"/>
            </w:pPr>
            <w:r w:rsidRPr="00CF29A7">
              <w:t>219</w:t>
            </w:r>
          </w:p>
        </w:tc>
        <w:tc>
          <w:tcPr>
            <w:tcW w:w="889" w:type="dxa"/>
          </w:tcPr>
          <w:p w:rsidR="00B0519B" w:rsidRPr="00CF29A7" w:rsidRDefault="00B0519B" w:rsidP="00203192">
            <w:pPr>
              <w:pStyle w:val="TableText"/>
              <w:spacing w:before="20" w:after="20"/>
              <w:jc w:val="center"/>
            </w:pPr>
            <w:r w:rsidRPr="00CF29A7">
              <w:t>222</w:t>
            </w:r>
          </w:p>
        </w:tc>
        <w:tc>
          <w:tcPr>
            <w:tcW w:w="889" w:type="dxa"/>
          </w:tcPr>
          <w:p w:rsidR="00B0519B" w:rsidRPr="00CF29A7" w:rsidRDefault="00B0519B" w:rsidP="00203192">
            <w:pPr>
              <w:pStyle w:val="TableText"/>
              <w:spacing w:before="20" w:after="20"/>
              <w:jc w:val="center"/>
            </w:pPr>
            <w:r w:rsidRPr="00CF29A7">
              <w:t>226</w:t>
            </w:r>
          </w:p>
        </w:tc>
        <w:tc>
          <w:tcPr>
            <w:tcW w:w="889" w:type="dxa"/>
          </w:tcPr>
          <w:p w:rsidR="00B0519B" w:rsidRPr="00CF29A7" w:rsidRDefault="00B0519B" w:rsidP="00203192">
            <w:pPr>
              <w:pStyle w:val="TableText"/>
              <w:spacing w:before="20" w:after="20"/>
              <w:jc w:val="center"/>
            </w:pPr>
            <w:r w:rsidRPr="00CF29A7">
              <w:t>229</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Hispanic with a disability</w:t>
            </w:r>
          </w:p>
        </w:tc>
        <w:tc>
          <w:tcPr>
            <w:tcW w:w="854" w:type="dxa"/>
          </w:tcPr>
          <w:p w:rsidR="00B0519B" w:rsidRPr="00CF29A7" w:rsidRDefault="00B0519B" w:rsidP="00203192">
            <w:pPr>
              <w:pStyle w:val="TableText"/>
              <w:spacing w:before="20" w:after="20"/>
              <w:jc w:val="center"/>
            </w:pPr>
            <w:r w:rsidRPr="00CF29A7">
              <w:t>218</w:t>
            </w:r>
          </w:p>
        </w:tc>
        <w:tc>
          <w:tcPr>
            <w:tcW w:w="889" w:type="dxa"/>
          </w:tcPr>
          <w:p w:rsidR="00B0519B" w:rsidRPr="00CF29A7" w:rsidRDefault="00B0519B" w:rsidP="00203192">
            <w:pPr>
              <w:pStyle w:val="TableText"/>
              <w:spacing w:before="20" w:after="20"/>
              <w:jc w:val="center"/>
            </w:pPr>
            <w:r w:rsidRPr="00CF29A7">
              <w:t>228</w:t>
            </w:r>
          </w:p>
        </w:tc>
        <w:tc>
          <w:tcPr>
            <w:tcW w:w="889" w:type="dxa"/>
          </w:tcPr>
          <w:p w:rsidR="00B0519B" w:rsidRPr="00CF29A7" w:rsidRDefault="00B0519B" w:rsidP="00203192">
            <w:pPr>
              <w:pStyle w:val="TableText"/>
              <w:spacing w:before="20" w:after="20"/>
              <w:jc w:val="center"/>
            </w:pPr>
            <w:r w:rsidRPr="00CF29A7">
              <w:t>229</w:t>
            </w:r>
          </w:p>
        </w:tc>
        <w:tc>
          <w:tcPr>
            <w:tcW w:w="889" w:type="dxa"/>
          </w:tcPr>
          <w:p w:rsidR="00B0519B" w:rsidRPr="00CF29A7" w:rsidRDefault="00B0519B" w:rsidP="00203192">
            <w:pPr>
              <w:pStyle w:val="TableText"/>
              <w:spacing w:before="20" w:after="20"/>
              <w:jc w:val="center"/>
            </w:pPr>
            <w:r w:rsidRPr="00CF29A7">
              <w:t>231</w:t>
            </w:r>
          </w:p>
        </w:tc>
        <w:tc>
          <w:tcPr>
            <w:tcW w:w="889" w:type="dxa"/>
          </w:tcPr>
          <w:p w:rsidR="00B0519B" w:rsidRPr="00CF29A7" w:rsidRDefault="00B0519B" w:rsidP="00203192">
            <w:pPr>
              <w:pStyle w:val="TableText"/>
              <w:spacing w:before="20" w:after="20"/>
              <w:jc w:val="center"/>
            </w:pPr>
            <w:r w:rsidRPr="00CF29A7">
              <w:t>235</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Asian/Pacific Islander with a disability</w:t>
            </w:r>
          </w:p>
        </w:tc>
        <w:tc>
          <w:tcPr>
            <w:tcW w:w="854" w:type="dxa"/>
          </w:tcPr>
          <w:p w:rsidR="00B0519B" w:rsidRPr="00CF29A7" w:rsidRDefault="00546BAD" w:rsidP="00203192">
            <w:pPr>
              <w:pStyle w:val="TableText"/>
              <w:spacing w:before="20" w:after="20"/>
              <w:jc w:val="center"/>
            </w:pPr>
            <w:r>
              <w:t> </w:t>
            </w:r>
          </w:p>
        </w:tc>
        <w:tc>
          <w:tcPr>
            <w:tcW w:w="889" w:type="dxa"/>
          </w:tcPr>
          <w:p w:rsidR="00B0519B" w:rsidRPr="00CF29A7" w:rsidRDefault="00B0519B" w:rsidP="00203192">
            <w:pPr>
              <w:pStyle w:val="TableText"/>
              <w:spacing w:before="20" w:after="20"/>
              <w:jc w:val="center"/>
            </w:pPr>
            <w:r w:rsidRPr="00CF29A7">
              <w:t>251</w:t>
            </w:r>
          </w:p>
        </w:tc>
        <w:tc>
          <w:tcPr>
            <w:tcW w:w="889" w:type="dxa"/>
          </w:tcPr>
          <w:p w:rsidR="00B0519B" w:rsidRPr="00CF29A7" w:rsidRDefault="00B0519B" w:rsidP="00203192">
            <w:pPr>
              <w:pStyle w:val="TableText"/>
              <w:spacing w:before="20" w:after="20"/>
              <w:jc w:val="center"/>
            </w:pPr>
            <w:r w:rsidRPr="00CF29A7">
              <w:t>249</w:t>
            </w:r>
          </w:p>
        </w:tc>
        <w:tc>
          <w:tcPr>
            <w:tcW w:w="889" w:type="dxa"/>
          </w:tcPr>
          <w:p w:rsidR="00B0519B" w:rsidRPr="00CF29A7" w:rsidRDefault="00B0519B" w:rsidP="00203192">
            <w:pPr>
              <w:pStyle w:val="TableText"/>
              <w:spacing w:before="20" w:after="20"/>
              <w:jc w:val="center"/>
            </w:pPr>
            <w:r w:rsidRPr="00CF29A7">
              <w:t>249</w:t>
            </w:r>
          </w:p>
        </w:tc>
        <w:tc>
          <w:tcPr>
            <w:tcW w:w="889" w:type="dxa"/>
          </w:tcPr>
          <w:p w:rsidR="00B0519B" w:rsidRPr="00CF29A7" w:rsidRDefault="00B0519B" w:rsidP="00203192">
            <w:pPr>
              <w:pStyle w:val="TableText"/>
              <w:spacing w:before="20" w:after="20"/>
              <w:jc w:val="center"/>
            </w:pPr>
            <w:r w:rsidRPr="00CF29A7">
              <w:t>253</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American Indian with a disability</w:t>
            </w:r>
          </w:p>
        </w:tc>
        <w:tc>
          <w:tcPr>
            <w:tcW w:w="854" w:type="dxa"/>
          </w:tcPr>
          <w:p w:rsidR="00B0519B" w:rsidRPr="00CF29A7" w:rsidRDefault="00546BAD" w:rsidP="00203192">
            <w:pPr>
              <w:pStyle w:val="TableText"/>
              <w:spacing w:before="20" w:after="20"/>
              <w:jc w:val="center"/>
            </w:pPr>
            <w:r>
              <w:t> </w:t>
            </w:r>
          </w:p>
        </w:tc>
        <w:tc>
          <w:tcPr>
            <w:tcW w:w="889" w:type="dxa"/>
          </w:tcPr>
          <w:p w:rsidR="00B0519B" w:rsidRPr="00CF29A7" w:rsidRDefault="00B0519B" w:rsidP="00203192">
            <w:pPr>
              <w:pStyle w:val="TableText"/>
              <w:spacing w:before="20" w:after="20"/>
              <w:jc w:val="center"/>
            </w:pPr>
            <w:r w:rsidRPr="00CF29A7">
              <w:t>234</w:t>
            </w:r>
          </w:p>
        </w:tc>
        <w:tc>
          <w:tcPr>
            <w:tcW w:w="889" w:type="dxa"/>
          </w:tcPr>
          <w:p w:rsidR="00B0519B" w:rsidRPr="00CF29A7" w:rsidRDefault="00B0519B" w:rsidP="00203192">
            <w:pPr>
              <w:pStyle w:val="TableText"/>
              <w:spacing w:before="20" w:after="20"/>
              <w:jc w:val="center"/>
            </w:pPr>
            <w:r w:rsidRPr="00CF29A7">
              <w:t>236</w:t>
            </w:r>
          </w:p>
        </w:tc>
        <w:tc>
          <w:tcPr>
            <w:tcW w:w="889" w:type="dxa"/>
          </w:tcPr>
          <w:p w:rsidR="00B0519B" w:rsidRPr="00CF29A7" w:rsidRDefault="00B0519B" w:rsidP="00203192">
            <w:pPr>
              <w:pStyle w:val="TableText"/>
              <w:spacing w:before="20" w:after="20"/>
              <w:jc w:val="center"/>
            </w:pPr>
            <w:r w:rsidRPr="00CF29A7">
              <w:t>235</w:t>
            </w:r>
          </w:p>
        </w:tc>
        <w:tc>
          <w:tcPr>
            <w:tcW w:w="889" w:type="dxa"/>
          </w:tcPr>
          <w:p w:rsidR="00B0519B" w:rsidRPr="00CF29A7" w:rsidRDefault="00B0519B" w:rsidP="00203192">
            <w:pPr>
              <w:pStyle w:val="TableText"/>
              <w:spacing w:before="20" w:after="20"/>
              <w:jc w:val="center"/>
            </w:pPr>
            <w:r w:rsidRPr="00CF29A7">
              <w:t>232</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Unclassified with a disability</w:t>
            </w:r>
          </w:p>
        </w:tc>
        <w:tc>
          <w:tcPr>
            <w:tcW w:w="854" w:type="dxa"/>
          </w:tcPr>
          <w:p w:rsidR="00B0519B" w:rsidRPr="00CF29A7" w:rsidRDefault="00546BAD" w:rsidP="00203192">
            <w:pPr>
              <w:pStyle w:val="TableText"/>
              <w:spacing w:before="20" w:after="20"/>
              <w:jc w:val="center"/>
            </w:pPr>
            <w:r>
              <w:t> </w:t>
            </w:r>
          </w:p>
        </w:tc>
        <w:tc>
          <w:tcPr>
            <w:tcW w:w="889" w:type="dxa"/>
          </w:tcPr>
          <w:p w:rsidR="00B0519B" w:rsidRPr="00CF29A7" w:rsidRDefault="00B0519B" w:rsidP="00203192">
            <w:pPr>
              <w:pStyle w:val="TableText"/>
              <w:spacing w:before="20" w:after="20"/>
              <w:jc w:val="center"/>
            </w:pPr>
            <w:r w:rsidRPr="00CF29A7">
              <w:t>240</w:t>
            </w:r>
          </w:p>
        </w:tc>
        <w:tc>
          <w:tcPr>
            <w:tcW w:w="889" w:type="dxa"/>
          </w:tcPr>
          <w:p w:rsidR="00B0519B" w:rsidRPr="00CF29A7" w:rsidRDefault="00B0519B" w:rsidP="00203192">
            <w:pPr>
              <w:pStyle w:val="TableText"/>
              <w:spacing w:before="20" w:after="20"/>
              <w:jc w:val="center"/>
            </w:pPr>
            <w:r w:rsidRPr="00CF29A7">
              <w:t>246</w:t>
            </w:r>
          </w:p>
        </w:tc>
        <w:tc>
          <w:tcPr>
            <w:tcW w:w="889" w:type="dxa"/>
          </w:tcPr>
          <w:p w:rsidR="00B0519B" w:rsidRPr="00CF29A7" w:rsidRDefault="00B0519B" w:rsidP="00203192">
            <w:pPr>
              <w:pStyle w:val="TableText"/>
              <w:spacing w:before="20" w:after="20"/>
              <w:jc w:val="center"/>
            </w:pPr>
            <w:r w:rsidRPr="00CF29A7">
              <w:t>254</w:t>
            </w:r>
          </w:p>
        </w:tc>
        <w:tc>
          <w:tcPr>
            <w:tcW w:w="889" w:type="dxa"/>
          </w:tcPr>
          <w:p w:rsidR="00B0519B" w:rsidRPr="00CF29A7" w:rsidRDefault="00B0519B" w:rsidP="00203192">
            <w:pPr>
              <w:pStyle w:val="TableText"/>
              <w:spacing w:before="20" w:after="20"/>
              <w:jc w:val="center"/>
            </w:pPr>
            <w:r w:rsidRPr="00CF29A7">
              <w:t>257</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White without a disability</w:t>
            </w:r>
          </w:p>
        </w:tc>
        <w:tc>
          <w:tcPr>
            <w:tcW w:w="854" w:type="dxa"/>
          </w:tcPr>
          <w:p w:rsidR="00B0519B" w:rsidRPr="00CF29A7" w:rsidRDefault="00B0519B" w:rsidP="00203192">
            <w:pPr>
              <w:pStyle w:val="TableText"/>
              <w:spacing w:before="20" w:after="20"/>
              <w:jc w:val="center"/>
            </w:pPr>
            <w:r w:rsidRPr="00CF29A7">
              <w:t>286</w:t>
            </w:r>
          </w:p>
        </w:tc>
        <w:tc>
          <w:tcPr>
            <w:tcW w:w="889" w:type="dxa"/>
          </w:tcPr>
          <w:p w:rsidR="00B0519B" w:rsidRPr="00CF29A7" w:rsidRDefault="00B0519B" w:rsidP="00203192">
            <w:pPr>
              <w:pStyle w:val="TableText"/>
              <w:spacing w:before="20" w:after="20"/>
              <w:jc w:val="center"/>
            </w:pPr>
            <w:r w:rsidRPr="00CF29A7">
              <w:t>291</w:t>
            </w:r>
          </w:p>
        </w:tc>
        <w:tc>
          <w:tcPr>
            <w:tcW w:w="889" w:type="dxa"/>
          </w:tcPr>
          <w:p w:rsidR="00B0519B" w:rsidRPr="00CF29A7" w:rsidRDefault="00B0519B" w:rsidP="00203192">
            <w:pPr>
              <w:pStyle w:val="TableText"/>
              <w:spacing w:before="20" w:after="20"/>
              <w:jc w:val="center"/>
            </w:pPr>
            <w:r w:rsidRPr="00CF29A7">
              <w:t>292</w:t>
            </w:r>
          </w:p>
        </w:tc>
        <w:tc>
          <w:tcPr>
            <w:tcW w:w="889" w:type="dxa"/>
          </w:tcPr>
          <w:p w:rsidR="00B0519B" w:rsidRPr="00CF29A7" w:rsidRDefault="00B0519B" w:rsidP="00203192">
            <w:pPr>
              <w:pStyle w:val="TableText"/>
              <w:spacing w:before="20" w:after="20"/>
              <w:jc w:val="center"/>
            </w:pPr>
            <w:r w:rsidRPr="00CF29A7">
              <w:t>294</w:t>
            </w:r>
          </w:p>
        </w:tc>
        <w:tc>
          <w:tcPr>
            <w:tcW w:w="889" w:type="dxa"/>
          </w:tcPr>
          <w:p w:rsidR="00B0519B" w:rsidRPr="00CF29A7" w:rsidRDefault="00B0519B" w:rsidP="00203192">
            <w:pPr>
              <w:pStyle w:val="TableText"/>
              <w:spacing w:before="20" w:after="20"/>
              <w:jc w:val="center"/>
            </w:pPr>
            <w:r w:rsidRPr="00CF29A7">
              <w:t>296</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Black without a disability</w:t>
            </w:r>
          </w:p>
        </w:tc>
        <w:tc>
          <w:tcPr>
            <w:tcW w:w="854" w:type="dxa"/>
          </w:tcPr>
          <w:p w:rsidR="00B0519B" w:rsidRPr="00CF29A7" w:rsidRDefault="00B0519B" w:rsidP="00203192">
            <w:pPr>
              <w:pStyle w:val="TableText"/>
              <w:spacing w:before="20" w:after="20"/>
              <w:jc w:val="center"/>
            </w:pPr>
            <w:r w:rsidRPr="00CF29A7">
              <w:t>248</w:t>
            </w:r>
          </w:p>
        </w:tc>
        <w:tc>
          <w:tcPr>
            <w:tcW w:w="889" w:type="dxa"/>
          </w:tcPr>
          <w:p w:rsidR="00B0519B" w:rsidRPr="00CF29A7" w:rsidRDefault="00B0519B" w:rsidP="00203192">
            <w:pPr>
              <w:pStyle w:val="TableText"/>
              <w:spacing w:before="20" w:after="20"/>
              <w:jc w:val="center"/>
            </w:pPr>
            <w:r w:rsidRPr="00CF29A7">
              <w:t>256</w:t>
            </w:r>
          </w:p>
        </w:tc>
        <w:tc>
          <w:tcPr>
            <w:tcW w:w="889" w:type="dxa"/>
          </w:tcPr>
          <w:p w:rsidR="00B0519B" w:rsidRPr="00CF29A7" w:rsidRDefault="00B0519B" w:rsidP="00203192">
            <w:pPr>
              <w:pStyle w:val="TableText"/>
              <w:spacing w:before="20" w:after="20"/>
              <w:jc w:val="center"/>
            </w:pPr>
            <w:r w:rsidRPr="00CF29A7">
              <w:t>259</w:t>
            </w:r>
          </w:p>
        </w:tc>
        <w:tc>
          <w:tcPr>
            <w:tcW w:w="889" w:type="dxa"/>
          </w:tcPr>
          <w:p w:rsidR="00B0519B" w:rsidRPr="00CF29A7" w:rsidRDefault="00B0519B" w:rsidP="00203192">
            <w:pPr>
              <w:pStyle w:val="TableText"/>
              <w:spacing w:before="20" w:after="20"/>
              <w:jc w:val="center"/>
            </w:pPr>
            <w:r w:rsidRPr="00CF29A7">
              <w:t>263</w:t>
            </w:r>
          </w:p>
        </w:tc>
        <w:tc>
          <w:tcPr>
            <w:tcW w:w="889" w:type="dxa"/>
          </w:tcPr>
          <w:p w:rsidR="00B0519B" w:rsidRPr="00CF29A7" w:rsidRDefault="00B0519B" w:rsidP="00203192">
            <w:pPr>
              <w:pStyle w:val="TableText"/>
              <w:spacing w:before="20" w:after="20"/>
              <w:jc w:val="center"/>
            </w:pPr>
            <w:r w:rsidRPr="00CF29A7">
              <w:t>265</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Hispanic without a disability</w:t>
            </w:r>
          </w:p>
        </w:tc>
        <w:tc>
          <w:tcPr>
            <w:tcW w:w="854" w:type="dxa"/>
          </w:tcPr>
          <w:p w:rsidR="00B0519B" w:rsidRPr="00CF29A7" w:rsidRDefault="00B0519B" w:rsidP="00203192">
            <w:pPr>
              <w:pStyle w:val="TableText"/>
              <w:spacing w:before="20" w:after="20"/>
              <w:jc w:val="center"/>
            </w:pPr>
            <w:r w:rsidRPr="00CF29A7">
              <w:t>254</w:t>
            </w:r>
          </w:p>
        </w:tc>
        <w:tc>
          <w:tcPr>
            <w:tcW w:w="889" w:type="dxa"/>
          </w:tcPr>
          <w:p w:rsidR="00B0519B" w:rsidRPr="00CF29A7" w:rsidRDefault="00B0519B" w:rsidP="00203192">
            <w:pPr>
              <w:pStyle w:val="TableText"/>
              <w:spacing w:before="20" w:after="20"/>
              <w:jc w:val="center"/>
            </w:pPr>
            <w:r w:rsidRPr="00CF29A7">
              <w:t>262</w:t>
            </w:r>
          </w:p>
        </w:tc>
        <w:tc>
          <w:tcPr>
            <w:tcW w:w="889" w:type="dxa"/>
          </w:tcPr>
          <w:p w:rsidR="00B0519B" w:rsidRPr="00CF29A7" w:rsidRDefault="00B0519B" w:rsidP="00203192">
            <w:pPr>
              <w:pStyle w:val="TableText"/>
              <w:spacing w:before="20" w:after="20"/>
              <w:jc w:val="center"/>
            </w:pPr>
            <w:r w:rsidRPr="00CF29A7">
              <w:t>264</w:t>
            </w:r>
          </w:p>
        </w:tc>
        <w:tc>
          <w:tcPr>
            <w:tcW w:w="889" w:type="dxa"/>
          </w:tcPr>
          <w:p w:rsidR="00B0519B" w:rsidRPr="00CF29A7" w:rsidRDefault="00B0519B" w:rsidP="00203192">
            <w:pPr>
              <w:pStyle w:val="TableText"/>
              <w:spacing w:before="20" w:after="20"/>
              <w:jc w:val="center"/>
            </w:pPr>
            <w:r w:rsidRPr="00CF29A7">
              <w:t>267</w:t>
            </w:r>
          </w:p>
        </w:tc>
        <w:tc>
          <w:tcPr>
            <w:tcW w:w="889" w:type="dxa"/>
          </w:tcPr>
          <w:p w:rsidR="00B0519B" w:rsidRPr="00CF29A7" w:rsidRDefault="00B0519B" w:rsidP="00203192">
            <w:pPr>
              <w:pStyle w:val="TableText"/>
              <w:spacing w:before="20" w:after="20"/>
              <w:jc w:val="center"/>
            </w:pPr>
            <w:r w:rsidRPr="00CF29A7">
              <w:t>269</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Asian/Pacific Islander without a disability</w:t>
            </w:r>
          </w:p>
        </w:tc>
        <w:tc>
          <w:tcPr>
            <w:tcW w:w="854" w:type="dxa"/>
          </w:tcPr>
          <w:p w:rsidR="00B0519B" w:rsidRPr="00CF29A7" w:rsidRDefault="00B0519B" w:rsidP="00203192">
            <w:pPr>
              <w:pStyle w:val="TableText"/>
              <w:spacing w:before="20" w:after="20"/>
              <w:jc w:val="center"/>
            </w:pPr>
            <w:r w:rsidRPr="00CF29A7">
              <w:t>288</w:t>
            </w:r>
          </w:p>
        </w:tc>
        <w:tc>
          <w:tcPr>
            <w:tcW w:w="889" w:type="dxa"/>
          </w:tcPr>
          <w:p w:rsidR="00B0519B" w:rsidRPr="00CF29A7" w:rsidRDefault="00B0519B" w:rsidP="00203192">
            <w:pPr>
              <w:pStyle w:val="TableText"/>
              <w:spacing w:before="20" w:after="20"/>
              <w:jc w:val="center"/>
            </w:pPr>
            <w:r w:rsidRPr="00CF29A7">
              <w:t>292</w:t>
            </w:r>
          </w:p>
        </w:tc>
        <w:tc>
          <w:tcPr>
            <w:tcW w:w="889" w:type="dxa"/>
          </w:tcPr>
          <w:p w:rsidR="00B0519B" w:rsidRPr="00CF29A7" w:rsidRDefault="00B0519B" w:rsidP="00203192">
            <w:pPr>
              <w:pStyle w:val="TableText"/>
              <w:spacing w:before="20" w:after="20"/>
              <w:jc w:val="center"/>
            </w:pPr>
            <w:r w:rsidRPr="00CF29A7">
              <w:t>297</w:t>
            </w:r>
          </w:p>
        </w:tc>
        <w:tc>
          <w:tcPr>
            <w:tcW w:w="889" w:type="dxa"/>
          </w:tcPr>
          <w:p w:rsidR="00B0519B" w:rsidRPr="00CF29A7" w:rsidRDefault="00B0519B" w:rsidP="00203192">
            <w:pPr>
              <w:pStyle w:val="TableText"/>
              <w:spacing w:before="20" w:after="20"/>
              <w:jc w:val="center"/>
            </w:pPr>
            <w:r w:rsidRPr="00CF29A7">
              <w:t>298</w:t>
            </w:r>
          </w:p>
        </w:tc>
        <w:tc>
          <w:tcPr>
            <w:tcW w:w="889" w:type="dxa"/>
          </w:tcPr>
          <w:p w:rsidR="00B0519B" w:rsidRPr="00CF29A7" w:rsidRDefault="00B0519B" w:rsidP="00203192">
            <w:pPr>
              <w:pStyle w:val="TableText"/>
              <w:spacing w:before="20" w:after="20"/>
              <w:jc w:val="center"/>
            </w:pPr>
            <w:r w:rsidRPr="00CF29A7">
              <w:t>302</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American Indian without a disability</w:t>
            </w:r>
          </w:p>
        </w:tc>
        <w:tc>
          <w:tcPr>
            <w:tcW w:w="854" w:type="dxa"/>
          </w:tcPr>
          <w:p w:rsidR="00B0519B" w:rsidRPr="00CF29A7" w:rsidRDefault="00B0519B" w:rsidP="00203192">
            <w:pPr>
              <w:pStyle w:val="TableText"/>
              <w:spacing w:before="20" w:after="20"/>
              <w:jc w:val="center"/>
            </w:pPr>
            <w:r w:rsidRPr="00CF29A7">
              <w:t>266</w:t>
            </w:r>
          </w:p>
        </w:tc>
        <w:tc>
          <w:tcPr>
            <w:tcW w:w="889" w:type="dxa"/>
          </w:tcPr>
          <w:p w:rsidR="00B0519B" w:rsidRPr="00CF29A7" w:rsidRDefault="00B0519B" w:rsidP="00203192">
            <w:pPr>
              <w:pStyle w:val="TableText"/>
              <w:spacing w:before="20" w:after="20"/>
              <w:jc w:val="center"/>
            </w:pPr>
            <w:r w:rsidRPr="00CF29A7">
              <w:t>271</w:t>
            </w:r>
          </w:p>
        </w:tc>
        <w:tc>
          <w:tcPr>
            <w:tcW w:w="889" w:type="dxa"/>
          </w:tcPr>
          <w:p w:rsidR="00B0519B" w:rsidRPr="00CF29A7" w:rsidRDefault="00B0519B" w:rsidP="00203192">
            <w:pPr>
              <w:pStyle w:val="TableText"/>
              <w:spacing w:before="20" w:after="20"/>
              <w:jc w:val="center"/>
            </w:pPr>
            <w:r w:rsidRPr="00CF29A7">
              <w:t>270</w:t>
            </w:r>
          </w:p>
        </w:tc>
        <w:tc>
          <w:tcPr>
            <w:tcW w:w="889" w:type="dxa"/>
          </w:tcPr>
          <w:p w:rsidR="00B0519B" w:rsidRPr="00CF29A7" w:rsidRDefault="00B0519B" w:rsidP="00203192">
            <w:pPr>
              <w:pStyle w:val="TableText"/>
              <w:spacing w:before="20" w:after="20"/>
              <w:jc w:val="center"/>
            </w:pPr>
            <w:r w:rsidRPr="00CF29A7">
              <w:t>270</w:t>
            </w:r>
          </w:p>
        </w:tc>
        <w:tc>
          <w:tcPr>
            <w:tcW w:w="889" w:type="dxa"/>
          </w:tcPr>
          <w:p w:rsidR="00B0519B" w:rsidRPr="00CF29A7" w:rsidRDefault="00B0519B" w:rsidP="00203192">
            <w:pPr>
              <w:pStyle w:val="TableText"/>
              <w:spacing w:before="20" w:after="20"/>
              <w:jc w:val="center"/>
            </w:pPr>
            <w:r w:rsidRPr="00CF29A7">
              <w:t>273</w:t>
            </w:r>
          </w:p>
        </w:tc>
      </w:tr>
      <w:tr w:rsidR="00B0519B" w:rsidRPr="002A69BB" w:rsidTr="00203192">
        <w:trPr>
          <w:jc w:val="center"/>
        </w:trPr>
        <w:tc>
          <w:tcPr>
            <w:tcW w:w="4950" w:type="dxa"/>
            <w:shd w:val="pct10" w:color="auto" w:fill="auto"/>
          </w:tcPr>
          <w:p w:rsidR="00B0519B" w:rsidRPr="00CF29A7" w:rsidRDefault="00B0519B" w:rsidP="00203192">
            <w:pPr>
              <w:pStyle w:val="TableText"/>
              <w:spacing w:before="20" w:after="20"/>
              <w:rPr>
                <w:b/>
              </w:rPr>
            </w:pPr>
            <w:r w:rsidRPr="00CF29A7">
              <w:rPr>
                <w:b/>
              </w:rPr>
              <w:t>Unclassified without a disability</w:t>
            </w:r>
          </w:p>
        </w:tc>
        <w:tc>
          <w:tcPr>
            <w:tcW w:w="854" w:type="dxa"/>
          </w:tcPr>
          <w:p w:rsidR="00B0519B" w:rsidRPr="00CF29A7" w:rsidRDefault="00546BAD" w:rsidP="00203192">
            <w:pPr>
              <w:pStyle w:val="TableText"/>
              <w:spacing w:before="20" w:after="20"/>
              <w:jc w:val="center"/>
            </w:pPr>
            <w:r>
              <w:t> </w:t>
            </w:r>
          </w:p>
        </w:tc>
        <w:tc>
          <w:tcPr>
            <w:tcW w:w="889" w:type="dxa"/>
          </w:tcPr>
          <w:p w:rsidR="00B0519B" w:rsidRPr="00CF29A7" w:rsidRDefault="00B0519B" w:rsidP="00203192">
            <w:pPr>
              <w:pStyle w:val="TableText"/>
              <w:spacing w:before="20" w:after="20"/>
              <w:jc w:val="center"/>
            </w:pPr>
            <w:r w:rsidRPr="00CF29A7">
              <w:t>281</w:t>
            </w:r>
          </w:p>
        </w:tc>
        <w:tc>
          <w:tcPr>
            <w:tcW w:w="889" w:type="dxa"/>
          </w:tcPr>
          <w:p w:rsidR="00B0519B" w:rsidRPr="00CF29A7" w:rsidRDefault="00B0519B" w:rsidP="00203192">
            <w:pPr>
              <w:pStyle w:val="TableText"/>
              <w:spacing w:before="20" w:after="20"/>
              <w:jc w:val="center"/>
            </w:pPr>
            <w:r w:rsidRPr="00CF29A7">
              <w:t>281</w:t>
            </w:r>
          </w:p>
        </w:tc>
        <w:tc>
          <w:tcPr>
            <w:tcW w:w="889" w:type="dxa"/>
          </w:tcPr>
          <w:p w:rsidR="00B0519B" w:rsidRPr="00CF29A7" w:rsidRDefault="00B0519B" w:rsidP="00203192">
            <w:pPr>
              <w:pStyle w:val="TableText"/>
              <w:spacing w:before="20" w:after="20"/>
              <w:jc w:val="center"/>
            </w:pPr>
            <w:r w:rsidRPr="00CF29A7">
              <w:t>285</w:t>
            </w:r>
          </w:p>
        </w:tc>
        <w:tc>
          <w:tcPr>
            <w:tcW w:w="889" w:type="dxa"/>
          </w:tcPr>
          <w:p w:rsidR="00B0519B" w:rsidRPr="00CF29A7" w:rsidRDefault="00B0519B" w:rsidP="00203192">
            <w:pPr>
              <w:pStyle w:val="TableText"/>
              <w:spacing w:before="20" w:after="20"/>
              <w:jc w:val="center"/>
            </w:pPr>
            <w:r w:rsidRPr="00CF29A7">
              <w:t>287</w:t>
            </w:r>
          </w:p>
        </w:tc>
      </w:tr>
    </w:tbl>
    <w:p w:rsidR="00B0519B" w:rsidRPr="00DD4FF4" w:rsidRDefault="00B0519B" w:rsidP="00B0519B">
      <w:pPr>
        <w:pStyle w:val="TableNote"/>
      </w:pPr>
      <w:r w:rsidRPr="00CF29A7">
        <w:rPr>
          <w:b/>
        </w:rPr>
        <w:t>Source:</w:t>
      </w:r>
      <w:r w:rsidRPr="00DD4FF4">
        <w:t xml:space="preserve"> NAEP Data Explorer, July 2011</w:t>
      </w:r>
    </w:p>
    <w:p w:rsidR="00B0519B" w:rsidRDefault="00B0519B" w:rsidP="00B0519B">
      <w:pPr>
        <w:pStyle w:val="BodyText"/>
      </w:pPr>
      <w:r w:rsidRPr="005566A4">
        <w:lastRenderedPageBreak/>
        <w:t xml:space="preserve">These issues </w:t>
      </w:r>
      <w:r>
        <w:t>are likely</w:t>
      </w:r>
      <w:r w:rsidRPr="005566A4">
        <w:t xml:space="preserve"> </w:t>
      </w:r>
      <w:r>
        <w:t xml:space="preserve">to be </w:t>
      </w:r>
      <w:r w:rsidRPr="005566A4">
        <w:t xml:space="preserve">exacerbated by the </w:t>
      </w:r>
      <w:r>
        <w:t>current economic downturn</w:t>
      </w:r>
      <w:r w:rsidRPr="005566A4">
        <w:t>.</w:t>
      </w:r>
      <w:r>
        <w:t xml:space="preserve"> </w:t>
      </w:r>
      <w:r w:rsidRPr="005566A4">
        <w:t>In 2009, the A</w:t>
      </w:r>
      <w:r>
        <w:t>RRA</w:t>
      </w:r>
      <w:r w:rsidRPr="005566A4">
        <w:t xml:space="preserve"> made available $11.3 billion in IDEA Part B funding for </w:t>
      </w:r>
      <w:r>
        <w:t>l</w:t>
      </w:r>
      <w:r w:rsidRPr="005566A4">
        <w:t xml:space="preserve">ocal </w:t>
      </w:r>
      <w:r>
        <w:t>e</w:t>
      </w:r>
      <w:r w:rsidRPr="005566A4">
        <w:t xml:space="preserve">ducation </w:t>
      </w:r>
      <w:r>
        <w:t>agencies (LEAs)</w:t>
      </w:r>
      <w:r w:rsidRPr="005566A4">
        <w:t>.</w:t>
      </w:r>
      <w:r w:rsidRPr="001C6B71">
        <w:rPr>
          <w:rStyle w:val="EndnoteReference"/>
          <w:szCs w:val="24"/>
        </w:rPr>
        <w:endnoteReference w:id="70"/>
      </w:r>
      <w:r>
        <w:t xml:space="preserve"> </w:t>
      </w:r>
      <w:r w:rsidRPr="005566A4">
        <w:t xml:space="preserve">Unfortunately, this increase in federal funding resulted in many LEAs reducing their local spending on special education, </w:t>
      </w:r>
      <w:r>
        <w:t>because</w:t>
      </w:r>
      <w:r w:rsidRPr="005566A4">
        <w:t xml:space="preserve"> the IDEA Maintenance of Effort provisions allow reductions in local spending to offset increases in federal spending. </w:t>
      </w:r>
      <w:r w:rsidRPr="00CE05F9">
        <w:t xml:space="preserve">According to a Government Accountability Office report, </w:t>
      </w:r>
      <w:r>
        <w:t>“</w:t>
      </w:r>
      <w:r w:rsidRPr="00CE05F9">
        <w:t>This year, …</w:t>
      </w:r>
      <w:r w:rsidRPr="005566A4">
        <w:t xml:space="preserve"> </w:t>
      </w:r>
      <w:bookmarkStart w:id="41" w:name="OLE_LINK43"/>
      <w:bookmarkStart w:id="42" w:name="OLE_LINK44"/>
      <w:r w:rsidRPr="005566A4">
        <w:t>an estimated 44 percent of LEAs plan to use the reduced local expenditure flexibility to decrease local spending on students with disabilities</w:t>
      </w:r>
      <w:bookmarkEnd w:id="41"/>
      <w:bookmarkEnd w:id="42"/>
      <w:r w:rsidRPr="005566A4">
        <w:t>.</w:t>
      </w:r>
      <w:r w:rsidRPr="001C6B71">
        <w:rPr>
          <w:rStyle w:val="EndnoteReference"/>
          <w:szCs w:val="24"/>
        </w:rPr>
        <w:endnoteReference w:id="71"/>
      </w:r>
      <w:r>
        <w:t xml:space="preserve"> </w:t>
      </w:r>
      <w:r w:rsidRPr="005566A4">
        <w:t>The percentages vary across states</w:t>
      </w:r>
      <w:r>
        <w:t>—</w:t>
      </w:r>
      <w:r w:rsidRPr="005566A4">
        <w:t>from 14 percent in New York to 72 percent in Iowa. An estimated 48 percent of the largest LEAs planned to [reduce local funding].</w:t>
      </w:r>
      <w:r>
        <w:t>”</w:t>
      </w:r>
      <w:r w:rsidRPr="005566A4">
        <w:t xml:space="preserve"> NCD is concerned about the long</w:t>
      </w:r>
      <w:r>
        <w:t>-</w:t>
      </w:r>
      <w:r w:rsidRPr="005566A4">
        <w:t>term consequences of these reductions in funding as the federal IDEA funds made available by ARRA run out and return to pre-ARRA levels.</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24"/>
              </w:numPr>
              <w:ind w:left="425"/>
            </w:pPr>
            <w:r w:rsidRPr="00F05475">
              <w:t>The Secretary of Education should require states seeking flexibility under No Child Left Behind to provide a clear and compelling plan to address the achievement gap for students with disabilities and the segregation of students with disabilities from the general classroom, particularly those with low-incidence disabilities.</w:t>
            </w:r>
          </w:p>
          <w:p w:rsidR="00B0519B" w:rsidRPr="00F05475" w:rsidRDefault="00B0519B" w:rsidP="00101C2D">
            <w:pPr>
              <w:pStyle w:val="TableTextList"/>
              <w:ind w:left="425"/>
            </w:pPr>
            <w:r w:rsidRPr="00F05475">
              <w:t xml:space="preserve">Congress should incorporate within the reauthorization of the Elementary and Secondary Education Act (ESEA) and the Individuals with Disabilities Education Act (IDEA) mechanisms to hold LEAs and state education agencies accountable for graduating students with low-incidence disabilities with a diploma and including such students in the general education classroom. </w:t>
            </w:r>
          </w:p>
          <w:p w:rsidR="00B0519B" w:rsidRPr="00F05475" w:rsidRDefault="00B0519B" w:rsidP="00101C2D">
            <w:pPr>
              <w:pStyle w:val="TableTextList"/>
              <w:ind w:left="425"/>
            </w:pPr>
            <w:r w:rsidRPr="00F05475">
              <w:t>Congress should consider including in the reauthorization of the ESEA language that holds LEAs accountable for the performance of students who fall into multiple subgroups, such as African American or Hispanic students with disabilities or English language learners with disabilities.</w:t>
            </w:r>
          </w:p>
          <w:p w:rsidR="00B0519B" w:rsidRDefault="00B0519B" w:rsidP="00101C2D">
            <w:pPr>
              <w:pStyle w:val="TableTextList"/>
              <w:ind w:left="425"/>
            </w:pPr>
            <w:r w:rsidRPr="00F05475">
              <w:t>The Department of Education’s Office of Special Education and Rehabilitative Services should issue guidance clarifying that LEAs that reduce their Maintenance of Effort (MOE) in violation of IDEA must use the MOE obligation of the last year the LEA was in compliance as the basis for their MOE obligations in the coming school year, rather than the amount of their local expenditures during the year the LEA was in violation.</w:t>
            </w:r>
          </w:p>
          <w:p w:rsidR="00B0519B" w:rsidRPr="00F05475" w:rsidRDefault="00B0519B" w:rsidP="00101C2D">
            <w:pPr>
              <w:pStyle w:val="TableTextList"/>
              <w:spacing w:after="60"/>
              <w:ind w:left="432"/>
            </w:pPr>
            <w:r w:rsidRPr="00F05475">
              <w:t>The Secretary of Education should establish an internal work group, including the Office of Postsecondary Education, the Office of Vocational and Adult Education, the Office of Special Education and Rehabilitative Services, the National Institute of Disability Rehabilitation Research, the Office on Title I of the Elementary and Secondary Education Act, the Office on Drug Free and Safe Schools, and other entities, to share available data; obtain public input, including perspectives from young adults living with disabilities; and identify problems and promising practices for ensuring that students with disabilities can access academic curricula and all school activities available to their peers without disabilities</w:t>
            </w:r>
            <w:r w:rsidRPr="00F05475">
              <w:rPr>
                <w:i/>
              </w:rPr>
              <w:t>.</w:t>
            </w:r>
          </w:p>
        </w:tc>
      </w:tr>
    </w:tbl>
    <w:p w:rsidR="00B0519B" w:rsidRPr="002633BD" w:rsidRDefault="00B0519B" w:rsidP="00B0519B">
      <w:pPr>
        <w:pStyle w:val="Heading2"/>
      </w:pPr>
      <w:bookmarkStart w:id="43" w:name="_Toc304437149"/>
      <w:bookmarkStart w:id="44" w:name="OLE_LINK33"/>
      <w:bookmarkStart w:id="45" w:name="OLE_LINK34"/>
      <w:r w:rsidRPr="002633BD">
        <w:t>Early Intervention</w:t>
      </w:r>
      <w:bookmarkEnd w:id="43"/>
    </w:p>
    <w:p w:rsidR="00B0519B" w:rsidRDefault="00B0519B" w:rsidP="00B0519B">
      <w:pPr>
        <w:pStyle w:val="BodyText"/>
      </w:pPr>
      <w:r>
        <w:t xml:space="preserve">The Infants and Toddlers with Disabilities Program was created under IDEA Part C in 1986 to enhance the development of infants and toddlers with disabilities, minimize potential developmental delay, and reduce education costs by minimizing the need for special education services as children with disabilities reach school age. A substantial </w:t>
      </w:r>
      <w:r>
        <w:lastRenderedPageBreak/>
        <w:t xml:space="preserve">body of evidence demonstrates the </w:t>
      </w:r>
      <w:bookmarkStart w:id="46" w:name="OLE_LINK41"/>
      <w:bookmarkStart w:id="47" w:name="OLE_LINK42"/>
      <w:r>
        <w:t>effectiveness of early intervention services</w:t>
      </w:r>
      <w:bookmarkEnd w:id="46"/>
      <w:bookmarkEnd w:id="47"/>
      <w:r>
        <w:t>. A national longitudinal study of early intervention services found that the benefits for infants and toddlers receiving early intervention services included increased motor, social, and cognitive functioning; acquisition of age-appropriate skills; and reduced negative impact of their disabilities.</w:t>
      </w:r>
      <w:r w:rsidRPr="001C6B71">
        <w:rPr>
          <w:rStyle w:val="EndnoteReference"/>
        </w:rPr>
        <w:endnoteReference w:id="72"/>
      </w:r>
      <w:r>
        <w:t xml:space="preserve"> Studies also demonstrate improvements in reasoning, problem-solving, and communication skills.</w:t>
      </w:r>
      <w:r w:rsidRPr="001C6B71">
        <w:rPr>
          <w:rStyle w:val="EndnoteReference"/>
        </w:rPr>
        <w:endnoteReference w:id="73"/>
      </w:r>
      <w:r>
        <w:t xml:space="preserve"> </w:t>
      </w:r>
    </w:p>
    <w:p w:rsidR="00B0519B" w:rsidRDefault="00B0519B" w:rsidP="00B0519B">
      <w:pPr>
        <w:pStyle w:val="BodyText"/>
      </w:pPr>
      <w:r>
        <w:t>The demand for early intervention services has skyrocketed, while federal funding has remained stagnant. Many children with behavioral or developmental disabilities are missing vital opportunities for early detection and intervention. In the United States, 17 percent of children have a developmental or behavioral disability such as</w:t>
      </w:r>
      <w:r>
        <w:rPr>
          <w:rStyle w:val="apple-converted-space"/>
          <w:rFonts w:cs="Arial"/>
          <w:color w:val="000000"/>
        </w:rPr>
        <w:t> </w:t>
      </w:r>
      <w:r>
        <w:t>autism,</w:t>
      </w:r>
      <w:r>
        <w:rPr>
          <w:rStyle w:val="apple-converted-space"/>
          <w:rFonts w:cs="Arial"/>
          <w:color w:val="000000"/>
        </w:rPr>
        <w:t> </w:t>
      </w:r>
      <w:r>
        <w:t>intellectual disabilities, and</w:t>
      </w:r>
      <w:r>
        <w:rPr>
          <w:rStyle w:val="apple-converted-space"/>
          <w:rFonts w:cs="Arial"/>
          <w:color w:val="000000"/>
        </w:rPr>
        <w:t> </w:t>
      </w:r>
      <w:r>
        <w:t>attention-deficit/hyperactivity disorder.</w:t>
      </w:r>
      <w:r w:rsidRPr="001C6B71">
        <w:rPr>
          <w:rStyle w:val="EndnoteReference"/>
        </w:rPr>
        <w:endnoteReference w:id="74"/>
      </w:r>
      <w:r>
        <w:t xml:space="preserve"> However, less than 50 percent of these children are identified as having a problem before starting school, by which time significant delays may have already occurred and opportunities for treatment have been missed.</w:t>
      </w:r>
      <w:r w:rsidRPr="001C6B71">
        <w:rPr>
          <w:rStyle w:val="EndnoteReference"/>
        </w:rPr>
        <w:endnoteReference w:id="75"/>
      </w:r>
      <w:r>
        <w:t xml:space="preserve"> </w:t>
      </w:r>
    </w:p>
    <w:p w:rsidR="00B0519B" w:rsidRPr="0007250E" w:rsidRDefault="00B0519B" w:rsidP="00B0519B">
      <w:pPr>
        <w:pStyle w:val="BodyText"/>
        <w:rPr>
          <w:szCs w:val="24"/>
        </w:rPr>
      </w:pPr>
      <w:r w:rsidRPr="0007250E">
        <w:rPr>
          <w:szCs w:val="24"/>
        </w:rPr>
        <w:t>Diagnoses of autism spectrum disorders have increased significantly in the last decade and are expected to continue to increase as more children are screened early in life.</w:t>
      </w:r>
      <w:r>
        <w:rPr>
          <w:szCs w:val="24"/>
        </w:rPr>
        <w:t xml:space="preserve"> </w:t>
      </w:r>
      <w:r w:rsidRPr="0007250E">
        <w:rPr>
          <w:szCs w:val="24"/>
        </w:rPr>
        <w:t>The number of students with autism seeking IDEA services increased 500</w:t>
      </w:r>
      <w:r>
        <w:rPr>
          <w:szCs w:val="24"/>
        </w:rPr>
        <w:t xml:space="preserve"> percent</w:t>
      </w:r>
      <w:r w:rsidRPr="0007250E">
        <w:rPr>
          <w:szCs w:val="24"/>
        </w:rPr>
        <w:t xml:space="preserve"> between 1997 and 2007.</w:t>
      </w:r>
      <w:r w:rsidRPr="001C6B71">
        <w:rPr>
          <w:rStyle w:val="EndnoteReference"/>
          <w:szCs w:val="24"/>
        </w:rPr>
        <w:endnoteReference w:id="76"/>
      </w:r>
      <w:r>
        <w:rPr>
          <w:szCs w:val="24"/>
        </w:rPr>
        <w:t xml:space="preserve"> </w:t>
      </w:r>
      <w:r w:rsidRPr="0007250E">
        <w:rPr>
          <w:szCs w:val="24"/>
        </w:rPr>
        <w:t>Early Intervention programs are the first line of care for most poor children with autism</w:t>
      </w:r>
      <w:r>
        <w:rPr>
          <w:szCs w:val="24"/>
        </w:rPr>
        <w:t>,</w:t>
      </w:r>
      <w:r w:rsidRPr="0007250E">
        <w:rPr>
          <w:szCs w:val="24"/>
        </w:rPr>
        <w:t xml:space="preserve"> and professionals predict that these programs will not have the capacity to address </w:t>
      </w:r>
      <w:r>
        <w:rPr>
          <w:szCs w:val="24"/>
        </w:rPr>
        <w:t xml:space="preserve">the </w:t>
      </w:r>
      <w:r w:rsidRPr="0007250E">
        <w:rPr>
          <w:szCs w:val="24"/>
        </w:rPr>
        <w:t>increasing demand for autism services.</w:t>
      </w:r>
      <w:r w:rsidRPr="001C6B71">
        <w:rPr>
          <w:rStyle w:val="EndnoteReference"/>
          <w:szCs w:val="24"/>
        </w:rPr>
        <w:endnoteReference w:id="77"/>
      </w:r>
    </w:p>
    <w:p w:rsidR="00B0519B" w:rsidRDefault="00B0519B" w:rsidP="00B0519B">
      <w:pPr>
        <w:pStyle w:val="BodyText"/>
        <w:rPr>
          <w:szCs w:val="24"/>
        </w:rPr>
      </w:pPr>
      <w:r w:rsidRPr="0007250E">
        <w:rPr>
          <w:szCs w:val="24"/>
        </w:rPr>
        <w:t>In recent years, the Leadership Education in Neurodevelopmental and Other Related Disabilities programs have significantly increased professional capacity to diagnose and treat children with autism and other developmental disabilities through clinical and community-based research and training activities.</w:t>
      </w:r>
      <w:r w:rsidRPr="001C6B71">
        <w:rPr>
          <w:rStyle w:val="EndnoteReference"/>
          <w:szCs w:val="24"/>
        </w:rPr>
        <w:endnoteReference w:id="78"/>
      </w:r>
      <w:r>
        <w:rPr>
          <w:szCs w:val="24"/>
        </w:rPr>
        <w:t xml:space="preserve"> </w:t>
      </w:r>
      <w:r w:rsidRPr="0007250E">
        <w:rPr>
          <w:szCs w:val="24"/>
        </w:rPr>
        <w:t xml:space="preserve">However, given the expected growth in the demand for these services and the shortage of professionals who can provide these services, federal efforts </w:t>
      </w:r>
      <w:r w:rsidR="000E501F">
        <w:rPr>
          <w:szCs w:val="24"/>
        </w:rPr>
        <w:t xml:space="preserve">to build capacity in this field </w:t>
      </w:r>
      <w:r w:rsidRPr="0007250E">
        <w:rPr>
          <w:szCs w:val="24"/>
        </w:rPr>
        <w:t xml:space="preserve">will be needed for some time to come. </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25"/>
              </w:numPr>
              <w:ind w:left="425"/>
            </w:pPr>
            <w:r w:rsidRPr="00F05475">
              <w:t>Congress should extend funding for the Leadership Education in Neurodevelopmental and Other Related Disabilities programs at current levels.</w:t>
            </w:r>
          </w:p>
          <w:p w:rsidR="00B0519B" w:rsidRPr="00F05475" w:rsidRDefault="00B0519B" w:rsidP="00101C2D">
            <w:pPr>
              <w:pStyle w:val="TableTextList"/>
              <w:spacing w:after="60"/>
              <w:ind w:left="432"/>
            </w:pPr>
            <w:r w:rsidRPr="00F05475">
              <w:rPr>
                <w:sz w:val="23"/>
                <w:szCs w:val="23"/>
              </w:rPr>
              <w:t xml:space="preserve">The Office of Special Education and Rehabilitation Services </w:t>
            </w:r>
            <w:r w:rsidRPr="00F05475">
              <w:t>should provide technical assistance to assist states in delivering Part C Early Intervention Services in the most integrated setting.</w:t>
            </w:r>
          </w:p>
        </w:tc>
      </w:tr>
    </w:tbl>
    <w:p w:rsidR="00B0519B" w:rsidRPr="002633BD" w:rsidRDefault="00B0519B" w:rsidP="00B0519B">
      <w:pPr>
        <w:pStyle w:val="Heading2"/>
      </w:pPr>
      <w:bookmarkStart w:id="49" w:name="_Toc304437150"/>
      <w:bookmarkEnd w:id="44"/>
      <w:bookmarkEnd w:id="45"/>
      <w:r w:rsidRPr="002633BD">
        <w:t>Youth and Transition</w:t>
      </w:r>
      <w:bookmarkEnd w:id="49"/>
    </w:p>
    <w:p w:rsidR="00B0519B" w:rsidRDefault="00B0519B" w:rsidP="00B0519B">
      <w:pPr>
        <w:pStyle w:val="BodyText"/>
      </w:pPr>
      <w:r>
        <w:t>All students deserve meaningful next steps at the end of their formal education. Too often, individual transition planning and implementation activities fail to meet Congressional intent under IDEA and the Higher Education Act.</w:t>
      </w:r>
      <w:r w:rsidRPr="001C6B71">
        <w:rPr>
          <w:rStyle w:val="EndnoteReference"/>
        </w:rPr>
        <w:endnoteReference w:id="79"/>
      </w:r>
      <w:r>
        <w:t xml:space="preserve"> High school graduation rates for students with disabilities remain a fraction of those of the general student population.</w:t>
      </w:r>
      <w:r w:rsidRPr="001C6B71">
        <w:rPr>
          <w:rStyle w:val="EndnoteReference"/>
        </w:rPr>
        <w:endnoteReference w:id="80"/>
      </w:r>
    </w:p>
    <w:p w:rsidR="00B0519B" w:rsidRDefault="00B0519B" w:rsidP="00B0519B">
      <w:pPr>
        <w:pStyle w:val="BodyText"/>
      </w:pPr>
      <w:r>
        <w:t>Receiving early transition services is critical to the future success of all youth in preparation for adulthood, including individuals with significant disabilities. Planning for transition should begin as early as possible. Evidence-based research has documented that youth with disabilities who are educated in inclusive settings, are exposed to work experience and career exploration, and participate in a paid work experience while in school have better postsecondary and employment outcomes.</w:t>
      </w:r>
      <w:r w:rsidRPr="001C6B71">
        <w:rPr>
          <w:rStyle w:val="EndnoteReference"/>
        </w:rPr>
        <w:endnoteReference w:id="81"/>
      </w:r>
    </w:p>
    <w:p w:rsidR="00B0519B" w:rsidRPr="002633BD" w:rsidRDefault="00B0519B" w:rsidP="00B0519B">
      <w:pPr>
        <w:pStyle w:val="Heading2"/>
      </w:pPr>
      <w:bookmarkStart w:id="50" w:name="_Toc304437151"/>
      <w:r w:rsidRPr="002633BD">
        <w:t>Post</w:t>
      </w:r>
      <w:r>
        <w:t>s</w:t>
      </w:r>
      <w:r w:rsidRPr="002633BD">
        <w:t>econdary Education</w:t>
      </w:r>
      <w:bookmarkEnd w:id="50"/>
    </w:p>
    <w:p w:rsidR="00B0519B" w:rsidRDefault="00B0519B" w:rsidP="00B0519B">
      <w:pPr>
        <w:pStyle w:val="BodyText"/>
      </w:pPr>
      <w:r>
        <w:t xml:space="preserve">Overall, the percentage of students with disabilities who pursue higher education has steadily increased. Postsecondary enrollment increased among most categories of individuals with disabilities; the average group increase was more than 20 percentage points from 2003 to 2009 (Table 9). </w:t>
      </w:r>
    </w:p>
    <w:p w:rsidR="00B0519B" w:rsidRDefault="00B0519B" w:rsidP="00B0519B">
      <w:pPr>
        <w:pStyle w:val="NCDTableNumber"/>
      </w:pPr>
      <w:r w:rsidRPr="00224D2C">
        <w:lastRenderedPageBreak/>
        <w:t xml:space="preserve">Table </w:t>
      </w:r>
      <w:r>
        <w:t>9.</w:t>
      </w:r>
    </w:p>
    <w:p w:rsidR="00B0519B" w:rsidRPr="00224D2C" w:rsidRDefault="00B0519B" w:rsidP="00B0519B">
      <w:pPr>
        <w:pStyle w:val="TableTitle"/>
      </w:pPr>
      <w:r w:rsidRPr="00224D2C">
        <w:t xml:space="preserve">Enrollment of Individuals </w:t>
      </w:r>
      <w:r>
        <w:t>w</w:t>
      </w:r>
      <w:r w:rsidRPr="00224D2C">
        <w:t>ith Disabilities in Postsecondary Education at Any Institution, by Disability Type, 2003</w:t>
      </w:r>
      <w:r>
        <w:t>–</w:t>
      </w:r>
      <w:r w:rsidRPr="00224D2C">
        <w:t>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19"/>
        <w:gridCol w:w="1560"/>
        <w:gridCol w:w="1193"/>
        <w:gridCol w:w="1744"/>
        <w:gridCol w:w="1744"/>
      </w:tblGrid>
      <w:tr w:rsidR="00B0519B" w:rsidRPr="00AC25B5" w:rsidTr="00203192">
        <w:trPr>
          <w:tblHeader/>
          <w:jc w:val="center"/>
        </w:trPr>
        <w:tc>
          <w:tcPr>
            <w:tcW w:w="3060" w:type="dxa"/>
            <w:tcBorders>
              <w:top w:val="single" w:sz="18" w:space="0" w:color="auto"/>
              <w:bottom w:val="single" w:sz="18" w:space="0" w:color="auto"/>
            </w:tcBorders>
            <w:shd w:val="clear" w:color="auto" w:fill="E6E6E6"/>
            <w:vAlign w:val="bottom"/>
            <w:hideMark/>
          </w:tcPr>
          <w:p w:rsidR="00B0519B" w:rsidRPr="00AC25B5" w:rsidRDefault="00B0519B" w:rsidP="00101C2D">
            <w:pPr>
              <w:pStyle w:val="TableHead"/>
            </w:pPr>
          </w:p>
        </w:tc>
        <w:tc>
          <w:tcPr>
            <w:tcW w:w="1530" w:type="dxa"/>
            <w:tcBorders>
              <w:top w:val="single" w:sz="18" w:space="0" w:color="auto"/>
              <w:bottom w:val="single" w:sz="18" w:space="0" w:color="auto"/>
            </w:tcBorders>
            <w:shd w:val="clear" w:color="auto" w:fill="E6E6E6"/>
            <w:noWrap/>
            <w:vAlign w:val="bottom"/>
            <w:hideMark/>
          </w:tcPr>
          <w:p w:rsidR="00B0519B" w:rsidRPr="00AC25B5" w:rsidRDefault="00B0519B" w:rsidP="00101C2D">
            <w:pPr>
              <w:pStyle w:val="TableHead"/>
            </w:pPr>
            <w:r w:rsidRPr="00AC25B5">
              <w:t>2003</w:t>
            </w:r>
          </w:p>
        </w:tc>
        <w:tc>
          <w:tcPr>
            <w:tcW w:w="1170" w:type="dxa"/>
            <w:tcBorders>
              <w:top w:val="single" w:sz="18" w:space="0" w:color="auto"/>
              <w:bottom w:val="single" w:sz="18" w:space="0" w:color="auto"/>
            </w:tcBorders>
            <w:shd w:val="clear" w:color="auto" w:fill="E6E6E6"/>
            <w:noWrap/>
            <w:vAlign w:val="bottom"/>
            <w:hideMark/>
          </w:tcPr>
          <w:p w:rsidR="00B0519B" w:rsidRPr="00AC25B5" w:rsidRDefault="00B0519B" w:rsidP="00101C2D">
            <w:pPr>
              <w:pStyle w:val="TableHead"/>
            </w:pPr>
            <w:r w:rsidRPr="00AC25B5">
              <w:t>2005</w:t>
            </w:r>
          </w:p>
        </w:tc>
        <w:tc>
          <w:tcPr>
            <w:tcW w:w="1710" w:type="dxa"/>
            <w:tcBorders>
              <w:top w:val="single" w:sz="18" w:space="0" w:color="auto"/>
              <w:bottom w:val="single" w:sz="18" w:space="0" w:color="auto"/>
            </w:tcBorders>
            <w:shd w:val="clear" w:color="auto" w:fill="E6E6E6"/>
            <w:noWrap/>
            <w:vAlign w:val="bottom"/>
            <w:hideMark/>
          </w:tcPr>
          <w:p w:rsidR="00B0519B" w:rsidRPr="00AC25B5" w:rsidRDefault="00B0519B" w:rsidP="00101C2D">
            <w:pPr>
              <w:pStyle w:val="TableHead"/>
            </w:pPr>
            <w:r w:rsidRPr="00AC25B5">
              <w:t>2007</w:t>
            </w:r>
          </w:p>
        </w:tc>
        <w:tc>
          <w:tcPr>
            <w:tcW w:w="1710" w:type="dxa"/>
            <w:tcBorders>
              <w:top w:val="single" w:sz="18" w:space="0" w:color="auto"/>
              <w:bottom w:val="single" w:sz="18" w:space="0" w:color="auto"/>
            </w:tcBorders>
            <w:shd w:val="clear" w:color="auto" w:fill="E6E6E6"/>
            <w:noWrap/>
            <w:vAlign w:val="bottom"/>
            <w:hideMark/>
          </w:tcPr>
          <w:p w:rsidR="00B0519B" w:rsidRPr="00AC25B5" w:rsidRDefault="00B0519B" w:rsidP="00101C2D">
            <w:pPr>
              <w:pStyle w:val="TableHead"/>
            </w:pPr>
            <w:r w:rsidRPr="00AC25B5">
              <w:t>2009</w:t>
            </w:r>
          </w:p>
        </w:tc>
      </w:tr>
      <w:tr w:rsidR="00B0519B" w:rsidRPr="002A69BB" w:rsidTr="00203192">
        <w:trPr>
          <w:trHeight w:val="300"/>
          <w:tblHeader/>
          <w:jc w:val="center"/>
        </w:trPr>
        <w:tc>
          <w:tcPr>
            <w:tcW w:w="3060" w:type="dxa"/>
            <w:tcBorders>
              <w:top w:val="single" w:sz="18" w:space="0" w:color="auto"/>
            </w:tcBorders>
            <w:shd w:val="clear" w:color="auto" w:fill="E6E6E6"/>
            <w:vAlign w:val="bottom"/>
            <w:hideMark/>
          </w:tcPr>
          <w:p w:rsidR="00B0519B" w:rsidRPr="00A07320" w:rsidRDefault="00B0519B" w:rsidP="00101C2D">
            <w:pPr>
              <w:pStyle w:val="TableText"/>
              <w:rPr>
                <w:b/>
              </w:rPr>
            </w:pPr>
            <w:r w:rsidRPr="00A07320">
              <w:rPr>
                <w:b/>
              </w:rPr>
              <w:t>Total</w:t>
            </w:r>
          </w:p>
        </w:tc>
        <w:tc>
          <w:tcPr>
            <w:tcW w:w="1530" w:type="dxa"/>
            <w:tcBorders>
              <w:top w:val="single" w:sz="18" w:space="0" w:color="auto"/>
            </w:tcBorders>
            <w:shd w:val="clear" w:color="auto" w:fill="auto"/>
            <w:vAlign w:val="bottom"/>
            <w:hideMark/>
          </w:tcPr>
          <w:p w:rsidR="00B0519B" w:rsidRPr="00A07320" w:rsidRDefault="00B0519B" w:rsidP="00101C2D">
            <w:pPr>
              <w:pStyle w:val="TableText"/>
              <w:jc w:val="center"/>
            </w:pPr>
            <w:r w:rsidRPr="00A07320">
              <w:t>27.2%</w:t>
            </w:r>
          </w:p>
        </w:tc>
        <w:tc>
          <w:tcPr>
            <w:tcW w:w="1170" w:type="dxa"/>
            <w:tcBorders>
              <w:top w:val="single" w:sz="18" w:space="0" w:color="auto"/>
            </w:tcBorders>
            <w:shd w:val="clear" w:color="auto" w:fill="auto"/>
            <w:vAlign w:val="bottom"/>
            <w:hideMark/>
          </w:tcPr>
          <w:p w:rsidR="00B0519B" w:rsidRPr="00A07320" w:rsidRDefault="00B0519B" w:rsidP="00101C2D">
            <w:pPr>
              <w:pStyle w:val="TableText"/>
              <w:jc w:val="center"/>
            </w:pPr>
            <w:r w:rsidRPr="00A07320">
              <w:t>42.2%</w:t>
            </w:r>
          </w:p>
        </w:tc>
        <w:tc>
          <w:tcPr>
            <w:tcW w:w="1710" w:type="dxa"/>
            <w:tcBorders>
              <w:top w:val="single" w:sz="18" w:space="0" w:color="auto"/>
            </w:tcBorders>
            <w:shd w:val="clear" w:color="auto" w:fill="auto"/>
            <w:vAlign w:val="bottom"/>
            <w:hideMark/>
          </w:tcPr>
          <w:p w:rsidR="00B0519B" w:rsidRPr="00A07320" w:rsidRDefault="00B0519B" w:rsidP="00101C2D">
            <w:pPr>
              <w:pStyle w:val="TableText"/>
              <w:jc w:val="center"/>
            </w:pPr>
            <w:r w:rsidRPr="00A07320">
              <w:t>51.7%</w:t>
            </w:r>
          </w:p>
        </w:tc>
        <w:tc>
          <w:tcPr>
            <w:tcW w:w="1710" w:type="dxa"/>
            <w:tcBorders>
              <w:top w:val="single" w:sz="18" w:space="0" w:color="auto"/>
            </w:tcBorders>
            <w:shd w:val="clear" w:color="auto" w:fill="auto"/>
            <w:vAlign w:val="bottom"/>
            <w:hideMark/>
          </w:tcPr>
          <w:p w:rsidR="00B0519B" w:rsidRPr="00A07320" w:rsidRDefault="00B0519B" w:rsidP="00101C2D">
            <w:pPr>
              <w:pStyle w:val="TableText"/>
              <w:jc w:val="center"/>
            </w:pPr>
            <w:r w:rsidRPr="00A07320">
              <w:t>57.0%</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Learning Disability</w:t>
            </w:r>
          </w:p>
        </w:tc>
        <w:tc>
          <w:tcPr>
            <w:tcW w:w="1530" w:type="dxa"/>
            <w:shd w:val="clear" w:color="auto" w:fill="auto"/>
            <w:vAlign w:val="bottom"/>
            <w:hideMark/>
          </w:tcPr>
          <w:p w:rsidR="00B0519B" w:rsidRPr="00A07320" w:rsidRDefault="00B0519B" w:rsidP="00101C2D">
            <w:pPr>
              <w:pStyle w:val="TableText"/>
              <w:jc w:val="center"/>
            </w:pPr>
            <w:r w:rsidRPr="00A07320">
              <w:t>29.5%</w:t>
            </w:r>
          </w:p>
        </w:tc>
        <w:tc>
          <w:tcPr>
            <w:tcW w:w="1170" w:type="dxa"/>
            <w:shd w:val="clear" w:color="auto" w:fill="auto"/>
            <w:vAlign w:val="bottom"/>
            <w:hideMark/>
          </w:tcPr>
          <w:p w:rsidR="00B0519B" w:rsidRPr="00A07320" w:rsidRDefault="00B0519B" w:rsidP="00101C2D">
            <w:pPr>
              <w:pStyle w:val="TableText"/>
              <w:jc w:val="center"/>
            </w:pPr>
            <w:r w:rsidRPr="00A07320">
              <w:t>45.2%</w:t>
            </w:r>
          </w:p>
        </w:tc>
        <w:tc>
          <w:tcPr>
            <w:tcW w:w="1710" w:type="dxa"/>
            <w:shd w:val="clear" w:color="auto" w:fill="auto"/>
            <w:vAlign w:val="bottom"/>
            <w:hideMark/>
          </w:tcPr>
          <w:p w:rsidR="00B0519B" w:rsidRPr="00A07320" w:rsidRDefault="00B0519B" w:rsidP="00101C2D">
            <w:pPr>
              <w:pStyle w:val="TableText"/>
              <w:jc w:val="center"/>
            </w:pPr>
            <w:r w:rsidRPr="00A07320">
              <w:t>58.1%</w:t>
            </w:r>
          </w:p>
        </w:tc>
        <w:tc>
          <w:tcPr>
            <w:tcW w:w="1710" w:type="dxa"/>
            <w:shd w:val="clear" w:color="auto" w:fill="auto"/>
            <w:vAlign w:val="bottom"/>
            <w:hideMark/>
          </w:tcPr>
          <w:p w:rsidR="00B0519B" w:rsidRPr="00A07320" w:rsidRDefault="00B0519B" w:rsidP="00101C2D">
            <w:pPr>
              <w:pStyle w:val="TableText"/>
              <w:jc w:val="center"/>
            </w:pPr>
            <w:r w:rsidRPr="00A07320">
              <w:t>63.3%</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Emotional Disturbance</w:t>
            </w:r>
          </w:p>
        </w:tc>
        <w:tc>
          <w:tcPr>
            <w:tcW w:w="1530" w:type="dxa"/>
            <w:shd w:val="clear" w:color="auto" w:fill="auto"/>
            <w:vAlign w:val="bottom"/>
            <w:hideMark/>
          </w:tcPr>
          <w:p w:rsidR="00B0519B" w:rsidRPr="00A07320" w:rsidRDefault="00B0519B" w:rsidP="00101C2D">
            <w:pPr>
              <w:pStyle w:val="TableText"/>
              <w:jc w:val="center"/>
            </w:pPr>
            <w:r w:rsidRPr="00A07320">
              <w:t>19.3%</w:t>
            </w:r>
          </w:p>
        </w:tc>
        <w:tc>
          <w:tcPr>
            <w:tcW w:w="1170" w:type="dxa"/>
            <w:shd w:val="clear" w:color="auto" w:fill="auto"/>
            <w:vAlign w:val="bottom"/>
            <w:hideMark/>
          </w:tcPr>
          <w:p w:rsidR="00B0519B" w:rsidRPr="00A07320" w:rsidRDefault="00B0519B" w:rsidP="00101C2D">
            <w:pPr>
              <w:pStyle w:val="TableText"/>
              <w:jc w:val="center"/>
            </w:pPr>
            <w:r w:rsidRPr="00A07320">
              <w:t>30.7%</w:t>
            </w:r>
          </w:p>
        </w:tc>
        <w:tc>
          <w:tcPr>
            <w:tcW w:w="1710" w:type="dxa"/>
            <w:shd w:val="clear" w:color="auto" w:fill="auto"/>
            <w:vAlign w:val="bottom"/>
            <w:hideMark/>
          </w:tcPr>
          <w:p w:rsidR="00B0519B" w:rsidRPr="00A07320" w:rsidRDefault="00B0519B" w:rsidP="00101C2D">
            <w:pPr>
              <w:pStyle w:val="TableText"/>
              <w:jc w:val="center"/>
            </w:pPr>
            <w:r w:rsidRPr="00A07320">
              <w:t>42.3%</w:t>
            </w:r>
          </w:p>
        </w:tc>
        <w:tc>
          <w:tcPr>
            <w:tcW w:w="1710" w:type="dxa"/>
            <w:shd w:val="clear" w:color="auto" w:fill="auto"/>
            <w:vAlign w:val="bottom"/>
            <w:hideMark/>
          </w:tcPr>
          <w:p w:rsidR="00B0519B" w:rsidRPr="00A07320" w:rsidRDefault="00B0519B" w:rsidP="00101C2D">
            <w:pPr>
              <w:pStyle w:val="TableText"/>
              <w:jc w:val="center"/>
            </w:pPr>
            <w:r w:rsidRPr="00A07320">
              <w:t>51.3%</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Speech Impairment</w:t>
            </w:r>
          </w:p>
        </w:tc>
        <w:tc>
          <w:tcPr>
            <w:tcW w:w="1530" w:type="dxa"/>
            <w:shd w:val="clear" w:color="auto" w:fill="auto"/>
            <w:vAlign w:val="bottom"/>
            <w:hideMark/>
          </w:tcPr>
          <w:p w:rsidR="00B0519B" w:rsidRPr="00A07320" w:rsidRDefault="00B0519B" w:rsidP="00101C2D">
            <w:pPr>
              <w:pStyle w:val="TableText"/>
              <w:jc w:val="center"/>
            </w:pPr>
            <w:r w:rsidRPr="00A07320">
              <w:t>36.5%</w:t>
            </w:r>
          </w:p>
        </w:tc>
        <w:tc>
          <w:tcPr>
            <w:tcW w:w="1170" w:type="dxa"/>
            <w:shd w:val="clear" w:color="auto" w:fill="auto"/>
            <w:vAlign w:val="bottom"/>
            <w:hideMark/>
          </w:tcPr>
          <w:p w:rsidR="00B0519B" w:rsidRPr="00A07320" w:rsidRDefault="00B0519B" w:rsidP="00101C2D">
            <w:pPr>
              <w:pStyle w:val="TableText"/>
              <w:jc w:val="center"/>
            </w:pPr>
            <w:r w:rsidRPr="00A07320">
              <w:t>53.8%</w:t>
            </w:r>
          </w:p>
        </w:tc>
        <w:tc>
          <w:tcPr>
            <w:tcW w:w="1710" w:type="dxa"/>
            <w:shd w:val="clear" w:color="auto" w:fill="auto"/>
            <w:vAlign w:val="bottom"/>
            <w:hideMark/>
          </w:tcPr>
          <w:p w:rsidR="00B0519B" w:rsidRPr="00A07320" w:rsidRDefault="00B0519B" w:rsidP="00101C2D">
            <w:pPr>
              <w:pStyle w:val="TableText"/>
              <w:jc w:val="center"/>
            </w:pPr>
            <w:r w:rsidRPr="00A07320">
              <w:t>58.9%</w:t>
            </w:r>
          </w:p>
        </w:tc>
        <w:tc>
          <w:tcPr>
            <w:tcW w:w="1710" w:type="dxa"/>
            <w:shd w:val="clear" w:color="auto" w:fill="auto"/>
            <w:vAlign w:val="bottom"/>
            <w:hideMark/>
          </w:tcPr>
          <w:p w:rsidR="00B0519B" w:rsidRPr="00A07320" w:rsidRDefault="00B0519B" w:rsidP="00101C2D">
            <w:pPr>
              <w:pStyle w:val="TableText"/>
              <w:jc w:val="center"/>
            </w:pPr>
            <w:r w:rsidRPr="00A07320">
              <w:t>65.2%</w:t>
            </w:r>
          </w:p>
        </w:tc>
      </w:tr>
      <w:tr w:rsidR="00B0519B" w:rsidRPr="002A69BB" w:rsidTr="00203192">
        <w:trPr>
          <w:trHeight w:val="300"/>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Hearing Impairment</w:t>
            </w:r>
          </w:p>
        </w:tc>
        <w:tc>
          <w:tcPr>
            <w:tcW w:w="1530" w:type="dxa"/>
            <w:shd w:val="clear" w:color="auto" w:fill="auto"/>
            <w:vAlign w:val="bottom"/>
            <w:hideMark/>
          </w:tcPr>
          <w:p w:rsidR="00B0519B" w:rsidRPr="00A07320" w:rsidRDefault="00B0519B" w:rsidP="00101C2D">
            <w:pPr>
              <w:pStyle w:val="TableText"/>
              <w:jc w:val="center"/>
            </w:pPr>
            <w:r w:rsidRPr="00A07320">
              <w:t>57.5%</w:t>
            </w:r>
          </w:p>
        </w:tc>
        <w:tc>
          <w:tcPr>
            <w:tcW w:w="1170" w:type="dxa"/>
            <w:shd w:val="clear" w:color="auto" w:fill="auto"/>
            <w:vAlign w:val="bottom"/>
            <w:hideMark/>
          </w:tcPr>
          <w:p w:rsidR="00B0519B" w:rsidRPr="00A07320" w:rsidRDefault="00B0519B" w:rsidP="00101C2D">
            <w:pPr>
              <w:pStyle w:val="TableText"/>
              <w:jc w:val="center"/>
            </w:pPr>
            <w:r w:rsidRPr="00A07320">
              <w:t>69.7%</w:t>
            </w:r>
          </w:p>
        </w:tc>
        <w:tc>
          <w:tcPr>
            <w:tcW w:w="1710" w:type="dxa"/>
            <w:shd w:val="clear" w:color="auto" w:fill="auto"/>
            <w:vAlign w:val="bottom"/>
            <w:hideMark/>
          </w:tcPr>
          <w:p w:rsidR="00B0519B" w:rsidRPr="00A07320" w:rsidRDefault="00B0519B" w:rsidP="00101C2D">
            <w:pPr>
              <w:pStyle w:val="TableText"/>
              <w:jc w:val="center"/>
            </w:pPr>
            <w:r w:rsidRPr="00A07320">
              <w:t>68.2%</w:t>
            </w:r>
          </w:p>
        </w:tc>
        <w:tc>
          <w:tcPr>
            <w:tcW w:w="1710" w:type="dxa"/>
            <w:shd w:val="clear" w:color="auto" w:fill="auto"/>
            <w:vAlign w:val="bottom"/>
            <w:hideMark/>
          </w:tcPr>
          <w:p w:rsidR="00B0519B" w:rsidRPr="00A07320" w:rsidRDefault="00B0519B" w:rsidP="00101C2D">
            <w:pPr>
              <w:pStyle w:val="TableText"/>
              <w:jc w:val="center"/>
            </w:pPr>
            <w:r w:rsidRPr="00A07320">
              <w:t>72.9%</w:t>
            </w:r>
          </w:p>
        </w:tc>
      </w:tr>
      <w:tr w:rsidR="00B0519B" w:rsidRPr="002A69BB" w:rsidTr="00203192">
        <w:trPr>
          <w:trHeight w:val="300"/>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Visual Impairment</w:t>
            </w:r>
          </w:p>
        </w:tc>
        <w:tc>
          <w:tcPr>
            <w:tcW w:w="1530" w:type="dxa"/>
            <w:shd w:val="clear" w:color="auto" w:fill="auto"/>
            <w:vAlign w:val="bottom"/>
            <w:hideMark/>
          </w:tcPr>
          <w:p w:rsidR="00B0519B" w:rsidRPr="00A07320" w:rsidRDefault="00B0519B" w:rsidP="00101C2D">
            <w:pPr>
              <w:pStyle w:val="TableText"/>
              <w:jc w:val="center"/>
            </w:pPr>
            <w:r w:rsidRPr="00A07320">
              <w:t>63.6%</w:t>
            </w:r>
          </w:p>
        </w:tc>
        <w:tc>
          <w:tcPr>
            <w:tcW w:w="1170" w:type="dxa"/>
            <w:shd w:val="clear" w:color="auto" w:fill="auto"/>
            <w:vAlign w:val="bottom"/>
            <w:hideMark/>
          </w:tcPr>
          <w:p w:rsidR="00B0519B" w:rsidRPr="00A07320" w:rsidRDefault="00B0519B" w:rsidP="00101C2D">
            <w:pPr>
              <w:pStyle w:val="TableText"/>
              <w:jc w:val="center"/>
            </w:pPr>
            <w:r w:rsidRPr="00A07320">
              <w:t>70.6%</w:t>
            </w:r>
          </w:p>
        </w:tc>
        <w:tc>
          <w:tcPr>
            <w:tcW w:w="1710" w:type="dxa"/>
            <w:shd w:val="clear" w:color="auto" w:fill="auto"/>
            <w:vAlign w:val="bottom"/>
            <w:hideMark/>
          </w:tcPr>
          <w:p w:rsidR="00B0519B" w:rsidRPr="00A07320" w:rsidRDefault="00B0519B" w:rsidP="00101C2D">
            <w:pPr>
              <w:pStyle w:val="TableText"/>
              <w:jc w:val="center"/>
            </w:pPr>
            <w:r w:rsidRPr="00A07320">
              <w:t>65.2%</w:t>
            </w:r>
          </w:p>
        </w:tc>
        <w:tc>
          <w:tcPr>
            <w:tcW w:w="1710" w:type="dxa"/>
            <w:shd w:val="clear" w:color="auto" w:fill="auto"/>
            <w:vAlign w:val="bottom"/>
            <w:hideMark/>
          </w:tcPr>
          <w:p w:rsidR="00B0519B" w:rsidRPr="00A07320" w:rsidRDefault="00B0519B" w:rsidP="00101C2D">
            <w:pPr>
              <w:pStyle w:val="TableText"/>
              <w:jc w:val="center"/>
            </w:pPr>
            <w:r w:rsidRPr="00A07320">
              <w:t>66.7%</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Autism</w:t>
            </w:r>
          </w:p>
        </w:tc>
        <w:tc>
          <w:tcPr>
            <w:tcW w:w="1530" w:type="dxa"/>
            <w:shd w:val="clear" w:color="auto" w:fill="auto"/>
            <w:vAlign w:val="bottom"/>
            <w:hideMark/>
          </w:tcPr>
          <w:p w:rsidR="00B0519B" w:rsidRPr="00A07320" w:rsidRDefault="00B0519B" w:rsidP="00101C2D">
            <w:pPr>
              <w:pStyle w:val="TableText"/>
              <w:jc w:val="center"/>
            </w:pPr>
            <w:r w:rsidRPr="00A07320">
              <w:t>40.4%</w:t>
            </w:r>
          </w:p>
        </w:tc>
        <w:tc>
          <w:tcPr>
            <w:tcW w:w="1170" w:type="dxa"/>
            <w:shd w:val="clear" w:color="auto" w:fill="auto"/>
            <w:vAlign w:val="bottom"/>
            <w:hideMark/>
          </w:tcPr>
          <w:p w:rsidR="00B0519B" w:rsidRPr="00A07320" w:rsidRDefault="00B0519B" w:rsidP="00101C2D">
            <w:pPr>
              <w:pStyle w:val="TableText"/>
              <w:jc w:val="center"/>
            </w:pPr>
            <w:r w:rsidRPr="00A07320">
              <w:t>49.7%</w:t>
            </w:r>
          </w:p>
        </w:tc>
        <w:tc>
          <w:tcPr>
            <w:tcW w:w="1710" w:type="dxa"/>
            <w:shd w:val="clear" w:color="auto" w:fill="auto"/>
            <w:vAlign w:val="bottom"/>
            <w:hideMark/>
          </w:tcPr>
          <w:p w:rsidR="00B0519B" w:rsidRPr="00A07320" w:rsidRDefault="00B0519B" w:rsidP="00101C2D">
            <w:pPr>
              <w:pStyle w:val="TableText"/>
              <w:jc w:val="center"/>
            </w:pPr>
            <w:r w:rsidRPr="00A07320">
              <w:t>33.1%</w:t>
            </w:r>
          </w:p>
        </w:tc>
        <w:tc>
          <w:tcPr>
            <w:tcW w:w="1710" w:type="dxa"/>
            <w:shd w:val="clear" w:color="auto" w:fill="auto"/>
            <w:vAlign w:val="bottom"/>
            <w:hideMark/>
          </w:tcPr>
          <w:p w:rsidR="00B0519B" w:rsidRPr="00A07320" w:rsidRDefault="00B0519B" w:rsidP="00101C2D">
            <w:pPr>
              <w:pStyle w:val="TableText"/>
              <w:jc w:val="center"/>
            </w:pPr>
            <w:r w:rsidRPr="00A07320">
              <w:t>37.9%</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Mental Retardation</w:t>
            </w:r>
          </w:p>
        </w:tc>
        <w:tc>
          <w:tcPr>
            <w:tcW w:w="1530" w:type="dxa"/>
            <w:shd w:val="clear" w:color="auto" w:fill="auto"/>
            <w:vAlign w:val="bottom"/>
            <w:hideMark/>
          </w:tcPr>
          <w:p w:rsidR="00B0519B" w:rsidRPr="00A07320" w:rsidRDefault="00B0519B" w:rsidP="00101C2D">
            <w:pPr>
              <w:pStyle w:val="TableText"/>
              <w:jc w:val="center"/>
            </w:pPr>
            <w:r w:rsidRPr="00A07320">
              <w:t>11.0%</w:t>
            </w:r>
          </w:p>
        </w:tc>
        <w:tc>
          <w:tcPr>
            <w:tcW w:w="1170" w:type="dxa"/>
            <w:shd w:val="clear" w:color="auto" w:fill="auto"/>
            <w:vAlign w:val="bottom"/>
            <w:hideMark/>
          </w:tcPr>
          <w:p w:rsidR="00B0519B" w:rsidRPr="00A07320" w:rsidRDefault="00B0519B" w:rsidP="00101C2D">
            <w:pPr>
              <w:pStyle w:val="TableText"/>
              <w:jc w:val="center"/>
            </w:pPr>
            <w:r w:rsidRPr="00A07320">
              <w:t>23.9%</w:t>
            </w:r>
          </w:p>
        </w:tc>
        <w:tc>
          <w:tcPr>
            <w:tcW w:w="1710" w:type="dxa"/>
            <w:shd w:val="clear" w:color="auto" w:fill="auto"/>
            <w:vAlign w:val="bottom"/>
            <w:hideMark/>
          </w:tcPr>
          <w:p w:rsidR="00B0519B" w:rsidRPr="00A07320" w:rsidRDefault="00B0519B" w:rsidP="00101C2D">
            <w:pPr>
              <w:pStyle w:val="TableText"/>
              <w:jc w:val="center"/>
            </w:pPr>
            <w:r w:rsidRPr="00A07320">
              <w:t>26.6%</w:t>
            </w:r>
          </w:p>
        </w:tc>
        <w:tc>
          <w:tcPr>
            <w:tcW w:w="1710" w:type="dxa"/>
            <w:shd w:val="clear" w:color="auto" w:fill="auto"/>
            <w:vAlign w:val="bottom"/>
            <w:hideMark/>
          </w:tcPr>
          <w:p w:rsidR="00B0519B" w:rsidRPr="00A07320" w:rsidRDefault="00B0519B" w:rsidP="00101C2D">
            <w:pPr>
              <w:pStyle w:val="TableText"/>
              <w:jc w:val="center"/>
            </w:pPr>
            <w:r w:rsidRPr="00A07320">
              <w:t>27.9%</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Deaf/Blindness</w:t>
            </w:r>
          </w:p>
        </w:tc>
        <w:tc>
          <w:tcPr>
            <w:tcW w:w="1530" w:type="dxa"/>
            <w:shd w:val="clear" w:color="auto" w:fill="auto"/>
            <w:vAlign w:val="bottom"/>
            <w:hideMark/>
          </w:tcPr>
          <w:p w:rsidR="00B0519B" w:rsidRPr="00A07320" w:rsidRDefault="00546BAD" w:rsidP="00101C2D">
            <w:pPr>
              <w:pStyle w:val="TableText"/>
              <w:jc w:val="center"/>
            </w:pPr>
            <w:r>
              <w:t> </w:t>
            </w:r>
          </w:p>
        </w:tc>
        <w:tc>
          <w:tcPr>
            <w:tcW w:w="1170" w:type="dxa"/>
            <w:shd w:val="clear" w:color="auto" w:fill="auto"/>
            <w:vAlign w:val="bottom"/>
            <w:hideMark/>
          </w:tcPr>
          <w:p w:rsidR="00B0519B" w:rsidRPr="00A07320" w:rsidRDefault="00B0519B" w:rsidP="00101C2D">
            <w:pPr>
              <w:pStyle w:val="TableText"/>
              <w:jc w:val="center"/>
            </w:pPr>
            <w:r w:rsidRPr="00A07320">
              <w:t>47.7%</w:t>
            </w:r>
          </w:p>
        </w:tc>
        <w:tc>
          <w:tcPr>
            <w:tcW w:w="1710" w:type="dxa"/>
            <w:shd w:val="clear" w:color="auto" w:fill="auto"/>
            <w:vAlign w:val="bottom"/>
            <w:hideMark/>
          </w:tcPr>
          <w:p w:rsidR="00B0519B" w:rsidRPr="00A07320" w:rsidRDefault="00B0519B" w:rsidP="00101C2D">
            <w:pPr>
              <w:pStyle w:val="TableText"/>
              <w:jc w:val="center"/>
            </w:pPr>
            <w:r w:rsidRPr="00A07320">
              <w:t>40.9%</w:t>
            </w:r>
          </w:p>
        </w:tc>
        <w:tc>
          <w:tcPr>
            <w:tcW w:w="1710" w:type="dxa"/>
            <w:shd w:val="clear" w:color="auto" w:fill="auto"/>
            <w:vAlign w:val="bottom"/>
            <w:hideMark/>
          </w:tcPr>
          <w:p w:rsidR="00B0519B" w:rsidRPr="00A07320" w:rsidRDefault="00B0519B" w:rsidP="00101C2D">
            <w:pPr>
              <w:pStyle w:val="TableText"/>
              <w:jc w:val="center"/>
            </w:pPr>
            <w:r w:rsidRPr="00A07320">
              <w:t>51.2%</w:t>
            </w:r>
          </w:p>
        </w:tc>
      </w:tr>
      <w:tr w:rsidR="00B0519B" w:rsidRPr="002A69BB" w:rsidTr="00203192">
        <w:trPr>
          <w:trHeight w:val="31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Multiple Disabilities</w:t>
            </w:r>
          </w:p>
        </w:tc>
        <w:tc>
          <w:tcPr>
            <w:tcW w:w="1530" w:type="dxa"/>
            <w:shd w:val="clear" w:color="auto" w:fill="auto"/>
            <w:vAlign w:val="bottom"/>
            <w:hideMark/>
          </w:tcPr>
          <w:p w:rsidR="00B0519B" w:rsidRPr="00A07320" w:rsidRDefault="00B0519B" w:rsidP="00101C2D">
            <w:pPr>
              <w:pStyle w:val="TableText"/>
              <w:jc w:val="center"/>
            </w:pPr>
            <w:r w:rsidRPr="00A07320">
              <w:t>19.0%</w:t>
            </w:r>
          </w:p>
        </w:tc>
        <w:tc>
          <w:tcPr>
            <w:tcW w:w="1170" w:type="dxa"/>
            <w:shd w:val="clear" w:color="auto" w:fill="auto"/>
            <w:vAlign w:val="bottom"/>
            <w:hideMark/>
          </w:tcPr>
          <w:p w:rsidR="00B0519B" w:rsidRPr="00A07320" w:rsidRDefault="00B0519B" w:rsidP="00101C2D">
            <w:pPr>
              <w:pStyle w:val="TableText"/>
              <w:jc w:val="center"/>
            </w:pPr>
            <w:r w:rsidRPr="00A07320">
              <w:t>32.8%</w:t>
            </w:r>
          </w:p>
        </w:tc>
        <w:tc>
          <w:tcPr>
            <w:tcW w:w="1710" w:type="dxa"/>
            <w:shd w:val="clear" w:color="auto" w:fill="auto"/>
            <w:vAlign w:val="bottom"/>
            <w:hideMark/>
          </w:tcPr>
          <w:p w:rsidR="00B0519B" w:rsidRPr="00A07320" w:rsidRDefault="00B0519B" w:rsidP="00101C2D">
            <w:pPr>
              <w:pStyle w:val="TableText"/>
              <w:jc w:val="center"/>
            </w:pPr>
            <w:r w:rsidRPr="00A07320">
              <w:t>24.8%</w:t>
            </w:r>
          </w:p>
        </w:tc>
        <w:tc>
          <w:tcPr>
            <w:tcW w:w="1710" w:type="dxa"/>
            <w:shd w:val="clear" w:color="auto" w:fill="auto"/>
            <w:vAlign w:val="bottom"/>
            <w:hideMark/>
          </w:tcPr>
          <w:p w:rsidR="00B0519B" w:rsidRPr="00A07320" w:rsidRDefault="00B0519B" w:rsidP="00101C2D">
            <w:pPr>
              <w:pStyle w:val="TableText"/>
              <w:jc w:val="center"/>
            </w:pPr>
            <w:r w:rsidRPr="00A07320">
              <w:t>28.4%</w:t>
            </w:r>
          </w:p>
        </w:tc>
      </w:tr>
      <w:tr w:rsidR="00B0519B" w:rsidRPr="002A69BB" w:rsidTr="00203192">
        <w:trPr>
          <w:trHeight w:val="332"/>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Orthopedic Impairment</w:t>
            </w:r>
          </w:p>
        </w:tc>
        <w:tc>
          <w:tcPr>
            <w:tcW w:w="1530" w:type="dxa"/>
            <w:shd w:val="clear" w:color="auto" w:fill="auto"/>
            <w:vAlign w:val="bottom"/>
            <w:hideMark/>
          </w:tcPr>
          <w:p w:rsidR="00B0519B" w:rsidRPr="00A07320" w:rsidRDefault="00B0519B" w:rsidP="00101C2D">
            <w:pPr>
              <w:pStyle w:val="TableText"/>
              <w:jc w:val="center"/>
            </w:pPr>
            <w:r w:rsidRPr="00A07320">
              <w:t>32.2%</w:t>
            </w:r>
          </w:p>
        </w:tc>
        <w:tc>
          <w:tcPr>
            <w:tcW w:w="1170" w:type="dxa"/>
            <w:shd w:val="clear" w:color="auto" w:fill="auto"/>
            <w:vAlign w:val="bottom"/>
            <w:hideMark/>
          </w:tcPr>
          <w:p w:rsidR="00B0519B" w:rsidRPr="00A07320" w:rsidRDefault="00B0519B" w:rsidP="00101C2D">
            <w:pPr>
              <w:pStyle w:val="TableText"/>
              <w:jc w:val="center"/>
            </w:pPr>
            <w:r w:rsidRPr="00A07320">
              <w:t>51.2%</w:t>
            </w:r>
          </w:p>
        </w:tc>
        <w:tc>
          <w:tcPr>
            <w:tcW w:w="1710" w:type="dxa"/>
            <w:shd w:val="clear" w:color="auto" w:fill="auto"/>
            <w:vAlign w:val="bottom"/>
            <w:hideMark/>
          </w:tcPr>
          <w:p w:rsidR="00B0519B" w:rsidRPr="00A07320" w:rsidRDefault="00B0519B" w:rsidP="00101C2D">
            <w:pPr>
              <w:pStyle w:val="TableText"/>
              <w:jc w:val="center"/>
            </w:pPr>
            <w:r w:rsidRPr="00A07320">
              <w:t>54.1%</w:t>
            </w:r>
          </w:p>
        </w:tc>
        <w:tc>
          <w:tcPr>
            <w:tcW w:w="1710" w:type="dxa"/>
            <w:shd w:val="clear" w:color="auto" w:fill="auto"/>
            <w:vAlign w:val="bottom"/>
            <w:hideMark/>
          </w:tcPr>
          <w:p w:rsidR="00B0519B" w:rsidRPr="00A07320" w:rsidRDefault="00B0519B" w:rsidP="00101C2D">
            <w:pPr>
              <w:pStyle w:val="TableText"/>
              <w:jc w:val="center"/>
            </w:pPr>
            <w:r w:rsidRPr="00A07320">
              <w:t>58.9%</w:t>
            </w:r>
          </w:p>
        </w:tc>
      </w:tr>
      <w:tr w:rsidR="00B0519B" w:rsidRPr="002A69BB" w:rsidTr="00203192">
        <w:trPr>
          <w:trHeight w:val="305"/>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Traumatic Brain Injury</w:t>
            </w:r>
          </w:p>
        </w:tc>
        <w:tc>
          <w:tcPr>
            <w:tcW w:w="1530" w:type="dxa"/>
            <w:shd w:val="clear" w:color="auto" w:fill="auto"/>
            <w:vAlign w:val="bottom"/>
            <w:hideMark/>
          </w:tcPr>
          <w:p w:rsidR="00B0519B" w:rsidRPr="00A07320" w:rsidRDefault="00B0519B" w:rsidP="00101C2D">
            <w:pPr>
              <w:pStyle w:val="TableText"/>
              <w:jc w:val="center"/>
            </w:pPr>
            <w:r w:rsidRPr="00A07320">
              <w:t>23.4%</w:t>
            </w:r>
          </w:p>
        </w:tc>
        <w:tc>
          <w:tcPr>
            <w:tcW w:w="1170" w:type="dxa"/>
            <w:shd w:val="clear" w:color="auto" w:fill="auto"/>
            <w:vAlign w:val="bottom"/>
            <w:hideMark/>
          </w:tcPr>
          <w:p w:rsidR="00B0519B" w:rsidRPr="00A07320" w:rsidRDefault="00B0519B" w:rsidP="00101C2D">
            <w:pPr>
              <w:pStyle w:val="TableText"/>
              <w:jc w:val="center"/>
            </w:pPr>
            <w:r w:rsidRPr="00A07320">
              <w:t>51.0%</w:t>
            </w:r>
          </w:p>
        </w:tc>
        <w:tc>
          <w:tcPr>
            <w:tcW w:w="1710" w:type="dxa"/>
            <w:shd w:val="clear" w:color="auto" w:fill="auto"/>
            <w:vAlign w:val="bottom"/>
            <w:hideMark/>
          </w:tcPr>
          <w:p w:rsidR="00B0519B" w:rsidRPr="00A07320" w:rsidRDefault="00B0519B" w:rsidP="00101C2D">
            <w:pPr>
              <w:pStyle w:val="TableText"/>
              <w:jc w:val="center"/>
            </w:pPr>
            <w:r w:rsidRPr="00A07320">
              <w:t>53.8%</w:t>
            </w:r>
          </w:p>
        </w:tc>
        <w:tc>
          <w:tcPr>
            <w:tcW w:w="1710" w:type="dxa"/>
            <w:shd w:val="clear" w:color="auto" w:fill="auto"/>
            <w:vAlign w:val="bottom"/>
            <w:hideMark/>
          </w:tcPr>
          <w:p w:rsidR="00B0519B" w:rsidRPr="00A07320" w:rsidRDefault="00B0519B" w:rsidP="00101C2D">
            <w:pPr>
              <w:pStyle w:val="TableText"/>
              <w:jc w:val="center"/>
            </w:pPr>
            <w:r w:rsidRPr="00A07320">
              <w:t>59.5%</w:t>
            </w:r>
          </w:p>
        </w:tc>
      </w:tr>
      <w:tr w:rsidR="00B0519B" w:rsidRPr="002A69BB" w:rsidTr="00203192">
        <w:trPr>
          <w:trHeight w:val="260"/>
          <w:tblHeader/>
          <w:jc w:val="center"/>
        </w:trPr>
        <w:tc>
          <w:tcPr>
            <w:tcW w:w="3060" w:type="dxa"/>
            <w:shd w:val="clear" w:color="auto" w:fill="E6E6E6"/>
            <w:vAlign w:val="bottom"/>
            <w:hideMark/>
          </w:tcPr>
          <w:p w:rsidR="00B0519B" w:rsidRPr="00A07320" w:rsidRDefault="00B0519B" w:rsidP="00101C2D">
            <w:pPr>
              <w:pStyle w:val="TableText"/>
              <w:rPr>
                <w:b/>
              </w:rPr>
            </w:pPr>
            <w:r w:rsidRPr="00A07320">
              <w:rPr>
                <w:b/>
              </w:rPr>
              <w:t>Other Health Impairment</w:t>
            </w:r>
          </w:p>
        </w:tc>
        <w:tc>
          <w:tcPr>
            <w:tcW w:w="1530" w:type="dxa"/>
            <w:shd w:val="clear" w:color="auto" w:fill="auto"/>
            <w:vAlign w:val="bottom"/>
            <w:hideMark/>
          </w:tcPr>
          <w:p w:rsidR="00B0519B" w:rsidRPr="00A07320" w:rsidRDefault="00B0519B" w:rsidP="00101C2D">
            <w:pPr>
              <w:pStyle w:val="TableText"/>
              <w:jc w:val="center"/>
            </w:pPr>
            <w:r w:rsidRPr="00A07320">
              <w:t>33.4%</w:t>
            </w:r>
          </w:p>
        </w:tc>
        <w:tc>
          <w:tcPr>
            <w:tcW w:w="1170" w:type="dxa"/>
            <w:shd w:val="clear" w:color="auto" w:fill="auto"/>
            <w:vAlign w:val="bottom"/>
            <w:hideMark/>
          </w:tcPr>
          <w:p w:rsidR="00B0519B" w:rsidRPr="00A07320" w:rsidRDefault="00B0519B" w:rsidP="00101C2D">
            <w:pPr>
              <w:pStyle w:val="TableText"/>
              <w:jc w:val="center"/>
            </w:pPr>
            <w:r w:rsidRPr="00A07320">
              <w:t>53.0%</w:t>
            </w:r>
          </w:p>
        </w:tc>
        <w:tc>
          <w:tcPr>
            <w:tcW w:w="1710" w:type="dxa"/>
            <w:shd w:val="clear" w:color="auto" w:fill="auto"/>
            <w:vAlign w:val="bottom"/>
            <w:hideMark/>
          </w:tcPr>
          <w:p w:rsidR="00B0519B" w:rsidRPr="00A07320" w:rsidRDefault="00B0519B" w:rsidP="00101C2D">
            <w:pPr>
              <w:pStyle w:val="TableText"/>
              <w:jc w:val="center"/>
            </w:pPr>
            <w:r w:rsidRPr="00A07320">
              <w:t>55.6%</w:t>
            </w:r>
          </w:p>
        </w:tc>
        <w:tc>
          <w:tcPr>
            <w:tcW w:w="1710" w:type="dxa"/>
            <w:shd w:val="clear" w:color="auto" w:fill="auto"/>
            <w:vAlign w:val="bottom"/>
            <w:hideMark/>
          </w:tcPr>
          <w:p w:rsidR="00B0519B" w:rsidRPr="00A07320" w:rsidRDefault="00B0519B" w:rsidP="00101C2D">
            <w:pPr>
              <w:pStyle w:val="TableText"/>
              <w:jc w:val="center"/>
            </w:pPr>
            <w:r w:rsidRPr="00A07320">
              <w:t>64.1%</w:t>
            </w:r>
          </w:p>
        </w:tc>
      </w:tr>
    </w:tbl>
    <w:p w:rsidR="00B0519B" w:rsidRPr="00224D2C" w:rsidRDefault="00B0519B" w:rsidP="00B0519B">
      <w:pPr>
        <w:pStyle w:val="TableNote"/>
      </w:pPr>
      <w:r w:rsidRPr="00A07320">
        <w:rPr>
          <w:b/>
        </w:rPr>
        <w:t xml:space="preserve">Source: </w:t>
      </w:r>
      <w:r w:rsidRPr="00224D2C">
        <w:t xml:space="preserve">Years 2-5 NLTS data, compiled from </w:t>
      </w:r>
      <w:hyperlink r:id="rId24" w:history="1">
        <w:r w:rsidRPr="00224D2C">
          <w:rPr>
            <w:rStyle w:val="Hyperlink"/>
          </w:rPr>
          <w:t>http://www.nlts2.org/data_tables</w:t>
        </w:r>
      </w:hyperlink>
      <w:r>
        <w:t>.</w:t>
      </w:r>
    </w:p>
    <w:p w:rsidR="00B0519B" w:rsidRDefault="00B0519B" w:rsidP="00B0519B">
      <w:pPr>
        <w:pStyle w:val="BodyText"/>
      </w:pPr>
      <w:r>
        <w:t>Nearly 28 percent of the general population of people 25 years of age and older have completed college,</w:t>
      </w:r>
      <w:r w:rsidRPr="001C6B71">
        <w:rPr>
          <w:rStyle w:val="EndnoteReference"/>
        </w:rPr>
        <w:endnoteReference w:id="82"/>
      </w:r>
      <w:r>
        <w:t xml:space="preserve"> but people with disabilities complete college at half that rate. Increased efforts are needed to close the gap between people with and without disabilities.</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lastRenderedPageBreak/>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26"/>
              </w:numPr>
              <w:ind w:left="425"/>
            </w:pPr>
            <w:r w:rsidRPr="00F05475">
              <w:t>Congress should consider enhancing the role of postsecondary outcomes in the accountability infrastructure of the Elementary and Secondary Education Act and the State Performance Plan indicators of the Individuals with Disabilities Education Act.</w:t>
            </w:r>
          </w:p>
          <w:p w:rsidR="00B0519B" w:rsidRPr="00F05475" w:rsidRDefault="00B0519B" w:rsidP="00101C2D">
            <w:pPr>
              <w:pStyle w:val="TableTextList"/>
              <w:ind w:left="425"/>
            </w:pPr>
            <w:r w:rsidRPr="00F05475">
              <w:t>The Department of Education should issue further guidance to colleges and universities on meeting the accommodation needs of underserved disability categories in higher education settings as well as on meeting the accommodation needs of students with disabilities in undergraduate, graduate, and professional education.</w:t>
            </w:r>
          </w:p>
          <w:p w:rsidR="00B0519B" w:rsidRPr="00F05475" w:rsidRDefault="00B0519B" w:rsidP="00101C2D">
            <w:pPr>
              <w:pStyle w:val="TableTextList"/>
              <w:ind w:left="425"/>
            </w:pPr>
            <w:r w:rsidRPr="00F05475">
              <w:t xml:space="preserve">Congress and the Administration should charge key federal agencies responsible for policies and programs that shape education and lifelong learning to establish a national task force that will identify barriers to accessing the general education curriculum, earning a regular high school diploma, and entering and completing postsecondary education, and establish meaningful short and long term goals and actions to set forth examples of attainable paths to gainful employment and that will assist cross-agency coordination of federally funded services and supports. </w:t>
            </w:r>
          </w:p>
          <w:p w:rsidR="00B0519B" w:rsidRPr="00F05475" w:rsidRDefault="00B0519B" w:rsidP="00101C2D">
            <w:pPr>
              <w:pStyle w:val="TableTextList"/>
              <w:spacing w:after="60"/>
              <w:ind w:left="432"/>
            </w:pPr>
            <w:r w:rsidRPr="00F05475">
              <w:t>Congress and the Administration should require the Secretaries of the U.S.</w:t>
            </w:r>
            <w:r>
              <w:t> </w:t>
            </w:r>
            <w:r w:rsidRPr="00F05475">
              <w:t>Departments of Education, Labor, Transportation, Health and Human Services, Justice, and Homeland Security to obtain input from state and local stakeholders; develop federal guidance based on findings, including promising practices; and prepare an annual report to Congress on challenges and progress.</w:t>
            </w:r>
          </w:p>
        </w:tc>
      </w:tr>
    </w:tbl>
    <w:p w:rsidR="00B0519B" w:rsidRDefault="00B0519B" w:rsidP="00B0519B">
      <w:pPr>
        <w:pStyle w:val="Heading2"/>
      </w:pPr>
      <w:bookmarkStart w:id="51" w:name="_Toc304437152"/>
      <w:r>
        <w:t>Bullying and Students with Disabilities</w:t>
      </w:r>
      <w:bookmarkEnd w:id="51"/>
    </w:p>
    <w:p w:rsidR="00B0519B" w:rsidRPr="00AA164F" w:rsidRDefault="00B0519B" w:rsidP="00B0519B">
      <w:pPr>
        <w:pStyle w:val="BodyText"/>
      </w:pPr>
      <w:r w:rsidRPr="00AA164F">
        <w:t xml:space="preserve">Although </w:t>
      </w:r>
      <w:r>
        <w:t xml:space="preserve">the </w:t>
      </w:r>
      <w:r w:rsidRPr="00AA164F">
        <w:t>body of literature on bullies and victims</w:t>
      </w:r>
      <w:r w:rsidRPr="00BC409E">
        <w:t xml:space="preserve"> </w:t>
      </w:r>
      <w:r>
        <w:t xml:space="preserve">is </w:t>
      </w:r>
      <w:r w:rsidRPr="00AA164F">
        <w:t>substantial, relatively little attention has focused on how this problem relates specifically to children and youth with disabilities.</w:t>
      </w:r>
      <w:r>
        <w:t xml:space="preserve"> </w:t>
      </w:r>
      <w:r w:rsidRPr="00AA164F">
        <w:t>Research indicates a severe problem facing many students with disabilities.</w:t>
      </w:r>
      <w:r>
        <w:t xml:space="preserve"> S</w:t>
      </w:r>
      <w:r w:rsidRPr="00AA164F">
        <w:t>tudents with disabilities</w:t>
      </w:r>
      <w:r>
        <w:t>, visible or otherwise,</w:t>
      </w:r>
      <w:r w:rsidRPr="00AA164F">
        <w:t xml:space="preserve"> are subject to more bullying than</w:t>
      </w:r>
      <w:r>
        <w:t xml:space="preserve"> students</w:t>
      </w:r>
      <w:r w:rsidRPr="00AA164F">
        <w:t xml:space="preserve"> without disabilities.</w:t>
      </w:r>
      <w:r w:rsidRPr="001C6B71">
        <w:rPr>
          <w:rStyle w:val="EndnoteReference"/>
        </w:rPr>
        <w:endnoteReference w:id="83"/>
      </w:r>
      <w:r>
        <w:rPr>
          <w:vertAlign w:val="superscript"/>
        </w:rPr>
        <w:t xml:space="preserve"> </w:t>
      </w:r>
      <w:r w:rsidRPr="00AA164F">
        <w:t>Bullying is frequently a direct result of a student</w:t>
      </w:r>
      <w:r>
        <w:t>’</w:t>
      </w:r>
      <w:r w:rsidRPr="00AA164F">
        <w:t>s disability.</w:t>
      </w:r>
      <w:r w:rsidRPr="001C6B71">
        <w:rPr>
          <w:rStyle w:val="EndnoteReference"/>
        </w:rPr>
        <w:endnoteReference w:id="84"/>
      </w:r>
      <w:r w:rsidRPr="00AA164F">
        <w:t xml:space="preserve"> Students with disabilities are disproportionately likely to face peer rejection, a significant risk factor for victimization.</w:t>
      </w:r>
      <w:r w:rsidRPr="001C6B71">
        <w:rPr>
          <w:rStyle w:val="EndnoteReference"/>
        </w:rPr>
        <w:endnoteReference w:id="85"/>
      </w:r>
      <w:r>
        <w:t xml:space="preserve"> </w:t>
      </w:r>
      <w:r w:rsidRPr="00AA164F">
        <w:t xml:space="preserve">Many students with disabilities have </w:t>
      </w:r>
      <w:r>
        <w:t>difficulty with</w:t>
      </w:r>
      <w:r w:rsidRPr="00AA164F">
        <w:t xml:space="preserve"> social skills, either as a core trait of their disability or as a result of social isolation </w:t>
      </w:r>
      <w:r>
        <w:t xml:space="preserve">that results from </w:t>
      </w:r>
      <w:r w:rsidRPr="00AA164F">
        <w:t xml:space="preserve">segregated environments or peer rejection. Such students may be at </w:t>
      </w:r>
      <w:r w:rsidRPr="00AA164F">
        <w:lastRenderedPageBreak/>
        <w:t>particular risk for bullying and victimization.</w:t>
      </w:r>
      <w:r>
        <w:t xml:space="preserve"> R</w:t>
      </w:r>
      <w:r w:rsidRPr="00AA164F">
        <w:t xml:space="preserve">esearch </w:t>
      </w:r>
      <w:r>
        <w:t xml:space="preserve">confirms that such victimization exists across a broad range of </w:t>
      </w:r>
      <w:r w:rsidRPr="00AA164F">
        <w:t>students, including students with physical, developmental, intellectual, emotional</w:t>
      </w:r>
      <w:r>
        <w:t>,</w:t>
      </w:r>
      <w:r w:rsidRPr="00AA164F">
        <w:t xml:space="preserve"> </w:t>
      </w:r>
      <w:r>
        <w:t>and</w:t>
      </w:r>
      <w:r w:rsidRPr="00AA164F">
        <w:t xml:space="preserve"> sensory disabilities</w:t>
      </w:r>
      <w:r>
        <w:t>,</w:t>
      </w:r>
      <w:r w:rsidRPr="00AA164F">
        <w:t xml:space="preserve"> </w:t>
      </w:r>
      <w:r>
        <w:t>among</w:t>
      </w:r>
      <w:r w:rsidRPr="00AA164F">
        <w:t xml:space="preserve"> others.</w:t>
      </w:r>
      <w:r w:rsidRPr="001C6B71">
        <w:rPr>
          <w:rStyle w:val="EndnoteReference"/>
        </w:rPr>
        <w:endnoteReference w:id="86"/>
      </w:r>
    </w:p>
    <w:p w:rsidR="00B0519B" w:rsidRPr="00AA164F" w:rsidRDefault="00B0519B" w:rsidP="00B0519B">
      <w:pPr>
        <w:pStyle w:val="BodyText"/>
      </w:pPr>
      <w:r w:rsidRPr="00AA164F">
        <w:t>In April 2010, in Oklahoma, a 14</w:t>
      </w:r>
      <w:r>
        <w:t>-</w:t>
      </w:r>
      <w:r w:rsidRPr="00AA164F">
        <w:t>year</w:t>
      </w:r>
      <w:r>
        <w:t>-</w:t>
      </w:r>
      <w:r w:rsidRPr="00AA164F">
        <w:t>old boy with developmental disabilities was hospitalized after being forced to drink hand sanitizer.</w:t>
      </w:r>
      <w:r w:rsidRPr="001C6B71">
        <w:rPr>
          <w:rStyle w:val="EndnoteReference"/>
        </w:rPr>
        <w:endnoteReference w:id="87"/>
      </w:r>
      <w:r>
        <w:t xml:space="preserve"> </w:t>
      </w:r>
      <w:r w:rsidRPr="00AA164F">
        <w:t>Further investigation revealed the bullies had been poisoning the boy for months.</w:t>
      </w:r>
    </w:p>
    <w:p w:rsidR="00B0519B" w:rsidRDefault="00B0519B" w:rsidP="00B0519B">
      <w:pPr>
        <w:pStyle w:val="BodyText"/>
        <w:rPr>
          <w:rFonts w:ascii="Times New Roman" w:hAnsi="Times New Roman"/>
        </w:rPr>
      </w:pPr>
      <w:r>
        <w:t xml:space="preserve">Although </w:t>
      </w:r>
      <w:r w:rsidRPr="00AA164F">
        <w:t xml:space="preserve">some consideration has been given to bullying </w:t>
      </w:r>
      <w:r>
        <w:t>with regard</w:t>
      </w:r>
      <w:r w:rsidRPr="00AA164F">
        <w:t xml:space="preserve"> to relevant civil rights laws, including Section 504 and the ADA, </w:t>
      </w:r>
      <w:r>
        <w:t xml:space="preserve">until recently, </w:t>
      </w:r>
      <w:r w:rsidRPr="00AA164F">
        <w:t xml:space="preserve">little attention has been given in the context of IDEA. This is </w:t>
      </w:r>
      <w:r>
        <w:t>significant</w:t>
      </w:r>
      <w:r w:rsidRPr="00AA164F">
        <w:t xml:space="preserve"> because </w:t>
      </w:r>
      <w:r>
        <w:t>schools have specific obligations under IDEA to provide students with disabilities</w:t>
      </w:r>
      <w:r w:rsidRPr="00AA164F">
        <w:t xml:space="preserve"> </w:t>
      </w:r>
      <w:r>
        <w:t>with a free appropriate public education in the least restrictive environment. These obligations were aptly expressed by Assistant Attorney General Thomas Perez of the Justice Department’s Civil Rights Division and Assistant Secretary Russlynn Ali of the Department of Education’s Office for Civil Rights: “All students have a right to go to school without fearing harassment from their peers</w:t>
      </w:r>
      <w:r w:rsidR="000E501F">
        <w:t xml:space="preserve"> </w:t>
      </w:r>
      <w:r>
        <w:t>. . .and schools have a responsibility to ensure students can exercise that right. If children aren’t safe, then children can’t learn.”</w:t>
      </w:r>
      <w:r w:rsidRPr="001C6B71">
        <w:rPr>
          <w:rStyle w:val="EndnoteReference"/>
        </w:rPr>
        <w:endnoteReference w:id="88"/>
      </w:r>
      <w:r>
        <w:rPr>
          <w:vertAlign w:val="superscript"/>
        </w:rPr>
        <w:t xml:space="preserve"> </w:t>
      </w:r>
    </w:p>
    <w:p w:rsidR="00B0519B" w:rsidRPr="00972467" w:rsidRDefault="00B0519B" w:rsidP="00B0519B">
      <w:pPr>
        <w:pStyle w:val="BodyText"/>
      </w:pPr>
      <w:r w:rsidRPr="00972467">
        <w:rPr>
          <w:rStyle w:val="normalchar1"/>
          <w:rFonts w:ascii="Arial" w:hAnsi="Arial"/>
        </w:rPr>
        <w:t xml:space="preserve">On October 25, 2010, </w:t>
      </w:r>
      <w:r>
        <w:rPr>
          <w:rStyle w:val="normalchar1"/>
          <w:rFonts w:ascii="Arial" w:hAnsi="Arial"/>
        </w:rPr>
        <w:t xml:space="preserve">the Office for Civil Rights of the Department of Education </w:t>
      </w:r>
      <w:r w:rsidRPr="00972467">
        <w:rPr>
          <w:rStyle w:val="normalchar1"/>
          <w:rFonts w:ascii="Arial" w:hAnsi="Arial"/>
        </w:rPr>
        <w:t>issued a letter</w:t>
      </w:r>
      <w:r w:rsidRPr="001C6B71">
        <w:rPr>
          <w:rStyle w:val="EndnoteReference"/>
        </w:rPr>
        <w:endnoteReference w:id="89"/>
      </w:r>
      <w:r w:rsidRPr="00972467">
        <w:t xml:space="preserve"> </w:t>
      </w:r>
      <w:r w:rsidRPr="00972467">
        <w:rPr>
          <w:rStyle w:val="normalchar1"/>
          <w:rFonts w:ascii="Arial" w:hAnsi="Arial"/>
        </w:rPr>
        <w:t>that described the legal obligations of education institutions nationwide to protect the civil rights of students with disabilities along with other identified student victims of bullying, while maintaining a safe learning environment.</w:t>
      </w:r>
      <w:r>
        <w:rPr>
          <w:rStyle w:val="normalchar1"/>
          <w:rFonts w:ascii="Arial" w:hAnsi="Arial"/>
        </w:rPr>
        <w:t xml:space="preserve"> In March 2011, NCD provided a briefing paper on bullying for the White House Conference on Bullying Prevention, in response to a request from the Department of Education.</w:t>
      </w:r>
      <w:r w:rsidRPr="001C6B71">
        <w:rPr>
          <w:rStyle w:val="EndnoteReference"/>
        </w:rPr>
        <w:endnoteReference w:id="90"/>
      </w:r>
      <w:r>
        <w:rPr>
          <w:rStyle w:val="normalchar1"/>
          <w:rFonts w:ascii="Arial" w:hAnsi="Arial"/>
        </w:rPr>
        <w:t xml:space="preserve"> NCD’s paper asserted that negligence on the part of a school district in adequately addressing bullying behavior against students with disabilities constitute</w:t>
      </w:r>
      <w:r w:rsidR="000E501F">
        <w:rPr>
          <w:rStyle w:val="normalchar1"/>
          <w:rFonts w:ascii="Arial" w:hAnsi="Arial"/>
        </w:rPr>
        <w:t>s</w:t>
      </w:r>
      <w:r>
        <w:rPr>
          <w:rStyle w:val="normalchar1"/>
          <w:rFonts w:ascii="Arial" w:hAnsi="Arial"/>
        </w:rPr>
        <w:t xml:space="preserve"> a denial of such students’ rights to a free appropriate public education in the least restrictive environment under IDEA. Since that time, federal case law has further defined schools’ responsibilities to students with disabilities who are victims of bullying, citing NCD’s briefing paper as part of its justification. </w:t>
      </w:r>
      <w:r w:rsidRPr="00972467">
        <w:t xml:space="preserve">On April 25, 2011, a federal court </w:t>
      </w:r>
      <w:r>
        <w:t xml:space="preserve">ruled </w:t>
      </w:r>
      <w:r w:rsidRPr="00972467">
        <w:t xml:space="preserve">that </w:t>
      </w:r>
      <w:r>
        <w:t>s</w:t>
      </w:r>
      <w:r w:rsidRPr="00972467">
        <w:t xml:space="preserve">chools cannot turn their back on bullying perpetrated on disabled students and may face severe legal </w:t>
      </w:r>
      <w:r w:rsidRPr="00972467">
        <w:lastRenderedPageBreak/>
        <w:t>consequences for failing to address harassment about which it knows or reasonably should know.</w:t>
      </w:r>
      <w:r>
        <w:t xml:space="preserve"> </w:t>
      </w:r>
      <w:r w:rsidRPr="00972467">
        <w:t>According to the court, the rule to be applied is as follows: When responding to bullying incidents, which may affect the opportunities of a special education student to obtain an appropriate education, a school must take prompt and appropriate action. It must investigate if the harassment is reported to have occurred. If harassment is found to have occurred, the school must take appropriate steps to prevent it in the future. These duties of a school exist even if the misconduct is covered by its anti-bullying policy and regardless of whether the student has complained, asked the school to take action, or identified the harassment as a form of discrimination.</w:t>
      </w:r>
      <w:r w:rsidRPr="001C6B71">
        <w:rPr>
          <w:rStyle w:val="EndnoteReference"/>
        </w:rPr>
        <w:endnoteReference w:id="91"/>
      </w:r>
      <w:r w:rsidRPr="00972467">
        <w:t xml:space="preserve"> </w:t>
      </w:r>
    </w:p>
    <w:p w:rsidR="00B0519B" w:rsidRDefault="00B0519B" w:rsidP="00A12CA5">
      <w:pPr>
        <w:pStyle w:val="BodyText"/>
        <w:spacing w:after="0"/>
      </w:pPr>
      <w:r>
        <w:t>A</w:t>
      </w:r>
      <w:r w:rsidRPr="00AA164F">
        <w:t xml:space="preserve"> school</w:t>
      </w:r>
      <w:r>
        <w:t>’</w:t>
      </w:r>
      <w:r w:rsidRPr="00AA164F">
        <w:t xml:space="preserve">s </w:t>
      </w:r>
      <w:r>
        <w:t>failure to act</w:t>
      </w:r>
      <w:r w:rsidRPr="00AA164F">
        <w:t xml:space="preserve"> against bullying represents a failure to ensure the right to </w:t>
      </w:r>
      <w:r>
        <w:rPr>
          <w:rStyle w:val="normalchar1"/>
          <w:rFonts w:ascii="Arial" w:hAnsi="Arial"/>
        </w:rPr>
        <w:t xml:space="preserve">a free appropriate public education </w:t>
      </w:r>
      <w:r w:rsidRPr="00AA164F">
        <w:t xml:space="preserve">and meaningful educational benefit in </w:t>
      </w:r>
      <w:r>
        <w:rPr>
          <w:rStyle w:val="normalchar1"/>
          <w:rFonts w:ascii="Arial" w:hAnsi="Arial"/>
        </w:rPr>
        <w:t xml:space="preserve">the least restrictive environment </w:t>
      </w:r>
      <w:r w:rsidRPr="00AA164F">
        <w:t>for students with disabilities.</w:t>
      </w:r>
      <w:r>
        <w:t xml:space="preserve"> </w:t>
      </w:r>
      <w:r w:rsidRPr="00AA164F">
        <w:t>When bullying forces a student with a disability from an integrated educational setting into a more restrictive placement</w:t>
      </w:r>
      <w:r>
        <w:t xml:space="preserve">, such as </w:t>
      </w:r>
      <w:r w:rsidRPr="00AA164F">
        <w:t>a classroom only for students with disabilities or a change of schools</w:t>
      </w:r>
      <w:r>
        <w:t>,</w:t>
      </w:r>
      <w:r w:rsidRPr="00AA164F">
        <w:t xml:space="preserve"> </w:t>
      </w:r>
      <w:r>
        <w:rPr>
          <w:rStyle w:val="normalchar1"/>
          <w:rFonts w:ascii="Arial" w:hAnsi="Arial"/>
        </w:rPr>
        <w:t xml:space="preserve">a free appropriate public education </w:t>
      </w:r>
      <w:r>
        <w:t>and</w:t>
      </w:r>
      <w:r w:rsidRPr="00AA164F">
        <w:t xml:space="preserve"> meaningful educational benefit </w:t>
      </w:r>
      <w:r>
        <w:rPr>
          <w:rStyle w:val="normalchar1"/>
          <w:rFonts w:ascii="Arial" w:hAnsi="Arial"/>
        </w:rPr>
        <w:t xml:space="preserve">in the least restrictive environment </w:t>
      </w:r>
      <w:r>
        <w:t>are</w:t>
      </w:r>
      <w:r w:rsidRPr="00AA164F">
        <w:t xml:space="preserve"> </w:t>
      </w:r>
      <w:r>
        <w:t xml:space="preserve">compromised or </w:t>
      </w:r>
      <w:r w:rsidRPr="00AA164F">
        <w:t xml:space="preserve">absent. </w:t>
      </w:r>
    </w:p>
    <w:tbl>
      <w:tblPr>
        <w:tblW w:w="0" w:type="auto"/>
        <w:tblLook w:val="04A0" w:firstRow="1" w:lastRow="0" w:firstColumn="1" w:lastColumn="0" w:noHBand="0" w:noVBand="1"/>
      </w:tblPr>
      <w:tblGrid>
        <w:gridCol w:w="9576"/>
      </w:tblGrid>
      <w:tr w:rsidR="00A12CA5" w:rsidRPr="003F5D93" w:rsidTr="00546BAD">
        <w:trPr>
          <w:cantSplit/>
          <w:trHeight w:hRule="exact" w:val="288"/>
        </w:trPr>
        <w:tc>
          <w:tcPr>
            <w:tcW w:w="9576" w:type="dxa"/>
          </w:tcPr>
          <w:p w:rsidR="00A12CA5" w:rsidRPr="00544DFD" w:rsidRDefault="00A12CA5" w:rsidP="00A12CA5">
            <w:pPr>
              <w:pStyle w:val="BodyText"/>
              <w:keepNext/>
              <w:keepLines/>
              <w:spacing w:after="0" w:line="240" w:lineRule="auto"/>
              <w:rPr>
                <w:color w:val="FFFFFF"/>
                <w:sz w:val="16"/>
                <w:szCs w:val="16"/>
              </w:rPr>
            </w:pPr>
            <w:r w:rsidRPr="00544DFD">
              <w:rPr>
                <w:color w:val="FFFFFF"/>
                <w:sz w:val="16"/>
                <w:szCs w:val="16"/>
              </w:rPr>
              <w:t>Begin highlighted text:</w:t>
            </w:r>
          </w:p>
        </w:tc>
      </w:tr>
      <w:tr w:rsidR="00A12CA5" w:rsidRPr="003F5D93" w:rsidTr="00A12CA5">
        <w:trPr>
          <w:cantSplit/>
        </w:trPr>
        <w:tc>
          <w:tcPr>
            <w:tcW w:w="9576" w:type="dxa"/>
          </w:tcPr>
          <w:p w:rsidR="00A12CA5" w:rsidRPr="00C474AE" w:rsidRDefault="00A12CA5" w:rsidP="00A12CA5">
            <w:pPr>
              <w:pStyle w:val="NCDPullquote"/>
              <w:spacing w:after="0"/>
              <w:ind w:left="806"/>
            </w:pPr>
            <w:r w:rsidRPr="00D34D21">
              <w:t>A school’s failure to act against bullying represents a failure to ensure the right to a free appropriate public education in the least restrictive environment for students with disabilities.</w:t>
            </w:r>
          </w:p>
        </w:tc>
      </w:tr>
      <w:tr w:rsidR="00A12CA5" w:rsidRPr="003F5D93" w:rsidTr="00A12CA5">
        <w:trPr>
          <w:cantSplit/>
        </w:trPr>
        <w:tc>
          <w:tcPr>
            <w:tcW w:w="9576" w:type="dxa"/>
          </w:tcPr>
          <w:p w:rsidR="00A12CA5" w:rsidRPr="00544DFD" w:rsidRDefault="00A12CA5" w:rsidP="00A12CA5">
            <w:pPr>
              <w:pStyle w:val="BodyText"/>
              <w:spacing w:after="120" w:line="240" w:lineRule="auto"/>
              <w:rPr>
                <w:color w:val="FFFFFF"/>
                <w:sz w:val="16"/>
                <w:szCs w:val="16"/>
              </w:rPr>
            </w:pPr>
            <w:r w:rsidRPr="00544DFD">
              <w:rPr>
                <w:color w:val="FFFFFF"/>
                <w:sz w:val="16"/>
                <w:szCs w:val="16"/>
              </w:rPr>
              <w:t>End highlighted text.</w:t>
            </w:r>
          </w:p>
        </w:tc>
      </w:tr>
    </w:tbl>
    <w:p w:rsidR="00A12CA5" w:rsidRDefault="00A12CA5" w:rsidP="00A12CA5">
      <w:pPr>
        <w:pStyle w:val="BodyText"/>
        <w:spacing w:after="0"/>
      </w:pP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27"/>
              </w:numPr>
              <w:spacing w:after="60"/>
              <w:ind w:left="425"/>
            </w:pPr>
            <w:r w:rsidRPr="00A07320">
              <w:rPr>
                <w:rStyle w:val="normalchar1"/>
                <w:rFonts w:ascii="Arial" w:hAnsi="Arial"/>
              </w:rPr>
              <w:t xml:space="preserve">The </w:t>
            </w:r>
            <w:r w:rsidRPr="00F05475">
              <w:t xml:space="preserve">U.S. </w:t>
            </w:r>
            <w:r w:rsidRPr="00A07320">
              <w:rPr>
                <w:rStyle w:val="normalchar1"/>
                <w:rFonts w:ascii="Arial" w:hAnsi="Arial"/>
              </w:rPr>
              <w:t>Department of Education Office for Civil Rights should issue a new Dear Colleague letter affirming that bullying constitutes a denial of a student’s right to be educated in the least restrictive environment and outlining the school’s obligations set forth in federal case law since the October 2010 Dear Colleague letter.</w:t>
            </w:r>
          </w:p>
        </w:tc>
      </w:tr>
    </w:tbl>
    <w:p w:rsidR="00B0519B" w:rsidRPr="00AE35A9" w:rsidRDefault="00B0519B" w:rsidP="00203192">
      <w:pPr>
        <w:pStyle w:val="Heading2"/>
      </w:pPr>
      <w:bookmarkStart w:id="52" w:name="_Toc304437153"/>
      <w:r w:rsidRPr="00AE35A9">
        <w:lastRenderedPageBreak/>
        <w:t xml:space="preserve">Community Reentry of Inmates </w:t>
      </w:r>
      <w:r>
        <w:t>w</w:t>
      </w:r>
      <w:r w:rsidRPr="00AE35A9">
        <w:t>ith Disabilities</w:t>
      </w:r>
      <w:bookmarkEnd w:id="52"/>
    </w:p>
    <w:p w:rsidR="00B0519B" w:rsidRPr="00C21C0B" w:rsidRDefault="00B0519B" w:rsidP="00B0519B">
      <w:pPr>
        <w:pStyle w:val="BodyText"/>
      </w:pPr>
      <w:r>
        <w:t>S</w:t>
      </w:r>
      <w:r w:rsidRPr="00C21C0B">
        <w:t xml:space="preserve">tudents with disabilities </w:t>
      </w:r>
      <w:r>
        <w:t>make up a</w:t>
      </w:r>
      <w:r w:rsidRPr="00C21C0B">
        <w:t xml:space="preserve"> significant portion of youth in the juvenile justice system</w:t>
      </w:r>
      <w:r>
        <w:t xml:space="preserve">. </w:t>
      </w:r>
      <w:r w:rsidRPr="00C21C0B">
        <w:t>Some studies show that up to 85 percent of children in juvenile detention facilities have disabilities that make them eligible for special education services, yet only 37 percent receive services while in school.</w:t>
      </w:r>
      <w:r w:rsidRPr="001C6B71">
        <w:rPr>
          <w:rStyle w:val="EndnoteReference"/>
          <w:szCs w:val="24"/>
        </w:rPr>
        <w:endnoteReference w:id="92"/>
      </w:r>
      <w:r>
        <w:t xml:space="preserve"> </w:t>
      </w:r>
      <w:r w:rsidRPr="00C21C0B">
        <w:t xml:space="preserve">This failure to adequately </w:t>
      </w:r>
      <w:r>
        <w:t>address the needs of</w:t>
      </w:r>
      <w:r w:rsidRPr="00C21C0B">
        <w:t xml:space="preserve"> students with disabilities, particularly </w:t>
      </w:r>
      <w:r>
        <w:t xml:space="preserve">at-risk </w:t>
      </w:r>
      <w:r w:rsidRPr="00C21C0B">
        <w:t xml:space="preserve">students, creates what has been termed </w:t>
      </w:r>
      <w:r>
        <w:t>“</w:t>
      </w:r>
      <w:r w:rsidRPr="00C21C0B">
        <w:t>the school-to-prison pipeline.</w:t>
      </w:r>
      <w:r>
        <w:t>”</w:t>
      </w:r>
      <w:r w:rsidRPr="001C6B71">
        <w:rPr>
          <w:rStyle w:val="EndnoteReference"/>
          <w:szCs w:val="24"/>
        </w:rPr>
        <w:endnoteReference w:id="93"/>
      </w:r>
      <w:r w:rsidRPr="00C21C0B">
        <w:t xml:space="preserve"> </w:t>
      </w:r>
    </w:p>
    <w:p w:rsidR="00B0519B" w:rsidRPr="006329A4" w:rsidRDefault="00B0519B" w:rsidP="00B0519B">
      <w:pPr>
        <w:pStyle w:val="BodyText"/>
      </w:pPr>
      <w:r w:rsidRPr="00C21C0B">
        <w:t xml:space="preserve">In </w:t>
      </w:r>
      <w:r w:rsidRPr="006329A4">
        <w:t xml:space="preserve">2005, 56 percent of state prisoners, 45 percent </w:t>
      </w:r>
      <w:r>
        <w:t>of f</w:t>
      </w:r>
      <w:r w:rsidRPr="006329A4">
        <w:t>ederal prisoners</w:t>
      </w:r>
      <w:r>
        <w:t>,</w:t>
      </w:r>
      <w:r w:rsidRPr="006329A4">
        <w:t xml:space="preserve"> and 64 percent of jail inmates were people with mental health problems.</w:t>
      </w:r>
      <w:r w:rsidRPr="001C6B71">
        <w:rPr>
          <w:rStyle w:val="EndnoteReference"/>
          <w:szCs w:val="24"/>
        </w:rPr>
        <w:endnoteReference w:id="94"/>
      </w:r>
      <w:r>
        <w:t xml:space="preserve"> </w:t>
      </w:r>
      <w:r w:rsidRPr="006329A4">
        <w:t xml:space="preserve">Approximately74 percent of </w:t>
      </w:r>
      <w:r>
        <w:t>s</w:t>
      </w:r>
      <w:r w:rsidRPr="006329A4">
        <w:t>tate prisoners and 76</w:t>
      </w:r>
      <w:r>
        <w:t xml:space="preserve"> percent</w:t>
      </w:r>
      <w:r w:rsidRPr="006329A4">
        <w:t xml:space="preserve"> of jail inmates with mental health problems also had substance dependence or abuse.</w:t>
      </w:r>
      <w:r w:rsidRPr="001C6B71">
        <w:rPr>
          <w:rStyle w:val="EndnoteReference"/>
          <w:szCs w:val="24"/>
        </w:rPr>
        <w:endnoteReference w:id="95"/>
      </w:r>
    </w:p>
    <w:p w:rsidR="00B0519B" w:rsidRPr="006329A4" w:rsidRDefault="00B0519B" w:rsidP="00B0519B">
      <w:pPr>
        <w:pStyle w:val="BodyText"/>
      </w:pPr>
      <w:r w:rsidRPr="006329A4">
        <w:t xml:space="preserve">It is estimated that </w:t>
      </w:r>
      <w:bookmarkStart w:id="53" w:name="OLE_LINK23"/>
      <w:bookmarkStart w:id="54" w:name="OLE_LINK24"/>
      <w:r w:rsidRPr="006329A4">
        <w:t>inmates with developmental disabilities make up approximately 3 to 9 percent of the prison population</w:t>
      </w:r>
      <w:bookmarkEnd w:id="53"/>
      <w:bookmarkEnd w:id="54"/>
      <w:r w:rsidRPr="006329A4">
        <w:t>.</w:t>
      </w:r>
      <w:r w:rsidRPr="001C6B71">
        <w:rPr>
          <w:rStyle w:val="EndnoteReference"/>
          <w:szCs w:val="24"/>
        </w:rPr>
        <w:endnoteReference w:id="96"/>
      </w:r>
      <w:r>
        <w:t xml:space="preserve"> </w:t>
      </w:r>
      <w:r w:rsidRPr="006329A4">
        <w:t xml:space="preserve">Approximately 5.7 percent of state inmates have a hearing impairment, 8.3 percent reported </w:t>
      </w:r>
      <w:r>
        <w:t xml:space="preserve">a </w:t>
      </w:r>
      <w:r w:rsidRPr="006329A4">
        <w:t>vision impairment</w:t>
      </w:r>
      <w:r>
        <w:t>,</w:t>
      </w:r>
      <w:r w:rsidRPr="006329A4">
        <w:t xml:space="preserve"> and 11.9 percent reported a physical impairment.</w:t>
      </w:r>
      <w:r w:rsidRPr="001C6B71">
        <w:rPr>
          <w:rStyle w:val="EndnoteReference"/>
          <w:szCs w:val="24"/>
        </w:rPr>
        <w:endnoteReference w:id="97"/>
      </w:r>
      <w:r>
        <w:t xml:space="preserve"> Also, </w:t>
      </w:r>
      <w:r w:rsidRPr="006329A4">
        <w:t>1</w:t>
      </w:r>
      <w:r>
        <w:t xml:space="preserve"> percent</w:t>
      </w:r>
      <w:r w:rsidRPr="006329A4">
        <w:t xml:space="preserve"> of the prison population ha</w:t>
      </w:r>
      <w:r>
        <w:t>ve</w:t>
      </w:r>
      <w:r w:rsidRPr="006329A4">
        <w:t xml:space="preserve"> a vision or mobility disability or are deaf or hard-of-hearing.</w:t>
      </w:r>
    </w:p>
    <w:p w:rsidR="00B0519B" w:rsidRPr="00C21C0B" w:rsidRDefault="00B0519B" w:rsidP="00B0519B">
      <w:pPr>
        <w:pStyle w:val="BodyText"/>
        <w:rPr>
          <w:rStyle w:val="apple-style-span"/>
          <w:rFonts w:cs="Arial"/>
          <w:color w:val="000000"/>
          <w:szCs w:val="24"/>
          <w:shd w:val="clear" w:color="auto" w:fill="FFFFFF"/>
        </w:rPr>
      </w:pPr>
      <w:r w:rsidRPr="00C21C0B">
        <w:t xml:space="preserve">Inmates with psychiatric and developmental disabilities are often </w:t>
      </w:r>
      <w:r>
        <w:t>placed</w:t>
      </w:r>
      <w:r w:rsidRPr="00C21C0B">
        <w:t xml:space="preserve"> with the general inmate population.</w:t>
      </w:r>
      <w:r>
        <w:t xml:space="preserve"> </w:t>
      </w:r>
      <w:r w:rsidRPr="00C21C0B">
        <w:t>They are a vulnerable group</w:t>
      </w:r>
      <w:r>
        <w:t>,</w:t>
      </w:r>
      <w:r w:rsidRPr="00C21C0B">
        <w:t xml:space="preserve"> </w:t>
      </w:r>
      <w:r>
        <w:t>subject to</w:t>
      </w:r>
      <w:r w:rsidRPr="00C21C0B">
        <w:t xml:space="preserve"> bull</w:t>
      </w:r>
      <w:r>
        <w:t>ying</w:t>
      </w:r>
      <w:r w:rsidRPr="00C21C0B">
        <w:t xml:space="preserve"> and</w:t>
      </w:r>
      <w:r>
        <w:t xml:space="preserve"> manipulation</w:t>
      </w:r>
      <w:r w:rsidRPr="00C21C0B">
        <w:t>.</w:t>
      </w:r>
      <w:r>
        <w:t xml:space="preserve"> A</w:t>
      </w:r>
      <w:r w:rsidRPr="00C21C0B">
        <w:t xml:space="preserve">djustment to prison life can be difficult, and they can find themselves in dangerous and threatening situations. The prison experiences often </w:t>
      </w:r>
      <w:r>
        <w:t xml:space="preserve">exacerbate </w:t>
      </w:r>
      <w:r w:rsidRPr="00C21C0B">
        <w:t xml:space="preserve">their disabilities. </w:t>
      </w:r>
    </w:p>
    <w:p w:rsidR="00B0519B" w:rsidRPr="00C21C0B" w:rsidRDefault="00B0519B" w:rsidP="00B0519B">
      <w:pPr>
        <w:pStyle w:val="BodyText"/>
      </w:pPr>
      <w:r w:rsidRPr="00C21C0B">
        <w:t xml:space="preserve">Access to disability-related supports and services upon release from prison </w:t>
      </w:r>
      <w:r>
        <w:t>can make the difference for a</w:t>
      </w:r>
      <w:r w:rsidRPr="00C21C0B">
        <w:t xml:space="preserve"> person with a disability </w:t>
      </w:r>
      <w:r>
        <w:t xml:space="preserve">hoping to successfully reenter </w:t>
      </w:r>
      <w:r w:rsidRPr="00C21C0B">
        <w:t>the community.</w:t>
      </w:r>
      <w:r>
        <w:t xml:space="preserve"> </w:t>
      </w:r>
      <w:r w:rsidRPr="00C21C0B">
        <w:t xml:space="preserve">Many federal and state policies </w:t>
      </w:r>
      <w:r>
        <w:t>require</w:t>
      </w:r>
      <w:r w:rsidRPr="00C21C0B">
        <w:t xml:space="preserve"> that </w:t>
      </w:r>
      <w:r>
        <w:t>Supplemental Security Income (</w:t>
      </w:r>
      <w:r w:rsidRPr="00C21C0B">
        <w:t>SSI</w:t>
      </w:r>
      <w:r>
        <w:t>)</w:t>
      </w:r>
      <w:r w:rsidRPr="00C21C0B">
        <w:t xml:space="preserve"> and Medicaid be terminated while a person is in prison.</w:t>
      </w:r>
      <w:r>
        <w:t xml:space="preserve"> </w:t>
      </w:r>
      <w:r w:rsidRPr="00C21C0B">
        <w:t xml:space="preserve">Leaving prison with a major mental or physical disability without health insurance and no funds for medication can only </w:t>
      </w:r>
      <w:r>
        <w:t>worsen</w:t>
      </w:r>
      <w:r w:rsidRPr="00C21C0B">
        <w:t xml:space="preserve"> these conditions. Transition planning for successful reentry into the </w:t>
      </w:r>
      <w:r w:rsidRPr="00C21C0B">
        <w:lastRenderedPageBreak/>
        <w:t>community for inmates with disabilities</w:t>
      </w:r>
      <w:r>
        <w:t xml:space="preserve"> is of paramount importance for successfully addressing impediments to successful reentry.</w:t>
      </w:r>
    </w:p>
    <w:p w:rsidR="00B0519B" w:rsidRDefault="00B0519B" w:rsidP="00B0519B">
      <w:pPr>
        <w:pStyle w:val="BodyText"/>
      </w:pPr>
      <w:r w:rsidRPr="00C21C0B">
        <w:t xml:space="preserve">Many of the challenges faced by inmates </w:t>
      </w:r>
      <w:r>
        <w:t xml:space="preserve">returning to the community </w:t>
      </w:r>
      <w:r w:rsidRPr="00C21C0B">
        <w:t>were addressed in The Second Chance Act of 2008 (SCA)</w:t>
      </w:r>
      <w:r>
        <w:t>,</w:t>
      </w:r>
      <w:r w:rsidRPr="001C6B71">
        <w:rPr>
          <w:rStyle w:val="EndnoteReference"/>
        </w:rPr>
        <w:endnoteReference w:id="98"/>
      </w:r>
      <w:r>
        <w:t xml:space="preserve"> which</w:t>
      </w:r>
      <w:r w:rsidRPr="00C21C0B">
        <w:t xml:space="preserve"> was designed to improve outcomes for people returning to communities from prisons and jails. </w:t>
      </w:r>
      <w:r>
        <w:t>This pioneering</w:t>
      </w:r>
      <w:r w:rsidRPr="00C21C0B">
        <w:t xml:space="preserve"> legislation authorizes federal grants to government agencies and nonprofit organizations to provide employment assistance, substance abuse treatment, housing, family programming, mentoring, victims support, and other services that can help reduce recidivism.</w:t>
      </w:r>
      <w:r>
        <w:t xml:space="preserve"> </w:t>
      </w:r>
      <w:r w:rsidRPr="00C21C0B">
        <w:t xml:space="preserve">However, programs under the SCA are funded through discretionary grants and therefore are subject to termination if the </w:t>
      </w:r>
      <w:r>
        <w:t>SC</w:t>
      </w:r>
      <w:r w:rsidRPr="00C21C0B">
        <w:t>A is not reauthorized or funded by Congress.</w:t>
      </w:r>
      <w:r>
        <w:t xml:space="preserve"> </w:t>
      </w:r>
      <w:r w:rsidRPr="00C21C0B">
        <w:t xml:space="preserve">Transitioning inmates with disabilities need a more consistent and reliable safety net to </w:t>
      </w:r>
      <w:r>
        <w:t>safeguard</w:t>
      </w:r>
      <w:r w:rsidRPr="00C21C0B">
        <w:t xml:space="preserve"> </w:t>
      </w:r>
      <w:r>
        <w:t xml:space="preserve">their </w:t>
      </w:r>
      <w:r w:rsidRPr="00C21C0B">
        <w:t xml:space="preserve">access to disability-related supports and services when </w:t>
      </w:r>
      <w:r>
        <w:t>returning to</w:t>
      </w:r>
      <w:r w:rsidRPr="00C21C0B">
        <w:t xml:space="preserve"> the community.</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cantSplit/>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203192">
        <w:trPr>
          <w:cantSplit/>
          <w:trHeight w:val="20"/>
          <w:jc w:val="center"/>
        </w:trPr>
        <w:tc>
          <w:tcPr>
            <w:tcW w:w="9360" w:type="dxa"/>
            <w:shd w:val="clear" w:color="auto" w:fill="E6E6E6"/>
            <w:vAlign w:val="bottom"/>
          </w:tcPr>
          <w:p w:rsidR="00B0519B" w:rsidRPr="00F05475" w:rsidRDefault="00B0519B" w:rsidP="00B0519B">
            <w:pPr>
              <w:pStyle w:val="TableTextList"/>
              <w:numPr>
                <w:ilvl w:val="0"/>
                <w:numId w:val="28"/>
              </w:numPr>
              <w:spacing w:after="60"/>
              <w:ind w:left="425"/>
            </w:pPr>
            <w:r w:rsidRPr="00F05475">
              <w:t>The U.S. Department of Justice should require correction facilities to create a prerelease assessment and individualized reentry plan for all inmates with disabilities, including a needs assessment and assistance in arranging for health care and medications, reinstitution of SSI and Medicaid benefits, special education services for those returning to school, vocational services, and accessible housing.</w:t>
            </w:r>
          </w:p>
        </w:tc>
      </w:tr>
    </w:tbl>
    <w:p w:rsidR="00B0519B" w:rsidRDefault="00B0519B" w:rsidP="00B0519B">
      <w:pPr>
        <w:pStyle w:val="Heading1"/>
      </w:pPr>
      <w:r>
        <w:rPr>
          <w:rFonts w:ascii="Segoe Print" w:hAnsi="Segoe Print" w:cs="Arial"/>
          <w:szCs w:val="36"/>
        </w:rPr>
        <w:br w:type="page"/>
      </w:r>
      <w:bookmarkStart w:id="55" w:name="_Toc304437154"/>
      <w:r w:rsidRPr="00A07320">
        <w:rPr>
          <w:rStyle w:val="NCDCHAPTER"/>
        </w:rPr>
        <w:lastRenderedPageBreak/>
        <w:t>Chapter 3:</w:t>
      </w:r>
      <w:r>
        <w:t xml:space="preserve"> Earning</w:t>
      </w:r>
      <w:bookmarkEnd w:id="55"/>
    </w:p>
    <w:p w:rsidR="00B0519B" w:rsidRPr="00153218" w:rsidRDefault="00B0519B" w:rsidP="00B0519B">
      <w:pPr>
        <w:pStyle w:val="Heading2"/>
      </w:pPr>
      <w:bookmarkStart w:id="56" w:name="_Toc304437155"/>
      <w:r w:rsidRPr="00FE0D69">
        <w:t>Employment</w:t>
      </w:r>
      <w:bookmarkEnd w:id="56"/>
    </w:p>
    <w:p w:rsidR="00B0519B" w:rsidRPr="00153218" w:rsidRDefault="00B0519B" w:rsidP="00B0519B">
      <w:pPr>
        <w:pStyle w:val="BodyText"/>
      </w:pPr>
      <w:r w:rsidRPr="00153218">
        <w:t>The current economic realities contribute to a bleak picture for persons with disabilities who are qualified</w:t>
      </w:r>
      <w:r>
        <w:t xml:space="preserve"> for</w:t>
      </w:r>
      <w:r w:rsidRPr="00153218">
        <w:t>, capable</w:t>
      </w:r>
      <w:r>
        <w:t xml:space="preserve"> of</w:t>
      </w:r>
      <w:r w:rsidRPr="00153218">
        <w:t>, and interested in gainful employment. They face obstacles in accessing employment training, finding employment that matches their skills and abilities</w:t>
      </w:r>
      <w:r>
        <w:t>,</w:t>
      </w:r>
      <w:r w:rsidRPr="00153218">
        <w:t xml:space="preserve"> and</w:t>
      </w:r>
      <w:r>
        <w:t>,</w:t>
      </w:r>
      <w:r w:rsidRPr="00153218">
        <w:t xml:space="preserve"> once hired, maintaining employment in a difficult job market. Additionally, little progress has been made to reduce fears that employment may lead to </w:t>
      </w:r>
      <w:r>
        <w:t xml:space="preserve">a </w:t>
      </w:r>
      <w:r w:rsidRPr="00153218">
        <w:t>permanent loss of services provided through necessary benefit programs such as Medicaid</w:t>
      </w:r>
      <w:r>
        <w:t xml:space="preserve">, </w:t>
      </w:r>
      <w:r w:rsidRPr="00153218">
        <w:t>Medicare</w:t>
      </w:r>
      <w:r>
        <w:t>,</w:t>
      </w:r>
      <w:r w:rsidRPr="00153218">
        <w:t xml:space="preserve"> or veterans</w:t>
      </w:r>
      <w:r>
        <w:t>’</w:t>
      </w:r>
      <w:r w:rsidRPr="00153218">
        <w:t xml:space="preserve"> disability payments.</w:t>
      </w:r>
      <w:r>
        <w:t xml:space="preserve"> </w:t>
      </w:r>
    </w:p>
    <w:p w:rsidR="00B0519B" w:rsidRPr="00153218" w:rsidRDefault="00B0519B" w:rsidP="00B0519B">
      <w:pPr>
        <w:pStyle w:val="BodyText"/>
      </w:pPr>
      <w:r w:rsidRPr="00153218">
        <w:t xml:space="preserve">Too many students with disabilities drop out of public education, severely limiting their </w:t>
      </w:r>
      <w:r>
        <w:t>opportunities to find jobs</w:t>
      </w:r>
      <w:r w:rsidRPr="00153218">
        <w:t xml:space="preserve"> and </w:t>
      </w:r>
      <w:r>
        <w:t xml:space="preserve">achieve </w:t>
      </w:r>
      <w:r w:rsidRPr="00153218">
        <w:t>self-sufficiency.</w:t>
      </w:r>
      <w:r>
        <w:t xml:space="preserve"> </w:t>
      </w:r>
      <w:r w:rsidRPr="00153218">
        <w:t>Of youth age</w:t>
      </w:r>
      <w:r>
        <w:t>s</w:t>
      </w:r>
      <w:r w:rsidRPr="00153218">
        <w:t xml:space="preserve"> 14</w:t>
      </w:r>
      <w:r>
        <w:t xml:space="preserve"> to </w:t>
      </w:r>
      <w:r w:rsidRPr="00153218">
        <w:t xml:space="preserve">21 </w:t>
      </w:r>
      <w:r>
        <w:t xml:space="preserve">who were </w:t>
      </w:r>
      <w:r w:rsidRPr="00153218">
        <w:t>served under IDEA Part B in the 2004</w:t>
      </w:r>
      <w:r>
        <w:t>–</w:t>
      </w:r>
      <w:r w:rsidRPr="00153218">
        <w:t>05 school year, 54</w:t>
      </w:r>
      <w:r>
        <w:t xml:space="preserve"> percent</w:t>
      </w:r>
      <w:r w:rsidRPr="00153218">
        <w:t xml:space="preserve"> graduated with a standard diploma, 28</w:t>
      </w:r>
      <w:r>
        <w:t xml:space="preserve"> percent</w:t>
      </w:r>
      <w:r w:rsidRPr="00153218">
        <w:t xml:space="preserve"> dropped out, 15</w:t>
      </w:r>
      <w:r>
        <w:t xml:space="preserve"> percent</w:t>
      </w:r>
      <w:r w:rsidRPr="00153218">
        <w:t xml:space="preserve"> received a certificate of attendance, and just over 1</w:t>
      </w:r>
      <w:r>
        <w:t xml:space="preserve"> percent</w:t>
      </w:r>
      <w:r w:rsidRPr="00153218">
        <w:t xml:space="preserve"> reached the maximum age to stay in school; More current data for the 2009 school year indicate no major changes.</w:t>
      </w:r>
    </w:p>
    <w:p w:rsidR="00B0519B" w:rsidRPr="00153218" w:rsidRDefault="00B0519B" w:rsidP="00B0519B">
      <w:pPr>
        <w:pStyle w:val="BodyText"/>
      </w:pPr>
      <w:r w:rsidRPr="00153218">
        <w:t>Students with disabilities often leave public education lacking the basic skills required for work or for additional training. Specific skill</w:t>
      </w:r>
      <w:r>
        <w:t>-</w:t>
      </w:r>
      <w:r w:rsidRPr="00153218">
        <w:t xml:space="preserve">building programs, as well as the soft skills such as job interviewing, are sacrificed in the quest to maintain requisite academic achievement levels. As a result, students with disabilities may not get advice on career opportunities and often are steered away from college programs that </w:t>
      </w:r>
      <w:r>
        <w:t>c</w:t>
      </w:r>
      <w:r w:rsidRPr="00153218">
        <w:t>ounselors may feel are not appropriate for the</w:t>
      </w:r>
      <w:r>
        <w:t>m.</w:t>
      </w:r>
      <w:r w:rsidRPr="00153218">
        <w:t xml:space="preserve"> </w:t>
      </w:r>
    </w:p>
    <w:p w:rsidR="00B0519B" w:rsidRPr="00153218" w:rsidRDefault="00B0519B" w:rsidP="00B0519B">
      <w:pPr>
        <w:pStyle w:val="BodyText"/>
      </w:pPr>
      <w:r w:rsidRPr="00153218">
        <w:t>Although students with disabilities are enrolling in postsecondary education in increasing numbers, entry levels are well below th</w:t>
      </w:r>
      <w:r>
        <w:t>ose</w:t>
      </w:r>
      <w:r w:rsidRPr="00153218">
        <w:t xml:space="preserve"> of their nondisabled peers</w:t>
      </w:r>
      <w:r>
        <w:t>,</w:t>
      </w:r>
      <w:r w:rsidRPr="00153218">
        <w:t xml:space="preserve"> and they often report an inability to secure employment in the field in which they were trained.</w:t>
      </w:r>
    </w:p>
    <w:p w:rsidR="00B0519B" w:rsidRPr="00153218" w:rsidRDefault="00B0519B" w:rsidP="00B0519B">
      <w:pPr>
        <w:pStyle w:val="BodyText"/>
      </w:pPr>
      <w:r w:rsidRPr="00153218">
        <w:lastRenderedPageBreak/>
        <w:t xml:space="preserve">Once </w:t>
      </w:r>
      <w:r>
        <w:t xml:space="preserve">they </w:t>
      </w:r>
      <w:r w:rsidRPr="00153218">
        <w:t xml:space="preserve">enter the job market, people with disabilities encounter a whole new set of difficulties. Stigma </w:t>
      </w:r>
      <w:r>
        <w:t xml:space="preserve">and </w:t>
      </w:r>
      <w:r w:rsidRPr="00153218">
        <w:t>discrimination limit opportunities for aspiring workers with disabilities.</w:t>
      </w:r>
      <w:r>
        <w:t xml:space="preserve"> </w:t>
      </w:r>
      <w:r w:rsidRPr="00153218">
        <w:t xml:space="preserve">Some employers assume </w:t>
      </w:r>
      <w:r>
        <w:t xml:space="preserve">that </w:t>
      </w:r>
      <w:r w:rsidRPr="00153218">
        <w:t>certain tasks cannot be accomplished by the applicant. NCD</w:t>
      </w:r>
      <w:r>
        <w:t>’</w:t>
      </w:r>
      <w:r w:rsidRPr="00153218">
        <w:t>s stakeholders consistently list discrimination as one of the primary barriers keeping them out of the workforce.</w:t>
      </w:r>
      <w:r>
        <w:t xml:space="preserve"> T</w:t>
      </w:r>
      <w:r w:rsidRPr="00153218">
        <w:t>he majority</w:t>
      </w:r>
      <w:r>
        <w:t xml:space="preserve"> think that</w:t>
      </w:r>
      <w:r w:rsidRPr="00153218">
        <w:t xml:space="preserve"> discrimination </w:t>
      </w:r>
      <w:r>
        <w:t>occurs</w:t>
      </w:r>
      <w:r w:rsidRPr="00153218">
        <w:t xml:space="preserve"> at the hiring stage.</w:t>
      </w:r>
      <w:r>
        <w:t xml:space="preserve"> </w:t>
      </w:r>
      <w:r w:rsidRPr="00153218">
        <w:t>People with disabilities believe</w:t>
      </w:r>
      <w:r>
        <w:t xml:space="preserve"> that </w:t>
      </w:r>
      <w:r w:rsidRPr="00153218">
        <w:t>they have been turned down for jobs because of employers</w:t>
      </w:r>
      <w:r>
        <w:t>’</w:t>
      </w:r>
      <w:r w:rsidRPr="00153218">
        <w:t xml:space="preserve"> attitudes toward disabilities.</w:t>
      </w:r>
      <w:r>
        <w:t xml:space="preserve"> </w:t>
      </w:r>
    </w:p>
    <w:p w:rsidR="00B0519B" w:rsidRDefault="00B0519B" w:rsidP="00A12CA5">
      <w:pPr>
        <w:pStyle w:val="BodyText"/>
        <w:spacing w:after="0"/>
        <w:ind w:right="-86"/>
      </w:pPr>
      <w:r w:rsidRPr="00153218">
        <w:t>According to the Equal Employment Opportunity Commission, disability discrimination charges rose in 2010 by about 17 percent to 25,165 claims</w:t>
      </w:r>
      <w:r>
        <w:t xml:space="preserve"> (Tables 10a and 10b)</w:t>
      </w:r>
      <w:r w:rsidRPr="00153218">
        <w:t>.</w:t>
      </w:r>
      <w:r w:rsidRPr="001C6B71">
        <w:rPr>
          <w:rStyle w:val="EndnoteReference"/>
          <w:szCs w:val="24"/>
        </w:rPr>
        <w:endnoteReference w:id="99"/>
      </w:r>
      <w:r w:rsidRPr="00153218">
        <w:t xml:space="preserve"> Overall, the agency received nearly 100,000 claims during the 2010 fiscal year, a 7</w:t>
      </w:r>
      <w:r>
        <w:t> </w:t>
      </w:r>
      <w:r w:rsidRPr="00153218">
        <w:t>percent increase and the highest number in its 45-year history.</w:t>
      </w:r>
      <w:r w:rsidRPr="001C6B71">
        <w:rPr>
          <w:rStyle w:val="EndnoteReference"/>
          <w:szCs w:val="24"/>
        </w:rPr>
        <w:endnoteReference w:id="100"/>
      </w:r>
      <w:r>
        <w:t xml:space="preserve"> </w:t>
      </w:r>
      <w:r w:rsidRPr="00153218">
        <w:t>While some increase might be expected after passage of the Americans with Disabilities Amendments Act in 2009, the upward trend in disability discrimination charges was evident before that time.</w:t>
      </w:r>
      <w:r>
        <w:t xml:space="preserve"> </w:t>
      </w:r>
      <w:r w:rsidRPr="00153218">
        <w:t xml:space="preserve">ADA charges are up 42 percent since 2007. </w:t>
      </w:r>
      <w:r>
        <w:t>In</w:t>
      </w:r>
      <w:r w:rsidRPr="00153218">
        <w:t xml:space="preserve"> comparison, race, sex, and age charges are up 18, 17, and 22 percent, respectively, over the same time period</w:t>
      </w:r>
      <w:r>
        <w:t xml:space="preserve">. </w:t>
      </w:r>
    </w:p>
    <w:tbl>
      <w:tblPr>
        <w:tblW w:w="0" w:type="auto"/>
        <w:tblLook w:val="04A0" w:firstRow="1" w:lastRow="0" w:firstColumn="1" w:lastColumn="0" w:noHBand="0" w:noVBand="1"/>
      </w:tblPr>
      <w:tblGrid>
        <w:gridCol w:w="9576"/>
      </w:tblGrid>
      <w:tr w:rsidR="00A12CA5" w:rsidRPr="003F5D93" w:rsidTr="00A12CA5">
        <w:trPr>
          <w:cantSplit/>
          <w:trHeight w:hRule="exact" w:val="288"/>
        </w:trPr>
        <w:tc>
          <w:tcPr>
            <w:tcW w:w="9576" w:type="dxa"/>
          </w:tcPr>
          <w:p w:rsidR="00A12CA5" w:rsidRPr="00544DFD" w:rsidRDefault="00A12CA5" w:rsidP="00A12CA5">
            <w:pPr>
              <w:pStyle w:val="BodyText"/>
              <w:keepNext/>
              <w:keepLines/>
              <w:spacing w:after="0" w:line="240" w:lineRule="auto"/>
              <w:rPr>
                <w:color w:val="FFFFFF"/>
                <w:sz w:val="16"/>
                <w:szCs w:val="16"/>
              </w:rPr>
            </w:pPr>
            <w:r w:rsidRPr="00544DFD">
              <w:rPr>
                <w:color w:val="FFFFFF"/>
                <w:sz w:val="16"/>
                <w:szCs w:val="16"/>
              </w:rPr>
              <w:t>Begin highlighted text:</w:t>
            </w:r>
          </w:p>
        </w:tc>
      </w:tr>
      <w:tr w:rsidR="00A12CA5" w:rsidRPr="003F5D93" w:rsidTr="00A12CA5">
        <w:trPr>
          <w:cantSplit/>
        </w:trPr>
        <w:tc>
          <w:tcPr>
            <w:tcW w:w="9576" w:type="dxa"/>
          </w:tcPr>
          <w:p w:rsidR="00A12CA5" w:rsidRPr="00C474AE" w:rsidRDefault="00A12CA5" w:rsidP="00A12CA5">
            <w:pPr>
              <w:pStyle w:val="NCDPullquote"/>
              <w:spacing w:after="0"/>
              <w:ind w:left="806"/>
            </w:pPr>
            <w:r w:rsidRPr="002A69BB">
              <w:t>According to the Equal Employment Opportunity Commission, disability discrimination charges rose in 2010 by about 17</w:t>
            </w:r>
            <w:r>
              <w:t> </w:t>
            </w:r>
            <w:r w:rsidRPr="002A69BB">
              <w:t>percent to 25,165 claims.</w:t>
            </w:r>
          </w:p>
        </w:tc>
      </w:tr>
      <w:tr w:rsidR="00A12CA5" w:rsidRPr="003F5D93" w:rsidTr="00A12CA5">
        <w:trPr>
          <w:cantSplit/>
          <w:trHeight w:hRule="exact" w:val="432"/>
        </w:trPr>
        <w:tc>
          <w:tcPr>
            <w:tcW w:w="9576" w:type="dxa"/>
          </w:tcPr>
          <w:p w:rsidR="00A12CA5" w:rsidRPr="00544DFD" w:rsidRDefault="00A12CA5" w:rsidP="00A12CA5">
            <w:pPr>
              <w:pStyle w:val="BodyText"/>
              <w:spacing w:after="120" w:line="240" w:lineRule="auto"/>
              <w:rPr>
                <w:color w:val="FFFFFF"/>
                <w:sz w:val="16"/>
                <w:szCs w:val="16"/>
              </w:rPr>
            </w:pPr>
            <w:r w:rsidRPr="00544DFD">
              <w:rPr>
                <w:color w:val="FFFFFF"/>
                <w:sz w:val="16"/>
                <w:szCs w:val="16"/>
              </w:rPr>
              <w:t>End highlighted text.</w:t>
            </w:r>
          </w:p>
        </w:tc>
      </w:tr>
    </w:tbl>
    <w:p w:rsidR="00B0519B" w:rsidRDefault="00B0519B" w:rsidP="00B0519B">
      <w:pPr>
        <w:pStyle w:val="NCDTableNumber"/>
      </w:pPr>
      <w:proofErr w:type="gramStart"/>
      <w:r w:rsidRPr="00B926AB">
        <w:t xml:space="preserve">Table </w:t>
      </w:r>
      <w:r>
        <w:t>10a.</w:t>
      </w:r>
      <w:proofErr w:type="gramEnd"/>
    </w:p>
    <w:p w:rsidR="00B0519B" w:rsidRPr="00B926AB" w:rsidRDefault="00B0519B" w:rsidP="00B0519B">
      <w:pPr>
        <w:pStyle w:val="TableTitle"/>
      </w:pPr>
      <w:r w:rsidRPr="00B926AB">
        <w:t xml:space="preserve">Number of </w:t>
      </w:r>
      <w:r>
        <w:t>C</w:t>
      </w:r>
      <w:r w:rsidRPr="00B926AB">
        <w:t xml:space="preserve">harges </w:t>
      </w:r>
      <w:r>
        <w:t>t</w:t>
      </w:r>
      <w:r w:rsidRPr="00B926AB">
        <w:t>oward the Americans with Disabilities</w:t>
      </w:r>
      <w:r>
        <w:t> </w:t>
      </w:r>
      <w:r w:rsidRPr="00B926AB">
        <w:t>Act of 1990, 1997</w:t>
      </w:r>
      <w:r>
        <w:t>–</w:t>
      </w:r>
      <w:r w:rsidRPr="00B926AB">
        <w:t>2003</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42"/>
        <w:gridCol w:w="1074"/>
        <w:gridCol w:w="1074"/>
        <w:gridCol w:w="1074"/>
        <w:gridCol w:w="1074"/>
        <w:gridCol w:w="1074"/>
        <w:gridCol w:w="1074"/>
        <w:gridCol w:w="1074"/>
      </w:tblGrid>
      <w:tr w:rsidR="00B0519B" w:rsidRPr="004219B9" w:rsidTr="00203192">
        <w:trPr>
          <w:cantSplit/>
          <w:jc w:val="center"/>
        </w:trPr>
        <w:tc>
          <w:tcPr>
            <w:tcW w:w="1842"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1997</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1998</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1999</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2000</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2001</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2002</w:t>
            </w:r>
          </w:p>
        </w:tc>
        <w:tc>
          <w:tcPr>
            <w:tcW w:w="1074" w:type="dxa"/>
            <w:tcBorders>
              <w:top w:val="single" w:sz="18" w:space="0" w:color="auto"/>
              <w:bottom w:val="single" w:sz="18" w:space="0" w:color="auto"/>
            </w:tcBorders>
            <w:shd w:val="clear" w:color="auto" w:fill="E6E6E6"/>
            <w:vAlign w:val="bottom"/>
          </w:tcPr>
          <w:p w:rsidR="00B0519B" w:rsidRPr="004219B9" w:rsidRDefault="00B0519B" w:rsidP="00101C2D">
            <w:pPr>
              <w:pStyle w:val="TableHead"/>
            </w:pPr>
            <w:r w:rsidRPr="004219B9">
              <w:t>2003</w:t>
            </w:r>
          </w:p>
        </w:tc>
      </w:tr>
      <w:tr w:rsidR="00B0519B" w:rsidRPr="002A69BB" w:rsidTr="00203192">
        <w:trPr>
          <w:cantSplit/>
          <w:jc w:val="center"/>
        </w:trPr>
        <w:tc>
          <w:tcPr>
            <w:tcW w:w="1842" w:type="dxa"/>
            <w:tcBorders>
              <w:top w:val="single" w:sz="18" w:space="0" w:color="auto"/>
            </w:tcBorders>
            <w:shd w:val="clear" w:color="auto" w:fill="E6E6E6"/>
            <w:vAlign w:val="bottom"/>
          </w:tcPr>
          <w:p w:rsidR="00B0519B" w:rsidRPr="004219B9" w:rsidRDefault="00B0519B" w:rsidP="00101C2D">
            <w:pPr>
              <w:pStyle w:val="TableText"/>
              <w:rPr>
                <w:b/>
              </w:rPr>
            </w:pPr>
            <w:r w:rsidRPr="004219B9">
              <w:rPr>
                <w:b/>
              </w:rPr>
              <w:t>ADA charges</w:t>
            </w:r>
          </w:p>
        </w:tc>
        <w:tc>
          <w:tcPr>
            <w:tcW w:w="1074" w:type="dxa"/>
            <w:tcBorders>
              <w:top w:val="single" w:sz="18" w:space="0" w:color="auto"/>
            </w:tcBorders>
            <w:vAlign w:val="bottom"/>
          </w:tcPr>
          <w:p w:rsidR="00B0519B" w:rsidRPr="004219B9" w:rsidRDefault="00B0519B" w:rsidP="00101C2D">
            <w:pPr>
              <w:pStyle w:val="TableText"/>
              <w:jc w:val="center"/>
            </w:pPr>
            <w:r w:rsidRPr="004219B9">
              <w:t>18,108</w:t>
            </w:r>
          </w:p>
        </w:tc>
        <w:tc>
          <w:tcPr>
            <w:tcW w:w="1074" w:type="dxa"/>
            <w:tcBorders>
              <w:top w:val="single" w:sz="18" w:space="0" w:color="auto"/>
            </w:tcBorders>
            <w:vAlign w:val="bottom"/>
          </w:tcPr>
          <w:p w:rsidR="00B0519B" w:rsidRPr="004219B9" w:rsidRDefault="00B0519B" w:rsidP="00101C2D">
            <w:pPr>
              <w:pStyle w:val="TableText"/>
              <w:jc w:val="center"/>
            </w:pPr>
            <w:r w:rsidRPr="004219B9">
              <w:t>17,806</w:t>
            </w:r>
          </w:p>
        </w:tc>
        <w:tc>
          <w:tcPr>
            <w:tcW w:w="1074" w:type="dxa"/>
            <w:tcBorders>
              <w:top w:val="single" w:sz="18" w:space="0" w:color="auto"/>
            </w:tcBorders>
            <w:vAlign w:val="bottom"/>
          </w:tcPr>
          <w:p w:rsidR="00B0519B" w:rsidRPr="004219B9" w:rsidRDefault="00B0519B" w:rsidP="00101C2D">
            <w:pPr>
              <w:pStyle w:val="TableText"/>
              <w:jc w:val="center"/>
            </w:pPr>
            <w:r w:rsidRPr="004219B9">
              <w:t>17,007</w:t>
            </w:r>
          </w:p>
        </w:tc>
        <w:tc>
          <w:tcPr>
            <w:tcW w:w="1074" w:type="dxa"/>
            <w:tcBorders>
              <w:top w:val="single" w:sz="18" w:space="0" w:color="auto"/>
            </w:tcBorders>
            <w:vAlign w:val="bottom"/>
          </w:tcPr>
          <w:p w:rsidR="00B0519B" w:rsidRPr="004219B9" w:rsidRDefault="00B0519B" w:rsidP="00101C2D">
            <w:pPr>
              <w:pStyle w:val="TableText"/>
              <w:jc w:val="center"/>
            </w:pPr>
            <w:r w:rsidRPr="004219B9">
              <w:t>15,864</w:t>
            </w:r>
          </w:p>
        </w:tc>
        <w:tc>
          <w:tcPr>
            <w:tcW w:w="1074" w:type="dxa"/>
            <w:tcBorders>
              <w:top w:val="single" w:sz="18" w:space="0" w:color="auto"/>
            </w:tcBorders>
            <w:vAlign w:val="bottom"/>
          </w:tcPr>
          <w:p w:rsidR="00B0519B" w:rsidRPr="004219B9" w:rsidRDefault="00B0519B" w:rsidP="00101C2D">
            <w:pPr>
              <w:pStyle w:val="TableText"/>
              <w:jc w:val="center"/>
            </w:pPr>
            <w:r w:rsidRPr="004219B9">
              <w:t>16,470</w:t>
            </w:r>
          </w:p>
        </w:tc>
        <w:tc>
          <w:tcPr>
            <w:tcW w:w="1074" w:type="dxa"/>
            <w:tcBorders>
              <w:top w:val="single" w:sz="18" w:space="0" w:color="auto"/>
            </w:tcBorders>
            <w:vAlign w:val="bottom"/>
          </w:tcPr>
          <w:p w:rsidR="00B0519B" w:rsidRPr="004219B9" w:rsidRDefault="00B0519B" w:rsidP="00101C2D">
            <w:pPr>
              <w:pStyle w:val="TableText"/>
              <w:jc w:val="center"/>
            </w:pPr>
            <w:r w:rsidRPr="004219B9">
              <w:t>15,964</w:t>
            </w:r>
          </w:p>
        </w:tc>
        <w:tc>
          <w:tcPr>
            <w:tcW w:w="1074" w:type="dxa"/>
            <w:tcBorders>
              <w:top w:val="single" w:sz="18" w:space="0" w:color="auto"/>
            </w:tcBorders>
            <w:vAlign w:val="bottom"/>
          </w:tcPr>
          <w:p w:rsidR="00B0519B" w:rsidRPr="004219B9" w:rsidRDefault="00B0519B" w:rsidP="00101C2D">
            <w:pPr>
              <w:pStyle w:val="TableText"/>
              <w:jc w:val="center"/>
            </w:pPr>
            <w:r w:rsidRPr="004219B9">
              <w:t>15,377</w:t>
            </w:r>
          </w:p>
        </w:tc>
      </w:tr>
    </w:tbl>
    <w:p w:rsidR="00B0519B" w:rsidRDefault="00B0519B" w:rsidP="00B0519B">
      <w:pPr>
        <w:pStyle w:val="TableNote"/>
      </w:pPr>
      <w:r w:rsidRPr="00CD4687">
        <w:rPr>
          <w:b/>
        </w:rPr>
        <w:t>Source:</w:t>
      </w:r>
      <w:r w:rsidRPr="00B926AB">
        <w:t xml:space="preserve"> EEOC, </w:t>
      </w:r>
      <w:hyperlink r:id="rId25" w:history="1">
        <w:r w:rsidRPr="00B926AB">
          <w:rPr>
            <w:rStyle w:val="Hyperlink"/>
          </w:rPr>
          <w:t>http://www.eeoc.gov/eeoc/statistics/enforcement/charges.cfm</w:t>
        </w:r>
      </w:hyperlink>
      <w:r>
        <w:t xml:space="preserve">. </w:t>
      </w:r>
    </w:p>
    <w:p w:rsidR="00B0519B" w:rsidRDefault="00B0519B" w:rsidP="00B0519B">
      <w:pPr>
        <w:pStyle w:val="NCDTableNumber"/>
      </w:pPr>
      <w:r w:rsidRPr="00B926AB">
        <w:lastRenderedPageBreak/>
        <w:t xml:space="preserve">Table </w:t>
      </w:r>
      <w:r>
        <w:t>10b.</w:t>
      </w:r>
    </w:p>
    <w:p w:rsidR="00B0519B" w:rsidRPr="00B926AB" w:rsidRDefault="00B0519B" w:rsidP="00B0519B">
      <w:pPr>
        <w:pStyle w:val="TableTitle"/>
      </w:pPr>
      <w:r>
        <w:t>Number</w:t>
      </w:r>
      <w:r w:rsidRPr="00B926AB">
        <w:t xml:space="preserve"> of </w:t>
      </w:r>
      <w:r>
        <w:t>C</w:t>
      </w:r>
      <w:r w:rsidRPr="00B926AB">
        <w:t xml:space="preserve">harges </w:t>
      </w:r>
      <w:r>
        <w:t>t</w:t>
      </w:r>
      <w:r w:rsidRPr="00B926AB">
        <w:t>oward the Americans with Disabilities</w:t>
      </w:r>
      <w:r>
        <w:t> A</w:t>
      </w:r>
      <w:r w:rsidRPr="00B926AB">
        <w:t>ct of 1990, 2004</w:t>
      </w:r>
      <w:r>
        <w:t>–</w:t>
      </w:r>
      <w:r w:rsidRPr="00B926AB">
        <w:t>10</w:t>
      </w:r>
    </w:p>
    <w:tbl>
      <w:tblPr>
        <w:tblW w:w="9360" w:type="dxa"/>
        <w:jc w:val="center"/>
        <w:tblBorders>
          <w:top w:val="single" w:sz="18" w:space="0" w:color="auto"/>
          <w:left w:val="single" w:sz="4" w:space="0" w:color="auto"/>
          <w:bottom w:val="single" w:sz="18" w:space="0" w:color="auto"/>
          <w:right w:val="single" w:sz="4" w:space="0" w:color="auto"/>
          <w:insideH w:val="single" w:sz="18"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42"/>
        <w:gridCol w:w="1074"/>
        <w:gridCol w:w="1074"/>
        <w:gridCol w:w="1074"/>
        <w:gridCol w:w="1074"/>
        <w:gridCol w:w="1074"/>
        <w:gridCol w:w="1074"/>
        <w:gridCol w:w="1074"/>
      </w:tblGrid>
      <w:tr w:rsidR="00B0519B" w:rsidRPr="004219B9" w:rsidTr="00203192">
        <w:trPr>
          <w:cantSplit/>
          <w:tblHeader/>
          <w:jc w:val="center"/>
        </w:trPr>
        <w:tc>
          <w:tcPr>
            <w:tcW w:w="1842" w:type="dxa"/>
            <w:shd w:val="clear" w:color="auto" w:fill="E6E6E6"/>
            <w:vAlign w:val="bottom"/>
          </w:tcPr>
          <w:p w:rsidR="00B0519B" w:rsidRPr="004219B9" w:rsidRDefault="00B0519B" w:rsidP="00101C2D">
            <w:pPr>
              <w:pStyle w:val="TableHead"/>
            </w:pPr>
          </w:p>
        </w:tc>
        <w:tc>
          <w:tcPr>
            <w:tcW w:w="1074" w:type="dxa"/>
            <w:shd w:val="clear" w:color="auto" w:fill="E6E6E6"/>
            <w:vAlign w:val="bottom"/>
          </w:tcPr>
          <w:p w:rsidR="00B0519B" w:rsidRPr="004219B9" w:rsidRDefault="00B0519B" w:rsidP="00101C2D">
            <w:pPr>
              <w:pStyle w:val="TableHead"/>
            </w:pPr>
            <w:r w:rsidRPr="004219B9">
              <w:t>2004</w:t>
            </w:r>
          </w:p>
        </w:tc>
        <w:tc>
          <w:tcPr>
            <w:tcW w:w="1074" w:type="dxa"/>
            <w:shd w:val="clear" w:color="auto" w:fill="E6E6E6"/>
            <w:vAlign w:val="bottom"/>
          </w:tcPr>
          <w:p w:rsidR="00B0519B" w:rsidRPr="004219B9" w:rsidRDefault="00B0519B" w:rsidP="00101C2D">
            <w:pPr>
              <w:pStyle w:val="TableHead"/>
            </w:pPr>
            <w:r w:rsidRPr="004219B9">
              <w:t>2005</w:t>
            </w:r>
          </w:p>
        </w:tc>
        <w:tc>
          <w:tcPr>
            <w:tcW w:w="1074" w:type="dxa"/>
            <w:shd w:val="clear" w:color="auto" w:fill="E6E6E6"/>
            <w:vAlign w:val="bottom"/>
          </w:tcPr>
          <w:p w:rsidR="00B0519B" w:rsidRPr="004219B9" w:rsidRDefault="00B0519B" w:rsidP="00101C2D">
            <w:pPr>
              <w:pStyle w:val="TableHead"/>
            </w:pPr>
            <w:r w:rsidRPr="004219B9">
              <w:t>2006</w:t>
            </w:r>
          </w:p>
        </w:tc>
        <w:tc>
          <w:tcPr>
            <w:tcW w:w="1074" w:type="dxa"/>
            <w:shd w:val="clear" w:color="auto" w:fill="E6E6E6"/>
            <w:vAlign w:val="bottom"/>
          </w:tcPr>
          <w:p w:rsidR="00B0519B" w:rsidRPr="004219B9" w:rsidRDefault="00B0519B" w:rsidP="00101C2D">
            <w:pPr>
              <w:pStyle w:val="TableHead"/>
            </w:pPr>
            <w:r w:rsidRPr="004219B9">
              <w:t>2007</w:t>
            </w:r>
          </w:p>
        </w:tc>
        <w:tc>
          <w:tcPr>
            <w:tcW w:w="1074" w:type="dxa"/>
            <w:shd w:val="clear" w:color="auto" w:fill="E6E6E6"/>
            <w:vAlign w:val="bottom"/>
          </w:tcPr>
          <w:p w:rsidR="00B0519B" w:rsidRPr="004219B9" w:rsidRDefault="00B0519B" w:rsidP="00101C2D">
            <w:pPr>
              <w:pStyle w:val="TableHead"/>
            </w:pPr>
            <w:r w:rsidRPr="004219B9">
              <w:t>2008</w:t>
            </w:r>
          </w:p>
        </w:tc>
        <w:tc>
          <w:tcPr>
            <w:tcW w:w="1074" w:type="dxa"/>
            <w:shd w:val="clear" w:color="auto" w:fill="E6E6E6"/>
            <w:vAlign w:val="bottom"/>
          </w:tcPr>
          <w:p w:rsidR="00B0519B" w:rsidRPr="004219B9" w:rsidRDefault="00B0519B" w:rsidP="00101C2D">
            <w:pPr>
              <w:pStyle w:val="TableHead"/>
            </w:pPr>
            <w:r w:rsidRPr="004219B9">
              <w:t>2009</w:t>
            </w:r>
          </w:p>
        </w:tc>
        <w:tc>
          <w:tcPr>
            <w:tcW w:w="1074" w:type="dxa"/>
            <w:shd w:val="clear" w:color="auto" w:fill="E6E6E6"/>
            <w:vAlign w:val="bottom"/>
          </w:tcPr>
          <w:p w:rsidR="00B0519B" w:rsidRPr="004219B9" w:rsidRDefault="00B0519B" w:rsidP="00101C2D">
            <w:pPr>
              <w:pStyle w:val="TableHead"/>
            </w:pPr>
            <w:r w:rsidRPr="004219B9">
              <w:t>2010</w:t>
            </w:r>
          </w:p>
        </w:tc>
      </w:tr>
      <w:tr w:rsidR="00B0519B" w:rsidRPr="002A69BB" w:rsidTr="00203192">
        <w:trPr>
          <w:cantSplit/>
          <w:jc w:val="center"/>
        </w:trPr>
        <w:tc>
          <w:tcPr>
            <w:tcW w:w="1842" w:type="dxa"/>
            <w:shd w:val="clear" w:color="auto" w:fill="E6E6E6"/>
            <w:vAlign w:val="bottom"/>
          </w:tcPr>
          <w:p w:rsidR="00B0519B" w:rsidRPr="004219B9" w:rsidRDefault="00B0519B" w:rsidP="00101C2D">
            <w:pPr>
              <w:pStyle w:val="TableText"/>
              <w:rPr>
                <w:b/>
              </w:rPr>
            </w:pPr>
            <w:r w:rsidRPr="004219B9">
              <w:rPr>
                <w:b/>
              </w:rPr>
              <w:t>ADA charges</w:t>
            </w:r>
          </w:p>
        </w:tc>
        <w:tc>
          <w:tcPr>
            <w:tcW w:w="1074" w:type="dxa"/>
            <w:shd w:val="clear" w:color="auto" w:fill="auto"/>
            <w:vAlign w:val="bottom"/>
          </w:tcPr>
          <w:p w:rsidR="00B0519B" w:rsidRPr="004219B9" w:rsidRDefault="00B0519B" w:rsidP="00101C2D">
            <w:pPr>
              <w:pStyle w:val="TableText"/>
              <w:jc w:val="center"/>
            </w:pPr>
            <w:r w:rsidRPr="004219B9">
              <w:t>15,376</w:t>
            </w:r>
          </w:p>
        </w:tc>
        <w:tc>
          <w:tcPr>
            <w:tcW w:w="1074" w:type="dxa"/>
            <w:shd w:val="clear" w:color="auto" w:fill="auto"/>
            <w:vAlign w:val="bottom"/>
          </w:tcPr>
          <w:p w:rsidR="00B0519B" w:rsidRPr="004219B9" w:rsidRDefault="00B0519B" w:rsidP="00101C2D">
            <w:pPr>
              <w:pStyle w:val="TableText"/>
              <w:jc w:val="center"/>
            </w:pPr>
            <w:r w:rsidRPr="004219B9">
              <w:t>14,893</w:t>
            </w:r>
          </w:p>
        </w:tc>
        <w:tc>
          <w:tcPr>
            <w:tcW w:w="1074" w:type="dxa"/>
            <w:shd w:val="clear" w:color="auto" w:fill="auto"/>
            <w:vAlign w:val="bottom"/>
          </w:tcPr>
          <w:p w:rsidR="00B0519B" w:rsidRPr="004219B9" w:rsidRDefault="00B0519B" w:rsidP="00101C2D">
            <w:pPr>
              <w:pStyle w:val="TableText"/>
              <w:jc w:val="center"/>
            </w:pPr>
            <w:r w:rsidRPr="004219B9">
              <w:t>15,575</w:t>
            </w:r>
          </w:p>
        </w:tc>
        <w:tc>
          <w:tcPr>
            <w:tcW w:w="1074" w:type="dxa"/>
            <w:shd w:val="clear" w:color="auto" w:fill="auto"/>
            <w:vAlign w:val="bottom"/>
          </w:tcPr>
          <w:p w:rsidR="00B0519B" w:rsidRPr="004219B9" w:rsidRDefault="00B0519B" w:rsidP="00101C2D">
            <w:pPr>
              <w:pStyle w:val="TableText"/>
              <w:jc w:val="center"/>
            </w:pPr>
            <w:r w:rsidRPr="004219B9">
              <w:t>17,734</w:t>
            </w:r>
          </w:p>
        </w:tc>
        <w:tc>
          <w:tcPr>
            <w:tcW w:w="1074" w:type="dxa"/>
            <w:shd w:val="clear" w:color="auto" w:fill="auto"/>
            <w:vAlign w:val="bottom"/>
          </w:tcPr>
          <w:p w:rsidR="00B0519B" w:rsidRPr="004219B9" w:rsidRDefault="00B0519B" w:rsidP="00101C2D">
            <w:pPr>
              <w:pStyle w:val="TableText"/>
              <w:jc w:val="center"/>
            </w:pPr>
            <w:r w:rsidRPr="004219B9">
              <w:t>19,453</w:t>
            </w:r>
          </w:p>
        </w:tc>
        <w:tc>
          <w:tcPr>
            <w:tcW w:w="1074" w:type="dxa"/>
            <w:shd w:val="clear" w:color="auto" w:fill="auto"/>
            <w:vAlign w:val="bottom"/>
          </w:tcPr>
          <w:p w:rsidR="00B0519B" w:rsidRPr="004219B9" w:rsidRDefault="00B0519B" w:rsidP="00101C2D">
            <w:pPr>
              <w:pStyle w:val="TableText"/>
              <w:jc w:val="center"/>
            </w:pPr>
            <w:r w:rsidRPr="004219B9">
              <w:t>21,451</w:t>
            </w:r>
          </w:p>
        </w:tc>
        <w:tc>
          <w:tcPr>
            <w:tcW w:w="1074" w:type="dxa"/>
            <w:shd w:val="clear" w:color="auto" w:fill="auto"/>
            <w:vAlign w:val="bottom"/>
          </w:tcPr>
          <w:p w:rsidR="00B0519B" w:rsidRPr="004219B9" w:rsidRDefault="00B0519B" w:rsidP="00101C2D">
            <w:pPr>
              <w:pStyle w:val="TableText"/>
              <w:jc w:val="center"/>
            </w:pPr>
            <w:r w:rsidRPr="004219B9">
              <w:t>25,165</w:t>
            </w:r>
          </w:p>
        </w:tc>
      </w:tr>
    </w:tbl>
    <w:p w:rsidR="00B0519B" w:rsidRPr="00B926AB" w:rsidRDefault="00B0519B" w:rsidP="00B0519B">
      <w:pPr>
        <w:pStyle w:val="TableNote"/>
      </w:pPr>
      <w:r w:rsidRPr="00CD4687">
        <w:rPr>
          <w:b/>
        </w:rPr>
        <w:t>Source:</w:t>
      </w:r>
      <w:r>
        <w:t xml:space="preserve"> </w:t>
      </w:r>
      <w:r w:rsidRPr="00B926AB">
        <w:t xml:space="preserve">EEOC, </w:t>
      </w:r>
      <w:hyperlink r:id="rId26" w:history="1">
        <w:r w:rsidRPr="00B926AB">
          <w:rPr>
            <w:rStyle w:val="Hyperlink"/>
          </w:rPr>
          <w:t>http://www.eeoc.gov/eeoc/statistics/enforcement/charges.cfm</w:t>
        </w:r>
      </w:hyperlink>
      <w:r w:rsidRPr="00B926AB">
        <w:t xml:space="preserve"> </w:t>
      </w:r>
    </w:p>
    <w:p w:rsidR="00B0519B" w:rsidRPr="00B926AB" w:rsidRDefault="00B0519B" w:rsidP="00B0519B">
      <w:pPr>
        <w:pStyle w:val="BodyText"/>
      </w:pPr>
      <w:r w:rsidRPr="00B926AB">
        <w:t>Discrimination continues to be a substantial problem for many job seekers and workers with disabilities.</w:t>
      </w:r>
      <w:r>
        <w:t xml:space="preserve"> </w:t>
      </w:r>
      <w:r w:rsidRPr="00B926AB">
        <w:t xml:space="preserve">We must renew our commitment to education and enforcement to </w:t>
      </w:r>
      <w:r>
        <w:t>increase the recognition of the talented workforce of people with disabilities and to rid</w:t>
      </w:r>
      <w:r w:rsidRPr="00B926AB">
        <w:t xml:space="preserve"> workplaces of disability discrimination.</w:t>
      </w:r>
    </w:p>
    <w:p w:rsidR="00B0519B" w:rsidRPr="00B926AB" w:rsidRDefault="00B0519B" w:rsidP="00B0519B">
      <w:pPr>
        <w:pStyle w:val="BodyText"/>
        <w:ind w:right="-180"/>
      </w:pPr>
      <w:r w:rsidRPr="00B926AB">
        <w:t xml:space="preserve">Given the current economic environment, and the historically low rate of employment of people with disabilities, it is imperative that the </w:t>
      </w:r>
      <w:r>
        <w:t>f</w:t>
      </w:r>
      <w:r w:rsidRPr="00B926AB">
        <w:t xml:space="preserve">ederal </w:t>
      </w:r>
      <w:r>
        <w:t>g</w:t>
      </w:r>
      <w:r w:rsidRPr="00B926AB">
        <w:t>overnment become a model employer of people with disabilities. During the past year, since the 2010 Executive Order on increasing employment of people with disabilities,</w:t>
      </w:r>
      <w:r w:rsidRPr="001C6B71">
        <w:rPr>
          <w:rStyle w:val="EndnoteReference"/>
          <w:szCs w:val="24"/>
        </w:rPr>
        <w:endnoteReference w:id="101"/>
      </w:r>
      <w:r w:rsidRPr="00B926AB">
        <w:t xml:space="preserve"> the </w:t>
      </w:r>
      <w:r>
        <w:t>f</w:t>
      </w:r>
      <w:r w:rsidRPr="00B926AB">
        <w:t xml:space="preserve">ederal </w:t>
      </w:r>
      <w:r>
        <w:t>g</w:t>
      </w:r>
      <w:r w:rsidRPr="00B926AB">
        <w:t xml:space="preserve">overnment has </w:t>
      </w:r>
      <w:r>
        <w:t>increased</w:t>
      </w:r>
      <w:r w:rsidRPr="00B926AB">
        <w:t xml:space="preserve"> recruitment opportunities </w:t>
      </w:r>
      <w:r>
        <w:t>for</w:t>
      </w:r>
      <w:r w:rsidRPr="00B926AB">
        <w:t xml:space="preserve"> people with disabilities.</w:t>
      </w:r>
      <w:r>
        <w:t xml:space="preserve"> Data are not yet available to evaluate the success of this latest initiative. </w:t>
      </w:r>
      <w:r w:rsidRPr="00B926AB">
        <w:t>In the past, obstacles at the hiring level and reluctance by hiring managers have contributed to the low federal employment rate of people with disabilities.</w:t>
      </w:r>
      <w:r>
        <w:t xml:space="preserve"> L</w:t>
      </w:r>
      <w:r w:rsidRPr="00B926AB">
        <w:t xml:space="preserve">ess than </w:t>
      </w:r>
      <w:r>
        <w:t>1</w:t>
      </w:r>
      <w:r w:rsidRPr="00B926AB">
        <w:t xml:space="preserve"> percent of the federal workforce is </w:t>
      </w:r>
      <w:r>
        <w:t xml:space="preserve">made up </w:t>
      </w:r>
      <w:r w:rsidRPr="00B926AB">
        <w:t>of individuals with targeted disabilities (</w:t>
      </w:r>
      <w:r>
        <w:t>s</w:t>
      </w:r>
      <w:r w:rsidRPr="00B926AB">
        <w:t xml:space="preserve">ee Table </w:t>
      </w:r>
      <w:r>
        <w:t>A</w:t>
      </w:r>
      <w:r w:rsidRPr="00B926AB">
        <w:t xml:space="preserve">5 in Appendix </w:t>
      </w:r>
      <w:r w:rsidRPr="00970D9B">
        <w:t>A).</w:t>
      </w:r>
      <w:r>
        <w:t xml:space="preserve"> </w:t>
      </w:r>
      <w:r w:rsidRPr="00B926AB">
        <w:t xml:space="preserve">Moreover, individuals with </w:t>
      </w:r>
      <w:r>
        <w:t>t</w:t>
      </w:r>
      <w:r w:rsidRPr="00B926AB">
        <w:t>argeted disabilities are clustered within the lower federal pay grades</w:t>
      </w:r>
      <w:r>
        <w:t xml:space="preserve"> (Table 11)</w:t>
      </w:r>
      <w:r w:rsidRPr="00B926AB">
        <w:t xml:space="preserve">. </w:t>
      </w:r>
    </w:p>
    <w:p w:rsidR="00B0519B" w:rsidRDefault="00B0519B" w:rsidP="00B0519B">
      <w:pPr>
        <w:pStyle w:val="NCDTableNumber"/>
      </w:pPr>
      <w:r w:rsidRPr="00474615">
        <w:lastRenderedPageBreak/>
        <w:t>Table 1</w:t>
      </w:r>
      <w:r>
        <w:t>1.</w:t>
      </w:r>
    </w:p>
    <w:p w:rsidR="00B0519B" w:rsidRPr="00474615" w:rsidRDefault="00B0519B" w:rsidP="00B0519B">
      <w:pPr>
        <w:pStyle w:val="TableTitle"/>
      </w:pPr>
      <w:r w:rsidRPr="00474615">
        <w:t xml:space="preserve">Number of Federal Employees </w:t>
      </w:r>
      <w:r>
        <w:t>w</w:t>
      </w:r>
      <w:r w:rsidRPr="00474615">
        <w:t>ith Targeted Disabilities by Type and Federal Pay Grade, 2009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60"/>
        <w:gridCol w:w="1170"/>
        <w:gridCol w:w="1080"/>
        <w:gridCol w:w="1170"/>
        <w:gridCol w:w="2880"/>
      </w:tblGrid>
      <w:tr w:rsidR="00B0519B" w:rsidRPr="00B47203" w:rsidTr="00203192">
        <w:trPr>
          <w:cantSplit/>
          <w:trHeight w:val="20"/>
          <w:tblHeader/>
          <w:jc w:val="center"/>
        </w:trPr>
        <w:tc>
          <w:tcPr>
            <w:tcW w:w="3060" w:type="dxa"/>
            <w:tcBorders>
              <w:top w:val="single" w:sz="18" w:space="0" w:color="auto"/>
              <w:bottom w:val="single" w:sz="18" w:space="0" w:color="auto"/>
            </w:tcBorders>
            <w:shd w:val="clear" w:color="auto" w:fill="E6E6E6"/>
            <w:vAlign w:val="bottom"/>
            <w:hideMark/>
          </w:tcPr>
          <w:p w:rsidR="00B0519B" w:rsidRPr="00B47203" w:rsidRDefault="00B0519B" w:rsidP="00101C2D">
            <w:pPr>
              <w:pStyle w:val="TableHead"/>
              <w:jc w:val="left"/>
            </w:pPr>
            <w:r w:rsidRPr="00B47203">
              <w:t>Disability by Type</w:t>
            </w:r>
          </w:p>
        </w:tc>
        <w:tc>
          <w:tcPr>
            <w:tcW w:w="1170" w:type="dxa"/>
            <w:tcBorders>
              <w:top w:val="single" w:sz="18" w:space="0" w:color="auto"/>
              <w:bottom w:val="single" w:sz="18" w:space="0" w:color="auto"/>
            </w:tcBorders>
            <w:shd w:val="clear" w:color="auto" w:fill="E6E6E6"/>
            <w:noWrap/>
            <w:vAlign w:val="bottom"/>
            <w:hideMark/>
          </w:tcPr>
          <w:p w:rsidR="00B0519B" w:rsidRPr="00B47203" w:rsidRDefault="00B0519B" w:rsidP="00101C2D">
            <w:pPr>
              <w:pStyle w:val="TableHead"/>
            </w:pPr>
            <w:r w:rsidRPr="00B47203">
              <w:t>GSR-1 to 5</w:t>
            </w:r>
          </w:p>
        </w:tc>
        <w:tc>
          <w:tcPr>
            <w:tcW w:w="1080" w:type="dxa"/>
            <w:tcBorders>
              <w:top w:val="single" w:sz="18" w:space="0" w:color="auto"/>
              <w:bottom w:val="single" w:sz="18" w:space="0" w:color="auto"/>
            </w:tcBorders>
            <w:shd w:val="clear" w:color="auto" w:fill="E6E6E6"/>
            <w:noWrap/>
            <w:vAlign w:val="bottom"/>
            <w:hideMark/>
          </w:tcPr>
          <w:p w:rsidR="00B0519B" w:rsidRPr="00B47203" w:rsidRDefault="00B0519B" w:rsidP="00101C2D">
            <w:pPr>
              <w:pStyle w:val="TableHead"/>
            </w:pPr>
            <w:r w:rsidRPr="00B47203">
              <w:t>GSR-5 to 10</w:t>
            </w:r>
          </w:p>
        </w:tc>
        <w:tc>
          <w:tcPr>
            <w:tcW w:w="1170" w:type="dxa"/>
            <w:tcBorders>
              <w:top w:val="single" w:sz="18" w:space="0" w:color="auto"/>
              <w:bottom w:val="single" w:sz="18" w:space="0" w:color="auto"/>
            </w:tcBorders>
            <w:shd w:val="clear" w:color="auto" w:fill="E6E6E6"/>
            <w:noWrap/>
            <w:vAlign w:val="bottom"/>
            <w:hideMark/>
          </w:tcPr>
          <w:p w:rsidR="00B0519B" w:rsidRPr="00B47203" w:rsidRDefault="00B0519B" w:rsidP="00101C2D">
            <w:pPr>
              <w:pStyle w:val="TableHead"/>
            </w:pPr>
            <w:r w:rsidRPr="00B47203">
              <w:t>GSR-10 to 15</w:t>
            </w:r>
          </w:p>
        </w:tc>
        <w:tc>
          <w:tcPr>
            <w:tcW w:w="2880" w:type="dxa"/>
            <w:tcBorders>
              <w:top w:val="single" w:sz="18" w:space="0" w:color="auto"/>
              <w:bottom w:val="single" w:sz="18" w:space="0" w:color="auto"/>
            </w:tcBorders>
            <w:shd w:val="clear" w:color="auto" w:fill="E6E6E6"/>
            <w:noWrap/>
            <w:vAlign w:val="bottom"/>
            <w:hideMark/>
          </w:tcPr>
          <w:p w:rsidR="00B0519B" w:rsidRPr="00B47203" w:rsidRDefault="00B0519B" w:rsidP="00101C2D">
            <w:pPr>
              <w:pStyle w:val="TableHead"/>
            </w:pPr>
            <w:r w:rsidRPr="00B47203">
              <w:t>Senior Pay and Senior Executive Service</w:t>
            </w:r>
          </w:p>
        </w:tc>
      </w:tr>
      <w:tr w:rsidR="00B0519B" w:rsidRPr="002A69BB" w:rsidTr="00203192">
        <w:trPr>
          <w:cantSplit/>
          <w:trHeight w:val="20"/>
          <w:jc w:val="center"/>
        </w:trPr>
        <w:tc>
          <w:tcPr>
            <w:tcW w:w="3060" w:type="dxa"/>
            <w:tcBorders>
              <w:top w:val="single" w:sz="18" w:space="0" w:color="auto"/>
            </w:tcBorders>
            <w:shd w:val="clear" w:color="auto" w:fill="E6E6E6"/>
            <w:vAlign w:val="bottom"/>
            <w:hideMark/>
          </w:tcPr>
          <w:p w:rsidR="00B0519B" w:rsidRPr="00B47203" w:rsidRDefault="00B0519B" w:rsidP="00101C2D">
            <w:pPr>
              <w:pStyle w:val="TableText"/>
              <w:rPr>
                <w:b/>
              </w:rPr>
            </w:pPr>
            <w:r w:rsidRPr="00B47203">
              <w:rPr>
                <w:b/>
              </w:rPr>
              <w:t>Mental Illness</w:t>
            </w:r>
          </w:p>
        </w:tc>
        <w:tc>
          <w:tcPr>
            <w:tcW w:w="1170" w:type="dxa"/>
            <w:tcBorders>
              <w:top w:val="single" w:sz="18" w:space="0" w:color="auto"/>
            </w:tcBorders>
            <w:shd w:val="clear" w:color="auto" w:fill="auto"/>
            <w:noWrap/>
            <w:vAlign w:val="bottom"/>
            <w:hideMark/>
          </w:tcPr>
          <w:p w:rsidR="00B0519B" w:rsidRPr="00B47203" w:rsidRDefault="00B0519B" w:rsidP="00101C2D">
            <w:pPr>
              <w:pStyle w:val="TableText"/>
              <w:jc w:val="center"/>
            </w:pPr>
            <w:r w:rsidRPr="00B47203">
              <w:t>978</w:t>
            </w:r>
          </w:p>
        </w:tc>
        <w:tc>
          <w:tcPr>
            <w:tcW w:w="1080" w:type="dxa"/>
            <w:tcBorders>
              <w:top w:val="single" w:sz="18" w:space="0" w:color="auto"/>
            </w:tcBorders>
            <w:shd w:val="clear" w:color="auto" w:fill="auto"/>
            <w:noWrap/>
            <w:vAlign w:val="bottom"/>
            <w:hideMark/>
          </w:tcPr>
          <w:p w:rsidR="00B0519B" w:rsidRPr="00B47203" w:rsidRDefault="00B0519B" w:rsidP="00101C2D">
            <w:pPr>
              <w:pStyle w:val="TableText"/>
              <w:jc w:val="center"/>
            </w:pPr>
            <w:r w:rsidRPr="00B47203">
              <w:t>1,291</w:t>
            </w:r>
          </w:p>
        </w:tc>
        <w:tc>
          <w:tcPr>
            <w:tcW w:w="1170" w:type="dxa"/>
            <w:tcBorders>
              <w:top w:val="single" w:sz="18" w:space="0" w:color="auto"/>
            </w:tcBorders>
            <w:shd w:val="clear" w:color="auto" w:fill="auto"/>
            <w:noWrap/>
            <w:vAlign w:val="bottom"/>
            <w:hideMark/>
          </w:tcPr>
          <w:p w:rsidR="00B0519B" w:rsidRPr="00B47203" w:rsidRDefault="00B0519B" w:rsidP="00101C2D">
            <w:pPr>
              <w:pStyle w:val="TableText"/>
              <w:jc w:val="center"/>
            </w:pPr>
            <w:r w:rsidRPr="00B47203">
              <w:t>1,147</w:t>
            </w:r>
          </w:p>
        </w:tc>
        <w:tc>
          <w:tcPr>
            <w:tcW w:w="2880" w:type="dxa"/>
            <w:tcBorders>
              <w:top w:val="single" w:sz="18" w:space="0" w:color="auto"/>
            </w:tcBorders>
            <w:shd w:val="clear" w:color="auto" w:fill="auto"/>
            <w:noWrap/>
            <w:vAlign w:val="bottom"/>
            <w:hideMark/>
          </w:tcPr>
          <w:p w:rsidR="00B0519B" w:rsidRPr="00B47203" w:rsidRDefault="00B0519B" w:rsidP="00101C2D">
            <w:pPr>
              <w:pStyle w:val="TableText"/>
              <w:jc w:val="center"/>
            </w:pPr>
            <w:r w:rsidRPr="00B47203">
              <w:t>12</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Deafness</w:t>
            </w:r>
          </w:p>
        </w:tc>
        <w:tc>
          <w:tcPr>
            <w:tcW w:w="1170" w:type="dxa"/>
            <w:shd w:val="clear" w:color="auto" w:fill="auto"/>
            <w:noWrap/>
            <w:vAlign w:val="bottom"/>
            <w:hideMark/>
          </w:tcPr>
          <w:p w:rsidR="00B0519B" w:rsidRPr="00B47203" w:rsidRDefault="00B0519B" w:rsidP="00101C2D">
            <w:pPr>
              <w:pStyle w:val="TableText"/>
              <w:jc w:val="center"/>
            </w:pPr>
            <w:r w:rsidRPr="00B47203">
              <w:t>602</w:t>
            </w:r>
          </w:p>
        </w:tc>
        <w:tc>
          <w:tcPr>
            <w:tcW w:w="1080" w:type="dxa"/>
            <w:shd w:val="clear" w:color="auto" w:fill="auto"/>
            <w:noWrap/>
            <w:vAlign w:val="bottom"/>
            <w:hideMark/>
          </w:tcPr>
          <w:p w:rsidR="00B0519B" w:rsidRPr="00B47203" w:rsidRDefault="00B0519B" w:rsidP="00101C2D">
            <w:pPr>
              <w:pStyle w:val="TableText"/>
              <w:jc w:val="center"/>
            </w:pPr>
            <w:r w:rsidRPr="00B47203">
              <w:t>714</w:t>
            </w:r>
          </w:p>
        </w:tc>
        <w:tc>
          <w:tcPr>
            <w:tcW w:w="1170" w:type="dxa"/>
            <w:shd w:val="clear" w:color="auto" w:fill="auto"/>
            <w:noWrap/>
            <w:vAlign w:val="bottom"/>
            <w:hideMark/>
          </w:tcPr>
          <w:p w:rsidR="00B0519B" w:rsidRPr="00B47203" w:rsidRDefault="00B0519B" w:rsidP="00101C2D">
            <w:pPr>
              <w:pStyle w:val="TableText"/>
              <w:jc w:val="center"/>
            </w:pPr>
            <w:r w:rsidRPr="00B47203">
              <w:t>510</w:t>
            </w:r>
          </w:p>
        </w:tc>
        <w:tc>
          <w:tcPr>
            <w:tcW w:w="2880" w:type="dxa"/>
            <w:shd w:val="clear" w:color="auto" w:fill="auto"/>
            <w:noWrap/>
            <w:vAlign w:val="bottom"/>
            <w:hideMark/>
          </w:tcPr>
          <w:p w:rsidR="00B0519B" w:rsidRPr="00B47203" w:rsidRDefault="00B0519B" w:rsidP="00101C2D">
            <w:pPr>
              <w:pStyle w:val="TableText"/>
              <w:jc w:val="center"/>
            </w:pPr>
            <w:r w:rsidRPr="00B47203">
              <w:t>2</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Partial Paralysis</w:t>
            </w:r>
          </w:p>
        </w:tc>
        <w:tc>
          <w:tcPr>
            <w:tcW w:w="1170" w:type="dxa"/>
            <w:shd w:val="clear" w:color="auto" w:fill="auto"/>
            <w:noWrap/>
            <w:vAlign w:val="bottom"/>
            <w:hideMark/>
          </w:tcPr>
          <w:p w:rsidR="00B0519B" w:rsidRPr="00B47203" w:rsidRDefault="00B0519B" w:rsidP="00101C2D">
            <w:pPr>
              <w:pStyle w:val="TableText"/>
              <w:jc w:val="center"/>
            </w:pPr>
            <w:r w:rsidRPr="00B47203">
              <w:t>481</w:t>
            </w:r>
          </w:p>
        </w:tc>
        <w:tc>
          <w:tcPr>
            <w:tcW w:w="1080" w:type="dxa"/>
            <w:shd w:val="clear" w:color="auto" w:fill="auto"/>
            <w:noWrap/>
            <w:vAlign w:val="bottom"/>
            <w:hideMark/>
          </w:tcPr>
          <w:p w:rsidR="00B0519B" w:rsidRPr="00B47203" w:rsidRDefault="00B0519B" w:rsidP="00101C2D">
            <w:pPr>
              <w:pStyle w:val="TableText"/>
              <w:jc w:val="center"/>
            </w:pPr>
            <w:r w:rsidRPr="00B47203">
              <w:t>684</w:t>
            </w:r>
          </w:p>
        </w:tc>
        <w:tc>
          <w:tcPr>
            <w:tcW w:w="1170" w:type="dxa"/>
            <w:shd w:val="clear" w:color="auto" w:fill="auto"/>
            <w:noWrap/>
            <w:vAlign w:val="bottom"/>
            <w:hideMark/>
          </w:tcPr>
          <w:p w:rsidR="00B0519B" w:rsidRPr="00B47203" w:rsidRDefault="00B0519B" w:rsidP="00101C2D">
            <w:pPr>
              <w:pStyle w:val="TableText"/>
              <w:jc w:val="center"/>
            </w:pPr>
            <w:r w:rsidRPr="00B47203">
              <w:t>967</w:t>
            </w:r>
          </w:p>
        </w:tc>
        <w:tc>
          <w:tcPr>
            <w:tcW w:w="2880" w:type="dxa"/>
            <w:shd w:val="clear" w:color="auto" w:fill="auto"/>
            <w:noWrap/>
            <w:vAlign w:val="bottom"/>
            <w:hideMark/>
          </w:tcPr>
          <w:p w:rsidR="00B0519B" w:rsidRPr="00B47203" w:rsidRDefault="00B0519B" w:rsidP="00101C2D">
            <w:pPr>
              <w:pStyle w:val="TableText"/>
              <w:jc w:val="center"/>
            </w:pPr>
            <w:r w:rsidRPr="00B47203">
              <w:t>17</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Mental Retardation</w:t>
            </w:r>
          </w:p>
        </w:tc>
        <w:tc>
          <w:tcPr>
            <w:tcW w:w="1170" w:type="dxa"/>
            <w:shd w:val="clear" w:color="auto" w:fill="auto"/>
            <w:noWrap/>
            <w:vAlign w:val="bottom"/>
            <w:hideMark/>
          </w:tcPr>
          <w:p w:rsidR="00B0519B" w:rsidRPr="00B47203" w:rsidRDefault="00B0519B" w:rsidP="00101C2D">
            <w:pPr>
              <w:pStyle w:val="TableText"/>
              <w:jc w:val="center"/>
            </w:pPr>
            <w:r w:rsidRPr="00B47203">
              <w:t>437</w:t>
            </w:r>
          </w:p>
        </w:tc>
        <w:tc>
          <w:tcPr>
            <w:tcW w:w="1080" w:type="dxa"/>
            <w:shd w:val="clear" w:color="auto" w:fill="auto"/>
            <w:noWrap/>
            <w:vAlign w:val="bottom"/>
            <w:hideMark/>
          </w:tcPr>
          <w:p w:rsidR="00B0519B" w:rsidRPr="00B47203" w:rsidRDefault="00B0519B" w:rsidP="00101C2D">
            <w:pPr>
              <w:pStyle w:val="TableText"/>
              <w:jc w:val="center"/>
            </w:pPr>
            <w:r w:rsidRPr="00B47203">
              <w:t>111</w:t>
            </w:r>
          </w:p>
        </w:tc>
        <w:tc>
          <w:tcPr>
            <w:tcW w:w="1170" w:type="dxa"/>
            <w:shd w:val="clear" w:color="auto" w:fill="auto"/>
            <w:noWrap/>
            <w:vAlign w:val="bottom"/>
            <w:hideMark/>
          </w:tcPr>
          <w:p w:rsidR="00B0519B" w:rsidRPr="00B47203" w:rsidRDefault="00B0519B" w:rsidP="00101C2D">
            <w:pPr>
              <w:pStyle w:val="TableText"/>
              <w:jc w:val="center"/>
            </w:pPr>
            <w:r w:rsidRPr="00B47203">
              <w:t>13</w:t>
            </w:r>
          </w:p>
        </w:tc>
        <w:tc>
          <w:tcPr>
            <w:tcW w:w="2880" w:type="dxa"/>
            <w:shd w:val="clear" w:color="auto" w:fill="auto"/>
            <w:noWrap/>
            <w:vAlign w:val="bottom"/>
            <w:hideMark/>
          </w:tcPr>
          <w:p w:rsidR="00B0519B" w:rsidRPr="00B47203" w:rsidRDefault="00B0519B" w:rsidP="00101C2D">
            <w:pPr>
              <w:pStyle w:val="TableText"/>
              <w:jc w:val="center"/>
            </w:pPr>
            <w:r w:rsidRPr="00B47203">
              <w:t>1</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Convulsive Disorders</w:t>
            </w:r>
          </w:p>
        </w:tc>
        <w:tc>
          <w:tcPr>
            <w:tcW w:w="1170" w:type="dxa"/>
            <w:shd w:val="clear" w:color="auto" w:fill="auto"/>
            <w:noWrap/>
            <w:vAlign w:val="bottom"/>
            <w:hideMark/>
          </w:tcPr>
          <w:p w:rsidR="00B0519B" w:rsidRPr="00B47203" w:rsidRDefault="00B0519B" w:rsidP="00101C2D">
            <w:pPr>
              <w:pStyle w:val="TableText"/>
              <w:jc w:val="center"/>
            </w:pPr>
            <w:r w:rsidRPr="00B47203">
              <w:t>377</w:t>
            </w:r>
          </w:p>
        </w:tc>
        <w:tc>
          <w:tcPr>
            <w:tcW w:w="1080" w:type="dxa"/>
            <w:shd w:val="clear" w:color="auto" w:fill="auto"/>
            <w:noWrap/>
            <w:vAlign w:val="bottom"/>
            <w:hideMark/>
          </w:tcPr>
          <w:p w:rsidR="00B0519B" w:rsidRPr="00B47203" w:rsidRDefault="00B0519B" w:rsidP="00101C2D">
            <w:pPr>
              <w:pStyle w:val="TableText"/>
              <w:jc w:val="center"/>
            </w:pPr>
            <w:r w:rsidRPr="00B47203">
              <w:t>671</w:t>
            </w:r>
          </w:p>
        </w:tc>
        <w:tc>
          <w:tcPr>
            <w:tcW w:w="1170" w:type="dxa"/>
            <w:shd w:val="clear" w:color="auto" w:fill="auto"/>
            <w:noWrap/>
            <w:vAlign w:val="bottom"/>
            <w:hideMark/>
          </w:tcPr>
          <w:p w:rsidR="00B0519B" w:rsidRPr="00B47203" w:rsidRDefault="00B0519B" w:rsidP="00101C2D">
            <w:pPr>
              <w:pStyle w:val="TableText"/>
              <w:jc w:val="center"/>
            </w:pPr>
            <w:r w:rsidRPr="00B47203">
              <w:t>767</w:t>
            </w:r>
          </w:p>
        </w:tc>
        <w:tc>
          <w:tcPr>
            <w:tcW w:w="2880" w:type="dxa"/>
            <w:shd w:val="clear" w:color="auto" w:fill="auto"/>
            <w:noWrap/>
            <w:vAlign w:val="bottom"/>
            <w:hideMark/>
          </w:tcPr>
          <w:p w:rsidR="00B0519B" w:rsidRPr="00B47203" w:rsidRDefault="00B0519B" w:rsidP="00101C2D">
            <w:pPr>
              <w:pStyle w:val="TableText"/>
              <w:jc w:val="center"/>
            </w:pPr>
            <w:r w:rsidRPr="00B47203">
              <w:t>11</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Blindness</w:t>
            </w:r>
          </w:p>
        </w:tc>
        <w:tc>
          <w:tcPr>
            <w:tcW w:w="1170" w:type="dxa"/>
            <w:shd w:val="clear" w:color="auto" w:fill="auto"/>
            <w:noWrap/>
            <w:vAlign w:val="bottom"/>
            <w:hideMark/>
          </w:tcPr>
          <w:p w:rsidR="00B0519B" w:rsidRPr="00B47203" w:rsidRDefault="00B0519B" w:rsidP="00101C2D">
            <w:pPr>
              <w:pStyle w:val="TableText"/>
              <w:jc w:val="center"/>
            </w:pPr>
            <w:r w:rsidRPr="00B47203">
              <w:t>376</w:t>
            </w:r>
          </w:p>
        </w:tc>
        <w:tc>
          <w:tcPr>
            <w:tcW w:w="1080" w:type="dxa"/>
            <w:shd w:val="clear" w:color="auto" w:fill="auto"/>
            <w:noWrap/>
            <w:vAlign w:val="bottom"/>
            <w:hideMark/>
          </w:tcPr>
          <w:p w:rsidR="00B0519B" w:rsidRPr="00B47203" w:rsidRDefault="00B0519B" w:rsidP="00101C2D">
            <w:pPr>
              <w:pStyle w:val="TableText"/>
              <w:jc w:val="center"/>
            </w:pPr>
            <w:r w:rsidRPr="00B47203">
              <w:t>768</w:t>
            </w:r>
          </w:p>
        </w:tc>
        <w:tc>
          <w:tcPr>
            <w:tcW w:w="1170" w:type="dxa"/>
            <w:shd w:val="clear" w:color="auto" w:fill="auto"/>
            <w:noWrap/>
            <w:vAlign w:val="bottom"/>
            <w:hideMark/>
          </w:tcPr>
          <w:p w:rsidR="00B0519B" w:rsidRPr="00B47203" w:rsidRDefault="00B0519B" w:rsidP="00101C2D">
            <w:pPr>
              <w:pStyle w:val="TableText"/>
              <w:jc w:val="center"/>
            </w:pPr>
            <w:r w:rsidRPr="00B47203">
              <w:t>844</w:t>
            </w:r>
          </w:p>
        </w:tc>
        <w:tc>
          <w:tcPr>
            <w:tcW w:w="2880" w:type="dxa"/>
            <w:shd w:val="clear" w:color="auto" w:fill="auto"/>
            <w:noWrap/>
            <w:vAlign w:val="bottom"/>
            <w:hideMark/>
          </w:tcPr>
          <w:p w:rsidR="00B0519B" w:rsidRPr="00B47203" w:rsidRDefault="00B0519B" w:rsidP="00101C2D">
            <w:pPr>
              <w:pStyle w:val="TableText"/>
              <w:jc w:val="center"/>
            </w:pPr>
            <w:r w:rsidRPr="00B47203">
              <w:t>22</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Complete Paralysis</w:t>
            </w:r>
          </w:p>
        </w:tc>
        <w:tc>
          <w:tcPr>
            <w:tcW w:w="1170" w:type="dxa"/>
            <w:shd w:val="clear" w:color="auto" w:fill="auto"/>
            <w:noWrap/>
            <w:vAlign w:val="bottom"/>
            <w:hideMark/>
          </w:tcPr>
          <w:p w:rsidR="00B0519B" w:rsidRPr="00B47203" w:rsidRDefault="00B0519B" w:rsidP="00101C2D">
            <w:pPr>
              <w:pStyle w:val="TableText"/>
              <w:jc w:val="center"/>
            </w:pPr>
            <w:r w:rsidRPr="00B47203">
              <w:t>159</w:t>
            </w:r>
          </w:p>
        </w:tc>
        <w:tc>
          <w:tcPr>
            <w:tcW w:w="1080" w:type="dxa"/>
            <w:shd w:val="clear" w:color="auto" w:fill="auto"/>
            <w:noWrap/>
            <w:vAlign w:val="bottom"/>
            <w:hideMark/>
          </w:tcPr>
          <w:p w:rsidR="00B0519B" w:rsidRPr="00B47203" w:rsidRDefault="00B0519B" w:rsidP="00101C2D">
            <w:pPr>
              <w:pStyle w:val="TableText"/>
              <w:jc w:val="center"/>
            </w:pPr>
            <w:r w:rsidRPr="00B47203">
              <w:t>282</w:t>
            </w:r>
          </w:p>
        </w:tc>
        <w:tc>
          <w:tcPr>
            <w:tcW w:w="1170" w:type="dxa"/>
            <w:shd w:val="clear" w:color="auto" w:fill="auto"/>
            <w:noWrap/>
            <w:vAlign w:val="bottom"/>
            <w:hideMark/>
          </w:tcPr>
          <w:p w:rsidR="00B0519B" w:rsidRPr="00B47203" w:rsidRDefault="00B0519B" w:rsidP="00101C2D">
            <w:pPr>
              <w:pStyle w:val="TableText"/>
              <w:jc w:val="center"/>
            </w:pPr>
            <w:r w:rsidRPr="00B47203">
              <w:t>465</w:t>
            </w:r>
          </w:p>
        </w:tc>
        <w:tc>
          <w:tcPr>
            <w:tcW w:w="2880" w:type="dxa"/>
            <w:shd w:val="clear" w:color="auto" w:fill="auto"/>
            <w:noWrap/>
            <w:vAlign w:val="bottom"/>
            <w:hideMark/>
          </w:tcPr>
          <w:p w:rsidR="00B0519B" w:rsidRPr="00B47203" w:rsidRDefault="00B0519B" w:rsidP="00101C2D">
            <w:pPr>
              <w:pStyle w:val="TableText"/>
              <w:jc w:val="center"/>
            </w:pPr>
            <w:r w:rsidRPr="00B47203">
              <w:t>15</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Missing Extremities</w:t>
            </w:r>
          </w:p>
        </w:tc>
        <w:tc>
          <w:tcPr>
            <w:tcW w:w="1170" w:type="dxa"/>
            <w:shd w:val="clear" w:color="auto" w:fill="auto"/>
            <w:noWrap/>
            <w:vAlign w:val="bottom"/>
            <w:hideMark/>
          </w:tcPr>
          <w:p w:rsidR="00B0519B" w:rsidRPr="00B47203" w:rsidRDefault="00B0519B" w:rsidP="00101C2D">
            <w:pPr>
              <w:pStyle w:val="TableText"/>
              <w:jc w:val="center"/>
            </w:pPr>
            <w:r w:rsidRPr="00B47203">
              <w:t>103</w:t>
            </w:r>
          </w:p>
        </w:tc>
        <w:tc>
          <w:tcPr>
            <w:tcW w:w="1080" w:type="dxa"/>
            <w:shd w:val="clear" w:color="auto" w:fill="auto"/>
            <w:noWrap/>
            <w:vAlign w:val="bottom"/>
            <w:hideMark/>
          </w:tcPr>
          <w:p w:rsidR="00B0519B" w:rsidRPr="00B47203" w:rsidRDefault="00B0519B" w:rsidP="00101C2D">
            <w:pPr>
              <w:pStyle w:val="TableText"/>
              <w:jc w:val="center"/>
            </w:pPr>
            <w:r w:rsidRPr="00B47203">
              <w:t>238</w:t>
            </w:r>
          </w:p>
        </w:tc>
        <w:tc>
          <w:tcPr>
            <w:tcW w:w="1170" w:type="dxa"/>
            <w:shd w:val="clear" w:color="auto" w:fill="auto"/>
            <w:noWrap/>
            <w:vAlign w:val="bottom"/>
            <w:hideMark/>
          </w:tcPr>
          <w:p w:rsidR="00B0519B" w:rsidRPr="00B47203" w:rsidRDefault="00B0519B" w:rsidP="00101C2D">
            <w:pPr>
              <w:pStyle w:val="TableText"/>
              <w:jc w:val="center"/>
            </w:pPr>
            <w:r w:rsidRPr="00B47203">
              <w:t>375</w:t>
            </w:r>
          </w:p>
        </w:tc>
        <w:tc>
          <w:tcPr>
            <w:tcW w:w="2880" w:type="dxa"/>
            <w:shd w:val="clear" w:color="auto" w:fill="auto"/>
            <w:noWrap/>
            <w:vAlign w:val="bottom"/>
            <w:hideMark/>
          </w:tcPr>
          <w:p w:rsidR="00B0519B" w:rsidRPr="00B47203" w:rsidRDefault="00B0519B" w:rsidP="00101C2D">
            <w:pPr>
              <w:pStyle w:val="TableText"/>
              <w:jc w:val="center"/>
            </w:pPr>
            <w:r w:rsidRPr="00B47203">
              <w:t>10</w:t>
            </w:r>
          </w:p>
        </w:tc>
      </w:tr>
      <w:tr w:rsidR="00B0519B" w:rsidRPr="002A69BB" w:rsidTr="00203192">
        <w:trPr>
          <w:cantSplit/>
          <w:trHeight w:val="20"/>
          <w:jc w:val="center"/>
        </w:trPr>
        <w:tc>
          <w:tcPr>
            <w:tcW w:w="3060" w:type="dxa"/>
            <w:shd w:val="clear" w:color="auto" w:fill="E6E6E6"/>
            <w:vAlign w:val="bottom"/>
            <w:hideMark/>
          </w:tcPr>
          <w:p w:rsidR="00B0519B" w:rsidRPr="00B47203" w:rsidRDefault="00B0519B" w:rsidP="00101C2D">
            <w:pPr>
              <w:pStyle w:val="TableText"/>
              <w:rPr>
                <w:b/>
              </w:rPr>
            </w:pPr>
            <w:r w:rsidRPr="00B47203">
              <w:rPr>
                <w:b/>
              </w:rPr>
              <w:t>Distortion of Limb/Spine</w:t>
            </w:r>
          </w:p>
        </w:tc>
        <w:tc>
          <w:tcPr>
            <w:tcW w:w="1170" w:type="dxa"/>
            <w:shd w:val="clear" w:color="auto" w:fill="auto"/>
            <w:noWrap/>
            <w:vAlign w:val="bottom"/>
            <w:hideMark/>
          </w:tcPr>
          <w:p w:rsidR="00B0519B" w:rsidRPr="00B47203" w:rsidRDefault="00B0519B" w:rsidP="00101C2D">
            <w:pPr>
              <w:pStyle w:val="TableText"/>
              <w:jc w:val="center"/>
            </w:pPr>
            <w:r w:rsidRPr="00B47203">
              <w:t>73</w:t>
            </w:r>
          </w:p>
        </w:tc>
        <w:tc>
          <w:tcPr>
            <w:tcW w:w="1080" w:type="dxa"/>
            <w:shd w:val="clear" w:color="auto" w:fill="auto"/>
            <w:noWrap/>
            <w:vAlign w:val="bottom"/>
            <w:hideMark/>
          </w:tcPr>
          <w:p w:rsidR="00B0519B" w:rsidRPr="00B47203" w:rsidRDefault="00B0519B" w:rsidP="00101C2D">
            <w:pPr>
              <w:pStyle w:val="TableText"/>
              <w:jc w:val="center"/>
            </w:pPr>
            <w:r w:rsidRPr="00B47203">
              <w:t>163</w:t>
            </w:r>
          </w:p>
        </w:tc>
        <w:tc>
          <w:tcPr>
            <w:tcW w:w="1170" w:type="dxa"/>
            <w:shd w:val="clear" w:color="auto" w:fill="auto"/>
            <w:noWrap/>
            <w:vAlign w:val="bottom"/>
            <w:hideMark/>
          </w:tcPr>
          <w:p w:rsidR="00B0519B" w:rsidRPr="00B47203" w:rsidRDefault="00B0519B" w:rsidP="00101C2D">
            <w:pPr>
              <w:pStyle w:val="TableText"/>
              <w:jc w:val="center"/>
            </w:pPr>
            <w:r w:rsidRPr="00B47203">
              <w:t>162</w:t>
            </w:r>
          </w:p>
        </w:tc>
        <w:tc>
          <w:tcPr>
            <w:tcW w:w="2880" w:type="dxa"/>
            <w:shd w:val="clear" w:color="auto" w:fill="auto"/>
            <w:noWrap/>
            <w:vAlign w:val="bottom"/>
            <w:hideMark/>
          </w:tcPr>
          <w:p w:rsidR="00B0519B" w:rsidRPr="00B47203" w:rsidRDefault="00B0519B" w:rsidP="00101C2D">
            <w:pPr>
              <w:pStyle w:val="TableText"/>
              <w:jc w:val="center"/>
            </w:pPr>
            <w:r w:rsidRPr="00B47203">
              <w:t>4</w:t>
            </w:r>
          </w:p>
        </w:tc>
      </w:tr>
    </w:tbl>
    <w:p w:rsidR="00B0519B" w:rsidRDefault="00B0519B" w:rsidP="00B0519B">
      <w:pPr>
        <w:pStyle w:val="TableNote"/>
        <w:spacing w:after="120"/>
      </w:pPr>
      <w:r w:rsidRPr="00B62625">
        <w:rPr>
          <w:b/>
        </w:rPr>
        <w:t>Source:</w:t>
      </w:r>
      <w:r w:rsidRPr="00474615">
        <w:t xml:space="preserve"> EEOC</w:t>
      </w:r>
      <w:r>
        <w:t>’</w:t>
      </w:r>
      <w:r w:rsidRPr="00474615">
        <w:t>s Annual Report on the Federal Workforce, 2009.</w:t>
      </w:r>
      <w:r>
        <w:t xml:space="preserve"> </w:t>
      </w:r>
      <w:r w:rsidRPr="00474615">
        <w:t xml:space="preserve">See </w:t>
      </w:r>
      <w:hyperlink r:id="rId27" w:history="1">
        <w:r w:rsidRPr="002B0880">
          <w:rPr>
            <w:rStyle w:val="Hyperlink"/>
          </w:rPr>
          <w:t>http://www.eeoc.gov/federal/reports/fsp2009/appendix4.cfm</w:t>
        </w:r>
      </w:hyperlink>
      <w:r w:rsidRPr="00474615">
        <w:t>, Table 6.</w:t>
      </w:r>
    </w:p>
    <w:p w:rsidR="00B0519B" w:rsidRPr="00094C24" w:rsidRDefault="00B0519B" w:rsidP="00B0519B">
      <w:pPr>
        <w:pStyle w:val="TableNote"/>
      </w:pPr>
      <w:r w:rsidRPr="00657ABE">
        <w:rPr>
          <w:b/>
        </w:rPr>
        <w:t>Note:</w:t>
      </w:r>
      <w:r w:rsidRPr="00094C24">
        <w:t xml:space="preserve"> The EEOC defines </w:t>
      </w:r>
      <w:r>
        <w:t>“</w:t>
      </w:r>
      <w:r w:rsidRPr="00094C24">
        <w:t>targeted disabilities</w:t>
      </w:r>
      <w:r>
        <w:t>”</w:t>
      </w:r>
      <w:r w:rsidRPr="00094C24">
        <w:t xml:space="preserve"> as: Hearing impairments, Vision impairments, Missing extremities, Partial paralysis, Complete paralysis, Other impairments including convulsive disorder (e.g., epilepsy), mental retardation, mental or emotional illness, and sever distortion of limbs and or spine (e.g., dwarfism, kyphosis)</w:t>
      </w:r>
    </w:p>
    <w:p w:rsidR="00B0519B" w:rsidRPr="00474615" w:rsidRDefault="00B0519B" w:rsidP="00B0519B">
      <w:pPr>
        <w:pStyle w:val="BodyText"/>
      </w:pPr>
      <w:r w:rsidRPr="00474615">
        <w:t xml:space="preserve">NCD </w:t>
      </w:r>
      <w:r>
        <w:t>s</w:t>
      </w:r>
      <w:r w:rsidRPr="00474615">
        <w:t>takeholders have commented on the lack of knowledge at the state and local levels about the new federal initiative to increase hiring of people with disabilities</w:t>
      </w:r>
      <w:r>
        <w:t>, even though</w:t>
      </w:r>
      <w:r w:rsidRPr="00474615">
        <w:t xml:space="preserve"> the </w:t>
      </w:r>
      <w:r>
        <w:t>vast</w:t>
      </w:r>
      <w:r w:rsidRPr="00474615">
        <w:t xml:space="preserve"> majority of federal jobs are not located within the nation</w:t>
      </w:r>
      <w:r>
        <w:t>’</w:t>
      </w:r>
      <w:r w:rsidRPr="00474615">
        <w:t xml:space="preserve">s capital. </w:t>
      </w:r>
    </w:p>
    <w:p w:rsidR="00B0519B" w:rsidRDefault="00B0519B" w:rsidP="00B0519B">
      <w:pPr>
        <w:pStyle w:val="BodyText"/>
        <w:rPr>
          <w:color w:val="000000"/>
        </w:rPr>
      </w:pPr>
      <w:r w:rsidRPr="00474615">
        <w:t xml:space="preserve">People with disabilities have been disproportionately </w:t>
      </w:r>
      <w:r>
        <w:t>harmed</w:t>
      </w:r>
      <w:r w:rsidRPr="00474615">
        <w:t xml:space="preserve"> by the recent downturn in the economy. Data from the Current Population Survey indicate</w:t>
      </w:r>
      <w:r>
        <w:t>s</w:t>
      </w:r>
      <w:r w:rsidRPr="00474615">
        <w:t xml:space="preserve"> </w:t>
      </w:r>
      <w:r>
        <w:t xml:space="preserve">that </w:t>
      </w:r>
      <w:r w:rsidRPr="00474615">
        <w:t xml:space="preserve">between October 2008 and June 2011, job loss among workers with disabilities far exceeded that </w:t>
      </w:r>
      <w:r w:rsidRPr="00C77951">
        <w:t>of workers without disabilities, with the proportion of employed U.S. workers identified as having disabilities declining by 9 percent.</w:t>
      </w:r>
      <w:r w:rsidRPr="001C6B71">
        <w:rPr>
          <w:rStyle w:val="EndnoteReference"/>
          <w:szCs w:val="24"/>
        </w:rPr>
        <w:endnoteReference w:id="102"/>
      </w:r>
      <w:r w:rsidRPr="00C77951">
        <w:t xml:space="preserve"> </w:t>
      </w:r>
      <w:r w:rsidRPr="00C77951">
        <w:rPr>
          <w:color w:val="000000"/>
        </w:rPr>
        <w:t>Many laid</w:t>
      </w:r>
      <w:r>
        <w:rPr>
          <w:color w:val="000000"/>
        </w:rPr>
        <w:t>-</w:t>
      </w:r>
      <w:r w:rsidRPr="00C77951">
        <w:rPr>
          <w:color w:val="000000"/>
        </w:rPr>
        <w:t>off workers with disabilities entered the Social Security Disability Insurance rolls.</w:t>
      </w:r>
      <w:r w:rsidRPr="001C6B71">
        <w:rPr>
          <w:rStyle w:val="EndnoteReference"/>
          <w:szCs w:val="24"/>
        </w:rPr>
        <w:endnoteReference w:id="103"/>
      </w:r>
    </w:p>
    <w:p w:rsidR="00B0519B" w:rsidRPr="00474615" w:rsidRDefault="00B0519B" w:rsidP="00B0519B">
      <w:pPr>
        <w:pStyle w:val="BodyText"/>
      </w:pPr>
      <w:r w:rsidRPr="00474615">
        <w:t>In addition, the labor force participation</w:t>
      </w:r>
      <w:r w:rsidR="000E501F">
        <w:t xml:space="preserve"> of people with disabilities </w:t>
      </w:r>
      <w:r w:rsidRPr="00474615">
        <w:t xml:space="preserve">lags behind </w:t>
      </w:r>
      <w:r>
        <w:t xml:space="preserve">that of </w:t>
      </w:r>
      <w:r w:rsidRPr="00474615">
        <w:t>people without disabilities. The most recent data, released in July 2011 by the Department of Labor</w:t>
      </w:r>
      <w:r>
        <w:t>’</w:t>
      </w:r>
      <w:r w:rsidRPr="00474615">
        <w:t xml:space="preserve">s </w:t>
      </w:r>
      <w:bookmarkStart w:id="57" w:name="OLE_LINK9"/>
      <w:r w:rsidRPr="00474615">
        <w:t xml:space="preserve">Bureau of Labor Statistics, shows that only 32.8 percent of </w:t>
      </w:r>
      <w:r w:rsidRPr="00474615">
        <w:lastRenderedPageBreak/>
        <w:t>working age people (</w:t>
      </w:r>
      <w:r>
        <w:t xml:space="preserve">ages </w:t>
      </w:r>
      <w:r w:rsidRPr="00474615">
        <w:t>16</w:t>
      </w:r>
      <w:r>
        <w:t xml:space="preserve"> to </w:t>
      </w:r>
      <w:r w:rsidRPr="00474615">
        <w:t xml:space="preserve">64) with disabilities are actually in the </w:t>
      </w:r>
      <w:r>
        <w:t xml:space="preserve">U.S. </w:t>
      </w:r>
      <w:r w:rsidRPr="00474615">
        <w:t xml:space="preserve">workforce. </w:t>
      </w:r>
      <w:bookmarkEnd w:id="57"/>
      <w:r>
        <w:t>By</w:t>
      </w:r>
      <w:r w:rsidRPr="00474615">
        <w:t xml:space="preserve"> comparison, the participation rate for people reporting no disabilities is 77.2 percent.</w:t>
      </w:r>
      <w:r>
        <w:t xml:space="preserve"> </w:t>
      </w:r>
      <w:r w:rsidRPr="00474615">
        <w:t>Moreover, disabled workers</w:t>
      </w:r>
      <w:r>
        <w:t>’</w:t>
      </w:r>
      <w:r w:rsidRPr="00474615">
        <w:t xml:space="preserve"> income is </w:t>
      </w:r>
      <w:r>
        <w:t xml:space="preserve">on average </w:t>
      </w:r>
      <w:r w:rsidRPr="00474615">
        <w:t xml:space="preserve">one-third less than </w:t>
      </w:r>
      <w:r>
        <w:t xml:space="preserve">the income of </w:t>
      </w:r>
      <w:r w:rsidRPr="00474615">
        <w:t>their nondisabled coworkers.</w:t>
      </w:r>
    </w:p>
    <w:p w:rsidR="00B0519B" w:rsidRPr="00C77951" w:rsidRDefault="00B0519B" w:rsidP="00B0519B">
      <w:pPr>
        <w:pStyle w:val="BodyText"/>
        <w:rPr>
          <w:color w:val="000000"/>
        </w:rPr>
      </w:pPr>
      <w:r>
        <w:t>F</w:t>
      </w:r>
      <w:r w:rsidRPr="00C77951">
        <w:t xml:space="preserve">ew federal programs </w:t>
      </w:r>
      <w:r>
        <w:t xml:space="preserve">are </w:t>
      </w:r>
      <w:r w:rsidRPr="00C77951">
        <w:t xml:space="preserve">designed to directly provide vocational services, including job placement, for individuals with disabilities. </w:t>
      </w:r>
      <w:r w:rsidRPr="00C77951">
        <w:rPr>
          <w:color w:val="000000"/>
        </w:rPr>
        <w:t xml:space="preserve">Of the total $429 billion in state and federal spending on supports and services for working-age people with disabilities in 2008, </w:t>
      </w:r>
      <w:r>
        <w:rPr>
          <w:color w:val="000000"/>
        </w:rPr>
        <w:t xml:space="preserve">some </w:t>
      </w:r>
      <w:r w:rsidRPr="00C77951">
        <w:rPr>
          <w:color w:val="000000"/>
        </w:rPr>
        <w:t>95 percent went toward health care and income maintenance, with only part of the remaining 5 percent allocated to improving employment and economic independence.</w:t>
      </w:r>
      <w:r w:rsidRPr="001C6B71">
        <w:rPr>
          <w:rStyle w:val="EndnoteReference"/>
          <w:szCs w:val="24"/>
        </w:rPr>
        <w:endnoteReference w:id="104"/>
      </w:r>
    </w:p>
    <w:p w:rsidR="00B0519B" w:rsidRPr="00474615" w:rsidRDefault="00B0519B" w:rsidP="00B0519B">
      <w:pPr>
        <w:pStyle w:val="BodyText"/>
        <w:rPr>
          <w:b/>
        </w:rPr>
      </w:pPr>
      <w:r w:rsidRPr="00474615">
        <w:t xml:space="preserve">The Rehabilitation Services Administration, </w:t>
      </w:r>
      <w:r>
        <w:t xml:space="preserve">the </w:t>
      </w:r>
      <w:r w:rsidRPr="00474615">
        <w:t>Ticket to Work</w:t>
      </w:r>
      <w:r>
        <w:t xml:space="preserve"> program</w:t>
      </w:r>
      <w:r w:rsidRPr="00474615">
        <w:t xml:space="preserve"> </w:t>
      </w:r>
      <w:r>
        <w:t xml:space="preserve">of the </w:t>
      </w:r>
      <w:r w:rsidRPr="00474615">
        <w:t>Social Security Administration</w:t>
      </w:r>
      <w:r>
        <w:t>,</w:t>
      </w:r>
      <w:r w:rsidRPr="00474615">
        <w:t xml:space="preserve"> </w:t>
      </w:r>
      <w:r>
        <w:t xml:space="preserve">the </w:t>
      </w:r>
      <w:r w:rsidRPr="00474615">
        <w:t xml:space="preserve">One Stop </w:t>
      </w:r>
      <w:r>
        <w:t>Career C</w:t>
      </w:r>
      <w:r w:rsidRPr="00474615">
        <w:t>enter</w:t>
      </w:r>
      <w:r>
        <w:t>s</w:t>
      </w:r>
      <w:r w:rsidRPr="00474615">
        <w:t xml:space="preserve"> </w:t>
      </w:r>
      <w:r>
        <w:t xml:space="preserve">of the </w:t>
      </w:r>
      <w:r w:rsidRPr="00474615">
        <w:t>Department of Labor</w:t>
      </w:r>
      <w:r>
        <w:t>’</w:t>
      </w:r>
      <w:r w:rsidRPr="00474615">
        <w:t xml:space="preserve">s Employment </w:t>
      </w:r>
      <w:r>
        <w:t xml:space="preserve">and </w:t>
      </w:r>
      <w:r w:rsidRPr="00474615">
        <w:t>Training Administration</w:t>
      </w:r>
      <w:r>
        <w:t>,</w:t>
      </w:r>
      <w:r w:rsidRPr="00474615">
        <w:t xml:space="preserve"> and the Vocational Rehabilitation and Counseling program of the </w:t>
      </w:r>
      <w:r>
        <w:t xml:space="preserve">Department of </w:t>
      </w:r>
      <w:r w:rsidRPr="00474615">
        <w:t>Veterans A</w:t>
      </w:r>
      <w:r>
        <w:t>ffairs</w:t>
      </w:r>
      <w:r w:rsidRPr="00474615">
        <w:t xml:space="preserve"> </w:t>
      </w:r>
      <w:r>
        <w:t>a</w:t>
      </w:r>
      <w:r w:rsidRPr="00474615">
        <w:t>ll are s</w:t>
      </w:r>
      <w:r>
        <w:t>truggling</w:t>
      </w:r>
      <w:r w:rsidRPr="00474615">
        <w:t xml:space="preserve"> </w:t>
      </w:r>
      <w:r>
        <w:t>to</w:t>
      </w:r>
      <w:r w:rsidRPr="00474615">
        <w:t xml:space="preserve"> accomplish </w:t>
      </w:r>
      <w:r>
        <w:t xml:space="preserve">their </w:t>
      </w:r>
      <w:r w:rsidRPr="00474615">
        <w:t xml:space="preserve">goals, as unemployment rates have hit double digits in many states and are perilously close </w:t>
      </w:r>
      <w:r>
        <w:t>in others</w:t>
      </w:r>
      <w:r w:rsidRPr="00474615">
        <w:t xml:space="preserve">. As state and local programs grapple with budget </w:t>
      </w:r>
      <w:r>
        <w:t>deficits</w:t>
      </w:r>
      <w:r w:rsidRPr="00474615">
        <w:t>, they have reduced state funding</w:t>
      </w:r>
      <w:r>
        <w:t xml:space="preserve"> with the</w:t>
      </w:r>
      <w:r w:rsidRPr="00474615">
        <w:t xml:space="preserve"> result </w:t>
      </w:r>
      <w:r>
        <w:t>that</w:t>
      </w:r>
      <w:r w:rsidRPr="00474615">
        <w:t xml:space="preserve"> federal fund</w:t>
      </w:r>
      <w:r>
        <w:t xml:space="preserve"> matches are not </w:t>
      </w:r>
      <w:r w:rsidRPr="00474615">
        <w:t>being u</w:t>
      </w:r>
      <w:r>
        <w:t>sed</w:t>
      </w:r>
      <w:r w:rsidRPr="00474615">
        <w:t xml:space="preserve"> </w:t>
      </w:r>
      <w:r>
        <w:t xml:space="preserve">in states </w:t>
      </w:r>
      <w:r w:rsidRPr="00474615">
        <w:t xml:space="preserve">where people with disabilities </w:t>
      </w:r>
      <w:r>
        <w:t>need them most urgently</w:t>
      </w:r>
      <w:r w:rsidRPr="00474615">
        <w:t>. Waiting lists, staff reductions, lack of clear performance outcomes</w:t>
      </w:r>
      <w:r>
        <w:t>,</w:t>
      </w:r>
      <w:r w:rsidRPr="00474615">
        <w:t xml:space="preserve"> and lack of collaboration among federal agencies serving people with disabilities have resulted in the loss of important job training and placement services across the </w:t>
      </w:r>
      <w:r>
        <w:t>nation</w:t>
      </w:r>
      <w:r w:rsidRPr="00474615">
        <w:t xml:space="preserve">. </w:t>
      </w:r>
    </w:p>
    <w:p w:rsidR="00B0519B" w:rsidRPr="00474615" w:rsidRDefault="00B0519B" w:rsidP="00B0519B">
      <w:pPr>
        <w:pStyle w:val="BodyText"/>
      </w:pPr>
      <w:r>
        <w:t>A further</w:t>
      </w:r>
      <w:r w:rsidRPr="00474615">
        <w:t xml:space="preserve"> focus on community</w:t>
      </w:r>
      <w:r>
        <w:t>-</w:t>
      </w:r>
      <w:r w:rsidRPr="00474615">
        <w:t>based, integrated employment</w:t>
      </w:r>
      <w:r>
        <w:t xml:space="preserve"> could improve employment levels</w:t>
      </w:r>
      <w:r w:rsidRPr="00474615">
        <w:t>.</w:t>
      </w:r>
      <w:r>
        <w:t xml:space="preserve"> </w:t>
      </w:r>
      <w:r w:rsidRPr="00474615">
        <w:t xml:space="preserve">Too many people with disabilities are </w:t>
      </w:r>
      <w:r>
        <w:t>relegated to</w:t>
      </w:r>
      <w:r w:rsidRPr="00474615">
        <w:t xml:space="preserve"> sheltered workshops</w:t>
      </w:r>
      <w:r>
        <w:t>, making</w:t>
      </w:r>
      <w:r w:rsidRPr="00474615">
        <w:t xml:space="preserve"> below minimum wage. Demonstration projects should be directed to better identify best practices and models for proper assessment and placement geared toward community</w:t>
      </w:r>
      <w:r>
        <w:t>-</w:t>
      </w:r>
      <w:r w:rsidRPr="00474615">
        <w:t xml:space="preserve">based employment. </w:t>
      </w:r>
    </w:p>
    <w:p w:rsidR="00B0519B" w:rsidRDefault="00B0519B" w:rsidP="00B0519B">
      <w:pPr>
        <w:pStyle w:val="BodyText"/>
      </w:pPr>
      <w:r w:rsidRPr="00474615">
        <w:t>Fear of a loss of benefits is another barrier to employment for people with disabilities.</w:t>
      </w:r>
      <w:r>
        <w:t xml:space="preserve"> </w:t>
      </w:r>
      <w:r w:rsidRPr="00474615">
        <w:t xml:space="preserve">Social Security and Medicaid beneficiaries, in particular, fear </w:t>
      </w:r>
      <w:r>
        <w:t>losing</w:t>
      </w:r>
      <w:r w:rsidRPr="00474615">
        <w:t xml:space="preserve"> income supports, </w:t>
      </w:r>
      <w:r w:rsidRPr="00474615">
        <w:lastRenderedPageBreak/>
        <w:t>housing assistance, or Medicaid, which covers many long-term services needed for people with disabilities to live independently</w:t>
      </w:r>
      <w:r>
        <w:t>—</w:t>
      </w:r>
      <w:r w:rsidRPr="00474615">
        <w:t>services not typically covered by private health insurance.</w:t>
      </w:r>
      <w:r>
        <w:t xml:space="preserve"> </w:t>
      </w:r>
      <w:r w:rsidRPr="00474615">
        <w:t>People who acquire a disability while working</w:t>
      </w:r>
      <w:r>
        <w:t xml:space="preserve"> </w:t>
      </w:r>
      <w:r w:rsidRPr="00474615">
        <w:t>often must stop working to obtain</w:t>
      </w:r>
      <w:r>
        <w:t xml:space="preserve"> necessary</w:t>
      </w:r>
      <w:r w:rsidRPr="00474615">
        <w:t xml:space="preserve"> disability-related supports and services.</w:t>
      </w:r>
      <w:r w:rsidRPr="001C6B71">
        <w:rPr>
          <w:rStyle w:val="EndnoteReference"/>
          <w:szCs w:val="24"/>
        </w:rPr>
        <w:endnoteReference w:id="105"/>
      </w:r>
      <w:r w:rsidRPr="00474615">
        <w:t xml:space="preserve"> Our public policies should support work</w:t>
      </w:r>
      <w:r>
        <w:t>, not impede it</w:t>
      </w:r>
      <w:r w:rsidRPr="00474615">
        <w:t>.</w:t>
      </w:r>
    </w:p>
    <w:tbl>
      <w:tblPr>
        <w:tblW w:w="9360" w:type="dxa"/>
        <w:jc w:val="center"/>
        <w:tblBorders>
          <w:top w:val="single" w:sz="4" w:space="0" w:color="000000"/>
          <w:left w:val="single" w:sz="4" w:space="0" w:color="000000"/>
          <w:bottom w:val="single" w:sz="4" w:space="0" w:color="000000"/>
          <w:right w:val="single" w:sz="4" w:space="0" w:color="000000"/>
        </w:tblBorders>
        <w:shd w:val="clear" w:color="auto" w:fill="E6E6E6"/>
        <w:tblLayout w:type="fixed"/>
        <w:tblCellMar>
          <w:left w:w="115" w:type="dxa"/>
          <w:right w:w="115" w:type="dxa"/>
        </w:tblCellMar>
        <w:tblLook w:val="0620" w:firstRow="1" w:lastRow="0" w:firstColumn="0" w:lastColumn="0" w:noHBand="1" w:noVBand="1"/>
      </w:tblPr>
      <w:tblGrid>
        <w:gridCol w:w="9360"/>
      </w:tblGrid>
      <w:tr w:rsidR="00B0519B" w:rsidRPr="00FF6039" w:rsidTr="00203192">
        <w:trPr>
          <w:trHeight w:val="20"/>
          <w:jc w:val="center"/>
        </w:trPr>
        <w:tc>
          <w:tcPr>
            <w:tcW w:w="9360" w:type="dxa"/>
            <w:shd w:val="clear" w:color="auto" w:fill="E6E6E6"/>
            <w:vAlign w:val="bottom"/>
          </w:tcPr>
          <w:p w:rsidR="00B0519B" w:rsidRPr="00FF6039" w:rsidRDefault="00B0519B" w:rsidP="00101C2D">
            <w:pPr>
              <w:pStyle w:val="TableHead"/>
              <w:spacing w:before="60" w:after="120"/>
              <w:jc w:val="left"/>
            </w:pPr>
            <w:r w:rsidRPr="00FF6039">
              <w:t>NCD recommends:</w:t>
            </w:r>
          </w:p>
        </w:tc>
      </w:tr>
      <w:tr w:rsidR="00B0519B" w:rsidRPr="00430923" w:rsidTr="00203192">
        <w:trPr>
          <w:trHeight w:val="20"/>
          <w:jc w:val="center"/>
        </w:trPr>
        <w:tc>
          <w:tcPr>
            <w:tcW w:w="9360" w:type="dxa"/>
            <w:shd w:val="clear" w:color="auto" w:fill="E6E6E6"/>
            <w:vAlign w:val="bottom"/>
          </w:tcPr>
          <w:p w:rsidR="00B0519B" w:rsidRPr="00F05475" w:rsidRDefault="00B0519B" w:rsidP="00B0519B">
            <w:pPr>
              <w:pStyle w:val="TableTextList"/>
              <w:numPr>
                <w:ilvl w:val="0"/>
                <w:numId w:val="30"/>
              </w:numPr>
              <w:ind w:left="425"/>
            </w:pPr>
            <w:r w:rsidRPr="00F05475">
              <w:t>The Office of Disability Employment Policy (ODEP) should conduct an information awareness campaign to dispel myths about disability and educate employers about the benefits of hiring employees with disabilities through a variety of media outlets, involving the disability and business communities in the process of developing the campaign.</w:t>
            </w:r>
          </w:p>
          <w:p w:rsidR="00B0519B" w:rsidRPr="00F05475" w:rsidRDefault="00B0519B" w:rsidP="00101C2D">
            <w:pPr>
              <w:pStyle w:val="TableTextList"/>
              <w:ind w:left="425"/>
            </w:pPr>
            <w:r w:rsidRPr="00F05475">
              <w:t xml:space="preserve">Ways to make reasonable accommodation expertise and assistance more readily available in the workplace should be explored, instead of limiting these services to those seemingly unable to work or </w:t>
            </w:r>
            <w:r w:rsidR="000E501F">
              <w:t xml:space="preserve">those </w:t>
            </w:r>
            <w:r w:rsidRPr="00F05475">
              <w:t>with a significant disability.</w:t>
            </w:r>
          </w:p>
          <w:p w:rsidR="00B0519B" w:rsidRPr="00F05475" w:rsidRDefault="00B0519B" w:rsidP="00101C2D">
            <w:pPr>
              <w:pStyle w:val="TableTextList"/>
              <w:ind w:left="425"/>
            </w:pPr>
            <w:r w:rsidRPr="00F05475">
              <w:t>Congress should legislate a universal Medicaid buy-in option for people with disabilities who work.</w:t>
            </w:r>
          </w:p>
          <w:p w:rsidR="00B0519B" w:rsidRPr="00F05475" w:rsidRDefault="00B0519B" w:rsidP="00101C2D">
            <w:pPr>
              <w:pStyle w:val="TableTextList"/>
              <w:ind w:left="425"/>
            </w:pPr>
            <w:r w:rsidRPr="00F05475">
              <w:t>The Rehabilitation Services Administration should develop technical assistance tools to help state and local governments better understand, communicate, and disseminate information on federal initiatives to increase federal employment of people with disabilities.</w:t>
            </w:r>
          </w:p>
          <w:p w:rsidR="00B0519B" w:rsidRDefault="00B0519B" w:rsidP="00101C2D">
            <w:pPr>
              <w:pStyle w:val="TableTextList"/>
              <w:ind w:left="425"/>
            </w:pPr>
            <w:r w:rsidRPr="00F05475">
              <w:t>The Department of Labor should support innovative ways for employers to provide leadership in the design and implementation of employment programs.</w:t>
            </w:r>
          </w:p>
          <w:p w:rsidR="00B0519B" w:rsidRPr="00F05475" w:rsidRDefault="00B0519B" w:rsidP="00101C2D">
            <w:pPr>
              <w:pStyle w:val="TableTextList"/>
              <w:spacing w:after="60"/>
              <w:ind w:left="432"/>
            </w:pPr>
            <w:r w:rsidRPr="00F05475">
              <w:t>ODEP and the Employment Equal Opportunity Commission should work together to update and reissue resources and guidance relating to the rights of employees with disabilities in light of new regulations implementing the ADA Amendments Act of 2008. Emphasis should be placed both on the new populations that may be covered as a result of the broader definition of disability under this Act and on any unique accommodation needs that newly covered populations may possess.</w:t>
            </w:r>
          </w:p>
        </w:tc>
      </w:tr>
    </w:tbl>
    <w:p w:rsidR="00B0519B" w:rsidRDefault="00B0519B" w:rsidP="00B0519B">
      <w:pPr>
        <w:pStyle w:val="Heading2"/>
      </w:pPr>
      <w:bookmarkStart w:id="58" w:name="_Toc304437156"/>
      <w:r>
        <w:t>Financial Status</w:t>
      </w:r>
      <w:bookmarkEnd w:id="58"/>
    </w:p>
    <w:p w:rsidR="00B0519B" w:rsidRDefault="00B0519B" w:rsidP="00B0519B">
      <w:pPr>
        <w:pStyle w:val="BodyText"/>
        <w:ind w:right="-90"/>
      </w:pPr>
      <w:r w:rsidRPr="005117EB">
        <w:t xml:space="preserve">Since 1981, the income gap among households with and without a person with a work limitation </w:t>
      </w:r>
      <w:r>
        <w:t>(</w:t>
      </w:r>
      <w:r w:rsidRPr="00C71AFC">
        <w:t xml:space="preserve">the </w:t>
      </w:r>
      <w:r w:rsidRPr="00F34820">
        <w:t xml:space="preserve">Current Population Survey </w:t>
      </w:r>
      <w:r w:rsidRPr="00C71AFC">
        <w:t>definition</w:t>
      </w:r>
      <w:r>
        <w:t xml:space="preserve"> of “disability”) </w:t>
      </w:r>
      <w:r w:rsidRPr="005117EB">
        <w:t xml:space="preserve">has grown steadily, from a difference of about $19,000 in 1980 (in 2008 dollars) to </w:t>
      </w:r>
      <w:r>
        <w:t>nearly</w:t>
      </w:r>
      <w:r w:rsidRPr="005117EB">
        <w:t xml:space="preserve"> $28,000 in 2008.</w:t>
      </w:r>
      <w:r w:rsidRPr="001C6B71">
        <w:rPr>
          <w:rStyle w:val="EndnoteReference"/>
          <w:szCs w:val="24"/>
        </w:rPr>
        <w:endnoteReference w:id="106"/>
      </w:r>
      <w:r>
        <w:t xml:space="preserve"> </w:t>
      </w:r>
      <w:r w:rsidRPr="005117EB">
        <w:lastRenderedPageBreak/>
        <w:t xml:space="preserve">Median earnings for </w:t>
      </w:r>
      <w:r>
        <w:t>people</w:t>
      </w:r>
      <w:r w:rsidRPr="005117EB">
        <w:t xml:space="preserve"> with disabilities dropped 7 percent from 2008</w:t>
      </w:r>
      <w:r>
        <w:t xml:space="preserve"> to </w:t>
      </w:r>
      <w:r w:rsidRPr="005117EB">
        <w:t>2009, 2 percentage points more than the drop for persons without disabilities (5</w:t>
      </w:r>
      <w:r>
        <w:t> </w:t>
      </w:r>
      <w:r w:rsidRPr="005117EB">
        <w:t>percent)</w:t>
      </w:r>
      <w:r>
        <w:t>.</w:t>
      </w:r>
      <w:r w:rsidRPr="005117EB">
        <w:t xml:space="preserve"> </w:t>
      </w:r>
      <w:r>
        <w:t xml:space="preserve">(See Tables 12a, 12b, 12c, and 12d). </w:t>
      </w:r>
      <w:r w:rsidRPr="005117EB">
        <w:t>The number of people with disabilities living in poverty remains nearly three times the number of people without disabilities</w:t>
      </w:r>
      <w:r>
        <w:t xml:space="preserve"> Table 13)</w:t>
      </w:r>
      <w:r w:rsidRPr="005117EB">
        <w:t>.</w:t>
      </w:r>
      <w:r>
        <w:t xml:space="preserve"> </w:t>
      </w:r>
    </w:p>
    <w:p w:rsidR="00B0519B" w:rsidRDefault="00B0519B" w:rsidP="00B0519B">
      <w:pPr>
        <w:pStyle w:val="NCDTableNumber"/>
      </w:pPr>
      <w:r w:rsidRPr="003C6C51">
        <w:t>Table 1</w:t>
      </w:r>
      <w:r>
        <w:t>2a.</w:t>
      </w:r>
    </w:p>
    <w:p w:rsidR="00B0519B" w:rsidRPr="003C6C51" w:rsidRDefault="00B0519B" w:rsidP="00B0519B">
      <w:pPr>
        <w:pStyle w:val="TableTitle"/>
      </w:pPr>
      <w:r w:rsidRPr="003C6C51">
        <w:t xml:space="preserve">Median Household Income </w:t>
      </w:r>
      <w:r>
        <w:t>a</w:t>
      </w:r>
      <w:r w:rsidRPr="003C6C51">
        <w:t xml:space="preserve">mong Households </w:t>
      </w:r>
      <w:r>
        <w:t>with Individuals with and w</w:t>
      </w:r>
      <w:r w:rsidRPr="003C6C51">
        <w:t>ithout a Work Limitation, 1980</w:t>
      </w:r>
      <w:r>
        <w:t>–</w:t>
      </w:r>
      <w:r w:rsidRPr="003C6C51">
        <w:t>88</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1293"/>
        <w:gridCol w:w="897"/>
        <w:gridCol w:w="897"/>
        <w:gridCol w:w="897"/>
        <w:gridCol w:w="896"/>
        <w:gridCol w:w="896"/>
        <w:gridCol w:w="896"/>
        <w:gridCol w:w="896"/>
        <w:gridCol w:w="896"/>
        <w:gridCol w:w="896"/>
      </w:tblGrid>
      <w:tr w:rsidR="00B0519B" w:rsidRPr="00811A1E" w:rsidTr="00203192">
        <w:trPr>
          <w:cantSplit/>
          <w:tblHeader/>
          <w:jc w:val="center"/>
        </w:trPr>
        <w:tc>
          <w:tcPr>
            <w:tcW w:w="1245"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1980</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1981</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1982</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1983</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1984</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1985</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1986</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1987</w:t>
            </w:r>
          </w:p>
        </w:tc>
        <w:tc>
          <w:tcPr>
            <w:tcW w:w="864" w:type="dxa"/>
            <w:tcBorders>
              <w:top w:val="single" w:sz="18" w:space="0" w:color="auto"/>
              <w:bottom w:val="single" w:sz="18" w:space="0" w:color="auto"/>
            </w:tcBorders>
            <w:shd w:val="clear" w:color="auto" w:fill="E6E6E6"/>
            <w:vAlign w:val="bottom"/>
          </w:tcPr>
          <w:p w:rsidR="00B0519B" w:rsidRPr="00811A1E" w:rsidRDefault="00B0519B" w:rsidP="00101C2D">
            <w:pPr>
              <w:pStyle w:val="TableHead"/>
              <w:rPr>
                <w:sz w:val="22"/>
              </w:rPr>
            </w:pPr>
            <w:r w:rsidRPr="00811A1E">
              <w:rPr>
                <w:sz w:val="22"/>
              </w:rPr>
              <w:t>1988</w:t>
            </w:r>
          </w:p>
        </w:tc>
      </w:tr>
      <w:tr w:rsidR="00B0519B" w:rsidRPr="00811A1E" w:rsidTr="00203192">
        <w:trPr>
          <w:cantSplit/>
          <w:jc w:val="center"/>
        </w:trPr>
        <w:tc>
          <w:tcPr>
            <w:tcW w:w="1245" w:type="dxa"/>
            <w:tcBorders>
              <w:top w:val="single" w:sz="18" w:space="0" w:color="auto"/>
            </w:tcBorders>
            <w:shd w:val="clear" w:color="auto" w:fill="E6E6E6"/>
            <w:vAlign w:val="bottom"/>
          </w:tcPr>
          <w:p w:rsidR="00B0519B" w:rsidRPr="00811A1E" w:rsidRDefault="00B0519B" w:rsidP="00101C2D">
            <w:pPr>
              <w:pStyle w:val="TableText"/>
              <w:rPr>
                <w:b/>
                <w:sz w:val="22"/>
              </w:rPr>
            </w:pPr>
            <w:r w:rsidRPr="00811A1E">
              <w:rPr>
                <w:b/>
                <w:sz w:val="22"/>
              </w:rPr>
              <w:t>No person with work limitations in house</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51,500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50,500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50,100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49,900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51,500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52,800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55,000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55,700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56,100</w:t>
            </w:r>
          </w:p>
        </w:tc>
      </w:tr>
      <w:tr w:rsidR="00B0519B" w:rsidRPr="00811A1E" w:rsidTr="00203192">
        <w:trPr>
          <w:cantSplit/>
          <w:jc w:val="center"/>
        </w:trPr>
        <w:tc>
          <w:tcPr>
            <w:tcW w:w="1245" w:type="dxa"/>
            <w:shd w:val="clear" w:color="auto" w:fill="E6E6E6"/>
            <w:vAlign w:val="bottom"/>
          </w:tcPr>
          <w:p w:rsidR="00B0519B" w:rsidRPr="00811A1E" w:rsidRDefault="00B0519B" w:rsidP="00101C2D">
            <w:pPr>
              <w:pStyle w:val="TableText"/>
              <w:rPr>
                <w:b/>
                <w:sz w:val="22"/>
              </w:rPr>
            </w:pPr>
            <w:r w:rsidRPr="00811A1E">
              <w:rPr>
                <w:b/>
                <w:sz w:val="22"/>
              </w:rPr>
              <w:t>Person with work limitations in house</w:t>
            </w:r>
          </w:p>
        </w:tc>
        <w:tc>
          <w:tcPr>
            <w:tcW w:w="864" w:type="dxa"/>
            <w:shd w:val="clear" w:color="auto" w:fill="auto"/>
            <w:vAlign w:val="bottom"/>
          </w:tcPr>
          <w:p w:rsidR="00B0519B" w:rsidRPr="00D91142" w:rsidRDefault="00B0519B" w:rsidP="00101C2D">
            <w:pPr>
              <w:pStyle w:val="TableText"/>
              <w:rPr>
                <w:sz w:val="22"/>
              </w:rPr>
            </w:pPr>
            <w:r w:rsidRPr="00D91142">
              <w:rPr>
                <w:sz w:val="22"/>
              </w:rPr>
              <w:t>32,300</w:t>
            </w:r>
          </w:p>
        </w:tc>
        <w:tc>
          <w:tcPr>
            <w:tcW w:w="864" w:type="dxa"/>
            <w:shd w:val="clear" w:color="auto" w:fill="auto"/>
            <w:vAlign w:val="bottom"/>
          </w:tcPr>
          <w:p w:rsidR="00B0519B" w:rsidRPr="00D91142" w:rsidRDefault="00B0519B" w:rsidP="00101C2D">
            <w:pPr>
              <w:pStyle w:val="TableText"/>
              <w:rPr>
                <w:sz w:val="22"/>
              </w:rPr>
            </w:pPr>
            <w:r w:rsidRPr="00D91142">
              <w:rPr>
                <w:sz w:val="22"/>
              </w:rPr>
              <w:t>31,900</w:t>
            </w:r>
          </w:p>
        </w:tc>
        <w:tc>
          <w:tcPr>
            <w:tcW w:w="864" w:type="dxa"/>
            <w:shd w:val="clear" w:color="auto" w:fill="auto"/>
            <w:vAlign w:val="bottom"/>
          </w:tcPr>
          <w:p w:rsidR="00B0519B" w:rsidRPr="00D91142" w:rsidRDefault="00B0519B" w:rsidP="00101C2D">
            <w:pPr>
              <w:pStyle w:val="TableText"/>
              <w:rPr>
                <w:sz w:val="22"/>
              </w:rPr>
            </w:pPr>
            <w:r w:rsidRPr="00D91142">
              <w:rPr>
                <w:sz w:val="22"/>
              </w:rPr>
              <w:t>31,800</w:t>
            </w:r>
          </w:p>
        </w:tc>
        <w:tc>
          <w:tcPr>
            <w:tcW w:w="864" w:type="dxa"/>
            <w:shd w:val="clear" w:color="auto" w:fill="auto"/>
            <w:vAlign w:val="bottom"/>
          </w:tcPr>
          <w:p w:rsidR="00B0519B" w:rsidRPr="00D91142" w:rsidRDefault="00B0519B" w:rsidP="00101C2D">
            <w:pPr>
              <w:pStyle w:val="TableText"/>
              <w:rPr>
                <w:sz w:val="22"/>
              </w:rPr>
            </w:pPr>
            <w:r w:rsidRPr="00D91142">
              <w:rPr>
                <w:sz w:val="22"/>
              </w:rPr>
              <w:t>31,300</w:t>
            </w:r>
          </w:p>
        </w:tc>
        <w:tc>
          <w:tcPr>
            <w:tcW w:w="864" w:type="dxa"/>
            <w:shd w:val="clear" w:color="auto" w:fill="auto"/>
            <w:vAlign w:val="bottom"/>
          </w:tcPr>
          <w:p w:rsidR="00B0519B" w:rsidRPr="00D91142" w:rsidRDefault="00B0519B" w:rsidP="00101C2D">
            <w:pPr>
              <w:pStyle w:val="TableText"/>
              <w:rPr>
                <w:sz w:val="22"/>
              </w:rPr>
            </w:pPr>
            <w:r w:rsidRPr="00D91142">
              <w:rPr>
                <w:sz w:val="22"/>
              </w:rPr>
              <w:t>31,900</w:t>
            </w:r>
          </w:p>
        </w:tc>
        <w:tc>
          <w:tcPr>
            <w:tcW w:w="864" w:type="dxa"/>
            <w:shd w:val="clear" w:color="auto" w:fill="auto"/>
            <w:vAlign w:val="bottom"/>
          </w:tcPr>
          <w:p w:rsidR="00B0519B" w:rsidRPr="00D91142" w:rsidRDefault="00B0519B" w:rsidP="00101C2D">
            <w:pPr>
              <w:pStyle w:val="TableText"/>
              <w:rPr>
                <w:sz w:val="22"/>
              </w:rPr>
            </w:pPr>
            <w:r w:rsidRPr="00D91142">
              <w:rPr>
                <w:sz w:val="22"/>
              </w:rPr>
              <w:t>32,200</w:t>
            </w:r>
          </w:p>
        </w:tc>
        <w:tc>
          <w:tcPr>
            <w:tcW w:w="864" w:type="dxa"/>
            <w:shd w:val="clear" w:color="auto" w:fill="auto"/>
            <w:vAlign w:val="bottom"/>
          </w:tcPr>
          <w:p w:rsidR="00B0519B" w:rsidRPr="00D91142" w:rsidRDefault="00B0519B" w:rsidP="00101C2D">
            <w:pPr>
              <w:pStyle w:val="TableText"/>
              <w:rPr>
                <w:sz w:val="22"/>
              </w:rPr>
            </w:pPr>
            <w:r w:rsidRPr="00D91142">
              <w:rPr>
                <w:sz w:val="22"/>
              </w:rPr>
              <w:t>32,000</w:t>
            </w:r>
          </w:p>
        </w:tc>
        <w:tc>
          <w:tcPr>
            <w:tcW w:w="864" w:type="dxa"/>
            <w:shd w:val="clear" w:color="auto" w:fill="auto"/>
            <w:vAlign w:val="bottom"/>
          </w:tcPr>
          <w:p w:rsidR="00B0519B" w:rsidRPr="00D91142" w:rsidRDefault="00B0519B" w:rsidP="00101C2D">
            <w:pPr>
              <w:pStyle w:val="TableText"/>
              <w:rPr>
                <w:sz w:val="22"/>
              </w:rPr>
            </w:pPr>
            <w:r w:rsidRPr="00D91142">
              <w:rPr>
                <w:sz w:val="22"/>
              </w:rPr>
              <w:t>32,700</w:t>
            </w:r>
          </w:p>
        </w:tc>
        <w:tc>
          <w:tcPr>
            <w:tcW w:w="864" w:type="dxa"/>
            <w:shd w:val="clear" w:color="auto" w:fill="auto"/>
            <w:vAlign w:val="bottom"/>
          </w:tcPr>
          <w:p w:rsidR="00B0519B" w:rsidRPr="00D91142" w:rsidRDefault="00B0519B" w:rsidP="00101C2D">
            <w:pPr>
              <w:pStyle w:val="TableText"/>
              <w:rPr>
                <w:sz w:val="22"/>
              </w:rPr>
            </w:pPr>
            <w:r w:rsidRPr="00D91142">
              <w:rPr>
                <w:sz w:val="22"/>
              </w:rPr>
              <w:t>31,500</w:t>
            </w:r>
          </w:p>
        </w:tc>
      </w:tr>
    </w:tbl>
    <w:p w:rsidR="00B0519B" w:rsidRPr="003C6C51" w:rsidRDefault="00B0519B" w:rsidP="00B0519B">
      <w:pPr>
        <w:pStyle w:val="TableNote"/>
      </w:pPr>
    </w:p>
    <w:p w:rsidR="00B0519B" w:rsidRDefault="00B0519B" w:rsidP="00B0519B">
      <w:pPr>
        <w:pStyle w:val="NCDTableNumber"/>
      </w:pPr>
      <w:r w:rsidRPr="003C6C51">
        <w:t>Table 1</w:t>
      </w:r>
      <w:r>
        <w:t>2b.</w:t>
      </w:r>
    </w:p>
    <w:p w:rsidR="00B0519B" w:rsidRPr="003C6C51" w:rsidRDefault="00B0519B" w:rsidP="00B0519B">
      <w:pPr>
        <w:pStyle w:val="TableTitle"/>
      </w:pPr>
      <w:r w:rsidRPr="003C6C51">
        <w:t xml:space="preserve">Median Household Income </w:t>
      </w:r>
      <w:r>
        <w:t>among Households with Individuals with and w</w:t>
      </w:r>
      <w:r w:rsidRPr="003C6C51">
        <w:t>ithout a Work Limitation, 1989</w:t>
      </w:r>
      <w:r>
        <w:t>–</w:t>
      </w:r>
      <w:r w:rsidRPr="003C6C51">
        <w:t>97</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1293"/>
        <w:gridCol w:w="897"/>
        <w:gridCol w:w="897"/>
        <w:gridCol w:w="897"/>
        <w:gridCol w:w="896"/>
        <w:gridCol w:w="896"/>
        <w:gridCol w:w="896"/>
        <w:gridCol w:w="896"/>
        <w:gridCol w:w="896"/>
        <w:gridCol w:w="896"/>
      </w:tblGrid>
      <w:tr w:rsidR="00B0519B" w:rsidRPr="00D91142" w:rsidTr="00203192">
        <w:trPr>
          <w:cantSplit/>
          <w:tblHeader/>
          <w:jc w:val="center"/>
        </w:trPr>
        <w:tc>
          <w:tcPr>
            <w:tcW w:w="1245"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1989</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1990</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1991</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1992</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1993</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1994</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1995</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1996</w:t>
            </w:r>
          </w:p>
        </w:tc>
        <w:tc>
          <w:tcPr>
            <w:tcW w:w="864" w:type="dxa"/>
            <w:tcBorders>
              <w:top w:val="single" w:sz="18" w:space="0" w:color="auto"/>
              <w:bottom w:val="single" w:sz="18" w:space="0" w:color="auto"/>
            </w:tcBorders>
            <w:shd w:val="clear" w:color="auto" w:fill="E6E6E6"/>
            <w:vAlign w:val="bottom"/>
          </w:tcPr>
          <w:p w:rsidR="00B0519B" w:rsidRPr="00D91142" w:rsidRDefault="00B0519B" w:rsidP="00101C2D">
            <w:pPr>
              <w:pStyle w:val="TableHead"/>
              <w:rPr>
                <w:sz w:val="22"/>
              </w:rPr>
            </w:pPr>
            <w:r w:rsidRPr="00D91142">
              <w:rPr>
                <w:sz w:val="22"/>
              </w:rPr>
              <w:t>1997</w:t>
            </w:r>
          </w:p>
        </w:tc>
      </w:tr>
      <w:tr w:rsidR="00B0519B" w:rsidRPr="00D91142" w:rsidTr="00203192">
        <w:trPr>
          <w:cantSplit/>
          <w:jc w:val="center"/>
        </w:trPr>
        <w:tc>
          <w:tcPr>
            <w:tcW w:w="1245" w:type="dxa"/>
            <w:tcBorders>
              <w:top w:val="single" w:sz="18" w:space="0" w:color="auto"/>
            </w:tcBorders>
            <w:shd w:val="clear" w:color="auto" w:fill="E6E6E6"/>
            <w:vAlign w:val="bottom"/>
          </w:tcPr>
          <w:p w:rsidR="00B0519B" w:rsidRPr="00D91142" w:rsidRDefault="00B0519B" w:rsidP="00101C2D">
            <w:pPr>
              <w:pStyle w:val="TableText"/>
              <w:rPr>
                <w:b/>
                <w:sz w:val="22"/>
              </w:rPr>
            </w:pPr>
            <w:r w:rsidRPr="00D91142">
              <w:rPr>
                <w:b/>
                <w:sz w:val="22"/>
              </w:rPr>
              <w:t>No person with work limitations in house</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57,100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55,900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55,400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55,600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55,300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56,100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57,500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58,600</w:t>
            </w:r>
          </w:p>
        </w:tc>
        <w:tc>
          <w:tcPr>
            <w:tcW w:w="864" w:type="dxa"/>
            <w:tcBorders>
              <w:top w:val="single" w:sz="18" w:space="0" w:color="auto"/>
            </w:tcBorders>
            <w:shd w:val="clear" w:color="auto" w:fill="auto"/>
            <w:vAlign w:val="bottom"/>
          </w:tcPr>
          <w:p w:rsidR="00B0519B" w:rsidRPr="00D91142" w:rsidRDefault="00B0519B" w:rsidP="00101C2D">
            <w:pPr>
              <w:pStyle w:val="TableText"/>
              <w:rPr>
                <w:sz w:val="22"/>
              </w:rPr>
            </w:pPr>
            <w:r w:rsidRPr="00D91142">
              <w:rPr>
                <w:sz w:val="22"/>
              </w:rPr>
              <w:t>59,500</w:t>
            </w:r>
          </w:p>
        </w:tc>
      </w:tr>
      <w:tr w:rsidR="00B0519B" w:rsidRPr="00D91142" w:rsidTr="00203192">
        <w:trPr>
          <w:cantSplit/>
          <w:jc w:val="center"/>
        </w:trPr>
        <w:tc>
          <w:tcPr>
            <w:tcW w:w="1245" w:type="dxa"/>
            <w:shd w:val="clear" w:color="auto" w:fill="E6E6E6"/>
            <w:vAlign w:val="bottom"/>
          </w:tcPr>
          <w:p w:rsidR="00B0519B" w:rsidRPr="00D91142" w:rsidRDefault="00B0519B" w:rsidP="00101C2D">
            <w:pPr>
              <w:pStyle w:val="TableText"/>
              <w:rPr>
                <w:b/>
                <w:sz w:val="22"/>
              </w:rPr>
            </w:pPr>
            <w:r w:rsidRPr="00D91142">
              <w:rPr>
                <w:b/>
                <w:sz w:val="22"/>
              </w:rPr>
              <w:t>Person with work limitations in house</w:t>
            </w:r>
          </w:p>
        </w:tc>
        <w:tc>
          <w:tcPr>
            <w:tcW w:w="864" w:type="dxa"/>
            <w:shd w:val="clear" w:color="auto" w:fill="auto"/>
            <w:vAlign w:val="bottom"/>
          </w:tcPr>
          <w:p w:rsidR="00B0519B" w:rsidRPr="00D91142" w:rsidRDefault="00B0519B" w:rsidP="00101C2D">
            <w:pPr>
              <w:pStyle w:val="TableText"/>
              <w:rPr>
                <w:sz w:val="22"/>
              </w:rPr>
            </w:pPr>
            <w:r w:rsidRPr="00D91142">
              <w:rPr>
                <w:sz w:val="22"/>
              </w:rPr>
              <w:t>33,500</w:t>
            </w:r>
          </w:p>
        </w:tc>
        <w:tc>
          <w:tcPr>
            <w:tcW w:w="864" w:type="dxa"/>
            <w:shd w:val="clear" w:color="auto" w:fill="auto"/>
            <w:vAlign w:val="bottom"/>
          </w:tcPr>
          <w:p w:rsidR="00B0519B" w:rsidRPr="00D91142" w:rsidRDefault="00B0519B" w:rsidP="00101C2D">
            <w:pPr>
              <w:pStyle w:val="TableText"/>
              <w:rPr>
                <w:sz w:val="22"/>
              </w:rPr>
            </w:pPr>
            <w:r w:rsidRPr="00D91142">
              <w:rPr>
                <w:sz w:val="22"/>
              </w:rPr>
              <w:t>32,900</w:t>
            </w:r>
          </w:p>
        </w:tc>
        <w:tc>
          <w:tcPr>
            <w:tcW w:w="864" w:type="dxa"/>
            <w:shd w:val="clear" w:color="auto" w:fill="auto"/>
            <w:vAlign w:val="bottom"/>
          </w:tcPr>
          <w:p w:rsidR="00B0519B" w:rsidRPr="00D91142" w:rsidRDefault="00B0519B" w:rsidP="00101C2D">
            <w:pPr>
              <w:pStyle w:val="TableText"/>
              <w:rPr>
                <w:sz w:val="22"/>
              </w:rPr>
            </w:pPr>
            <w:r w:rsidRPr="00D91142">
              <w:rPr>
                <w:sz w:val="22"/>
              </w:rPr>
              <w:t>32,800</w:t>
            </w:r>
          </w:p>
        </w:tc>
        <w:tc>
          <w:tcPr>
            <w:tcW w:w="864" w:type="dxa"/>
            <w:shd w:val="clear" w:color="auto" w:fill="auto"/>
            <w:vAlign w:val="bottom"/>
          </w:tcPr>
          <w:p w:rsidR="00B0519B" w:rsidRPr="00D91142" w:rsidRDefault="00B0519B" w:rsidP="00101C2D">
            <w:pPr>
              <w:pStyle w:val="TableText"/>
              <w:rPr>
                <w:sz w:val="22"/>
              </w:rPr>
            </w:pPr>
            <w:r w:rsidRPr="00D91142">
              <w:rPr>
                <w:sz w:val="22"/>
              </w:rPr>
              <w:t>30,700</w:t>
            </w:r>
          </w:p>
        </w:tc>
        <w:tc>
          <w:tcPr>
            <w:tcW w:w="864" w:type="dxa"/>
            <w:shd w:val="clear" w:color="auto" w:fill="auto"/>
            <w:vAlign w:val="bottom"/>
          </w:tcPr>
          <w:p w:rsidR="00B0519B" w:rsidRPr="00D91142" w:rsidRDefault="00B0519B" w:rsidP="00101C2D">
            <w:pPr>
              <w:pStyle w:val="TableText"/>
              <w:rPr>
                <w:sz w:val="22"/>
              </w:rPr>
            </w:pPr>
            <w:r w:rsidRPr="00D91142">
              <w:rPr>
                <w:sz w:val="22"/>
              </w:rPr>
              <w:t>31,000</w:t>
            </w:r>
          </w:p>
        </w:tc>
        <w:tc>
          <w:tcPr>
            <w:tcW w:w="864" w:type="dxa"/>
            <w:shd w:val="clear" w:color="auto" w:fill="auto"/>
            <w:vAlign w:val="bottom"/>
          </w:tcPr>
          <w:p w:rsidR="00B0519B" w:rsidRPr="00D91142" w:rsidRDefault="00B0519B" w:rsidP="00101C2D">
            <w:pPr>
              <w:pStyle w:val="TableText"/>
              <w:rPr>
                <w:sz w:val="22"/>
              </w:rPr>
            </w:pPr>
            <w:r w:rsidRPr="00D91142">
              <w:rPr>
                <w:sz w:val="22"/>
              </w:rPr>
              <w:t>31,600</w:t>
            </w:r>
          </w:p>
        </w:tc>
        <w:tc>
          <w:tcPr>
            <w:tcW w:w="864" w:type="dxa"/>
            <w:shd w:val="clear" w:color="auto" w:fill="auto"/>
            <w:vAlign w:val="bottom"/>
          </w:tcPr>
          <w:p w:rsidR="00B0519B" w:rsidRPr="00D91142" w:rsidRDefault="00B0519B" w:rsidP="00101C2D">
            <w:pPr>
              <w:pStyle w:val="TableText"/>
              <w:rPr>
                <w:sz w:val="22"/>
              </w:rPr>
            </w:pPr>
            <w:r w:rsidRPr="00D91142">
              <w:rPr>
                <w:sz w:val="22"/>
              </w:rPr>
              <w:t>32,400</w:t>
            </w:r>
          </w:p>
        </w:tc>
        <w:tc>
          <w:tcPr>
            <w:tcW w:w="864" w:type="dxa"/>
            <w:shd w:val="clear" w:color="auto" w:fill="auto"/>
            <w:vAlign w:val="bottom"/>
          </w:tcPr>
          <w:p w:rsidR="00B0519B" w:rsidRPr="00D91142" w:rsidRDefault="00B0519B" w:rsidP="00101C2D">
            <w:pPr>
              <w:pStyle w:val="TableText"/>
              <w:rPr>
                <w:sz w:val="22"/>
              </w:rPr>
            </w:pPr>
            <w:r w:rsidRPr="00D91142">
              <w:rPr>
                <w:sz w:val="22"/>
              </w:rPr>
              <w:t>31,800</w:t>
            </w:r>
          </w:p>
        </w:tc>
        <w:tc>
          <w:tcPr>
            <w:tcW w:w="864" w:type="dxa"/>
            <w:shd w:val="clear" w:color="auto" w:fill="auto"/>
            <w:vAlign w:val="bottom"/>
          </w:tcPr>
          <w:p w:rsidR="00B0519B" w:rsidRPr="00D91142" w:rsidRDefault="00B0519B" w:rsidP="00101C2D">
            <w:pPr>
              <w:pStyle w:val="TableText"/>
              <w:rPr>
                <w:sz w:val="22"/>
              </w:rPr>
            </w:pPr>
            <w:r w:rsidRPr="00D91142">
              <w:rPr>
                <w:sz w:val="22"/>
              </w:rPr>
              <w:t>32,200</w:t>
            </w:r>
          </w:p>
        </w:tc>
      </w:tr>
    </w:tbl>
    <w:p w:rsidR="00B0519B" w:rsidRPr="003C6C51" w:rsidRDefault="00B0519B" w:rsidP="00B0519B">
      <w:pPr>
        <w:pStyle w:val="TableNote"/>
      </w:pPr>
    </w:p>
    <w:p w:rsidR="00B0519B" w:rsidRDefault="00B0519B" w:rsidP="00B0519B">
      <w:pPr>
        <w:pStyle w:val="NCDTableNumber"/>
      </w:pPr>
      <w:r w:rsidRPr="003C6C51">
        <w:lastRenderedPageBreak/>
        <w:t>Table 1</w:t>
      </w:r>
      <w:r>
        <w:t>2c.</w:t>
      </w:r>
    </w:p>
    <w:p w:rsidR="00B0519B" w:rsidRPr="003C6C51" w:rsidRDefault="00B0519B" w:rsidP="00B0519B">
      <w:pPr>
        <w:pStyle w:val="TableTitle"/>
      </w:pPr>
      <w:r w:rsidRPr="003C6C51">
        <w:t xml:space="preserve">Median Household Income </w:t>
      </w:r>
      <w:r>
        <w:t>a</w:t>
      </w:r>
      <w:r w:rsidRPr="003C6C51">
        <w:t xml:space="preserve">mong Households </w:t>
      </w:r>
      <w:r>
        <w:t>with Individuals with and w</w:t>
      </w:r>
      <w:r w:rsidRPr="003C6C51">
        <w:t>ithout a Work Limitation, 1998</w:t>
      </w:r>
      <w:r>
        <w:t>–</w:t>
      </w:r>
      <w:r w:rsidRPr="003C6C51">
        <w:t>2006</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1393"/>
        <w:gridCol w:w="886"/>
        <w:gridCol w:w="886"/>
        <w:gridCol w:w="885"/>
        <w:gridCol w:w="885"/>
        <w:gridCol w:w="885"/>
        <w:gridCol w:w="885"/>
        <w:gridCol w:w="885"/>
        <w:gridCol w:w="885"/>
        <w:gridCol w:w="885"/>
      </w:tblGrid>
      <w:tr w:rsidR="00B0519B" w:rsidRPr="003917CE" w:rsidTr="00203192">
        <w:trPr>
          <w:cantSplit/>
          <w:tblHeader/>
          <w:jc w:val="center"/>
        </w:trPr>
        <w:tc>
          <w:tcPr>
            <w:tcW w:w="1359"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1998</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1999</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2000</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2001</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2002</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2003</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2004</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2005</w:t>
            </w:r>
          </w:p>
        </w:tc>
        <w:tc>
          <w:tcPr>
            <w:tcW w:w="864" w:type="dxa"/>
            <w:tcBorders>
              <w:top w:val="single" w:sz="18" w:space="0" w:color="auto"/>
              <w:bottom w:val="single" w:sz="18" w:space="0" w:color="auto"/>
            </w:tcBorders>
            <w:shd w:val="clear" w:color="auto" w:fill="E6E6E6"/>
            <w:vAlign w:val="bottom"/>
          </w:tcPr>
          <w:p w:rsidR="00B0519B" w:rsidRPr="003917CE" w:rsidRDefault="00B0519B" w:rsidP="00101C2D">
            <w:pPr>
              <w:pStyle w:val="TableHead"/>
              <w:rPr>
                <w:sz w:val="22"/>
              </w:rPr>
            </w:pPr>
            <w:r w:rsidRPr="003917CE">
              <w:rPr>
                <w:sz w:val="22"/>
              </w:rPr>
              <w:t>2006</w:t>
            </w:r>
          </w:p>
        </w:tc>
      </w:tr>
      <w:tr w:rsidR="00B0519B" w:rsidRPr="003917CE" w:rsidTr="00203192">
        <w:trPr>
          <w:cantSplit/>
          <w:jc w:val="center"/>
        </w:trPr>
        <w:tc>
          <w:tcPr>
            <w:tcW w:w="1359" w:type="dxa"/>
            <w:tcBorders>
              <w:top w:val="single" w:sz="18" w:space="0" w:color="auto"/>
            </w:tcBorders>
            <w:shd w:val="clear" w:color="auto" w:fill="E6E6E6"/>
            <w:vAlign w:val="bottom"/>
          </w:tcPr>
          <w:p w:rsidR="00B0519B" w:rsidRPr="003917CE" w:rsidRDefault="00B0519B" w:rsidP="00101C2D">
            <w:pPr>
              <w:pStyle w:val="TableText"/>
              <w:rPr>
                <w:b/>
                <w:sz w:val="22"/>
              </w:rPr>
            </w:pPr>
            <w:r w:rsidRPr="003917CE">
              <w:rPr>
                <w:b/>
                <w:sz w:val="22"/>
              </w:rPr>
              <w:t>No person with work limitations in house</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61,700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63,300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63,400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62,600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61,700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61,300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61,300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61,300</w:t>
            </w:r>
          </w:p>
        </w:tc>
        <w:tc>
          <w:tcPr>
            <w:tcW w:w="864" w:type="dxa"/>
            <w:tcBorders>
              <w:top w:val="single" w:sz="18" w:space="0" w:color="auto"/>
            </w:tcBorders>
            <w:shd w:val="clear" w:color="auto" w:fill="auto"/>
            <w:vAlign w:val="bottom"/>
          </w:tcPr>
          <w:p w:rsidR="00B0519B" w:rsidRPr="003917CE" w:rsidRDefault="00B0519B" w:rsidP="00101C2D">
            <w:pPr>
              <w:pStyle w:val="TableText"/>
              <w:jc w:val="center"/>
              <w:rPr>
                <w:sz w:val="22"/>
              </w:rPr>
            </w:pPr>
            <w:r w:rsidRPr="003917CE">
              <w:rPr>
                <w:sz w:val="22"/>
              </w:rPr>
              <w:t>61,900</w:t>
            </w:r>
          </w:p>
        </w:tc>
      </w:tr>
      <w:tr w:rsidR="00B0519B" w:rsidRPr="003917CE" w:rsidTr="00203192">
        <w:trPr>
          <w:cantSplit/>
          <w:jc w:val="center"/>
        </w:trPr>
        <w:tc>
          <w:tcPr>
            <w:tcW w:w="1359" w:type="dxa"/>
            <w:shd w:val="clear" w:color="auto" w:fill="E6E6E6"/>
            <w:vAlign w:val="bottom"/>
          </w:tcPr>
          <w:p w:rsidR="00B0519B" w:rsidRPr="003917CE" w:rsidRDefault="00B0519B" w:rsidP="00101C2D">
            <w:pPr>
              <w:pStyle w:val="TableText"/>
              <w:rPr>
                <w:b/>
                <w:sz w:val="22"/>
              </w:rPr>
            </w:pPr>
            <w:r w:rsidRPr="003917CE">
              <w:rPr>
                <w:b/>
                <w:sz w:val="22"/>
              </w:rPr>
              <w:t>Person with work limitations in house</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32,700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34,600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33,200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33,300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32,200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32,600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31,700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32,400</w:t>
            </w:r>
          </w:p>
        </w:tc>
        <w:tc>
          <w:tcPr>
            <w:tcW w:w="864" w:type="dxa"/>
            <w:shd w:val="clear" w:color="auto" w:fill="auto"/>
            <w:vAlign w:val="bottom"/>
          </w:tcPr>
          <w:p w:rsidR="00B0519B" w:rsidRPr="003917CE" w:rsidRDefault="00B0519B" w:rsidP="00101C2D">
            <w:pPr>
              <w:pStyle w:val="TableText"/>
              <w:jc w:val="center"/>
              <w:rPr>
                <w:sz w:val="22"/>
              </w:rPr>
            </w:pPr>
            <w:r w:rsidRPr="003917CE">
              <w:rPr>
                <w:sz w:val="22"/>
              </w:rPr>
              <w:t>32,400</w:t>
            </w:r>
          </w:p>
        </w:tc>
      </w:tr>
    </w:tbl>
    <w:p w:rsidR="00B0519B" w:rsidRPr="003C6C51" w:rsidRDefault="00B0519B" w:rsidP="00B0519B">
      <w:pPr>
        <w:pStyle w:val="TableNote"/>
        <w:spacing w:after="0"/>
      </w:pPr>
    </w:p>
    <w:p w:rsidR="00B0519B" w:rsidRDefault="00B0519B" w:rsidP="00B0519B">
      <w:pPr>
        <w:pStyle w:val="NCDTableNumber"/>
      </w:pPr>
      <w:r w:rsidRPr="003C6C51">
        <w:t>Table 1</w:t>
      </w:r>
      <w:r>
        <w:t>2d.</w:t>
      </w:r>
    </w:p>
    <w:p w:rsidR="00B0519B" w:rsidRPr="003C6C51" w:rsidRDefault="00B0519B" w:rsidP="00B0519B">
      <w:pPr>
        <w:pStyle w:val="TableTitle"/>
      </w:pPr>
      <w:r w:rsidRPr="003C6C51">
        <w:t xml:space="preserve">Median Household Income </w:t>
      </w:r>
      <w:r>
        <w:t>a</w:t>
      </w:r>
      <w:r w:rsidRPr="003C6C51">
        <w:t xml:space="preserve">mong Households </w:t>
      </w:r>
      <w:r>
        <w:t>with Individuals with and w</w:t>
      </w:r>
      <w:r w:rsidRPr="003C6C51">
        <w:t>ithout a Work Limitation, 2007</w:t>
      </w:r>
      <w:r>
        <w:t>–</w:t>
      </w:r>
      <w:r w:rsidRPr="003C6C51">
        <w:t>08</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480"/>
        <w:gridCol w:w="1489"/>
        <w:gridCol w:w="1391"/>
      </w:tblGrid>
      <w:tr w:rsidR="00B0519B" w:rsidRPr="00811A1E" w:rsidTr="00203192">
        <w:trPr>
          <w:cantSplit/>
          <w:tblHeader/>
          <w:jc w:val="center"/>
        </w:trPr>
        <w:tc>
          <w:tcPr>
            <w:tcW w:w="6480" w:type="dxa"/>
            <w:tcBorders>
              <w:top w:val="single" w:sz="18" w:space="0" w:color="auto"/>
              <w:bottom w:val="single" w:sz="18" w:space="0" w:color="auto"/>
            </w:tcBorders>
            <w:shd w:val="clear" w:color="auto" w:fill="E6E6E6"/>
          </w:tcPr>
          <w:p w:rsidR="00B0519B" w:rsidRPr="00811A1E" w:rsidRDefault="00B0519B" w:rsidP="00101C2D">
            <w:pPr>
              <w:pStyle w:val="TableHead"/>
            </w:pPr>
          </w:p>
        </w:tc>
        <w:tc>
          <w:tcPr>
            <w:tcW w:w="1489" w:type="dxa"/>
            <w:tcBorders>
              <w:top w:val="single" w:sz="18" w:space="0" w:color="auto"/>
              <w:bottom w:val="single" w:sz="18" w:space="0" w:color="auto"/>
            </w:tcBorders>
            <w:shd w:val="clear" w:color="auto" w:fill="E6E6E6"/>
          </w:tcPr>
          <w:p w:rsidR="00B0519B" w:rsidRPr="00811A1E" w:rsidRDefault="00B0519B" w:rsidP="00101C2D">
            <w:pPr>
              <w:pStyle w:val="TableHead"/>
            </w:pPr>
            <w:r w:rsidRPr="00811A1E">
              <w:t>2007</w:t>
            </w:r>
          </w:p>
        </w:tc>
        <w:tc>
          <w:tcPr>
            <w:tcW w:w="1391" w:type="dxa"/>
            <w:tcBorders>
              <w:top w:val="single" w:sz="18" w:space="0" w:color="auto"/>
              <w:bottom w:val="single" w:sz="18" w:space="0" w:color="auto"/>
            </w:tcBorders>
            <w:shd w:val="clear" w:color="auto" w:fill="E6E6E6"/>
          </w:tcPr>
          <w:p w:rsidR="00B0519B" w:rsidRPr="00811A1E" w:rsidRDefault="00B0519B" w:rsidP="00101C2D">
            <w:pPr>
              <w:pStyle w:val="TableHead"/>
            </w:pPr>
            <w:r w:rsidRPr="00811A1E">
              <w:t>2008</w:t>
            </w:r>
          </w:p>
        </w:tc>
      </w:tr>
      <w:tr w:rsidR="00B0519B" w:rsidRPr="002A69BB" w:rsidTr="00203192">
        <w:trPr>
          <w:cantSplit/>
          <w:jc w:val="center"/>
        </w:trPr>
        <w:tc>
          <w:tcPr>
            <w:tcW w:w="6480" w:type="dxa"/>
            <w:tcBorders>
              <w:top w:val="single" w:sz="18" w:space="0" w:color="auto"/>
            </w:tcBorders>
            <w:shd w:val="clear" w:color="auto" w:fill="E6E6E6"/>
          </w:tcPr>
          <w:p w:rsidR="00B0519B" w:rsidRPr="00801006" w:rsidRDefault="00B0519B" w:rsidP="00101C2D">
            <w:pPr>
              <w:pStyle w:val="TableText"/>
              <w:rPr>
                <w:b/>
              </w:rPr>
            </w:pPr>
            <w:r w:rsidRPr="00801006">
              <w:rPr>
                <w:b/>
              </w:rPr>
              <w:t>No person with work limitations in house</w:t>
            </w:r>
          </w:p>
        </w:tc>
        <w:tc>
          <w:tcPr>
            <w:tcW w:w="1489" w:type="dxa"/>
            <w:tcBorders>
              <w:top w:val="single" w:sz="18" w:space="0" w:color="auto"/>
            </w:tcBorders>
            <w:shd w:val="clear" w:color="auto" w:fill="auto"/>
          </w:tcPr>
          <w:p w:rsidR="00B0519B" w:rsidRPr="00801006" w:rsidRDefault="00B0519B" w:rsidP="00101C2D">
            <w:pPr>
              <w:pStyle w:val="TableText"/>
              <w:jc w:val="center"/>
            </w:pPr>
            <w:r w:rsidRPr="00801006">
              <w:t>62,300</w:t>
            </w:r>
          </w:p>
        </w:tc>
        <w:tc>
          <w:tcPr>
            <w:tcW w:w="1391" w:type="dxa"/>
            <w:tcBorders>
              <w:top w:val="single" w:sz="18" w:space="0" w:color="auto"/>
            </w:tcBorders>
            <w:shd w:val="clear" w:color="auto" w:fill="auto"/>
          </w:tcPr>
          <w:p w:rsidR="00B0519B" w:rsidRPr="00801006" w:rsidRDefault="00B0519B" w:rsidP="00101C2D">
            <w:pPr>
              <w:pStyle w:val="TableText"/>
              <w:jc w:val="center"/>
            </w:pPr>
            <w:r w:rsidRPr="00801006">
              <w:t>62,200</w:t>
            </w:r>
          </w:p>
        </w:tc>
      </w:tr>
      <w:tr w:rsidR="00B0519B" w:rsidRPr="002A69BB" w:rsidTr="00203192">
        <w:trPr>
          <w:cantSplit/>
          <w:jc w:val="center"/>
        </w:trPr>
        <w:tc>
          <w:tcPr>
            <w:tcW w:w="6480" w:type="dxa"/>
            <w:shd w:val="clear" w:color="auto" w:fill="E6E6E6"/>
          </w:tcPr>
          <w:p w:rsidR="00B0519B" w:rsidRPr="00801006" w:rsidRDefault="00B0519B" w:rsidP="00101C2D">
            <w:pPr>
              <w:pStyle w:val="TableText"/>
              <w:rPr>
                <w:b/>
              </w:rPr>
            </w:pPr>
            <w:r w:rsidRPr="00801006">
              <w:rPr>
                <w:b/>
              </w:rPr>
              <w:t>Person with work limitations in house</w:t>
            </w:r>
          </w:p>
        </w:tc>
        <w:tc>
          <w:tcPr>
            <w:tcW w:w="1489" w:type="dxa"/>
            <w:shd w:val="clear" w:color="auto" w:fill="auto"/>
          </w:tcPr>
          <w:p w:rsidR="00B0519B" w:rsidRPr="00801006" w:rsidRDefault="00B0519B" w:rsidP="00101C2D">
            <w:pPr>
              <w:pStyle w:val="TableText"/>
              <w:jc w:val="center"/>
            </w:pPr>
            <w:r w:rsidRPr="00801006">
              <w:t>32,100</w:t>
            </w:r>
          </w:p>
        </w:tc>
        <w:tc>
          <w:tcPr>
            <w:tcW w:w="1391" w:type="dxa"/>
            <w:shd w:val="clear" w:color="auto" w:fill="auto"/>
          </w:tcPr>
          <w:p w:rsidR="00B0519B" w:rsidRPr="00801006" w:rsidRDefault="00B0519B" w:rsidP="00101C2D">
            <w:pPr>
              <w:pStyle w:val="TableText"/>
              <w:jc w:val="center"/>
            </w:pPr>
            <w:r w:rsidRPr="00801006">
              <w:t>32,500</w:t>
            </w:r>
          </w:p>
        </w:tc>
      </w:tr>
    </w:tbl>
    <w:p w:rsidR="00B0519B" w:rsidRPr="00FE0D69" w:rsidRDefault="00B0519B" w:rsidP="00B0519B">
      <w:pPr>
        <w:pStyle w:val="TableNote"/>
      </w:pPr>
      <w:r w:rsidRPr="00811A1E">
        <w:rPr>
          <w:b/>
        </w:rPr>
        <w:t>Source:</w:t>
      </w:r>
      <w:r w:rsidRPr="00FE0D69">
        <w:t xml:space="preserve"> Data are from the Current Population Survey and reflect the number of persons with a work limitation, which was based on this question: </w:t>
      </w:r>
      <w:r>
        <w:t>“</w:t>
      </w:r>
      <w:r w:rsidRPr="00FE0D69">
        <w:t>[</w:t>
      </w:r>
      <w:r>
        <w:t>D</w:t>
      </w:r>
      <w:r w:rsidRPr="00FE0D69">
        <w:t>]oes anyone in this household have a health problem or disability which prevents them from working or which limits the kind or amount of work they can do?</w:t>
      </w:r>
      <w:r>
        <w:t>”</w:t>
      </w:r>
    </w:p>
    <w:p w:rsidR="00B0519B" w:rsidRDefault="00B0519B" w:rsidP="00B0519B">
      <w:pPr>
        <w:pStyle w:val="NCDTableNumber"/>
      </w:pPr>
      <w:r>
        <w:t>Table 13.</w:t>
      </w:r>
    </w:p>
    <w:p w:rsidR="00B0519B" w:rsidRPr="003C6C51" w:rsidRDefault="00B0519B" w:rsidP="00B0519B">
      <w:pPr>
        <w:pStyle w:val="TableTitle"/>
      </w:pPr>
      <w:r w:rsidRPr="003C6C51">
        <w:t>Percent</w:t>
      </w:r>
      <w:r>
        <w:t>age of People</w:t>
      </w:r>
      <w:r w:rsidRPr="003C6C51">
        <w:t xml:space="preserve"> Age</w:t>
      </w:r>
      <w:r>
        <w:t>s</w:t>
      </w:r>
      <w:r w:rsidRPr="003C6C51">
        <w:t xml:space="preserve"> 18</w:t>
      </w:r>
      <w:r>
        <w:t>–64 with and w</w:t>
      </w:r>
      <w:r w:rsidRPr="003C6C51">
        <w:t>ithout a Work</w:t>
      </w:r>
      <w:r>
        <w:t> </w:t>
      </w:r>
      <w:r w:rsidRPr="003C6C51">
        <w:t xml:space="preserve">Limitation Who Lived in Families </w:t>
      </w:r>
      <w:r>
        <w:t>with Incomes b</w:t>
      </w:r>
      <w:r w:rsidRPr="003C6C51">
        <w:t>elow Poverty, 2008</w:t>
      </w:r>
      <w:r>
        <w:t>–</w:t>
      </w:r>
      <w:r w:rsidRPr="003C6C51">
        <w:t>00</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02"/>
        <w:gridCol w:w="774"/>
        <w:gridCol w:w="773"/>
        <w:gridCol w:w="773"/>
        <w:gridCol w:w="773"/>
        <w:gridCol w:w="773"/>
        <w:gridCol w:w="773"/>
        <w:gridCol w:w="773"/>
        <w:gridCol w:w="773"/>
        <w:gridCol w:w="773"/>
      </w:tblGrid>
      <w:tr w:rsidR="00B0519B" w:rsidRPr="00811A1E" w:rsidTr="00203192">
        <w:trPr>
          <w:trHeight w:val="315"/>
          <w:tblHeader/>
          <w:jc w:val="center"/>
        </w:trPr>
        <w:tc>
          <w:tcPr>
            <w:tcW w:w="2535"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2008</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2007</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2006</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2005</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2004</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2003</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2002</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2001</w:t>
            </w:r>
          </w:p>
        </w:tc>
        <w:tc>
          <w:tcPr>
            <w:tcW w:w="806" w:type="dxa"/>
            <w:tcBorders>
              <w:top w:val="single" w:sz="18" w:space="0" w:color="auto"/>
              <w:bottom w:val="single" w:sz="18" w:space="0" w:color="auto"/>
            </w:tcBorders>
            <w:shd w:val="clear" w:color="auto" w:fill="E6E6E6"/>
            <w:noWrap/>
            <w:vAlign w:val="bottom"/>
            <w:hideMark/>
          </w:tcPr>
          <w:p w:rsidR="00B0519B" w:rsidRPr="00811A1E" w:rsidRDefault="00B0519B" w:rsidP="00101C2D">
            <w:pPr>
              <w:pStyle w:val="TableHead"/>
            </w:pPr>
            <w:r w:rsidRPr="00811A1E">
              <w:t>2000</w:t>
            </w:r>
          </w:p>
        </w:tc>
      </w:tr>
      <w:tr w:rsidR="00B0519B" w:rsidRPr="002A69BB" w:rsidTr="00203192">
        <w:trPr>
          <w:trHeight w:val="315"/>
          <w:jc w:val="center"/>
        </w:trPr>
        <w:tc>
          <w:tcPr>
            <w:tcW w:w="2535" w:type="dxa"/>
            <w:tcBorders>
              <w:top w:val="single" w:sz="18" w:space="0" w:color="auto"/>
            </w:tcBorders>
            <w:shd w:val="clear" w:color="auto" w:fill="E6E6E6"/>
            <w:noWrap/>
            <w:vAlign w:val="bottom"/>
            <w:hideMark/>
          </w:tcPr>
          <w:p w:rsidR="00B0519B" w:rsidRPr="00801006" w:rsidRDefault="00B0519B" w:rsidP="00101C2D">
            <w:pPr>
              <w:pStyle w:val="TableText"/>
              <w:rPr>
                <w:b/>
              </w:rPr>
            </w:pPr>
            <w:r w:rsidRPr="00801006">
              <w:rPr>
                <w:b/>
              </w:rPr>
              <w:t>With a work limitation</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28.1</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28.6</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27.8</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28.2</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26.8</w:t>
            </w:r>
          </w:p>
        </w:tc>
        <w:tc>
          <w:tcPr>
            <w:tcW w:w="806" w:type="dxa"/>
            <w:tcBorders>
              <w:top w:val="single" w:sz="18" w:space="0" w:color="auto"/>
            </w:tcBorders>
            <w:shd w:val="clear" w:color="auto" w:fill="auto"/>
            <w:noWrap/>
            <w:vAlign w:val="bottom"/>
            <w:hideMark/>
          </w:tcPr>
          <w:p w:rsidR="00B0519B" w:rsidRPr="00801006" w:rsidRDefault="00B0519B" w:rsidP="00101C2D">
            <w:pPr>
              <w:pStyle w:val="TableText"/>
              <w:jc w:val="center"/>
            </w:pPr>
            <w:r w:rsidRPr="00801006">
              <w:t>27</w:t>
            </w:r>
          </w:p>
        </w:tc>
      </w:tr>
      <w:tr w:rsidR="00B0519B" w:rsidRPr="002A69BB" w:rsidTr="00203192">
        <w:trPr>
          <w:trHeight w:val="315"/>
          <w:jc w:val="center"/>
        </w:trPr>
        <w:tc>
          <w:tcPr>
            <w:tcW w:w="2535" w:type="dxa"/>
            <w:shd w:val="clear" w:color="auto" w:fill="E6E6E6"/>
            <w:noWrap/>
            <w:vAlign w:val="bottom"/>
            <w:hideMark/>
          </w:tcPr>
          <w:p w:rsidR="00B0519B" w:rsidRPr="00801006" w:rsidRDefault="00B0519B" w:rsidP="00101C2D">
            <w:pPr>
              <w:pStyle w:val="TableText"/>
              <w:rPr>
                <w:b/>
              </w:rPr>
            </w:pPr>
            <w:r w:rsidRPr="00801006">
              <w:rPr>
                <w:b/>
              </w:rPr>
              <w:t>Without a work limitation</w:t>
            </w:r>
          </w:p>
        </w:tc>
        <w:tc>
          <w:tcPr>
            <w:tcW w:w="806" w:type="dxa"/>
            <w:shd w:val="clear" w:color="auto" w:fill="auto"/>
            <w:noWrap/>
            <w:vAlign w:val="bottom"/>
            <w:hideMark/>
          </w:tcPr>
          <w:p w:rsidR="00B0519B" w:rsidRPr="00801006" w:rsidRDefault="00B0519B" w:rsidP="00101C2D">
            <w:pPr>
              <w:pStyle w:val="TableText"/>
              <w:jc w:val="center"/>
            </w:pPr>
            <w:r w:rsidRPr="00801006">
              <w:t>10</w:t>
            </w:r>
          </w:p>
        </w:tc>
        <w:tc>
          <w:tcPr>
            <w:tcW w:w="806" w:type="dxa"/>
            <w:shd w:val="clear" w:color="auto" w:fill="auto"/>
            <w:noWrap/>
            <w:vAlign w:val="bottom"/>
            <w:hideMark/>
          </w:tcPr>
          <w:p w:rsidR="00B0519B" w:rsidRPr="00801006" w:rsidRDefault="00B0519B" w:rsidP="00101C2D">
            <w:pPr>
              <w:pStyle w:val="TableText"/>
              <w:jc w:val="center"/>
            </w:pPr>
            <w:r w:rsidRPr="00801006">
              <w:t>9.2</w:t>
            </w:r>
          </w:p>
        </w:tc>
        <w:tc>
          <w:tcPr>
            <w:tcW w:w="806" w:type="dxa"/>
            <w:shd w:val="clear" w:color="auto" w:fill="auto"/>
            <w:noWrap/>
            <w:vAlign w:val="bottom"/>
            <w:hideMark/>
          </w:tcPr>
          <w:p w:rsidR="00B0519B" w:rsidRPr="00801006" w:rsidRDefault="00B0519B" w:rsidP="00101C2D">
            <w:pPr>
              <w:pStyle w:val="TableText"/>
              <w:jc w:val="center"/>
            </w:pPr>
            <w:r w:rsidRPr="00801006">
              <w:t>9.2</w:t>
            </w:r>
          </w:p>
        </w:tc>
        <w:tc>
          <w:tcPr>
            <w:tcW w:w="806" w:type="dxa"/>
            <w:shd w:val="clear" w:color="auto" w:fill="auto"/>
            <w:noWrap/>
            <w:vAlign w:val="bottom"/>
            <w:hideMark/>
          </w:tcPr>
          <w:p w:rsidR="00B0519B" w:rsidRPr="00801006" w:rsidRDefault="00B0519B" w:rsidP="00101C2D">
            <w:pPr>
              <w:pStyle w:val="TableText"/>
              <w:jc w:val="center"/>
            </w:pPr>
            <w:r w:rsidRPr="00801006">
              <w:t>9.4</w:t>
            </w:r>
          </w:p>
        </w:tc>
        <w:tc>
          <w:tcPr>
            <w:tcW w:w="806" w:type="dxa"/>
            <w:shd w:val="clear" w:color="auto" w:fill="auto"/>
            <w:noWrap/>
            <w:vAlign w:val="bottom"/>
            <w:hideMark/>
          </w:tcPr>
          <w:p w:rsidR="00B0519B" w:rsidRPr="00801006" w:rsidRDefault="00B0519B" w:rsidP="00101C2D">
            <w:pPr>
              <w:pStyle w:val="TableText"/>
              <w:jc w:val="center"/>
            </w:pPr>
            <w:r w:rsidRPr="00801006">
              <w:t>9.7</w:t>
            </w:r>
          </w:p>
        </w:tc>
        <w:tc>
          <w:tcPr>
            <w:tcW w:w="806" w:type="dxa"/>
            <w:shd w:val="clear" w:color="auto" w:fill="auto"/>
            <w:noWrap/>
            <w:vAlign w:val="bottom"/>
            <w:hideMark/>
          </w:tcPr>
          <w:p w:rsidR="00B0519B" w:rsidRPr="00801006" w:rsidRDefault="00B0519B" w:rsidP="00101C2D">
            <w:pPr>
              <w:pStyle w:val="TableText"/>
              <w:jc w:val="center"/>
            </w:pPr>
            <w:r w:rsidRPr="00801006">
              <w:t>9.2</w:t>
            </w:r>
          </w:p>
        </w:tc>
        <w:tc>
          <w:tcPr>
            <w:tcW w:w="806" w:type="dxa"/>
            <w:shd w:val="clear" w:color="auto" w:fill="auto"/>
            <w:noWrap/>
            <w:vAlign w:val="bottom"/>
            <w:hideMark/>
          </w:tcPr>
          <w:p w:rsidR="00B0519B" w:rsidRPr="00801006" w:rsidRDefault="00B0519B" w:rsidP="00101C2D">
            <w:pPr>
              <w:pStyle w:val="TableText"/>
              <w:jc w:val="center"/>
            </w:pPr>
            <w:r w:rsidRPr="00801006">
              <w:t>9</w:t>
            </w:r>
          </w:p>
        </w:tc>
        <w:tc>
          <w:tcPr>
            <w:tcW w:w="806" w:type="dxa"/>
            <w:shd w:val="clear" w:color="auto" w:fill="auto"/>
            <w:noWrap/>
            <w:vAlign w:val="bottom"/>
            <w:hideMark/>
          </w:tcPr>
          <w:p w:rsidR="00B0519B" w:rsidRPr="00801006" w:rsidRDefault="00B0519B" w:rsidP="00101C2D">
            <w:pPr>
              <w:pStyle w:val="TableText"/>
              <w:jc w:val="center"/>
            </w:pPr>
            <w:r w:rsidRPr="00801006">
              <w:t>8.5</w:t>
            </w:r>
          </w:p>
        </w:tc>
        <w:tc>
          <w:tcPr>
            <w:tcW w:w="806" w:type="dxa"/>
            <w:shd w:val="clear" w:color="auto" w:fill="auto"/>
            <w:noWrap/>
            <w:vAlign w:val="bottom"/>
            <w:hideMark/>
          </w:tcPr>
          <w:p w:rsidR="00B0519B" w:rsidRPr="00801006" w:rsidRDefault="00B0519B" w:rsidP="00101C2D">
            <w:pPr>
              <w:pStyle w:val="TableText"/>
              <w:jc w:val="center"/>
            </w:pPr>
            <w:r w:rsidRPr="00801006">
              <w:t>7.9</w:t>
            </w:r>
          </w:p>
        </w:tc>
      </w:tr>
    </w:tbl>
    <w:p w:rsidR="00B0519B" w:rsidRDefault="00B0519B" w:rsidP="00B0519B">
      <w:pPr>
        <w:pStyle w:val="TableNote"/>
      </w:pPr>
      <w:r w:rsidRPr="00811A1E">
        <w:rPr>
          <w:b/>
        </w:rPr>
        <w:t>Source:</w:t>
      </w:r>
      <w:r w:rsidRPr="00FE0D69">
        <w:t xml:space="preserve"> Data are from the Current Population Survey and reflect the number of persons with a work limitation, which was based on this question: </w:t>
      </w:r>
      <w:r>
        <w:t>“</w:t>
      </w:r>
      <w:r w:rsidRPr="00FE0D69">
        <w:t>[</w:t>
      </w:r>
      <w:r>
        <w:t>D</w:t>
      </w:r>
      <w:r w:rsidRPr="00FE0D69">
        <w:t>]oes anyone in this household have a health problem or disability which prevents them from working or which limits the kind or amount of work they can do?</w:t>
      </w:r>
      <w:r>
        <w:t>”</w:t>
      </w:r>
    </w:p>
    <w:p w:rsidR="00B0519B" w:rsidRDefault="00B0519B" w:rsidP="00B0519B">
      <w:pPr>
        <w:pStyle w:val="Heading1"/>
      </w:pPr>
      <w:r>
        <w:rPr>
          <w:rFonts w:ascii="Segoe Print" w:hAnsi="Segoe Print" w:cs="Arial"/>
          <w:szCs w:val="36"/>
        </w:rPr>
        <w:br w:type="page"/>
      </w:r>
      <w:bookmarkStart w:id="59" w:name="_Toc304437157"/>
      <w:r>
        <w:lastRenderedPageBreak/>
        <w:t>Conclusion</w:t>
      </w:r>
      <w:bookmarkEnd w:id="59"/>
    </w:p>
    <w:p w:rsidR="00B0519B" w:rsidRDefault="00B0519B" w:rsidP="00B0519B">
      <w:pPr>
        <w:pStyle w:val="BodyText"/>
      </w:pPr>
      <w:r>
        <w:t>In living, learning, and earning</w:t>
      </w:r>
      <w:r w:rsidRPr="00431AF3">
        <w:t>, more people with disabilities are falling behind.</w:t>
      </w:r>
      <w:r>
        <w:t xml:space="preserve"> </w:t>
      </w:r>
      <w:r w:rsidRPr="00431AF3">
        <w:t>Disability discrimination is on the rise in housing, employment, and air travel.</w:t>
      </w:r>
      <w:r>
        <w:t xml:space="preserve"> </w:t>
      </w:r>
      <w:r w:rsidRPr="00431AF3">
        <w:t xml:space="preserve">Thirty-five years after passage of federal civil rights legislation for students with disabilities, too many students are still being segregated and </w:t>
      </w:r>
      <w:r>
        <w:t xml:space="preserve">are </w:t>
      </w:r>
      <w:r w:rsidRPr="00431AF3">
        <w:t>experiencing poor achievement outcomes.</w:t>
      </w:r>
      <w:r>
        <w:t xml:space="preserve"> </w:t>
      </w:r>
      <w:r w:rsidRPr="00431AF3">
        <w:t>The economic downturn is having a particularly detrimental effect on people with disabilities</w:t>
      </w:r>
      <w:r>
        <w:t xml:space="preserve">. Legislation alone does not lead to better outcomes for people with disabilities. The effective implementation and enforcement of disability rights requires federal oversight through ongoing monitoring and evaluation and cross-silo collaborations </w:t>
      </w:r>
      <w:bookmarkStart w:id="60" w:name="OLE_LINK28"/>
      <w:bookmarkStart w:id="61" w:name="OLE_LINK29"/>
      <w:r>
        <w:t>to ensure the uniform application of the overarching goals of the ADA—full participation, equal opportunity, independent living, and economic self-sufficiency—</w:t>
      </w:r>
      <w:bookmarkEnd w:id="60"/>
      <w:bookmarkEnd w:id="61"/>
      <w:r>
        <w:t xml:space="preserve">to all disability policies and programs. </w:t>
      </w:r>
    </w:p>
    <w:p w:rsidR="00B0519B" w:rsidRDefault="00B0519B" w:rsidP="00B0519B">
      <w:pPr>
        <w:pStyle w:val="BodyText"/>
      </w:pPr>
      <w:r>
        <w:br w:type="page"/>
      </w:r>
    </w:p>
    <w:p w:rsidR="00B0519B" w:rsidRPr="00946A4D" w:rsidRDefault="00B0519B" w:rsidP="00B0519B">
      <w:pPr>
        <w:pStyle w:val="Heading1"/>
      </w:pPr>
      <w:r>
        <w:lastRenderedPageBreak/>
        <w:br w:type="page"/>
      </w:r>
      <w:bookmarkStart w:id="62" w:name="_Toc304437158"/>
      <w:r w:rsidRPr="001F350B">
        <w:rPr>
          <w:rStyle w:val="NCDCHAPTER"/>
        </w:rPr>
        <w:lastRenderedPageBreak/>
        <w:t>Appendix A</w:t>
      </w:r>
      <w:r>
        <w:rPr>
          <w:rStyle w:val="NCDCHAPTER"/>
        </w:rPr>
        <w:t>:</w:t>
      </w:r>
      <w:r>
        <w:t xml:space="preserve"> </w:t>
      </w:r>
      <w:r w:rsidRPr="00946A4D">
        <w:t>Disability Tables</w:t>
      </w:r>
      <w:bookmarkEnd w:id="62"/>
    </w:p>
    <w:p w:rsidR="00B0519B" w:rsidRDefault="00B0519B" w:rsidP="00B0519B">
      <w:pPr>
        <w:pStyle w:val="NCDTableNumber"/>
      </w:pPr>
      <w:r w:rsidRPr="00543A40">
        <w:t xml:space="preserve">Table </w:t>
      </w:r>
      <w:r>
        <w:t>A</w:t>
      </w:r>
      <w:r w:rsidRPr="00543A40">
        <w:t>1</w:t>
      </w:r>
      <w:r>
        <w:t>.</w:t>
      </w:r>
    </w:p>
    <w:p w:rsidR="00B0519B" w:rsidRPr="004A1DD4" w:rsidRDefault="00B0519B" w:rsidP="00B0519B">
      <w:pPr>
        <w:pStyle w:val="TableTitle"/>
      </w:pPr>
      <w:r w:rsidRPr="004A1DD4">
        <w:t>Percentage of People Who Are Obese by Disability Status, Selected</w:t>
      </w:r>
      <w:r>
        <w:t> </w:t>
      </w:r>
      <w:r w:rsidRPr="004A1DD4">
        <w:t>Years 1991–2006</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370"/>
        <w:gridCol w:w="2330"/>
        <w:gridCol w:w="2330"/>
        <w:gridCol w:w="2330"/>
      </w:tblGrid>
      <w:tr w:rsidR="00B0519B" w:rsidRPr="00311317" w:rsidTr="00203192">
        <w:trPr>
          <w:cantSplit/>
          <w:trHeight w:val="20"/>
          <w:tblHeader/>
          <w:jc w:val="center"/>
        </w:trPr>
        <w:tc>
          <w:tcPr>
            <w:tcW w:w="1728"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p>
        </w:tc>
        <w:tc>
          <w:tcPr>
            <w:tcW w:w="1699"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1991-1994</w:t>
            </w:r>
          </w:p>
        </w:tc>
        <w:tc>
          <w:tcPr>
            <w:tcW w:w="1699"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2002</w:t>
            </w:r>
          </w:p>
        </w:tc>
        <w:tc>
          <w:tcPr>
            <w:tcW w:w="1699"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2006</w:t>
            </w:r>
          </w:p>
        </w:tc>
      </w:tr>
      <w:tr w:rsidR="00B0519B" w:rsidRPr="004A1DD4" w:rsidTr="00203192">
        <w:trPr>
          <w:cantSplit/>
          <w:trHeight w:val="20"/>
          <w:jc w:val="center"/>
        </w:trPr>
        <w:tc>
          <w:tcPr>
            <w:tcW w:w="1728" w:type="dxa"/>
            <w:tcBorders>
              <w:top w:val="single" w:sz="18" w:space="0" w:color="auto"/>
            </w:tcBorders>
            <w:shd w:val="clear" w:color="auto" w:fill="E6E6E6"/>
            <w:vAlign w:val="bottom"/>
          </w:tcPr>
          <w:p w:rsidR="00B0519B" w:rsidRPr="00325A7E" w:rsidRDefault="00B0519B" w:rsidP="008A28CD">
            <w:pPr>
              <w:pStyle w:val="TableText"/>
              <w:spacing w:before="20" w:after="20"/>
              <w:rPr>
                <w:b/>
              </w:rPr>
            </w:pPr>
            <w:r w:rsidRPr="00325A7E">
              <w:rPr>
                <w:b/>
              </w:rPr>
              <w:t>No disability</w:t>
            </w:r>
          </w:p>
        </w:tc>
        <w:tc>
          <w:tcPr>
            <w:tcW w:w="1699" w:type="dxa"/>
            <w:tcBorders>
              <w:top w:val="single" w:sz="18" w:space="0" w:color="auto"/>
            </w:tcBorders>
            <w:vAlign w:val="bottom"/>
          </w:tcPr>
          <w:p w:rsidR="00B0519B" w:rsidRPr="00325A7E" w:rsidRDefault="00B0519B" w:rsidP="008A28CD">
            <w:pPr>
              <w:pStyle w:val="TableText"/>
              <w:spacing w:before="20" w:after="20"/>
              <w:jc w:val="center"/>
            </w:pPr>
            <w:r w:rsidRPr="00325A7E">
              <w:t>23</w:t>
            </w:r>
          </w:p>
        </w:tc>
        <w:tc>
          <w:tcPr>
            <w:tcW w:w="1699" w:type="dxa"/>
            <w:tcBorders>
              <w:top w:val="single" w:sz="18" w:space="0" w:color="auto"/>
            </w:tcBorders>
            <w:vAlign w:val="bottom"/>
          </w:tcPr>
          <w:p w:rsidR="00B0519B" w:rsidRPr="00325A7E" w:rsidRDefault="00B0519B" w:rsidP="008A28CD">
            <w:pPr>
              <w:pStyle w:val="TableText"/>
              <w:spacing w:before="20" w:after="20"/>
              <w:jc w:val="center"/>
            </w:pPr>
            <w:r w:rsidRPr="00325A7E">
              <w:t>28</w:t>
            </w:r>
          </w:p>
        </w:tc>
        <w:tc>
          <w:tcPr>
            <w:tcW w:w="1699" w:type="dxa"/>
            <w:tcBorders>
              <w:top w:val="single" w:sz="18" w:space="0" w:color="auto"/>
            </w:tcBorders>
            <w:vAlign w:val="bottom"/>
          </w:tcPr>
          <w:p w:rsidR="00B0519B" w:rsidRPr="00325A7E" w:rsidRDefault="00B0519B" w:rsidP="008A28CD">
            <w:pPr>
              <w:pStyle w:val="TableText"/>
              <w:spacing w:before="20" w:after="20"/>
              <w:jc w:val="center"/>
            </w:pPr>
            <w:r w:rsidRPr="00325A7E">
              <w:t>32</w:t>
            </w:r>
          </w:p>
        </w:tc>
      </w:tr>
      <w:tr w:rsidR="00B0519B" w:rsidRPr="004A1DD4" w:rsidTr="00203192">
        <w:trPr>
          <w:cantSplit/>
          <w:trHeight w:val="20"/>
          <w:jc w:val="center"/>
        </w:trPr>
        <w:tc>
          <w:tcPr>
            <w:tcW w:w="1728" w:type="dxa"/>
            <w:shd w:val="clear" w:color="auto" w:fill="E6E6E6"/>
            <w:vAlign w:val="bottom"/>
          </w:tcPr>
          <w:p w:rsidR="00B0519B" w:rsidRPr="00325A7E" w:rsidRDefault="00B0519B" w:rsidP="008A28CD">
            <w:pPr>
              <w:pStyle w:val="TableText"/>
              <w:spacing w:before="20" w:after="20"/>
              <w:rPr>
                <w:b/>
              </w:rPr>
            </w:pPr>
            <w:r w:rsidRPr="00325A7E">
              <w:rPr>
                <w:b/>
              </w:rPr>
              <w:t>Any disability</w:t>
            </w:r>
          </w:p>
        </w:tc>
        <w:tc>
          <w:tcPr>
            <w:tcW w:w="1699" w:type="dxa"/>
            <w:vAlign w:val="bottom"/>
          </w:tcPr>
          <w:p w:rsidR="00B0519B" w:rsidRPr="00325A7E" w:rsidRDefault="00B0519B" w:rsidP="008A28CD">
            <w:pPr>
              <w:pStyle w:val="TableText"/>
              <w:spacing w:before="20" w:after="20"/>
              <w:jc w:val="center"/>
            </w:pPr>
            <w:r w:rsidRPr="00325A7E">
              <w:t>30</w:t>
            </w:r>
          </w:p>
        </w:tc>
        <w:tc>
          <w:tcPr>
            <w:tcW w:w="1699" w:type="dxa"/>
            <w:vAlign w:val="bottom"/>
          </w:tcPr>
          <w:p w:rsidR="00B0519B" w:rsidRPr="00325A7E" w:rsidRDefault="00B0519B" w:rsidP="008A28CD">
            <w:pPr>
              <w:pStyle w:val="TableText"/>
              <w:spacing w:before="20" w:after="20"/>
              <w:jc w:val="center"/>
            </w:pPr>
            <w:r w:rsidRPr="00325A7E">
              <w:t>41</w:t>
            </w:r>
          </w:p>
        </w:tc>
        <w:tc>
          <w:tcPr>
            <w:tcW w:w="1699" w:type="dxa"/>
            <w:vAlign w:val="bottom"/>
          </w:tcPr>
          <w:p w:rsidR="00B0519B" w:rsidRPr="00325A7E" w:rsidRDefault="00B0519B" w:rsidP="008A28CD">
            <w:pPr>
              <w:pStyle w:val="TableText"/>
              <w:spacing w:before="20" w:after="20"/>
              <w:jc w:val="center"/>
            </w:pPr>
            <w:r w:rsidRPr="00325A7E">
              <w:t>39</w:t>
            </w:r>
          </w:p>
        </w:tc>
      </w:tr>
    </w:tbl>
    <w:p w:rsidR="00B0519B" w:rsidRPr="004A1DD4" w:rsidRDefault="00B0519B" w:rsidP="00B0519B">
      <w:pPr>
        <w:pStyle w:val="TableNote"/>
        <w:rPr>
          <w:rStyle w:val="Header1"/>
        </w:rPr>
      </w:pPr>
      <w:r w:rsidRPr="00AE082C">
        <w:rPr>
          <w:b/>
        </w:rPr>
        <w:t>Source:</w:t>
      </w:r>
      <w:r w:rsidRPr="004A1DD4">
        <w:t xml:space="preserve"> </w:t>
      </w:r>
      <w:r w:rsidRPr="004A1DD4">
        <w:rPr>
          <w:rStyle w:val="Header1"/>
        </w:rPr>
        <w:t>Behavioral Risk Factor Surveillance System (BRFSS), CDC</w:t>
      </w:r>
    </w:p>
    <w:p w:rsidR="00B0519B" w:rsidRDefault="00B0519B" w:rsidP="00B0519B">
      <w:pPr>
        <w:pStyle w:val="NCDTableNumber"/>
      </w:pPr>
      <w:r w:rsidRPr="00543A40">
        <w:t xml:space="preserve">Table </w:t>
      </w:r>
      <w:r>
        <w:t>A2a.</w:t>
      </w:r>
    </w:p>
    <w:p w:rsidR="00B0519B" w:rsidRPr="004A1DD4" w:rsidRDefault="00B0519B" w:rsidP="00B0519B">
      <w:pPr>
        <w:pStyle w:val="TableTitle"/>
      </w:pPr>
      <w:r w:rsidRPr="004A1DD4">
        <w:t xml:space="preserve">Percentage of People Who Use Cigarettes by Disability Status, </w:t>
      </w:r>
      <w:r>
        <w:br/>
      </w:r>
      <w:r w:rsidRPr="004A1DD4">
        <w:t>1998–2002</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0"/>
        <w:gridCol w:w="1348"/>
        <w:gridCol w:w="1348"/>
        <w:gridCol w:w="1348"/>
        <w:gridCol w:w="1348"/>
        <w:gridCol w:w="1348"/>
      </w:tblGrid>
      <w:tr w:rsidR="00B0519B" w:rsidRPr="00311317" w:rsidTr="00203192">
        <w:trPr>
          <w:cantSplit/>
          <w:tblHeader/>
          <w:jc w:val="center"/>
        </w:trPr>
        <w:tc>
          <w:tcPr>
            <w:tcW w:w="282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br w:type="page"/>
            </w:r>
          </w:p>
        </w:tc>
        <w:tc>
          <w:tcPr>
            <w:tcW w:w="144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1998</w:t>
            </w:r>
          </w:p>
        </w:tc>
        <w:tc>
          <w:tcPr>
            <w:tcW w:w="144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1999</w:t>
            </w:r>
          </w:p>
        </w:tc>
        <w:tc>
          <w:tcPr>
            <w:tcW w:w="144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2000</w:t>
            </w:r>
          </w:p>
        </w:tc>
        <w:tc>
          <w:tcPr>
            <w:tcW w:w="144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2001</w:t>
            </w:r>
          </w:p>
        </w:tc>
        <w:tc>
          <w:tcPr>
            <w:tcW w:w="1440" w:type="dxa"/>
            <w:tcBorders>
              <w:top w:val="single" w:sz="18" w:space="0" w:color="auto"/>
              <w:bottom w:val="single" w:sz="18" w:space="0" w:color="auto"/>
            </w:tcBorders>
            <w:shd w:val="clear" w:color="auto" w:fill="E6E6E6"/>
            <w:vAlign w:val="bottom"/>
          </w:tcPr>
          <w:p w:rsidR="00B0519B" w:rsidRPr="00311317" w:rsidRDefault="00B0519B" w:rsidP="008A28CD">
            <w:pPr>
              <w:pStyle w:val="TableHead"/>
              <w:spacing w:before="20" w:after="20"/>
            </w:pPr>
            <w:r w:rsidRPr="00311317">
              <w:t>2002</w:t>
            </w:r>
          </w:p>
        </w:tc>
      </w:tr>
      <w:tr w:rsidR="00B0519B" w:rsidRPr="004A1DD4" w:rsidTr="00203192">
        <w:trPr>
          <w:cantSplit/>
          <w:jc w:val="center"/>
        </w:trPr>
        <w:tc>
          <w:tcPr>
            <w:tcW w:w="2820" w:type="dxa"/>
            <w:tcBorders>
              <w:top w:val="single" w:sz="18" w:space="0" w:color="auto"/>
            </w:tcBorders>
            <w:shd w:val="clear" w:color="auto" w:fill="E6E6E6"/>
            <w:vAlign w:val="bottom"/>
          </w:tcPr>
          <w:p w:rsidR="00B0519B" w:rsidRPr="00325A7E" w:rsidRDefault="00B0519B" w:rsidP="008A28CD">
            <w:pPr>
              <w:pStyle w:val="TableText"/>
              <w:spacing w:before="20" w:after="20"/>
              <w:rPr>
                <w:b/>
              </w:rPr>
            </w:pPr>
            <w:r w:rsidRPr="00325A7E">
              <w:rPr>
                <w:b/>
              </w:rPr>
              <w:t>No disability</w:t>
            </w:r>
          </w:p>
        </w:tc>
        <w:tc>
          <w:tcPr>
            <w:tcW w:w="1440" w:type="dxa"/>
            <w:tcBorders>
              <w:top w:val="single" w:sz="18" w:space="0" w:color="auto"/>
            </w:tcBorders>
            <w:vAlign w:val="bottom"/>
          </w:tcPr>
          <w:p w:rsidR="00B0519B" w:rsidRPr="00325A7E" w:rsidRDefault="00B0519B" w:rsidP="008A28CD">
            <w:pPr>
              <w:pStyle w:val="TableText"/>
              <w:spacing w:before="20" w:after="20"/>
              <w:jc w:val="center"/>
            </w:pPr>
            <w:r w:rsidRPr="00325A7E">
              <w:t>23</w:t>
            </w:r>
          </w:p>
        </w:tc>
        <w:tc>
          <w:tcPr>
            <w:tcW w:w="1440" w:type="dxa"/>
            <w:tcBorders>
              <w:top w:val="single" w:sz="18" w:space="0" w:color="auto"/>
            </w:tcBorders>
            <w:vAlign w:val="bottom"/>
          </w:tcPr>
          <w:p w:rsidR="00B0519B" w:rsidRPr="00325A7E" w:rsidRDefault="00B0519B" w:rsidP="008A28CD">
            <w:pPr>
              <w:pStyle w:val="TableText"/>
              <w:spacing w:before="20" w:after="20"/>
              <w:jc w:val="center"/>
            </w:pPr>
            <w:r w:rsidRPr="00325A7E">
              <w:t>22</w:t>
            </w:r>
          </w:p>
        </w:tc>
        <w:tc>
          <w:tcPr>
            <w:tcW w:w="1440" w:type="dxa"/>
            <w:tcBorders>
              <w:top w:val="single" w:sz="18" w:space="0" w:color="auto"/>
            </w:tcBorders>
            <w:vAlign w:val="bottom"/>
          </w:tcPr>
          <w:p w:rsidR="00B0519B" w:rsidRPr="00325A7E" w:rsidRDefault="00B0519B" w:rsidP="008A28CD">
            <w:pPr>
              <w:pStyle w:val="TableText"/>
              <w:spacing w:before="20" w:after="20"/>
              <w:jc w:val="center"/>
            </w:pPr>
            <w:r w:rsidRPr="00325A7E">
              <w:t>22</w:t>
            </w:r>
          </w:p>
        </w:tc>
        <w:tc>
          <w:tcPr>
            <w:tcW w:w="1440" w:type="dxa"/>
            <w:tcBorders>
              <w:top w:val="single" w:sz="18" w:space="0" w:color="auto"/>
            </w:tcBorders>
            <w:vAlign w:val="bottom"/>
          </w:tcPr>
          <w:p w:rsidR="00B0519B" w:rsidRPr="00325A7E" w:rsidRDefault="00B0519B" w:rsidP="008A28CD">
            <w:pPr>
              <w:pStyle w:val="TableText"/>
              <w:spacing w:before="20" w:after="20"/>
              <w:jc w:val="center"/>
            </w:pPr>
            <w:r w:rsidRPr="00325A7E">
              <w:t>21</w:t>
            </w:r>
          </w:p>
        </w:tc>
        <w:tc>
          <w:tcPr>
            <w:tcW w:w="1440" w:type="dxa"/>
            <w:tcBorders>
              <w:top w:val="single" w:sz="18" w:space="0" w:color="auto"/>
            </w:tcBorders>
            <w:vAlign w:val="bottom"/>
          </w:tcPr>
          <w:p w:rsidR="00B0519B" w:rsidRPr="00325A7E" w:rsidRDefault="00B0519B" w:rsidP="008A28CD">
            <w:pPr>
              <w:pStyle w:val="TableText"/>
              <w:spacing w:before="20" w:after="20"/>
              <w:jc w:val="center"/>
            </w:pPr>
            <w:r w:rsidRPr="00325A7E">
              <w:t>21</w:t>
            </w:r>
          </w:p>
        </w:tc>
      </w:tr>
      <w:tr w:rsidR="00B0519B" w:rsidRPr="004A1DD4" w:rsidTr="00203192">
        <w:trPr>
          <w:cantSplit/>
          <w:jc w:val="center"/>
        </w:trPr>
        <w:tc>
          <w:tcPr>
            <w:tcW w:w="2820" w:type="dxa"/>
            <w:shd w:val="clear" w:color="auto" w:fill="E6E6E6"/>
            <w:vAlign w:val="bottom"/>
          </w:tcPr>
          <w:p w:rsidR="00B0519B" w:rsidRPr="00325A7E" w:rsidRDefault="00B0519B" w:rsidP="008A28CD">
            <w:pPr>
              <w:pStyle w:val="TableText"/>
              <w:spacing w:before="20" w:after="20"/>
              <w:rPr>
                <w:b/>
              </w:rPr>
            </w:pPr>
            <w:r w:rsidRPr="00325A7E">
              <w:rPr>
                <w:b/>
              </w:rPr>
              <w:t>Any disability</w:t>
            </w:r>
          </w:p>
        </w:tc>
        <w:tc>
          <w:tcPr>
            <w:tcW w:w="1440" w:type="dxa"/>
            <w:vAlign w:val="bottom"/>
          </w:tcPr>
          <w:p w:rsidR="00B0519B" w:rsidRPr="00325A7E" w:rsidRDefault="00B0519B" w:rsidP="008A28CD">
            <w:pPr>
              <w:pStyle w:val="TableText"/>
              <w:spacing w:before="20" w:after="20"/>
              <w:jc w:val="center"/>
            </w:pPr>
            <w:r w:rsidRPr="00325A7E">
              <w:t>32</w:t>
            </w:r>
          </w:p>
        </w:tc>
        <w:tc>
          <w:tcPr>
            <w:tcW w:w="1440" w:type="dxa"/>
            <w:vAlign w:val="bottom"/>
          </w:tcPr>
          <w:p w:rsidR="00B0519B" w:rsidRPr="00325A7E" w:rsidRDefault="00B0519B" w:rsidP="008A28CD">
            <w:pPr>
              <w:pStyle w:val="TableText"/>
              <w:spacing w:before="20" w:after="20"/>
              <w:jc w:val="center"/>
            </w:pPr>
            <w:r w:rsidRPr="00325A7E">
              <w:t>32</w:t>
            </w:r>
          </w:p>
        </w:tc>
        <w:tc>
          <w:tcPr>
            <w:tcW w:w="1440" w:type="dxa"/>
            <w:vAlign w:val="bottom"/>
          </w:tcPr>
          <w:p w:rsidR="00B0519B" w:rsidRPr="00325A7E" w:rsidRDefault="00B0519B" w:rsidP="008A28CD">
            <w:pPr>
              <w:pStyle w:val="TableText"/>
              <w:spacing w:before="20" w:after="20"/>
              <w:jc w:val="center"/>
            </w:pPr>
            <w:r w:rsidRPr="00325A7E">
              <w:t>31</w:t>
            </w:r>
          </w:p>
        </w:tc>
        <w:tc>
          <w:tcPr>
            <w:tcW w:w="1440" w:type="dxa"/>
            <w:vAlign w:val="bottom"/>
          </w:tcPr>
          <w:p w:rsidR="00B0519B" w:rsidRPr="00325A7E" w:rsidRDefault="00B0519B" w:rsidP="008A28CD">
            <w:pPr>
              <w:pStyle w:val="TableText"/>
              <w:spacing w:before="20" w:after="20"/>
              <w:jc w:val="center"/>
            </w:pPr>
            <w:r w:rsidRPr="00325A7E">
              <w:t>32</w:t>
            </w:r>
          </w:p>
        </w:tc>
        <w:tc>
          <w:tcPr>
            <w:tcW w:w="1440" w:type="dxa"/>
            <w:vAlign w:val="bottom"/>
          </w:tcPr>
          <w:p w:rsidR="00B0519B" w:rsidRPr="00325A7E" w:rsidRDefault="00B0519B" w:rsidP="008A28CD">
            <w:pPr>
              <w:pStyle w:val="TableText"/>
              <w:spacing w:before="20" w:after="20"/>
              <w:jc w:val="center"/>
            </w:pPr>
            <w:r w:rsidRPr="00325A7E">
              <w:t>32</w:t>
            </w:r>
          </w:p>
        </w:tc>
      </w:tr>
    </w:tbl>
    <w:p w:rsidR="00B0519B" w:rsidRPr="004A1DD4" w:rsidRDefault="00B0519B" w:rsidP="00B0519B">
      <w:pPr>
        <w:pStyle w:val="TableNote"/>
        <w:rPr>
          <w:rStyle w:val="Header1"/>
        </w:rPr>
      </w:pPr>
      <w:r w:rsidRPr="00AE082C">
        <w:rPr>
          <w:b/>
        </w:rPr>
        <w:t>Source:</w:t>
      </w:r>
      <w:r w:rsidRPr="004A1DD4">
        <w:t xml:space="preserve"> </w:t>
      </w:r>
      <w:r w:rsidRPr="004A1DD4">
        <w:rPr>
          <w:rStyle w:val="Header1"/>
        </w:rPr>
        <w:t>Behavioral Risk Factor Surveillance System (BRFSS), CDC</w:t>
      </w:r>
    </w:p>
    <w:p w:rsidR="00B0519B" w:rsidRDefault="00B0519B" w:rsidP="00B0519B">
      <w:pPr>
        <w:pStyle w:val="NCDTableNumber"/>
      </w:pPr>
      <w:r w:rsidRPr="00543A40">
        <w:t xml:space="preserve">Table </w:t>
      </w:r>
      <w:r>
        <w:t>A2b.</w:t>
      </w:r>
    </w:p>
    <w:p w:rsidR="00B0519B" w:rsidRPr="004A1DD4" w:rsidRDefault="00B0519B" w:rsidP="00B0519B">
      <w:pPr>
        <w:pStyle w:val="TableTitle"/>
      </w:pPr>
      <w:r w:rsidRPr="004A1DD4">
        <w:t xml:space="preserve">Percentage of People Who Use Cigarettes by Disability Status, </w:t>
      </w:r>
      <w:r>
        <w:br/>
      </w:r>
      <w:r w:rsidRPr="004A1DD4">
        <w:t>2003–08</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shd w:val="clear" w:color="auto" w:fill="E6E6E6"/>
        <w:tblLayout w:type="fixed"/>
        <w:tblCellMar>
          <w:left w:w="115" w:type="dxa"/>
          <w:right w:w="115" w:type="dxa"/>
        </w:tblCellMar>
        <w:tblLook w:val="04A0" w:firstRow="1" w:lastRow="0" w:firstColumn="1" w:lastColumn="0" w:noHBand="0" w:noVBand="1"/>
      </w:tblPr>
      <w:tblGrid>
        <w:gridCol w:w="2010"/>
        <w:gridCol w:w="1225"/>
        <w:gridCol w:w="1225"/>
        <w:gridCol w:w="1225"/>
        <w:gridCol w:w="1225"/>
        <w:gridCol w:w="1225"/>
        <w:gridCol w:w="1225"/>
      </w:tblGrid>
      <w:tr w:rsidR="00B0519B" w:rsidRPr="00311317" w:rsidTr="00203192">
        <w:trPr>
          <w:cantSplit/>
          <w:trHeight w:val="20"/>
          <w:tblHeader/>
          <w:jc w:val="center"/>
        </w:trPr>
        <w:tc>
          <w:tcPr>
            <w:tcW w:w="189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2003</w:t>
            </w: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2004</w:t>
            </w: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2005</w:t>
            </w: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2006</w:t>
            </w: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2007</w:t>
            </w:r>
          </w:p>
        </w:tc>
        <w:tc>
          <w:tcPr>
            <w:tcW w:w="1152"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rsidRPr="00311317">
              <w:t>2008</w:t>
            </w:r>
          </w:p>
        </w:tc>
      </w:tr>
      <w:tr w:rsidR="00B0519B" w:rsidRPr="004A1DD4" w:rsidTr="00203192">
        <w:trPr>
          <w:cantSplit/>
          <w:trHeight w:val="20"/>
          <w:jc w:val="center"/>
        </w:trPr>
        <w:tc>
          <w:tcPr>
            <w:tcW w:w="1890" w:type="dxa"/>
            <w:tcBorders>
              <w:top w:val="single" w:sz="18" w:space="0" w:color="auto"/>
            </w:tcBorders>
            <w:shd w:val="clear" w:color="auto" w:fill="E6E6E6"/>
          </w:tcPr>
          <w:p w:rsidR="00B0519B" w:rsidRPr="00DB4ECA" w:rsidRDefault="00B0519B" w:rsidP="008A28CD">
            <w:pPr>
              <w:pStyle w:val="TableText"/>
              <w:spacing w:before="20" w:after="20"/>
              <w:rPr>
                <w:b/>
              </w:rPr>
            </w:pPr>
            <w:r w:rsidRPr="00DB4ECA">
              <w:rPr>
                <w:b/>
              </w:rPr>
              <w:t>No disability</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20</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20</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20</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20</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18</w:t>
            </w:r>
          </w:p>
        </w:tc>
        <w:tc>
          <w:tcPr>
            <w:tcW w:w="1152" w:type="dxa"/>
            <w:tcBorders>
              <w:top w:val="single" w:sz="18" w:space="0" w:color="auto"/>
            </w:tcBorders>
            <w:shd w:val="clear" w:color="auto" w:fill="auto"/>
          </w:tcPr>
          <w:p w:rsidR="00B0519B" w:rsidRPr="00DB4ECA" w:rsidRDefault="00B0519B" w:rsidP="008A28CD">
            <w:pPr>
              <w:pStyle w:val="TableText"/>
              <w:spacing w:before="20" w:after="20"/>
              <w:jc w:val="center"/>
            </w:pPr>
            <w:r w:rsidRPr="00DB4ECA">
              <w:t>19</w:t>
            </w:r>
          </w:p>
        </w:tc>
      </w:tr>
      <w:tr w:rsidR="00B0519B" w:rsidRPr="004A1DD4" w:rsidTr="00203192">
        <w:trPr>
          <w:cantSplit/>
          <w:trHeight w:val="20"/>
          <w:jc w:val="center"/>
        </w:trPr>
        <w:tc>
          <w:tcPr>
            <w:tcW w:w="1890" w:type="dxa"/>
            <w:shd w:val="clear" w:color="auto" w:fill="E6E6E6"/>
          </w:tcPr>
          <w:p w:rsidR="00B0519B" w:rsidRPr="00DB4ECA" w:rsidRDefault="00B0519B" w:rsidP="008A28CD">
            <w:pPr>
              <w:pStyle w:val="TableText"/>
              <w:spacing w:before="20" w:after="20"/>
              <w:rPr>
                <w:b/>
              </w:rPr>
            </w:pPr>
            <w:r w:rsidRPr="00DB4ECA">
              <w:rPr>
                <w:b/>
              </w:rPr>
              <w:t>Any disability</w:t>
            </w:r>
          </w:p>
        </w:tc>
        <w:tc>
          <w:tcPr>
            <w:tcW w:w="1152" w:type="dxa"/>
            <w:shd w:val="clear" w:color="auto" w:fill="auto"/>
          </w:tcPr>
          <w:p w:rsidR="00B0519B" w:rsidRPr="00DB4ECA" w:rsidRDefault="00B0519B" w:rsidP="008A28CD">
            <w:pPr>
              <w:pStyle w:val="TableText"/>
              <w:spacing w:before="20" w:after="20"/>
              <w:jc w:val="center"/>
            </w:pPr>
            <w:r w:rsidRPr="00DB4ECA">
              <w:t>31</w:t>
            </w:r>
          </w:p>
        </w:tc>
        <w:tc>
          <w:tcPr>
            <w:tcW w:w="1152" w:type="dxa"/>
            <w:shd w:val="clear" w:color="auto" w:fill="auto"/>
          </w:tcPr>
          <w:p w:rsidR="00B0519B" w:rsidRPr="00DB4ECA" w:rsidRDefault="00B0519B" w:rsidP="008A28CD">
            <w:pPr>
              <w:pStyle w:val="TableText"/>
              <w:spacing w:before="20" w:after="20"/>
              <w:jc w:val="center"/>
            </w:pPr>
            <w:r w:rsidRPr="00DB4ECA">
              <w:t>28</w:t>
            </w:r>
          </w:p>
        </w:tc>
        <w:tc>
          <w:tcPr>
            <w:tcW w:w="1152" w:type="dxa"/>
            <w:shd w:val="clear" w:color="auto" w:fill="auto"/>
          </w:tcPr>
          <w:p w:rsidR="00B0519B" w:rsidRPr="00DB4ECA" w:rsidRDefault="00B0519B" w:rsidP="008A28CD">
            <w:pPr>
              <w:pStyle w:val="TableText"/>
              <w:spacing w:before="20" w:after="20"/>
              <w:jc w:val="center"/>
            </w:pPr>
            <w:r w:rsidRPr="00DB4ECA">
              <w:t>30</w:t>
            </w:r>
          </w:p>
        </w:tc>
        <w:tc>
          <w:tcPr>
            <w:tcW w:w="1152" w:type="dxa"/>
            <w:shd w:val="clear" w:color="auto" w:fill="auto"/>
          </w:tcPr>
          <w:p w:rsidR="00B0519B" w:rsidRPr="00DB4ECA" w:rsidRDefault="00B0519B" w:rsidP="008A28CD">
            <w:pPr>
              <w:pStyle w:val="TableText"/>
              <w:spacing w:before="20" w:after="20"/>
              <w:jc w:val="center"/>
            </w:pPr>
            <w:r w:rsidRPr="00DB4ECA">
              <w:t>30</w:t>
            </w:r>
          </w:p>
        </w:tc>
        <w:tc>
          <w:tcPr>
            <w:tcW w:w="1152" w:type="dxa"/>
            <w:shd w:val="clear" w:color="auto" w:fill="auto"/>
          </w:tcPr>
          <w:p w:rsidR="00B0519B" w:rsidRPr="00DB4ECA" w:rsidRDefault="00B0519B" w:rsidP="008A28CD">
            <w:pPr>
              <w:pStyle w:val="TableText"/>
              <w:spacing w:before="20" w:after="20"/>
              <w:jc w:val="center"/>
            </w:pPr>
            <w:r w:rsidRPr="00DB4ECA">
              <w:t>31</w:t>
            </w:r>
          </w:p>
        </w:tc>
        <w:tc>
          <w:tcPr>
            <w:tcW w:w="1152" w:type="dxa"/>
            <w:shd w:val="clear" w:color="auto" w:fill="auto"/>
          </w:tcPr>
          <w:p w:rsidR="00B0519B" w:rsidRPr="00DB4ECA" w:rsidRDefault="00B0519B" w:rsidP="008A28CD">
            <w:pPr>
              <w:pStyle w:val="TableText"/>
              <w:spacing w:before="20" w:after="20"/>
              <w:jc w:val="center"/>
            </w:pPr>
            <w:r w:rsidRPr="00DB4ECA">
              <w:t>31</w:t>
            </w:r>
          </w:p>
        </w:tc>
      </w:tr>
    </w:tbl>
    <w:p w:rsidR="00B0519B" w:rsidRPr="004A1DD4" w:rsidRDefault="00B0519B" w:rsidP="00B0519B">
      <w:pPr>
        <w:pStyle w:val="TableNote"/>
        <w:rPr>
          <w:rStyle w:val="Header1"/>
        </w:rPr>
      </w:pPr>
      <w:r w:rsidRPr="00AE082C">
        <w:rPr>
          <w:b/>
        </w:rPr>
        <w:t>Source:</w:t>
      </w:r>
      <w:r w:rsidRPr="004A1DD4">
        <w:t xml:space="preserve"> </w:t>
      </w:r>
      <w:r w:rsidRPr="004A1DD4">
        <w:rPr>
          <w:rStyle w:val="Header1"/>
        </w:rPr>
        <w:t>Behavioral Risk Factor Surveillance System (BRFSS), CDC</w:t>
      </w:r>
    </w:p>
    <w:p w:rsidR="00B0519B" w:rsidRDefault="00B0519B" w:rsidP="00B0519B">
      <w:pPr>
        <w:pStyle w:val="NCDTableNumber"/>
      </w:pPr>
      <w:r w:rsidRPr="00543A40">
        <w:t xml:space="preserve">Table </w:t>
      </w:r>
      <w:r>
        <w:t>A3.</w:t>
      </w:r>
    </w:p>
    <w:p w:rsidR="00B0519B" w:rsidRPr="004A1DD4" w:rsidRDefault="00B0519B" w:rsidP="00B0519B">
      <w:pPr>
        <w:pStyle w:val="TableTitle"/>
        <w:rPr>
          <w:noProof/>
        </w:rPr>
      </w:pPr>
      <w:r w:rsidRPr="004A1DD4">
        <w:t xml:space="preserve">Percentage of People Who Responded </w:t>
      </w:r>
      <w:r>
        <w:t>“</w:t>
      </w:r>
      <w:r w:rsidRPr="004A1DD4">
        <w:t>Yes</w:t>
      </w:r>
      <w:r>
        <w:t>”</w:t>
      </w:r>
      <w:r w:rsidRPr="004A1DD4">
        <w:t xml:space="preserve"> to </w:t>
      </w:r>
      <w:r>
        <w:t>“</w:t>
      </w:r>
      <w:r w:rsidRPr="004A1DD4">
        <w:t>Do you personally use a computer or some other electronic device, such as a cell phone, to access the Internet or World Wide Web from home, work or another</w:t>
      </w:r>
      <w:r>
        <w:t> </w:t>
      </w:r>
      <w:r w:rsidRPr="004A1DD4">
        <w:t>location?</w:t>
      </w:r>
      <w:r>
        <w:t>”</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544"/>
        <w:gridCol w:w="1454"/>
        <w:gridCol w:w="1454"/>
        <w:gridCol w:w="1454"/>
        <w:gridCol w:w="1454"/>
      </w:tblGrid>
      <w:tr w:rsidR="00B0519B" w:rsidRPr="00311317" w:rsidTr="00203192">
        <w:trPr>
          <w:trHeight w:val="120"/>
          <w:tblHeader/>
          <w:jc w:val="center"/>
        </w:trPr>
        <w:tc>
          <w:tcPr>
            <w:tcW w:w="351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p>
        </w:tc>
        <w:tc>
          <w:tcPr>
            <w:tcW w:w="144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t>Age 18–29</w:t>
            </w:r>
          </w:p>
        </w:tc>
        <w:tc>
          <w:tcPr>
            <w:tcW w:w="144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t>30–44</w:t>
            </w:r>
          </w:p>
        </w:tc>
        <w:tc>
          <w:tcPr>
            <w:tcW w:w="144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t>45–64</w:t>
            </w:r>
          </w:p>
        </w:tc>
        <w:tc>
          <w:tcPr>
            <w:tcW w:w="1440" w:type="dxa"/>
            <w:tcBorders>
              <w:top w:val="single" w:sz="18" w:space="0" w:color="auto"/>
              <w:bottom w:val="single" w:sz="18" w:space="0" w:color="auto"/>
            </w:tcBorders>
            <w:shd w:val="clear" w:color="auto" w:fill="E6E6E6"/>
          </w:tcPr>
          <w:p w:rsidR="00B0519B" w:rsidRPr="00311317" w:rsidRDefault="00B0519B" w:rsidP="008A28CD">
            <w:pPr>
              <w:pStyle w:val="TableHead"/>
              <w:spacing w:before="20" w:after="20"/>
            </w:pPr>
            <w:r>
              <w:t>65+</w:t>
            </w:r>
          </w:p>
        </w:tc>
      </w:tr>
      <w:tr w:rsidR="00B0519B" w:rsidRPr="004A1DD4" w:rsidTr="00203192">
        <w:trPr>
          <w:trHeight w:val="120"/>
          <w:jc w:val="center"/>
        </w:trPr>
        <w:tc>
          <w:tcPr>
            <w:tcW w:w="3510" w:type="dxa"/>
            <w:tcBorders>
              <w:top w:val="single" w:sz="18" w:space="0" w:color="auto"/>
            </w:tcBorders>
            <w:shd w:val="clear" w:color="auto" w:fill="E6E6E6"/>
          </w:tcPr>
          <w:p w:rsidR="00B0519B" w:rsidRPr="00EB2181" w:rsidRDefault="00B0519B" w:rsidP="008A28CD">
            <w:pPr>
              <w:pStyle w:val="TableText"/>
              <w:spacing w:before="20" w:after="20"/>
              <w:rPr>
                <w:b/>
              </w:rPr>
            </w:pPr>
            <w:r>
              <w:rPr>
                <w:b/>
              </w:rPr>
              <w:t>People with disabilities</w:t>
            </w:r>
          </w:p>
        </w:tc>
        <w:tc>
          <w:tcPr>
            <w:tcW w:w="1440" w:type="dxa"/>
            <w:tcBorders>
              <w:top w:val="single" w:sz="18" w:space="0" w:color="auto"/>
            </w:tcBorders>
          </w:tcPr>
          <w:p w:rsidR="00B0519B" w:rsidRPr="007D14DF" w:rsidRDefault="00B0519B" w:rsidP="008A28CD">
            <w:pPr>
              <w:pStyle w:val="TableText"/>
              <w:spacing w:before="20" w:after="20"/>
              <w:jc w:val="center"/>
            </w:pPr>
            <w:r w:rsidRPr="007D14DF">
              <w:t>82</w:t>
            </w:r>
          </w:p>
        </w:tc>
        <w:tc>
          <w:tcPr>
            <w:tcW w:w="1440" w:type="dxa"/>
            <w:tcBorders>
              <w:top w:val="single" w:sz="18" w:space="0" w:color="auto"/>
            </w:tcBorders>
          </w:tcPr>
          <w:p w:rsidR="00B0519B" w:rsidRPr="007D14DF" w:rsidRDefault="00B0519B" w:rsidP="008A28CD">
            <w:pPr>
              <w:pStyle w:val="TableText"/>
              <w:spacing w:before="20" w:after="20"/>
              <w:jc w:val="center"/>
            </w:pPr>
            <w:r w:rsidRPr="007D14DF">
              <w:t>63</w:t>
            </w:r>
          </w:p>
        </w:tc>
        <w:tc>
          <w:tcPr>
            <w:tcW w:w="1440" w:type="dxa"/>
            <w:tcBorders>
              <w:top w:val="single" w:sz="18" w:space="0" w:color="auto"/>
            </w:tcBorders>
          </w:tcPr>
          <w:p w:rsidR="00B0519B" w:rsidRPr="007D14DF" w:rsidRDefault="00B0519B" w:rsidP="008A28CD">
            <w:pPr>
              <w:pStyle w:val="TableText"/>
              <w:spacing w:before="20" w:after="20"/>
              <w:jc w:val="center"/>
            </w:pPr>
            <w:r w:rsidRPr="007D14DF">
              <w:t>61</w:t>
            </w:r>
          </w:p>
        </w:tc>
        <w:tc>
          <w:tcPr>
            <w:tcW w:w="1440" w:type="dxa"/>
            <w:tcBorders>
              <w:top w:val="single" w:sz="18" w:space="0" w:color="auto"/>
            </w:tcBorders>
          </w:tcPr>
          <w:p w:rsidR="00B0519B" w:rsidRPr="007D14DF" w:rsidRDefault="00B0519B" w:rsidP="008A28CD">
            <w:pPr>
              <w:pStyle w:val="TableText"/>
              <w:spacing w:before="20" w:after="20"/>
              <w:jc w:val="center"/>
            </w:pPr>
            <w:r w:rsidRPr="007D14DF">
              <w:t>37</w:t>
            </w:r>
          </w:p>
        </w:tc>
      </w:tr>
      <w:tr w:rsidR="00B0519B" w:rsidRPr="004A1DD4" w:rsidTr="00203192">
        <w:trPr>
          <w:trHeight w:val="120"/>
          <w:jc w:val="center"/>
        </w:trPr>
        <w:tc>
          <w:tcPr>
            <w:tcW w:w="3510" w:type="dxa"/>
            <w:shd w:val="clear" w:color="auto" w:fill="E6E6E6"/>
          </w:tcPr>
          <w:p w:rsidR="00B0519B" w:rsidRPr="00EB2181" w:rsidRDefault="00B0519B" w:rsidP="008A28CD">
            <w:pPr>
              <w:pStyle w:val="TableText"/>
              <w:spacing w:before="20" w:after="20"/>
              <w:rPr>
                <w:b/>
              </w:rPr>
            </w:pPr>
            <w:r>
              <w:rPr>
                <w:b/>
              </w:rPr>
              <w:t>People without disabilities</w:t>
            </w:r>
          </w:p>
        </w:tc>
        <w:tc>
          <w:tcPr>
            <w:tcW w:w="1440" w:type="dxa"/>
          </w:tcPr>
          <w:p w:rsidR="00B0519B" w:rsidRPr="007D14DF" w:rsidRDefault="00B0519B" w:rsidP="008A28CD">
            <w:pPr>
              <w:pStyle w:val="TableText"/>
              <w:spacing w:before="20" w:after="20"/>
              <w:jc w:val="center"/>
            </w:pPr>
            <w:r w:rsidRPr="007D14DF">
              <w:t>92</w:t>
            </w:r>
          </w:p>
        </w:tc>
        <w:tc>
          <w:tcPr>
            <w:tcW w:w="1440" w:type="dxa"/>
          </w:tcPr>
          <w:p w:rsidR="00B0519B" w:rsidRPr="007D14DF" w:rsidRDefault="00B0519B" w:rsidP="008A28CD">
            <w:pPr>
              <w:pStyle w:val="TableText"/>
              <w:spacing w:before="20" w:after="20"/>
              <w:jc w:val="center"/>
            </w:pPr>
            <w:r w:rsidRPr="007D14DF">
              <w:t>87</w:t>
            </w:r>
          </w:p>
        </w:tc>
        <w:tc>
          <w:tcPr>
            <w:tcW w:w="1440" w:type="dxa"/>
          </w:tcPr>
          <w:p w:rsidR="00B0519B" w:rsidRPr="007D14DF" w:rsidRDefault="00B0519B" w:rsidP="008A28CD">
            <w:pPr>
              <w:pStyle w:val="TableText"/>
              <w:spacing w:before="20" w:after="20"/>
              <w:jc w:val="center"/>
            </w:pPr>
            <w:r w:rsidRPr="007D14DF">
              <w:t>82</w:t>
            </w:r>
          </w:p>
        </w:tc>
        <w:tc>
          <w:tcPr>
            <w:tcW w:w="1440" w:type="dxa"/>
          </w:tcPr>
          <w:p w:rsidR="00B0519B" w:rsidRPr="007D14DF" w:rsidRDefault="00B0519B" w:rsidP="008A28CD">
            <w:pPr>
              <w:pStyle w:val="TableText"/>
              <w:spacing w:before="20" w:after="20"/>
              <w:jc w:val="center"/>
            </w:pPr>
            <w:r w:rsidRPr="007D14DF">
              <w:t>70</w:t>
            </w:r>
          </w:p>
        </w:tc>
      </w:tr>
    </w:tbl>
    <w:p w:rsidR="00B0519B" w:rsidRPr="004A1DD4" w:rsidRDefault="00B0519B" w:rsidP="00B0519B">
      <w:pPr>
        <w:pStyle w:val="TableNote"/>
      </w:pPr>
      <w:r w:rsidRPr="007D14DF">
        <w:rPr>
          <w:b/>
        </w:rPr>
        <w:t>Source:</w:t>
      </w:r>
      <w:r w:rsidRPr="004A1DD4">
        <w:t xml:space="preserve"> Harris Poll, 2010</w:t>
      </w:r>
    </w:p>
    <w:p w:rsidR="00B0519B" w:rsidRDefault="00B0519B" w:rsidP="00B0519B">
      <w:pPr>
        <w:pStyle w:val="NCDTableNumber"/>
      </w:pPr>
      <w:r w:rsidRPr="00543A40">
        <w:lastRenderedPageBreak/>
        <w:t xml:space="preserve">Table </w:t>
      </w:r>
      <w:r>
        <w:t>A4.</w:t>
      </w:r>
    </w:p>
    <w:p w:rsidR="00B0519B" w:rsidRPr="004A1DD4" w:rsidRDefault="00B0519B" w:rsidP="00B0519B">
      <w:pPr>
        <w:pStyle w:val="TableTitle"/>
      </w:pPr>
      <w:r w:rsidRPr="004A1DD4">
        <w:t>Percentage of Total Students Ages 14 through 21 with Disabilities Served under IDEA, Part B, Who Exited Special Education, by Exit</w:t>
      </w:r>
      <w:r>
        <w:t> </w:t>
      </w:r>
      <w:r w:rsidRPr="004A1DD4">
        <w:t>Reason and State, 2008–09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2208"/>
        <w:gridCol w:w="1788"/>
        <w:gridCol w:w="1788"/>
        <w:gridCol w:w="1788"/>
        <w:gridCol w:w="1788"/>
      </w:tblGrid>
      <w:tr w:rsidR="00B0519B" w:rsidRPr="00311317" w:rsidTr="00203192">
        <w:trPr>
          <w:cantSplit/>
          <w:trHeight w:val="20"/>
          <w:tblHeader/>
          <w:jc w:val="center"/>
        </w:trPr>
        <w:tc>
          <w:tcPr>
            <w:tcW w:w="2350" w:type="dxa"/>
            <w:tcBorders>
              <w:top w:val="single" w:sz="18" w:space="0" w:color="auto"/>
              <w:bottom w:val="single" w:sz="18" w:space="0" w:color="auto"/>
            </w:tcBorders>
            <w:shd w:val="clear" w:color="auto" w:fill="E6E6E6"/>
            <w:vAlign w:val="bottom"/>
            <w:hideMark/>
          </w:tcPr>
          <w:p w:rsidR="00B0519B" w:rsidRPr="00AC2FCD" w:rsidRDefault="00B0519B" w:rsidP="007752F0">
            <w:pPr>
              <w:pStyle w:val="TableHead"/>
              <w:spacing w:before="20" w:after="20"/>
            </w:pPr>
            <w:r w:rsidRPr="00AC2FCD">
              <w:t> </w:t>
            </w:r>
          </w:p>
        </w:tc>
        <w:tc>
          <w:tcPr>
            <w:tcW w:w="1901"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Graduated with diploma</w:t>
            </w:r>
          </w:p>
        </w:tc>
        <w:tc>
          <w:tcPr>
            <w:tcW w:w="1901"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Received a certificate</w:t>
            </w:r>
          </w:p>
        </w:tc>
        <w:tc>
          <w:tcPr>
            <w:tcW w:w="1901"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Dropped out</w:t>
            </w:r>
          </w:p>
        </w:tc>
        <w:tc>
          <w:tcPr>
            <w:tcW w:w="1901"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Reached maximum age</w:t>
            </w:r>
          </w:p>
        </w:tc>
      </w:tr>
      <w:tr w:rsidR="00B0519B" w:rsidRPr="004A1DD4" w:rsidTr="00203192">
        <w:trPr>
          <w:cantSplit/>
          <w:trHeight w:val="20"/>
          <w:jc w:val="center"/>
        </w:trPr>
        <w:tc>
          <w:tcPr>
            <w:tcW w:w="2350" w:type="dxa"/>
            <w:tcBorders>
              <w:top w:val="single" w:sz="18" w:space="0" w:color="auto"/>
            </w:tcBorders>
            <w:shd w:val="clear" w:color="auto" w:fill="E6E6E6"/>
            <w:vAlign w:val="bottom"/>
            <w:hideMark/>
          </w:tcPr>
          <w:p w:rsidR="00B0519B" w:rsidRPr="00AC2FCD" w:rsidRDefault="00B0519B" w:rsidP="007752F0">
            <w:pPr>
              <w:pStyle w:val="TableText"/>
              <w:spacing w:before="20" w:after="20"/>
              <w:rPr>
                <w:b/>
              </w:rPr>
            </w:pPr>
            <w:r w:rsidRPr="00AC2FCD">
              <w:rPr>
                <w:b/>
              </w:rPr>
              <w:t>Minnesota</w:t>
            </w:r>
          </w:p>
        </w:tc>
        <w:tc>
          <w:tcPr>
            <w:tcW w:w="1901" w:type="dxa"/>
            <w:tcBorders>
              <w:top w:val="single" w:sz="18" w:space="0" w:color="auto"/>
            </w:tcBorders>
            <w:shd w:val="clear" w:color="auto" w:fill="auto"/>
            <w:noWrap/>
            <w:vAlign w:val="bottom"/>
            <w:hideMark/>
          </w:tcPr>
          <w:p w:rsidR="00B0519B" w:rsidRPr="00AC2FCD" w:rsidRDefault="00B0519B" w:rsidP="007752F0">
            <w:pPr>
              <w:pStyle w:val="TableText"/>
              <w:spacing w:before="20" w:after="20"/>
              <w:jc w:val="center"/>
            </w:pPr>
            <w:r w:rsidRPr="00AC2FCD">
              <w:t>68%</w:t>
            </w:r>
          </w:p>
        </w:tc>
        <w:tc>
          <w:tcPr>
            <w:tcW w:w="1901" w:type="dxa"/>
            <w:tcBorders>
              <w:top w:val="single" w:sz="18" w:space="0" w:color="auto"/>
            </w:tcBorders>
            <w:shd w:val="clear" w:color="auto" w:fill="auto"/>
            <w:noWrap/>
            <w:vAlign w:val="bottom"/>
            <w:hideMark/>
          </w:tcPr>
          <w:p w:rsidR="00B0519B" w:rsidRPr="00AC2FCD" w:rsidRDefault="00A12CA5" w:rsidP="007752F0">
            <w:pPr>
              <w:pStyle w:val="TableText"/>
              <w:spacing w:before="20" w:after="20"/>
              <w:jc w:val="center"/>
            </w:pPr>
            <w:r>
              <w:t> </w:t>
            </w:r>
          </w:p>
        </w:tc>
        <w:tc>
          <w:tcPr>
            <w:tcW w:w="1901" w:type="dxa"/>
            <w:tcBorders>
              <w:top w:val="single" w:sz="18" w:space="0" w:color="auto"/>
            </w:tcBorders>
            <w:shd w:val="clear" w:color="auto" w:fill="auto"/>
            <w:noWrap/>
            <w:vAlign w:val="bottom"/>
            <w:hideMark/>
          </w:tcPr>
          <w:p w:rsidR="00B0519B" w:rsidRPr="00AC2FCD" w:rsidRDefault="00B0519B" w:rsidP="007752F0">
            <w:pPr>
              <w:pStyle w:val="TableText"/>
              <w:spacing w:before="20" w:after="20"/>
              <w:jc w:val="center"/>
            </w:pPr>
            <w:r w:rsidRPr="00AC2FCD">
              <w:t>8%</w:t>
            </w:r>
          </w:p>
        </w:tc>
        <w:tc>
          <w:tcPr>
            <w:tcW w:w="1901" w:type="dxa"/>
            <w:tcBorders>
              <w:top w:val="single" w:sz="18" w:space="0" w:color="auto"/>
            </w:tcBorders>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Nebraska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61%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Massachusetts</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59%</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18%</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Hawaii</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Connecticut</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56%</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14%</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New Jersey</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55%</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13%</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Pennsylvania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New Hampshire</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53%</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Maine</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Wisconsin</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14%</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Missouri</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49%</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16%</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Iowa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West Virginia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6%</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18%</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Montana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New Mexico</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10%</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Puerto Rico</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Utah</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44%</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14%</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Oklahoma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43%</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Arizona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42%</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District of Columbia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46%</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Kansas</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42%</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13%</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Kentucky</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Illinois</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South Dakota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40%</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10%</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North Dakota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39%</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16%</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Arkansas</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38%</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8%</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Washington</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38%</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2%</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Maryland</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6%</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Michigan</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37%</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18%</w:t>
            </w:r>
          </w:p>
        </w:tc>
        <w:tc>
          <w:tcPr>
            <w:tcW w:w="1901"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203192">
        <w:trPr>
          <w:cantSplit/>
          <w:trHeight w:val="20"/>
          <w:jc w:val="center"/>
        </w:trPr>
        <w:tc>
          <w:tcPr>
            <w:tcW w:w="2350" w:type="dxa"/>
            <w:shd w:val="clear" w:color="auto" w:fill="E6E6E6"/>
            <w:vAlign w:val="bottom"/>
            <w:hideMark/>
          </w:tcPr>
          <w:p w:rsidR="00B0519B" w:rsidRPr="00AC2FCD" w:rsidRDefault="00B0519B" w:rsidP="007752F0">
            <w:pPr>
              <w:pStyle w:val="TableText"/>
              <w:spacing w:before="20" w:after="20"/>
              <w:rPr>
                <w:b/>
              </w:rPr>
            </w:pPr>
            <w:r w:rsidRPr="00AC2FCD">
              <w:rPr>
                <w:b/>
              </w:rPr>
              <w:t>North Carolina</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35%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5%</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19%</w:t>
            </w:r>
          </w:p>
        </w:tc>
        <w:tc>
          <w:tcPr>
            <w:tcW w:w="1901" w:type="dxa"/>
            <w:shd w:val="clear" w:color="auto" w:fill="auto"/>
            <w:noWrap/>
            <w:vAlign w:val="bottom"/>
            <w:hideMark/>
          </w:tcPr>
          <w:p w:rsidR="00B0519B" w:rsidRPr="00AC2FCD" w:rsidRDefault="00B0519B" w:rsidP="007752F0">
            <w:pPr>
              <w:pStyle w:val="TableText"/>
              <w:spacing w:before="20" w:after="20"/>
              <w:jc w:val="center"/>
            </w:pPr>
            <w:r w:rsidRPr="00AC2FCD">
              <w:t>0%</w:t>
            </w:r>
          </w:p>
        </w:tc>
      </w:tr>
    </w:tbl>
    <w:p w:rsidR="00B0519B" w:rsidRPr="00AC2FCD" w:rsidRDefault="00B0519B" w:rsidP="00B0519B">
      <w:pPr>
        <w:pStyle w:val="NCDTableSource"/>
        <w:spacing w:before="0" w:after="0" w:line="40" w:lineRule="exact"/>
      </w:pP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2208"/>
        <w:gridCol w:w="1788"/>
        <w:gridCol w:w="1788"/>
        <w:gridCol w:w="1788"/>
        <w:gridCol w:w="1788"/>
      </w:tblGrid>
      <w:tr w:rsidR="00B0519B" w:rsidRPr="00311317" w:rsidTr="007752F0">
        <w:trPr>
          <w:cantSplit/>
          <w:trHeight w:val="20"/>
          <w:tblHeader/>
          <w:jc w:val="center"/>
        </w:trPr>
        <w:tc>
          <w:tcPr>
            <w:tcW w:w="2208" w:type="dxa"/>
            <w:tcBorders>
              <w:top w:val="single" w:sz="18" w:space="0" w:color="auto"/>
              <w:bottom w:val="single" w:sz="18" w:space="0" w:color="auto"/>
            </w:tcBorders>
            <w:shd w:val="clear" w:color="auto" w:fill="E6E6E6"/>
            <w:vAlign w:val="bottom"/>
            <w:hideMark/>
          </w:tcPr>
          <w:p w:rsidR="00B0519B" w:rsidRPr="00AC2FCD" w:rsidRDefault="00B0519B" w:rsidP="007752F0">
            <w:pPr>
              <w:pStyle w:val="TableHead"/>
              <w:spacing w:before="20" w:after="20"/>
            </w:pPr>
            <w:r w:rsidRPr="00AC2FCD">
              <w:lastRenderedPageBreak/>
              <w:t> </w:t>
            </w:r>
          </w:p>
        </w:tc>
        <w:tc>
          <w:tcPr>
            <w:tcW w:w="1788"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Graduated with diploma</w:t>
            </w:r>
          </w:p>
        </w:tc>
        <w:tc>
          <w:tcPr>
            <w:tcW w:w="1788"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Received a certificate</w:t>
            </w:r>
          </w:p>
        </w:tc>
        <w:tc>
          <w:tcPr>
            <w:tcW w:w="1788"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Dropped out</w:t>
            </w:r>
          </w:p>
        </w:tc>
        <w:tc>
          <w:tcPr>
            <w:tcW w:w="1788" w:type="dxa"/>
            <w:tcBorders>
              <w:top w:val="single" w:sz="18" w:space="0" w:color="auto"/>
              <w:bottom w:val="single" w:sz="18" w:space="0" w:color="auto"/>
            </w:tcBorders>
            <w:shd w:val="clear" w:color="auto" w:fill="E6E6E6"/>
            <w:vAlign w:val="bottom"/>
            <w:hideMark/>
          </w:tcPr>
          <w:p w:rsidR="00B0519B" w:rsidRPr="00311317" w:rsidRDefault="00B0519B" w:rsidP="007752F0">
            <w:pPr>
              <w:pStyle w:val="TableHead"/>
              <w:spacing w:before="20" w:after="20"/>
            </w:pPr>
            <w:r w:rsidRPr="00311317">
              <w:t>Reached maximum age</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Rhode Island</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35%</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Tennessee</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35%</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Alaska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9%</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Indiana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15%</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Texas</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14%</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Colorado</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New York</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14%</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Delaware</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28%</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16%</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Virginia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28%</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9%</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Ohio</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4%</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Wyoming</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18%</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South Carolina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26%</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Oregon</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25%</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Florida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24%</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12%</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Georgia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24%</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19%</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17%</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California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Idaho</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23%</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Alabama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22%</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8%</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5%</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Louisiana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19%</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31%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0%</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Mississippi</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18%</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46%</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10%</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Nevada</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17%</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21%</w:t>
            </w:r>
          </w:p>
        </w:tc>
        <w:tc>
          <w:tcPr>
            <w:tcW w:w="1788" w:type="dxa"/>
            <w:shd w:val="clear" w:color="auto" w:fill="auto"/>
            <w:noWrap/>
            <w:vAlign w:val="bottom"/>
            <w:hideMark/>
          </w:tcPr>
          <w:p w:rsidR="00B0519B" w:rsidRPr="00AC2FCD" w:rsidRDefault="00B0519B" w:rsidP="007752F0">
            <w:pPr>
              <w:pStyle w:val="TableText"/>
              <w:spacing w:before="20" w:after="20"/>
              <w:jc w:val="center"/>
            </w:pPr>
            <w:r w:rsidRPr="00AC2FCD">
              <w:t>1%</w:t>
            </w:r>
          </w:p>
        </w:tc>
      </w:tr>
      <w:tr w:rsidR="00B0519B" w:rsidRPr="004A1DD4" w:rsidTr="007752F0">
        <w:trPr>
          <w:cantSplit/>
          <w:trHeight w:val="20"/>
          <w:jc w:val="center"/>
        </w:trPr>
        <w:tc>
          <w:tcPr>
            <w:tcW w:w="2208" w:type="dxa"/>
            <w:shd w:val="clear" w:color="auto" w:fill="E6E6E6"/>
            <w:vAlign w:val="bottom"/>
            <w:hideMark/>
          </w:tcPr>
          <w:p w:rsidR="00B0519B" w:rsidRPr="00AC2FCD" w:rsidRDefault="00B0519B" w:rsidP="007752F0">
            <w:pPr>
              <w:pStyle w:val="TableText"/>
              <w:spacing w:before="20" w:after="20"/>
              <w:rPr>
                <w:b/>
              </w:rPr>
            </w:pPr>
            <w:r w:rsidRPr="00AC2FCD">
              <w:rPr>
                <w:b/>
              </w:rPr>
              <w:t>Vermont*</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c>
          <w:tcPr>
            <w:tcW w:w="1788" w:type="dxa"/>
            <w:shd w:val="clear" w:color="auto" w:fill="auto"/>
            <w:noWrap/>
            <w:vAlign w:val="bottom"/>
            <w:hideMark/>
          </w:tcPr>
          <w:p w:rsidR="00B0519B" w:rsidRPr="00AC2FCD" w:rsidRDefault="00A12CA5" w:rsidP="007752F0">
            <w:pPr>
              <w:pStyle w:val="TableText"/>
              <w:spacing w:before="20" w:after="20"/>
              <w:jc w:val="center"/>
            </w:pPr>
            <w:r>
              <w:t> </w:t>
            </w:r>
          </w:p>
        </w:tc>
      </w:tr>
    </w:tbl>
    <w:p w:rsidR="00B0519B" w:rsidRPr="004A1DD4" w:rsidRDefault="00B0519B" w:rsidP="00B0519B">
      <w:pPr>
        <w:pStyle w:val="TableNote"/>
        <w:spacing w:after="120"/>
      </w:pPr>
      <w:r w:rsidRPr="00B16B25">
        <w:rPr>
          <w:b/>
        </w:rPr>
        <w:t>Source:</w:t>
      </w:r>
      <w:r w:rsidRPr="004A1DD4">
        <w:t xml:space="preserve"> 618 Part B Data, calculations made from numbers in Table 4-1. Retrieved August 2011 from </w:t>
      </w:r>
      <w:hyperlink r:id="rId28" w:history="1">
        <w:r w:rsidRPr="00BB5B23">
          <w:rPr>
            <w:rStyle w:val="Hyperlink"/>
          </w:rPr>
          <w:t>http://www.ideadata.org</w:t>
        </w:r>
      </w:hyperlink>
      <w:r w:rsidRPr="004A1DD4">
        <w:t>.</w:t>
      </w:r>
      <w:r>
        <w:t xml:space="preserve"> </w:t>
      </w:r>
    </w:p>
    <w:p w:rsidR="00B0519B" w:rsidRPr="004A1DD4" w:rsidRDefault="00B0519B" w:rsidP="00B0519B">
      <w:pPr>
        <w:pStyle w:val="TableNote"/>
      </w:pPr>
      <w:r w:rsidRPr="004A1DD4">
        <w:t xml:space="preserve">*Data for 2007–08 and 2008–09 do not include Vermont. </w:t>
      </w:r>
    </w:p>
    <w:p w:rsidR="00B0519B" w:rsidRDefault="00B0519B" w:rsidP="00B0519B">
      <w:pPr>
        <w:pStyle w:val="NCDTableNumber"/>
      </w:pPr>
      <w:r w:rsidRPr="00543A40">
        <w:lastRenderedPageBreak/>
        <w:t xml:space="preserve">Table </w:t>
      </w:r>
      <w:r>
        <w:t>A5.</w:t>
      </w:r>
    </w:p>
    <w:p w:rsidR="00B0519B" w:rsidRPr="004A1DD4" w:rsidRDefault="00B0519B" w:rsidP="00B0519B">
      <w:pPr>
        <w:pStyle w:val="TableTitle"/>
      </w:pPr>
      <w:r w:rsidRPr="004A1DD4">
        <w:t>Percentage of the Federal Workforce by Selected Characteristics, 2000–09</w:t>
      </w:r>
    </w:p>
    <w:tbl>
      <w:tblPr>
        <w:tblW w:w="9360" w:type="dxa"/>
        <w:jc w:val="center"/>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CellMar>
          <w:left w:w="86" w:type="dxa"/>
          <w:right w:w="86" w:type="dxa"/>
        </w:tblCellMar>
        <w:tblLook w:val="04A0" w:firstRow="1" w:lastRow="0" w:firstColumn="1" w:lastColumn="0" w:noHBand="0" w:noVBand="1"/>
      </w:tblPr>
      <w:tblGrid>
        <w:gridCol w:w="1490"/>
        <w:gridCol w:w="787"/>
        <w:gridCol w:w="787"/>
        <w:gridCol w:w="787"/>
        <w:gridCol w:w="787"/>
        <w:gridCol w:w="787"/>
        <w:gridCol w:w="787"/>
        <w:gridCol w:w="787"/>
        <w:gridCol w:w="787"/>
        <w:gridCol w:w="787"/>
        <w:gridCol w:w="787"/>
      </w:tblGrid>
      <w:tr w:rsidR="00B0519B" w:rsidRPr="00311317" w:rsidTr="007752F0">
        <w:trPr>
          <w:cantSplit/>
          <w:trHeight w:val="20"/>
          <w:tblHeader/>
          <w:jc w:val="center"/>
        </w:trPr>
        <w:tc>
          <w:tcPr>
            <w:tcW w:w="1364" w:type="dxa"/>
            <w:tcBorders>
              <w:top w:val="single" w:sz="18" w:space="0" w:color="auto"/>
              <w:bottom w:val="single" w:sz="18" w:space="0" w:color="auto"/>
            </w:tcBorders>
            <w:shd w:val="clear" w:color="auto" w:fill="E6E6E6"/>
            <w:vAlign w:val="bottom"/>
            <w:hideMark/>
          </w:tcPr>
          <w:p w:rsidR="00B0519B" w:rsidRPr="00D07A7C" w:rsidRDefault="00B0519B" w:rsidP="00101C2D">
            <w:pPr>
              <w:pStyle w:val="TableHead"/>
            </w:pPr>
            <w:r w:rsidRPr="00D07A7C">
              <w:t> </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2000</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2001</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2002</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2003</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2004</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2005</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2006</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2007</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2008</w:t>
            </w:r>
          </w:p>
        </w:tc>
        <w:tc>
          <w:tcPr>
            <w:tcW w:w="720" w:type="dxa"/>
            <w:tcBorders>
              <w:top w:val="single" w:sz="18" w:space="0" w:color="auto"/>
              <w:bottom w:val="single" w:sz="18" w:space="0" w:color="auto"/>
            </w:tcBorders>
            <w:shd w:val="clear" w:color="auto" w:fill="E6E6E6"/>
            <w:vAlign w:val="bottom"/>
            <w:hideMark/>
          </w:tcPr>
          <w:p w:rsidR="00B0519B" w:rsidRPr="00311317" w:rsidRDefault="00B0519B" w:rsidP="00101C2D">
            <w:pPr>
              <w:pStyle w:val="TableHead"/>
            </w:pPr>
            <w:r w:rsidRPr="00311317">
              <w:t>2009</w:t>
            </w:r>
          </w:p>
        </w:tc>
      </w:tr>
      <w:tr w:rsidR="00B0519B" w:rsidRPr="004A1DD4" w:rsidTr="007752F0">
        <w:trPr>
          <w:cantSplit/>
          <w:trHeight w:val="20"/>
          <w:jc w:val="center"/>
        </w:trPr>
        <w:tc>
          <w:tcPr>
            <w:tcW w:w="1364" w:type="dxa"/>
            <w:tcBorders>
              <w:top w:val="single" w:sz="18" w:space="0" w:color="auto"/>
            </w:tcBorders>
            <w:shd w:val="clear" w:color="auto" w:fill="E6E6E6"/>
            <w:vAlign w:val="bottom"/>
            <w:hideMark/>
          </w:tcPr>
          <w:p w:rsidR="00B0519B" w:rsidRPr="00D07A7C" w:rsidRDefault="00B0519B" w:rsidP="00101C2D">
            <w:pPr>
              <w:pStyle w:val="TableText"/>
              <w:rPr>
                <w:b/>
              </w:rPr>
            </w:pPr>
            <w:r w:rsidRPr="00D07A7C">
              <w:rPr>
                <w:b/>
              </w:rPr>
              <w:t>Hispanic or Latino</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6.81</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6.94</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7.1</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7.22</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7.46</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7.61</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7.68</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7.79</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7.94</w:t>
            </w:r>
          </w:p>
        </w:tc>
        <w:tc>
          <w:tcPr>
            <w:tcW w:w="720" w:type="dxa"/>
            <w:tcBorders>
              <w:top w:val="single" w:sz="18" w:space="0" w:color="auto"/>
            </w:tcBorders>
            <w:vAlign w:val="bottom"/>
            <w:hideMark/>
          </w:tcPr>
          <w:p w:rsidR="00B0519B" w:rsidRPr="00D07A7C" w:rsidRDefault="00B0519B" w:rsidP="00101C2D">
            <w:pPr>
              <w:pStyle w:val="TableText"/>
              <w:jc w:val="center"/>
            </w:pPr>
            <w:r w:rsidRPr="00D07A7C">
              <w:t>7.9</w:t>
            </w:r>
          </w:p>
        </w:tc>
      </w:tr>
      <w:tr w:rsidR="00B0519B" w:rsidRPr="004A1DD4" w:rsidTr="007752F0">
        <w:trPr>
          <w:cantSplit/>
          <w:trHeight w:val="20"/>
          <w:jc w:val="center"/>
        </w:trPr>
        <w:tc>
          <w:tcPr>
            <w:tcW w:w="1364" w:type="dxa"/>
            <w:shd w:val="clear" w:color="auto" w:fill="E6E6E6"/>
            <w:vAlign w:val="bottom"/>
            <w:hideMark/>
          </w:tcPr>
          <w:p w:rsidR="00B0519B" w:rsidRPr="00D07A7C" w:rsidRDefault="00B0519B" w:rsidP="00101C2D">
            <w:pPr>
              <w:pStyle w:val="TableText"/>
              <w:rPr>
                <w:b/>
              </w:rPr>
            </w:pPr>
            <w:r w:rsidRPr="00D07A7C">
              <w:rPr>
                <w:b/>
              </w:rPr>
              <w:t>Black or African American</w:t>
            </w:r>
          </w:p>
        </w:tc>
        <w:tc>
          <w:tcPr>
            <w:tcW w:w="720" w:type="dxa"/>
            <w:vAlign w:val="bottom"/>
            <w:hideMark/>
          </w:tcPr>
          <w:p w:rsidR="00B0519B" w:rsidRPr="00D07A7C" w:rsidRDefault="00B0519B" w:rsidP="00101C2D">
            <w:pPr>
              <w:pStyle w:val="TableText"/>
              <w:jc w:val="center"/>
            </w:pPr>
            <w:r w:rsidRPr="00D07A7C">
              <w:t>18.76</w:t>
            </w:r>
          </w:p>
        </w:tc>
        <w:tc>
          <w:tcPr>
            <w:tcW w:w="720" w:type="dxa"/>
            <w:vAlign w:val="bottom"/>
            <w:hideMark/>
          </w:tcPr>
          <w:p w:rsidR="00B0519B" w:rsidRPr="00D07A7C" w:rsidRDefault="00B0519B" w:rsidP="00101C2D">
            <w:pPr>
              <w:pStyle w:val="TableText"/>
              <w:jc w:val="center"/>
            </w:pPr>
            <w:r w:rsidRPr="00D07A7C">
              <w:t>18.74</w:t>
            </w:r>
          </w:p>
        </w:tc>
        <w:tc>
          <w:tcPr>
            <w:tcW w:w="720" w:type="dxa"/>
            <w:vAlign w:val="bottom"/>
            <w:hideMark/>
          </w:tcPr>
          <w:p w:rsidR="00B0519B" w:rsidRPr="00D07A7C" w:rsidRDefault="00B0519B" w:rsidP="00101C2D">
            <w:pPr>
              <w:pStyle w:val="TableText"/>
              <w:jc w:val="center"/>
            </w:pPr>
            <w:r w:rsidRPr="00D07A7C">
              <w:t>18.63</w:t>
            </w:r>
          </w:p>
        </w:tc>
        <w:tc>
          <w:tcPr>
            <w:tcW w:w="720" w:type="dxa"/>
            <w:vAlign w:val="bottom"/>
            <w:hideMark/>
          </w:tcPr>
          <w:p w:rsidR="00B0519B" w:rsidRPr="00D07A7C" w:rsidRDefault="00B0519B" w:rsidP="00101C2D">
            <w:pPr>
              <w:pStyle w:val="TableText"/>
              <w:jc w:val="center"/>
            </w:pPr>
            <w:r w:rsidRPr="00D07A7C">
              <w:t>18.56</w:t>
            </w:r>
          </w:p>
        </w:tc>
        <w:tc>
          <w:tcPr>
            <w:tcW w:w="720" w:type="dxa"/>
            <w:vAlign w:val="bottom"/>
            <w:hideMark/>
          </w:tcPr>
          <w:p w:rsidR="00B0519B" w:rsidRPr="00D07A7C" w:rsidRDefault="00B0519B" w:rsidP="00101C2D">
            <w:pPr>
              <w:pStyle w:val="TableText"/>
              <w:jc w:val="center"/>
            </w:pPr>
            <w:r w:rsidRPr="00D07A7C">
              <w:t>18.18</w:t>
            </w:r>
          </w:p>
        </w:tc>
        <w:tc>
          <w:tcPr>
            <w:tcW w:w="720" w:type="dxa"/>
            <w:vAlign w:val="bottom"/>
            <w:hideMark/>
          </w:tcPr>
          <w:p w:rsidR="00B0519B" w:rsidRPr="00D07A7C" w:rsidRDefault="00B0519B" w:rsidP="00101C2D">
            <w:pPr>
              <w:pStyle w:val="TableText"/>
              <w:jc w:val="center"/>
            </w:pPr>
            <w:r w:rsidRPr="00D07A7C">
              <w:t>18.29</w:t>
            </w:r>
          </w:p>
        </w:tc>
        <w:tc>
          <w:tcPr>
            <w:tcW w:w="720" w:type="dxa"/>
            <w:vAlign w:val="bottom"/>
            <w:hideMark/>
          </w:tcPr>
          <w:p w:rsidR="00B0519B" w:rsidRPr="00D07A7C" w:rsidRDefault="00B0519B" w:rsidP="00101C2D">
            <w:pPr>
              <w:pStyle w:val="TableText"/>
              <w:jc w:val="center"/>
            </w:pPr>
            <w:r w:rsidRPr="00D07A7C">
              <w:t>18.36</w:t>
            </w:r>
          </w:p>
        </w:tc>
        <w:tc>
          <w:tcPr>
            <w:tcW w:w="720" w:type="dxa"/>
            <w:vAlign w:val="bottom"/>
            <w:hideMark/>
          </w:tcPr>
          <w:p w:rsidR="00B0519B" w:rsidRPr="00D07A7C" w:rsidRDefault="00B0519B" w:rsidP="00101C2D">
            <w:pPr>
              <w:pStyle w:val="TableText"/>
              <w:jc w:val="center"/>
            </w:pPr>
            <w:r w:rsidRPr="00D07A7C">
              <w:t>18.43</w:t>
            </w:r>
          </w:p>
        </w:tc>
        <w:tc>
          <w:tcPr>
            <w:tcW w:w="720" w:type="dxa"/>
            <w:vAlign w:val="bottom"/>
            <w:hideMark/>
          </w:tcPr>
          <w:p w:rsidR="00B0519B" w:rsidRPr="00D07A7C" w:rsidRDefault="00B0519B" w:rsidP="00101C2D">
            <w:pPr>
              <w:pStyle w:val="TableText"/>
              <w:jc w:val="center"/>
            </w:pPr>
            <w:r w:rsidRPr="00D07A7C">
              <w:t>18.3</w:t>
            </w:r>
          </w:p>
        </w:tc>
        <w:tc>
          <w:tcPr>
            <w:tcW w:w="720" w:type="dxa"/>
            <w:vAlign w:val="bottom"/>
            <w:hideMark/>
          </w:tcPr>
          <w:p w:rsidR="00B0519B" w:rsidRPr="00D07A7C" w:rsidRDefault="00B0519B" w:rsidP="00101C2D">
            <w:pPr>
              <w:pStyle w:val="TableText"/>
              <w:jc w:val="center"/>
            </w:pPr>
            <w:r w:rsidRPr="00D07A7C">
              <w:t>18.03</w:t>
            </w:r>
          </w:p>
        </w:tc>
      </w:tr>
      <w:tr w:rsidR="00B0519B" w:rsidRPr="004A1DD4" w:rsidTr="007752F0">
        <w:trPr>
          <w:cantSplit/>
          <w:trHeight w:val="20"/>
          <w:jc w:val="center"/>
        </w:trPr>
        <w:tc>
          <w:tcPr>
            <w:tcW w:w="1364" w:type="dxa"/>
            <w:shd w:val="clear" w:color="auto" w:fill="E6E6E6"/>
            <w:vAlign w:val="bottom"/>
            <w:hideMark/>
          </w:tcPr>
          <w:p w:rsidR="00B0519B" w:rsidRPr="00D07A7C" w:rsidRDefault="00B0519B" w:rsidP="00101C2D">
            <w:pPr>
              <w:pStyle w:val="TableText"/>
              <w:rPr>
                <w:b/>
              </w:rPr>
            </w:pPr>
            <w:r w:rsidRPr="00D07A7C">
              <w:rPr>
                <w:b/>
              </w:rPr>
              <w:t>Asian</w:t>
            </w:r>
          </w:p>
        </w:tc>
        <w:tc>
          <w:tcPr>
            <w:tcW w:w="720" w:type="dxa"/>
            <w:vAlign w:val="bottom"/>
            <w:hideMark/>
          </w:tcPr>
          <w:p w:rsidR="00B0519B" w:rsidRPr="00D07A7C" w:rsidRDefault="00B0519B" w:rsidP="00101C2D">
            <w:pPr>
              <w:pStyle w:val="TableText"/>
              <w:jc w:val="center"/>
            </w:pPr>
            <w:r w:rsidRPr="00D07A7C">
              <w:t>5.22</w:t>
            </w:r>
          </w:p>
        </w:tc>
        <w:tc>
          <w:tcPr>
            <w:tcW w:w="720" w:type="dxa"/>
            <w:vAlign w:val="bottom"/>
            <w:hideMark/>
          </w:tcPr>
          <w:p w:rsidR="00B0519B" w:rsidRPr="00D07A7C" w:rsidRDefault="00B0519B" w:rsidP="00101C2D">
            <w:pPr>
              <w:pStyle w:val="TableText"/>
              <w:jc w:val="center"/>
            </w:pPr>
            <w:r w:rsidRPr="00D07A7C">
              <w:t>5.32</w:t>
            </w:r>
          </w:p>
        </w:tc>
        <w:tc>
          <w:tcPr>
            <w:tcW w:w="720" w:type="dxa"/>
            <w:vAlign w:val="bottom"/>
            <w:hideMark/>
          </w:tcPr>
          <w:p w:rsidR="00B0519B" w:rsidRPr="00D07A7C" w:rsidRDefault="00B0519B" w:rsidP="00101C2D">
            <w:pPr>
              <w:pStyle w:val="TableText"/>
              <w:jc w:val="center"/>
            </w:pPr>
            <w:r w:rsidRPr="00D07A7C">
              <w:t>5.45</w:t>
            </w:r>
          </w:p>
        </w:tc>
        <w:tc>
          <w:tcPr>
            <w:tcW w:w="720" w:type="dxa"/>
            <w:vAlign w:val="bottom"/>
            <w:hideMark/>
          </w:tcPr>
          <w:p w:rsidR="00B0519B" w:rsidRPr="00D07A7C" w:rsidRDefault="00B0519B" w:rsidP="00101C2D">
            <w:pPr>
              <w:pStyle w:val="TableText"/>
              <w:jc w:val="center"/>
            </w:pPr>
            <w:r w:rsidRPr="00D07A7C">
              <w:t>5.54</w:t>
            </w:r>
          </w:p>
        </w:tc>
        <w:tc>
          <w:tcPr>
            <w:tcW w:w="720" w:type="dxa"/>
            <w:vAlign w:val="bottom"/>
            <w:hideMark/>
          </w:tcPr>
          <w:p w:rsidR="00B0519B" w:rsidRPr="00D07A7C" w:rsidRDefault="00B0519B" w:rsidP="00101C2D">
            <w:pPr>
              <w:pStyle w:val="TableText"/>
              <w:jc w:val="center"/>
            </w:pPr>
            <w:r w:rsidRPr="00D07A7C">
              <w:t>5.79</w:t>
            </w:r>
          </w:p>
        </w:tc>
        <w:tc>
          <w:tcPr>
            <w:tcW w:w="720" w:type="dxa"/>
            <w:vAlign w:val="bottom"/>
            <w:hideMark/>
          </w:tcPr>
          <w:p w:rsidR="00B0519B" w:rsidRPr="00D07A7C" w:rsidRDefault="00B0519B" w:rsidP="00101C2D">
            <w:pPr>
              <w:pStyle w:val="TableText"/>
              <w:jc w:val="center"/>
            </w:pPr>
            <w:r w:rsidRPr="00D07A7C">
              <w:t>5.94</w:t>
            </w:r>
          </w:p>
        </w:tc>
        <w:tc>
          <w:tcPr>
            <w:tcW w:w="720" w:type="dxa"/>
            <w:vAlign w:val="bottom"/>
            <w:hideMark/>
          </w:tcPr>
          <w:p w:rsidR="00B0519B" w:rsidRPr="00D07A7C" w:rsidRDefault="00B0519B" w:rsidP="00101C2D">
            <w:pPr>
              <w:pStyle w:val="TableText"/>
              <w:jc w:val="center"/>
            </w:pPr>
            <w:r w:rsidRPr="00D07A7C">
              <w:t>5.89</w:t>
            </w:r>
          </w:p>
        </w:tc>
        <w:tc>
          <w:tcPr>
            <w:tcW w:w="720" w:type="dxa"/>
            <w:vAlign w:val="bottom"/>
            <w:hideMark/>
          </w:tcPr>
          <w:p w:rsidR="00B0519B" w:rsidRPr="00D07A7C" w:rsidRDefault="00B0519B" w:rsidP="00101C2D">
            <w:pPr>
              <w:pStyle w:val="TableText"/>
              <w:jc w:val="center"/>
            </w:pPr>
            <w:r w:rsidRPr="00D07A7C">
              <w:t>5.95</w:t>
            </w:r>
          </w:p>
        </w:tc>
        <w:tc>
          <w:tcPr>
            <w:tcW w:w="720" w:type="dxa"/>
            <w:vAlign w:val="bottom"/>
            <w:hideMark/>
          </w:tcPr>
          <w:p w:rsidR="00B0519B" w:rsidRPr="00D07A7C" w:rsidRDefault="00B0519B" w:rsidP="00101C2D">
            <w:pPr>
              <w:pStyle w:val="TableText"/>
              <w:jc w:val="center"/>
            </w:pPr>
            <w:r w:rsidRPr="00D07A7C">
              <w:t>5.87</w:t>
            </w:r>
          </w:p>
        </w:tc>
        <w:tc>
          <w:tcPr>
            <w:tcW w:w="720" w:type="dxa"/>
            <w:vAlign w:val="bottom"/>
            <w:hideMark/>
          </w:tcPr>
          <w:p w:rsidR="00B0519B" w:rsidRPr="00D07A7C" w:rsidRDefault="00B0519B" w:rsidP="00101C2D">
            <w:pPr>
              <w:pStyle w:val="TableText"/>
              <w:jc w:val="center"/>
            </w:pPr>
            <w:r w:rsidRPr="00D07A7C">
              <w:t>5.84</w:t>
            </w:r>
          </w:p>
        </w:tc>
      </w:tr>
      <w:tr w:rsidR="00B0519B" w:rsidRPr="004A1DD4" w:rsidTr="007752F0">
        <w:trPr>
          <w:cantSplit/>
          <w:trHeight w:val="20"/>
          <w:jc w:val="center"/>
        </w:trPr>
        <w:tc>
          <w:tcPr>
            <w:tcW w:w="1364" w:type="dxa"/>
            <w:shd w:val="clear" w:color="auto" w:fill="E6E6E6"/>
            <w:vAlign w:val="bottom"/>
            <w:hideMark/>
          </w:tcPr>
          <w:p w:rsidR="00B0519B" w:rsidRPr="00D07A7C" w:rsidRDefault="00B0519B" w:rsidP="00101C2D">
            <w:pPr>
              <w:pStyle w:val="TableText"/>
              <w:rPr>
                <w:b/>
              </w:rPr>
            </w:pPr>
            <w:r w:rsidRPr="00D07A7C">
              <w:rPr>
                <w:b/>
              </w:rPr>
              <w:t>American Indian Alaska Native</w:t>
            </w:r>
          </w:p>
        </w:tc>
        <w:tc>
          <w:tcPr>
            <w:tcW w:w="720" w:type="dxa"/>
            <w:vAlign w:val="bottom"/>
            <w:hideMark/>
          </w:tcPr>
          <w:p w:rsidR="00B0519B" w:rsidRPr="00D07A7C" w:rsidRDefault="00B0519B" w:rsidP="00101C2D">
            <w:pPr>
              <w:pStyle w:val="TableText"/>
              <w:jc w:val="center"/>
            </w:pPr>
            <w:r w:rsidRPr="00D07A7C">
              <w:t>1.44</w:t>
            </w:r>
          </w:p>
        </w:tc>
        <w:tc>
          <w:tcPr>
            <w:tcW w:w="720" w:type="dxa"/>
            <w:vAlign w:val="bottom"/>
            <w:hideMark/>
          </w:tcPr>
          <w:p w:rsidR="00B0519B" w:rsidRPr="00D07A7C" w:rsidRDefault="00B0519B" w:rsidP="00101C2D">
            <w:pPr>
              <w:pStyle w:val="TableText"/>
              <w:jc w:val="center"/>
            </w:pPr>
            <w:r w:rsidRPr="00D07A7C">
              <w:t>1.48</w:t>
            </w:r>
          </w:p>
        </w:tc>
        <w:tc>
          <w:tcPr>
            <w:tcW w:w="720" w:type="dxa"/>
            <w:vAlign w:val="bottom"/>
            <w:hideMark/>
          </w:tcPr>
          <w:p w:rsidR="00B0519B" w:rsidRPr="00D07A7C" w:rsidRDefault="00B0519B" w:rsidP="00101C2D">
            <w:pPr>
              <w:pStyle w:val="TableText"/>
              <w:jc w:val="center"/>
            </w:pPr>
            <w:r w:rsidRPr="00D07A7C">
              <w:t>1.5</w:t>
            </w:r>
          </w:p>
        </w:tc>
        <w:tc>
          <w:tcPr>
            <w:tcW w:w="720" w:type="dxa"/>
            <w:vAlign w:val="bottom"/>
            <w:hideMark/>
          </w:tcPr>
          <w:p w:rsidR="00B0519B" w:rsidRPr="00D07A7C" w:rsidRDefault="00B0519B" w:rsidP="00101C2D">
            <w:pPr>
              <w:pStyle w:val="TableText"/>
              <w:jc w:val="center"/>
            </w:pPr>
            <w:r w:rsidRPr="00D07A7C">
              <w:t>1.5</w:t>
            </w:r>
          </w:p>
        </w:tc>
        <w:tc>
          <w:tcPr>
            <w:tcW w:w="720" w:type="dxa"/>
            <w:vAlign w:val="bottom"/>
            <w:hideMark/>
          </w:tcPr>
          <w:p w:rsidR="00B0519B" w:rsidRPr="00D07A7C" w:rsidRDefault="00B0519B" w:rsidP="00101C2D">
            <w:pPr>
              <w:pStyle w:val="TableText"/>
              <w:jc w:val="center"/>
            </w:pPr>
            <w:r w:rsidRPr="00D07A7C">
              <w:t>1.67</w:t>
            </w:r>
          </w:p>
        </w:tc>
        <w:tc>
          <w:tcPr>
            <w:tcW w:w="720" w:type="dxa"/>
            <w:vAlign w:val="bottom"/>
            <w:hideMark/>
          </w:tcPr>
          <w:p w:rsidR="00B0519B" w:rsidRPr="00D07A7C" w:rsidRDefault="00B0519B" w:rsidP="00101C2D">
            <w:pPr>
              <w:pStyle w:val="TableText"/>
              <w:jc w:val="center"/>
            </w:pPr>
            <w:r w:rsidRPr="00D07A7C">
              <w:t>1.67</w:t>
            </w:r>
          </w:p>
        </w:tc>
        <w:tc>
          <w:tcPr>
            <w:tcW w:w="720" w:type="dxa"/>
            <w:vAlign w:val="bottom"/>
            <w:hideMark/>
          </w:tcPr>
          <w:p w:rsidR="00B0519B" w:rsidRPr="00D07A7C" w:rsidRDefault="00B0519B" w:rsidP="00101C2D">
            <w:pPr>
              <w:pStyle w:val="TableText"/>
              <w:jc w:val="center"/>
            </w:pPr>
            <w:r w:rsidRPr="00D07A7C">
              <w:t>1.68</w:t>
            </w:r>
          </w:p>
        </w:tc>
        <w:tc>
          <w:tcPr>
            <w:tcW w:w="720" w:type="dxa"/>
            <w:vAlign w:val="bottom"/>
            <w:hideMark/>
          </w:tcPr>
          <w:p w:rsidR="00B0519B" w:rsidRPr="00D07A7C" w:rsidRDefault="00B0519B" w:rsidP="00101C2D">
            <w:pPr>
              <w:pStyle w:val="TableText"/>
              <w:jc w:val="center"/>
            </w:pPr>
            <w:r w:rsidRPr="00D07A7C">
              <w:t>1.65</w:t>
            </w:r>
          </w:p>
        </w:tc>
        <w:tc>
          <w:tcPr>
            <w:tcW w:w="720" w:type="dxa"/>
            <w:vAlign w:val="bottom"/>
            <w:hideMark/>
          </w:tcPr>
          <w:p w:rsidR="00B0519B" w:rsidRPr="00D07A7C" w:rsidRDefault="00B0519B" w:rsidP="00101C2D">
            <w:pPr>
              <w:pStyle w:val="TableText"/>
              <w:jc w:val="center"/>
            </w:pPr>
            <w:r w:rsidRPr="00D07A7C">
              <w:t>1.64</w:t>
            </w:r>
          </w:p>
        </w:tc>
        <w:tc>
          <w:tcPr>
            <w:tcW w:w="720" w:type="dxa"/>
            <w:vAlign w:val="bottom"/>
            <w:hideMark/>
          </w:tcPr>
          <w:p w:rsidR="00B0519B" w:rsidRPr="00D07A7C" w:rsidRDefault="00B0519B" w:rsidP="00101C2D">
            <w:pPr>
              <w:pStyle w:val="TableText"/>
              <w:jc w:val="center"/>
            </w:pPr>
            <w:r w:rsidRPr="00D07A7C">
              <w:t>1.65</w:t>
            </w:r>
          </w:p>
        </w:tc>
      </w:tr>
      <w:tr w:rsidR="00B0519B" w:rsidRPr="004A1DD4" w:rsidTr="007752F0">
        <w:trPr>
          <w:cantSplit/>
          <w:trHeight w:val="20"/>
          <w:jc w:val="center"/>
        </w:trPr>
        <w:tc>
          <w:tcPr>
            <w:tcW w:w="1364" w:type="dxa"/>
            <w:shd w:val="clear" w:color="auto" w:fill="E6E6E6"/>
            <w:vAlign w:val="bottom"/>
            <w:hideMark/>
          </w:tcPr>
          <w:p w:rsidR="00B0519B" w:rsidRPr="00D07A7C" w:rsidRDefault="00B0519B" w:rsidP="00101C2D">
            <w:pPr>
              <w:pStyle w:val="TableText"/>
              <w:rPr>
                <w:b/>
              </w:rPr>
            </w:pPr>
            <w:r w:rsidRPr="00D07A7C">
              <w:rPr>
                <w:b/>
              </w:rPr>
              <w:t>Individuals with Targeted Disabilities</w:t>
            </w:r>
          </w:p>
        </w:tc>
        <w:tc>
          <w:tcPr>
            <w:tcW w:w="720" w:type="dxa"/>
            <w:vAlign w:val="bottom"/>
            <w:hideMark/>
          </w:tcPr>
          <w:p w:rsidR="00B0519B" w:rsidRPr="00D07A7C" w:rsidRDefault="00B0519B" w:rsidP="00101C2D">
            <w:pPr>
              <w:pStyle w:val="TableText"/>
              <w:jc w:val="center"/>
            </w:pPr>
            <w:r w:rsidRPr="00D07A7C">
              <w:t>1.12</w:t>
            </w:r>
          </w:p>
        </w:tc>
        <w:tc>
          <w:tcPr>
            <w:tcW w:w="720" w:type="dxa"/>
            <w:vAlign w:val="bottom"/>
            <w:hideMark/>
          </w:tcPr>
          <w:p w:rsidR="00B0519B" w:rsidRPr="00D07A7C" w:rsidRDefault="00B0519B" w:rsidP="00101C2D">
            <w:pPr>
              <w:pStyle w:val="TableText"/>
              <w:jc w:val="center"/>
            </w:pPr>
            <w:r w:rsidRPr="00D07A7C">
              <w:t>1.1</w:t>
            </w:r>
          </w:p>
        </w:tc>
        <w:tc>
          <w:tcPr>
            <w:tcW w:w="720" w:type="dxa"/>
            <w:vAlign w:val="bottom"/>
            <w:hideMark/>
          </w:tcPr>
          <w:p w:rsidR="00B0519B" w:rsidRPr="00D07A7C" w:rsidRDefault="00B0519B" w:rsidP="00101C2D">
            <w:pPr>
              <w:pStyle w:val="TableText"/>
              <w:jc w:val="center"/>
            </w:pPr>
            <w:r w:rsidRPr="00D07A7C">
              <w:t>1.07</w:t>
            </w:r>
          </w:p>
        </w:tc>
        <w:tc>
          <w:tcPr>
            <w:tcW w:w="720" w:type="dxa"/>
            <w:vAlign w:val="bottom"/>
            <w:hideMark/>
          </w:tcPr>
          <w:p w:rsidR="00B0519B" w:rsidRPr="00D07A7C" w:rsidRDefault="00B0519B" w:rsidP="00101C2D">
            <w:pPr>
              <w:pStyle w:val="TableText"/>
              <w:jc w:val="center"/>
            </w:pPr>
            <w:r w:rsidRPr="00D07A7C">
              <w:t>1.05</w:t>
            </w:r>
          </w:p>
        </w:tc>
        <w:tc>
          <w:tcPr>
            <w:tcW w:w="720" w:type="dxa"/>
            <w:vAlign w:val="bottom"/>
            <w:hideMark/>
          </w:tcPr>
          <w:p w:rsidR="00B0519B" w:rsidRPr="00D07A7C" w:rsidRDefault="00B0519B" w:rsidP="00101C2D">
            <w:pPr>
              <w:pStyle w:val="TableText"/>
              <w:jc w:val="center"/>
            </w:pPr>
            <w:r w:rsidRPr="00D07A7C">
              <w:t>0.99</w:t>
            </w:r>
          </w:p>
        </w:tc>
        <w:tc>
          <w:tcPr>
            <w:tcW w:w="720" w:type="dxa"/>
            <w:vAlign w:val="bottom"/>
            <w:hideMark/>
          </w:tcPr>
          <w:p w:rsidR="00B0519B" w:rsidRPr="00D07A7C" w:rsidRDefault="00B0519B" w:rsidP="00101C2D">
            <w:pPr>
              <w:pStyle w:val="TableText"/>
              <w:jc w:val="center"/>
            </w:pPr>
            <w:r w:rsidRPr="00D07A7C">
              <w:t>0.96</w:t>
            </w:r>
          </w:p>
        </w:tc>
        <w:tc>
          <w:tcPr>
            <w:tcW w:w="720" w:type="dxa"/>
            <w:vAlign w:val="bottom"/>
            <w:hideMark/>
          </w:tcPr>
          <w:p w:rsidR="00B0519B" w:rsidRPr="00D07A7C" w:rsidRDefault="00B0519B" w:rsidP="00101C2D">
            <w:pPr>
              <w:pStyle w:val="TableText"/>
              <w:jc w:val="center"/>
            </w:pPr>
            <w:r w:rsidRPr="00D07A7C">
              <w:t>0.94</w:t>
            </w:r>
          </w:p>
        </w:tc>
        <w:tc>
          <w:tcPr>
            <w:tcW w:w="720" w:type="dxa"/>
            <w:vAlign w:val="bottom"/>
            <w:hideMark/>
          </w:tcPr>
          <w:p w:rsidR="00B0519B" w:rsidRPr="00D07A7C" w:rsidRDefault="00B0519B" w:rsidP="00101C2D">
            <w:pPr>
              <w:pStyle w:val="TableText"/>
              <w:jc w:val="center"/>
            </w:pPr>
            <w:r w:rsidRPr="00D07A7C">
              <w:t>0.92</w:t>
            </w:r>
          </w:p>
        </w:tc>
        <w:tc>
          <w:tcPr>
            <w:tcW w:w="720" w:type="dxa"/>
            <w:vAlign w:val="bottom"/>
            <w:hideMark/>
          </w:tcPr>
          <w:p w:rsidR="00B0519B" w:rsidRPr="00D07A7C" w:rsidRDefault="00B0519B" w:rsidP="00101C2D">
            <w:pPr>
              <w:pStyle w:val="TableText"/>
              <w:jc w:val="center"/>
            </w:pPr>
            <w:r w:rsidRPr="00D07A7C">
              <w:t>0.88</w:t>
            </w:r>
          </w:p>
        </w:tc>
        <w:tc>
          <w:tcPr>
            <w:tcW w:w="720" w:type="dxa"/>
            <w:vAlign w:val="bottom"/>
            <w:hideMark/>
          </w:tcPr>
          <w:p w:rsidR="00B0519B" w:rsidRPr="00D07A7C" w:rsidRDefault="00B0519B" w:rsidP="00101C2D">
            <w:pPr>
              <w:pStyle w:val="TableText"/>
              <w:jc w:val="center"/>
            </w:pPr>
            <w:r w:rsidRPr="00D07A7C">
              <w:t>0.88</w:t>
            </w:r>
          </w:p>
        </w:tc>
      </w:tr>
    </w:tbl>
    <w:p w:rsidR="00B0519B" w:rsidRPr="00325A7E" w:rsidRDefault="00B0519B" w:rsidP="00B0519B">
      <w:pPr>
        <w:pStyle w:val="TableNote"/>
        <w:rPr>
          <w:szCs w:val="20"/>
        </w:rPr>
      </w:pPr>
      <w:r w:rsidRPr="00325A7E">
        <w:rPr>
          <w:b/>
          <w:szCs w:val="20"/>
        </w:rPr>
        <w:t>Source:</w:t>
      </w:r>
      <w:r w:rsidRPr="00325A7E">
        <w:rPr>
          <w:szCs w:val="20"/>
        </w:rPr>
        <w:t xml:space="preserve"> EEOC’s Annual Report on the Federal Workforce, 2009, Table 1; see </w:t>
      </w:r>
      <w:hyperlink r:id="rId29" w:history="1">
        <w:r w:rsidRPr="00325A7E">
          <w:rPr>
            <w:rStyle w:val="Hyperlink"/>
            <w:szCs w:val="20"/>
          </w:rPr>
          <w:t>http://www.eeoc.gov/federal/reports/fsp2009/appendix4.cfm</w:t>
        </w:r>
      </w:hyperlink>
      <w:r w:rsidRPr="00325A7E">
        <w:rPr>
          <w:szCs w:val="20"/>
        </w:rPr>
        <w:t>. Definition of targeted disabilities from the EEOC: “To assist agencies in focusing this effort on severe disabilities that have historically been used to exclude qualified individuals from employment, the federal government has identified certain ‘targeted disabilities’ for special emphasis in affirmative action programs. The ‘targeted disabilities,’ which were last listed on the Office of Personnel Management (OPM) Standard Form (SF) 256 in 1987, include: deafness; blindness; missing extremities; partial paralysis; complete paralysis; convulsive disorders; mental retardation; mental illness; and distortion of limb and/or spine. EEOC tracks statistics on the employment by federal agencies of people with these targeted disabilities because their unemployment and under-employment rates are so high. Tracking employment statistics for this population allows federal agencies to better monitor their own efforts at becoming and remaining model employers.”</w:t>
      </w:r>
    </w:p>
    <w:p w:rsidR="00B0519B" w:rsidRDefault="00B0519B" w:rsidP="00B0519B">
      <w:pPr>
        <w:pStyle w:val="Heading1"/>
      </w:pPr>
      <w:r>
        <w:br w:type="page"/>
      </w:r>
      <w:bookmarkStart w:id="63" w:name="_Toc225665058"/>
      <w:bookmarkStart w:id="64" w:name="_Toc304437159"/>
      <w:r>
        <w:lastRenderedPageBreak/>
        <w:t>Endnotes</w:t>
      </w:r>
      <w:bookmarkEnd w:id="63"/>
      <w:bookmarkEnd w:id="64"/>
    </w:p>
    <w:p w:rsidR="00D34D21" w:rsidRDefault="00D34D21">
      <w:pPr>
        <w:rPr>
          <w:szCs w:val="24"/>
        </w:rPr>
        <w:sectPr w:rsidR="00D34D21" w:rsidSect="00B0519B">
          <w:endnotePr>
            <w:numFmt w:val="decimal"/>
          </w:endnotePr>
          <w:pgSz w:w="12240" w:h="15840" w:code="1"/>
          <w:pgMar w:top="1440" w:right="1440" w:bottom="1440" w:left="1440" w:header="720" w:footer="720" w:gutter="0"/>
          <w:cols w:space="720"/>
          <w:docGrid w:linePitch="360"/>
        </w:sectPr>
      </w:pPr>
    </w:p>
    <w:p w:rsidR="006E1227" w:rsidRPr="00B5788C" w:rsidRDefault="006E1227">
      <w:pPr>
        <w:rPr>
          <w:szCs w:val="24"/>
        </w:rPr>
      </w:pPr>
    </w:p>
    <w:sectPr w:rsidR="006E1227" w:rsidRPr="00B5788C" w:rsidSect="00B0519B">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CA5" w:rsidRPr="00B0519B" w:rsidRDefault="00A12CA5" w:rsidP="00B0519B">
      <w:pPr>
        <w:pStyle w:val="Footer"/>
        <w:spacing w:line="40" w:lineRule="exact"/>
      </w:pPr>
    </w:p>
  </w:endnote>
  <w:endnote w:type="continuationSeparator" w:id="0">
    <w:p w:rsidR="00A12CA5" w:rsidRPr="00B0519B" w:rsidRDefault="00A12CA5" w:rsidP="00B0519B">
      <w:pPr>
        <w:pStyle w:val="Footer"/>
        <w:spacing w:line="40" w:lineRule="exact"/>
      </w:pPr>
    </w:p>
  </w:endnote>
  <w:endnote w:id="1">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“Declaration for Independence: A Call to Transform Health and Long-Term Services for Seniors and People with Disabilities” (2009), National Advisory Board on Improving Health Care Services for Seniors and People with Disabilities, </w:t>
      </w:r>
      <w:hyperlink r:id="rId1" w:history="1">
        <w:r w:rsidRPr="0040377D">
          <w:rPr>
            <w:rStyle w:val="Hyperlink"/>
            <w:rFonts w:eastAsia="Calibri" w:cs="Arial"/>
          </w:rPr>
          <w:t>http://www.declarationforindependence.org</w:t>
        </w:r>
      </w:hyperlink>
      <w:r w:rsidRPr="0040377D">
        <w:rPr>
          <w:rFonts w:cs="Arial"/>
        </w:rPr>
        <w:t xml:space="preserve">. </w:t>
      </w:r>
    </w:p>
  </w:endnote>
  <w:endnote w:id="2">
    <w:p w:rsidR="00A12CA5" w:rsidRPr="0040377D" w:rsidRDefault="00A12CA5" w:rsidP="00B0519B">
      <w:pPr>
        <w:pStyle w:val="EndnoteText"/>
        <w:ind w:right="-180"/>
        <w:rPr>
          <w:rFonts w:cs="Arial"/>
        </w:rPr>
      </w:pPr>
      <w:r w:rsidRPr="0040377D">
        <w:rPr>
          <w:rStyle w:val="EndnoteReference"/>
          <w:sz w:val="20"/>
        </w:rPr>
        <w:endnoteRef/>
      </w:r>
      <w:r w:rsidRPr="0040377D">
        <w:rPr>
          <w:rFonts w:cs="Arial"/>
        </w:rPr>
        <w:t xml:space="preserve"> “Medicaid Managed Care Penetration Rates and Expansion Enrollment by State: Penetration Rates as of December 31, 2004,” Centers for Medicare and Medicaid Services, </w:t>
      </w:r>
      <w:hyperlink r:id="rId2" w:history="1">
        <w:r w:rsidRPr="0040377D">
          <w:rPr>
            <w:rStyle w:val="Hyperlink"/>
            <w:rFonts w:eastAsia="Calibri" w:cs="Arial"/>
          </w:rPr>
          <w:t>https://www.cms.gov/MedicaidDataSourcesGenInfo/downloads/</w:t>
        </w:r>
        <w:r w:rsidRPr="0040377D">
          <w:rPr>
            <w:rStyle w:val="Hyperlink"/>
            <w:rFonts w:eastAsia="Calibri" w:cs="Arial"/>
          </w:rPr>
          <w:br/>
          <w:t>09December31f.pdf</w:t>
        </w:r>
      </w:hyperlink>
      <w:r w:rsidRPr="0040377D">
        <w:rPr>
          <w:rFonts w:cs="Arial"/>
        </w:rPr>
        <w:t>.</w:t>
      </w:r>
    </w:p>
  </w:endnote>
  <w:endnote w:id="3">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“Five Good Reasons States Shouldn’t Cut Home and Community-Based Services in Medicaid”</w:t>
      </w:r>
      <w:r w:rsidRPr="0040377D">
        <w:rPr>
          <w:rFonts w:cs="Arial"/>
          <w:i/>
        </w:rPr>
        <w:t xml:space="preserve"> </w:t>
      </w:r>
      <w:r w:rsidRPr="0040377D">
        <w:rPr>
          <w:rFonts w:cs="Arial"/>
        </w:rPr>
        <w:t xml:space="preserve">(July 2010), Families USA, </w:t>
      </w:r>
      <w:hyperlink r:id="rId3" w:history="1">
        <w:r w:rsidRPr="0040377D">
          <w:rPr>
            <w:rStyle w:val="Hyperlink"/>
            <w:rFonts w:eastAsia="Calibri" w:cs="Arial"/>
          </w:rPr>
          <w:t>http://familiesusa2.org/assets/pdfs/long-term-care/Five-Good-Reasons.pdf</w:t>
        </w:r>
      </w:hyperlink>
      <w:r w:rsidRPr="0040377D">
        <w:rPr>
          <w:rFonts w:cs="Arial"/>
        </w:rPr>
        <w:t>.</w:t>
      </w:r>
    </w:p>
  </w:endnote>
  <w:endnote w:id="4">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“Modernize Medicaid to Better Support People with Disabilities,” Sen. Tom Harkin and Rep. Cathy McMorris Rodgers (June 30, 2011), </w:t>
      </w:r>
      <w:hyperlink r:id="rId4" w:history="1">
        <w:r w:rsidRPr="0040377D">
          <w:rPr>
            <w:rStyle w:val="Hyperlink"/>
            <w:rFonts w:eastAsia="Calibri" w:cs="Arial"/>
          </w:rPr>
          <w:t>http://thehill.com/blogs/congress-blog/healthcare/169259-modernize-medicaid-to-better-support-people-with-disabilities</w:t>
        </w:r>
      </w:hyperlink>
      <w:r w:rsidRPr="0040377D">
        <w:rPr>
          <w:rFonts w:cs="Arial"/>
        </w:rPr>
        <w:t>.</w:t>
      </w:r>
    </w:p>
  </w:endnote>
  <w:endnote w:id="5">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Olmstead v. L.C., 527 U.S. 581 (1999).</w:t>
      </w:r>
    </w:p>
  </w:endnote>
  <w:endnote w:id="6">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Olmstead v. L.C., 527 U.S. 581 (1999).</w:t>
      </w:r>
    </w:p>
  </w:endnote>
  <w:endnote w:id="7">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“Olmstead: Community Integration for Everyone” (June 22, 2011), U.S. Department of Justice, </w:t>
      </w:r>
      <w:hyperlink r:id="rId5" w:history="1">
        <w:r w:rsidRPr="0040377D">
          <w:rPr>
            <w:rStyle w:val="Hyperlink"/>
            <w:rFonts w:eastAsia="Calibri" w:cs="Arial"/>
          </w:rPr>
          <w:t>http://www.ada.gov/olmstead/index.htm</w:t>
        </w:r>
      </w:hyperlink>
      <w:r w:rsidRPr="0040377D">
        <w:rPr>
          <w:rFonts w:cs="Arial"/>
        </w:rPr>
        <w:t>.</w:t>
      </w:r>
    </w:p>
  </w:endnote>
  <w:endnote w:id="8">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Sheryl A. Larson and K. Charlie Lakin, </w:t>
      </w:r>
      <w:r>
        <w:rPr>
          <w:rFonts w:cs="Arial"/>
        </w:rPr>
        <w:t>“</w:t>
      </w:r>
      <w:r w:rsidRPr="00707E96">
        <w:rPr>
          <w:rFonts w:cs="Arial"/>
        </w:rPr>
        <w:t>Expenditure Patterns for ICF/MR and HCBS Long-Term Supports for Persons with Intellectual or Developmental Disabilities: Fiscal Years 2004–2009, With Projections to Fiscal Year 2012,</w:t>
      </w:r>
      <w:r>
        <w:rPr>
          <w:rFonts w:cs="Arial"/>
        </w:rPr>
        <w:t>”</w:t>
      </w:r>
      <w:r w:rsidRPr="00707E96">
        <w:rPr>
          <w:rFonts w:cs="Arial"/>
        </w:rPr>
        <w:t xml:space="preserve"> </w:t>
      </w:r>
      <w:r w:rsidRPr="00707E96">
        <w:rPr>
          <w:rFonts w:cs="Arial"/>
          <w:i/>
        </w:rPr>
        <w:t xml:space="preserve">Intellectual and Developmental Disabilities </w:t>
      </w:r>
      <w:r w:rsidRPr="00707E96">
        <w:rPr>
          <w:rFonts w:cs="Arial"/>
        </w:rPr>
        <w:t xml:space="preserve">48, no. 6 (December 2010): 480–84. </w:t>
      </w:r>
      <w:hyperlink r:id="rId6" w:history="1">
        <w:r w:rsidRPr="00707E96">
          <w:rPr>
            <w:rStyle w:val="Hyperlink"/>
            <w:rFonts w:eastAsia="Calibri" w:cs="Arial"/>
          </w:rPr>
          <w:t>http://www.aaiddjournals.org/doi/pdf/10.1352/1934-9556-48.6.480</w:t>
        </w:r>
      </w:hyperlink>
      <w:r w:rsidRPr="00707E96">
        <w:rPr>
          <w:rFonts w:cs="Arial"/>
        </w:rPr>
        <w:t>.</w:t>
      </w:r>
    </w:p>
  </w:endnote>
  <w:endnote w:id="9">
    <w:p w:rsidR="00A12CA5" w:rsidRPr="00667236" w:rsidRDefault="00A12CA5" w:rsidP="00B0519B">
      <w:pPr>
        <w:pStyle w:val="EndnoteText"/>
        <w:rPr>
          <w:rFonts w:cs="Arial"/>
        </w:rPr>
      </w:pPr>
      <w:r w:rsidRPr="00667236">
        <w:rPr>
          <w:rStyle w:val="EndnoteReference"/>
          <w:sz w:val="20"/>
        </w:rPr>
        <w:endnoteRef/>
      </w:r>
      <w:r w:rsidRPr="00667236">
        <w:rPr>
          <w:rFonts w:cs="Arial"/>
        </w:rPr>
        <w:t xml:space="preserve"> Brantley v. Maxwell-Jolly, Cota v. Maxwell-Jolly, 656 F. Supp. 2d 1161 (N. Dist Calif., 2009)</w:t>
      </w:r>
      <w:r>
        <w:rPr>
          <w:rFonts w:cs="Arial"/>
        </w:rPr>
        <w:t xml:space="preserve"> (</w:t>
      </w:r>
      <w:hyperlink r:id="rId7" w:history="1">
        <w:r w:rsidRPr="00F52D82">
          <w:rPr>
            <w:rStyle w:val="Hyperlink"/>
            <w:rFonts w:eastAsia="Calibri" w:cs="Arial"/>
          </w:rPr>
          <w:t>http://scholar.google.com/scholar_case?case=10938590498249398271&amp;hl</w:t>
        </w:r>
        <w:r w:rsidRPr="00F52D82">
          <w:rPr>
            <w:rStyle w:val="Hyperlink"/>
            <w:rFonts w:eastAsia="Calibri" w:cs="Arial"/>
          </w:rPr>
          <w:br/>
          <w:t>=en&amp;as_sdt=2&amp;as_vis=1&amp;oi=scholarr</w:t>
        </w:r>
      </w:hyperlink>
      <w:r>
        <w:rPr>
          <w:rFonts w:cs="Arial"/>
        </w:rPr>
        <w:t>)</w:t>
      </w:r>
      <w:r w:rsidRPr="00667236">
        <w:rPr>
          <w:rFonts w:cs="Arial"/>
        </w:rPr>
        <w:t xml:space="preserve"> (preliminary injunctions granted to stop cuts to adult day health care; V.L. v. Wagner, 669 F. Supp. 2d 1106 - 2009</w:t>
      </w:r>
      <w:r>
        <w:t xml:space="preserve"> (</w:t>
      </w:r>
      <w:hyperlink r:id="rId8" w:history="1">
        <w:r w:rsidRPr="00667236">
          <w:rPr>
            <w:rStyle w:val="Hyperlink"/>
            <w:rFonts w:eastAsia="Calibri"/>
          </w:rPr>
          <w:t>http://scholar.google.com/scholar_case?case=17767386997275142134&amp;hl=en&amp;as_sdt=2&amp;as_vis=1&amp;oi=scholarr</w:t>
        </w:r>
      </w:hyperlink>
      <w:r>
        <w:t>)</w:t>
      </w:r>
      <w:r w:rsidRPr="00667236">
        <w:rPr>
          <w:rFonts w:cs="Arial"/>
        </w:rPr>
        <w:t xml:space="preserve"> - </w:t>
      </w:r>
      <w:r w:rsidRPr="00667236">
        <w:rPr>
          <w:rStyle w:val="HTMLCite"/>
          <w:rFonts w:cs="Arial"/>
          <w:color w:val="000000"/>
        </w:rPr>
        <w:t>Dist. Court, ND California</w:t>
      </w:r>
      <w:r w:rsidRPr="00667236">
        <w:rPr>
          <w:rFonts w:cs="Arial"/>
        </w:rPr>
        <w:t xml:space="preserve"> 2009) (preliminary injunction granted to stop cuts to in-home support services; Marlo M. v. Cansler, </w:t>
      </w:r>
      <w:r w:rsidRPr="00667236">
        <w:rPr>
          <w:rStyle w:val="st1"/>
          <w:rFonts w:cs="Arial"/>
          <w:color w:val="000000"/>
        </w:rPr>
        <w:t>679 F. Supp. 2d 635 (E.D.N.C. 2010)</w:t>
      </w:r>
      <w:r w:rsidRPr="00667236">
        <w:rPr>
          <w:rFonts w:cs="Arial"/>
        </w:rPr>
        <w:t xml:space="preserve"> (preliminary injunction granted to stop cuts to home- and community-based services for people with mental illness and intellectual disabilities); Crabtree v. Goetz, </w:t>
      </w:r>
      <w:r w:rsidRPr="00667236">
        <w:rPr>
          <w:rStyle w:val="st1"/>
          <w:rFonts w:cs="Arial"/>
          <w:color w:val="000000"/>
        </w:rPr>
        <w:t>No. 3:08-0930 (M.D. Tenn.)</w:t>
      </w:r>
      <w:r w:rsidRPr="00667236">
        <w:rPr>
          <w:rFonts w:cs="Arial"/>
        </w:rPr>
        <w:t xml:space="preserve"> (preliminary injunction granted to stop cuts to Tennessee in-home services keeping people out of nursing homes); Peter B. v. Sanford, (Dist Court D SC 2011) (preliminary injunction granted to stop cuts to home care services); </w:t>
      </w:r>
      <w:r w:rsidRPr="00667236">
        <w:rPr>
          <w:rStyle w:val="Strong"/>
          <w:rFonts w:eastAsia="Calibri" w:cs="Arial"/>
          <w:b w:val="0"/>
          <w:color w:val="000000"/>
        </w:rPr>
        <w:t>Clinton L., et al. v. Cansler, et al. – 10-CV-00123 – (M.D. NC 2010)</w:t>
      </w:r>
      <w:r w:rsidRPr="00667236">
        <w:rPr>
          <w:rFonts w:cs="Arial"/>
        </w:rPr>
        <w:t xml:space="preserve"> (individuals with developmental disabilities and mental illness challenged the state’s proposed reductions in reimbursement rates for in-home services that will have the effect of eliminating providers that offer medically necessary services that enable individuals to successfully reside in the community and will place them at risk of institutionalization); </w:t>
      </w:r>
      <w:r w:rsidRPr="00667236">
        <w:rPr>
          <w:rStyle w:val="Strong"/>
          <w:rFonts w:eastAsia="Calibri" w:cs="Arial"/>
          <w:b w:val="0"/>
          <w:color w:val="000000"/>
        </w:rPr>
        <w:t>Pitts v. Greenstein – 10-CV-635 – (M.D. LA 2010)</w:t>
      </w:r>
      <w:r w:rsidRPr="00667236">
        <w:rPr>
          <w:rFonts w:cs="Arial"/>
          <w:b/>
        </w:rPr>
        <w:t xml:space="preserve"> </w:t>
      </w:r>
      <w:r w:rsidRPr="00667236">
        <w:rPr>
          <w:rFonts w:cs="Arial"/>
        </w:rPr>
        <w:t xml:space="preserve">(a group of four individuals with disabilities who receive and depend on Medicaid Personal Care Services (PCS) to remain in the community and to prevent hospitalization and institutionalization filed suit to prevent the state of Louisiana from reducing the maximum number of PCS hours available each week); </w:t>
      </w:r>
      <w:r w:rsidRPr="00667236">
        <w:rPr>
          <w:rStyle w:val="Strong"/>
          <w:rFonts w:eastAsia="Calibri" w:cs="Arial"/>
          <w:b w:val="0"/>
          <w:color w:val="000000"/>
        </w:rPr>
        <w:t>Hiltibran v. Levy – 10-CV-4185 – (W.D. MO 2010)</w:t>
      </w:r>
      <w:r w:rsidRPr="00667236">
        <w:rPr>
          <w:rFonts w:cs="Arial"/>
        </w:rPr>
        <w:t xml:space="preserve"> (individuals who need incontinence supplies to live in the community filed a Motion for Preliminary Injunction, requesting that the Court order the state to provide the Medicaid-funded incontinence supplies to individuals who need those supplies to prevent their placement in nursing facilities); </w:t>
      </w:r>
      <w:r w:rsidRPr="00667236">
        <w:rPr>
          <w:rStyle w:val="Strong"/>
          <w:rFonts w:eastAsia="Calibri" w:cs="Arial"/>
          <w:b w:val="0"/>
          <w:color w:val="000000"/>
        </w:rPr>
        <w:t>Darling v. Douglas – 09-CV-3798 – (N.D. CA 2009) (formerly Cota v. Maxwell-Jolly)</w:t>
      </w:r>
      <w:r w:rsidRPr="00667236">
        <w:rPr>
          <w:rFonts w:cs="Arial"/>
        </w:rPr>
        <w:t xml:space="preserve"> (plaintiffs challenged the manner in which the state plans to eliminate the Adult Day Health Care (ADHC) service, which enables elderly individuals and individuals with physical and mental disabilities to live in the community and avoid hospitalization and institutionalization); </w:t>
      </w:r>
      <w:r w:rsidRPr="00667236">
        <w:rPr>
          <w:rStyle w:val="Strong"/>
          <w:rFonts w:eastAsia="Calibri" w:cs="Arial"/>
          <w:b w:val="0"/>
          <w:color w:val="000000"/>
        </w:rPr>
        <w:t>Oster et al. v. Wagner – 09-17581 – (9th Cir. 2009) (</w:t>
      </w:r>
      <w:r w:rsidRPr="00667236">
        <w:rPr>
          <w:rFonts w:cs="Arial"/>
        </w:rPr>
        <w:t xml:space="preserve">plaintiffs challenged the state’s alterations to its In-Home Support Services Program because the proposed changes to eligibility criteria would force individuals into institutions); </w:t>
      </w:r>
      <w:r w:rsidRPr="00667236">
        <w:rPr>
          <w:rStyle w:val="Strong"/>
          <w:rFonts w:eastAsia="Calibri" w:cs="Arial"/>
          <w:b w:val="0"/>
          <w:color w:val="000000"/>
        </w:rPr>
        <w:t>Napper v. County of Sacramento – 10-CV-01119 – (E.D. CA 2010)</w:t>
      </w:r>
      <w:r w:rsidRPr="00667236">
        <w:rPr>
          <w:rFonts w:cs="Arial"/>
        </w:rPr>
        <w:t xml:space="preserve"> (individuals with mental illness brought suit against the County of Sacramento for failing to provide adequate community-based services, which placed them at risk of institutionalization); </w:t>
      </w:r>
      <w:r w:rsidRPr="00667236">
        <w:rPr>
          <w:rStyle w:val="Strong"/>
          <w:rFonts w:eastAsia="Calibri" w:cs="Arial"/>
          <w:b w:val="0"/>
          <w:color w:val="000000"/>
        </w:rPr>
        <w:t>Cruz v. Dudek – 1:10-CV-23048 – (S.D. FL 2010)</w:t>
      </w:r>
      <w:r w:rsidRPr="00667236">
        <w:rPr>
          <w:rFonts w:cs="Arial"/>
          <w:b/>
        </w:rPr>
        <w:t xml:space="preserve"> </w:t>
      </w:r>
      <w:r w:rsidRPr="00667236">
        <w:rPr>
          <w:rFonts w:cs="Arial"/>
        </w:rPr>
        <w:t>(Luis Cruz and Nigel de la Torre successfully sought a preliminary injunction enjoining the state of Florida from denying them the home- and community-based services available under its Traumatic Brain Injury/Spinal Cord Injury Medicaid Waiver);</w:t>
      </w:r>
      <w:r w:rsidRPr="00667236">
        <w:rPr>
          <w:rStyle w:val="Strong"/>
          <w:rFonts w:eastAsia="Calibri" w:cs="Arial"/>
          <w:color w:val="000000"/>
        </w:rPr>
        <w:t xml:space="preserve"> </w:t>
      </w:r>
      <w:r w:rsidRPr="00667236">
        <w:rPr>
          <w:rStyle w:val="Strong"/>
          <w:rFonts w:eastAsia="Calibri" w:cs="Arial"/>
          <w:b w:val="0"/>
          <w:color w:val="000000"/>
        </w:rPr>
        <w:t>Knipp v. Perdue – 10-CV-2850 – (N.D. GA 2010)</w:t>
      </w:r>
      <w:r w:rsidRPr="00667236">
        <w:rPr>
          <w:rFonts w:cs="Arial"/>
        </w:rPr>
        <w:t xml:space="preserve"> (plaintiffs challenged the state’s plan to eliminate services for individuals with mental illness without offering sufficient alternative support services that are necessary to prevent plaintiffs’ hospitalization and institutionalization); Ball v. Rodgers, Dist. Court D. Arizona, 2010 (permanent injunction granted requiring Arizona to provide home care services to keep people out of institutions)</w:t>
      </w:r>
    </w:p>
  </w:endnote>
  <w:endnote w:id="10">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“A New Nursing Home Population: The Young” (December 9, 2010), Joseph Shapiro, </w:t>
      </w:r>
      <w:hyperlink r:id="rId9" w:history="1">
        <w:r w:rsidRPr="0040377D">
          <w:rPr>
            <w:rStyle w:val="Hyperlink"/>
            <w:rFonts w:eastAsia="Calibri" w:cs="Arial"/>
          </w:rPr>
          <w:t>http://www.npr.org/2010/12/09/131912529/a-new-nursing-home-population-the-young</w:t>
        </w:r>
      </w:hyperlink>
      <w:r w:rsidRPr="0040377D">
        <w:rPr>
          <w:rFonts w:cs="Arial"/>
        </w:rPr>
        <w:t>.</w:t>
      </w:r>
    </w:p>
  </w:endnote>
  <w:endnote w:id="1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Emily Cooper, Ann O</w:t>
      </w:r>
      <w:r>
        <w:rPr>
          <w:rFonts w:cs="Arial"/>
        </w:rPr>
        <w:t>’</w:t>
      </w:r>
      <w:r w:rsidRPr="00707E96">
        <w:rPr>
          <w:rFonts w:cs="Arial"/>
        </w:rPr>
        <w:t xml:space="preserve">Hara, and Andrew Zovistoski, </w:t>
      </w:r>
      <w:r w:rsidRPr="00707E96">
        <w:rPr>
          <w:rFonts w:cs="Arial"/>
          <w:i/>
        </w:rPr>
        <w:t>The Housing Crisis for People with Disabilities</w:t>
      </w:r>
      <w:r w:rsidRPr="00707E96">
        <w:rPr>
          <w:rFonts w:cs="Arial"/>
        </w:rPr>
        <w:t xml:space="preserve"> (Boston: Technical Assistance Collaborative, 2011). </w:t>
      </w:r>
      <w:hyperlink r:id="rId10" w:history="1">
        <w:r w:rsidRPr="0040377D">
          <w:rPr>
            <w:rStyle w:val="Hyperlink"/>
            <w:rFonts w:eastAsia="Calibri" w:cs="Arial"/>
          </w:rPr>
          <w:t>http://www.aucd.org/docs/policy/PricedOut2010.pdf</w:t>
        </w:r>
      </w:hyperlink>
      <w:r w:rsidRPr="00707E96">
        <w:rPr>
          <w:rFonts w:cs="Arial"/>
        </w:rPr>
        <w:t>.</w:t>
      </w:r>
    </w:p>
  </w:endnote>
  <w:endnote w:id="1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Cooper, O</w:t>
      </w:r>
      <w:r>
        <w:rPr>
          <w:rFonts w:cs="Arial"/>
        </w:rPr>
        <w:t>’</w:t>
      </w:r>
      <w:r w:rsidRPr="00707E96">
        <w:rPr>
          <w:rFonts w:cs="Arial"/>
        </w:rPr>
        <w:t xml:space="preserve">Hara, and Zovistoski, </w:t>
      </w:r>
      <w:r w:rsidRPr="00707E96">
        <w:rPr>
          <w:rFonts w:cs="Arial"/>
          <w:i/>
        </w:rPr>
        <w:t>The Housing Crisis for People with Disabilities</w:t>
      </w:r>
      <w:r w:rsidRPr="00707E96">
        <w:rPr>
          <w:rFonts w:cs="Arial"/>
        </w:rPr>
        <w:t xml:space="preserve">. </w:t>
      </w:r>
    </w:p>
  </w:endnote>
  <w:endnote w:id="13">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U.S. Department of Housing and Urban Development, </w:t>
      </w:r>
      <w:r w:rsidRPr="00707E96">
        <w:rPr>
          <w:rFonts w:cs="Arial"/>
          <w:i/>
        </w:rPr>
        <w:t>The 2008 Annual Homeless Assessment Report</w:t>
      </w:r>
      <w:r w:rsidRPr="00707E96">
        <w:rPr>
          <w:rFonts w:cs="Arial"/>
        </w:rPr>
        <w:t xml:space="preserve"> (Washington, DC: U.S. Department of Housing and Urban Development, Office of Community Planning and Development, 2009). (This does not include homeless children with disabilities in shelters or the estimated 282,000 people homeless each night living on the streets, in abandoned buildings, or elsewhere not intended for human habitation.)</w:t>
      </w:r>
    </w:p>
  </w:endnote>
  <w:endnote w:id="14">
    <w:p w:rsidR="00A12CA5" w:rsidRPr="00707E96" w:rsidRDefault="00A12CA5" w:rsidP="00B83E6E">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The State of Housing in the 21st Century: A Disability Perspective</w:t>
      </w:r>
      <w:r>
        <w:rPr>
          <w:rFonts w:cs="Arial"/>
        </w:rPr>
        <w:t>”</w:t>
      </w:r>
      <w:r w:rsidRPr="00707E96">
        <w:rPr>
          <w:rFonts w:cs="Arial"/>
        </w:rPr>
        <w:t xml:space="preserve"> (January, 2010), National Council on Disability, </w:t>
      </w:r>
      <w:hyperlink r:id="rId11" w:anchor="_Toc1122" w:history="1">
        <w:r w:rsidRPr="0040377D">
          <w:rPr>
            <w:rStyle w:val="Hyperlink"/>
            <w:rFonts w:eastAsia="Calibri" w:cs="Arial"/>
          </w:rPr>
          <w:t>http://www.ncd.gov/publications/2010/Jan192010#_Toc1122</w:t>
        </w:r>
      </w:hyperlink>
      <w:r w:rsidRPr="00707E96">
        <w:rPr>
          <w:rFonts w:cs="Arial"/>
        </w:rPr>
        <w:t>.</w:t>
      </w:r>
      <w:r>
        <w:rPr>
          <w:rFonts w:cs="Arial"/>
        </w:rPr>
        <w:t xml:space="preserve"> </w:t>
      </w:r>
    </w:p>
  </w:endnote>
  <w:endnote w:id="15">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The State of Housing in the 21st Century: A Disability Perspective,</w:t>
      </w:r>
      <w:r>
        <w:rPr>
          <w:rFonts w:cs="Arial"/>
        </w:rPr>
        <w:t>”</w:t>
      </w:r>
      <w:r w:rsidRPr="00707E96">
        <w:rPr>
          <w:rFonts w:cs="Arial"/>
        </w:rPr>
        <w:t xml:space="preserve"> chap. 5.</w:t>
      </w:r>
    </w:p>
  </w:endnote>
  <w:endnote w:id="16">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Austin Turner et al., </w:t>
      </w:r>
      <w:r w:rsidRPr="00707E96">
        <w:rPr>
          <w:rFonts w:cs="Arial"/>
          <w:i/>
        </w:rPr>
        <w:t xml:space="preserve">Discrimination against Persons with Disabilities: Barriers at Every Step </w:t>
      </w:r>
      <w:r w:rsidRPr="00707E96">
        <w:rPr>
          <w:rFonts w:cs="Arial"/>
        </w:rPr>
        <w:t>(Washington, DC: U.S. Department of Housing and Urban Development, 2005).</w:t>
      </w:r>
    </w:p>
  </w:endnote>
  <w:endnote w:id="1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The Current State of Health Care for People with Disabilities</w:t>
      </w:r>
      <w:r>
        <w:rPr>
          <w:rFonts w:cs="Arial"/>
        </w:rPr>
        <w:t>”</w:t>
      </w:r>
      <w:r w:rsidRPr="00707E96">
        <w:rPr>
          <w:rFonts w:cs="Arial"/>
        </w:rPr>
        <w:t xml:space="preserve"> (September 30, 2009), National Council on Disability, </w:t>
      </w:r>
      <w:hyperlink r:id="rId12" w:history="1">
        <w:r w:rsidRPr="00707E96">
          <w:rPr>
            <w:rStyle w:val="Hyperlink"/>
            <w:rFonts w:eastAsia="Calibri" w:cs="Arial"/>
          </w:rPr>
          <w:t>http://www.ncd.gov/publications/2009/Sept302009</w:t>
        </w:r>
      </w:hyperlink>
      <w:r w:rsidRPr="00707E96">
        <w:rPr>
          <w:rFonts w:cs="Arial"/>
        </w:rPr>
        <w:t>.</w:t>
      </w:r>
    </w:p>
  </w:endnote>
  <w:endnote w:id="18">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Patient Protection and Affordable Care Act, Pub. L. No. 111-148, 124 Stat. 119 (2010); Health Care and Education Reconciliation Act, Pub. L. No. 111-152, 124 Stat. 1029 (2010).</w:t>
      </w:r>
    </w:p>
  </w:endnote>
  <w:endnote w:id="19">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Hon. Kathleen Sebelius, Secretary, U.S. Department of Health and Human Services, Remarks as prepared for delivery for the Americans with Disabilities Act 21st Anniversary (July 26, 2011), </w:t>
      </w:r>
      <w:hyperlink r:id="rId13" w:history="1">
        <w:r w:rsidRPr="00707E96">
          <w:rPr>
            <w:rStyle w:val="Hyperlink"/>
            <w:rFonts w:eastAsia="Calibri" w:cs="Arial"/>
          </w:rPr>
          <w:t>http://www.hhs.gov/secretary/about/speeches/sp20110726.html</w:t>
        </w:r>
      </w:hyperlink>
      <w:r w:rsidRPr="00707E96">
        <w:rPr>
          <w:rFonts w:cs="Arial"/>
        </w:rPr>
        <w:t>.</w:t>
      </w:r>
    </w:p>
  </w:endnote>
  <w:endnote w:id="2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Fonts w:cs="Arial"/>
          <w:i/>
        </w:rPr>
        <w:t>The Current State of Health Care for People with Disabilities</w:t>
      </w:r>
      <w:r w:rsidRPr="00707E96">
        <w:rPr>
          <w:rFonts w:cs="Arial"/>
        </w:rPr>
        <w:t xml:space="preserve">. </w:t>
      </w:r>
      <w:hyperlink r:id="rId14" w:history="1"/>
    </w:p>
  </w:endnote>
  <w:endnote w:id="2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Fonts w:cs="Arial"/>
          <w:i/>
        </w:rPr>
        <w:t>The Current State of Health Care for People with Disabilities</w:t>
      </w:r>
      <w:r w:rsidRPr="00707E96">
        <w:rPr>
          <w:rFonts w:cs="Arial"/>
        </w:rPr>
        <w:t xml:space="preserve">. </w:t>
      </w:r>
    </w:p>
  </w:endnote>
  <w:endnote w:id="2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E.</w:t>
      </w:r>
      <w:r w:rsidRPr="00707E96">
        <w:rPr>
          <w:rFonts w:cs="Arial"/>
          <w:i/>
        </w:rPr>
        <w:t xml:space="preserve"> </w:t>
      </w:r>
      <w:r w:rsidRPr="00707E96">
        <w:rPr>
          <w:rStyle w:val="Emphasis"/>
          <w:rFonts w:cs="Arial"/>
          <w:i w:val="0"/>
        </w:rPr>
        <w:t xml:space="preserve">Hall, </w:t>
      </w:r>
      <w:r w:rsidRPr="00707E96">
        <w:rPr>
          <w:rStyle w:val="Emphasis"/>
          <w:rFonts w:cs="Arial"/>
        </w:rPr>
        <w:t xml:space="preserve">Living Well! The Benefits of </w:t>
      </w:r>
      <w:r w:rsidRPr="00667236">
        <w:rPr>
          <w:rStyle w:val="Emphasis"/>
          <w:rFonts w:cs="Arial"/>
          <w:szCs w:val="24"/>
        </w:rPr>
        <w:t xml:space="preserve">Leisure for </w:t>
      </w:r>
      <w:r w:rsidRPr="00667236">
        <w:rPr>
          <w:rStyle w:val="BodyTextChar"/>
          <w:i/>
          <w:szCs w:val="24"/>
        </w:rPr>
        <w:t>People</w:t>
      </w:r>
      <w:r w:rsidRPr="00667236">
        <w:rPr>
          <w:rStyle w:val="Emphasis"/>
          <w:rFonts w:cs="Arial"/>
          <w:szCs w:val="24"/>
        </w:rPr>
        <w:t xml:space="preserve"> with</w:t>
      </w:r>
      <w:r w:rsidRPr="00667236">
        <w:rPr>
          <w:rStyle w:val="Emphasis"/>
          <w:rFonts w:cs="Arial"/>
          <w:i w:val="0"/>
          <w:szCs w:val="24"/>
        </w:rPr>
        <w:t xml:space="preserve"> </w:t>
      </w:r>
      <w:r w:rsidRPr="00667236">
        <w:rPr>
          <w:rStyle w:val="BodyTextChar"/>
          <w:i/>
          <w:szCs w:val="24"/>
        </w:rPr>
        <w:t>Disabilities</w:t>
      </w:r>
      <w:r w:rsidRPr="00707E96">
        <w:rPr>
          <w:rStyle w:val="Emphasis"/>
          <w:rFonts w:cs="Arial"/>
          <w:i w:val="0"/>
        </w:rPr>
        <w:t xml:space="preserve"> (Bloomington, IN: Indiana University-Bloomington, National Center on Accessibility, 2005). </w:t>
      </w:r>
      <w:hyperlink r:id="rId15" w:history="1">
        <w:r w:rsidRPr="00667236">
          <w:rPr>
            <w:rStyle w:val="Hyperlink"/>
            <w:rFonts w:eastAsia="Calibri" w:cs="Arial"/>
          </w:rPr>
          <w:t>http:///</w:t>
        </w:r>
        <w:r w:rsidRPr="00667236">
          <w:rPr>
            <w:rStyle w:val="Hyperlink"/>
            <w:rFonts w:eastAsia="Calibri" w:cs="Arial"/>
            <w:iCs/>
          </w:rPr>
          <w:t>www.ncaonline.org</w:t>
        </w:r>
      </w:hyperlink>
      <w:r w:rsidRPr="00707E96">
        <w:rPr>
          <w:rStyle w:val="Emphasis"/>
          <w:rFonts w:cs="Arial"/>
          <w:i w:val="0"/>
        </w:rPr>
        <w:t>.</w:t>
      </w:r>
    </w:p>
  </w:endnote>
  <w:endnote w:id="23">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Style w:val="Emphasis"/>
          <w:rFonts w:cs="Arial"/>
          <w:i w:val="0"/>
        </w:rPr>
        <w:t>Hall, </w:t>
      </w:r>
      <w:r w:rsidRPr="00707E96">
        <w:rPr>
          <w:rStyle w:val="Emphasis"/>
          <w:rFonts w:cs="Arial"/>
        </w:rPr>
        <w:t xml:space="preserve">Living Well! </w:t>
      </w:r>
    </w:p>
  </w:endnote>
  <w:endnote w:id="24">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Fonts w:cs="Arial"/>
          <w:i/>
        </w:rPr>
        <w:t>The Current State of Health Care for People with Disabilities</w:t>
      </w:r>
      <w:r w:rsidRPr="00707E96">
        <w:rPr>
          <w:rFonts w:cs="Arial"/>
        </w:rPr>
        <w:t xml:space="preserve">. </w:t>
      </w:r>
    </w:p>
  </w:endnote>
  <w:endnote w:id="25">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Physical Activity for Everyone: The Benefits of Physical Activity,</w:t>
      </w:r>
      <w:r>
        <w:rPr>
          <w:rFonts w:cs="Arial"/>
        </w:rPr>
        <w:t>”</w:t>
      </w:r>
      <w:r w:rsidRPr="00707E96">
        <w:rPr>
          <w:rFonts w:cs="Arial"/>
        </w:rPr>
        <w:t xml:space="preserve"> Centers for Disease Control and Prevention, </w:t>
      </w:r>
      <w:hyperlink r:id="rId16" w:history="1">
        <w:r w:rsidRPr="00D34D21">
          <w:rPr>
            <w:rStyle w:val="Hyperlink"/>
            <w:rFonts w:eastAsia="Calibri"/>
          </w:rPr>
          <w:t>http://www.cdc.gov/physicalactivity/everyone/health/index.html</w:t>
        </w:r>
      </w:hyperlink>
      <w:r w:rsidRPr="00707E96">
        <w:rPr>
          <w:rFonts w:cs="Arial"/>
        </w:rPr>
        <w:t>.</w:t>
      </w:r>
    </w:p>
  </w:endnote>
  <w:endnote w:id="26">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Physical Activity for Everyone.</w:t>
      </w:r>
      <w:r>
        <w:rPr>
          <w:rFonts w:cs="Arial"/>
        </w:rPr>
        <w:t>”</w:t>
      </w:r>
      <w:r w:rsidRPr="00707E96">
        <w:rPr>
          <w:rFonts w:cs="Arial"/>
        </w:rPr>
        <w:t xml:space="preserve"> </w:t>
      </w:r>
    </w:p>
  </w:endnote>
  <w:endnote w:id="2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Physical Activity for Everyone.</w:t>
      </w:r>
      <w:r>
        <w:rPr>
          <w:rFonts w:cs="Arial"/>
        </w:rPr>
        <w:t>”</w:t>
      </w:r>
      <w:r w:rsidRPr="00707E96">
        <w:rPr>
          <w:rFonts w:cs="Arial"/>
        </w:rPr>
        <w:t xml:space="preserve"> </w:t>
      </w:r>
    </w:p>
  </w:endnote>
  <w:endnote w:id="28">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Chair Yoga Is Accessible for All,</w:t>
      </w:r>
      <w:r>
        <w:rPr>
          <w:rFonts w:cs="Arial"/>
        </w:rPr>
        <w:t>”</w:t>
      </w:r>
      <w:r w:rsidRPr="00707E96">
        <w:rPr>
          <w:rFonts w:cs="Arial"/>
        </w:rPr>
        <w:t xml:space="preserve"> Lori Batcheler, </w:t>
      </w:r>
      <w:hyperlink r:id="rId17" w:history="1">
        <w:r w:rsidRPr="00D34D21">
          <w:rPr>
            <w:rStyle w:val="Hyperlink"/>
            <w:rFonts w:eastAsia="Calibri"/>
          </w:rPr>
          <w:t>http://www.disaboom.com/adaptive-fitness/chair-yoga-is-accessible-for-all</w:t>
        </w:r>
      </w:hyperlink>
    </w:p>
  </w:endnote>
  <w:endnote w:id="29">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National Wheelchair Basketball Association, </w:t>
      </w:r>
      <w:hyperlink r:id="rId18" w:history="1">
        <w:r w:rsidRPr="00667236">
          <w:rPr>
            <w:rStyle w:val="Hyperlink"/>
            <w:rFonts w:eastAsia="Calibri" w:cs="Arial"/>
          </w:rPr>
          <w:t>http://www.nwba.org/</w:t>
        </w:r>
      </w:hyperlink>
      <w:r w:rsidRPr="00707E96">
        <w:rPr>
          <w:rFonts w:cs="Arial"/>
        </w:rPr>
        <w:t>.</w:t>
      </w:r>
    </w:p>
  </w:endnote>
  <w:endnote w:id="3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Recreation for the Blind, </w:t>
      </w:r>
      <w:hyperlink r:id="rId19" w:history="1">
        <w:r w:rsidRPr="00667236">
          <w:rPr>
            <w:rStyle w:val="Hyperlink"/>
            <w:rFonts w:eastAsia="Calibri" w:cs="Arial"/>
          </w:rPr>
          <w:t>http://www.99main.com/~charlief/vi/recreation.html</w:t>
        </w:r>
      </w:hyperlink>
      <w:r w:rsidRPr="00707E96">
        <w:rPr>
          <w:rFonts w:cs="Arial"/>
        </w:rPr>
        <w:t>.</w:t>
      </w:r>
    </w:p>
  </w:endnote>
  <w:endnote w:id="3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Community Resources for People with Disabilities, </w:t>
      </w:r>
      <w:hyperlink r:id="rId20" w:history="1">
        <w:r w:rsidRPr="00FB00E3">
          <w:rPr>
            <w:rStyle w:val="Hyperlink"/>
            <w:rFonts w:eastAsia="Calibri" w:cs="Arial"/>
          </w:rPr>
          <w:t>http://www.adaptiveadventures.org</w:t>
        </w:r>
      </w:hyperlink>
      <w:r w:rsidRPr="00707E96">
        <w:rPr>
          <w:rFonts w:cs="Arial"/>
        </w:rPr>
        <w:t>.</w:t>
      </w:r>
    </w:p>
  </w:endnote>
  <w:endnote w:id="3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Five Steps for Introducing Running to Lower-Limb Amputees,</w:t>
      </w:r>
      <w:r>
        <w:rPr>
          <w:rFonts w:cs="Arial"/>
        </w:rPr>
        <w:t>”</w:t>
      </w:r>
      <w:r w:rsidRPr="00707E96">
        <w:rPr>
          <w:rFonts w:cs="Arial"/>
        </w:rPr>
        <w:t xml:space="preserve"> Robert Gailey, </w:t>
      </w:r>
      <w:hyperlink r:id="rId21" w:history="1">
        <w:r w:rsidRPr="00667236">
          <w:rPr>
            <w:rStyle w:val="Hyperlink"/>
            <w:rFonts w:eastAsia="Calibri" w:cs="Arial"/>
          </w:rPr>
          <w:t>http://www.amputee-coalition.org/military-instep/introducing-running-lower-limb.html</w:t>
        </w:r>
      </w:hyperlink>
      <w:r w:rsidRPr="00707E96">
        <w:rPr>
          <w:rFonts w:cs="Arial"/>
        </w:rPr>
        <w:t>.</w:t>
      </w:r>
    </w:p>
  </w:endnote>
  <w:endnote w:id="33">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Americans with Disabilities Act Title II Regulations: Part 35 Nondiscrimination on the Basis of Disability in State and Local Government Services, updated March 29, 2011, </w:t>
      </w:r>
      <w:hyperlink r:id="rId22" w:history="1">
        <w:r w:rsidRPr="00707E96">
          <w:rPr>
            <w:rStyle w:val="Hyperlink"/>
            <w:rFonts w:eastAsia="Calibri" w:cs="Arial"/>
          </w:rPr>
          <w:t>http://www.ada.gov/regs2010/titleII_2010/titleII_2010_regulations.htm</w:t>
        </w:r>
      </w:hyperlink>
      <w:r w:rsidRPr="00707E96">
        <w:rPr>
          <w:rFonts w:cs="Arial"/>
        </w:rPr>
        <w:t xml:space="preserve">; Americans with Disabilities Act Title III Regulations: Part 36 Nondiscrimination on the Basis of Disability in Public Accommodations and Commercial Facilities, updated April 1, 2011, </w:t>
      </w:r>
      <w:hyperlink r:id="rId23" w:history="1">
        <w:r w:rsidRPr="00667236">
          <w:rPr>
            <w:rStyle w:val="Hyperlink"/>
            <w:rFonts w:eastAsia="Calibri" w:cs="Arial"/>
          </w:rPr>
          <w:t>http://www.ada.gov/regs2010/titleIII_2010/titleIII_2010_regulations.htm</w:t>
        </w:r>
      </w:hyperlink>
      <w:r w:rsidRPr="00707E96">
        <w:rPr>
          <w:rFonts w:cs="Arial"/>
        </w:rPr>
        <w:t>.</w:t>
      </w:r>
    </w:p>
  </w:endnote>
  <w:endnote w:id="34">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Twenty-First Century Communications and Video Accessibility Act of 2010, </w:t>
      </w:r>
      <w:r w:rsidRPr="00707E96">
        <w:rPr>
          <w:rStyle w:val="Emphasis"/>
          <w:rFonts w:cs="Arial"/>
          <w:i w:val="0"/>
          <w:color w:val="000000"/>
        </w:rPr>
        <w:t>Pub. L</w:t>
      </w:r>
      <w:r w:rsidRPr="00707E96">
        <w:rPr>
          <w:rFonts w:cs="Arial"/>
          <w:i/>
        </w:rPr>
        <w:t xml:space="preserve"> .</w:t>
      </w:r>
      <w:r w:rsidRPr="00707E96">
        <w:rPr>
          <w:rFonts w:cs="Arial"/>
        </w:rPr>
        <w:t xml:space="preserve"> No. 111-260, 124 Stat. 2752 (2010), </w:t>
      </w:r>
      <w:hyperlink r:id="rId24" w:history="1">
        <w:r w:rsidRPr="00F52D82">
          <w:rPr>
            <w:rStyle w:val="Hyperlink"/>
            <w:rFonts w:eastAsia="Calibri" w:cs="Arial"/>
          </w:rPr>
          <w:t>http://hraunfoss.fcc.gov/edocs_public/attachmatch/</w:t>
        </w:r>
        <w:r w:rsidRPr="00F52D82">
          <w:rPr>
            <w:rStyle w:val="Hyperlink"/>
            <w:rFonts w:eastAsia="Calibri" w:cs="Arial"/>
          </w:rPr>
          <w:br/>
          <w:t>DOC-303939A1.doc</w:t>
        </w:r>
      </w:hyperlink>
      <w:r w:rsidRPr="00707E96">
        <w:rPr>
          <w:rFonts w:cs="Arial"/>
        </w:rPr>
        <w:t>.</w:t>
      </w:r>
    </w:p>
  </w:endnote>
  <w:endnote w:id="35">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Survey of Americans with Disabilities</w:t>
      </w:r>
      <w:r>
        <w:rPr>
          <w:rFonts w:cs="Arial"/>
        </w:rPr>
        <w:t>”</w:t>
      </w:r>
      <w:r w:rsidRPr="00707E96">
        <w:rPr>
          <w:rFonts w:cs="Arial"/>
        </w:rPr>
        <w:t xml:space="preserve"> (2010), Kessler Foundation and National Organization on Disability, </w:t>
      </w:r>
      <w:hyperlink r:id="rId25" w:history="1">
        <w:r w:rsidRPr="00667236">
          <w:rPr>
            <w:rStyle w:val="Hyperlink"/>
            <w:rFonts w:eastAsia="Calibri" w:cs="Arial"/>
          </w:rPr>
          <w:t>http://www.2010disabilitysurveys.org/pdfs/surveyresults.pdf</w:t>
        </w:r>
      </w:hyperlink>
      <w:r w:rsidRPr="00707E96">
        <w:rPr>
          <w:rFonts w:cs="Arial"/>
        </w:rPr>
        <w:t>.</w:t>
      </w:r>
    </w:p>
  </w:endnote>
  <w:endnote w:id="36">
    <w:p w:rsidR="00A12CA5" w:rsidRPr="00707E96" w:rsidRDefault="00A12CA5" w:rsidP="00B0519B">
      <w:pPr>
        <w:pStyle w:val="EndnoteText"/>
        <w:rPr>
          <w:rStyle w:val="EndnoteReference"/>
          <w:sz w:val="20"/>
        </w:rPr>
      </w:pPr>
      <w:r w:rsidRPr="00707E96">
        <w:rPr>
          <w:rStyle w:val="EndnoteReference"/>
          <w:sz w:val="20"/>
        </w:rPr>
        <w:endnoteRef/>
      </w:r>
      <w:r w:rsidRPr="00707E96">
        <w:rPr>
          <w:rFonts w:cs="Arial"/>
        </w:rPr>
        <w:t xml:space="preserve"> </w:t>
      </w:r>
      <w:r>
        <w:rPr>
          <w:rFonts w:cs="Arial"/>
        </w:rPr>
        <w:t>“</w:t>
      </w:r>
      <w:r w:rsidRPr="00707E96">
        <w:rPr>
          <w:rFonts w:cs="Arial"/>
        </w:rPr>
        <w:t>Survey of Americans with Disabilities.</w:t>
      </w:r>
      <w:r>
        <w:rPr>
          <w:rFonts w:cs="Arial"/>
        </w:rPr>
        <w:t>”</w:t>
      </w:r>
      <w:r w:rsidRPr="00707E96">
        <w:rPr>
          <w:rFonts w:cs="Arial"/>
        </w:rPr>
        <w:t xml:space="preserve"> </w:t>
      </w:r>
    </w:p>
  </w:endnote>
  <w:endnote w:id="37">
    <w:p w:rsidR="00A12CA5" w:rsidRPr="00667236" w:rsidRDefault="00A12CA5" w:rsidP="00B0519B">
      <w:pPr>
        <w:pStyle w:val="EndnoteText"/>
        <w:rPr>
          <w:rFonts w:cs="Arial"/>
        </w:rPr>
      </w:pPr>
      <w:r w:rsidRPr="00667236">
        <w:rPr>
          <w:rStyle w:val="EndnoteReference"/>
          <w:sz w:val="20"/>
        </w:rPr>
        <w:endnoteRef/>
      </w:r>
      <w:r w:rsidRPr="00667236">
        <w:rPr>
          <w:rFonts w:cs="Arial"/>
        </w:rPr>
        <w:t xml:space="preserve"> “The Current State of Transportation for People with Disabilities in the United States” (June 13, 2005), National Council on Disability, </w:t>
      </w:r>
      <w:hyperlink r:id="rId26" w:history="1">
        <w:r w:rsidRPr="00667236">
          <w:rPr>
            <w:rStyle w:val="Hyperlink"/>
            <w:rFonts w:eastAsia="Calibri" w:cs="Arial"/>
          </w:rPr>
          <w:t>http://www.ncd.gov/publications/2005/06132005</w:t>
        </w:r>
      </w:hyperlink>
      <w:r w:rsidRPr="00667236">
        <w:rPr>
          <w:rFonts w:cs="Arial"/>
        </w:rPr>
        <w:t>.</w:t>
      </w:r>
    </w:p>
  </w:endnote>
  <w:endnote w:id="38">
    <w:p w:rsidR="00A12CA5" w:rsidRPr="00667236" w:rsidRDefault="00A12CA5" w:rsidP="00B0519B">
      <w:pPr>
        <w:pStyle w:val="EndnoteText"/>
        <w:rPr>
          <w:rFonts w:cs="Arial"/>
        </w:rPr>
      </w:pPr>
      <w:r w:rsidRPr="00667236">
        <w:rPr>
          <w:rStyle w:val="EndnoteReference"/>
          <w:sz w:val="20"/>
        </w:rPr>
        <w:endnoteRef/>
      </w:r>
      <w:r w:rsidRPr="00667236">
        <w:rPr>
          <w:rFonts w:cs="Arial"/>
        </w:rPr>
        <w:t xml:space="preserve"> U.S. Department of Transportation, Aviation Consumer Protection and Enforcement, </w:t>
      </w:r>
      <w:r w:rsidRPr="00667236">
        <w:rPr>
          <w:rFonts w:cs="Arial"/>
          <w:i/>
        </w:rPr>
        <w:t>Annual Report on Disability-Related Air Travel Complaints</w:t>
      </w:r>
      <w:r w:rsidRPr="00667236">
        <w:rPr>
          <w:rFonts w:cs="Arial"/>
        </w:rPr>
        <w:t xml:space="preserve"> (Washington, DC: U.S. Departme</w:t>
      </w:r>
      <w:r>
        <w:rPr>
          <w:rFonts w:cs="Arial"/>
        </w:rPr>
        <w:t>nt of Transportation, 2011), 4.</w:t>
      </w:r>
    </w:p>
  </w:endnote>
  <w:endnote w:id="39">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U.S. Department of Transportation, Aviation Consumer Protection and Enforcement, </w:t>
      </w:r>
      <w:r w:rsidRPr="00707E96">
        <w:rPr>
          <w:rFonts w:cs="Arial"/>
          <w:i/>
        </w:rPr>
        <w:t>Annual Report on Disability-Related Air Travel Complaints</w:t>
      </w:r>
      <w:r w:rsidRPr="00707E96">
        <w:rPr>
          <w:rFonts w:cs="Arial"/>
        </w:rPr>
        <w:t xml:space="preserve"> (Washington, DC: U.S. Department of Transportation, 2009).</w:t>
      </w:r>
    </w:p>
  </w:endnote>
  <w:endnote w:id="40">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U.S. Department of Transportation, Aviation Consumer Protection and Enforcement, </w:t>
      </w:r>
      <w:r w:rsidRPr="00707E96">
        <w:rPr>
          <w:rFonts w:cs="Arial"/>
          <w:i/>
        </w:rPr>
        <w:t>Annual Report on Disability-Related Air Travel Complaints</w:t>
      </w:r>
      <w:r w:rsidRPr="00707E96">
        <w:rPr>
          <w:rFonts w:cs="Arial"/>
        </w:rPr>
        <w:t xml:space="preserve"> (Washington, DC: U.S. Department of Transportation, 2011),</w:t>
      </w:r>
      <w:r>
        <w:rPr>
          <w:rFonts w:cs="Arial"/>
        </w:rPr>
        <w:t xml:space="preserve"> </w:t>
      </w:r>
      <w:r w:rsidRPr="00707E96">
        <w:rPr>
          <w:rFonts w:cs="Arial"/>
        </w:rPr>
        <w:t>3-4.</w:t>
      </w:r>
    </w:p>
  </w:endnote>
  <w:endnote w:id="41">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Air Carrier Access Act, Pub. L. No. 99-435, 100 Stat. 1080 (1986).</w:t>
      </w:r>
    </w:p>
  </w:endnote>
  <w:endnote w:id="42">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w:t>
      </w:r>
      <w:r>
        <w:rPr>
          <w:rFonts w:cs="Arial"/>
        </w:rPr>
        <w:t>“</w:t>
      </w:r>
      <w:r w:rsidRPr="00707E96">
        <w:rPr>
          <w:rFonts w:cs="Arial"/>
        </w:rPr>
        <w:t>Deaf Couple Describe Weathering Alabama Tornado</w:t>
      </w:r>
      <w:r>
        <w:rPr>
          <w:rFonts w:cs="Arial"/>
        </w:rPr>
        <w:t>”</w:t>
      </w:r>
      <w:r w:rsidRPr="00707E96">
        <w:rPr>
          <w:rFonts w:cs="Arial"/>
        </w:rPr>
        <w:t xml:space="preserve"> (May 6, 2011), Blair Shiff, </w:t>
      </w:r>
      <w:hyperlink r:id="rId27" w:history="1">
        <w:r w:rsidRPr="00667236">
          <w:rPr>
            <w:rStyle w:val="Hyperlink"/>
            <w:rFonts w:eastAsia="Calibri"/>
          </w:rPr>
          <w:t>http://www.9news.com/rss/story.aspx?storyid=197177</w:t>
        </w:r>
      </w:hyperlink>
      <w:r w:rsidRPr="00707E96">
        <w:rPr>
          <w:rFonts w:cs="Arial"/>
        </w:rPr>
        <w:t>.</w:t>
      </w:r>
    </w:p>
  </w:endnote>
  <w:endnote w:id="43">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National Council on Disability, </w:t>
      </w:r>
      <w:r w:rsidRPr="00707E96">
        <w:rPr>
          <w:rFonts w:cs="Arial"/>
          <w:i/>
        </w:rPr>
        <w:t>Saving Lives: Including People with Disabilities in Emergency Planning</w:t>
      </w:r>
      <w:r w:rsidRPr="00707E96">
        <w:rPr>
          <w:rFonts w:cs="Arial"/>
        </w:rPr>
        <w:t xml:space="preserve"> (Washington, DC: National Council on Disability, 2005), </w:t>
      </w:r>
      <w:hyperlink r:id="rId28" w:history="1">
        <w:r w:rsidRPr="00667236">
          <w:rPr>
            <w:rStyle w:val="Hyperlink"/>
            <w:rFonts w:eastAsia="Calibri"/>
          </w:rPr>
          <w:t>http://www.ncd.gov/publications/2005/04152005</w:t>
        </w:r>
      </w:hyperlink>
      <w:r w:rsidRPr="00707E96">
        <w:rPr>
          <w:rFonts w:cs="Arial"/>
        </w:rPr>
        <w:t xml:space="preserve">; U.S. Department of Homeland Security, </w:t>
      </w:r>
      <w:r w:rsidRPr="00707E96">
        <w:rPr>
          <w:rFonts w:cs="Arial"/>
          <w:i/>
        </w:rPr>
        <w:t xml:space="preserve">Individuals with Disabilities in Emergency Preparedness: Executive Order 13347, Annual Report </w:t>
      </w:r>
      <w:r w:rsidRPr="00707E96">
        <w:rPr>
          <w:rFonts w:cs="Arial"/>
        </w:rPr>
        <w:t xml:space="preserve">(Washington, DC: U.S. Department of Homeland Security, 2005), </w:t>
      </w:r>
      <w:hyperlink r:id="rId29" w:anchor="3" w:history="1">
        <w:r w:rsidRPr="00667236">
          <w:rPr>
            <w:rStyle w:val="Hyperlink"/>
            <w:rFonts w:eastAsia="Calibri"/>
          </w:rPr>
          <w:t>http://www.dhs.gov/xabout/structure/gc_1266873528670.shtm#3</w:t>
        </w:r>
      </w:hyperlink>
      <w:r w:rsidRPr="00707E96">
        <w:rPr>
          <w:rFonts w:cs="Arial"/>
        </w:rPr>
        <w:t xml:space="preserve">; U.S. Department of Homeland Security, Individuals with Disabilities in Emergency Preparedness Executive Order 13347: Progress Report July 2005 – September 2006 (Washington, DC: U.S. Department of Homeland Security, 2006), </w:t>
      </w:r>
      <w:hyperlink r:id="rId30" w:anchor="3" w:history="1">
        <w:r w:rsidRPr="00667236">
          <w:rPr>
            <w:rStyle w:val="Hyperlink"/>
            <w:rFonts w:eastAsia="Calibri"/>
          </w:rPr>
          <w:t>http://www.dhs.gov/xabout/structure/gc_1266873528670.shtm#3</w:t>
        </w:r>
      </w:hyperlink>
      <w:r w:rsidRPr="00707E96">
        <w:rPr>
          <w:rFonts w:cs="Arial"/>
        </w:rPr>
        <w:t xml:space="preserve">; U.S. Department of Education, </w:t>
      </w:r>
      <w:r w:rsidRPr="00707E96">
        <w:rPr>
          <w:rFonts w:cs="Arial"/>
          <w:i/>
        </w:rPr>
        <w:t>Emergency Management Research and People with Disabilities: A Resource Guide</w:t>
      </w:r>
      <w:r w:rsidRPr="00707E96">
        <w:rPr>
          <w:rFonts w:cs="Arial"/>
        </w:rPr>
        <w:t xml:space="preserve"> (Washington, DC: U.S. Department of Education, 2008). </w:t>
      </w:r>
      <w:hyperlink r:id="rId31" w:history="1">
        <w:r w:rsidRPr="00667236">
          <w:rPr>
            <w:rStyle w:val="Hyperlink"/>
            <w:rFonts w:eastAsia="Calibri"/>
          </w:rPr>
          <w:t>http://www.ed.gov/rschstat/research/pubs</w:t>
        </w:r>
      </w:hyperlink>
      <w:r w:rsidRPr="00707E96">
        <w:rPr>
          <w:rFonts w:cs="Arial"/>
        </w:rPr>
        <w:t xml:space="preserve">; National Council on Disability, </w:t>
      </w:r>
      <w:r w:rsidRPr="00707E96">
        <w:rPr>
          <w:rFonts w:cs="Arial"/>
          <w:i/>
        </w:rPr>
        <w:t>Effective Emergency Management: Making Improvements for Communities and People with Disabilities</w:t>
      </w:r>
      <w:r w:rsidRPr="00707E96">
        <w:rPr>
          <w:rFonts w:cs="Arial"/>
        </w:rPr>
        <w:t xml:space="preserve"> (Washington, DC: National Council on Disability, 2009). </w:t>
      </w:r>
      <w:hyperlink r:id="rId32" w:history="1">
        <w:r w:rsidRPr="00667236">
          <w:rPr>
            <w:rStyle w:val="Hyperlink"/>
            <w:rFonts w:eastAsia="Calibri"/>
          </w:rPr>
          <w:t>http://www.ncd.gov/publications/2009/Aug122009</w:t>
        </w:r>
      </w:hyperlink>
      <w:r w:rsidRPr="00707E96">
        <w:rPr>
          <w:rFonts w:cs="Arial"/>
        </w:rPr>
        <w:t>.</w:t>
      </w:r>
    </w:p>
  </w:endnote>
  <w:endnote w:id="44">
    <w:p w:rsidR="00A12CA5" w:rsidRPr="00707E96" w:rsidRDefault="00A12CA5" w:rsidP="00B0519B">
      <w:pPr>
        <w:pStyle w:val="EndnoteText"/>
        <w:ind w:right="-180"/>
        <w:rPr>
          <w:rFonts w:cs="Arial"/>
        </w:rPr>
      </w:pPr>
      <w:r w:rsidRPr="00667236">
        <w:rPr>
          <w:rStyle w:val="EndnoteReference"/>
          <w:sz w:val="20"/>
        </w:rPr>
        <w:endnoteRef/>
      </w:r>
      <w:r w:rsidRPr="00707E96">
        <w:rPr>
          <w:rFonts w:cs="Arial"/>
        </w:rPr>
        <w:t xml:space="preserve"> </w:t>
      </w:r>
      <w:hyperlink r:id="rId33" w:history="1">
        <w:r w:rsidRPr="00667236">
          <w:rPr>
            <w:rStyle w:val="Hyperlink"/>
            <w:rFonts w:eastAsia="Calibri" w:cs="Arial"/>
            <w:i/>
            <w:color w:val="000000"/>
          </w:rPr>
          <w:t>Caring for Special Needs during Disasters: What’s Being Done for Vulnerable Populations?</w:t>
        </w:r>
      </w:hyperlink>
      <w:r w:rsidRPr="00667236">
        <w:rPr>
          <w:rFonts w:cs="Arial"/>
        </w:rPr>
        <w:t xml:space="preserve"> </w:t>
      </w:r>
      <w:r w:rsidRPr="00707E96">
        <w:rPr>
          <w:rFonts w:cs="Arial"/>
          <w:i/>
        </w:rPr>
        <w:t>Before the Subcommittee on Emergency Communications, Preparedness and Response Homeland Security Committee</w:t>
      </w:r>
      <w:r w:rsidRPr="00707E96">
        <w:rPr>
          <w:rFonts w:cs="Arial"/>
        </w:rPr>
        <w:t xml:space="preserve">, U.S. House of Representatives (2010) (testimony of Jonathan M. Young, Ph.D., J.D.), </w:t>
      </w:r>
      <w:hyperlink r:id="rId34" w:history="1">
        <w:r w:rsidRPr="00667236">
          <w:rPr>
            <w:rStyle w:val="Hyperlink"/>
            <w:rFonts w:eastAsia="Calibri"/>
          </w:rPr>
          <w:t>http://www.ncd.gov/newsroom/Testimony/2010/HS_Subcomm_Young_Testimony_FINAL</w:t>
        </w:r>
      </w:hyperlink>
      <w:r w:rsidRPr="00707E96">
        <w:rPr>
          <w:rFonts w:cs="Arial"/>
        </w:rPr>
        <w:t>.</w:t>
      </w:r>
    </w:p>
  </w:endnote>
  <w:endnote w:id="45">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Disability in Conflict and Emergencies Fact Sheet,</w:t>
      </w:r>
      <w:r>
        <w:rPr>
          <w:rFonts w:cs="Arial"/>
        </w:rPr>
        <w:t>”</w:t>
      </w:r>
      <w:r w:rsidRPr="00707E96">
        <w:rPr>
          <w:rFonts w:cs="Arial"/>
        </w:rPr>
        <w:t xml:space="preserve"> The Atlas Alliance, </w:t>
      </w:r>
      <w:hyperlink r:id="rId35" w:history="1">
        <w:r w:rsidRPr="00667236">
          <w:rPr>
            <w:rStyle w:val="Hyperlink"/>
            <w:rFonts w:eastAsia="Calibri" w:cs="Arial"/>
          </w:rPr>
          <w:t>http://www.cbm.org/article/downloads/71140/Fact_sheet_Disability_in_Conflict_and_Emergencies.pdf</w:t>
        </w:r>
      </w:hyperlink>
      <w:r w:rsidRPr="00707E96">
        <w:rPr>
          <w:rFonts w:cs="Arial"/>
        </w:rPr>
        <w:t>.</w:t>
      </w:r>
    </w:p>
  </w:endnote>
  <w:endnote w:id="46">
    <w:p w:rsidR="00A12CA5" w:rsidRPr="00667236" w:rsidRDefault="00A12CA5" w:rsidP="00B0519B">
      <w:pPr>
        <w:pStyle w:val="EndnoteText"/>
        <w:rPr>
          <w:rFonts w:cs="Arial"/>
        </w:rPr>
      </w:pPr>
      <w:r w:rsidRPr="00667236">
        <w:rPr>
          <w:rStyle w:val="EndnoteReference"/>
          <w:sz w:val="20"/>
        </w:rPr>
        <w:endnoteRef/>
      </w:r>
      <w:r w:rsidRPr="00667236">
        <w:rPr>
          <w:rFonts w:cs="Arial"/>
        </w:rPr>
        <w:t xml:space="preserve"> See discussion during </w:t>
      </w:r>
      <w:hyperlink r:id="rId36" w:history="1">
        <w:r w:rsidRPr="0040377D">
          <w:rPr>
            <w:rStyle w:val="Hyperlink"/>
            <w:rFonts w:eastAsia="Calibri" w:cs="Arial"/>
            <w:i/>
            <w:color w:val="000000"/>
          </w:rPr>
          <w:t>Caring for Special Needs during Disasters: What’s Being Done for Vulnerable Populations?</w:t>
        </w:r>
      </w:hyperlink>
      <w:r w:rsidRPr="00667236">
        <w:rPr>
          <w:rFonts w:cs="Arial"/>
        </w:rPr>
        <w:t xml:space="preserve"> Subcommittee on Emergency Communications, Preparedness and Response Homeland Security Committee, U.S. House of Representatives, June 15, 2010.</w:t>
      </w:r>
    </w:p>
  </w:endnote>
  <w:endnote w:id="4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National Council on Disability, </w:t>
      </w:r>
      <w:r w:rsidRPr="00707E96">
        <w:rPr>
          <w:rFonts w:cs="Arial"/>
          <w:i/>
        </w:rPr>
        <w:t>Over the Horizon: Potential Impact of Emerging Trends in Information and Communication Technology on Disability Policy and Practice</w:t>
      </w:r>
      <w:r w:rsidRPr="00707E96">
        <w:rPr>
          <w:rFonts w:cs="Arial"/>
        </w:rPr>
        <w:t xml:space="preserve"> (Washington, DC: National Council on Disability, 2006), </w:t>
      </w:r>
      <w:hyperlink r:id="rId37" w:anchor="_Toc151518474" w:history="1">
        <w:r w:rsidRPr="00667236">
          <w:rPr>
            <w:rStyle w:val="Hyperlink"/>
            <w:rFonts w:eastAsia="Calibri" w:cs="Arial"/>
          </w:rPr>
          <w:t>http://www.ncd.gov/publications/2006/Dec262006#_Toc151518474</w:t>
        </w:r>
      </w:hyperlink>
      <w:r w:rsidRPr="00707E96">
        <w:rPr>
          <w:rFonts w:cs="Arial"/>
        </w:rPr>
        <w:t>.</w:t>
      </w:r>
    </w:p>
  </w:endnote>
  <w:endnote w:id="48">
    <w:p w:rsidR="00A12CA5" w:rsidRPr="00667236" w:rsidRDefault="00A12CA5" w:rsidP="00B0519B">
      <w:pPr>
        <w:pStyle w:val="EndnoteText"/>
        <w:rPr>
          <w:rFonts w:cs="Arial"/>
        </w:rPr>
      </w:pPr>
      <w:r w:rsidRPr="00667236">
        <w:rPr>
          <w:rStyle w:val="EndnoteReference"/>
          <w:sz w:val="20"/>
        </w:rPr>
        <w:endnoteRef/>
      </w:r>
      <w:r w:rsidRPr="00667236">
        <w:rPr>
          <w:rFonts w:cs="Arial"/>
        </w:rPr>
        <w:t xml:space="preserve"> “People with Vision Loss Can’t Use Most Cell Phones. It’s Time to Change That,” American Foundation for the Blind, </w:t>
      </w:r>
      <w:hyperlink r:id="rId38" w:anchor="content" w:history="1">
        <w:r w:rsidRPr="00667236">
          <w:rPr>
            <w:rStyle w:val="Hyperlink"/>
            <w:rFonts w:eastAsia="Calibri" w:cs="Arial"/>
          </w:rPr>
          <w:t>http://www.afb.org/blog/blog_comments.asp?TopicID=3002#content</w:t>
        </w:r>
      </w:hyperlink>
      <w:r w:rsidRPr="00667236">
        <w:rPr>
          <w:rFonts w:cs="Arial"/>
        </w:rPr>
        <w:t xml:space="preserve">. </w:t>
      </w:r>
    </w:p>
  </w:endnote>
  <w:endnote w:id="49">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AAPD Recommendations for Accessible Technology Research</w:t>
      </w:r>
      <w:r>
        <w:rPr>
          <w:rFonts w:cs="Arial"/>
        </w:rPr>
        <w:t>”</w:t>
      </w:r>
      <w:r w:rsidRPr="00707E96">
        <w:rPr>
          <w:rFonts w:cs="Arial"/>
        </w:rPr>
        <w:t xml:space="preserve"> (July 25, 2008), American Association of People with Disabilities, </w:t>
      </w:r>
      <w:hyperlink r:id="rId39" w:history="1">
        <w:r w:rsidRPr="00667236">
          <w:rPr>
            <w:rStyle w:val="Hyperlink"/>
            <w:rFonts w:eastAsia="Calibri" w:cs="Arial"/>
          </w:rPr>
          <w:t>http://www.aapd.com/site/c.pvI1IkNWJqE/b.5607495/k.33DD/AAPD_Recommendations_for_Accessible_Technology_Research.htm</w:t>
        </w:r>
      </w:hyperlink>
      <w:r w:rsidRPr="00707E96">
        <w:rPr>
          <w:rFonts w:cs="Arial"/>
        </w:rPr>
        <w:t>.</w:t>
      </w:r>
    </w:p>
  </w:endnote>
  <w:endnote w:id="5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Distance Learning,</w:t>
      </w:r>
      <w:r>
        <w:rPr>
          <w:rFonts w:cs="Arial"/>
        </w:rPr>
        <w:t>”</w:t>
      </w:r>
      <w:r w:rsidRPr="00707E96">
        <w:rPr>
          <w:rFonts w:cs="Arial"/>
        </w:rPr>
        <w:t xml:space="preserve"> Sheryl Burgstahler, </w:t>
      </w:r>
      <w:hyperlink r:id="rId40" w:history="1">
        <w:r w:rsidRPr="00667236">
          <w:rPr>
            <w:rStyle w:val="Hyperlink"/>
            <w:rFonts w:eastAsia="Calibri" w:cs="Arial"/>
          </w:rPr>
          <w:t>http://www.washington.edu/doit/Faculty/Strategies/Academic/Distancelearning/</w:t>
        </w:r>
      </w:hyperlink>
      <w:r w:rsidRPr="00707E96">
        <w:rPr>
          <w:rFonts w:cs="Arial"/>
        </w:rPr>
        <w:t>.</w:t>
      </w:r>
    </w:p>
  </w:endnote>
  <w:endnote w:id="5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Inaccessible E-Book Reader Program Challenged</w:t>
      </w:r>
      <w:r>
        <w:rPr>
          <w:rFonts w:cs="Arial"/>
        </w:rPr>
        <w:t>”</w:t>
      </w:r>
      <w:r w:rsidRPr="00707E96">
        <w:rPr>
          <w:rFonts w:cs="Arial"/>
        </w:rPr>
        <w:t xml:space="preserve"> (February 23, 2011), Coalition of Organizations for Accessible Technology, </w:t>
      </w:r>
      <w:hyperlink r:id="rId41" w:history="1">
        <w:r w:rsidRPr="00667236">
          <w:rPr>
            <w:rStyle w:val="Hyperlink"/>
            <w:rFonts w:eastAsia="Calibri" w:cs="Arial"/>
          </w:rPr>
          <w:t>http://www.coataccess.org/node/9967</w:t>
        </w:r>
      </w:hyperlink>
      <w:r w:rsidRPr="00707E96">
        <w:rPr>
          <w:rFonts w:cs="Arial"/>
        </w:rPr>
        <w:t>.</w:t>
      </w:r>
    </w:p>
  </w:endnote>
  <w:endnote w:id="5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Access in the Kitchen: An Update on Home Appliances</w:t>
      </w:r>
      <w:r>
        <w:rPr>
          <w:rFonts w:cs="Arial"/>
        </w:rPr>
        <w:t>”</w:t>
      </w:r>
      <w:r w:rsidRPr="00707E96">
        <w:rPr>
          <w:rFonts w:cs="Arial"/>
        </w:rPr>
        <w:t xml:space="preserve"> (January 2007), Brad Hodges, </w:t>
      </w:r>
      <w:hyperlink r:id="rId42" w:history="1">
        <w:r w:rsidRPr="00667236">
          <w:rPr>
            <w:rStyle w:val="Hyperlink"/>
            <w:rFonts w:eastAsia="Calibri" w:cs="Arial"/>
          </w:rPr>
          <w:t>http://www.afb.org/afbpress/pub.asp?DocID=aw080104</w:t>
        </w:r>
      </w:hyperlink>
      <w:r w:rsidRPr="00707E96">
        <w:rPr>
          <w:rFonts w:cs="Arial"/>
        </w:rPr>
        <w:t>.</w:t>
      </w:r>
    </w:p>
  </w:endnote>
  <w:endnote w:id="53">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Fonts w:cs="Arial"/>
          <w:i/>
        </w:rPr>
        <w:t>Achieving the Promise of the Americans with Disabilities Act in the Digital Age: Current Issues, Challenges, and Opportunities, Before the Committee on the Judiciary, Subcommittee on the Constitution, Civil Rights, and Civil Liberties,</w:t>
      </w:r>
      <w:r w:rsidRPr="00707E96">
        <w:rPr>
          <w:rFonts w:cs="Arial"/>
        </w:rPr>
        <w:t xml:space="preserve"> U.S. House of Representatives (2010) (testimony of Daniel F. Goldstein), </w:t>
      </w:r>
      <w:hyperlink r:id="rId43" w:history="1">
        <w:r w:rsidRPr="00667236">
          <w:rPr>
            <w:rStyle w:val="Hyperlink"/>
            <w:rFonts w:eastAsia="Calibri" w:cs="Arial"/>
          </w:rPr>
          <w:t>http://www.browngold.com/?s=news&amp;ss=86</w:t>
        </w:r>
      </w:hyperlink>
      <w:r w:rsidRPr="00707E96">
        <w:rPr>
          <w:rFonts w:cs="Arial"/>
        </w:rPr>
        <w:t xml:space="preserve">. </w:t>
      </w:r>
    </w:p>
  </w:endnote>
  <w:endnote w:id="54">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sidRPr="00707E96">
        <w:rPr>
          <w:rFonts w:cs="Arial"/>
          <w:i/>
        </w:rPr>
        <w:t>Achieving the Promise of the Americans with Disabilities Act in the Digital Age</w:t>
      </w:r>
      <w:r w:rsidRPr="00707E96">
        <w:rPr>
          <w:rFonts w:cs="Arial"/>
        </w:rPr>
        <w:t>. (Some examples include AOL, Target, Amazon, Audible, Major League Baseball, CVS, Radio Shack, Rite Aid, Staples, Ramada Hotels, Priceline.)</w:t>
      </w:r>
    </w:p>
  </w:endnote>
  <w:endnote w:id="55">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w:t>
      </w:r>
      <w:r w:rsidRPr="0040377D">
        <w:rPr>
          <w:rFonts w:cs="Arial"/>
          <w:i/>
        </w:rPr>
        <w:t>Achieving the Promise of the Americans with Disabilities Act in the Digital Age</w:t>
      </w:r>
      <w:r w:rsidRPr="0040377D">
        <w:rPr>
          <w:rFonts w:cs="Arial"/>
        </w:rPr>
        <w:t>.</w:t>
      </w:r>
    </w:p>
  </w:endnote>
  <w:endnote w:id="56">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hyperlink r:id="rId44" w:history="1">
        <w:r w:rsidRPr="00707E96">
          <w:rPr>
            <w:rStyle w:val="Hyperlink"/>
            <w:rFonts w:eastAsia="Calibri" w:cs="Arial"/>
          </w:rPr>
          <w:t>http://www.w3.org/WAI/intro/wcag.php</w:t>
        </w:r>
      </w:hyperlink>
      <w:r w:rsidRPr="00707E96">
        <w:rPr>
          <w:rFonts w:cs="Arial"/>
        </w:rPr>
        <w:t xml:space="preserve">. </w:t>
      </w:r>
    </w:p>
  </w:endnote>
  <w:endnote w:id="5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hyperlink r:id="rId45" w:history="1">
        <w:r w:rsidRPr="00667236">
          <w:rPr>
            <w:rStyle w:val="Hyperlink"/>
            <w:rFonts w:eastAsia="Calibri" w:cs="Arial"/>
          </w:rPr>
          <w:t>http://www.access-board.gov/sec508/standards.htm</w:t>
        </w:r>
      </w:hyperlink>
      <w:r w:rsidRPr="00707E96">
        <w:rPr>
          <w:rFonts w:cs="Arial"/>
        </w:rPr>
        <w:t>.</w:t>
      </w:r>
    </w:p>
  </w:endnote>
  <w:endnote w:id="58">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2010 ADA Standards for Accessible Design, Sec. 220,</w:t>
      </w:r>
      <w:r>
        <w:rPr>
          <w:rFonts w:cs="Arial"/>
        </w:rPr>
        <w:t>”</w:t>
      </w:r>
      <w:r w:rsidRPr="00707E96">
        <w:rPr>
          <w:rFonts w:cs="Arial"/>
        </w:rPr>
        <w:t xml:space="preserve"> U.S. Department of Justice, </w:t>
      </w:r>
      <w:hyperlink r:id="rId46" w:history="1">
        <w:r w:rsidRPr="00667236">
          <w:rPr>
            <w:rStyle w:val="Hyperlink"/>
            <w:rFonts w:eastAsia="Calibri" w:cs="Arial"/>
          </w:rPr>
          <w:t>http://www.ada.gov/regs2010/2010ADAStandards/2010ADAstandards.htm</w:t>
        </w:r>
      </w:hyperlink>
      <w:r w:rsidRPr="00707E96">
        <w:rPr>
          <w:rFonts w:cs="Arial"/>
        </w:rPr>
        <w:t>.</w:t>
      </w:r>
    </w:p>
  </w:endnote>
  <w:endnote w:id="59">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Telecommunications Act of 1996, 47 U.S.C. §§ 153, 255 (applies to the telecommunications functions of telephones, cell phones, pay phones, pagers, fax machines, computers with modems, and telephone company switching equipment). </w:t>
      </w:r>
    </w:p>
  </w:endnote>
  <w:endnote w:id="6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Twenty-First Century Communications and Video Accessibility Act of 2010, </w:t>
      </w:r>
      <w:r w:rsidRPr="00707E96">
        <w:rPr>
          <w:rStyle w:val="Emphasis"/>
          <w:rFonts w:cs="Arial"/>
          <w:i w:val="0"/>
          <w:color w:val="000000"/>
        </w:rPr>
        <w:t>Pub. L</w:t>
      </w:r>
      <w:r w:rsidRPr="00707E96">
        <w:rPr>
          <w:rFonts w:cs="Arial"/>
          <w:i/>
        </w:rPr>
        <w:t>.</w:t>
      </w:r>
      <w:r w:rsidRPr="00707E96">
        <w:rPr>
          <w:rFonts w:cs="Arial"/>
        </w:rPr>
        <w:t xml:space="preserve"> No. 111-260, 124 Stat. 2751 (2010), </w:t>
      </w:r>
      <w:hyperlink r:id="rId47" w:history="1">
        <w:r w:rsidRPr="00667236">
          <w:rPr>
            <w:rStyle w:val="Hyperlink"/>
            <w:rFonts w:eastAsia="Calibri" w:cs="Arial"/>
          </w:rPr>
          <w:t>http://hraunfoss.fcc.gov/edocs_public/attachmatch/DOC-303939A1.doc</w:t>
        </w:r>
      </w:hyperlink>
      <w:r w:rsidRPr="00707E96">
        <w:rPr>
          <w:rFonts w:cs="Arial"/>
        </w:rPr>
        <w:t>.</w:t>
      </w:r>
    </w:p>
  </w:endnote>
  <w:endnote w:id="6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Section 508 of the Rehabilitation Act, as amended, 29 U.S.C. 794(d) (applies to electronic and information technology of federal departments and agencies).</w:t>
      </w:r>
    </w:p>
  </w:endnote>
  <w:endnote w:id="6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Vanessa Voltz, </w:t>
      </w:r>
      <w:r>
        <w:rPr>
          <w:rFonts w:cs="Arial"/>
        </w:rPr>
        <w:t>“</w:t>
      </w:r>
      <w:r w:rsidRPr="00707E96">
        <w:rPr>
          <w:rFonts w:cs="Arial"/>
        </w:rPr>
        <w:t>A Matter of Choice: Women with Disabilities, Sterilization, and Reproductive Autonomy in the Twenty-First Century,</w:t>
      </w:r>
      <w:r>
        <w:rPr>
          <w:rFonts w:cs="Arial"/>
        </w:rPr>
        <w:t>”</w:t>
      </w:r>
      <w:r w:rsidRPr="00707E96">
        <w:rPr>
          <w:rFonts w:cs="Arial"/>
        </w:rPr>
        <w:t xml:space="preserve"> </w:t>
      </w:r>
      <w:bookmarkStart w:id="28" w:name="9105-"/>
      <w:r w:rsidRPr="00707E96">
        <w:rPr>
          <w:rStyle w:val="Emphasis"/>
          <w:rFonts w:cs="Arial"/>
          <w:color w:val="000000"/>
        </w:rPr>
        <w:t>Women</w:t>
      </w:r>
      <w:r>
        <w:rPr>
          <w:rStyle w:val="Emphasis"/>
          <w:rFonts w:cs="Arial"/>
          <w:color w:val="000000"/>
        </w:rPr>
        <w:t>’</w:t>
      </w:r>
      <w:r w:rsidRPr="00707E96">
        <w:rPr>
          <w:rStyle w:val="Emphasis"/>
          <w:rFonts w:cs="Arial"/>
          <w:color w:val="000000"/>
        </w:rPr>
        <w:t xml:space="preserve">s Rights Law Reporter </w:t>
      </w:r>
      <w:r w:rsidRPr="00707E96">
        <w:rPr>
          <w:rStyle w:val="Emphasis"/>
          <w:rFonts w:cs="Arial"/>
          <w:i w:val="0"/>
          <w:color w:val="000000"/>
        </w:rPr>
        <w:t>203</w:t>
      </w:r>
      <w:bookmarkEnd w:id="28"/>
      <w:r w:rsidRPr="00707E96">
        <w:rPr>
          <w:rStyle w:val="Emphasis"/>
          <w:rFonts w:cs="Arial"/>
          <w:color w:val="000000"/>
        </w:rPr>
        <w:t xml:space="preserve"> </w:t>
      </w:r>
      <w:r w:rsidRPr="00707E96">
        <w:rPr>
          <w:rStyle w:val="Emphasis"/>
          <w:rFonts w:cs="Arial"/>
          <w:i w:val="0"/>
          <w:color w:val="000000"/>
        </w:rPr>
        <w:t>(Summer 2006).</w:t>
      </w:r>
    </w:p>
  </w:endnote>
  <w:endnote w:id="63">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Megan Kirshbaum, Daniel O. Taube, and Rosalind Lasian Baer, “Parents with Disabilities: Problems in Family Court Practice,” </w:t>
      </w:r>
      <w:r w:rsidRPr="0040377D">
        <w:rPr>
          <w:rFonts w:cs="Arial"/>
          <w:i/>
        </w:rPr>
        <w:t>Journal of the Center for Families, Children &amp; the Courts</w:t>
      </w:r>
      <w:r w:rsidRPr="0040377D">
        <w:rPr>
          <w:rFonts w:cs="Arial"/>
        </w:rPr>
        <w:t xml:space="preserve"> 4 (2003): 27–43.</w:t>
      </w:r>
    </w:p>
  </w:endnote>
  <w:endnote w:id="64">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Elizabeth Lightfoot, </w:t>
      </w:r>
      <w:r w:rsidRPr="0040377D">
        <w:rPr>
          <w:rFonts w:cs="Arial"/>
          <w:i/>
        </w:rPr>
        <w:t>The Inclusion of Disability as Grounds for Termination of Parental Rights in State Codes: Policy Research Brief</w:t>
      </w:r>
      <w:r w:rsidRPr="0040377D">
        <w:rPr>
          <w:rFonts w:cs="Arial"/>
        </w:rPr>
        <w:t xml:space="preserve"> (Minneapolis, MN: Research and Training Center on Community Living, 2006).</w:t>
      </w:r>
    </w:p>
  </w:endnote>
  <w:endnote w:id="65">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E. Callow, K. Buckland, and S. Jones, </w:t>
      </w:r>
      <w:r w:rsidRPr="00707E96">
        <w:rPr>
          <w:rFonts w:cs="Arial"/>
          <w:i/>
        </w:rPr>
        <w:t>The Disability Movement and a New Focus on Legislating Protection for Children in Families with Parental Disability</w:t>
      </w:r>
      <w:r w:rsidRPr="00707E96">
        <w:rPr>
          <w:rFonts w:cs="Arial"/>
        </w:rPr>
        <w:t xml:space="preserve"> (Berkeley: Through the Looking Glass, 2008); Amy De La Hunt,</w:t>
      </w:r>
      <w:r>
        <w:rPr>
          <w:rFonts w:cs="Arial"/>
        </w:rPr>
        <w:t xml:space="preserve"> “</w:t>
      </w:r>
      <w:r w:rsidRPr="00707E96">
        <w:rPr>
          <w:rFonts w:cs="Arial"/>
        </w:rPr>
        <w:t>A Victory for Parents with Disabilities in Missouri,</w:t>
      </w:r>
      <w:r>
        <w:rPr>
          <w:rFonts w:cs="Arial"/>
        </w:rPr>
        <w:t>”</w:t>
      </w:r>
      <w:r w:rsidRPr="00707E96">
        <w:rPr>
          <w:rFonts w:cs="Arial"/>
        </w:rPr>
        <w:t xml:space="preserve"> </w:t>
      </w:r>
      <w:r w:rsidRPr="00707E96">
        <w:rPr>
          <w:rFonts w:cs="Arial"/>
          <w:i/>
        </w:rPr>
        <w:t>St. Louis Kids Magazine</w:t>
      </w:r>
      <w:r w:rsidRPr="00707E96">
        <w:rPr>
          <w:rFonts w:cs="Arial"/>
        </w:rPr>
        <w:t xml:space="preserve"> (2011), </w:t>
      </w:r>
      <w:hyperlink r:id="rId48" w:history="1">
        <w:r w:rsidRPr="00707E96">
          <w:rPr>
            <w:rStyle w:val="Hyperlink"/>
            <w:rFonts w:eastAsia="Calibri" w:cs="Arial"/>
          </w:rPr>
          <w:t>http://www.stlouiskidsmagazine.com/story/victory-parents-disabilities-missouri</w:t>
        </w:r>
      </w:hyperlink>
      <w:r w:rsidRPr="00707E96">
        <w:rPr>
          <w:rFonts w:cs="Arial"/>
        </w:rPr>
        <w:t>.</w:t>
      </w:r>
    </w:p>
  </w:endnote>
  <w:endnote w:id="66">
    <w:p w:rsidR="00A12CA5" w:rsidRPr="00707E96" w:rsidRDefault="00A12CA5" w:rsidP="00B0519B">
      <w:pPr>
        <w:pStyle w:val="EndnoteText"/>
        <w:rPr>
          <w:rFonts w:cs="Arial"/>
        </w:rPr>
      </w:pPr>
      <w:r w:rsidRPr="00667236">
        <w:rPr>
          <w:rStyle w:val="EndnoteReference"/>
          <w:sz w:val="20"/>
        </w:rPr>
        <w:endnoteRef/>
      </w:r>
      <w:r w:rsidRPr="00707E96">
        <w:rPr>
          <w:rFonts w:cs="Arial"/>
        </w:rPr>
        <w:t xml:space="preserve"> </w:t>
      </w:r>
      <w:r>
        <w:rPr>
          <w:rFonts w:cs="Arial"/>
        </w:rPr>
        <w:t>“</w:t>
      </w:r>
      <w:bookmarkStart w:id="32" w:name="OLE_LINK39"/>
      <w:bookmarkStart w:id="33" w:name="OLE_LINK40"/>
      <w:r w:rsidRPr="00707E96">
        <w:rPr>
          <w:rFonts w:cs="Arial"/>
        </w:rPr>
        <w:t>Federal Education Legislation Enacted in 1994: An Evaluation of Implementation and Impact Executive Summary</w:t>
      </w:r>
      <w:bookmarkEnd w:id="32"/>
      <w:bookmarkEnd w:id="33"/>
      <w:r w:rsidRPr="00707E96">
        <w:rPr>
          <w:rFonts w:cs="Arial"/>
        </w:rPr>
        <w:t>,</w:t>
      </w:r>
      <w:r>
        <w:rPr>
          <w:rFonts w:cs="Arial"/>
        </w:rPr>
        <w:t>”</w:t>
      </w:r>
      <w:r w:rsidRPr="00707E96">
        <w:rPr>
          <w:rFonts w:cs="Arial"/>
        </w:rPr>
        <w:t xml:space="preserve"> </w:t>
      </w:r>
      <w:bookmarkStart w:id="34" w:name="OLE_LINK37"/>
      <w:bookmarkStart w:id="35" w:name="OLE_LINK38"/>
      <w:r w:rsidRPr="00707E96">
        <w:rPr>
          <w:rFonts w:cs="Arial"/>
        </w:rPr>
        <w:t xml:space="preserve">U.S. Department of Education, Office of the Under Secretary, Planning and Evaluation Service, accessed July 19, 2011, </w:t>
      </w:r>
      <w:hyperlink r:id="rId49" w:history="1">
        <w:r>
          <w:rPr>
            <w:rStyle w:val="Hyperlink"/>
            <w:rFonts w:eastAsia="Calibri"/>
          </w:rPr>
          <w:t>http://www2.ed.gov/offices/OUS/PES/1994legislation.html</w:t>
        </w:r>
      </w:hyperlink>
      <w:bookmarkEnd w:id="34"/>
      <w:bookmarkEnd w:id="35"/>
      <w:r w:rsidRPr="00707E96">
        <w:rPr>
          <w:rFonts w:cs="Arial"/>
        </w:rPr>
        <w:t xml:space="preserve">. </w:t>
      </w:r>
    </w:p>
  </w:endnote>
  <w:endnote w:id="67">
    <w:p w:rsidR="00A12CA5" w:rsidRPr="00476B87" w:rsidRDefault="00A12CA5" w:rsidP="00B0519B">
      <w:pPr>
        <w:pStyle w:val="EndnoteText"/>
        <w:rPr>
          <w:rFonts w:cs="Arial"/>
        </w:rPr>
      </w:pPr>
      <w:r w:rsidRPr="00476B87">
        <w:rPr>
          <w:rStyle w:val="EndnoteReference"/>
          <w:sz w:val="20"/>
        </w:rPr>
        <w:endnoteRef/>
      </w:r>
      <w:r w:rsidRPr="00476B87">
        <w:rPr>
          <w:rFonts w:cs="Arial"/>
        </w:rPr>
        <w:t xml:space="preserve"> States without appropriate alternate assessments had been allowed, for purposes of determining adequate yearly progress (AYP), to use a proxy, counting as proficient the scores of that 2 percent of students, regardless of how they actually performed. See “All Means All,” </w:t>
      </w:r>
      <w:bookmarkStart w:id="36" w:name="OLE_LINK45"/>
      <w:bookmarkStart w:id="37" w:name="OLE_LINK46"/>
      <w:r w:rsidR="00A50A79" w:rsidRPr="00476B87">
        <w:rPr>
          <w:rStyle w:val="Hyperlink"/>
          <w:rFonts w:eastAsia="Calibri"/>
        </w:rPr>
        <w:fldChar w:fldCharType="begin"/>
      </w:r>
      <w:r w:rsidRPr="00476B87">
        <w:rPr>
          <w:rStyle w:val="Hyperlink"/>
          <w:rFonts w:eastAsia="Calibri"/>
        </w:rPr>
        <w:instrText xml:space="preserve"> HYPERLINK "http://www2.ed.gov/about/offices/list/osers/news.html" </w:instrText>
      </w:r>
      <w:r w:rsidR="00A50A79" w:rsidRPr="00476B87">
        <w:rPr>
          <w:rStyle w:val="Hyperlink"/>
          <w:rFonts w:eastAsia="Calibri"/>
        </w:rPr>
        <w:fldChar w:fldCharType="separate"/>
      </w:r>
      <w:r w:rsidRPr="00476B87">
        <w:rPr>
          <w:rStyle w:val="Hyperlink"/>
          <w:rFonts w:eastAsia="Calibri"/>
        </w:rPr>
        <w:t>http://www2.ed.gov/about/offices/list/osers/news.html</w:t>
      </w:r>
      <w:r w:rsidR="00A50A79" w:rsidRPr="00476B87">
        <w:rPr>
          <w:rStyle w:val="Hyperlink"/>
          <w:rFonts w:eastAsia="Calibri"/>
        </w:rPr>
        <w:fldChar w:fldCharType="end"/>
      </w:r>
      <w:bookmarkEnd w:id="36"/>
      <w:bookmarkEnd w:id="37"/>
      <w:r w:rsidRPr="00476B87">
        <w:rPr>
          <w:rStyle w:val="Hyperlink"/>
          <w:rFonts w:eastAsia="Calibri" w:cs="Arial"/>
          <w:color w:val="000000"/>
        </w:rPr>
        <w:t>.</w:t>
      </w:r>
    </w:p>
  </w:endnote>
  <w:endnote w:id="68">
    <w:p w:rsidR="00A12CA5" w:rsidRPr="00476B87" w:rsidRDefault="00A12CA5" w:rsidP="00B0519B">
      <w:pPr>
        <w:pStyle w:val="EndnoteText"/>
        <w:rPr>
          <w:rFonts w:cs="Arial"/>
          <w:bCs/>
        </w:rPr>
      </w:pPr>
      <w:r w:rsidRPr="00476B87">
        <w:rPr>
          <w:rStyle w:val="EndnoteReference"/>
          <w:sz w:val="20"/>
        </w:rPr>
        <w:endnoteRef/>
      </w:r>
      <w:r w:rsidRPr="00476B87">
        <w:rPr>
          <w:rFonts w:cs="Arial"/>
        </w:rPr>
        <w:t xml:space="preserve"> Jennifer Catz and Pat Mirenda, “</w:t>
      </w:r>
      <w:r w:rsidRPr="00476B87">
        <w:rPr>
          <w:rFonts w:cs="Arial"/>
          <w:bCs/>
        </w:rPr>
        <w:t xml:space="preserve">Including Students with Developmental Disabilities in General Education Classrooms: Educational Benefits,” </w:t>
      </w:r>
      <w:r w:rsidRPr="00476B87">
        <w:rPr>
          <w:rFonts w:cs="Arial"/>
          <w:bCs/>
          <w:i/>
        </w:rPr>
        <w:t>International Journal of Special Education</w:t>
      </w:r>
      <w:r w:rsidRPr="00476B87">
        <w:rPr>
          <w:rFonts w:cs="Arial"/>
          <w:bCs/>
        </w:rPr>
        <w:t xml:space="preserve"> 17, no. 2</w:t>
      </w:r>
      <w:r w:rsidRPr="00476B87">
        <w:rPr>
          <w:rFonts w:cs="Arial"/>
        </w:rPr>
        <w:t xml:space="preserve"> (2002): 14–24. </w:t>
      </w:r>
    </w:p>
  </w:endnote>
  <w:endnote w:id="69">
    <w:p w:rsidR="00A12CA5" w:rsidRPr="00476B87" w:rsidRDefault="00A12CA5" w:rsidP="00B0519B">
      <w:pPr>
        <w:pStyle w:val="EndnoteText"/>
        <w:rPr>
          <w:rFonts w:cs="Arial"/>
        </w:rPr>
      </w:pPr>
      <w:r w:rsidRPr="00476B87">
        <w:rPr>
          <w:rStyle w:val="EndnoteReference"/>
          <w:sz w:val="20"/>
        </w:rPr>
        <w:endnoteRef/>
      </w:r>
      <w:r w:rsidRPr="00476B87">
        <w:rPr>
          <w:rFonts w:cs="Arial"/>
        </w:rPr>
        <w:t xml:space="preserve"> Catz and Mirenda, “</w:t>
      </w:r>
      <w:r w:rsidRPr="00476B87">
        <w:rPr>
          <w:rFonts w:cs="Arial"/>
          <w:bCs/>
        </w:rPr>
        <w:t>Including Students with Developmental Disabilities in General Education Classrooms</w:t>
      </w:r>
      <w:r w:rsidRPr="00476B87">
        <w:rPr>
          <w:rFonts w:cs="Arial"/>
        </w:rPr>
        <w:t>.”</w:t>
      </w:r>
    </w:p>
  </w:endnote>
  <w:endnote w:id="7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hyperlink r:id="rId50" w:history="1">
        <w:r w:rsidRPr="00707E96">
          <w:rPr>
            <w:rStyle w:val="Hyperlink"/>
            <w:rFonts w:eastAsia="Calibri" w:cs="Arial"/>
          </w:rPr>
          <w:t>http://www2.ed.gov/policy/gen/leg/recovery/factsheet/idea.html</w:t>
        </w:r>
      </w:hyperlink>
      <w:r w:rsidRPr="00707E96">
        <w:rPr>
          <w:rFonts w:cs="Arial"/>
        </w:rPr>
        <w:t>.</w:t>
      </w:r>
    </w:p>
  </w:endnote>
  <w:endnote w:id="7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Recovery Act: Status of States</w:t>
      </w:r>
      <w:r>
        <w:rPr>
          <w:rFonts w:cs="Arial"/>
        </w:rPr>
        <w:t>’</w:t>
      </w:r>
      <w:r w:rsidRPr="00707E96">
        <w:rPr>
          <w:rFonts w:cs="Arial"/>
        </w:rPr>
        <w:t xml:space="preserve"> and Localities</w:t>
      </w:r>
      <w:r>
        <w:rPr>
          <w:rFonts w:cs="Arial"/>
        </w:rPr>
        <w:t>’</w:t>
      </w:r>
      <w:r w:rsidRPr="00707E96">
        <w:rPr>
          <w:rFonts w:cs="Arial"/>
        </w:rPr>
        <w:t xml:space="preserve"> Use of Funds and Efforts to Ensure Accountability (GAO 10-231)</w:t>
      </w:r>
      <w:r>
        <w:rPr>
          <w:rFonts w:cs="Arial"/>
        </w:rPr>
        <w:t>”</w:t>
      </w:r>
      <w:r w:rsidRPr="00707E96">
        <w:rPr>
          <w:rFonts w:cs="Arial"/>
        </w:rPr>
        <w:t xml:space="preserve"> (2009), Government Accountability Office, </w:t>
      </w:r>
      <w:hyperlink r:id="rId51" w:history="1">
        <w:r w:rsidRPr="00476B87">
          <w:rPr>
            <w:rStyle w:val="Hyperlink"/>
            <w:rFonts w:eastAsia="Calibri" w:cs="Arial"/>
          </w:rPr>
          <w:t>http://www.gao.gov/products/GAO-10-231</w:t>
        </w:r>
      </w:hyperlink>
      <w:r w:rsidRPr="00707E96">
        <w:rPr>
          <w:rFonts w:cs="Arial"/>
        </w:rPr>
        <w:t>.</w:t>
      </w:r>
    </w:p>
  </w:endnote>
  <w:endnote w:id="72">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U.S. Department of Education, Office of Special Education Programs</w:t>
      </w:r>
      <w:r w:rsidRPr="00707E96">
        <w:rPr>
          <w:rFonts w:cs="Arial"/>
          <w:i/>
        </w:rPr>
        <w:t>, Part C SPP/APR 2011 indicator analyses (FFY 2009-2010)</w:t>
      </w:r>
      <w:r w:rsidRPr="00707E96">
        <w:rPr>
          <w:rFonts w:cs="Arial"/>
        </w:rPr>
        <w:t xml:space="preserve"> (Washington, DC: U.S. Department of Education, forthcoming). </w:t>
      </w:r>
    </w:p>
  </w:endnote>
  <w:endnote w:id="73">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Outcomes for Children Served through IDEA</w:t>
      </w:r>
      <w:r>
        <w:rPr>
          <w:rFonts w:cs="Arial"/>
        </w:rPr>
        <w:t>’</w:t>
      </w:r>
      <w:r w:rsidRPr="00707E96">
        <w:rPr>
          <w:rFonts w:cs="Arial"/>
        </w:rPr>
        <w:t>s Early Childhood Programs,</w:t>
      </w:r>
      <w:r>
        <w:rPr>
          <w:rFonts w:cs="Arial"/>
        </w:rPr>
        <w:t>”</w:t>
      </w:r>
      <w:r w:rsidRPr="00707E96">
        <w:rPr>
          <w:rFonts w:cs="Arial"/>
        </w:rPr>
        <w:t xml:space="preserve"> Early Childhood Outcomes Center, </w:t>
      </w:r>
      <w:hyperlink r:id="rId52" w:history="1">
        <w:r w:rsidRPr="00707E96">
          <w:rPr>
            <w:rStyle w:val="Hyperlink"/>
            <w:rFonts w:eastAsia="Calibri" w:cs="Arial"/>
          </w:rPr>
          <w:t>http://www.fpg.unc.edu/~eco/assets/pdfs/outcomesforchildrenfinal.pdf</w:t>
        </w:r>
      </w:hyperlink>
      <w:r w:rsidRPr="00707E96">
        <w:rPr>
          <w:rFonts w:cs="Arial"/>
        </w:rPr>
        <w:t>.</w:t>
      </w:r>
    </w:p>
  </w:endnote>
  <w:endnote w:id="74">
    <w:p w:rsidR="00A12CA5" w:rsidRPr="00476B87" w:rsidRDefault="00A12CA5" w:rsidP="00B0519B">
      <w:pPr>
        <w:pStyle w:val="EndnoteText"/>
        <w:rPr>
          <w:rFonts w:cs="Arial"/>
        </w:rPr>
      </w:pPr>
      <w:r w:rsidRPr="00476B87">
        <w:rPr>
          <w:rStyle w:val="EndnoteReference"/>
          <w:sz w:val="20"/>
        </w:rPr>
        <w:endnoteRef/>
      </w:r>
      <w:r w:rsidRPr="00476B87">
        <w:rPr>
          <w:rFonts w:cs="Arial"/>
        </w:rPr>
        <w:t xml:space="preserve"> Centers for Disease Control and Prevention, 2011. </w:t>
      </w:r>
      <w:hyperlink r:id="rId53" w:history="1">
        <w:r w:rsidRPr="00851EFD">
          <w:rPr>
            <w:rStyle w:val="Hyperlink"/>
            <w:rFonts w:eastAsia="Calibri" w:cs="Arial"/>
          </w:rPr>
          <w:t>http://www.cdc.gov</w:t>
        </w:r>
      </w:hyperlink>
      <w:r w:rsidRPr="00476B87">
        <w:rPr>
          <w:rFonts w:cs="Arial"/>
        </w:rPr>
        <w:t>.</w:t>
      </w:r>
    </w:p>
  </w:endnote>
  <w:endnote w:id="75">
    <w:p w:rsidR="00A12CA5" w:rsidRPr="00476B87" w:rsidRDefault="00A12CA5" w:rsidP="00B0519B">
      <w:pPr>
        <w:pStyle w:val="EndnoteText"/>
        <w:rPr>
          <w:rFonts w:cs="Arial"/>
        </w:rPr>
      </w:pPr>
      <w:r w:rsidRPr="00476B87">
        <w:rPr>
          <w:rStyle w:val="EndnoteReference"/>
          <w:sz w:val="20"/>
        </w:rPr>
        <w:endnoteRef/>
      </w:r>
      <w:r w:rsidRPr="00476B87">
        <w:rPr>
          <w:rFonts w:cs="Arial"/>
        </w:rPr>
        <w:t xml:space="preserve"> Centers for Disease Control and Prevention, 2011. </w:t>
      </w:r>
      <w:hyperlink r:id="rId54" w:history="1">
        <w:r>
          <w:rPr>
            <w:rStyle w:val="Hyperlink"/>
            <w:rFonts w:eastAsia="Calibri" w:cs="Arial"/>
          </w:rPr>
          <w:t>http://www.cdc.gov</w:t>
        </w:r>
      </w:hyperlink>
      <w:r w:rsidRPr="00476B87">
        <w:rPr>
          <w:rFonts w:cs="Arial"/>
        </w:rPr>
        <w:t>.</w:t>
      </w:r>
    </w:p>
  </w:endnote>
  <w:endnote w:id="76">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Kate McKenna, </w:t>
      </w:r>
      <w:r>
        <w:rPr>
          <w:rFonts w:cs="Arial"/>
        </w:rPr>
        <w:t>“</w:t>
      </w:r>
      <w:r w:rsidRPr="00707E96">
        <w:rPr>
          <w:rFonts w:cs="Arial"/>
        </w:rPr>
        <w:t>Confronting the Autism Epidemic,</w:t>
      </w:r>
      <w:r>
        <w:rPr>
          <w:rFonts w:cs="Arial"/>
        </w:rPr>
        <w:t>”</w:t>
      </w:r>
      <w:r w:rsidRPr="00707E96">
        <w:rPr>
          <w:rFonts w:cs="Arial"/>
        </w:rPr>
        <w:t xml:space="preserve"> </w:t>
      </w:r>
      <w:r w:rsidRPr="00707E96">
        <w:rPr>
          <w:rFonts w:cs="Arial"/>
          <w:i/>
        </w:rPr>
        <w:t>Harvard Education Letter</w:t>
      </w:r>
      <w:r w:rsidRPr="00707E96">
        <w:rPr>
          <w:rFonts w:cs="Arial"/>
        </w:rPr>
        <w:t xml:space="preserve"> 23, no. 5 (September/October, 2007). </w:t>
      </w:r>
      <w:bookmarkStart w:id="48" w:name="OLE_LINK26"/>
      <w:r w:rsidR="00A50A79" w:rsidRPr="00707E96">
        <w:rPr>
          <w:rFonts w:cs="Arial"/>
        </w:rPr>
        <w:fldChar w:fldCharType="begin"/>
      </w:r>
      <w:r w:rsidRPr="00707E96">
        <w:rPr>
          <w:rFonts w:cs="Arial"/>
        </w:rPr>
        <w:instrText xml:space="preserve"> HYPERLINK "http://webcache.googleusercontent.com/search?q=cache:FVh7cHRHfjwJ:www.hepg.org/hel/article/219+ed.gov+early+intervention+demand+need+for&amp;cd=14&amp;hl=en&amp;ct=clnk&amp;gl=us" </w:instrText>
      </w:r>
      <w:r w:rsidR="00A50A79" w:rsidRPr="00707E96">
        <w:rPr>
          <w:rFonts w:cs="Arial"/>
        </w:rPr>
        <w:fldChar w:fldCharType="separate"/>
      </w:r>
      <w:r w:rsidRPr="00707E96">
        <w:rPr>
          <w:rStyle w:val="Hyperlink"/>
          <w:rFonts w:eastAsia="Calibri" w:cs="Arial"/>
        </w:rPr>
        <w:t>http://webcache.googleusercontent.com/search?q=cache:FVh7cHRHfjwJ:www.hepg.org/hel/article/219+ed.gov+early+intervention+demand+need+for&amp;cd=14&amp;hl=en&amp;ct=clnk&amp;gl=us</w:t>
      </w:r>
      <w:bookmarkEnd w:id="48"/>
      <w:r w:rsidR="00A50A79" w:rsidRPr="00707E96">
        <w:rPr>
          <w:rFonts w:cs="Arial"/>
        </w:rPr>
        <w:fldChar w:fldCharType="end"/>
      </w:r>
      <w:r w:rsidRPr="00707E96">
        <w:rPr>
          <w:rFonts w:cs="Arial"/>
        </w:rPr>
        <w:t>.</w:t>
      </w:r>
    </w:p>
  </w:endnote>
  <w:endnote w:id="7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Marissa D. Wise, Alison A. Little, Jamie Bruce Holliman, Paul H. Wise, and Jason C. Wang, </w:t>
      </w:r>
      <w:r>
        <w:rPr>
          <w:rFonts w:cs="Arial"/>
        </w:rPr>
        <w:t>“</w:t>
      </w:r>
      <w:r w:rsidRPr="00707E96">
        <w:rPr>
          <w:rFonts w:cs="Arial"/>
        </w:rPr>
        <w:t>Can State Early Intervention Programs Meet the Increased Demand of Children Suspected of Having Autism Spectrum Disorders?</w:t>
      </w:r>
      <w:r>
        <w:rPr>
          <w:rFonts w:cs="Arial"/>
        </w:rPr>
        <w:t>”</w:t>
      </w:r>
      <w:r w:rsidRPr="00707E96">
        <w:rPr>
          <w:rFonts w:cs="Arial"/>
        </w:rPr>
        <w:t xml:space="preserve"> </w:t>
      </w:r>
      <w:r w:rsidRPr="00707E96">
        <w:rPr>
          <w:rFonts w:cs="Arial"/>
          <w:i/>
        </w:rPr>
        <w:t>Journal of Developmental and Behavioral Pediatrics</w:t>
      </w:r>
      <w:r w:rsidRPr="00707E96">
        <w:rPr>
          <w:rFonts w:cs="Arial"/>
        </w:rPr>
        <w:t xml:space="preserve"> 31, no. 6 (2010): 469–76. </w:t>
      </w:r>
      <w:hyperlink r:id="rId55" w:history="1">
        <w:r w:rsidRPr="00707E96">
          <w:rPr>
            <w:rStyle w:val="Hyperlink"/>
            <w:rFonts w:eastAsia="Calibri" w:cs="Arial"/>
          </w:rPr>
          <w:t>http://journals.lww.com/jrnldbp/Abstract/2010/07000/Can_State_Early_Intervention_Programs_Meet_the.2.aspx</w:t>
        </w:r>
      </w:hyperlink>
      <w:r w:rsidRPr="00707E96">
        <w:rPr>
          <w:rFonts w:cs="Arial"/>
        </w:rPr>
        <w:t>.</w:t>
      </w:r>
    </w:p>
  </w:endnote>
  <w:endnote w:id="78">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w:t>
      </w:r>
      <w:r>
        <w:rPr>
          <w:rFonts w:cs="Arial"/>
        </w:rPr>
        <w:t>“</w:t>
      </w:r>
      <w:r w:rsidRPr="00707E96">
        <w:rPr>
          <w:rFonts w:cs="Arial"/>
        </w:rPr>
        <w:t>Report to Congress on Activities Related to Autism Spectrum Disorder and Other Developmental Disabilities under the Combating Autism Act of 2006,</w:t>
      </w:r>
      <w:r>
        <w:rPr>
          <w:rFonts w:cs="Arial"/>
        </w:rPr>
        <w:t>”</w:t>
      </w:r>
      <w:r w:rsidRPr="00707E96">
        <w:rPr>
          <w:rFonts w:cs="Arial"/>
        </w:rPr>
        <w:t xml:space="preserve"> U.S. Department of Health and Human Services, Interagency Autism Coordinating Committee, </w:t>
      </w:r>
      <w:hyperlink r:id="rId56" w:history="1">
        <w:r w:rsidRPr="00476B87">
          <w:rPr>
            <w:rStyle w:val="Hyperlink"/>
            <w:rFonts w:eastAsia="Calibri" w:cs="Arial"/>
          </w:rPr>
          <w:t>http://iacc.hhs.gov/reports/reports-to-congress/FY2006-2009/index.shtml</w:t>
        </w:r>
      </w:hyperlink>
      <w:r w:rsidRPr="00707E96">
        <w:rPr>
          <w:rFonts w:cs="Arial"/>
        </w:rPr>
        <w:t>.</w:t>
      </w:r>
    </w:p>
  </w:endnote>
  <w:endnote w:id="79">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“Transition and Postsecondary Programs for Students with Intellectual Disabilities: Legislation, Regulations, and Guidance,” U.S. Department of Education, </w:t>
      </w:r>
      <w:hyperlink r:id="rId57" w:history="1">
        <w:r w:rsidRPr="0040377D">
          <w:rPr>
            <w:rStyle w:val="Hyperlink"/>
            <w:rFonts w:eastAsia="Calibri"/>
          </w:rPr>
          <w:t>http://www2.ed.gov/programs/tpsid/legislation.html</w:t>
        </w:r>
      </w:hyperlink>
      <w:r w:rsidRPr="0040377D">
        <w:rPr>
          <w:rFonts w:cs="Arial"/>
        </w:rPr>
        <w:t>.</w:t>
      </w:r>
    </w:p>
  </w:endnote>
  <w:endnote w:id="80">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U.S. Census Bureau’s 2005-2009 American Community Survey data estimate that 84.6 percent of the country’s general population of people 25 years and over completed high school. </w:t>
      </w:r>
    </w:p>
  </w:endnote>
  <w:endnote w:id="81">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Robert E. Cimera, “The Cost-Trends of Supported Employment Versus Sheltered Employment,” </w:t>
      </w:r>
      <w:r w:rsidRPr="0040377D">
        <w:rPr>
          <w:rFonts w:cs="Arial"/>
          <w:i/>
        </w:rPr>
        <w:t>Journal of Vocational Rehabilitation</w:t>
      </w:r>
      <w:r w:rsidRPr="0040377D">
        <w:rPr>
          <w:rFonts w:cs="Arial"/>
        </w:rPr>
        <w:t xml:space="preserve"> 28, no. 1 (2008): 15–20.</w:t>
      </w:r>
    </w:p>
  </w:endnote>
  <w:endnote w:id="82">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Cimera, “The Cost-Trends of Supported Employment Versus Sheltered Employment.” </w:t>
      </w:r>
    </w:p>
  </w:endnote>
  <w:endnote w:id="83">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Bonnie B. Carter and Vicky G. Spencer, “The Fear Factor: Bullying and Students with</w:t>
      </w:r>
      <w:r w:rsidRPr="0040377D">
        <w:rPr>
          <w:rFonts w:cs="Arial"/>
        </w:rPr>
        <w:br/>
        <w:t xml:space="preserve">Disabilities,” </w:t>
      </w:r>
      <w:r w:rsidRPr="0040377D">
        <w:rPr>
          <w:rFonts w:cs="Arial"/>
          <w:i/>
        </w:rPr>
        <w:t>International Journal of Special Education</w:t>
      </w:r>
      <w:r w:rsidRPr="0040377D">
        <w:rPr>
          <w:rFonts w:cs="Arial"/>
        </w:rPr>
        <w:t xml:space="preserve"> 21, no. 1 (2006): 11–23. Retrieved December 18, 2010, from </w:t>
      </w:r>
      <w:hyperlink r:id="rId58" w:history="1">
        <w:r w:rsidRPr="0040377D">
          <w:rPr>
            <w:rStyle w:val="Hyperlink"/>
            <w:rFonts w:eastAsia="Calibri"/>
          </w:rPr>
          <w:t>http://www.forockids.org/PDF Docs/Bullying.pdf</w:t>
        </w:r>
      </w:hyperlink>
      <w:r w:rsidRPr="0040377D">
        <w:rPr>
          <w:rFonts w:cs="Arial"/>
        </w:rPr>
        <w:t>.</w:t>
      </w:r>
    </w:p>
  </w:endnote>
  <w:endnote w:id="84">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Whitney I. Smith et al., “Bullying and Children with Special Educational Needs,” in </w:t>
      </w:r>
      <w:r w:rsidRPr="0040377D">
        <w:rPr>
          <w:rFonts w:cs="Arial"/>
          <w:i/>
        </w:rPr>
        <w:t>School Bullying: Insights and Perspectives</w:t>
      </w:r>
      <w:r w:rsidRPr="0040377D">
        <w:rPr>
          <w:rFonts w:cs="Arial"/>
        </w:rPr>
        <w:t>, ed. P. K. Smith and S. Sharp (London: Routledge, 1994).</w:t>
      </w:r>
    </w:p>
  </w:endnote>
  <w:endnote w:id="85">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M. Martlew and J. Hodson (1991). Children with Mild Learning Difficulties in an Integrated and in a Special School: Comparisons of Behaviour, Teasing and Teachers’ Attitudes, </w:t>
      </w:r>
      <w:r w:rsidRPr="0040377D">
        <w:rPr>
          <w:rFonts w:cs="Arial"/>
          <w:i/>
        </w:rPr>
        <w:t>British Journal of Educational Psychology</w:t>
      </w:r>
      <w:r w:rsidRPr="0040377D">
        <w:rPr>
          <w:rFonts w:cs="Arial"/>
        </w:rPr>
        <w:t xml:space="preserve">, 61: 355–72. </w:t>
      </w:r>
    </w:p>
  </w:endnote>
  <w:endnote w:id="86">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A. Siebecker, S. Swearer, and J. Lieske, “Risky Business: Bullying and Students with Disabilities” (poster presented at the annual meeting of the National Association of School Psychologists, Atlanta, GA, March 2005). Retrieved December 21, 2010, </w:t>
      </w:r>
      <w:hyperlink r:id="rId59" w:history="1">
        <w:r w:rsidRPr="0040377D">
          <w:rPr>
            <w:rStyle w:val="Hyperlink"/>
            <w:rFonts w:eastAsia="Calibri" w:cs="Arial"/>
          </w:rPr>
          <w:t>http://www.targetbully.com/uploads/NASP2005.Siebecker.ppt</w:t>
        </w:r>
      </w:hyperlink>
      <w:r w:rsidRPr="0040377D">
        <w:rPr>
          <w:rFonts w:cs="Arial"/>
        </w:rPr>
        <w:t xml:space="preserve">; Anthony Petrosino, Sarah Guckenburg, Jill DeVoe, and Thomas Hanson, </w:t>
      </w:r>
      <w:r w:rsidRPr="0040377D">
        <w:rPr>
          <w:rFonts w:cs="Arial"/>
          <w:i/>
          <w:iCs/>
        </w:rPr>
        <w:t xml:space="preserve">What Characteristics of Bullying, Bullying Victims, and Schools Are Associated with Increased Reporting of Bullying to School Officials? </w:t>
      </w:r>
      <w:r w:rsidRPr="0040377D">
        <w:rPr>
          <w:rFonts w:cs="Arial"/>
          <w:iCs/>
        </w:rPr>
        <w:t>(</w:t>
      </w:r>
      <w:r w:rsidRPr="0040377D">
        <w:rPr>
          <w:rFonts w:cs="Arial"/>
        </w:rPr>
        <w:t xml:space="preserve">Washington, DC: U.S. Department of Education, Institute of Education Sciences, National Center for Education Evaluation and Regional Assistance, Regional Educational Laboratory Northeast and Islands, 2010). Retrieved December 19, 2010, from </w:t>
      </w:r>
      <w:hyperlink r:id="rId60" w:history="1">
        <w:r w:rsidRPr="0040377D">
          <w:rPr>
            <w:rStyle w:val="Hyperlink"/>
            <w:rFonts w:eastAsia="Calibri"/>
          </w:rPr>
          <w:t>http://ies.ed.gov/ncee/edlabs/regions/northeast/pdf/REL_2010092.pdf</w:t>
        </w:r>
      </w:hyperlink>
      <w:r w:rsidRPr="0040377D">
        <w:rPr>
          <w:rFonts w:cs="Arial"/>
        </w:rPr>
        <w:t>.</w:t>
      </w:r>
    </w:p>
  </w:endnote>
  <w:endnote w:id="87">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“Dickson Mother Says Bullying Went Too Far,” </w:t>
      </w:r>
      <w:hyperlink r:id="rId61" w:history="1">
        <w:r w:rsidRPr="0040377D">
          <w:rPr>
            <w:rStyle w:val="Hyperlink"/>
            <w:rFonts w:eastAsia="Calibri"/>
          </w:rPr>
          <w:t>http://www.kten.com/story/12298701/dickson-mother-says-bullying-went-too-far?redirected=true</w:t>
        </w:r>
      </w:hyperlink>
      <w:r w:rsidRPr="0040377D">
        <w:rPr>
          <w:rFonts w:cs="Arial"/>
        </w:rPr>
        <w:t>.</w:t>
      </w:r>
    </w:p>
  </w:endnote>
  <w:endnote w:id="88">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“Departments of Education and Justice Reach Agreement with Owatonna, Minn., Public Schools to Resolve Harassment Allegations,” April 12, 2011, </w:t>
      </w:r>
      <w:hyperlink r:id="rId62" w:history="1">
        <w:r w:rsidRPr="0040377D">
          <w:rPr>
            <w:rStyle w:val="Hyperlink"/>
            <w:rFonts w:eastAsia="Calibri"/>
          </w:rPr>
          <w:t>http://www.ed.gov/news/press-releases/departments-education-and-justice-reach-agreement-owatonna-minn-public-schools-r</w:t>
        </w:r>
      </w:hyperlink>
      <w:r w:rsidRPr="0040377D">
        <w:rPr>
          <w:rFonts w:cs="Arial"/>
        </w:rPr>
        <w:t>.</w:t>
      </w:r>
    </w:p>
  </w:endnote>
  <w:endnote w:id="89">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“Dear Colleague Letter,” U.S. Department of Education, Office for Civil Rights, </w:t>
      </w:r>
      <w:hyperlink r:id="rId63" w:history="1">
        <w:r w:rsidRPr="0040377D">
          <w:rPr>
            <w:rStyle w:val="Hyperlink"/>
            <w:rFonts w:eastAsia="Calibri"/>
          </w:rPr>
          <w:t>http://www2.ed.gov/about/offices/list/ocr/letters/colleague-201010.html</w:t>
        </w:r>
      </w:hyperlink>
      <w:r w:rsidRPr="0040377D">
        <w:rPr>
          <w:rFonts w:cs="Arial"/>
          <w:i/>
        </w:rPr>
        <w:t>.</w:t>
      </w:r>
    </w:p>
  </w:endnote>
  <w:endnote w:id="90">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J. Young, A. Ne’eman, and S. Gelser, </w:t>
      </w:r>
      <w:r w:rsidRPr="0040377D">
        <w:rPr>
          <w:rFonts w:cs="Arial"/>
          <w:i/>
        </w:rPr>
        <w:t>Briefing Paper: Bullying and Students with Disabilities</w:t>
      </w:r>
      <w:r w:rsidRPr="0040377D">
        <w:rPr>
          <w:rFonts w:cs="Arial"/>
        </w:rPr>
        <w:t xml:space="preserve"> (Washington, DC: National Council on Disability, 2011). Written for the White House Conference on Bullying Prevention.</w:t>
      </w:r>
    </w:p>
  </w:endnote>
  <w:endnote w:id="91">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L.K. v. New York City Dept. of Education, 10 CV 00752 (S.D. N.Y.).</w:t>
      </w:r>
    </w:p>
  </w:endnote>
  <w:endnote w:id="92">
    <w:p w:rsidR="00A12CA5" w:rsidRPr="0040377D" w:rsidRDefault="00A12CA5" w:rsidP="00B0519B">
      <w:pPr>
        <w:pStyle w:val="EndnoteText"/>
        <w:rPr>
          <w:rFonts w:cs="Arial"/>
          <w:i/>
        </w:rPr>
      </w:pPr>
      <w:r w:rsidRPr="0040377D">
        <w:rPr>
          <w:rStyle w:val="EndnoteReference"/>
          <w:sz w:val="20"/>
        </w:rPr>
        <w:endnoteRef/>
      </w:r>
      <w:r w:rsidRPr="0040377D">
        <w:rPr>
          <w:rFonts w:cs="Arial"/>
        </w:rPr>
        <w:t xml:space="preserve"> “SPLC Launches School to Prison Reform Project to Help At-Risk Children Get Special Education Services, Avoid Incarceration’’</w:t>
      </w:r>
      <w:r w:rsidRPr="0040377D">
        <w:rPr>
          <w:rFonts w:cs="Arial"/>
          <w:i/>
        </w:rPr>
        <w:t xml:space="preserve"> </w:t>
      </w:r>
      <w:r w:rsidRPr="0040377D">
        <w:rPr>
          <w:rFonts w:cs="Arial"/>
        </w:rPr>
        <w:t>(2007),</w:t>
      </w:r>
      <w:r w:rsidRPr="0040377D">
        <w:rPr>
          <w:rFonts w:cs="Arial"/>
          <w:i/>
        </w:rPr>
        <w:t xml:space="preserve"> </w:t>
      </w:r>
      <w:r w:rsidRPr="0040377D">
        <w:rPr>
          <w:rFonts w:cs="Arial"/>
        </w:rPr>
        <w:t xml:space="preserve">Southern Poverty Law Center, </w:t>
      </w:r>
      <w:hyperlink r:id="rId64" w:history="1">
        <w:r w:rsidRPr="0040377D">
          <w:rPr>
            <w:rStyle w:val="Hyperlink"/>
            <w:rFonts w:eastAsia="Calibri" w:cs="Arial"/>
          </w:rPr>
          <w:t>http://www.splcenter.org/get-informed/news/splc-launches-school-to-prison-reform-project-to-help-at-risk-children-get-special</w:t>
        </w:r>
      </w:hyperlink>
      <w:r w:rsidRPr="0040377D">
        <w:rPr>
          <w:rFonts w:cs="Arial"/>
        </w:rPr>
        <w:t xml:space="preserve">. </w:t>
      </w:r>
    </w:p>
  </w:endnote>
  <w:endnote w:id="93">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“SPLC Launches School to Prison Reform Project.”</w:t>
      </w:r>
    </w:p>
  </w:endnote>
  <w:endnote w:id="94">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Doris J. James and Lauren E. Glaze, </w:t>
      </w:r>
      <w:r w:rsidRPr="0040377D">
        <w:rPr>
          <w:rFonts w:cs="Arial"/>
          <w:i/>
        </w:rPr>
        <w:t>Bureau of Justice Statistics Special Report: Mental Health Problems of Prison and Jail Inmates</w:t>
      </w:r>
      <w:r w:rsidRPr="0040377D">
        <w:rPr>
          <w:rFonts w:cs="Arial"/>
        </w:rPr>
        <w:t xml:space="preserve"> (Washington, DC: U.S. Department of Justice, 2006).</w:t>
      </w:r>
    </w:p>
  </w:endnote>
  <w:endnote w:id="95">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James and Glaze, </w:t>
      </w:r>
      <w:r w:rsidRPr="0040377D">
        <w:rPr>
          <w:rFonts w:cs="Arial"/>
          <w:i/>
        </w:rPr>
        <w:t>Bureau of Justice Statistics Special Report.</w:t>
      </w:r>
    </w:p>
  </w:endnote>
  <w:endnote w:id="96">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Jean Stewart and Marta Russell, “Disablement, Prison, and Historical Segregation,” </w:t>
      </w:r>
      <w:r w:rsidRPr="0040377D">
        <w:rPr>
          <w:rFonts w:cs="Arial"/>
          <w:i/>
        </w:rPr>
        <w:t>Monthly Review</w:t>
      </w:r>
      <w:r w:rsidRPr="0040377D">
        <w:rPr>
          <w:rFonts w:cs="Arial"/>
        </w:rPr>
        <w:t xml:space="preserve"> 53, no. 3 (2001). </w:t>
      </w:r>
      <w:hyperlink r:id="rId65" w:history="1">
        <w:r w:rsidRPr="0040377D">
          <w:rPr>
            <w:rStyle w:val="Hyperlink"/>
            <w:rFonts w:eastAsia="Calibri" w:cs="Arial"/>
          </w:rPr>
          <w:t>http://monthlyreview.org/2001/07/01/disablement-prison-and-historical-segregation</w:t>
        </w:r>
      </w:hyperlink>
      <w:r w:rsidRPr="0040377D">
        <w:rPr>
          <w:rFonts w:cs="Arial"/>
        </w:rPr>
        <w:t>.</w:t>
      </w:r>
    </w:p>
  </w:endnote>
  <w:endnote w:id="97">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Jessie L. Krienert, Martha L. Henderson, and Donna V. Vandiver, </w:t>
      </w:r>
      <w:r>
        <w:rPr>
          <w:rFonts w:cs="Arial"/>
        </w:rPr>
        <w:t>“</w:t>
      </w:r>
      <w:r w:rsidRPr="00707E96">
        <w:rPr>
          <w:rFonts w:cs="Arial"/>
        </w:rPr>
        <w:t>Inmates with Physical Disabilities: Establishing a Knowledge Base,</w:t>
      </w:r>
      <w:r>
        <w:rPr>
          <w:rFonts w:cs="Arial"/>
        </w:rPr>
        <w:t>”</w:t>
      </w:r>
      <w:r w:rsidRPr="00707E96">
        <w:rPr>
          <w:rFonts w:cs="Arial"/>
        </w:rPr>
        <w:t xml:space="preserve"> </w:t>
      </w:r>
      <w:r w:rsidRPr="00707E96">
        <w:rPr>
          <w:rFonts w:cs="Arial"/>
          <w:i/>
          <w:color w:val="222222"/>
        </w:rPr>
        <w:t>Southwest Journal of Criminal Justice</w:t>
      </w:r>
      <w:r w:rsidRPr="00707E96">
        <w:rPr>
          <w:rFonts w:cs="Arial"/>
          <w:color w:val="222222"/>
        </w:rPr>
        <w:t xml:space="preserve"> 1, no. 1 (2003): </w:t>
      </w:r>
      <w:r w:rsidRPr="00707E96">
        <w:rPr>
          <w:rFonts w:cs="Arial"/>
        </w:rPr>
        <w:t>13–23.</w:t>
      </w:r>
    </w:p>
  </w:endnote>
  <w:endnote w:id="98">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Second Chance Act of 2007: Community Safety Through Recidivism Prevention, Pub. L. No. 110-199, 122 Stat. 657 (2007).</w:t>
      </w:r>
    </w:p>
  </w:endnote>
  <w:endnote w:id="99">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U.S. Equal Employment Opportunity Commission, </w:t>
      </w:r>
      <w:r w:rsidRPr="00707E96">
        <w:rPr>
          <w:rFonts w:cs="Arial"/>
          <w:i/>
        </w:rPr>
        <w:t>Americans with Disabilities Act of 1990 (ADA) Charges</w:t>
      </w:r>
      <w:r w:rsidRPr="00707E96">
        <w:rPr>
          <w:rFonts w:cs="Arial"/>
        </w:rPr>
        <w:t xml:space="preserve"> (Washington, DC: U.S. Equal Employment Opportunity Commission, 2011).</w:t>
      </w:r>
    </w:p>
  </w:endnote>
  <w:endnote w:id="100">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U.S. Equal Employment Opportunity Commission, </w:t>
      </w:r>
      <w:r w:rsidRPr="00707E96">
        <w:rPr>
          <w:rFonts w:cs="Arial"/>
          <w:i/>
        </w:rPr>
        <w:t>Americans with Disabilities Act of 1990 (ADA) Charges</w:t>
      </w:r>
      <w:r w:rsidRPr="00707E96">
        <w:rPr>
          <w:rFonts w:cs="Arial"/>
        </w:rPr>
        <w:t>.</w:t>
      </w:r>
    </w:p>
  </w:endnote>
  <w:endnote w:id="101">
    <w:p w:rsidR="00A12CA5" w:rsidRPr="00707E96" w:rsidRDefault="00A12CA5" w:rsidP="00B0519B">
      <w:pPr>
        <w:pStyle w:val="EndnoteText"/>
        <w:rPr>
          <w:rFonts w:cs="Arial"/>
        </w:rPr>
      </w:pPr>
      <w:r w:rsidRPr="00707E96">
        <w:rPr>
          <w:rStyle w:val="EndnoteReference"/>
          <w:sz w:val="20"/>
        </w:rPr>
        <w:endnoteRef/>
      </w:r>
      <w:r w:rsidRPr="00707E96">
        <w:rPr>
          <w:rFonts w:cs="Arial"/>
        </w:rPr>
        <w:t xml:space="preserve"> Exec. Order No. 13548, </w:t>
      </w:r>
      <w:r>
        <w:rPr>
          <w:rFonts w:cs="Arial"/>
        </w:rPr>
        <w:t>“</w:t>
      </w:r>
      <w:r w:rsidRPr="00707E96">
        <w:rPr>
          <w:rFonts w:cs="Arial"/>
        </w:rPr>
        <w:t>Increasing Federal Employment of Individuals with Disabilities,</w:t>
      </w:r>
      <w:r>
        <w:rPr>
          <w:rFonts w:cs="Arial"/>
        </w:rPr>
        <w:t>”</w:t>
      </w:r>
      <w:r w:rsidRPr="00707E96">
        <w:rPr>
          <w:rFonts w:cs="Arial"/>
        </w:rPr>
        <w:t xml:space="preserve"> Fed. Reg. </w:t>
      </w:r>
      <w:r w:rsidRPr="00707E96">
        <w:rPr>
          <w:rFonts w:cs="Arial"/>
          <w:color w:val="30302E"/>
        </w:rPr>
        <w:t xml:space="preserve">75 FR 45039 (July 30, 2010). </w:t>
      </w:r>
      <w:hyperlink r:id="rId66" w:history="1">
        <w:r w:rsidRPr="0040377D">
          <w:rPr>
            <w:rStyle w:val="Hyperlink"/>
            <w:rFonts w:eastAsia="Calibri" w:cs="Arial"/>
          </w:rPr>
          <w:t>http://www.whitehouse.gov/the-press-office/executive-order-increasing-federal-employment-individuals-with-disabilities</w:t>
        </w:r>
      </w:hyperlink>
      <w:r w:rsidRPr="00707E96">
        <w:rPr>
          <w:rFonts w:cs="Arial"/>
        </w:rPr>
        <w:t xml:space="preserve">. </w:t>
      </w:r>
    </w:p>
  </w:endnote>
  <w:endnote w:id="102">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U.S. Department of Labor, Bureau of Labor Statistics, </w:t>
      </w:r>
      <w:r w:rsidRPr="0040377D">
        <w:rPr>
          <w:rFonts w:cs="Arial"/>
          <w:i/>
        </w:rPr>
        <w:t>Current Population Survey, Employment Situation: 2011</w:t>
      </w:r>
      <w:r w:rsidRPr="0040377D">
        <w:rPr>
          <w:rFonts w:cs="Arial"/>
        </w:rPr>
        <w:t xml:space="preserve"> (Washington, DC: U.S. Department of Labor, Bureau of Labor Statistics, 2011).</w:t>
      </w:r>
    </w:p>
  </w:endnote>
  <w:endnote w:id="103">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David Stapleton and Gina Livermore, </w:t>
      </w:r>
      <w:r w:rsidRPr="0040377D">
        <w:rPr>
          <w:rFonts w:cs="Arial"/>
          <w:bCs/>
          <w:i/>
        </w:rPr>
        <w:t xml:space="preserve">Costs, Cuts, and Consequences: Charting a New Course for Working-Age People with Disabilities </w:t>
      </w:r>
      <w:r w:rsidRPr="0040377D">
        <w:rPr>
          <w:rFonts w:cs="Arial"/>
        </w:rPr>
        <w:t xml:space="preserve">(Princeton, NJ: Mathematica Policy Research, Center for Studying Disability Policy, 2010). </w:t>
      </w:r>
      <w:hyperlink r:id="rId67" w:history="1">
        <w:r w:rsidRPr="0040377D">
          <w:rPr>
            <w:rStyle w:val="Hyperlink"/>
            <w:rFonts w:eastAsia="Calibri" w:cs="Arial"/>
          </w:rPr>
          <w:t>http://links.mkt3889.com/ctt?kn=2&amp;ms=MTkzNTUyNwS2&amp;r=MTYzMDM4NDY4MQS2</w:t>
        </w:r>
      </w:hyperlink>
      <w:r w:rsidRPr="0040377D">
        <w:rPr>
          <w:rFonts w:cs="Arial"/>
        </w:rPr>
        <w:t>.</w:t>
      </w:r>
    </w:p>
  </w:endnote>
  <w:endnote w:id="104">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Stapleton and Livermore, </w:t>
      </w:r>
      <w:r w:rsidRPr="0040377D">
        <w:rPr>
          <w:rFonts w:cs="Arial"/>
          <w:bCs/>
          <w:i/>
        </w:rPr>
        <w:t>Costs, Cuts, and Consequences.</w:t>
      </w:r>
    </w:p>
  </w:endnote>
  <w:endnote w:id="105">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w:t>
      </w:r>
      <w:r w:rsidRPr="0040377D">
        <w:rPr>
          <w:rFonts w:cs="Arial"/>
          <w:iCs/>
        </w:rPr>
        <w:t>Jody Schimmel and David C. Stapleton,</w:t>
      </w:r>
      <w:r w:rsidRPr="0040377D">
        <w:rPr>
          <w:rFonts w:cs="Arial"/>
        </w:rPr>
        <w:t xml:space="preserve"> “</w:t>
      </w:r>
      <w:r w:rsidRPr="0040377D">
        <w:rPr>
          <w:rFonts w:cs="Arial"/>
          <w:bCs/>
        </w:rPr>
        <w:t>Disability Benefits Suspended or Terminated Because of Work,”</w:t>
      </w:r>
      <w:r w:rsidRPr="0040377D">
        <w:rPr>
          <w:rFonts w:cs="Arial"/>
          <w:i/>
          <w:iCs/>
        </w:rPr>
        <w:t xml:space="preserve"> </w:t>
      </w:r>
      <w:r w:rsidRPr="0040377D">
        <w:rPr>
          <w:rFonts w:cs="Arial"/>
          <w:i/>
        </w:rPr>
        <w:t>Social Security Bulletin</w:t>
      </w:r>
      <w:r w:rsidRPr="0040377D">
        <w:rPr>
          <w:rFonts w:cs="Arial"/>
        </w:rPr>
        <w:t xml:space="preserve"> 71, no. 3 (2011); </w:t>
      </w:r>
      <w:r w:rsidRPr="0040377D">
        <w:rPr>
          <w:rFonts w:cs="Arial"/>
          <w:i/>
          <w:iCs/>
        </w:rPr>
        <w:t xml:space="preserve">see </w:t>
      </w:r>
      <w:r w:rsidRPr="0040377D">
        <w:rPr>
          <w:rFonts w:cs="Arial"/>
        </w:rPr>
        <w:t>34 CFR § 361.36 (federal regulation governing who must receive vocational rehabilitation services).</w:t>
      </w:r>
    </w:p>
  </w:endnote>
  <w:endnote w:id="106">
    <w:p w:rsidR="00A12CA5" w:rsidRPr="0040377D" w:rsidRDefault="00A12CA5" w:rsidP="00B0519B">
      <w:pPr>
        <w:pStyle w:val="EndnoteText"/>
        <w:rPr>
          <w:rFonts w:cs="Arial"/>
        </w:rPr>
      </w:pPr>
      <w:r w:rsidRPr="0040377D">
        <w:rPr>
          <w:rStyle w:val="EndnoteReference"/>
          <w:sz w:val="20"/>
        </w:rPr>
        <w:endnoteRef/>
      </w:r>
      <w:r w:rsidRPr="0040377D">
        <w:rPr>
          <w:rFonts w:cs="Arial"/>
        </w:rPr>
        <w:t xml:space="preserve"> U.S. Census Bureau, </w:t>
      </w:r>
      <w:r w:rsidRPr="0040377D">
        <w:rPr>
          <w:rFonts w:cs="Arial"/>
          <w:i/>
        </w:rPr>
        <w:t>Current Population Survey</w:t>
      </w:r>
      <w:r w:rsidRPr="0040377D">
        <w:rPr>
          <w:rFonts w:cs="Arial"/>
        </w:rPr>
        <w:t xml:space="preserve"> (Washington, DC: U.S. Census Bureau).</w:t>
      </w:r>
    </w:p>
    <w:p w:rsidR="00A12CA5" w:rsidRPr="0068214A" w:rsidRDefault="00A12CA5" w:rsidP="00B0519B">
      <w:pPr>
        <w:pStyle w:val="EndnoteText"/>
        <w:rPr>
          <w:rFonts w:cs="Aria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Print">
    <w:altName w:val="Times New Roman"/>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Pr="007A3DC1" w:rsidRDefault="00A50A79" w:rsidP="000064D7">
    <w:pPr>
      <w:pStyle w:val="Footer"/>
      <w:jc w:val="center"/>
      <w:rPr>
        <w:rFonts w:cs="Arial"/>
      </w:rPr>
    </w:pPr>
    <w:r w:rsidRPr="007A3DC1">
      <w:rPr>
        <w:rFonts w:cs="Arial"/>
      </w:rPr>
      <w:fldChar w:fldCharType="begin"/>
    </w:r>
    <w:r w:rsidR="00A12CA5" w:rsidRPr="007A3DC1">
      <w:rPr>
        <w:rFonts w:cs="Arial"/>
      </w:rPr>
      <w:instrText xml:space="preserve"> PAGE   \* MERGEFORMAT </w:instrText>
    </w:r>
    <w:r w:rsidRPr="007A3DC1">
      <w:rPr>
        <w:rFonts w:cs="Arial"/>
      </w:rPr>
      <w:fldChar w:fldCharType="separate"/>
    </w:r>
    <w:r w:rsidR="006729FE">
      <w:rPr>
        <w:rFonts w:cs="Arial"/>
        <w:noProof/>
      </w:rPr>
      <w:t>2</w:t>
    </w:r>
    <w:r w:rsidRPr="007A3DC1">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Pr="007A3DC1" w:rsidRDefault="00A50A79" w:rsidP="00101C2D">
    <w:pPr>
      <w:pStyle w:val="Footer"/>
      <w:jc w:val="center"/>
      <w:rPr>
        <w:rFonts w:cs="Arial"/>
      </w:rPr>
    </w:pPr>
    <w:r w:rsidRPr="007A3DC1">
      <w:rPr>
        <w:rFonts w:cs="Arial"/>
      </w:rPr>
      <w:fldChar w:fldCharType="begin"/>
    </w:r>
    <w:r w:rsidR="00A12CA5" w:rsidRPr="007A3DC1">
      <w:rPr>
        <w:rFonts w:cs="Arial"/>
      </w:rPr>
      <w:instrText xml:space="preserve"> PAGE   \* MERGEFORMAT </w:instrText>
    </w:r>
    <w:r w:rsidRPr="007A3DC1">
      <w:rPr>
        <w:rFonts w:cs="Arial"/>
      </w:rPr>
      <w:fldChar w:fldCharType="separate"/>
    </w:r>
    <w:r w:rsidR="006729FE">
      <w:rPr>
        <w:rFonts w:cs="Arial"/>
        <w:noProof/>
      </w:rPr>
      <w:t>1</w:t>
    </w:r>
    <w:r w:rsidRPr="007A3DC1">
      <w:rPr>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Pr="007A3DC1" w:rsidRDefault="00A50A79">
    <w:pPr>
      <w:pStyle w:val="Footer"/>
      <w:jc w:val="center"/>
      <w:rPr>
        <w:rFonts w:cs="Arial"/>
      </w:rPr>
    </w:pPr>
    <w:r w:rsidRPr="007A3DC1">
      <w:rPr>
        <w:rFonts w:cs="Arial"/>
      </w:rPr>
      <w:fldChar w:fldCharType="begin"/>
    </w:r>
    <w:r w:rsidR="00A12CA5" w:rsidRPr="007A3DC1">
      <w:rPr>
        <w:rFonts w:cs="Arial"/>
      </w:rPr>
      <w:instrText xml:space="preserve"> PAGE   \* MERGEFORMAT </w:instrText>
    </w:r>
    <w:r w:rsidRPr="007A3DC1">
      <w:rPr>
        <w:rFonts w:cs="Arial"/>
      </w:rPr>
      <w:fldChar w:fldCharType="separate"/>
    </w:r>
    <w:r w:rsidR="006729FE">
      <w:rPr>
        <w:rFonts w:cs="Arial"/>
        <w:noProof/>
      </w:rPr>
      <w:t>13</w:t>
    </w:r>
    <w:r w:rsidRPr="007A3DC1">
      <w:rPr>
        <w:rFonts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Default="00A12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CA5" w:rsidRDefault="00A12CA5" w:rsidP="00B0519B">
      <w:pPr>
        <w:spacing w:after="0" w:line="240" w:lineRule="auto"/>
      </w:pPr>
      <w:r>
        <w:separator/>
      </w:r>
    </w:p>
  </w:footnote>
  <w:footnote w:type="continuationSeparator" w:id="0">
    <w:p w:rsidR="00A12CA5" w:rsidRDefault="00A12CA5" w:rsidP="00B0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Default="00A12CA5" w:rsidP="00101C2D">
    <w:pPr>
      <w:pStyle w:val="Header"/>
    </w:pPr>
  </w:p>
  <w:p w:rsidR="00A12CA5" w:rsidRDefault="00A12CA5" w:rsidP="00101C2D">
    <w:pPr>
      <w:pStyle w:val="Header"/>
    </w:pPr>
  </w:p>
  <w:p w:rsidR="00A12CA5" w:rsidRPr="007A7388" w:rsidRDefault="00A12CA5" w:rsidP="00101C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Default="00A12CA5" w:rsidP="00101C2D">
    <w:pPr>
      <w:pStyle w:val="Header"/>
      <w:spacing w:line="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Pr="007A7388" w:rsidRDefault="00A12CA5" w:rsidP="00101C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A5" w:rsidRDefault="00A12C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42308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5C93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71EE1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72A62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24B7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04E9D3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CB8F8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D4F2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95E5F9C"/>
    <w:lvl w:ilvl="0">
      <w:start w:val="1"/>
      <w:numFmt w:val="decimal"/>
      <w:pStyle w:val="ListNumber"/>
      <w:lvlText w:val="%1."/>
      <w:lvlJc w:val="left"/>
      <w:pPr>
        <w:tabs>
          <w:tab w:val="num" w:pos="360"/>
        </w:tabs>
        <w:ind w:left="360" w:hanging="360"/>
      </w:pPr>
    </w:lvl>
  </w:abstractNum>
  <w:abstractNum w:abstractNumId="9">
    <w:nsid w:val="FFFFFF89"/>
    <w:multiLevelType w:val="singleLevel"/>
    <w:tmpl w:val="1A3E2A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20B6148"/>
    <w:multiLevelType w:val="hybridMultilevel"/>
    <w:tmpl w:val="BFFE2D22"/>
    <w:lvl w:ilvl="0" w:tplc="BFBAD13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44C0D"/>
    <w:multiLevelType w:val="hybridMultilevel"/>
    <w:tmpl w:val="4C98EDE6"/>
    <w:lvl w:ilvl="0" w:tplc="760896DE">
      <w:start w:val="1"/>
      <w:numFmt w:val="bullet"/>
      <w:pStyle w:val="NCDBulletLast"/>
      <w:lvlText w:val="●"/>
      <w:lvlJc w:val="left"/>
      <w:pPr>
        <w:tabs>
          <w:tab w:val="num" w:pos="648"/>
        </w:tabs>
        <w:ind w:left="648" w:hanging="288"/>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5C3031"/>
    <w:multiLevelType w:val="hybridMultilevel"/>
    <w:tmpl w:val="FC505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D1376C0"/>
    <w:multiLevelType w:val="hybridMultilevel"/>
    <w:tmpl w:val="9E5E0F22"/>
    <w:lvl w:ilvl="0" w:tplc="8AE60FCE">
      <w:start w:val="1"/>
      <w:numFmt w:val="bullet"/>
      <w:pStyle w:val="NCD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744A75"/>
    <w:multiLevelType w:val="hybridMultilevel"/>
    <w:tmpl w:val="5A84E27E"/>
    <w:lvl w:ilvl="0" w:tplc="881ADEA4">
      <w:start w:val="1"/>
      <w:numFmt w:val="decimal"/>
      <w:lvlText w:val="%1."/>
      <w:lvlJc w:val="left"/>
      <w:pPr>
        <w:tabs>
          <w:tab w:val="num" w:pos="720"/>
        </w:tabs>
        <w:ind w:left="720" w:hanging="360"/>
      </w:pPr>
      <w:rPr>
        <w:color w:val="auto"/>
      </w:rPr>
    </w:lvl>
    <w:lvl w:ilvl="1" w:tplc="F9C4AAE8">
      <w:start w:val="1"/>
      <w:numFmt w:val="lowerLetter"/>
      <w:pStyle w:val="NCDAlphaListLast"/>
      <w:lvlText w:val="%2."/>
      <w:lvlJc w:val="left"/>
      <w:pPr>
        <w:tabs>
          <w:tab w:val="num" w:pos="1440"/>
        </w:tabs>
        <w:ind w:left="1440" w:hanging="360"/>
      </w:pPr>
      <w:rPr>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0A7D85"/>
    <w:multiLevelType w:val="hybridMultilevel"/>
    <w:tmpl w:val="7A88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949C7"/>
    <w:multiLevelType w:val="hybridMultilevel"/>
    <w:tmpl w:val="5B38E38C"/>
    <w:lvl w:ilvl="0" w:tplc="12C67C4E">
      <w:start w:val="1"/>
      <w:numFmt w:val="lowerLetter"/>
      <w:pStyle w:val="TableTextList2"/>
      <w:lvlText w:val="%1."/>
      <w:lvlJc w:val="left"/>
      <w:pPr>
        <w:ind w:left="720" w:hanging="360"/>
      </w:pPr>
      <w:rPr>
        <w:rFonts w:ascii="Arial" w:hAnsi="Arial" w:cs="Arial"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B82806"/>
    <w:multiLevelType w:val="hybridMultilevel"/>
    <w:tmpl w:val="ADE6F180"/>
    <w:lvl w:ilvl="0" w:tplc="45FE7128">
      <w:start w:val="1"/>
      <w:numFmt w:val="decimal"/>
      <w:pStyle w:val="TableTextList"/>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B0EDD"/>
    <w:multiLevelType w:val="hybridMultilevel"/>
    <w:tmpl w:val="09B6F44E"/>
    <w:lvl w:ilvl="0" w:tplc="8CAAE412">
      <w:start w:val="1"/>
      <w:numFmt w:val="bullet"/>
      <w:pStyle w:val="NCDBulletLetter"/>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CA211A"/>
    <w:multiLevelType w:val="hybridMultilevel"/>
    <w:tmpl w:val="FF2E1D9C"/>
    <w:lvl w:ilvl="0" w:tplc="47585310">
      <w:start w:val="1"/>
      <w:numFmt w:val="bullet"/>
      <w:pStyle w:val="NCDTable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891F5D"/>
    <w:multiLevelType w:val="hybridMultilevel"/>
    <w:tmpl w:val="8D0C7A90"/>
    <w:lvl w:ilvl="0" w:tplc="79BA7608">
      <w:start w:val="1"/>
      <w:numFmt w:val="bullet"/>
      <w:pStyle w:val="NCDBulletsUnderNumberedLis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B95E93"/>
    <w:multiLevelType w:val="hybridMultilevel"/>
    <w:tmpl w:val="07189DB0"/>
    <w:lvl w:ilvl="0" w:tplc="BFBAD13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04CDE"/>
    <w:multiLevelType w:val="hybridMultilevel"/>
    <w:tmpl w:val="DFB826FE"/>
    <w:lvl w:ilvl="0" w:tplc="4656E6F4">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0"/>
  </w:num>
  <w:num w:numId="4">
    <w:abstractNumId w:val="21"/>
  </w:num>
  <w:num w:numId="5">
    <w:abstractNumId w:val="14"/>
  </w:num>
  <w:num w:numId="6">
    <w:abstractNumId w:val="13"/>
  </w:num>
  <w:num w:numId="7">
    <w:abstractNumId w:val="11"/>
  </w:num>
  <w:num w:numId="8">
    <w:abstractNumId w:val="18"/>
  </w:num>
  <w:num w:numId="9">
    <w:abstractNumId w:val="20"/>
  </w:num>
  <w:num w:numId="10">
    <w:abstractNumId w:val="19"/>
  </w:num>
  <w:num w:numId="11">
    <w:abstractNumId w:val="15"/>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22"/>
  </w:num>
  <w:num w:numId="16">
    <w:abstractNumId w:val="17"/>
    <w:lvlOverride w:ilvl="0">
      <w:startOverride w:val="1"/>
    </w:lvlOverride>
  </w:num>
  <w:num w:numId="17">
    <w:abstractNumId w:val="16"/>
  </w:num>
  <w:num w:numId="18">
    <w:abstractNumId w:val="16"/>
    <w:lvlOverride w:ilvl="0">
      <w:startOverride w:val="1"/>
    </w:lvlOverride>
  </w:num>
  <w:num w:numId="19">
    <w:abstractNumId w:val="17"/>
    <w:lvlOverride w:ilvl="0">
      <w:startOverride w:val="1"/>
    </w:lvlOverride>
  </w:num>
  <w:num w:numId="20">
    <w:abstractNumId w:val="16"/>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9B"/>
    <w:rsid w:val="00001DF7"/>
    <w:rsid w:val="000064D7"/>
    <w:rsid w:val="000605A1"/>
    <w:rsid w:val="000A285C"/>
    <w:rsid w:val="000D48D7"/>
    <w:rsid w:val="000D5029"/>
    <w:rsid w:val="000E501F"/>
    <w:rsid w:val="00101C2D"/>
    <w:rsid w:val="00110925"/>
    <w:rsid w:val="001156A9"/>
    <w:rsid w:val="00146497"/>
    <w:rsid w:val="00155BC8"/>
    <w:rsid w:val="001C6B71"/>
    <w:rsid w:val="00203192"/>
    <w:rsid w:val="0022340F"/>
    <w:rsid w:val="002A353F"/>
    <w:rsid w:val="002F204E"/>
    <w:rsid w:val="00332930"/>
    <w:rsid w:val="003F533B"/>
    <w:rsid w:val="004B5532"/>
    <w:rsid w:val="00531B48"/>
    <w:rsid w:val="00545C6E"/>
    <w:rsid w:val="00546BAD"/>
    <w:rsid w:val="005636FC"/>
    <w:rsid w:val="005C280A"/>
    <w:rsid w:val="006647E8"/>
    <w:rsid w:val="006729FE"/>
    <w:rsid w:val="00690E2E"/>
    <w:rsid w:val="006D7CF5"/>
    <w:rsid w:val="006D7EB2"/>
    <w:rsid w:val="006E1227"/>
    <w:rsid w:val="0070671E"/>
    <w:rsid w:val="007752F0"/>
    <w:rsid w:val="00857C75"/>
    <w:rsid w:val="008A28CD"/>
    <w:rsid w:val="00951511"/>
    <w:rsid w:val="00980D42"/>
    <w:rsid w:val="00A12CA5"/>
    <w:rsid w:val="00A141EE"/>
    <w:rsid w:val="00A50A79"/>
    <w:rsid w:val="00A661C4"/>
    <w:rsid w:val="00A87FE8"/>
    <w:rsid w:val="00B0519B"/>
    <w:rsid w:val="00B35E4E"/>
    <w:rsid w:val="00B43027"/>
    <w:rsid w:val="00B5788C"/>
    <w:rsid w:val="00B83E6E"/>
    <w:rsid w:val="00BD09C2"/>
    <w:rsid w:val="00C112B3"/>
    <w:rsid w:val="00C60F8D"/>
    <w:rsid w:val="00C96F7C"/>
    <w:rsid w:val="00D04D7B"/>
    <w:rsid w:val="00D34D21"/>
    <w:rsid w:val="00DF1537"/>
    <w:rsid w:val="00E03F10"/>
    <w:rsid w:val="00E06628"/>
    <w:rsid w:val="00E11E45"/>
    <w:rsid w:val="00EE5160"/>
    <w:rsid w:val="00EF2991"/>
    <w:rsid w:val="00FB18D2"/>
    <w:rsid w:val="00FC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9B"/>
    <w:rPr>
      <w:rFonts w:ascii="Calibri" w:eastAsia="Calibri" w:hAnsi="Calibri"/>
      <w:sz w:val="22"/>
      <w:szCs w:val="22"/>
    </w:rPr>
  </w:style>
  <w:style w:type="paragraph" w:styleId="Heading1">
    <w:name w:val="heading 1"/>
    <w:next w:val="Normal"/>
    <w:link w:val="Heading1Char"/>
    <w:uiPriority w:val="9"/>
    <w:qFormat/>
    <w:rsid w:val="00B0519B"/>
    <w:pPr>
      <w:keepNext/>
      <w:keepLines/>
      <w:spacing w:before="120" w:after="360" w:line="240" w:lineRule="auto"/>
      <w:outlineLvl w:val="0"/>
    </w:pPr>
    <w:rPr>
      <w:rFonts w:ascii="Arial" w:eastAsia="Times New Roman" w:hAnsi="Arial"/>
      <w:b/>
      <w:bCs/>
      <w:sz w:val="36"/>
      <w:szCs w:val="28"/>
    </w:rPr>
  </w:style>
  <w:style w:type="paragraph" w:styleId="Heading2">
    <w:name w:val="heading 2"/>
    <w:link w:val="Heading2Char"/>
    <w:uiPriority w:val="9"/>
    <w:qFormat/>
    <w:rsid w:val="00A12CA5"/>
    <w:pPr>
      <w:keepNext/>
      <w:keepLines/>
      <w:spacing w:before="360" w:after="100" w:afterAutospacing="1" w:line="240" w:lineRule="auto"/>
      <w:outlineLvl w:val="1"/>
    </w:pPr>
    <w:rPr>
      <w:rFonts w:ascii="Arial" w:eastAsia="Times New Roman" w:hAnsi="Arial"/>
      <w:b/>
      <w:bCs/>
      <w:sz w:val="28"/>
      <w:szCs w:val="36"/>
    </w:rPr>
  </w:style>
  <w:style w:type="paragraph" w:styleId="Heading3">
    <w:name w:val="heading 3"/>
    <w:basedOn w:val="Normal"/>
    <w:next w:val="Normal"/>
    <w:link w:val="Heading3Char"/>
    <w:uiPriority w:val="9"/>
    <w:unhideWhenUsed/>
    <w:qFormat/>
    <w:rsid w:val="00B0519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B43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30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30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30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0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0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EvidenceTable">
    <w:name w:val="Evidence Table"/>
    <w:basedOn w:val="TableNormal"/>
    <w:rsid w:val="002F204E"/>
    <w:pPr>
      <w:spacing w:after="0" w:line="240" w:lineRule="auto"/>
    </w:pPr>
    <w:rPr>
      <w:rFonts w:ascii="Arial" w:eastAsia="Times New Roman" w:hAnsi="Arial"/>
      <w:color w:val="000000" w:themeColor="text1"/>
      <w:sz w:val="18"/>
    </w:rPr>
    <w:tblPr>
      <w:tblInd w:w="0" w:type="dxa"/>
      <w:tblBorders>
        <w:top w:val="single" w:sz="4" w:space="0" w:color="auto"/>
        <w:bottom w:val="single" w:sz="4" w:space="0" w:color="auto"/>
        <w:insideH w:val="single" w:sz="4" w:space="0" w:color="auto"/>
      </w:tblBorders>
      <w:tblCellMar>
        <w:top w:w="29" w:type="dxa"/>
        <w:left w:w="115" w:type="dxa"/>
        <w:bottom w:w="29" w:type="dxa"/>
        <w:right w:w="115" w:type="dxa"/>
      </w:tblCellMar>
    </w:tblPr>
    <w:trPr>
      <w:cantSplit/>
    </w:trPr>
    <w:tblStylePr w:type="firstRow">
      <w:pPr>
        <w:jc w:val="left"/>
      </w:pPr>
      <w:rPr>
        <w:rFonts w:ascii="Arial" w:hAnsi="Arial"/>
        <w:b/>
        <w:sz w:val="18"/>
      </w:rPr>
      <w:tblPr/>
      <w:tcPr>
        <w:shd w:val="clear" w:color="auto" w:fill="D9D9D9" w:themeFill="background1" w:themeFillShade="D9"/>
        <w:vAlign w:val="bottom"/>
      </w:tcPr>
    </w:tblStylePr>
  </w:style>
  <w:style w:type="character" w:customStyle="1" w:styleId="Heading1Char">
    <w:name w:val="Heading 1 Char"/>
    <w:basedOn w:val="DefaultParagraphFont"/>
    <w:link w:val="Heading1"/>
    <w:uiPriority w:val="9"/>
    <w:rsid w:val="00B0519B"/>
    <w:rPr>
      <w:rFonts w:ascii="Arial" w:eastAsia="Times New Roman" w:hAnsi="Arial"/>
      <w:b/>
      <w:bCs/>
      <w:sz w:val="36"/>
      <w:szCs w:val="28"/>
    </w:rPr>
  </w:style>
  <w:style w:type="character" w:customStyle="1" w:styleId="Heading2Char">
    <w:name w:val="Heading 2 Char"/>
    <w:basedOn w:val="DefaultParagraphFont"/>
    <w:link w:val="Heading2"/>
    <w:uiPriority w:val="9"/>
    <w:rsid w:val="00A12CA5"/>
    <w:rPr>
      <w:rFonts w:ascii="Arial" w:eastAsia="Times New Roman" w:hAnsi="Arial"/>
      <w:b/>
      <w:bCs/>
      <w:sz w:val="28"/>
      <w:szCs w:val="36"/>
    </w:rPr>
  </w:style>
  <w:style w:type="character" w:customStyle="1" w:styleId="Heading3Char">
    <w:name w:val="Heading 3 Char"/>
    <w:basedOn w:val="DefaultParagraphFont"/>
    <w:link w:val="Heading3"/>
    <w:uiPriority w:val="9"/>
    <w:rsid w:val="00B0519B"/>
    <w:rPr>
      <w:rFonts w:ascii="Cambria" w:eastAsia="Times New Roman" w:hAnsi="Cambria"/>
      <w:b/>
      <w:bCs/>
      <w:color w:val="4F81BD"/>
      <w:sz w:val="22"/>
      <w:szCs w:val="22"/>
    </w:rPr>
  </w:style>
  <w:style w:type="paragraph" w:customStyle="1" w:styleId="Default">
    <w:name w:val="Default"/>
    <w:rsid w:val="00B0519B"/>
    <w:pPr>
      <w:autoSpaceDE w:val="0"/>
      <w:autoSpaceDN w:val="0"/>
      <w:adjustRightInd w:val="0"/>
      <w:spacing w:after="0" w:line="240" w:lineRule="auto"/>
    </w:pPr>
    <w:rPr>
      <w:rFonts w:ascii="Helvetica" w:eastAsia="Calibri" w:hAnsi="Helvetica" w:cs="Helvetica"/>
      <w:color w:val="000000"/>
      <w:szCs w:val="24"/>
    </w:rPr>
  </w:style>
  <w:style w:type="paragraph" w:customStyle="1" w:styleId="CM2">
    <w:name w:val="CM2"/>
    <w:basedOn w:val="Default"/>
    <w:next w:val="Default"/>
    <w:uiPriority w:val="99"/>
    <w:rsid w:val="00B0519B"/>
  </w:style>
  <w:style w:type="paragraph" w:customStyle="1" w:styleId="CM1">
    <w:name w:val="CM1"/>
    <w:basedOn w:val="Default"/>
    <w:next w:val="Default"/>
    <w:uiPriority w:val="99"/>
    <w:rsid w:val="00B0519B"/>
  </w:style>
  <w:style w:type="paragraph" w:customStyle="1" w:styleId="NCDLetterheadHead">
    <w:name w:val="NCD Letterhead Head"/>
    <w:rsid w:val="00B0519B"/>
    <w:pPr>
      <w:spacing w:before="480" w:after="240" w:line="240" w:lineRule="auto"/>
      <w:jc w:val="center"/>
    </w:pPr>
    <w:rPr>
      <w:rFonts w:ascii="Arial" w:eastAsia="Times New Roman" w:hAnsi="Arial"/>
      <w:b/>
      <w:bCs/>
      <w:sz w:val="28"/>
      <w:szCs w:val="24"/>
    </w:rPr>
  </w:style>
  <w:style w:type="paragraph" w:styleId="NormalWeb">
    <w:name w:val="Normal (Web)"/>
    <w:basedOn w:val="Default"/>
    <w:next w:val="Default"/>
    <w:link w:val="NormalWebChar"/>
    <w:uiPriority w:val="99"/>
    <w:rsid w:val="00B0519B"/>
    <w:rPr>
      <w:rFonts w:cs="Times New Roman"/>
      <w:color w:val="auto"/>
    </w:rPr>
  </w:style>
  <w:style w:type="paragraph" w:customStyle="1" w:styleId="NCDLetterText">
    <w:name w:val="NCD Letter Text"/>
    <w:rsid w:val="00B0519B"/>
    <w:pPr>
      <w:spacing w:after="240" w:line="240" w:lineRule="auto"/>
    </w:pPr>
    <w:rPr>
      <w:rFonts w:ascii="Arial" w:eastAsia="Times New Roman" w:hAnsi="Arial"/>
      <w:szCs w:val="24"/>
    </w:rPr>
  </w:style>
  <w:style w:type="paragraph" w:customStyle="1" w:styleId="NCDFrontMatterTitle">
    <w:name w:val="NCD Front Matter Title"/>
    <w:rsid w:val="00B0519B"/>
    <w:pPr>
      <w:spacing w:after="0" w:line="240" w:lineRule="auto"/>
      <w:jc w:val="center"/>
    </w:pPr>
    <w:rPr>
      <w:rFonts w:ascii="Arial" w:eastAsia="Times New Roman" w:hAnsi="Arial"/>
      <w:b/>
      <w:sz w:val="36"/>
      <w:szCs w:val="36"/>
    </w:rPr>
  </w:style>
  <w:style w:type="paragraph" w:customStyle="1" w:styleId="NCDFrontMatterSubtitle">
    <w:name w:val="NCD Front Matter Subtitle"/>
    <w:rsid w:val="00B0519B"/>
    <w:pPr>
      <w:spacing w:before="240" w:after="120" w:line="240" w:lineRule="auto"/>
      <w:jc w:val="center"/>
    </w:pPr>
    <w:rPr>
      <w:rFonts w:ascii="Arial" w:eastAsia="Times New Roman" w:hAnsi="Arial"/>
      <w:b/>
      <w:sz w:val="29"/>
      <w:szCs w:val="29"/>
    </w:rPr>
  </w:style>
  <w:style w:type="paragraph" w:customStyle="1" w:styleId="NCDStaffList">
    <w:name w:val="NCD Staff List"/>
    <w:autoRedefine/>
    <w:rsid w:val="00B0519B"/>
    <w:pPr>
      <w:spacing w:after="0" w:line="240" w:lineRule="auto"/>
      <w:jc w:val="center"/>
    </w:pPr>
    <w:rPr>
      <w:rFonts w:ascii="Arial" w:eastAsia="Times New Roman" w:hAnsi="Arial"/>
      <w:szCs w:val="24"/>
    </w:rPr>
  </w:style>
  <w:style w:type="paragraph" w:styleId="Title">
    <w:name w:val="Title"/>
    <w:basedOn w:val="Normal"/>
    <w:next w:val="Normal"/>
    <w:link w:val="TitleChar"/>
    <w:uiPriority w:val="10"/>
    <w:qFormat/>
    <w:rsid w:val="00B0519B"/>
    <w:pPr>
      <w:pBdr>
        <w:bottom w:val="single" w:sz="8" w:space="4" w:color="4F81BD"/>
      </w:pBdr>
      <w:spacing w:after="300" w:line="240" w:lineRule="auto"/>
      <w:contextualSpacing/>
    </w:pPr>
    <w:rPr>
      <w:rFonts w:ascii="Cambria" w:eastAsia="Times New Roman" w:hAnsi="Cambria"/>
      <w:color w:val="17365D"/>
      <w:spacing w:val="5"/>
      <w:kern w:val="28"/>
      <w:sz w:val="52"/>
      <w:szCs w:val="52"/>
      <w:lang w:eastAsia="ja-JP"/>
    </w:rPr>
  </w:style>
  <w:style w:type="character" w:customStyle="1" w:styleId="TitleChar">
    <w:name w:val="Title Char"/>
    <w:basedOn w:val="DefaultParagraphFont"/>
    <w:link w:val="Title"/>
    <w:uiPriority w:val="10"/>
    <w:rsid w:val="00B0519B"/>
    <w:rPr>
      <w:rFonts w:ascii="Cambria" w:eastAsia="Times New Roman" w:hAnsi="Cambria"/>
      <w:color w:val="17365D"/>
      <w:spacing w:val="5"/>
      <w:kern w:val="28"/>
      <w:sz w:val="52"/>
      <w:szCs w:val="52"/>
      <w:lang w:eastAsia="ja-JP"/>
    </w:rPr>
  </w:style>
  <w:style w:type="paragraph" w:styleId="Subtitle">
    <w:name w:val="Subtitle"/>
    <w:basedOn w:val="Normal"/>
    <w:next w:val="Normal"/>
    <w:link w:val="SubtitleChar"/>
    <w:uiPriority w:val="11"/>
    <w:qFormat/>
    <w:rsid w:val="00B0519B"/>
    <w:pPr>
      <w:numPr>
        <w:ilvl w:val="1"/>
      </w:numPr>
    </w:pPr>
    <w:rPr>
      <w:rFonts w:ascii="Cambria" w:eastAsia="Times New Roman" w:hAnsi="Cambria"/>
      <w:i/>
      <w:iCs/>
      <w:color w:val="4F81BD"/>
      <w:spacing w:val="15"/>
      <w:sz w:val="24"/>
      <w:szCs w:val="24"/>
      <w:lang w:eastAsia="ja-JP"/>
    </w:rPr>
  </w:style>
  <w:style w:type="character" w:customStyle="1" w:styleId="SubtitleChar">
    <w:name w:val="Subtitle Char"/>
    <w:basedOn w:val="DefaultParagraphFont"/>
    <w:link w:val="Subtitle"/>
    <w:uiPriority w:val="11"/>
    <w:rsid w:val="00B0519B"/>
    <w:rPr>
      <w:rFonts w:ascii="Cambria" w:eastAsia="Times New Roman" w:hAnsi="Cambria"/>
      <w:i/>
      <w:iCs/>
      <w:color w:val="4F81BD"/>
      <w:spacing w:val="15"/>
      <w:szCs w:val="24"/>
      <w:lang w:eastAsia="ja-JP"/>
    </w:rPr>
  </w:style>
  <w:style w:type="paragraph" w:styleId="BalloonText">
    <w:name w:val="Balloon Text"/>
    <w:basedOn w:val="Normal"/>
    <w:link w:val="BalloonTextChar"/>
    <w:uiPriority w:val="99"/>
    <w:semiHidden/>
    <w:unhideWhenUsed/>
    <w:rsid w:val="00B0519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0519B"/>
    <w:rPr>
      <w:rFonts w:ascii="Tahoma" w:eastAsia="Calibri" w:hAnsi="Tahoma"/>
      <w:sz w:val="16"/>
      <w:szCs w:val="16"/>
    </w:rPr>
  </w:style>
  <w:style w:type="paragraph" w:styleId="Header">
    <w:name w:val="header"/>
    <w:basedOn w:val="Normal"/>
    <w:link w:val="HeaderChar"/>
    <w:unhideWhenUsed/>
    <w:rsid w:val="00B0519B"/>
    <w:pPr>
      <w:tabs>
        <w:tab w:val="center" w:pos="4680"/>
        <w:tab w:val="right" w:pos="9360"/>
      </w:tabs>
      <w:spacing w:after="0" w:line="240" w:lineRule="auto"/>
    </w:pPr>
  </w:style>
  <w:style w:type="character" w:customStyle="1" w:styleId="HeaderChar">
    <w:name w:val="Header Char"/>
    <w:basedOn w:val="DefaultParagraphFont"/>
    <w:link w:val="Header"/>
    <w:rsid w:val="00B0519B"/>
    <w:rPr>
      <w:rFonts w:ascii="Calibri" w:eastAsia="Calibri" w:hAnsi="Calibri"/>
      <w:sz w:val="22"/>
      <w:szCs w:val="22"/>
    </w:rPr>
  </w:style>
  <w:style w:type="paragraph" w:styleId="Footer">
    <w:name w:val="footer"/>
    <w:link w:val="FooterChar"/>
    <w:rsid w:val="00B0519B"/>
    <w:pPr>
      <w:tabs>
        <w:tab w:val="center" w:pos="4320"/>
        <w:tab w:val="right" w:pos="8640"/>
      </w:tabs>
      <w:spacing w:after="0" w:line="240" w:lineRule="auto"/>
    </w:pPr>
    <w:rPr>
      <w:rFonts w:ascii="Arial" w:eastAsia="Times New Roman" w:hAnsi="Arial"/>
      <w:szCs w:val="24"/>
    </w:rPr>
  </w:style>
  <w:style w:type="character" w:customStyle="1" w:styleId="FooterChar">
    <w:name w:val="Footer Char"/>
    <w:basedOn w:val="DefaultParagraphFont"/>
    <w:link w:val="Footer"/>
    <w:rsid w:val="00B0519B"/>
    <w:rPr>
      <w:rFonts w:ascii="Arial" w:eastAsia="Times New Roman" w:hAnsi="Arial"/>
      <w:szCs w:val="24"/>
    </w:rPr>
  </w:style>
  <w:style w:type="character" w:styleId="Strong">
    <w:name w:val="Strong"/>
    <w:uiPriority w:val="99"/>
    <w:qFormat/>
    <w:rsid w:val="00B0519B"/>
    <w:rPr>
      <w:b/>
      <w:bCs/>
    </w:rPr>
  </w:style>
  <w:style w:type="character" w:customStyle="1" w:styleId="NormalWebChar">
    <w:name w:val="Normal (Web) Char"/>
    <w:link w:val="NormalWeb"/>
    <w:uiPriority w:val="99"/>
    <w:locked/>
    <w:rsid w:val="00B0519B"/>
    <w:rPr>
      <w:rFonts w:ascii="Helvetica" w:eastAsia="Calibri" w:hAnsi="Helvetica"/>
      <w:szCs w:val="24"/>
    </w:rPr>
  </w:style>
  <w:style w:type="paragraph" w:styleId="ListParagraph">
    <w:name w:val="List Paragraph"/>
    <w:basedOn w:val="Normal"/>
    <w:uiPriority w:val="34"/>
    <w:qFormat/>
    <w:rsid w:val="00B0519B"/>
    <w:pPr>
      <w:spacing w:after="240" w:line="240" w:lineRule="auto"/>
      <w:ind w:left="360" w:hanging="360"/>
      <w:contextualSpacing/>
    </w:pPr>
    <w:rPr>
      <w:rFonts w:eastAsia="Times New Roman"/>
    </w:rPr>
  </w:style>
  <w:style w:type="character" w:styleId="CommentReference">
    <w:name w:val="annotation reference"/>
    <w:uiPriority w:val="99"/>
    <w:semiHidden/>
    <w:rsid w:val="00B0519B"/>
    <w:rPr>
      <w:rFonts w:cs="Times New Roman"/>
      <w:sz w:val="16"/>
    </w:rPr>
  </w:style>
  <w:style w:type="character" w:styleId="Hyperlink">
    <w:name w:val="Hyperlink"/>
    <w:uiPriority w:val="99"/>
    <w:rsid w:val="00B0519B"/>
    <w:rPr>
      <w:rFonts w:cs="Times New Roman"/>
      <w:color w:val="000000" w:themeColor="text1"/>
      <w:u w:val="single"/>
    </w:rPr>
  </w:style>
  <w:style w:type="character" w:styleId="Emphasis">
    <w:name w:val="Emphasis"/>
    <w:uiPriority w:val="20"/>
    <w:qFormat/>
    <w:rsid w:val="00B0519B"/>
    <w:rPr>
      <w:rFonts w:cs="Times New Roman"/>
      <w:i/>
    </w:rPr>
  </w:style>
  <w:style w:type="paragraph" w:styleId="BodyText">
    <w:name w:val="Body Text"/>
    <w:link w:val="BodyTextChar"/>
    <w:uiPriority w:val="99"/>
    <w:rsid w:val="00B0519B"/>
    <w:pPr>
      <w:spacing w:after="360" w:line="360" w:lineRule="auto"/>
    </w:pPr>
    <w:rPr>
      <w:rFonts w:ascii="Arial" w:eastAsia="Times New Roman" w:hAnsi="Arial"/>
      <w:szCs w:val="22"/>
    </w:rPr>
  </w:style>
  <w:style w:type="character" w:customStyle="1" w:styleId="BodyTextChar">
    <w:name w:val="Body Text Char"/>
    <w:basedOn w:val="DefaultParagraphFont"/>
    <w:link w:val="BodyText"/>
    <w:uiPriority w:val="99"/>
    <w:rsid w:val="00B0519B"/>
    <w:rPr>
      <w:rFonts w:ascii="Arial" w:eastAsia="Times New Roman" w:hAnsi="Arial"/>
      <w:szCs w:val="22"/>
    </w:rPr>
  </w:style>
  <w:style w:type="character" w:customStyle="1" w:styleId="Normal1">
    <w:name w:val="Normal1"/>
    <w:uiPriority w:val="99"/>
    <w:rsid w:val="00B0519B"/>
    <w:rPr>
      <w:rFonts w:cs="Times New Roman"/>
    </w:rPr>
  </w:style>
  <w:style w:type="paragraph" w:styleId="EndnoteText">
    <w:name w:val="endnote text"/>
    <w:link w:val="EndnoteTextChar"/>
    <w:rsid w:val="001C6B71"/>
    <w:pPr>
      <w:autoSpaceDE w:val="0"/>
      <w:autoSpaceDN w:val="0"/>
      <w:spacing w:before="120" w:after="120" w:line="240" w:lineRule="auto"/>
    </w:pPr>
    <w:rPr>
      <w:rFonts w:ascii="Arial" w:eastAsia="Times New Roman" w:hAnsi="Arial"/>
    </w:rPr>
  </w:style>
  <w:style w:type="character" w:customStyle="1" w:styleId="EndnoteTextChar">
    <w:name w:val="Endnote Text Char"/>
    <w:basedOn w:val="DefaultParagraphFont"/>
    <w:link w:val="EndnoteText"/>
    <w:rsid w:val="001C6B71"/>
    <w:rPr>
      <w:rFonts w:ascii="Arial" w:eastAsia="Times New Roman" w:hAnsi="Arial"/>
    </w:rPr>
  </w:style>
  <w:style w:type="character" w:styleId="EndnoteReference">
    <w:name w:val="endnote reference"/>
    <w:rsid w:val="001C6B71"/>
    <w:rPr>
      <w:rFonts w:ascii="Arial" w:hAnsi="Arial"/>
      <w:sz w:val="24"/>
      <w:vertAlign w:val="superscript"/>
    </w:rPr>
  </w:style>
  <w:style w:type="paragraph" w:styleId="PlainText">
    <w:name w:val="Plain Text"/>
    <w:basedOn w:val="Normal"/>
    <w:link w:val="PlainTextChar"/>
    <w:uiPriority w:val="99"/>
    <w:rsid w:val="00B0519B"/>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uiPriority w:val="99"/>
    <w:rsid w:val="00B0519B"/>
    <w:rPr>
      <w:rFonts w:ascii="Consolas" w:eastAsia="Times New Roman" w:hAnsi="Consolas"/>
      <w:sz w:val="21"/>
      <w:szCs w:val="21"/>
    </w:rPr>
  </w:style>
  <w:style w:type="paragraph" w:styleId="CommentText">
    <w:name w:val="annotation text"/>
    <w:basedOn w:val="Normal"/>
    <w:link w:val="CommentTextChar"/>
    <w:uiPriority w:val="99"/>
    <w:rsid w:val="00B0519B"/>
    <w:pPr>
      <w:spacing w:after="240" w:line="240" w:lineRule="auto"/>
    </w:pPr>
    <w:rPr>
      <w:rFonts w:eastAsia="Times New Roman"/>
      <w:sz w:val="20"/>
      <w:szCs w:val="20"/>
    </w:rPr>
  </w:style>
  <w:style w:type="character" w:customStyle="1" w:styleId="CommentTextChar">
    <w:name w:val="Comment Text Char"/>
    <w:basedOn w:val="DefaultParagraphFont"/>
    <w:link w:val="CommentText"/>
    <w:uiPriority w:val="99"/>
    <w:rsid w:val="00B0519B"/>
    <w:rPr>
      <w:rFonts w:ascii="Calibri" w:eastAsia="Times New Roman" w:hAnsi="Calibri"/>
      <w:sz w:val="20"/>
    </w:rPr>
  </w:style>
  <w:style w:type="character" w:customStyle="1" w:styleId="normalchar1">
    <w:name w:val="normal__char1"/>
    <w:uiPriority w:val="99"/>
    <w:rsid w:val="00B0519B"/>
    <w:rPr>
      <w:rFonts w:ascii="Times New Roman" w:hAnsi="Times New Roman"/>
      <w:sz w:val="24"/>
      <w:u w:val="none"/>
      <w:effect w:val="none"/>
    </w:rPr>
  </w:style>
  <w:style w:type="character" w:customStyle="1" w:styleId="metadata">
    <w:name w:val="metadata"/>
    <w:uiPriority w:val="99"/>
    <w:rsid w:val="00B0519B"/>
    <w:rPr>
      <w:rFonts w:ascii="Times New Roman" w:hAnsi="Times New Roman" w:cs="Times New Roman"/>
    </w:rPr>
  </w:style>
  <w:style w:type="character" w:customStyle="1" w:styleId="st1">
    <w:name w:val="st1"/>
    <w:rsid w:val="00B0519B"/>
    <w:rPr>
      <w:rFonts w:cs="Times New Roman"/>
    </w:rPr>
  </w:style>
  <w:style w:type="character" w:styleId="HTMLCite">
    <w:name w:val="HTML Cite"/>
    <w:uiPriority w:val="99"/>
    <w:rsid w:val="00B0519B"/>
    <w:rPr>
      <w:rFonts w:cs="Times New Roman"/>
      <w:i/>
      <w:iCs/>
    </w:rPr>
  </w:style>
  <w:style w:type="character" w:customStyle="1" w:styleId="apple-style-span">
    <w:name w:val="apple-style-span"/>
    <w:rsid w:val="00B0519B"/>
    <w:rPr>
      <w:rFonts w:cs="Times New Roman"/>
    </w:rPr>
  </w:style>
  <w:style w:type="character" w:customStyle="1" w:styleId="apple-converted-space">
    <w:name w:val="apple-converted-space"/>
    <w:uiPriority w:val="99"/>
    <w:rsid w:val="00B0519B"/>
    <w:rPr>
      <w:rFonts w:cs="Times New Roman"/>
    </w:rPr>
  </w:style>
  <w:style w:type="paragraph" w:customStyle="1" w:styleId="NormalWebLatinArial">
    <w:name w:val="Normal (Web) + (Latin) Arial"/>
    <w:aliases w:val="Line spacing:  1.5 lines + Not Bold"/>
    <w:basedOn w:val="NormalWeb"/>
    <w:link w:val="NormalWebLatinArialChar"/>
    <w:uiPriority w:val="99"/>
    <w:rsid w:val="00B0519B"/>
    <w:pPr>
      <w:autoSpaceDE/>
      <w:autoSpaceDN/>
      <w:adjustRightInd/>
      <w:spacing w:before="100" w:beforeAutospacing="1" w:after="100" w:afterAutospacing="1" w:line="360" w:lineRule="auto"/>
    </w:pPr>
    <w:rPr>
      <w:rFonts w:ascii="Arial" w:eastAsia="Times New Roman" w:hAnsi="Arial"/>
      <w:b/>
    </w:rPr>
  </w:style>
  <w:style w:type="character" w:customStyle="1" w:styleId="vshid1">
    <w:name w:val="vshid1"/>
    <w:uiPriority w:val="99"/>
    <w:rsid w:val="00B0519B"/>
    <w:rPr>
      <w:rFonts w:ascii="Times New Roman" w:hAnsi="Times New Roman" w:cs="Times New Roman"/>
      <w:vanish/>
    </w:rPr>
  </w:style>
  <w:style w:type="character" w:customStyle="1" w:styleId="NormalWebLatinArialChar">
    <w:name w:val="Normal (Web) + (Latin) Arial Char"/>
    <w:aliases w:val="Line spacing:  1.5 lines + Not Bold Char"/>
    <w:link w:val="NormalWebLatinArial"/>
    <w:uiPriority w:val="99"/>
    <w:locked/>
    <w:rsid w:val="00B0519B"/>
    <w:rPr>
      <w:rFonts w:ascii="Arial" w:eastAsia="Times New Roman" w:hAnsi="Arial"/>
      <w:b/>
      <w:szCs w:val="24"/>
    </w:rPr>
  </w:style>
  <w:style w:type="paragraph" w:customStyle="1" w:styleId="Pa7">
    <w:name w:val="Pa7"/>
    <w:basedOn w:val="Default"/>
    <w:next w:val="Default"/>
    <w:uiPriority w:val="99"/>
    <w:rsid w:val="00B0519B"/>
  </w:style>
  <w:style w:type="paragraph" w:styleId="TOCHeading">
    <w:name w:val="TOC Heading"/>
    <w:basedOn w:val="Heading1"/>
    <w:next w:val="Normal"/>
    <w:uiPriority w:val="39"/>
    <w:unhideWhenUsed/>
    <w:qFormat/>
    <w:rsid w:val="00B0519B"/>
    <w:pPr>
      <w:outlineLvl w:val="9"/>
    </w:pPr>
    <w:rPr>
      <w:lang w:eastAsia="ja-JP"/>
    </w:rPr>
  </w:style>
  <w:style w:type="paragraph" w:styleId="Quote">
    <w:name w:val="Quote"/>
    <w:basedOn w:val="Normal"/>
    <w:next w:val="Normal"/>
    <w:link w:val="QuoteChar"/>
    <w:uiPriority w:val="29"/>
    <w:qFormat/>
    <w:rsid w:val="00B0519B"/>
    <w:rPr>
      <w:rFonts w:eastAsia="Times New Roman"/>
      <w:i/>
      <w:iCs/>
      <w:color w:val="000000"/>
      <w:sz w:val="20"/>
      <w:szCs w:val="20"/>
      <w:lang w:eastAsia="ja-JP"/>
    </w:rPr>
  </w:style>
  <w:style w:type="character" w:customStyle="1" w:styleId="QuoteChar">
    <w:name w:val="Quote Char"/>
    <w:basedOn w:val="DefaultParagraphFont"/>
    <w:link w:val="Quote"/>
    <w:uiPriority w:val="29"/>
    <w:rsid w:val="00B0519B"/>
    <w:rPr>
      <w:rFonts w:ascii="Calibri" w:eastAsia="Times New Roman" w:hAnsi="Calibri"/>
      <w:i/>
      <w:iCs/>
      <w:color w:val="000000"/>
      <w:sz w:val="20"/>
      <w:lang w:eastAsia="ja-JP"/>
    </w:rPr>
  </w:style>
  <w:style w:type="table" w:styleId="TableGrid">
    <w:name w:val="Table Grid"/>
    <w:basedOn w:val="TableNormal"/>
    <w:uiPriority w:val="59"/>
    <w:rsid w:val="00B0519B"/>
    <w:pPr>
      <w:spacing w:after="0" w:line="240" w:lineRule="auto"/>
    </w:pPr>
    <w:rPr>
      <w:rFonts w:ascii="Calibri" w:eastAsia="Calibri" w:hAnsi="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0519B"/>
    <w:pPr>
      <w:spacing w:after="200"/>
    </w:pPr>
    <w:rPr>
      <w:b/>
      <w:bCs/>
    </w:rPr>
  </w:style>
  <w:style w:type="character" w:customStyle="1" w:styleId="CommentSubjectChar">
    <w:name w:val="Comment Subject Char"/>
    <w:basedOn w:val="CommentTextChar"/>
    <w:link w:val="CommentSubject"/>
    <w:uiPriority w:val="99"/>
    <w:semiHidden/>
    <w:rsid w:val="00B0519B"/>
    <w:rPr>
      <w:rFonts w:ascii="Calibri" w:eastAsia="Times New Roman" w:hAnsi="Calibri"/>
      <w:b/>
      <w:bCs/>
      <w:sz w:val="20"/>
    </w:rPr>
  </w:style>
  <w:style w:type="character" w:styleId="FollowedHyperlink">
    <w:name w:val="FollowedHyperlink"/>
    <w:uiPriority w:val="99"/>
    <w:semiHidden/>
    <w:unhideWhenUsed/>
    <w:rsid w:val="00B0519B"/>
    <w:rPr>
      <w:color w:val="800080"/>
      <w:u w:val="single"/>
    </w:rPr>
  </w:style>
  <w:style w:type="paragraph" w:styleId="BodyTextIndent3">
    <w:name w:val="Body Text Indent 3"/>
    <w:basedOn w:val="Normal"/>
    <w:link w:val="BodyTextIndent3Char"/>
    <w:uiPriority w:val="99"/>
    <w:unhideWhenUsed/>
    <w:rsid w:val="00B0519B"/>
    <w:pPr>
      <w:spacing w:after="120"/>
      <w:ind w:left="360"/>
    </w:pPr>
    <w:rPr>
      <w:sz w:val="16"/>
      <w:szCs w:val="16"/>
    </w:rPr>
  </w:style>
  <w:style w:type="character" w:customStyle="1" w:styleId="BodyTextIndent3Char">
    <w:name w:val="Body Text Indent 3 Char"/>
    <w:basedOn w:val="DefaultParagraphFont"/>
    <w:link w:val="BodyTextIndent3"/>
    <w:uiPriority w:val="99"/>
    <w:rsid w:val="00B0519B"/>
    <w:rPr>
      <w:rFonts w:ascii="Calibri" w:eastAsia="Calibri" w:hAnsi="Calibri"/>
      <w:sz w:val="16"/>
      <w:szCs w:val="16"/>
    </w:rPr>
  </w:style>
  <w:style w:type="paragraph" w:styleId="FootnoteText">
    <w:name w:val="footnote text"/>
    <w:basedOn w:val="Normal"/>
    <w:link w:val="FootnoteTextChar"/>
    <w:uiPriority w:val="99"/>
    <w:semiHidden/>
    <w:unhideWhenUsed/>
    <w:rsid w:val="00B05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19B"/>
    <w:rPr>
      <w:rFonts w:ascii="Calibri" w:eastAsia="Calibri" w:hAnsi="Calibri"/>
      <w:sz w:val="20"/>
    </w:rPr>
  </w:style>
  <w:style w:type="character" w:styleId="FootnoteReference">
    <w:name w:val="footnote reference"/>
    <w:uiPriority w:val="99"/>
    <w:semiHidden/>
    <w:unhideWhenUsed/>
    <w:rsid w:val="00B0519B"/>
    <w:rPr>
      <w:vertAlign w:val="superscript"/>
    </w:rPr>
  </w:style>
  <w:style w:type="paragraph" w:customStyle="1" w:styleId="xmsonormal">
    <w:name w:val="x_msonormal"/>
    <w:basedOn w:val="Normal"/>
    <w:rsid w:val="00B0519B"/>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0519B"/>
    <w:pPr>
      <w:spacing w:after="0" w:line="240" w:lineRule="auto"/>
    </w:pPr>
    <w:rPr>
      <w:rFonts w:ascii="Calibri" w:eastAsia="Calibri" w:hAnsi="Calibri"/>
      <w:sz w:val="22"/>
      <w:szCs w:val="22"/>
    </w:rPr>
  </w:style>
  <w:style w:type="paragraph" w:styleId="IntenseQuote">
    <w:name w:val="Intense Quote"/>
    <w:basedOn w:val="Normal"/>
    <w:next w:val="Normal"/>
    <w:link w:val="IntenseQuoteChar"/>
    <w:autoRedefine/>
    <w:uiPriority w:val="30"/>
    <w:qFormat/>
    <w:rsid w:val="00B0519B"/>
    <w:pPr>
      <w:pBdr>
        <w:bottom w:val="single" w:sz="4" w:space="4" w:color="4F81BD"/>
      </w:pBdr>
      <w:spacing w:before="400" w:after="400"/>
      <w:ind w:left="936" w:right="936"/>
      <w:jc w:val="both"/>
    </w:pPr>
    <w:rPr>
      <w:b/>
      <w:bCs/>
      <w:i/>
      <w:iCs/>
      <w:color w:val="4F81BD"/>
      <w:sz w:val="28"/>
    </w:rPr>
  </w:style>
  <w:style w:type="character" w:customStyle="1" w:styleId="IntenseQuoteChar">
    <w:name w:val="Intense Quote Char"/>
    <w:basedOn w:val="DefaultParagraphFont"/>
    <w:link w:val="IntenseQuote"/>
    <w:uiPriority w:val="30"/>
    <w:rsid w:val="00B0519B"/>
    <w:rPr>
      <w:rFonts w:ascii="Calibri" w:eastAsia="Calibri" w:hAnsi="Calibri"/>
      <w:b/>
      <w:bCs/>
      <w:i/>
      <w:iCs/>
      <w:color w:val="4F81BD"/>
      <w:sz w:val="28"/>
      <w:szCs w:val="22"/>
    </w:rPr>
  </w:style>
  <w:style w:type="character" w:customStyle="1" w:styleId="Header1">
    <w:name w:val="Header1"/>
    <w:basedOn w:val="DefaultParagraphFont"/>
    <w:rsid w:val="00B0519B"/>
  </w:style>
  <w:style w:type="paragraph" w:customStyle="1" w:styleId="NCDHeading1Chapter">
    <w:name w:val="NCD Heading 1_Chapter"/>
    <w:link w:val="NCDHeading1ChapterChar"/>
    <w:rsid w:val="00B0519B"/>
    <w:pPr>
      <w:spacing w:after="360" w:line="240" w:lineRule="auto"/>
      <w:ind w:left="2340" w:hanging="2340"/>
    </w:pPr>
    <w:rPr>
      <w:rFonts w:ascii="Arial" w:eastAsia="Times New Roman" w:hAnsi="Arial"/>
      <w:b/>
      <w:sz w:val="36"/>
      <w:szCs w:val="32"/>
    </w:rPr>
  </w:style>
  <w:style w:type="character" w:customStyle="1" w:styleId="NCDHeading1ChapterChar">
    <w:name w:val="NCD Heading 1_Chapter Char"/>
    <w:link w:val="NCDHeading1Chapter"/>
    <w:rsid w:val="00B0519B"/>
    <w:rPr>
      <w:rFonts w:ascii="Arial" w:eastAsia="Times New Roman" w:hAnsi="Arial"/>
      <w:b/>
      <w:sz w:val="36"/>
      <w:szCs w:val="32"/>
    </w:rPr>
  </w:style>
  <w:style w:type="paragraph" w:styleId="TOC1">
    <w:name w:val="toc 1"/>
    <w:next w:val="Normal"/>
    <w:uiPriority w:val="39"/>
    <w:unhideWhenUsed/>
    <w:rsid w:val="00B0519B"/>
    <w:pPr>
      <w:tabs>
        <w:tab w:val="right" w:leader="dot" w:pos="9350"/>
      </w:tabs>
      <w:spacing w:before="180" w:after="180" w:line="240" w:lineRule="auto"/>
    </w:pPr>
    <w:rPr>
      <w:rFonts w:ascii="Arial" w:eastAsia="Calibri" w:hAnsi="Arial" w:cs="Arial"/>
      <w:b/>
      <w:caps/>
      <w:noProof/>
      <w:szCs w:val="24"/>
    </w:rPr>
  </w:style>
  <w:style w:type="paragraph" w:styleId="TOC2">
    <w:name w:val="toc 2"/>
    <w:next w:val="Normal"/>
    <w:uiPriority w:val="39"/>
    <w:unhideWhenUsed/>
    <w:rsid w:val="00B0519B"/>
    <w:pPr>
      <w:spacing w:before="120" w:after="120" w:line="240" w:lineRule="auto"/>
    </w:pPr>
    <w:rPr>
      <w:rFonts w:ascii="Arial" w:eastAsia="Calibri" w:hAnsi="Arial"/>
      <w:szCs w:val="22"/>
    </w:rPr>
  </w:style>
  <w:style w:type="paragraph" w:customStyle="1" w:styleId="TableTitle">
    <w:name w:val="Table Title"/>
    <w:basedOn w:val="NCDTableTitle"/>
    <w:autoRedefine/>
    <w:qFormat/>
    <w:rsid w:val="00B0519B"/>
    <w:pPr>
      <w:keepLines/>
    </w:pPr>
  </w:style>
  <w:style w:type="paragraph" w:customStyle="1" w:styleId="TableHead">
    <w:name w:val="Table Head"/>
    <w:next w:val="TableofFigures"/>
    <w:qFormat/>
    <w:rsid w:val="00101C2D"/>
    <w:pPr>
      <w:keepNext/>
      <w:keepLines/>
      <w:spacing w:before="40" w:after="40" w:line="240" w:lineRule="auto"/>
      <w:jc w:val="center"/>
    </w:pPr>
    <w:rPr>
      <w:rFonts w:ascii="Arial" w:eastAsia="Calibri" w:hAnsi="Arial" w:cs="Arial"/>
      <w:b/>
      <w:szCs w:val="22"/>
    </w:rPr>
  </w:style>
  <w:style w:type="paragraph" w:customStyle="1" w:styleId="TableText">
    <w:name w:val="Table Text"/>
    <w:qFormat/>
    <w:rsid w:val="00101C2D"/>
    <w:pPr>
      <w:keepNext/>
      <w:keepLines/>
      <w:spacing w:before="40" w:after="40" w:line="240" w:lineRule="auto"/>
    </w:pPr>
    <w:rPr>
      <w:rFonts w:ascii="Arial" w:eastAsia="Calibri" w:hAnsi="Arial" w:cs="Arial"/>
      <w:szCs w:val="22"/>
    </w:rPr>
  </w:style>
  <w:style w:type="paragraph" w:customStyle="1" w:styleId="TableNote">
    <w:name w:val="Table Note"/>
    <w:qFormat/>
    <w:rsid w:val="00B0519B"/>
    <w:pPr>
      <w:autoSpaceDE w:val="0"/>
      <w:autoSpaceDN w:val="0"/>
      <w:spacing w:before="60" w:after="360" w:line="240" w:lineRule="auto"/>
    </w:pPr>
    <w:rPr>
      <w:rFonts w:ascii="Arial" w:eastAsia="Calibri" w:hAnsi="Arial" w:cs="Arial"/>
      <w:sz w:val="20"/>
      <w:szCs w:val="19"/>
    </w:rPr>
  </w:style>
  <w:style w:type="paragraph" w:customStyle="1" w:styleId="TableTextList">
    <w:name w:val="Table Text List"/>
    <w:qFormat/>
    <w:rsid w:val="00B0519B"/>
    <w:pPr>
      <w:numPr>
        <w:numId w:val="1"/>
      </w:numPr>
      <w:spacing w:after="180"/>
      <w:ind w:right="72"/>
    </w:pPr>
    <w:rPr>
      <w:rFonts w:ascii="Arial" w:eastAsia="Times New Roman" w:hAnsi="Arial" w:cs="Arial"/>
      <w:szCs w:val="24"/>
    </w:rPr>
  </w:style>
  <w:style w:type="paragraph" w:styleId="TableofAuthorities">
    <w:name w:val="table of authorities"/>
    <w:basedOn w:val="Normal"/>
    <w:next w:val="Normal"/>
    <w:uiPriority w:val="99"/>
    <w:semiHidden/>
    <w:unhideWhenUsed/>
    <w:rsid w:val="00B0519B"/>
    <w:pPr>
      <w:spacing w:after="0"/>
      <w:ind w:left="220" w:hanging="220"/>
    </w:pPr>
  </w:style>
  <w:style w:type="paragraph" w:styleId="TableofFigures">
    <w:name w:val="table of figures"/>
    <w:basedOn w:val="Normal"/>
    <w:next w:val="Normal"/>
    <w:uiPriority w:val="99"/>
    <w:semiHidden/>
    <w:unhideWhenUsed/>
    <w:rsid w:val="00B0519B"/>
    <w:pPr>
      <w:spacing w:after="0"/>
    </w:pPr>
  </w:style>
  <w:style w:type="paragraph" w:customStyle="1" w:styleId="NCDAlphalist">
    <w:name w:val="NCD Alpha list"/>
    <w:basedOn w:val="Normal"/>
    <w:rsid w:val="00B0519B"/>
    <w:pPr>
      <w:spacing w:after="120" w:line="360" w:lineRule="auto"/>
    </w:pPr>
    <w:rPr>
      <w:rFonts w:ascii="Arial" w:eastAsia="Times New Roman" w:hAnsi="Arial"/>
      <w:sz w:val="24"/>
      <w:szCs w:val="24"/>
    </w:rPr>
  </w:style>
  <w:style w:type="paragraph" w:customStyle="1" w:styleId="NCDAlphaListLast">
    <w:name w:val="NCD Alpha List Last"/>
    <w:basedOn w:val="Normal"/>
    <w:rsid w:val="00B0519B"/>
    <w:pPr>
      <w:numPr>
        <w:ilvl w:val="1"/>
        <w:numId w:val="5"/>
      </w:numPr>
      <w:spacing w:after="360" w:line="360" w:lineRule="auto"/>
    </w:pPr>
    <w:rPr>
      <w:rFonts w:ascii="Arial" w:eastAsia="Times New Roman" w:hAnsi="Arial"/>
      <w:sz w:val="24"/>
      <w:szCs w:val="24"/>
    </w:rPr>
  </w:style>
  <w:style w:type="paragraph" w:customStyle="1" w:styleId="NCDBlockquote">
    <w:name w:val="NCD Blockquote"/>
    <w:basedOn w:val="Normal"/>
    <w:rsid w:val="00B0519B"/>
    <w:pPr>
      <w:spacing w:after="360" w:line="360" w:lineRule="auto"/>
      <w:ind w:left="810" w:right="1080"/>
    </w:pPr>
    <w:rPr>
      <w:rFonts w:ascii="Arial" w:eastAsia="Times New Roman" w:hAnsi="Arial"/>
      <w:sz w:val="24"/>
      <w:szCs w:val="24"/>
    </w:rPr>
  </w:style>
  <w:style w:type="paragraph" w:customStyle="1" w:styleId="NCDBody">
    <w:name w:val="NCD Body"/>
    <w:rsid w:val="00B0519B"/>
    <w:pPr>
      <w:spacing w:after="360" w:line="360" w:lineRule="auto"/>
    </w:pPr>
    <w:rPr>
      <w:rFonts w:ascii="Arial" w:eastAsia="Times New Roman" w:hAnsi="Arial"/>
    </w:rPr>
  </w:style>
  <w:style w:type="character" w:customStyle="1" w:styleId="NCDBold">
    <w:name w:val="NCD Bold"/>
    <w:rsid w:val="00B0519B"/>
    <w:rPr>
      <w:b/>
    </w:rPr>
  </w:style>
  <w:style w:type="paragraph" w:customStyle="1" w:styleId="NCDBullet">
    <w:name w:val="NCD Bullet"/>
    <w:autoRedefine/>
    <w:rsid w:val="00B0519B"/>
    <w:pPr>
      <w:numPr>
        <w:numId w:val="6"/>
      </w:numPr>
      <w:spacing w:after="120" w:line="360" w:lineRule="auto"/>
    </w:pPr>
    <w:rPr>
      <w:rFonts w:ascii="Arial" w:eastAsia="Times New Roman" w:hAnsi="Arial"/>
    </w:rPr>
  </w:style>
  <w:style w:type="paragraph" w:customStyle="1" w:styleId="NCDBulletLast">
    <w:name w:val="NCD Bullet Last"/>
    <w:autoRedefine/>
    <w:rsid w:val="00B0519B"/>
    <w:pPr>
      <w:numPr>
        <w:numId w:val="7"/>
      </w:numPr>
      <w:spacing w:after="360" w:line="360" w:lineRule="auto"/>
    </w:pPr>
    <w:rPr>
      <w:rFonts w:ascii="Arial" w:eastAsia="Times New Roman" w:hAnsi="Arial"/>
      <w:spacing w:val="-4"/>
    </w:rPr>
  </w:style>
  <w:style w:type="paragraph" w:customStyle="1" w:styleId="NCDBulletLetter">
    <w:name w:val="NCD Bullet_Letter"/>
    <w:basedOn w:val="Normal"/>
    <w:autoRedefine/>
    <w:rsid w:val="00B0519B"/>
    <w:pPr>
      <w:numPr>
        <w:numId w:val="8"/>
      </w:numPr>
      <w:spacing w:after="120" w:line="240" w:lineRule="auto"/>
    </w:pPr>
    <w:rPr>
      <w:rFonts w:ascii="Arial" w:eastAsia="Times New Roman" w:hAnsi="Arial" w:cs="Arial"/>
      <w:sz w:val="24"/>
      <w:szCs w:val="24"/>
    </w:rPr>
  </w:style>
  <w:style w:type="paragraph" w:customStyle="1" w:styleId="NCDBulletsUnderNumberedList">
    <w:name w:val="NCD Bullets Under Numbered List"/>
    <w:autoRedefine/>
    <w:rsid w:val="00B0519B"/>
    <w:pPr>
      <w:numPr>
        <w:numId w:val="9"/>
      </w:numPr>
      <w:spacing w:after="120" w:line="360" w:lineRule="auto"/>
    </w:pPr>
    <w:rPr>
      <w:rFonts w:ascii="Arial" w:eastAsia="Times New Roman" w:hAnsi="Arial"/>
    </w:rPr>
  </w:style>
  <w:style w:type="character" w:customStyle="1" w:styleId="NCDCHAPTER">
    <w:name w:val="NCD CHAPTER #:"/>
    <w:rsid w:val="00B0519B"/>
    <w:rPr>
      <w:rFonts w:ascii="Arial" w:hAnsi="Arial"/>
      <w:b/>
      <w:caps/>
      <w:color w:val="808080"/>
      <w:sz w:val="36"/>
    </w:rPr>
  </w:style>
  <w:style w:type="paragraph" w:customStyle="1" w:styleId="NCDChartBullet">
    <w:name w:val="NCD Chart Bullet"/>
    <w:basedOn w:val="NCDBullet"/>
    <w:rsid w:val="00B0519B"/>
    <w:pPr>
      <w:numPr>
        <w:numId w:val="0"/>
      </w:numPr>
      <w:tabs>
        <w:tab w:val="num" w:pos="1440"/>
      </w:tabs>
      <w:spacing w:after="0" w:line="240" w:lineRule="auto"/>
    </w:pPr>
  </w:style>
  <w:style w:type="paragraph" w:customStyle="1" w:styleId="NCDChartColumnHead">
    <w:name w:val="NCD Chart Column Head"/>
    <w:rsid w:val="00B0519B"/>
    <w:pPr>
      <w:spacing w:after="0" w:line="240" w:lineRule="auto"/>
      <w:jc w:val="center"/>
    </w:pPr>
    <w:rPr>
      <w:rFonts w:ascii="Arial" w:eastAsia="Times New Roman" w:hAnsi="Arial"/>
      <w:b/>
      <w:bCs/>
      <w:szCs w:val="24"/>
    </w:rPr>
  </w:style>
  <w:style w:type="paragraph" w:customStyle="1" w:styleId="NCDChartText">
    <w:name w:val="NCD Chart Text"/>
    <w:rsid w:val="00B0519B"/>
    <w:pPr>
      <w:spacing w:after="0" w:line="240" w:lineRule="auto"/>
    </w:pPr>
    <w:rPr>
      <w:rFonts w:ascii="Arial" w:eastAsia="Times New Roman" w:hAnsi="Arial"/>
      <w:szCs w:val="24"/>
    </w:rPr>
  </w:style>
  <w:style w:type="paragraph" w:customStyle="1" w:styleId="NCDChartTitle">
    <w:name w:val="NCD Chart Title"/>
    <w:rsid w:val="00B0519B"/>
    <w:pPr>
      <w:spacing w:after="0" w:line="360" w:lineRule="auto"/>
    </w:pPr>
    <w:rPr>
      <w:rFonts w:ascii="Arial" w:eastAsia="Times New Roman" w:hAnsi="Arial"/>
      <w:b/>
      <w:szCs w:val="24"/>
    </w:rPr>
  </w:style>
  <w:style w:type="paragraph" w:customStyle="1" w:styleId="NCDEndnotes">
    <w:name w:val="NCD Endnotes"/>
    <w:rsid w:val="00B0519B"/>
    <w:pPr>
      <w:spacing w:after="120" w:line="240" w:lineRule="auto"/>
    </w:pPr>
    <w:rPr>
      <w:rFonts w:ascii="Arial" w:eastAsia="Times New Roman" w:hAnsi="Arial"/>
    </w:rPr>
  </w:style>
  <w:style w:type="paragraph" w:customStyle="1" w:styleId="NCDFrontMatter">
    <w:name w:val="NCD Front Matter"/>
    <w:rsid w:val="00B0519B"/>
    <w:pPr>
      <w:spacing w:after="0" w:line="240" w:lineRule="auto"/>
    </w:pPr>
    <w:rPr>
      <w:rFonts w:ascii="Arial" w:eastAsia="Times New Roman" w:hAnsi="Arial" w:cs="Arial"/>
      <w:szCs w:val="24"/>
    </w:rPr>
  </w:style>
  <w:style w:type="paragraph" w:customStyle="1" w:styleId="NCDHeading2">
    <w:name w:val="NCD Heading 2"/>
    <w:rsid w:val="00B0519B"/>
    <w:pPr>
      <w:keepNext/>
      <w:spacing w:before="120" w:after="360" w:line="240" w:lineRule="auto"/>
    </w:pPr>
    <w:rPr>
      <w:rFonts w:ascii="Arial" w:eastAsia="Times New Roman" w:hAnsi="Arial"/>
      <w:b/>
      <w:bCs/>
      <w:spacing w:val="-4"/>
      <w:sz w:val="28"/>
      <w:szCs w:val="30"/>
    </w:rPr>
  </w:style>
  <w:style w:type="paragraph" w:customStyle="1" w:styleId="NCDHeading3">
    <w:name w:val="NCD Heading 3"/>
    <w:autoRedefine/>
    <w:rsid w:val="00B0519B"/>
    <w:pPr>
      <w:keepNext/>
      <w:spacing w:after="240" w:line="240" w:lineRule="auto"/>
    </w:pPr>
    <w:rPr>
      <w:rFonts w:ascii="Arial" w:eastAsia="Times New Roman" w:hAnsi="Arial"/>
      <w:b/>
      <w:i/>
      <w:szCs w:val="26"/>
    </w:rPr>
  </w:style>
  <w:style w:type="paragraph" w:customStyle="1" w:styleId="NCDImplementationIssue">
    <w:name w:val="NCD Implementation Issue"/>
    <w:basedOn w:val="Normal"/>
    <w:rsid w:val="00B0519B"/>
    <w:pPr>
      <w:keepNext/>
      <w:spacing w:after="360" w:line="360" w:lineRule="auto"/>
      <w:ind w:firstLine="720"/>
    </w:pPr>
    <w:rPr>
      <w:rFonts w:ascii="Arial" w:eastAsia="Times New Roman" w:hAnsi="Arial"/>
      <w:b/>
      <w:sz w:val="24"/>
      <w:szCs w:val="20"/>
    </w:rPr>
  </w:style>
  <w:style w:type="paragraph" w:customStyle="1" w:styleId="NCDIndent">
    <w:name w:val="NCD Indent"/>
    <w:basedOn w:val="NCDBody"/>
    <w:rsid w:val="00B0519B"/>
    <w:pPr>
      <w:ind w:left="720"/>
    </w:pPr>
  </w:style>
  <w:style w:type="paragraph" w:customStyle="1" w:styleId="NCDLetterSignature">
    <w:name w:val="NCD Letter Signature"/>
    <w:rsid w:val="00B0519B"/>
    <w:pPr>
      <w:spacing w:after="0" w:line="240" w:lineRule="auto"/>
    </w:pPr>
    <w:rPr>
      <w:rFonts w:eastAsia="Times New Roman"/>
      <w:szCs w:val="24"/>
    </w:rPr>
  </w:style>
  <w:style w:type="paragraph" w:customStyle="1" w:styleId="NCDNumberedList">
    <w:name w:val="NCD Numbered List"/>
    <w:rsid w:val="00B0519B"/>
    <w:pPr>
      <w:tabs>
        <w:tab w:val="num" w:pos="720"/>
      </w:tabs>
      <w:spacing w:after="360" w:line="360" w:lineRule="auto"/>
      <w:ind w:left="720" w:hanging="720"/>
    </w:pPr>
    <w:rPr>
      <w:rFonts w:ascii="Arial" w:eastAsia="Times New Roman" w:hAnsi="Arial"/>
    </w:rPr>
  </w:style>
  <w:style w:type="paragraph" w:customStyle="1" w:styleId="NCDNumberedListwithBullets">
    <w:name w:val="NCD Numbered List with Bullets"/>
    <w:basedOn w:val="NCDNumberedList"/>
    <w:rsid w:val="00B0519B"/>
    <w:pPr>
      <w:spacing w:after="120"/>
    </w:pPr>
  </w:style>
  <w:style w:type="paragraph" w:customStyle="1" w:styleId="NCDQuoteSource">
    <w:name w:val="NCD Quote Source"/>
    <w:rsid w:val="00B0519B"/>
    <w:pPr>
      <w:spacing w:before="120" w:after="360" w:line="240" w:lineRule="auto"/>
      <w:ind w:right="1080"/>
      <w:jc w:val="right"/>
    </w:pPr>
    <w:rPr>
      <w:rFonts w:ascii="Arial" w:eastAsia="Times New Roman" w:hAnsi="Arial"/>
      <w:i/>
    </w:rPr>
  </w:style>
  <w:style w:type="character" w:customStyle="1" w:styleId="NCDRecommendation">
    <w:name w:val="NCD Recommendation"/>
    <w:rsid w:val="00B0519B"/>
    <w:rPr>
      <w:rFonts w:ascii="Arial" w:hAnsi="Arial"/>
      <w:b/>
      <w:i/>
      <w:sz w:val="24"/>
    </w:rPr>
  </w:style>
  <w:style w:type="paragraph" w:customStyle="1" w:styleId="NCDReferences">
    <w:name w:val="NCD References"/>
    <w:rsid w:val="00B0519B"/>
    <w:pPr>
      <w:spacing w:after="240" w:line="240" w:lineRule="auto"/>
      <w:ind w:left="720" w:hanging="720"/>
    </w:pPr>
    <w:rPr>
      <w:rFonts w:ascii="Arial" w:eastAsia="Times New Roman" w:hAnsi="Arial"/>
    </w:rPr>
  </w:style>
  <w:style w:type="character" w:customStyle="1" w:styleId="NCDRESEARCHQUESTION">
    <w:name w:val="NCD RESEARCH QUESTION #:"/>
    <w:rsid w:val="00B0519B"/>
    <w:rPr>
      <w:rFonts w:ascii="Arial" w:hAnsi="Arial"/>
      <w:b/>
      <w:caps/>
      <w:color w:val="808080"/>
      <w:sz w:val="24"/>
    </w:rPr>
  </w:style>
  <w:style w:type="paragraph" w:customStyle="1" w:styleId="NCDTableBullet">
    <w:name w:val="NCD Table Bullet"/>
    <w:rsid w:val="00B0519B"/>
    <w:pPr>
      <w:numPr>
        <w:numId w:val="10"/>
      </w:numPr>
      <w:spacing w:after="0" w:line="240" w:lineRule="auto"/>
    </w:pPr>
    <w:rPr>
      <w:rFonts w:ascii="Arial" w:eastAsia="Times New Roman" w:hAnsi="Arial" w:cs="Arial"/>
      <w:szCs w:val="24"/>
    </w:rPr>
  </w:style>
  <w:style w:type="paragraph" w:customStyle="1" w:styleId="NCDTableColumnHead">
    <w:name w:val="NCD Table Column Head"/>
    <w:rsid w:val="00B0519B"/>
    <w:pPr>
      <w:widowControl w:val="0"/>
      <w:autoSpaceDE w:val="0"/>
      <w:autoSpaceDN w:val="0"/>
      <w:adjustRightInd w:val="0"/>
      <w:spacing w:after="0" w:line="240" w:lineRule="auto"/>
      <w:jc w:val="center"/>
    </w:pPr>
    <w:rPr>
      <w:rFonts w:ascii="Arial" w:eastAsia="Times New Roman" w:hAnsi="Arial" w:cs="Arial"/>
      <w:b/>
      <w:szCs w:val="24"/>
    </w:rPr>
  </w:style>
  <w:style w:type="paragraph" w:customStyle="1" w:styleId="NCDTableSource">
    <w:name w:val="NCD Table Source"/>
    <w:basedOn w:val="NCDEndnotes"/>
    <w:rsid w:val="00B0519B"/>
    <w:pPr>
      <w:spacing w:before="60" w:after="360"/>
    </w:pPr>
    <w:rPr>
      <w:sz w:val="20"/>
    </w:rPr>
  </w:style>
  <w:style w:type="paragraph" w:customStyle="1" w:styleId="NCDTableContd">
    <w:name w:val="NCD Table Cont'd"/>
    <w:basedOn w:val="NCDTableSource"/>
    <w:rsid w:val="00B0519B"/>
    <w:pPr>
      <w:spacing w:after="0"/>
      <w:jc w:val="right"/>
    </w:pPr>
    <w:rPr>
      <w:i/>
    </w:rPr>
  </w:style>
  <w:style w:type="paragraph" w:customStyle="1" w:styleId="NCDTableNumber">
    <w:name w:val="NCD Table Number"/>
    <w:rsid w:val="00B0519B"/>
    <w:pPr>
      <w:keepNext/>
      <w:widowControl w:val="0"/>
      <w:autoSpaceDE w:val="0"/>
      <w:autoSpaceDN w:val="0"/>
      <w:adjustRightInd w:val="0"/>
      <w:spacing w:before="120" w:after="120" w:line="240" w:lineRule="auto"/>
      <w:jc w:val="center"/>
    </w:pPr>
    <w:rPr>
      <w:rFonts w:ascii="Arial" w:eastAsia="Times New Roman" w:hAnsi="Arial" w:cs="Arial"/>
      <w:caps/>
      <w:szCs w:val="24"/>
    </w:rPr>
  </w:style>
  <w:style w:type="paragraph" w:customStyle="1" w:styleId="NCDTableText">
    <w:name w:val="NCD Table Text"/>
    <w:rsid w:val="00B0519B"/>
    <w:pPr>
      <w:widowControl w:val="0"/>
      <w:autoSpaceDE w:val="0"/>
      <w:autoSpaceDN w:val="0"/>
      <w:adjustRightInd w:val="0"/>
      <w:spacing w:after="0" w:line="240" w:lineRule="auto"/>
    </w:pPr>
    <w:rPr>
      <w:rFonts w:ascii="Arial" w:eastAsia="Times New Roman" w:hAnsi="Arial" w:cs="Arial"/>
      <w:szCs w:val="24"/>
    </w:rPr>
  </w:style>
  <w:style w:type="paragraph" w:customStyle="1" w:styleId="NCDTableTitle">
    <w:name w:val="NCD Table Title"/>
    <w:autoRedefine/>
    <w:rsid w:val="00B0519B"/>
    <w:pPr>
      <w:keepNext/>
      <w:widowControl w:val="0"/>
      <w:autoSpaceDE w:val="0"/>
      <w:autoSpaceDN w:val="0"/>
      <w:adjustRightInd w:val="0"/>
      <w:spacing w:after="120" w:line="240" w:lineRule="auto"/>
      <w:jc w:val="center"/>
    </w:pPr>
    <w:rPr>
      <w:rFonts w:ascii="Arial" w:eastAsia="Times New Roman" w:hAnsi="Arial" w:cs="Arial"/>
      <w:b/>
      <w:sz w:val="28"/>
      <w:szCs w:val="24"/>
    </w:rPr>
  </w:style>
  <w:style w:type="paragraph" w:customStyle="1" w:styleId="NCDTextIndented">
    <w:name w:val="NCD Text Indented"/>
    <w:rsid w:val="00B0519B"/>
    <w:pPr>
      <w:spacing w:after="360" w:line="240" w:lineRule="auto"/>
      <w:ind w:left="720"/>
    </w:pPr>
    <w:rPr>
      <w:rFonts w:ascii="Arial" w:eastAsia="Times New Roman" w:hAnsi="Arial"/>
    </w:rPr>
  </w:style>
  <w:style w:type="paragraph" w:customStyle="1" w:styleId="NCDTitleA">
    <w:name w:val="NCD Title A"/>
    <w:basedOn w:val="Normal"/>
    <w:autoRedefine/>
    <w:rsid w:val="00B0519B"/>
    <w:pPr>
      <w:pBdr>
        <w:top w:val="thickThinLargeGap" w:sz="24" w:space="0" w:color="auto"/>
      </w:pBdr>
      <w:spacing w:after="0" w:line="240" w:lineRule="auto"/>
    </w:pPr>
    <w:rPr>
      <w:rFonts w:ascii="Arial" w:eastAsia="Times New Roman" w:hAnsi="Arial" w:cs="Arial"/>
      <w:sz w:val="72"/>
      <w:szCs w:val="72"/>
    </w:rPr>
  </w:style>
  <w:style w:type="paragraph" w:customStyle="1" w:styleId="NCDTitleB">
    <w:name w:val="NCD Title B"/>
    <w:autoRedefine/>
    <w:rsid w:val="00B0519B"/>
    <w:pPr>
      <w:spacing w:after="0" w:line="240" w:lineRule="auto"/>
    </w:pPr>
    <w:rPr>
      <w:rFonts w:ascii="Arial" w:eastAsia="Times New Roman" w:hAnsi="Arial" w:cs="Arial"/>
      <w:sz w:val="48"/>
      <w:szCs w:val="72"/>
    </w:rPr>
  </w:style>
  <w:style w:type="paragraph" w:customStyle="1" w:styleId="NCDTOCHeading">
    <w:name w:val="NCD TOC Heading"/>
    <w:rsid w:val="00B0519B"/>
    <w:pPr>
      <w:spacing w:after="360" w:line="240" w:lineRule="auto"/>
    </w:pPr>
    <w:rPr>
      <w:rFonts w:ascii="Arial" w:eastAsia="Times New Roman" w:hAnsi="Arial"/>
      <w:b/>
      <w:sz w:val="36"/>
      <w:szCs w:val="32"/>
    </w:rPr>
  </w:style>
  <w:style w:type="paragraph" w:customStyle="1" w:styleId="NCDPullquote">
    <w:name w:val="NCD Pullquote"/>
    <w:basedOn w:val="NCDBlockquote"/>
    <w:qFormat/>
    <w:rsid w:val="00D34D21"/>
    <w:pPr>
      <w:pBdr>
        <w:top w:val="single" w:sz="48" w:space="8" w:color="4F81BD"/>
        <w:bottom w:val="single" w:sz="48" w:space="8" w:color="4F81BD"/>
      </w:pBdr>
    </w:pPr>
    <w:rPr>
      <w:b/>
      <w:i/>
    </w:rPr>
  </w:style>
  <w:style w:type="paragraph" w:customStyle="1" w:styleId="TableTextList2">
    <w:name w:val="Table Text List 2"/>
    <w:basedOn w:val="TableTextList"/>
    <w:qFormat/>
    <w:rsid w:val="00B0519B"/>
    <w:pPr>
      <w:numPr>
        <w:numId w:val="17"/>
      </w:numPr>
      <w:tabs>
        <w:tab w:val="left" w:pos="785"/>
      </w:tabs>
    </w:pPr>
  </w:style>
  <w:style w:type="paragraph" w:styleId="Bibliography">
    <w:name w:val="Bibliography"/>
    <w:basedOn w:val="Normal"/>
    <w:next w:val="Normal"/>
    <w:uiPriority w:val="37"/>
    <w:semiHidden/>
    <w:unhideWhenUsed/>
    <w:rsid w:val="00B43027"/>
  </w:style>
  <w:style w:type="paragraph" w:styleId="BlockText">
    <w:name w:val="Block Text"/>
    <w:basedOn w:val="Normal"/>
    <w:uiPriority w:val="99"/>
    <w:semiHidden/>
    <w:unhideWhenUsed/>
    <w:rsid w:val="00B4302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B43027"/>
    <w:pPr>
      <w:spacing w:after="120" w:line="480" w:lineRule="auto"/>
    </w:pPr>
  </w:style>
  <w:style w:type="character" w:customStyle="1" w:styleId="BodyText2Char">
    <w:name w:val="Body Text 2 Char"/>
    <w:basedOn w:val="DefaultParagraphFont"/>
    <w:link w:val="BodyText2"/>
    <w:uiPriority w:val="99"/>
    <w:semiHidden/>
    <w:rsid w:val="00B43027"/>
    <w:rPr>
      <w:rFonts w:ascii="Calibri" w:eastAsia="Calibri" w:hAnsi="Calibri"/>
      <w:sz w:val="22"/>
      <w:szCs w:val="22"/>
    </w:rPr>
  </w:style>
  <w:style w:type="paragraph" w:styleId="BodyText3">
    <w:name w:val="Body Text 3"/>
    <w:basedOn w:val="Normal"/>
    <w:link w:val="BodyText3Char"/>
    <w:uiPriority w:val="99"/>
    <w:semiHidden/>
    <w:unhideWhenUsed/>
    <w:rsid w:val="00B43027"/>
    <w:pPr>
      <w:spacing w:after="120"/>
    </w:pPr>
    <w:rPr>
      <w:sz w:val="16"/>
      <w:szCs w:val="16"/>
    </w:rPr>
  </w:style>
  <w:style w:type="character" w:customStyle="1" w:styleId="BodyText3Char">
    <w:name w:val="Body Text 3 Char"/>
    <w:basedOn w:val="DefaultParagraphFont"/>
    <w:link w:val="BodyText3"/>
    <w:uiPriority w:val="99"/>
    <w:semiHidden/>
    <w:rsid w:val="00B43027"/>
    <w:rPr>
      <w:rFonts w:ascii="Calibri" w:eastAsia="Calibri" w:hAnsi="Calibri"/>
      <w:sz w:val="16"/>
      <w:szCs w:val="16"/>
    </w:rPr>
  </w:style>
  <w:style w:type="paragraph" w:styleId="BodyTextFirstIndent">
    <w:name w:val="Body Text First Indent"/>
    <w:basedOn w:val="BodyText"/>
    <w:link w:val="BodyTextFirstIndentChar"/>
    <w:uiPriority w:val="99"/>
    <w:semiHidden/>
    <w:unhideWhenUsed/>
    <w:rsid w:val="00B43027"/>
    <w:pPr>
      <w:spacing w:after="200" w:line="276" w:lineRule="auto"/>
      <w:ind w:firstLine="360"/>
    </w:pPr>
    <w:rPr>
      <w:rFonts w:ascii="Calibri" w:eastAsia="Calibri" w:hAnsi="Calibri"/>
      <w:sz w:val="22"/>
    </w:rPr>
  </w:style>
  <w:style w:type="character" w:customStyle="1" w:styleId="BodyTextFirstIndentChar">
    <w:name w:val="Body Text First Indent Char"/>
    <w:basedOn w:val="BodyTextChar"/>
    <w:link w:val="BodyTextFirstIndent"/>
    <w:uiPriority w:val="99"/>
    <w:semiHidden/>
    <w:rsid w:val="00B43027"/>
    <w:rPr>
      <w:rFonts w:ascii="Calibri" w:eastAsia="Calibri" w:hAnsi="Calibri"/>
      <w:sz w:val="22"/>
      <w:szCs w:val="22"/>
    </w:rPr>
  </w:style>
  <w:style w:type="paragraph" w:styleId="BodyTextIndent">
    <w:name w:val="Body Text Indent"/>
    <w:basedOn w:val="Normal"/>
    <w:link w:val="BodyTextIndentChar"/>
    <w:uiPriority w:val="99"/>
    <w:semiHidden/>
    <w:unhideWhenUsed/>
    <w:rsid w:val="00B43027"/>
    <w:pPr>
      <w:spacing w:after="120"/>
      <w:ind w:left="360"/>
    </w:pPr>
  </w:style>
  <w:style w:type="character" w:customStyle="1" w:styleId="BodyTextIndentChar">
    <w:name w:val="Body Text Indent Char"/>
    <w:basedOn w:val="DefaultParagraphFont"/>
    <w:link w:val="BodyTextIndent"/>
    <w:uiPriority w:val="99"/>
    <w:semiHidden/>
    <w:rsid w:val="00B43027"/>
    <w:rPr>
      <w:rFonts w:ascii="Calibri" w:eastAsia="Calibri" w:hAnsi="Calibri"/>
      <w:sz w:val="22"/>
      <w:szCs w:val="22"/>
    </w:rPr>
  </w:style>
  <w:style w:type="paragraph" w:styleId="BodyTextFirstIndent2">
    <w:name w:val="Body Text First Indent 2"/>
    <w:basedOn w:val="BodyTextIndent"/>
    <w:link w:val="BodyTextFirstIndent2Char"/>
    <w:uiPriority w:val="99"/>
    <w:semiHidden/>
    <w:unhideWhenUsed/>
    <w:rsid w:val="00B43027"/>
    <w:pPr>
      <w:spacing w:after="200"/>
      <w:ind w:firstLine="360"/>
    </w:pPr>
  </w:style>
  <w:style w:type="character" w:customStyle="1" w:styleId="BodyTextFirstIndent2Char">
    <w:name w:val="Body Text First Indent 2 Char"/>
    <w:basedOn w:val="BodyTextIndentChar"/>
    <w:link w:val="BodyTextFirstIndent2"/>
    <w:uiPriority w:val="99"/>
    <w:semiHidden/>
    <w:rsid w:val="00B43027"/>
    <w:rPr>
      <w:rFonts w:ascii="Calibri" w:eastAsia="Calibri" w:hAnsi="Calibri"/>
      <w:sz w:val="22"/>
      <w:szCs w:val="22"/>
    </w:rPr>
  </w:style>
  <w:style w:type="paragraph" w:styleId="BodyTextIndent2">
    <w:name w:val="Body Text Indent 2"/>
    <w:basedOn w:val="Normal"/>
    <w:link w:val="BodyTextIndent2Char"/>
    <w:uiPriority w:val="99"/>
    <w:semiHidden/>
    <w:unhideWhenUsed/>
    <w:rsid w:val="00B43027"/>
    <w:pPr>
      <w:spacing w:after="120" w:line="480" w:lineRule="auto"/>
      <w:ind w:left="360"/>
    </w:pPr>
  </w:style>
  <w:style w:type="character" w:customStyle="1" w:styleId="BodyTextIndent2Char">
    <w:name w:val="Body Text Indent 2 Char"/>
    <w:basedOn w:val="DefaultParagraphFont"/>
    <w:link w:val="BodyTextIndent2"/>
    <w:uiPriority w:val="99"/>
    <w:semiHidden/>
    <w:rsid w:val="00B43027"/>
    <w:rPr>
      <w:rFonts w:ascii="Calibri" w:eastAsia="Calibri" w:hAnsi="Calibri"/>
      <w:sz w:val="22"/>
      <w:szCs w:val="22"/>
    </w:rPr>
  </w:style>
  <w:style w:type="paragraph" w:styleId="Caption">
    <w:name w:val="caption"/>
    <w:basedOn w:val="Normal"/>
    <w:next w:val="Normal"/>
    <w:uiPriority w:val="35"/>
    <w:semiHidden/>
    <w:unhideWhenUsed/>
    <w:qFormat/>
    <w:rsid w:val="00B4302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B43027"/>
    <w:pPr>
      <w:spacing w:after="0" w:line="240" w:lineRule="auto"/>
      <w:ind w:left="4320"/>
    </w:pPr>
  </w:style>
  <w:style w:type="character" w:customStyle="1" w:styleId="ClosingChar">
    <w:name w:val="Closing Char"/>
    <w:basedOn w:val="DefaultParagraphFont"/>
    <w:link w:val="Closing"/>
    <w:uiPriority w:val="99"/>
    <w:semiHidden/>
    <w:rsid w:val="00B43027"/>
    <w:rPr>
      <w:rFonts w:ascii="Calibri" w:eastAsia="Calibri" w:hAnsi="Calibri"/>
      <w:sz w:val="22"/>
      <w:szCs w:val="22"/>
    </w:rPr>
  </w:style>
  <w:style w:type="paragraph" w:styleId="Date">
    <w:name w:val="Date"/>
    <w:basedOn w:val="Normal"/>
    <w:next w:val="Normal"/>
    <w:link w:val="DateChar"/>
    <w:uiPriority w:val="99"/>
    <w:semiHidden/>
    <w:unhideWhenUsed/>
    <w:rsid w:val="00B43027"/>
  </w:style>
  <w:style w:type="character" w:customStyle="1" w:styleId="DateChar">
    <w:name w:val="Date Char"/>
    <w:basedOn w:val="DefaultParagraphFont"/>
    <w:link w:val="Date"/>
    <w:uiPriority w:val="99"/>
    <w:semiHidden/>
    <w:rsid w:val="00B43027"/>
    <w:rPr>
      <w:rFonts w:ascii="Calibri" w:eastAsia="Calibri" w:hAnsi="Calibri"/>
      <w:sz w:val="22"/>
      <w:szCs w:val="22"/>
    </w:rPr>
  </w:style>
  <w:style w:type="paragraph" w:styleId="DocumentMap">
    <w:name w:val="Document Map"/>
    <w:basedOn w:val="Normal"/>
    <w:link w:val="DocumentMapChar"/>
    <w:uiPriority w:val="99"/>
    <w:semiHidden/>
    <w:unhideWhenUsed/>
    <w:rsid w:val="00B430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027"/>
    <w:rPr>
      <w:rFonts w:ascii="Tahoma" w:eastAsia="Calibri" w:hAnsi="Tahoma" w:cs="Tahoma"/>
      <w:sz w:val="16"/>
      <w:szCs w:val="16"/>
    </w:rPr>
  </w:style>
  <w:style w:type="paragraph" w:styleId="E-mailSignature">
    <w:name w:val="E-mail Signature"/>
    <w:basedOn w:val="Normal"/>
    <w:link w:val="E-mailSignatureChar"/>
    <w:uiPriority w:val="99"/>
    <w:semiHidden/>
    <w:unhideWhenUsed/>
    <w:rsid w:val="00B43027"/>
    <w:pPr>
      <w:spacing w:after="0" w:line="240" w:lineRule="auto"/>
    </w:pPr>
  </w:style>
  <w:style w:type="character" w:customStyle="1" w:styleId="E-mailSignatureChar">
    <w:name w:val="E-mail Signature Char"/>
    <w:basedOn w:val="DefaultParagraphFont"/>
    <w:link w:val="E-mailSignature"/>
    <w:uiPriority w:val="99"/>
    <w:semiHidden/>
    <w:rsid w:val="00B43027"/>
    <w:rPr>
      <w:rFonts w:ascii="Calibri" w:eastAsia="Calibri" w:hAnsi="Calibri"/>
      <w:sz w:val="22"/>
      <w:szCs w:val="22"/>
    </w:rPr>
  </w:style>
  <w:style w:type="paragraph" w:styleId="EnvelopeAddress">
    <w:name w:val="envelope address"/>
    <w:basedOn w:val="Normal"/>
    <w:uiPriority w:val="99"/>
    <w:semiHidden/>
    <w:unhideWhenUsed/>
    <w:rsid w:val="00B4302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43027"/>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B4302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B43027"/>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B43027"/>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B4302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43027"/>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B43027"/>
    <w:rPr>
      <w:rFonts w:asciiTheme="majorHAnsi" w:eastAsiaTheme="majorEastAsia" w:hAnsiTheme="majorHAnsi" w:cstheme="majorBidi"/>
      <w:i/>
      <w:iCs/>
      <w:color w:val="404040" w:themeColor="text1" w:themeTint="BF"/>
      <w:sz w:val="20"/>
    </w:rPr>
  </w:style>
  <w:style w:type="paragraph" w:styleId="HTMLAddress">
    <w:name w:val="HTML Address"/>
    <w:basedOn w:val="Normal"/>
    <w:link w:val="HTMLAddressChar"/>
    <w:uiPriority w:val="99"/>
    <w:semiHidden/>
    <w:unhideWhenUsed/>
    <w:rsid w:val="00B43027"/>
    <w:pPr>
      <w:spacing w:after="0" w:line="240" w:lineRule="auto"/>
    </w:pPr>
    <w:rPr>
      <w:i/>
      <w:iCs/>
    </w:rPr>
  </w:style>
  <w:style w:type="character" w:customStyle="1" w:styleId="HTMLAddressChar">
    <w:name w:val="HTML Address Char"/>
    <w:basedOn w:val="DefaultParagraphFont"/>
    <w:link w:val="HTMLAddress"/>
    <w:uiPriority w:val="99"/>
    <w:semiHidden/>
    <w:rsid w:val="00B43027"/>
    <w:rPr>
      <w:rFonts w:ascii="Calibri" w:eastAsia="Calibri" w:hAnsi="Calibri"/>
      <w:i/>
      <w:iCs/>
      <w:sz w:val="22"/>
      <w:szCs w:val="22"/>
    </w:rPr>
  </w:style>
  <w:style w:type="paragraph" w:styleId="HTMLPreformatted">
    <w:name w:val="HTML Preformatted"/>
    <w:basedOn w:val="Normal"/>
    <w:link w:val="HTMLPreformattedChar"/>
    <w:uiPriority w:val="99"/>
    <w:semiHidden/>
    <w:unhideWhenUsed/>
    <w:rsid w:val="00B430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3027"/>
    <w:rPr>
      <w:rFonts w:ascii="Consolas" w:eastAsia="Calibri" w:hAnsi="Consolas"/>
      <w:sz w:val="20"/>
    </w:rPr>
  </w:style>
  <w:style w:type="paragraph" w:styleId="Index1">
    <w:name w:val="index 1"/>
    <w:basedOn w:val="Normal"/>
    <w:next w:val="Normal"/>
    <w:autoRedefine/>
    <w:uiPriority w:val="99"/>
    <w:semiHidden/>
    <w:unhideWhenUsed/>
    <w:rsid w:val="00B43027"/>
    <w:pPr>
      <w:spacing w:after="0" w:line="240" w:lineRule="auto"/>
      <w:ind w:left="220" w:hanging="220"/>
    </w:pPr>
  </w:style>
  <w:style w:type="paragraph" w:styleId="Index2">
    <w:name w:val="index 2"/>
    <w:basedOn w:val="Normal"/>
    <w:next w:val="Normal"/>
    <w:autoRedefine/>
    <w:uiPriority w:val="99"/>
    <w:semiHidden/>
    <w:unhideWhenUsed/>
    <w:rsid w:val="00B43027"/>
    <w:pPr>
      <w:spacing w:after="0" w:line="240" w:lineRule="auto"/>
      <w:ind w:left="440" w:hanging="220"/>
    </w:pPr>
  </w:style>
  <w:style w:type="paragraph" w:styleId="Index3">
    <w:name w:val="index 3"/>
    <w:basedOn w:val="Normal"/>
    <w:next w:val="Normal"/>
    <w:autoRedefine/>
    <w:uiPriority w:val="99"/>
    <w:semiHidden/>
    <w:unhideWhenUsed/>
    <w:rsid w:val="00B43027"/>
    <w:pPr>
      <w:spacing w:after="0" w:line="240" w:lineRule="auto"/>
      <w:ind w:left="660" w:hanging="220"/>
    </w:pPr>
  </w:style>
  <w:style w:type="paragraph" w:styleId="Index4">
    <w:name w:val="index 4"/>
    <w:basedOn w:val="Normal"/>
    <w:next w:val="Normal"/>
    <w:autoRedefine/>
    <w:uiPriority w:val="99"/>
    <w:semiHidden/>
    <w:unhideWhenUsed/>
    <w:rsid w:val="00B43027"/>
    <w:pPr>
      <w:spacing w:after="0" w:line="240" w:lineRule="auto"/>
      <w:ind w:left="880" w:hanging="220"/>
    </w:pPr>
  </w:style>
  <w:style w:type="paragraph" w:styleId="Index5">
    <w:name w:val="index 5"/>
    <w:basedOn w:val="Normal"/>
    <w:next w:val="Normal"/>
    <w:autoRedefine/>
    <w:uiPriority w:val="99"/>
    <w:semiHidden/>
    <w:unhideWhenUsed/>
    <w:rsid w:val="00B43027"/>
    <w:pPr>
      <w:spacing w:after="0" w:line="240" w:lineRule="auto"/>
      <w:ind w:left="1100" w:hanging="220"/>
    </w:pPr>
  </w:style>
  <w:style w:type="paragraph" w:styleId="Index6">
    <w:name w:val="index 6"/>
    <w:basedOn w:val="Normal"/>
    <w:next w:val="Normal"/>
    <w:autoRedefine/>
    <w:uiPriority w:val="99"/>
    <w:semiHidden/>
    <w:unhideWhenUsed/>
    <w:rsid w:val="00B43027"/>
    <w:pPr>
      <w:spacing w:after="0" w:line="240" w:lineRule="auto"/>
      <w:ind w:left="1320" w:hanging="220"/>
    </w:pPr>
  </w:style>
  <w:style w:type="paragraph" w:styleId="Index7">
    <w:name w:val="index 7"/>
    <w:basedOn w:val="Normal"/>
    <w:next w:val="Normal"/>
    <w:autoRedefine/>
    <w:uiPriority w:val="99"/>
    <w:semiHidden/>
    <w:unhideWhenUsed/>
    <w:rsid w:val="00B43027"/>
    <w:pPr>
      <w:spacing w:after="0" w:line="240" w:lineRule="auto"/>
      <w:ind w:left="1540" w:hanging="220"/>
    </w:pPr>
  </w:style>
  <w:style w:type="paragraph" w:styleId="Index8">
    <w:name w:val="index 8"/>
    <w:basedOn w:val="Normal"/>
    <w:next w:val="Normal"/>
    <w:autoRedefine/>
    <w:uiPriority w:val="99"/>
    <w:semiHidden/>
    <w:unhideWhenUsed/>
    <w:rsid w:val="00B43027"/>
    <w:pPr>
      <w:spacing w:after="0" w:line="240" w:lineRule="auto"/>
      <w:ind w:left="1760" w:hanging="220"/>
    </w:pPr>
  </w:style>
  <w:style w:type="paragraph" w:styleId="Index9">
    <w:name w:val="index 9"/>
    <w:basedOn w:val="Normal"/>
    <w:next w:val="Normal"/>
    <w:autoRedefine/>
    <w:uiPriority w:val="99"/>
    <w:semiHidden/>
    <w:unhideWhenUsed/>
    <w:rsid w:val="00B43027"/>
    <w:pPr>
      <w:spacing w:after="0" w:line="240" w:lineRule="auto"/>
      <w:ind w:left="1980" w:hanging="220"/>
    </w:pPr>
  </w:style>
  <w:style w:type="paragraph" w:styleId="IndexHeading">
    <w:name w:val="index heading"/>
    <w:basedOn w:val="Normal"/>
    <w:next w:val="Index1"/>
    <w:uiPriority w:val="99"/>
    <w:semiHidden/>
    <w:unhideWhenUsed/>
    <w:rsid w:val="00B43027"/>
    <w:rPr>
      <w:rFonts w:asciiTheme="majorHAnsi" w:eastAsiaTheme="majorEastAsia" w:hAnsiTheme="majorHAnsi" w:cstheme="majorBidi"/>
      <w:b/>
      <w:bCs/>
    </w:rPr>
  </w:style>
  <w:style w:type="paragraph" w:styleId="List">
    <w:name w:val="List"/>
    <w:basedOn w:val="Normal"/>
    <w:uiPriority w:val="99"/>
    <w:semiHidden/>
    <w:unhideWhenUsed/>
    <w:rsid w:val="00B43027"/>
    <w:pPr>
      <w:ind w:left="360" w:hanging="360"/>
      <w:contextualSpacing/>
    </w:pPr>
  </w:style>
  <w:style w:type="paragraph" w:styleId="List2">
    <w:name w:val="List 2"/>
    <w:basedOn w:val="Normal"/>
    <w:uiPriority w:val="99"/>
    <w:semiHidden/>
    <w:unhideWhenUsed/>
    <w:rsid w:val="00B43027"/>
    <w:pPr>
      <w:ind w:left="720" w:hanging="360"/>
      <w:contextualSpacing/>
    </w:pPr>
  </w:style>
  <w:style w:type="paragraph" w:styleId="List3">
    <w:name w:val="List 3"/>
    <w:basedOn w:val="Normal"/>
    <w:uiPriority w:val="99"/>
    <w:semiHidden/>
    <w:unhideWhenUsed/>
    <w:rsid w:val="00B43027"/>
    <w:pPr>
      <w:ind w:left="1080" w:hanging="360"/>
      <w:contextualSpacing/>
    </w:pPr>
  </w:style>
  <w:style w:type="paragraph" w:styleId="List4">
    <w:name w:val="List 4"/>
    <w:basedOn w:val="Normal"/>
    <w:uiPriority w:val="99"/>
    <w:semiHidden/>
    <w:unhideWhenUsed/>
    <w:rsid w:val="00B43027"/>
    <w:pPr>
      <w:ind w:left="1440" w:hanging="360"/>
      <w:contextualSpacing/>
    </w:pPr>
  </w:style>
  <w:style w:type="paragraph" w:styleId="List5">
    <w:name w:val="List 5"/>
    <w:basedOn w:val="Normal"/>
    <w:uiPriority w:val="99"/>
    <w:semiHidden/>
    <w:unhideWhenUsed/>
    <w:rsid w:val="00B43027"/>
    <w:pPr>
      <w:ind w:left="1800" w:hanging="360"/>
      <w:contextualSpacing/>
    </w:pPr>
  </w:style>
  <w:style w:type="paragraph" w:styleId="ListBullet">
    <w:name w:val="List Bullet"/>
    <w:basedOn w:val="Normal"/>
    <w:uiPriority w:val="99"/>
    <w:semiHidden/>
    <w:unhideWhenUsed/>
    <w:rsid w:val="00B43027"/>
    <w:pPr>
      <w:numPr>
        <w:numId w:val="31"/>
      </w:numPr>
      <w:contextualSpacing/>
    </w:pPr>
  </w:style>
  <w:style w:type="paragraph" w:styleId="ListBullet2">
    <w:name w:val="List Bullet 2"/>
    <w:basedOn w:val="Normal"/>
    <w:uiPriority w:val="99"/>
    <w:semiHidden/>
    <w:unhideWhenUsed/>
    <w:rsid w:val="00B43027"/>
    <w:pPr>
      <w:numPr>
        <w:numId w:val="32"/>
      </w:numPr>
      <w:contextualSpacing/>
    </w:pPr>
  </w:style>
  <w:style w:type="paragraph" w:styleId="ListBullet3">
    <w:name w:val="List Bullet 3"/>
    <w:basedOn w:val="Normal"/>
    <w:uiPriority w:val="99"/>
    <w:semiHidden/>
    <w:unhideWhenUsed/>
    <w:rsid w:val="00B43027"/>
    <w:pPr>
      <w:numPr>
        <w:numId w:val="33"/>
      </w:numPr>
      <w:contextualSpacing/>
    </w:pPr>
  </w:style>
  <w:style w:type="paragraph" w:styleId="ListBullet4">
    <w:name w:val="List Bullet 4"/>
    <w:basedOn w:val="Normal"/>
    <w:uiPriority w:val="99"/>
    <w:semiHidden/>
    <w:unhideWhenUsed/>
    <w:rsid w:val="00B43027"/>
    <w:pPr>
      <w:numPr>
        <w:numId w:val="34"/>
      </w:numPr>
      <w:contextualSpacing/>
    </w:pPr>
  </w:style>
  <w:style w:type="paragraph" w:styleId="ListBullet5">
    <w:name w:val="List Bullet 5"/>
    <w:basedOn w:val="Normal"/>
    <w:uiPriority w:val="99"/>
    <w:semiHidden/>
    <w:unhideWhenUsed/>
    <w:rsid w:val="00B43027"/>
    <w:pPr>
      <w:numPr>
        <w:numId w:val="35"/>
      </w:numPr>
      <w:contextualSpacing/>
    </w:pPr>
  </w:style>
  <w:style w:type="paragraph" w:styleId="ListContinue">
    <w:name w:val="List Continue"/>
    <w:basedOn w:val="Normal"/>
    <w:uiPriority w:val="99"/>
    <w:semiHidden/>
    <w:unhideWhenUsed/>
    <w:rsid w:val="00B43027"/>
    <w:pPr>
      <w:spacing w:after="120"/>
      <w:ind w:left="360"/>
      <w:contextualSpacing/>
    </w:pPr>
  </w:style>
  <w:style w:type="paragraph" w:styleId="ListContinue2">
    <w:name w:val="List Continue 2"/>
    <w:basedOn w:val="Normal"/>
    <w:uiPriority w:val="99"/>
    <w:semiHidden/>
    <w:unhideWhenUsed/>
    <w:rsid w:val="00B43027"/>
    <w:pPr>
      <w:spacing w:after="120"/>
      <w:ind w:left="720"/>
      <w:contextualSpacing/>
    </w:pPr>
  </w:style>
  <w:style w:type="paragraph" w:styleId="ListContinue3">
    <w:name w:val="List Continue 3"/>
    <w:basedOn w:val="Normal"/>
    <w:uiPriority w:val="99"/>
    <w:semiHidden/>
    <w:unhideWhenUsed/>
    <w:rsid w:val="00B43027"/>
    <w:pPr>
      <w:spacing w:after="120"/>
      <w:ind w:left="1080"/>
      <w:contextualSpacing/>
    </w:pPr>
  </w:style>
  <w:style w:type="paragraph" w:styleId="ListContinue4">
    <w:name w:val="List Continue 4"/>
    <w:basedOn w:val="Normal"/>
    <w:uiPriority w:val="99"/>
    <w:semiHidden/>
    <w:unhideWhenUsed/>
    <w:rsid w:val="00B43027"/>
    <w:pPr>
      <w:spacing w:after="120"/>
      <w:ind w:left="1440"/>
      <w:contextualSpacing/>
    </w:pPr>
  </w:style>
  <w:style w:type="paragraph" w:styleId="ListContinue5">
    <w:name w:val="List Continue 5"/>
    <w:basedOn w:val="Normal"/>
    <w:uiPriority w:val="99"/>
    <w:semiHidden/>
    <w:unhideWhenUsed/>
    <w:rsid w:val="00B43027"/>
    <w:pPr>
      <w:spacing w:after="120"/>
      <w:ind w:left="1800"/>
      <w:contextualSpacing/>
    </w:pPr>
  </w:style>
  <w:style w:type="paragraph" w:styleId="ListNumber">
    <w:name w:val="List Number"/>
    <w:basedOn w:val="Normal"/>
    <w:uiPriority w:val="99"/>
    <w:semiHidden/>
    <w:unhideWhenUsed/>
    <w:rsid w:val="00B43027"/>
    <w:pPr>
      <w:numPr>
        <w:numId w:val="36"/>
      </w:numPr>
      <w:contextualSpacing/>
    </w:pPr>
  </w:style>
  <w:style w:type="paragraph" w:styleId="ListNumber2">
    <w:name w:val="List Number 2"/>
    <w:basedOn w:val="Normal"/>
    <w:uiPriority w:val="99"/>
    <w:semiHidden/>
    <w:unhideWhenUsed/>
    <w:rsid w:val="00B43027"/>
    <w:pPr>
      <w:numPr>
        <w:numId w:val="37"/>
      </w:numPr>
      <w:contextualSpacing/>
    </w:pPr>
  </w:style>
  <w:style w:type="paragraph" w:styleId="ListNumber3">
    <w:name w:val="List Number 3"/>
    <w:basedOn w:val="Normal"/>
    <w:uiPriority w:val="99"/>
    <w:semiHidden/>
    <w:unhideWhenUsed/>
    <w:rsid w:val="00B43027"/>
    <w:pPr>
      <w:numPr>
        <w:numId w:val="38"/>
      </w:numPr>
      <w:contextualSpacing/>
    </w:pPr>
  </w:style>
  <w:style w:type="paragraph" w:styleId="ListNumber4">
    <w:name w:val="List Number 4"/>
    <w:basedOn w:val="Normal"/>
    <w:uiPriority w:val="99"/>
    <w:semiHidden/>
    <w:unhideWhenUsed/>
    <w:rsid w:val="00B43027"/>
    <w:pPr>
      <w:numPr>
        <w:numId w:val="39"/>
      </w:numPr>
      <w:contextualSpacing/>
    </w:pPr>
  </w:style>
  <w:style w:type="paragraph" w:styleId="ListNumber5">
    <w:name w:val="List Number 5"/>
    <w:basedOn w:val="Normal"/>
    <w:uiPriority w:val="99"/>
    <w:semiHidden/>
    <w:unhideWhenUsed/>
    <w:rsid w:val="00B43027"/>
    <w:pPr>
      <w:numPr>
        <w:numId w:val="40"/>
      </w:numPr>
      <w:contextualSpacing/>
    </w:pPr>
  </w:style>
  <w:style w:type="paragraph" w:styleId="MacroText">
    <w:name w:val="macro"/>
    <w:link w:val="MacroTextChar"/>
    <w:uiPriority w:val="99"/>
    <w:semiHidden/>
    <w:unhideWhenUsed/>
    <w:rsid w:val="00B43027"/>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sz w:val="20"/>
    </w:rPr>
  </w:style>
  <w:style w:type="character" w:customStyle="1" w:styleId="MacroTextChar">
    <w:name w:val="Macro Text Char"/>
    <w:basedOn w:val="DefaultParagraphFont"/>
    <w:link w:val="MacroText"/>
    <w:uiPriority w:val="99"/>
    <w:semiHidden/>
    <w:rsid w:val="00B43027"/>
    <w:rPr>
      <w:rFonts w:ascii="Consolas" w:eastAsia="Calibri" w:hAnsi="Consolas"/>
      <w:sz w:val="20"/>
    </w:rPr>
  </w:style>
  <w:style w:type="paragraph" w:styleId="MessageHeader">
    <w:name w:val="Message Header"/>
    <w:basedOn w:val="Normal"/>
    <w:link w:val="MessageHeaderChar"/>
    <w:uiPriority w:val="99"/>
    <w:semiHidden/>
    <w:unhideWhenUsed/>
    <w:rsid w:val="00B4302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43027"/>
    <w:rPr>
      <w:rFonts w:asciiTheme="majorHAnsi" w:eastAsiaTheme="majorEastAsia" w:hAnsiTheme="majorHAnsi" w:cstheme="majorBidi"/>
      <w:szCs w:val="24"/>
      <w:shd w:val="pct20" w:color="auto" w:fill="auto"/>
    </w:rPr>
  </w:style>
  <w:style w:type="paragraph" w:styleId="NoSpacing">
    <w:name w:val="No Spacing"/>
    <w:uiPriority w:val="1"/>
    <w:qFormat/>
    <w:rsid w:val="00B43027"/>
    <w:pPr>
      <w:spacing w:after="0" w:line="240" w:lineRule="auto"/>
    </w:pPr>
    <w:rPr>
      <w:rFonts w:ascii="Calibri" w:eastAsia="Calibri" w:hAnsi="Calibri"/>
      <w:sz w:val="22"/>
      <w:szCs w:val="22"/>
    </w:rPr>
  </w:style>
  <w:style w:type="paragraph" w:styleId="NormalIndent">
    <w:name w:val="Normal Indent"/>
    <w:basedOn w:val="Normal"/>
    <w:uiPriority w:val="99"/>
    <w:semiHidden/>
    <w:unhideWhenUsed/>
    <w:rsid w:val="00B43027"/>
    <w:pPr>
      <w:ind w:left="720"/>
    </w:pPr>
  </w:style>
  <w:style w:type="paragraph" w:styleId="NoteHeading">
    <w:name w:val="Note Heading"/>
    <w:basedOn w:val="Normal"/>
    <w:next w:val="Normal"/>
    <w:link w:val="NoteHeadingChar"/>
    <w:uiPriority w:val="99"/>
    <w:semiHidden/>
    <w:unhideWhenUsed/>
    <w:rsid w:val="00B43027"/>
    <w:pPr>
      <w:spacing w:after="0" w:line="240" w:lineRule="auto"/>
    </w:pPr>
  </w:style>
  <w:style w:type="character" w:customStyle="1" w:styleId="NoteHeadingChar">
    <w:name w:val="Note Heading Char"/>
    <w:basedOn w:val="DefaultParagraphFont"/>
    <w:link w:val="NoteHeading"/>
    <w:uiPriority w:val="99"/>
    <w:semiHidden/>
    <w:rsid w:val="00B43027"/>
    <w:rPr>
      <w:rFonts w:ascii="Calibri" w:eastAsia="Calibri" w:hAnsi="Calibri"/>
      <w:sz w:val="22"/>
      <w:szCs w:val="22"/>
    </w:rPr>
  </w:style>
  <w:style w:type="paragraph" w:styleId="Salutation">
    <w:name w:val="Salutation"/>
    <w:basedOn w:val="Normal"/>
    <w:next w:val="Normal"/>
    <w:link w:val="SalutationChar"/>
    <w:uiPriority w:val="99"/>
    <w:semiHidden/>
    <w:unhideWhenUsed/>
    <w:rsid w:val="00B43027"/>
  </w:style>
  <w:style w:type="character" w:customStyle="1" w:styleId="SalutationChar">
    <w:name w:val="Salutation Char"/>
    <w:basedOn w:val="DefaultParagraphFont"/>
    <w:link w:val="Salutation"/>
    <w:uiPriority w:val="99"/>
    <w:semiHidden/>
    <w:rsid w:val="00B43027"/>
    <w:rPr>
      <w:rFonts w:ascii="Calibri" w:eastAsia="Calibri" w:hAnsi="Calibri"/>
      <w:sz w:val="22"/>
      <w:szCs w:val="22"/>
    </w:rPr>
  </w:style>
  <w:style w:type="paragraph" w:styleId="Signature">
    <w:name w:val="Signature"/>
    <w:basedOn w:val="Normal"/>
    <w:link w:val="SignatureChar"/>
    <w:uiPriority w:val="99"/>
    <w:semiHidden/>
    <w:unhideWhenUsed/>
    <w:rsid w:val="00B43027"/>
    <w:pPr>
      <w:spacing w:after="0" w:line="240" w:lineRule="auto"/>
      <w:ind w:left="4320"/>
    </w:pPr>
  </w:style>
  <w:style w:type="character" w:customStyle="1" w:styleId="SignatureChar">
    <w:name w:val="Signature Char"/>
    <w:basedOn w:val="DefaultParagraphFont"/>
    <w:link w:val="Signature"/>
    <w:uiPriority w:val="99"/>
    <w:semiHidden/>
    <w:rsid w:val="00B43027"/>
    <w:rPr>
      <w:rFonts w:ascii="Calibri" w:eastAsia="Calibri" w:hAnsi="Calibri"/>
      <w:sz w:val="22"/>
      <w:szCs w:val="22"/>
    </w:rPr>
  </w:style>
  <w:style w:type="paragraph" w:styleId="TOAHeading">
    <w:name w:val="toa heading"/>
    <w:basedOn w:val="Normal"/>
    <w:next w:val="Normal"/>
    <w:uiPriority w:val="99"/>
    <w:semiHidden/>
    <w:unhideWhenUsed/>
    <w:rsid w:val="00B4302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B43027"/>
    <w:pPr>
      <w:spacing w:after="100"/>
      <w:ind w:left="440"/>
    </w:pPr>
  </w:style>
  <w:style w:type="paragraph" w:styleId="TOC4">
    <w:name w:val="toc 4"/>
    <w:basedOn w:val="Normal"/>
    <w:next w:val="Normal"/>
    <w:autoRedefine/>
    <w:uiPriority w:val="39"/>
    <w:semiHidden/>
    <w:unhideWhenUsed/>
    <w:rsid w:val="00B43027"/>
    <w:pPr>
      <w:spacing w:after="100"/>
      <w:ind w:left="660"/>
    </w:pPr>
  </w:style>
  <w:style w:type="paragraph" w:styleId="TOC5">
    <w:name w:val="toc 5"/>
    <w:basedOn w:val="Normal"/>
    <w:next w:val="Normal"/>
    <w:autoRedefine/>
    <w:uiPriority w:val="39"/>
    <w:semiHidden/>
    <w:unhideWhenUsed/>
    <w:rsid w:val="00B43027"/>
    <w:pPr>
      <w:spacing w:after="100"/>
      <w:ind w:left="880"/>
    </w:pPr>
  </w:style>
  <w:style w:type="paragraph" w:styleId="TOC6">
    <w:name w:val="toc 6"/>
    <w:basedOn w:val="Normal"/>
    <w:next w:val="Normal"/>
    <w:autoRedefine/>
    <w:uiPriority w:val="39"/>
    <w:semiHidden/>
    <w:unhideWhenUsed/>
    <w:rsid w:val="00B43027"/>
    <w:pPr>
      <w:spacing w:after="100"/>
      <w:ind w:left="1100"/>
    </w:pPr>
  </w:style>
  <w:style w:type="paragraph" w:styleId="TOC7">
    <w:name w:val="toc 7"/>
    <w:basedOn w:val="Normal"/>
    <w:next w:val="Normal"/>
    <w:autoRedefine/>
    <w:uiPriority w:val="39"/>
    <w:semiHidden/>
    <w:unhideWhenUsed/>
    <w:rsid w:val="00B43027"/>
    <w:pPr>
      <w:spacing w:after="100"/>
      <w:ind w:left="1320"/>
    </w:pPr>
  </w:style>
  <w:style w:type="paragraph" w:styleId="TOC8">
    <w:name w:val="toc 8"/>
    <w:basedOn w:val="Normal"/>
    <w:next w:val="Normal"/>
    <w:autoRedefine/>
    <w:uiPriority w:val="39"/>
    <w:semiHidden/>
    <w:unhideWhenUsed/>
    <w:rsid w:val="00B43027"/>
    <w:pPr>
      <w:spacing w:after="100"/>
      <w:ind w:left="1540"/>
    </w:pPr>
  </w:style>
  <w:style w:type="paragraph" w:styleId="TOC9">
    <w:name w:val="toc 9"/>
    <w:basedOn w:val="Normal"/>
    <w:next w:val="Normal"/>
    <w:autoRedefine/>
    <w:uiPriority w:val="39"/>
    <w:semiHidden/>
    <w:unhideWhenUsed/>
    <w:rsid w:val="00B43027"/>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9B"/>
    <w:rPr>
      <w:rFonts w:ascii="Calibri" w:eastAsia="Calibri" w:hAnsi="Calibri"/>
      <w:sz w:val="22"/>
      <w:szCs w:val="22"/>
    </w:rPr>
  </w:style>
  <w:style w:type="paragraph" w:styleId="Heading1">
    <w:name w:val="heading 1"/>
    <w:next w:val="Normal"/>
    <w:link w:val="Heading1Char"/>
    <w:uiPriority w:val="9"/>
    <w:qFormat/>
    <w:rsid w:val="00B0519B"/>
    <w:pPr>
      <w:keepNext/>
      <w:keepLines/>
      <w:spacing w:before="120" w:after="360" w:line="240" w:lineRule="auto"/>
      <w:outlineLvl w:val="0"/>
    </w:pPr>
    <w:rPr>
      <w:rFonts w:ascii="Arial" w:eastAsia="Times New Roman" w:hAnsi="Arial"/>
      <w:b/>
      <w:bCs/>
      <w:sz w:val="36"/>
      <w:szCs w:val="28"/>
    </w:rPr>
  </w:style>
  <w:style w:type="paragraph" w:styleId="Heading2">
    <w:name w:val="heading 2"/>
    <w:link w:val="Heading2Char"/>
    <w:uiPriority w:val="9"/>
    <w:qFormat/>
    <w:rsid w:val="00A12CA5"/>
    <w:pPr>
      <w:keepNext/>
      <w:keepLines/>
      <w:spacing w:before="360" w:after="100" w:afterAutospacing="1" w:line="240" w:lineRule="auto"/>
      <w:outlineLvl w:val="1"/>
    </w:pPr>
    <w:rPr>
      <w:rFonts w:ascii="Arial" w:eastAsia="Times New Roman" w:hAnsi="Arial"/>
      <w:b/>
      <w:bCs/>
      <w:sz w:val="28"/>
      <w:szCs w:val="36"/>
    </w:rPr>
  </w:style>
  <w:style w:type="paragraph" w:styleId="Heading3">
    <w:name w:val="heading 3"/>
    <w:basedOn w:val="Normal"/>
    <w:next w:val="Normal"/>
    <w:link w:val="Heading3Char"/>
    <w:uiPriority w:val="9"/>
    <w:unhideWhenUsed/>
    <w:qFormat/>
    <w:rsid w:val="00B0519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B43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30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30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30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0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0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EvidenceTable">
    <w:name w:val="Evidence Table"/>
    <w:basedOn w:val="TableNormal"/>
    <w:rsid w:val="002F204E"/>
    <w:pPr>
      <w:spacing w:after="0" w:line="240" w:lineRule="auto"/>
    </w:pPr>
    <w:rPr>
      <w:rFonts w:ascii="Arial" w:eastAsia="Times New Roman" w:hAnsi="Arial"/>
      <w:color w:val="000000" w:themeColor="text1"/>
      <w:sz w:val="18"/>
    </w:rPr>
    <w:tblPr>
      <w:tblInd w:w="0" w:type="dxa"/>
      <w:tblBorders>
        <w:top w:val="single" w:sz="4" w:space="0" w:color="auto"/>
        <w:bottom w:val="single" w:sz="4" w:space="0" w:color="auto"/>
        <w:insideH w:val="single" w:sz="4" w:space="0" w:color="auto"/>
      </w:tblBorders>
      <w:tblCellMar>
        <w:top w:w="29" w:type="dxa"/>
        <w:left w:w="115" w:type="dxa"/>
        <w:bottom w:w="29" w:type="dxa"/>
        <w:right w:w="115" w:type="dxa"/>
      </w:tblCellMar>
    </w:tblPr>
    <w:trPr>
      <w:cantSplit/>
    </w:trPr>
    <w:tblStylePr w:type="firstRow">
      <w:pPr>
        <w:jc w:val="left"/>
      </w:pPr>
      <w:rPr>
        <w:rFonts w:ascii="Arial" w:hAnsi="Arial"/>
        <w:b/>
        <w:sz w:val="18"/>
      </w:rPr>
      <w:tblPr/>
      <w:tcPr>
        <w:shd w:val="clear" w:color="auto" w:fill="D9D9D9" w:themeFill="background1" w:themeFillShade="D9"/>
        <w:vAlign w:val="bottom"/>
      </w:tcPr>
    </w:tblStylePr>
  </w:style>
  <w:style w:type="character" w:customStyle="1" w:styleId="Heading1Char">
    <w:name w:val="Heading 1 Char"/>
    <w:basedOn w:val="DefaultParagraphFont"/>
    <w:link w:val="Heading1"/>
    <w:uiPriority w:val="9"/>
    <w:rsid w:val="00B0519B"/>
    <w:rPr>
      <w:rFonts w:ascii="Arial" w:eastAsia="Times New Roman" w:hAnsi="Arial"/>
      <w:b/>
      <w:bCs/>
      <w:sz w:val="36"/>
      <w:szCs w:val="28"/>
    </w:rPr>
  </w:style>
  <w:style w:type="character" w:customStyle="1" w:styleId="Heading2Char">
    <w:name w:val="Heading 2 Char"/>
    <w:basedOn w:val="DefaultParagraphFont"/>
    <w:link w:val="Heading2"/>
    <w:uiPriority w:val="9"/>
    <w:rsid w:val="00A12CA5"/>
    <w:rPr>
      <w:rFonts w:ascii="Arial" w:eastAsia="Times New Roman" w:hAnsi="Arial"/>
      <w:b/>
      <w:bCs/>
      <w:sz w:val="28"/>
      <w:szCs w:val="36"/>
    </w:rPr>
  </w:style>
  <w:style w:type="character" w:customStyle="1" w:styleId="Heading3Char">
    <w:name w:val="Heading 3 Char"/>
    <w:basedOn w:val="DefaultParagraphFont"/>
    <w:link w:val="Heading3"/>
    <w:uiPriority w:val="9"/>
    <w:rsid w:val="00B0519B"/>
    <w:rPr>
      <w:rFonts w:ascii="Cambria" w:eastAsia="Times New Roman" w:hAnsi="Cambria"/>
      <w:b/>
      <w:bCs/>
      <w:color w:val="4F81BD"/>
      <w:sz w:val="22"/>
      <w:szCs w:val="22"/>
    </w:rPr>
  </w:style>
  <w:style w:type="paragraph" w:customStyle="1" w:styleId="Default">
    <w:name w:val="Default"/>
    <w:rsid w:val="00B0519B"/>
    <w:pPr>
      <w:autoSpaceDE w:val="0"/>
      <w:autoSpaceDN w:val="0"/>
      <w:adjustRightInd w:val="0"/>
      <w:spacing w:after="0" w:line="240" w:lineRule="auto"/>
    </w:pPr>
    <w:rPr>
      <w:rFonts w:ascii="Helvetica" w:eastAsia="Calibri" w:hAnsi="Helvetica" w:cs="Helvetica"/>
      <w:color w:val="000000"/>
      <w:szCs w:val="24"/>
    </w:rPr>
  </w:style>
  <w:style w:type="paragraph" w:customStyle="1" w:styleId="CM2">
    <w:name w:val="CM2"/>
    <w:basedOn w:val="Default"/>
    <w:next w:val="Default"/>
    <w:uiPriority w:val="99"/>
    <w:rsid w:val="00B0519B"/>
  </w:style>
  <w:style w:type="paragraph" w:customStyle="1" w:styleId="CM1">
    <w:name w:val="CM1"/>
    <w:basedOn w:val="Default"/>
    <w:next w:val="Default"/>
    <w:uiPriority w:val="99"/>
    <w:rsid w:val="00B0519B"/>
  </w:style>
  <w:style w:type="paragraph" w:customStyle="1" w:styleId="NCDLetterheadHead">
    <w:name w:val="NCD Letterhead Head"/>
    <w:rsid w:val="00B0519B"/>
    <w:pPr>
      <w:spacing w:before="480" w:after="240" w:line="240" w:lineRule="auto"/>
      <w:jc w:val="center"/>
    </w:pPr>
    <w:rPr>
      <w:rFonts w:ascii="Arial" w:eastAsia="Times New Roman" w:hAnsi="Arial"/>
      <w:b/>
      <w:bCs/>
      <w:sz w:val="28"/>
      <w:szCs w:val="24"/>
    </w:rPr>
  </w:style>
  <w:style w:type="paragraph" w:styleId="NormalWeb">
    <w:name w:val="Normal (Web)"/>
    <w:basedOn w:val="Default"/>
    <w:next w:val="Default"/>
    <w:link w:val="NormalWebChar"/>
    <w:uiPriority w:val="99"/>
    <w:rsid w:val="00B0519B"/>
    <w:rPr>
      <w:rFonts w:cs="Times New Roman"/>
      <w:color w:val="auto"/>
    </w:rPr>
  </w:style>
  <w:style w:type="paragraph" w:customStyle="1" w:styleId="NCDLetterText">
    <w:name w:val="NCD Letter Text"/>
    <w:rsid w:val="00B0519B"/>
    <w:pPr>
      <w:spacing w:after="240" w:line="240" w:lineRule="auto"/>
    </w:pPr>
    <w:rPr>
      <w:rFonts w:ascii="Arial" w:eastAsia="Times New Roman" w:hAnsi="Arial"/>
      <w:szCs w:val="24"/>
    </w:rPr>
  </w:style>
  <w:style w:type="paragraph" w:customStyle="1" w:styleId="NCDFrontMatterTitle">
    <w:name w:val="NCD Front Matter Title"/>
    <w:rsid w:val="00B0519B"/>
    <w:pPr>
      <w:spacing w:after="0" w:line="240" w:lineRule="auto"/>
      <w:jc w:val="center"/>
    </w:pPr>
    <w:rPr>
      <w:rFonts w:ascii="Arial" w:eastAsia="Times New Roman" w:hAnsi="Arial"/>
      <w:b/>
      <w:sz w:val="36"/>
      <w:szCs w:val="36"/>
    </w:rPr>
  </w:style>
  <w:style w:type="paragraph" w:customStyle="1" w:styleId="NCDFrontMatterSubtitle">
    <w:name w:val="NCD Front Matter Subtitle"/>
    <w:rsid w:val="00B0519B"/>
    <w:pPr>
      <w:spacing w:before="240" w:after="120" w:line="240" w:lineRule="auto"/>
      <w:jc w:val="center"/>
    </w:pPr>
    <w:rPr>
      <w:rFonts w:ascii="Arial" w:eastAsia="Times New Roman" w:hAnsi="Arial"/>
      <w:b/>
      <w:sz w:val="29"/>
      <w:szCs w:val="29"/>
    </w:rPr>
  </w:style>
  <w:style w:type="paragraph" w:customStyle="1" w:styleId="NCDStaffList">
    <w:name w:val="NCD Staff List"/>
    <w:autoRedefine/>
    <w:rsid w:val="00B0519B"/>
    <w:pPr>
      <w:spacing w:after="0" w:line="240" w:lineRule="auto"/>
      <w:jc w:val="center"/>
    </w:pPr>
    <w:rPr>
      <w:rFonts w:ascii="Arial" w:eastAsia="Times New Roman" w:hAnsi="Arial"/>
      <w:szCs w:val="24"/>
    </w:rPr>
  </w:style>
  <w:style w:type="paragraph" w:styleId="Title">
    <w:name w:val="Title"/>
    <w:basedOn w:val="Normal"/>
    <w:next w:val="Normal"/>
    <w:link w:val="TitleChar"/>
    <w:uiPriority w:val="10"/>
    <w:qFormat/>
    <w:rsid w:val="00B0519B"/>
    <w:pPr>
      <w:pBdr>
        <w:bottom w:val="single" w:sz="8" w:space="4" w:color="4F81BD"/>
      </w:pBdr>
      <w:spacing w:after="300" w:line="240" w:lineRule="auto"/>
      <w:contextualSpacing/>
    </w:pPr>
    <w:rPr>
      <w:rFonts w:ascii="Cambria" w:eastAsia="Times New Roman" w:hAnsi="Cambria"/>
      <w:color w:val="17365D"/>
      <w:spacing w:val="5"/>
      <w:kern w:val="28"/>
      <w:sz w:val="52"/>
      <w:szCs w:val="52"/>
      <w:lang w:eastAsia="ja-JP"/>
    </w:rPr>
  </w:style>
  <w:style w:type="character" w:customStyle="1" w:styleId="TitleChar">
    <w:name w:val="Title Char"/>
    <w:basedOn w:val="DefaultParagraphFont"/>
    <w:link w:val="Title"/>
    <w:uiPriority w:val="10"/>
    <w:rsid w:val="00B0519B"/>
    <w:rPr>
      <w:rFonts w:ascii="Cambria" w:eastAsia="Times New Roman" w:hAnsi="Cambria"/>
      <w:color w:val="17365D"/>
      <w:spacing w:val="5"/>
      <w:kern w:val="28"/>
      <w:sz w:val="52"/>
      <w:szCs w:val="52"/>
      <w:lang w:eastAsia="ja-JP"/>
    </w:rPr>
  </w:style>
  <w:style w:type="paragraph" w:styleId="Subtitle">
    <w:name w:val="Subtitle"/>
    <w:basedOn w:val="Normal"/>
    <w:next w:val="Normal"/>
    <w:link w:val="SubtitleChar"/>
    <w:uiPriority w:val="11"/>
    <w:qFormat/>
    <w:rsid w:val="00B0519B"/>
    <w:pPr>
      <w:numPr>
        <w:ilvl w:val="1"/>
      </w:numPr>
    </w:pPr>
    <w:rPr>
      <w:rFonts w:ascii="Cambria" w:eastAsia="Times New Roman" w:hAnsi="Cambria"/>
      <w:i/>
      <w:iCs/>
      <w:color w:val="4F81BD"/>
      <w:spacing w:val="15"/>
      <w:sz w:val="24"/>
      <w:szCs w:val="24"/>
      <w:lang w:eastAsia="ja-JP"/>
    </w:rPr>
  </w:style>
  <w:style w:type="character" w:customStyle="1" w:styleId="SubtitleChar">
    <w:name w:val="Subtitle Char"/>
    <w:basedOn w:val="DefaultParagraphFont"/>
    <w:link w:val="Subtitle"/>
    <w:uiPriority w:val="11"/>
    <w:rsid w:val="00B0519B"/>
    <w:rPr>
      <w:rFonts w:ascii="Cambria" w:eastAsia="Times New Roman" w:hAnsi="Cambria"/>
      <w:i/>
      <w:iCs/>
      <w:color w:val="4F81BD"/>
      <w:spacing w:val="15"/>
      <w:szCs w:val="24"/>
      <w:lang w:eastAsia="ja-JP"/>
    </w:rPr>
  </w:style>
  <w:style w:type="paragraph" w:styleId="BalloonText">
    <w:name w:val="Balloon Text"/>
    <w:basedOn w:val="Normal"/>
    <w:link w:val="BalloonTextChar"/>
    <w:uiPriority w:val="99"/>
    <w:semiHidden/>
    <w:unhideWhenUsed/>
    <w:rsid w:val="00B0519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0519B"/>
    <w:rPr>
      <w:rFonts w:ascii="Tahoma" w:eastAsia="Calibri" w:hAnsi="Tahoma"/>
      <w:sz w:val="16"/>
      <w:szCs w:val="16"/>
    </w:rPr>
  </w:style>
  <w:style w:type="paragraph" w:styleId="Header">
    <w:name w:val="header"/>
    <w:basedOn w:val="Normal"/>
    <w:link w:val="HeaderChar"/>
    <w:unhideWhenUsed/>
    <w:rsid w:val="00B0519B"/>
    <w:pPr>
      <w:tabs>
        <w:tab w:val="center" w:pos="4680"/>
        <w:tab w:val="right" w:pos="9360"/>
      </w:tabs>
      <w:spacing w:after="0" w:line="240" w:lineRule="auto"/>
    </w:pPr>
  </w:style>
  <w:style w:type="character" w:customStyle="1" w:styleId="HeaderChar">
    <w:name w:val="Header Char"/>
    <w:basedOn w:val="DefaultParagraphFont"/>
    <w:link w:val="Header"/>
    <w:rsid w:val="00B0519B"/>
    <w:rPr>
      <w:rFonts w:ascii="Calibri" w:eastAsia="Calibri" w:hAnsi="Calibri"/>
      <w:sz w:val="22"/>
      <w:szCs w:val="22"/>
    </w:rPr>
  </w:style>
  <w:style w:type="paragraph" w:styleId="Footer">
    <w:name w:val="footer"/>
    <w:link w:val="FooterChar"/>
    <w:rsid w:val="00B0519B"/>
    <w:pPr>
      <w:tabs>
        <w:tab w:val="center" w:pos="4320"/>
        <w:tab w:val="right" w:pos="8640"/>
      </w:tabs>
      <w:spacing w:after="0" w:line="240" w:lineRule="auto"/>
    </w:pPr>
    <w:rPr>
      <w:rFonts w:ascii="Arial" w:eastAsia="Times New Roman" w:hAnsi="Arial"/>
      <w:szCs w:val="24"/>
    </w:rPr>
  </w:style>
  <w:style w:type="character" w:customStyle="1" w:styleId="FooterChar">
    <w:name w:val="Footer Char"/>
    <w:basedOn w:val="DefaultParagraphFont"/>
    <w:link w:val="Footer"/>
    <w:rsid w:val="00B0519B"/>
    <w:rPr>
      <w:rFonts w:ascii="Arial" w:eastAsia="Times New Roman" w:hAnsi="Arial"/>
      <w:szCs w:val="24"/>
    </w:rPr>
  </w:style>
  <w:style w:type="character" w:styleId="Strong">
    <w:name w:val="Strong"/>
    <w:uiPriority w:val="99"/>
    <w:qFormat/>
    <w:rsid w:val="00B0519B"/>
    <w:rPr>
      <w:b/>
      <w:bCs/>
    </w:rPr>
  </w:style>
  <w:style w:type="character" w:customStyle="1" w:styleId="NormalWebChar">
    <w:name w:val="Normal (Web) Char"/>
    <w:link w:val="NormalWeb"/>
    <w:uiPriority w:val="99"/>
    <w:locked/>
    <w:rsid w:val="00B0519B"/>
    <w:rPr>
      <w:rFonts w:ascii="Helvetica" w:eastAsia="Calibri" w:hAnsi="Helvetica"/>
      <w:szCs w:val="24"/>
    </w:rPr>
  </w:style>
  <w:style w:type="paragraph" w:styleId="ListParagraph">
    <w:name w:val="List Paragraph"/>
    <w:basedOn w:val="Normal"/>
    <w:uiPriority w:val="34"/>
    <w:qFormat/>
    <w:rsid w:val="00B0519B"/>
    <w:pPr>
      <w:spacing w:after="240" w:line="240" w:lineRule="auto"/>
      <w:ind w:left="360" w:hanging="360"/>
      <w:contextualSpacing/>
    </w:pPr>
    <w:rPr>
      <w:rFonts w:eastAsia="Times New Roman"/>
    </w:rPr>
  </w:style>
  <w:style w:type="character" w:styleId="CommentReference">
    <w:name w:val="annotation reference"/>
    <w:uiPriority w:val="99"/>
    <w:semiHidden/>
    <w:rsid w:val="00B0519B"/>
    <w:rPr>
      <w:rFonts w:cs="Times New Roman"/>
      <w:sz w:val="16"/>
    </w:rPr>
  </w:style>
  <w:style w:type="character" w:styleId="Hyperlink">
    <w:name w:val="Hyperlink"/>
    <w:uiPriority w:val="99"/>
    <w:rsid w:val="00B0519B"/>
    <w:rPr>
      <w:rFonts w:cs="Times New Roman"/>
      <w:color w:val="000000" w:themeColor="text1"/>
      <w:u w:val="single"/>
    </w:rPr>
  </w:style>
  <w:style w:type="character" w:styleId="Emphasis">
    <w:name w:val="Emphasis"/>
    <w:uiPriority w:val="20"/>
    <w:qFormat/>
    <w:rsid w:val="00B0519B"/>
    <w:rPr>
      <w:rFonts w:cs="Times New Roman"/>
      <w:i/>
    </w:rPr>
  </w:style>
  <w:style w:type="paragraph" w:styleId="BodyText">
    <w:name w:val="Body Text"/>
    <w:link w:val="BodyTextChar"/>
    <w:uiPriority w:val="99"/>
    <w:rsid w:val="00B0519B"/>
    <w:pPr>
      <w:spacing w:after="360" w:line="360" w:lineRule="auto"/>
    </w:pPr>
    <w:rPr>
      <w:rFonts w:ascii="Arial" w:eastAsia="Times New Roman" w:hAnsi="Arial"/>
      <w:szCs w:val="22"/>
    </w:rPr>
  </w:style>
  <w:style w:type="character" w:customStyle="1" w:styleId="BodyTextChar">
    <w:name w:val="Body Text Char"/>
    <w:basedOn w:val="DefaultParagraphFont"/>
    <w:link w:val="BodyText"/>
    <w:uiPriority w:val="99"/>
    <w:rsid w:val="00B0519B"/>
    <w:rPr>
      <w:rFonts w:ascii="Arial" w:eastAsia="Times New Roman" w:hAnsi="Arial"/>
      <w:szCs w:val="22"/>
    </w:rPr>
  </w:style>
  <w:style w:type="character" w:customStyle="1" w:styleId="Normal1">
    <w:name w:val="Normal1"/>
    <w:uiPriority w:val="99"/>
    <w:rsid w:val="00B0519B"/>
    <w:rPr>
      <w:rFonts w:cs="Times New Roman"/>
    </w:rPr>
  </w:style>
  <w:style w:type="paragraph" w:styleId="EndnoteText">
    <w:name w:val="endnote text"/>
    <w:link w:val="EndnoteTextChar"/>
    <w:rsid w:val="001C6B71"/>
    <w:pPr>
      <w:autoSpaceDE w:val="0"/>
      <w:autoSpaceDN w:val="0"/>
      <w:spacing w:before="120" w:after="120" w:line="240" w:lineRule="auto"/>
    </w:pPr>
    <w:rPr>
      <w:rFonts w:ascii="Arial" w:eastAsia="Times New Roman" w:hAnsi="Arial"/>
    </w:rPr>
  </w:style>
  <w:style w:type="character" w:customStyle="1" w:styleId="EndnoteTextChar">
    <w:name w:val="Endnote Text Char"/>
    <w:basedOn w:val="DefaultParagraphFont"/>
    <w:link w:val="EndnoteText"/>
    <w:rsid w:val="001C6B71"/>
    <w:rPr>
      <w:rFonts w:ascii="Arial" w:eastAsia="Times New Roman" w:hAnsi="Arial"/>
    </w:rPr>
  </w:style>
  <w:style w:type="character" w:styleId="EndnoteReference">
    <w:name w:val="endnote reference"/>
    <w:rsid w:val="001C6B71"/>
    <w:rPr>
      <w:rFonts w:ascii="Arial" w:hAnsi="Arial"/>
      <w:sz w:val="24"/>
      <w:vertAlign w:val="superscript"/>
    </w:rPr>
  </w:style>
  <w:style w:type="paragraph" w:styleId="PlainText">
    <w:name w:val="Plain Text"/>
    <w:basedOn w:val="Normal"/>
    <w:link w:val="PlainTextChar"/>
    <w:uiPriority w:val="99"/>
    <w:rsid w:val="00B0519B"/>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uiPriority w:val="99"/>
    <w:rsid w:val="00B0519B"/>
    <w:rPr>
      <w:rFonts w:ascii="Consolas" w:eastAsia="Times New Roman" w:hAnsi="Consolas"/>
      <w:sz w:val="21"/>
      <w:szCs w:val="21"/>
    </w:rPr>
  </w:style>
  <w:style w:type="paragraph" w:styleId="CommentText">
    <w:name w:val="annotation text"/>
    <w:basedOn w:val="Normal"/>
    <w:link w:val="CommentTextChar"/>
    <w:uiPriority w:val="99"/>
    <w:rsid w:val="00B0519B"/>
    <w:pPr>
      <w:spacing w:after="240" w:line="240" w:lineRule="auto"/>
    </w:pPr>
    <w:rPr>
      <w:rFonts w:eastAsia="Times New Roman"/>
      <w:sz w:val="20"/>
      <w:szCs w:val="20"/>
    </w:rPr>
  </w:style>
  <w:style w:type="character" w:customStyle="1" w:styleId="CommentTextChar">
    <w:name w:val="Comment Text Char"/>
    <w:basedOn w:val="DefaultParagraphFont"/>
    <w:link w:val="CommentText"/>
    <w:uiPriority w:val="99"/>
    <w:rsid w:val="00B0519B"/>
    <w:rPr>
      <w:rFonts w:ascii="Calibri" w:eastAsia="Times New Roman" w:hAnsi="Calibri"/>
      <w:sz w:val="20"/>
    </w:rPr>
  </w:style>
  <w:style w:type="character" w:customStyle="1" w:styleId="normalchar1">
    <w:name w:val="normal__char1"/>
    <w:uiPriority w:val="99"/>
    <w:rsid w:val="00B0519B"/>
    <w:rPr>
      <w:rFonts w:ascii="Times New Roman" w:hAnsi="Times New Roman"/>
      <w:sz w:val="24"/>
      <w:u w:val="none"/>
      <w:effect w:val="none"/>
    </w:rPr>
  </w:style>
  <w:style w:type="character" w:customStyle="1" w:styleId="metadata">
    <w:name w:val="metadata"/>
    <w:uiPriority w:val="99"/>
    <w:rsid w:val="00B0519B"/>
    <w:rPr>
      <w:rFonts w:ascii="Times New Roman" w:hAnsi="Times New Roman" w:cs="Times New Roman"/>
    </w:rPr>
  </w:style>
  <w:style w:type="character" w:customStyle="1" w:styleId="st1">
    <w:name w:val="st1"/>
    <w:rsid w:val="00B0519B"/>
    <w:rPr>
      <w:rFonts w:cs="Times New Roman"/>
    </w:rPr>
  </w:style>
  <w:style w:type="character" w:styleId="HTMLCite">
    <w:name w:val="HTML Cite"/>
    <w:uiPriority w:val="99"/>
    <w:rsid w:val="00B0519B"/>
    <w:rPr>
      <w:rFonts w:cs="Times New Roman"/>
      <w:i/>
      <w:iCs/>
    </w:rPr>
  </w:style>
  <w:style w:type="character" w:customStyle="1" w:styleId="apple-style-span">
    <w:name w:val="apple-style-span"/>
    <w:rsid w:val="00B0519B"/>
    <w:rPr>
      <w:rFonts w:cs="Times New Roman"/>
    </w:rPr>
  </w:style>
  <w:style w:type="character" w:customStyle="1" w:styleId="apple-converted-space">
    <w:name w:val="apple-converted-space"/>
    <w:uiPriority w:val="99"/>
    <w:rsid w:val="00B0519B"/>
    <w:rPr>
      <w:rFonts w:cs="Times New Roman"/>
    </w:rPr>
  </w:style>
  <w:style w:type="paragraph" w:customStyle="1" w:styleId="NormalWebLatinArial">
    <w:name w:val="Normal (Web) + (Latin) Arial"/>
    <w:aliases w:val="Line spacing:  1.5 lines + Not Bold"/>
    <w:basedOn w:val="NormalWeb"/>
    <w:link w:val="NormalWebLatinArialChar"/>
    <w:uiPriority w:val="99"/>
    <w:rsid w:val="00B0519B"/>
    <w:pPr>
      <w:autoSpaceDE/>
      <w:autoSpaceDN/>
      <w:adjustRightInd/>
      <w:spacing w:before="100" w:beforeAutospacing="1" w:after="100" w:afterAutospacing="1" w:line="360" w:lineRule="auto"/>
    </w:pPr>
    <w:rPr>
      <w:rFonts w:ascii="Arial" w:eastAsia="Times New Roman" w:hAnsi="Arial"/>
      <w:b/>
    </w:rPr>
  </w:style>
  <w:style w:type="character" w:customStyle="1" w:styleId="vshid1">
    <w:name w:val="vshid1"/>
    <w:uiPriority w:val="99"/>
    <w:rsid w:val="00B0519B"/>
    <w:rPr>
      <w:rFonts w:ascii="Times New Roman" w:hAnsi="Times New Roman" w:cs="Times New Roman"/>
      <w:vanish/>
    </w:rPr>
  </w:style>
  <w:style w:type="character" w:customStyle="1" w:styleId="NormalWebLatinArialChar">
    <w:name w:val="Normal (Web) + (Latin) Arial Char"/>
    <w:aliases w:val="Line spacing:  1.5 lines + Not Bold Char"/>
    <w:link w:val="NormalWebLatinArial"/>
    <w:uiPriority w:val="99"/>
    <w:locked/>
    <w:rsid w:val="00B0519B"/>
    <w:rPr>
      <w:rFonts w:ascii="Arial" w:eastAsia="Times New Roman" w:hAnsi="Arial"/>
      <w:b/>
      <w:szCs w:val="24"/>
    </w:rPr>
  </w:style>
  <w:style w:type="paragraph" w:customStyle="1" w:styleId="Pa7">
    <w:name w:val="Pa7"/>
    <w:basedOn w:val="Default"/>
    <w:next w:val="Default"/>
    <w:uiPriority w:val="99"/>
    <w:rsid w:val="00B0519B"/>
  </w:style>
  <w:style w:type="paragraph" w:styleId="TOCHeading">
    <w:name w:val="TOC Heading"/>
    <w:basedOn w:val="Heading1"/>
    <w:next w:val="Normal"/>
    <w:uiPriority w:val="39"/>
    <w:unhideWhenUsed/>
    <w:qFormat/>
    <w:rsid w:val="00B0519B"/>
    <w:pPr>
      <w:outlineLvl w:val="9"/>
    </w:pPr>
    <w:rPr>
      <w:lang w:eastAsia="ja-JP"/>
    </w:rPr>
  </w:style>
  <w:style w:type="paragraph" w:styleId="Quote">
    <w:name w:val="Quote"/>
    <w:basedOn w:val="Normal"/>
    <w:next w:val="Normal"/>
    <w:link w:val="QuoteChar"/>
    <w:uiPriority w:val="29"/>
    <w:qFormat/>
    <w:rsid w:val="00B0519B"/>
    <w:rPr>
      <w:rFonts w:eastAsia="Times New Roman"/>
      <w:i/>
      <w:iCs/>
      <w:color w:val="000000"/>
      <w:sz w:val="20"/>
      <w:szCs w:val="20"/>
      <w:lang w:eastAsia="ja-JP"/>
    </w:rPr>
  </w:style>
  <w:style w:type="character" w:customStyle="1" w:styleId="QuoteChar">
    <w:name w:val="Quote Char"/>
    <w:basedOn w:val="DefaultParagraphFont"/>
    <w:link w:val="Quote"/>
    <w:uiPriority w:val="29"/>
    <w:rsid w:val="00B0519B"/>
    <w:rPr>
      <w:rFonts w:ascii="Calibri" w:eastAsia="Times New Roman" w:hAnsi="Calibri"/>
      <w:i/>
      <w:iCs/>
      <w:color w:val="000000"/>
      <w:sz w:val="20"/>
      <w:lang w:eastAsia="ja-JP"/>
    </w:rPr>
  </w:style>
  <w:style w:type="table" w:styleId="TableGrid">
    <w:name w:val="Table Grid"/>
    <w:basedOn w:val="TableNormal"/>
    <w:uiPriority w:val="59"/>
    <w:rsid w:val="00B0519B"/>
    <w:pPr>
      <w:spacing w:after="0" w:line="240" w:lineRule="auto"/>
    </w:pPr>
    <w:rPr>
      <w:rFonts w:ascii="Calibri" w:eastAsia="Calibri" w:hAnsi="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0519B"/>
    <w:pPr>
      <w:spacing w:after="200"/>
    </w:pPr>
    <w:rPr>
      <w:b/>
      <w:bCs/>
    </w:rPr>
  </w:style>
  <w:style w:type="character" w:customStyle="1" w:styleId="CommentSubjectChar">
    <w:name w:val="Comment Subject Char"/>
    <w:basedOn w:val="CommentTextChar"/>
    <w:link w:val="CommentSubject"/>
    <w:uiPriority w:val="99"/>
    <w:semiHidden/>
    <w:rsid w:val="00B0519B"/>
    <w:rPr>
      <w:rFonts w:ascii="Calibri" w:eastAsia="Times New Roman" w:hAnsi="Calibri"/>
      <w:b/>
      <w:bCs/>
      <w:sz w:val="20"/>
    </w:rPr>
  </w:style>
  <w:style w:type="character" w:styleId="FollowedHyperlink">
    <w:name w:val="FollowedHyperlink"/>
    <w:uiPriority w:val="99"/>
    <w:semiHidden/>
    <w:unhideWhenUsed/>
    <w:rsid w:val="00B0519B"/>
    <w:rPr>
      <w:color w:val="800080"/>
      <w:u w:val="single"/>
    </w:rPr>
  </w:style>
  <w:style w:type="paragraph" w:styleId="BodyTextIndent3">
    <w:name w:val="Body Text Indent 3"/>
    <w:basedOn w:val="Normal"/>
    <w:link w:val="BodyTextIndent3Char"/>
    <w:uiPriority w:val="99"/>
    <w:unhideWhenUsed/>
    <w:rsid w:val="00B0519B"/>
    <w:pPr>
      <w:spacing w:after="120"/>
      <w:ind w:left="360"/>
    </w:pPr>
    <w:rPr>
      <w:sz w:val="16"/>
      <w:szCs w:val="16"/>
    </w:rPr>
  </w:style>
  <w:style w:type="character" w:customStyle="1" w:styleId="BodyTextIndent3Char">
    <w:name w:val="Body Text Indent 3 Char"/>
    <w:basedOn w:val="DefaultParagraphFont"/>
    <w:link w:val="BodyTextIndent3"/>
    <w:uiPriority w:val="99"/>
    <w:rsid w:val="00B0519B"/>
    <w:rPr>
      <w:rFonts w:ascii="Calibri" w:eastAsia="Calibri" w:hAnsi="Calibri"/>
      <w:sz w:val="16"/>
      <w:szCs w:val="16"/>
    </w:rPr>
  </w:style>
  <w:style w:type="paragraph" w:styleId="FootnoteText">
    <w:name w:val="footnote text"/>
    <w:basedOn w:val="Normal"/>
    <w:link w:val="FootnoteTextChar"/>
    <w:uiPriority w:val="99"/>
    <w:semiHidden/>
    <w:unhideWhenUsed/>
    <w:rsid w:val="00B05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19B"/>
    <w:rPr>
      <w:rFonts w:ascii="Calibri" w:eastAsia="Calibri" w:hAnsi="Calibri"/>
      <w:sz w:val="20"/>
    </w:rPr>
  </w:style>
  <w:style w:type="character" w:styleId="FootnoteReference">
    <w:name w:val="footnote reference"/>
    <w:uiPriority w:val="99"/>
    <w:semiHidden/>
    <w:unhideWhenUsed/>
    <w:rsid w:val="00B0519B"/>
    <w:rPr>
      <w:vertAlign w:val="superscript"/>
    </w:rPr>
  </w:style>
  <w:style w:type="paragraph" w:customStyle="1" w:styleId="xmsonormal">
    <w:name w:val="x_msonormal"/>
    <w:basedOn w:val="Normal"/>
    <w:rsid w:val="00B0519B"/>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0519B"/>
    <w:pPr>
      <w:spacing w:after="0" w:line="240" w:lineRule="auto"/>
    </w:pPr>
    <w:rPr>
      <w:rFonts w:ascii="Calibri" w:eastAsia="Calibri" w:hAnsi="Calibri"/>
      <w:sz w:val="22"/>
      <w:szCs w:val="22"/>
    </w:rPr>
  </w:style>
  <w:style w:type="paragraph" w:styleId="IntenseQuote">
    <w:name w:val="Intense Quote"/>
    <w:basedOn w:val="Normal"/>
    <w:next w:val="Normal"/>
    <w:link w:val="IntenseQuoteChar"/>
    <w:autoRedefine/>
    <w:uiPriority w:val="30"/>
    <w:qFormat/>
    <w:rsid w:val="00B0519B"/>
    <w:pPr>
      <w:pBdr>
        <w:bottom w:val="single" w:sz="4" w:space="4" w:color="4F81BD"/>
      </w:pBdr>
      <w:spacing w:before="400" w:after="400"/>
      <w:ind w:left="936" w:right="936"/>
      <w:jc w:val="both"/>
    </w:pPr>
    <w:rPr>
      <w:b/>
      <w:bCs/>
      <w:i/>
      <w:iCs/>
      <w:color w:val="4F81BD"/>
      <w:sz w:val="28"/>
    </w:rPr>
  </w:style>
  <w:style w:type="character" w:customStyle="1" w:styleId="IntenseQuoteChar">
    <w:name w:val="Intense Quote Char"/>
    <w:basedOn w:val="DefaultParagraphFont"/>
    <w:link w:val="IntenseQuote"/>
    <w:uiPriority w:val="30"/>
    <w:rsid w:val="00B0519B"/>
    <w:rPr>
      <w:rFonts w:ascii="Calibri" w:eastAsia="Calibri" w:hAnsi="Calibri"/>
      <w:b/>
      <w:bCs/>
      <w:i/>
      <w:iCs/>
      <w:color w:val="4F81BD"/>
      <w:sz w:val="28"/>
      <w:szCs w:val="22"/>
    </w:rPr>
  </w:style>
  <w:style w:type="character" w:customStyle="1" w:styleId="Header1">
    <w:name w:val="Header1"/>
    <w:basedOn w:val="DefaultParagraphFont"/>
    <w:rsid w:val="00B0519B"/>
  </w:style>
  <w:style w:type="paragraph" w:customStyle="1" w:styleId="NCDHeading1Chapter">
    <w:name w:val="NCD Heading 1_Chapter"/>
    <w:link w:val="NCDHeading1ChapterChar"/>
    <w:rsid w:val="00B0519B"/>
    <w:pPr>
      <w:spacing w:after="360" w:line="240" w:lineRule="auto"/>
      <w:ind w:left="2340" w:hanging="2340"/>
    </w:pPr>
    <w:rPr>
      <w:rFonts w:ascii="Arial" w:eastAsia="Times New Roman" w:hAnsi="Arial"/>
      <w:b/>
      <w:sz w:val="36"/>
      <w:szCs w:val="32"/>
    </w:rPr>
  </w:style>
  <w:style w:type="character" w:customStyle="1" w:styleId="NCDHeading1ChapterChar">
    <w:name w:val="NCD Heading 1_Chapter Char"/>
    <w:link w:val="NCDHeading1Chapter"/>
    <w:rsid w:val="00B0519B"/>
    <w:rPr>
      <w:rFonts w:ascii="Arial" w:eastAsia="Times New Roman" w:hAnsi="Arial"/>
      <w:b/>
      <w:sz w:val="36"/>
      <w:szCs w:val="32"/>
    </w:rPr>
  </w:style>
  <w:style w:type="paragraph" w:styleId="TOC1">
    <w:name w:val="toc 1"/>
    <w:next w:val="Normal"/>
    <w:uiPriority w:val="39"/>
    <w:unhideWhenUsed/>
    <w:rsid w:val="00B0519B"/>
    <w:pPr>
      <w:tabs>
        <w:tab w:val="right" w:leader="dot" w:pos="9350"/>
      </w:tabs>
      <w:spacing w:before="180" w:after="180" w:line="240" w:lineRule="auto"/>
    </w:pPr>
    <w:rPr>
      <w:rFonts w:ascii="Arial" w:eastAsia="Calibri" w:hAnsi="Arial" w:cs="Arial"/>
      <w:b/>
      <w:caps/>
      <w:noProof/>
      <w:szCs w:val="24"/>
    </w:rPr>
  </w:style>
  <w:style w:type="paragraph" w:styleId="TOC2">
    <w:name w:val="toc 2"/>
    <w:next w:val="Normal"/>
    <w:uiPriority w:val="39"/>
    <w:unhideWhenUsed/>
    <w:rsid w:val="00B0519B"/>
    <w:pPr>
      <w:spacing w:before="120" w:after="120" w:line="240" w:lineRule="auto"/>
    </w:pPr>
    <w:rPr>
      <w:rFonts w:ascii="Arial" w:eastAsia="Calibri" w:hAnsi="Arial"/>
      <w:szCs w:val="22"/>
    </w:rPr>
  </w:style>
  <w:style w:type="paragraph" w:customStyle="1" w:styleId="TableTitle">
    <w:name w:val="Table Title"/>
    <w:basedOn w:val="NCDTableTitle"/>
    <w:autoRedefine/>
    <w:qFormat/>
    <w:rsid w:val="00B0519B"/>
    <w:pPr>
      <w:keepLines/>
    </w:pPr>
  </w:style>
  <w:style w:type="paragraph" w:customStyle="1" w:styleId="TableHead">
    <w:name w:val="Table Head"/>
    <w:next w:val="TableofFigures"/>
    <w:qFormat/>
    <w:rsid w:val="00101C2D"/>
    <w:pPr>
      <w:keepNext/>
      <w:keepLines/>
      <w:spacing w:before="40" w:after="40" w:line="240" w:lineRule="auto"/>
      <w:jc w:val="center"/>
    </w:pPr>
    <w:rPr>
      <w:rFonts w:ascii="Arial" w:eastAsia="Calibri" w:hAnsi="Arial" w:cs="Arial"/>
      <w:b/>
      <w:szCs w:val="22"/>
    </w:rPr>
  </w:style>
  <w:style w:type="paragraph" w:customStyle="1" w:styleId="TableText">
    <w:name w:val="Table Text"/>
    <w:qFormat/>
    <w:rsid w:val="00101C2D"/>
    <w:pPr>
      <w:keepNext/>
      <w:keepLines/>
      <w:spacing w:before="40" w:after="40" w:line="240" w:lineRule="auto"/>
    </w:pPr>
    <w:rPr>
      <w:rFonts w:ascii="Arial" w:eastAsia="Calibri" w:hAnsi="Arial" w:cs="Arial"/>
      <w:szCs w:val="22"/>
    </w:rPr>
  </w:style>
  <w:style w:type="paragraph" w:customStyle="1" w:styleId="TableNote">
    <w:name w:val="Table Note"/>
    <w:qFormat/>
    <w:rsid w:val="00B0519B"/>
    <w:pPr>
      <w:autoSpaceDE w:val="0"/>
      <w:autoSpaceDN w:val="0"/>
      <w:spacing w:before="60" w:after="360" w:line="240" w:lineRule="auto"/>
    </w:pPr>
    <w:rPr>
      <w:rFonts w:ascii="Arial" w:eastAsia="Calibri" w:hAnsi="Arial" w:cs="Arial"/>
      <w:sz w:val="20"/>
      <w:szCs w:val="19"/>
    </w:rPr>
  </w:style>
  <w:style w:type="paragraph" w:customStyle="1" w:styleId="TableTextList">
    <w:name w:val="Table Text List"/>
    <w:qFormat/>
    <w:rsid w:val="00B0519B"/>
    <w:pPr>
      <w:numPr>
        <w:numId w:val="1"/>
      </w:numPr>
      <w:spacing w:after="180"/>
      <w:ind w:right="72"/>
    </w:pPr>
    <w:rPr>
      <w:rFonts w:ascii="Arial" w:eastAsia="Times New Roman" w:hAnsi="Arial" w:cs="Arial"/>
      <w:szCs w:val="24"/>
    </w:rPr>
  </w:style>
  <w:style w:type="paragraph" w:styleId="TableofAuthorities">
    <w:name w:val="table of authorities"/>
    <w:basedOn w:val="Normal"/>
    <w:next w:val="Normal"/>
    <w:uiPriority w:val="99"/>
    <w:semiHidden/>
    <w:unhideWhenUsed/>
    <w:rsid w:val="00B0519B"/>
    <w:pPr>
      <w:spacing w:after="0"/>
      <w:ind w:left="220" w:hanging="220"/>
    </w:pPr>
  </w:style>
  <w:style w:type="paragraph" w:styleId="TableofFigures">
    <w:name w:val="table of figures"/>
    <w:basedOn w:val="Normal"/>
    <w:next w:val="Normal"/>
    <w:uiPriority w:val="99"/>
    <w:semiHidden/>
    <w:unhideWhenUsed/>
    <w:rsid w:val="00B0519B"/>
    <w:pPr>
      <w:spacing w:after="0"/>
    </w:pPr>
  </w:style>
  <w:style w:type="paragraph" w:customStyle="1" w:styleId="NCDAlphalist">
    <w:name w:val="NCD Alpha list"/>
    <w:basedOn w:val="Normal"/>
    <w:rsid w:val="00B0519B"/>
    <w:pPr>
      <w:spacing w:after="120" w:line="360" w:lineRule="auto"/>
    </w:pPr>
    <w:rPr>
      <w:rFonts w:ascii="Arial" w:eastAsia="Times New Roman" w:hAnsi="Arial"/>
      <w:sz w:val="24"/>
      <w:szCs w:val="24"/>
    </w:rPr>
  </w:style>
  <w:style w:type="paragraph" w:customStyle="1" w:styleId="NCDAlphaListLast">
    <w:name w:val="NCD Alpha List Last"/>
    <w:basedOn w:val="Normal"/>
    <w:rsid w:val="00B0519B"/>
    <w:pPr>
      <w:numPr>
        <w:ilvl w:val="1"/>
        <w:numId w:val="5"/>
      </w:numPr>
      <w:spacing w:after="360" w:line="360" w:lineRule="auto"/>
    </w:pPr>
    <w:rPr>
      <w:rFonts w:ascii="Arial" w:eastAsia="Times New Roman" w:hAnsi="Arial"/>
      <w:sz w:val="24"/>
      <w:szCs w:val="24"/>
    </w:rPr>
  </w:style>
  <w:style w:type="paragraph" w:customStyle="1" w:styleId="NCDBlockquote">
    <w:name w:val="NCD Blockquote"/>
    <w:basedOn w:val="Normal"/>
    <w:rsid w:val="00B0519B"/>
    <w:pPr>
      <w:spacing w:after="360" w:line="360" w:lineRule="auto"/>
      <w:ind w:left="810" w:right="1080"/>
    </w:pPr>
    <w:rPr>
      <w:rFonts w:ascii="Arial" w:eastAsia="Times New Roman" w:hAnsi="Arial"/>
      <w:sz w:val="24"/>
      <w:szCs w:val="24"/>
    </w:rPr>
  </w:style>
  <w:style w:type="paragraph" w:customStyle="1" w:styleId="NCDBody">
    <w:name w:val="NCD Body"/>
    <w:rsid w:val="00B0519B"/>
    <w:pPr>
      <w:spacing w:after="360" w:line="360" w:lineRule="auto"/>
    </w:pPr>
    <w:rPr>
      <w:rFonts w:ascii="Arial" w:eastAsia="Times New Roman" w:hAnsi="Arial"/>
    </w:rPr>
  </w:style>
  <w:style w:type="character" w:customStyle="1" w:styleId="NCDBold">
    <w:name w:val="NCD Bold"/>
    <w:rsid w:val="00B0519B"/>
    <w:rPr>
      <w:b/>
    </w:rPr>
  </w:style>
  <w:style w:type="paragraph" w:customStyle="1" w:styleId="NCDBullet">
    <w:name w:val="NCD Bullet"/>
    <w:autoRedefine/>
    <w:rsid w:val="00B0519B"/>
    <w:pPr>
      <w:numPr>
        <w:numId w:val="6"/>
      </w:numPr>
      <w:spacing w:after="120" w:line="360" w:lineRule="auto"/>
    </w:pPr>
    <w:rPr>
      <w:rFonts w:ascii="Arial" w:eastAsia="Times New Roman" w:hAnsi="Arial"/>
    </w:rPr>
  </w:style>
  <w:style w:type="paragraph" w:customStyle="1" w:styleId="NCDBulletLast">
    <w:name w:val="NCD Bullet Last"/>
    <w:autoRedefine/>
    <w:rsid w:val="00B0519B"/>
    <w:pPr>
      <w:numPr>
        <w:numId w:val="7"/>
      </w:numPr>
      <w:spacing w:after="360" w:line="360" w:lineRule="auto"/>
    </w:pPr>
    <w:rPr>
      <w:rFonts w:ascii="Arial" w:eastAsia="Times New Roman" w:hAnsi="Arial"/>
      <w:spacing w:val="-4"/>
    </w:rPr>
  </w:style>
  <w:style w:type="paragraph" w:customStyle="1" w:styleId="NCDBulletLetter">
    <w:name w:val="NCD Bullet_Letter"/>
    <w:basedOn w:val="Normal"/>
    <w:autoRedefine/>
    <w:rsid w:val="00B0519B"/>
    <w:pPr>
      <w:numPr>
        <w:numId w:val="8"/>
      </w:numPr>
      <w:spacing w:after="120" w:line="240" w:lineRule="auto"/>
    </w:pPr>
    <w:rPr>
      <w:rFonts w:ascii="Arial" w:eastAsia="Times New Roman" w:hAnsi="Arial" w:cs="Arial"/>
      <w:sz w:val="24"/>
      <w:szCs w:val="24"/>
    </w:rPr>
  </w:style>
  <w:style w:type="paragraph" w:customStyle="1" w:styleId="NCDBulletsUnderNumberedList">
    <w:name w:val="NCD Bullets Under Numbered List"/>
    <w:autoRedefine/>
    <w:rsid w:val="00B0519B"/>
    <w:pPr>
      <w:numPr>
        <w:numId w:val="9"/>
      </w:numPr>
      <w:spacing w:after="120" w:line="360" w:lineRule="auto"/>
    </w:pPr>
    <w:rPr>
      <w:rFonts w:ascii="Arial" w:eastAsia="Times New Roman" w:hAnsi="Arial"/>
    </w:rPr>
  </w:style>
  <w:style w:type="character" w:customStyle="1" w:styleId="NCDCHAPTER">
    <w:name w:val="NCD CHAPTER #:"/>
    <w:rsid w:val="00B0519B"/>
    <w:rPr>
      <w:rFonts w:ascii="Arial" w:hAnsi="Arial"/>
      <w:b/>
      <w:caps/>
      <w:color w:val="808080"/>
      <w:sz w:val="36"/>
    </w:rPr>
  </w:style>
  <w:style w:type="paragraph" w:customStyle="1" w:styleId="NCDChartBullet">
    <w:name w:val="NCD Chart Bullet"/>
    <w:basedOn w:val="NCDBullet"/>
    <w:rsid w:val="00B0519B"/>
    <w:pPr>
      <w:numPr>
        <w:numId w:val="0"/>
      </w:numPr>
      <w:tabs>
        <w:tab w:val="num" w:pos="1440"/>
      </w:tabs>
      <w:spacing w:after="0" w:line="240" w:lineRule="auto"/>
    </w:pPr>
  </w:style>
  <w:style w:type="paragraph" w:customStyle="1" w:styleId="NCDChartColumnHead">
    <w:name w:val="NCD Chart Column Head"/>
    <w:rsid w:val="00B0519B"/>
    <w:pPr>
      <w:spacing w:after="0" w:line="240" w:lineRule="auto"/>
      <w:jc w:val="center"/>
    </w:pPr>
    <w:rPr>
      <w:rFonts w:ascii="Arial" w:eastAsia="Times New Roman" w:hAnsi="Arial"/>
      <w:b/>
      <w:bCs/>
      <w:szCs w:val="24"/>
    </w:rPr>
  </w:style>
  <w:style w:type="paragraph" w:customStyle="1" w:styleId="NCDChartText">
    <w:name w:val="NCD Chart Text"/>
    <w:rsid w:val="00B0519B"/>
    <w:pPr>
      <w:spacing w:after="0" w:line="240" w:lineRule="auto"/>
    </w:pPr>
    <w:rPr>
      <w:rFonts w:ascii="Arial" w:eastAsia="Times New Roman" w:hAnsi="Arial"/>
      <w:szCs w:val="24"/>
    </w:rPr>
  </w:style>
  <w:style w:type="paragraph" w:customStyle="1" w:styleId="NCDChartTitle">
    <w:name w:val="NCD Chart Title"/>
    <w:rsid w:val="00B0519B"/>
    <w:pPr>
      <w:spacing w:after="0" w:line="360" w:lineRule="auto"/>
    </w:pPr>
    <w:rPr>
      <w:rFonts w:ascii="Arial" w:eastAsia="Times New Roman" w:hAnsi="Arial"/>
      <w:b/>
      <w:szCs w:val="24"/>
    </w:rPr>
  </w:style>
  <w:style w:type="paragraph" w:customStyle="1" w:styleId="NCDEndnotes">
    <w:name w:val="NCD Endnotes"/>
    <w:rsid w:val="00B0519B"/>
    <w:pPr>
      <w:spacing w:after="120" w:line="240" w:lineRule="auto"/>
    </w:pPr>
    <w:rPr>
      <w:rFonts w:ascii="Arial" w:eastAsia="Times New Roman" w:hAnsi="Arial"/>
    </w:rPr>
  </w:style>
  <w:style w:type="paragraph" w:customStyle="1" w:styleId="NCDFrontMatter">
    <w:name w:val="NCD Front Matter"/>
    <w:rsid w:val="00B0519B"/>
    <w:pPr>
      <w:spacing w:after="0" w:line="240" w:lineRule="auto"/>
    </w:pPr>
    <w:rPr>
      <w:rFonts w:ascii="Arial" w:eastAsia="Times New Roman" w:hAnsi="Arial" w:cs="Arial"/>
      <w:szCs w:val="24"/>
    </w:rPr>
  </w:style>
  <w:style w:type="paragraph" w:customStyle="1" w:styleId="NCDHeading2">
    <w:name w:val="NCD Heading 2"/>
    <w:rsid w:val="00B0519B"/>
    <w:pPr>
      <w:keepNext/>
      <w:spacing w:before="120" w:after="360" w:line="240" w:lineRule="auto"/>
    </w:pPr>
    <w:rPr>
      <w:rFonts w:ascii="Arial" w:eastAsia="Times New Roman" w:hAnsi="Arial"/>
      <w:b/>
      <w:bCs/>
      <w:spacing w:val="-4"/>
      <w:sz w:val="28"/>
      <w:szCs w:val="30"/>
    </w:rPr>
  </w:style>
  <w:style w:type="paragraph" w:customStyle="1" w:styleId="NCDHeading3">
    <w:name w:val="NCD Heading 3"/>
    <w:autoRedefine/>
    <w:rsid w:val="00B0519B"/>
    <w:pPr>
      <w:keepNext/>
      <w:spacing w:after="240" w:line="240" w:lineRule="auto"/>
    </w:pPr>
    <w:rPr>
      <w:rFonts w:ascii="Arial" w:eastAsia="Times New Roman" w:hAnsi="Arial"/>
      <w:b/>
      <w:i/>
      <w:szCs w:val="26"/>
    </w:rPr>
  </w:style>
  <w:style w:type="paragraph" w:customStyle="1" w:styleId="NCDImplementationIssue">
    <w:name w:val="NCD Implementation Issue"/>
    <w:basedOn w:val="Normal"/>
    <w:rsid w:val="00B0519B"/>
    <w:pPr>
      <w:keepNext/>
      <w:spacing w:after="360" w:line="360" w:lineRule="auto"/>
      <w:ind w:firstLine="720"/>
    </w:pPr>
    <w:rPr>
      <w:rFonts w:ascii="Arial" w:eastAsia="Times New Roman" w:hAnsi="Arial"/>
      <w:b/>
      <w:sz w:val="24"/>
      <w:szCs w:val="20"/>
    </w:rPr>
  </w:style>
  <w:style w:type="paragraph" w:customStyle="1" w:styleId="NCDIndent">
    <w:name w:val="NCD Indent"/>
    <w:basedOn w:val="NCDBody"/>
    <w:rsid w:val="00B0519B"/>
    <w:pPr>
      <w:ind w:left="720"/>
    </w:pPr>
  </w:style>
  <w:style w:type="paragraph" w:customStyle="1" w:styleId="NCDLetterSignature">
    <w:name w:val="NCD Letter Signature"/>
    <w:rsid w:val="00B0519B"/>
    <w:pPr>
      <w:spacing w:after="0" w:line="240" w:lineRule="auto"/>
    </w:pPr>
    <w:rPr>
      <w:rFonts w:eastAsia="Times New Roman"/>
      <w:szCs w:val="24"/>
    </w:rPr>
  </w:style>
  <w:style w:type="paragraph" w:customStyle="1" w:styleId="NCDNumberedList">
    <w:name w:val="NCD Numbered List"/>
    <w:rsid w:val="00B0519B"/>
    <w:pPr>
      <w:tabs>
        <w:tab w:val="num" w:pos="720"/>
      </w:tabs>
      <w:spacing w:after="360" w:line="360" w:lineRule="auto"/>
      <w:ind w:left="720" w:hanging="720"/>
    </w:pPr>
    <w:rPr>
      <w:rFonts w:ascii="Arial" w:eastAsia="Times New Roman" w:hAnsi="Arial"/>
    </w:rPr>
  </w:style>
  <w:style w:type="paragraph" w:customStyle="1" w:styleId="NCDNumberedListwithBullets">
    <w:name w:val="NCD Numbered List with Bullets"/>
    <w:basedOn w:val="NCDNumberedList"/>
    <w:rsid w:val="00B0519B"/>
    <w:pPr>
      <w:spacing w:after="120"/>
    </w:pPr>
  </w:style>
  <w:style w:type="paragraph" w:customStyle="1" w:styleId="NCDQuoteSource">
    <w:name w:val="NCD Quote Source"/>
    <w:rsid w:val="00B0519B"/>
    <w:pPr>
      <w:spacing w:before="120" w:after="360" w:line="240" w:lineRule="auto"/>
      <w:ind w:right="1080"/>
      <w:jc w:val="right"/>
    </w:pPr>
    <w:rPr>
      <w:rFonts w:ascii="Arial" w:eastAsia="Times New Roman" w:hAnsi="Arial"/>
      <w:i/>
    </w:rPr>
  </w:style>
  <w:style w:type="character" w:customStyle="1" w:styleId="NCDRecommendation">
    <w:name w:val="NCD Recommendation"/>
    <w:rsid w:val="00B0519B"/>
    <w:rPr>
      <w:rFonts w:ascii="Arial" w:hAnsi="Arial"/>
      <w:b/>
      <w:i/>
      <w:sz w:val="24"/>
    </w:rPr>
  </w:style>
  <w:style w:type="paragraph" w:customStyle="1" w:styleId="NCDReferences">
    <w:name w:val="NCD References"/>
    <w:rsid w:val="00B0519B"/>
    <w:pPr>
      <w:spacing w:after="240" w:line="240" w:lineRule="auto"/>
      <w:ind w:left="720" w:hanging="720"/>
    </w:pPr>
    <w:rPr>
      <w:rFonts w:ascii="Arial" w:eastAsia="Times New Roman" w:hAnsi="Arial"/>
    </w:rPr>
  </w:style>
  <w:style w:type="character" w:customStyle="1" w:styleId="NCDRESEARCHQUESTION">
    <w:name w:val="NCD RESEARCH QUESTION #:"/>
    <w:rsid w:val="00B0519B"/>
    <w:rPr>
      <w:rFonts w:ascii="Arial" w:hAnsi="Arial"/>
      <w:b/>
      <w:caps/>
      <w:color w:val="808080"/>
      <w:sz w:val="24"/>
    </w:rPr>
  </w:style>
  <w:style w:type="paragraph" w:customStyle="1" w:styleId="NCDTableBullet">
    <w:name w:val="NCD Table Bullet"/>
    <w:rsid w:val="00B0519B"/>
    <w:pPr>
      <w:numPr>
        <w:numId w:val="10"/>
      </w:numPr>
      <w:spacing w:after="0" w:line="240" w:lineRule="auto"/>
    </w:pPr>
    <w:rPr>
      <w:rFonts w:ascii="Arial" w:eastAsia="Times New Roman" w:hAnsi="Arial" w:cs="Arial"/>
      <w:szCs w:val="24"/>
    </w:rPr>
  </w:style>
  <w:style w:type="paragraph" w:customStyle="1" w:styleId="NCDTableColumnHead">
    <w:name w:val="NCD Table Column Head"/>
    <w:rsid w:val="00B0519B"/>
    <w:pPr>
      <w:widowControl w:val="0"/>
      <w:autoSpaceDE w:val="0"/>
      <w:autoSpaceDN w:val="0"/>
      <w:adjustRightInd w:val="0"/>
      <w:spacing w:after="0" w:line="240" w:lineRule="auto"/>
      <w:jc w:val="center"/>
    </w:pPr>
    <w:rPr>
      <w:rFonts w:ascii="Arial" w:eastAsia="Times New Roman" w:hAnsi="Arial" w:cs="Arial"/>
      <w:b/>
      <w:szCs w:val="24"/>
    </w:rPr>
  </w:style>
  <w:style w:type="paragraph" w:customStyle="1" w:styleId="NCDTableSource">
    <w:name w:val="NCD Table Source"/>
    <w:basedOn w:val="NCDEndnotes"/>
    <w:rsid w:val="00B0519B"/>
    <w:pPr>
      <w:spacing w:before="60" w:after="360"/>
    </w:pPr>
    <w:rPr>
      <w:sz w:val="20"/>
    </w:rPr>
  </w:style>
  <w:style w:type="paragraph" w:customStyle="1" w:styleId="NCDTableContd">
    <w:name w:val="NCD Table Cont'd"/>
    <w:basedOn w:val="NCDTableSource"/>
    <w:rsid w:val="00B0519B"/>
    <w:pPr>
      <w:spacing w:after="0"/>
      <w:jc w:val="right"/>
    </w:pPr>
    <w:rPr>
      <w:i/>
    </w:rPr>
  </w:style>
  <w:style w:type="paragraph" w:customStyle="1" w:styleId="NCDTableNumber">
    <w:name w:val="NCD Table Number"/>
    <w:rsid w:val="00B0519B"/>
    <w:pPr>
      <w:keepNext/>
      <w:widowControl w:val="0"/>
      <w:autoSpaceDE w:val="0"/>
      <w:autoSpaceDN w:val="0"/>
      <w:adjustRightInd w:val="0"/>
      <w:spacing w:before="120" w:after="120" w:line="240" w:lineRule="auto"/>
      <w:jc w:val="center"/>
    </w:pPr>
    <w:rPr>
      <w:rFonts w:ascii="Arial" w:eastAsia="Times New Roman" w:hAnsi="Arial" w:cs="Arial"/>
      <w:caps/>
      <w:szCs w:val="24"/>
    </w:rPr>
  </w:style>
  <w:style w:type="paragraph" w:customStyle="1" w:styleId="NCDTableText">
    <w:name w:val="NCD Table Text"/>
    <w:rsid w:val="00B0519B"/>
    <w:pPr>
      <w:widowControl w:val="0"/>
      <w:autoSpaceDE w:val="0"/>
      <w:autoSpaceDN w:val="0"/>
      <w:adjustRightInd w:val="0"/>
      <w:spacing w:after="0" w:line="240" w:lineRule="auto"/>
    </w:pPr>
    <w:rPr>
      <w:rFonts w:ascii="Arial" w:eastAsia="Times New Roman" w:hAnsi="Arial" w:cs="Arial"/>
      <w:szCs w:val="24"/>
    </w:rPr>
  </w:style>
  <w:style w:type="paragraph" w:customStyle="1" w:styleId="NCDTableTitle">
    <w:name w:val="NCD Table Title"/>
    <w:autoRedefine/>
    <w:rsid w:val="00B0519B"/>
    <w:pPr>
      <w:keepNext/>
      <w:widowControl w:val="0"/>
      <w:autoSpaceDE w:val="0"/>
      <w:autoSpaceDN w:val="0"/>
      <w:adjustRightInd w:val="0"/>
      <w:spacing w:after="120" w:line="240" w:lineRule="auto"/>
      <w:jc w:val="center"/>
    </w:pPr>
    <w:rPr>
      <w:rFonts w:ascii="Arial" w:eastAsia="Times New Roman" w:hAnsi="Arial" w:cs="Arial"/>
      <w:b/>
      <w:sz w:val="28"/>
      <w:szCs w:val="24"/>
    </w:rPr>
  </w:style>
  <w:style w:type="paragraph" w:customStyle="1" w:styleId="NCDTextIndented">
    <w:name w:val="NCD Text Indented"/>
    <w:rsid w:val="00B0519B"/>
    <w:pPr>
      <w:spacing w:after="360" w:line="240" w:lineRule="auto"/>
      <w:ind w:left="720"/>
    </w:pPr>
    <w:rPr>
      <w:rFonts w:ascii="Arial" w:eastAsia="Times New Roman" w:hAnsi="Arial"/>
    </w:rPr>
  </w:style>
  <w:style w:type="paragraph" w:customStyle="1" w:styleId="NCDTitleA">
    <w:name w:val="NCD Title A"/>
    <w:basedOn w:val="Normal"/>
    <w:autoRedefine/>
    <w:rsid w:val="00B0519B"/>
    <w:pPr>
      <w:pBdr>
        <w:top w:val="thickThinLargeGap" w:sz="24" w:space="0" w:color="auto"/>
      </w:pBdr>
      <w:spacing w:after="0" w:line="240" w:lineRule="auto"/>
    </w:pPr>
    <w:rPr>
      <w:rFonts w:ascii="Arial" w:eastAsia="Times New Roman" w:hAnsi="Arial" w:cs="Arial"/>
      <w:sz w:val="72"/>
      <w:szCs w:val="72"/>
    </w:rPr>
  </w:style>
  <w:style w:type="paragraph" w:customStyle="1" w:styleId="NCDTitleB">
    <w:name w:val="NCD Title B"/>
    <w:autoRedefine/>
    <w:rsid w:val="00B0519B"/>
    <w:pPr>
      <w:spacing w:after="0" w:line="240" w:lineRule="auto"/>
    </w:pPr>
    <w:rPr>
      <w:rFonts w:ascii="Arial" w:eastAsia="Times New Roman" w:hAnsi="Arial" w:cs="Arial"/>
      <w:sz w:val="48"/>
      <w:szCs w:val="72"/>
    </w:rPr>
  </w:style>
  <w:style w:type="paragraph" w:customStyle="1" w:styleId="NCDTOCHeading">
    <w:name w:val="NCD TOC Heading"/>
    <w:rsid w:val="00B0519B"/>
    <w:pPr>
      <w:spacing w:after="360" w:line="240" w:lineRule="auto"/>
    </w:pPr>
    <w:rPr>
      <w:rFonts w:ascii="Arial" w:eastAsia="Times New Roman" w:hAnsi="Arial"/>
      <w:b/>
      <w:sz w:val="36"/>
      <w:szCs w:val="32"/>
    </w:rPr>
  </w:style>
  <w:style w:type="paragraph" w:customStyle="1" w:styleId="NCDPullquote">
    <w:name w:val="NCD Pullquote"/>
    <w:basedOn w:val="NCDBlockquote"/>
    <w:qFormat/>
    <w:rsid w:val="00D34D21"/>
    <w:pPr>
      <w:pBdr>
        <w:top w:val="single" w:sz="48" w:space="8" w:color="4F81BD"/>
        <w:bottom w:val="single" w:sz="48" w:space="8" w:color="4F81BD"/>
      </w:pBdr>
    </w:pPr>
    <w:rPr>
      <w:b/>
      <w:i/>
    </w:rPr>
  </w:style>
  <w:style w:type="paragraph" w:customStyle="1" w:styleId="TableTextList2">
    <w:name w:val="Table Text List 2"/>
    <w:basedOn w:val="TableTextList"/>
    <w:qFormat/>
    <w:rsid w:val="00B0519B"/>
    <w:pPr>
      <w:numPr>
        <w:numId w:val="17"/>
      </w:numPr>
      <w:tabs>
        <w:tab w:val="left" w:pos="785"/>
      </w:tabs>
    </w:pPr>
  </w:style>
  <w:style w:type="paragraph" w:styleId="Bibliography">
    <w:name w:val="Bibliography"/>
    <w:basedOn w:val="Normal"/>
    <w:next w:val="Normal"/>
    <w:uiPriority w:val="37"/>
    <w:semiHidden/>
    <w:unhideWhenUsed/>
    <w:rsid w:val="00B43027"/>
  </w:style>
  <w:style w:type="paragraph" w:styleId="BlockText">
    <w:name w:val="Block Text"/>
    <w:basedOn w:val="Normal"/>
    <w:uiPriority w:val="99"/>
    <w:semiHidden/>
    <w:unhideWhenUsed/>
    <w:rsid w:val="00B4302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B43027"/>
    <w:pPr>
      <w:spacing w:after="120" w:line="480" w:lineRule="auto"/>
    </w:pPr>
  </w:style>
  <w:style w:type="character" w:customStyle="1" w:styleId="BodyText2Char">
    <w:name w:val="Body Text 2 Char"/>
    <w:basedOn w:val="DefaultParagraphFont"/>
    <w:link w:val="BodyText2"/>
    <w:uiPriority w:val="99"/>
    <w:semiHidden/>
    <w:rsid w:val="00B43027"/>
    <w:rPr>
      <w:rFonts w:ascii="Calibri" w:eastAsia="Calibri" w:hAnsi="Calibri"/>
      <w:sz w:val="22"/>
      <w:szCs w:val="22"/>
    </w:rPr>
  </w:style>
  <w:style w:type="paragraph" w:styleId="BodyText3">
    <w:name w:val="Body Text 3"/>
    <w:basedOn w:val="Normal"/>
    <w:link w:val="BodyText3Char"/>
    <w:uiPriority w:val="99"/>
    <w:semiHidden/>
    <w:unhideWhenUsed/>
    <w:rsid w:val="00B43027"/>
    <w:pPr>
      <w:spacing w:after="120"/>
    </w:pPr>
    <w:rPr>
      <w:sz w:val="16"/>
      <w:szCs w:val="16"/>
    </w:rPr>
  </w:style>
  <w:style w:type="character" w:customStyle="1" w:styleId="BodyText3Char">
    <w:name w:val="Body Text 3 Char"/>
    <w:basedOn w:val="DefaultParagraphFont"/>
    <w:link w:val="BodyText3"/>
    <w:uiPriority w:val="99"/>
    <w:semiHidden/>
    <w:rsid w:val="00B43027"/>
    <w:rPr>
      <w:rFonts w:ascii="Calibri" w:eastAsia="Calibri" w:hAnsi="Calibri"/>
      <w:sz w:val="16"/>
      <w:szCs w:val="16"/>
    </w:rPr>
  </w:style>
  <w:style w:type="paragraph" w:styleId="BodyTextFirstIndent">
    <w:name w:val="Body Text First Indent"/>
    <w:basedOn w:val="BodyText"/>
    <w:link w:val="BodyTextFirstIndentChar"/>
    <w:uiPriority w:val="99"/>
    <w:semiHidden/>
    <w:unhideWhenUsed/>
    <w:rsid w:val="00B43027"/>
    <w:pPr>
      <w:spacing w:after="200" w:line="276" w:lineRule="auto"/>
      <w:ind w:firstLine="360"/>
    </w:pPr>
    <w:rPr>
      <w:rFonts w:ascii="Calibri" w:eastAsia="Calibri" w:hAnsi="Calibri"/>
      <w:sz w:val="22"/>
    </w:rPr>
  </w:style>
  <w:style w:type="character" w:customStyle="1" w:styleId="BodyTextFirstIndentChar">
    <w:name w:val="Body Text First Indent Char"/>
    <w:basedOn w:val="BodyTextChar"/>
    <w:link w:val="BodyTextFirstIndent"/>
    <w:uiPriority w:val="99"/>
    <w:semiHidden/>
    <w:rsid w:val="00B43027"/>
    <w:rPr>
      <w:rFonts w:ascii="Calibri" w:eastAsia="Calibri" w:hAnsi="Calibri"/>
      <w:sz w:val="22"/>
      <w:szCs w:val="22"/>
    </w:rPr>
  </w:style>
  <w:style w:type="paragraph" w:styleId="BodyTextIndent">
    <w:name w:val="Body Text Indent"/>
    <w:basedOn w:val="Normal"/>
    <w:link w:val="BodyTextIndentChar"/>
    <w:uiPriority w:val="99"/>
    <w:semiHidden/>
    <w:unhideWhenUsed/>
    <w:rsid w:val="00B43027"/>
    <w:pPr>
      <w:spacing w:after="120"/>
      <w:ind w:left="360"/>
    </w:pPr>
  </w:style>
  <w:style w:type="character" w:customStyle="1" w:styleId="BodyTextIndentChar">
    <w:name w:val="Body Text Indent Char"/>
    <w:basedOn w:val="DefaultParagraphFont"/>
    <w:link w:val="BodyTextIndent"/>
    <w:uiPriority w:val="99"/>
    <w:semiHidden/>
    <w:rsid w:val="00B43027"/>
    <w:rPr>
      <w:rFonts w:ascii="Calibri" w:eastAsia="Calibri" w:hAnsi="Calibri"/>
      <w:sz w:val="22"/>
      <w:szCs w:val="22"/>
    </w:rPr>
  </w:style>
  <w:style w:type="paragraph" w:styleId="BodyTextFirstIndent2">
    <w:name w:val="Body Text First Indent 2"/>
    <w:basedOn w:val="BodyTextIndent"/>
    <w:link w:val="BodyTextFirstIndent2Char"/>
    <w:uiPriority w:val="99"/>
    <w:semiHidden/>
    <w:unhideWhenUsed/>
    <w:rsid w:val="00B43027"/>
    <w:pPr>
      <w:spacing w:after="200"/>
      <w:ind w:firstLine="360"/>
    </w:pPr>
  </w:style>
  <w:style w:type="character" w:customStyle="1" w:styleId="BodyTextFirstIndent2Char">
    <w:name w:val="Body Text First Indent 2 Char"/>
    <w:basedOn w:val="BodyTextIndentChar"/>
    <w:link w:val="BodyTextFirstIndent2"/>
    <w:uiPriority w:val="99"/>
    <w:semiHidden/>
    <w:rsid w:val="00B43027"/>
    <w:rPr>
      <w:rFonts w:ascii="Calibri" w:eastAsia="Calibri" w:hAnsi="Calibri"/>
      <w:sz w:val="22"/>
      <w:szCs w:val="22"/>
    </w:rPr>
  </w:style>
  <w:style w:type="paragraph" w:styleId="BodyTextIndent2">
    <w:name w:val="Body Text Indent 2"/>
    <w:basedOn w:val="Normal"/>
    <w:link w:val="BodyTextIndent2Char"/>
    <w:uiPriority w:val="99"/>
    <w:semiHidden/>
    <w:unhideWhenUsed/>
    <w:rsid w:val="00B43027"/>
    <w:pPr>
      <w:spacing w:after="120" w:line="480" w:lineRule="auto"/>
      <w:ind w:left="360"/>
    </w:pPr>
  </w:style>
  <w:style w:type="character" w:customStyle="1" w:styleId="BodyTextIndent2Char">
    <w:name w:val="Body Text Indent 2 Char"/>
    <w:basedOn w:val="DefaultParagraphFont"/>
    <w:link w:val="BodyTextIndent2"/>
    <w:uiPriority w:val="99"/>
    <w:semiHidden/>
    <w:rsid w:val="00B43027"/>
    <w:rPr>
      <w:rFonts w:ascii="Calibri" w:eastAsia="Calibri" w:hAnsi="Calibri"/>
      <w:sz w:val="22"/>
      <w:szCs w:val="22"/>
    </w:rPr>
  </w:style>
  <w:style w:type="paragraph" w:styleId="Caption">
    <w:name w:val="caption"/>
    <w:basedOn w:val="Normal"/>
    <w:next w:val="Normal"/>
    <w:uiPriority w:val="35"/>
    <w:semiHidden/>
    <w:unhideWhenUsed/>
    <w:qFormat/>
    <w:rsid w:val="00B4302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B43027"/>
    <w:pPr>
      <w:spacing w:after="0" w:line="240" w:lineRule="auto"/>
      <w:ind w:left="4320"/>
    </w:pPr>
  </w:style>
  <w:style w:type="character" w:customStyle="1" w:styleId="ClosingChar">
    <w:name w:val="Closing Char"/>
    <w:basedOn w:val="DefaultParagraphFont"/>
    <w:link w:val="Closing"/>
    <w:uiPriority w:val="99"/>
    <w:semiHidden/>
    <w:rsid w:val="00B43027"/>
    <w:rPr>
      <w:rFonts w:ascii="Calibri" w:eastAsia="Calibri" w:hAnsi="Calibri"/>
      <w:sz w:val="22"/>
      <w:szCs w:val="22"/>
    </w:rPr>
  </w:style>
  <w:style w:type="paragraph" w:styleId="Date">
    <w:name w:val="Date"/>
    <w:basedOn w:val="Normal"/>
    <w:next w:val="Normal"/>
    <w:link w:val="DateChar"/>
    <w:uiPriority w:val="99"/>
    <w:semiHidden/>
    <w:unhideWhenUsed/>
    <w:rsid w:val="00B43027"/>
  </w:style>
  <w:style w:type="character" w:customStyle="1" w:styleId="DateChar">
    <w:name w:val="Date Char"/>
    <w:basedOn w:val="DefaultParagraphFont"/>
    <w:link w:val="Date"/>
    <w:uiPriority w:val="99"/>
    <w:semiHidden/>
    <w:rsid w:val="00B43027"/>
    <w:rPr>
      <w:rFonts w:ascii="Calibri" w:eastAsia="Calibri" w:hAnsi="Calibri"/>
      <w:sz w:val="22"/>
      <w:szCs w:val="22"/>
    </w:rPr>
  </w:style>
  <w:style w:type="paragraph" w:styleId="DocumentMap">
    <w:name w:val="Document Map"/>
    <w:basedOn w:val="Normal"/>
    <w:link w:val="DocumentMapChar"/>
    <w:uiPriority w:val="99"/>
    <w:semiHidden/>
    <w:unhideWhenUsed/>
    <w:rsid w:val="00B430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027"/>
    <w:rPr>
      <w:rFonts w:ascii="Tahoma" w:eastAsia="Calibri" w:hAnsi="Tahoma" w:cs="Tahoma"/>
      <w:sz w:val="16"/>
      <w:szCs w:val="16"/>
    </w:rPr>
  </w:style>
  <w:style w:type="paragraph" w:styleId="E-mailSignature">
    <w:name w:val="E-mail Signature"/>
    <w:basedOn w:val="Normal"/>
    <w:link w:val="E-mailSignatureChar"/>
    <w:uiPriority w:val="99"/>
    <w:semiHidden/>
    <w:unhideWhenUsed/>
    <w:rsid w:val="00B43027"/>
    <w:pPr>
      <w:spacing w:after="0" w:line="240" w:lineRule="auto"/>
    </w:pPr>
  </w:style>
  <w:style w:type="character" w:customStyle="1" w:styleId="E-mailSignatureChar">
    <w:name w:val="E-mail Signature Char"/>
    <w:basedOn w:val="DefaultParagraphFont"/>
    <w:link w:val="E-mailSignature"/>
    <w:uiPriority w:val="99"/>
    <w:semiHidden/>
    <w:rsid w:val="00B43027"/>
    <w:rPr>
      <w:rFonts w:ascii="Calibri" w:eastAsia="Calibri" w:hAnsi="Calibri"/>
      <w:sz w:val="22"/>
      <w:szCs w:val="22"/>
    </w:rPr>
  </w:style>
  <w:style w:type="paragraph" w:styleId="EnvelopeAddress">
    <w:name w:val="envelope address"/>
    <w:basedOn w:val="Normal"/>
    <w:uiPriority w:val="99"/>
    <w:semiHidden/>
    <w:unhideWhenUsed/>
    <w:rsid w:val="00B4302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43027"/>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B4302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B43027"/>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B43027"/>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B4302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43027"/>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B43027"/>
    <w:rPr>
      <w:rFonts w:asciiTheme="majorHAnsi" w:eastAsiaTheme="majorEastAsia" w:hAnsiTheme="majorHAnsi" w:cstheme="majorBidi"/>
      <w:i/>
      <w:iCs/>
      <w:color w:val="404040" w:themeColor="text1" w:themeTint="BF"/>
      <w:sz w:val="20"/>
    </w:rPr>
  </w:style>
  <w:style w:type="paragraph" w:styleId="HTMLAddress">
    <w:name w:val="HTML Address"/>
    <w:basedOn w:val="Normal"/>
    <w:link w:val="HTMLAddressChar"/>
    <w:uiPriority w:val="99"/>
    <w:semiHidden/>
    <w:unhideWhenUsed/>
    <w:rsid w:val="00B43027"/>
    <w:pPr>
      <w:spacing w:after="0" w:line="240" w:lineRule="auto"/>
    </w:pPr>
    <w:rPr>
      <w:i/>
      <w:iCs/>
    </w:rPr>
  </w:style>
  <w:style w:type="character" w:customStyle="1" w:styleId="HTMLAddressChar">
    <w:name w:val="HTML Address Char"/>
    <w:basedOn w:val="DefaultParagraphFont"/>
    <w:link w:val="HTMLAddress"/>
    <w:uiPriority w:val="99"/>
    <w:semiHidden/>
    <w:rsid w:val="00B43027"/>
    <w:rPr>
      <w:rFonts w:ascii="Calibri" w:eastAsia="Calibri" w:hAnsi="Calibri"/>
      <w:i/>
      <w:iCs/>
      <w:sz w:val="22"/>
      <w:szCs w:val="22"/>
    </w:rPr>
  </w:style>
  <w:style w:type="paragraph" w:styleId="HTMLPreformatted">
    <w:name w:val="HTML Preformatted"/>
    <w:basedOn w:val="Normal"/>
    <w:link w:val="HTMLPreformattedChar"/>
    <w:uiPriority w:val="99"/>
    <w:semiHidden/>
    <w:unhideWhenUsed/>
    <w:rsid w:val="00B430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3027"/>
    <w:rPr>
      <w:rFonts w:ascii="Consolas" w:eastAsia="Calibri" w:hAnsi="Consolas"/>
      <w:sz w:val="20"/>
    </w:rPr>
  </w:style>
  <w:style w:type="paragraph" w:styleId="Index1">
    <w:name w:val="index 1"/>
    <w:basedOn w:val="Normal"/>
    <w:next w:val="Normal"/>
    <w:autoRedefine/>
    <w:uiPriority w:val="99"/>
    <w:semiHidden/>
    <w:unhideWhenUsed/>
    <w:rsid w:val="00B43027"/>
    <w:pPr>
      <w:spacing w:after="0" w:line="240" w:lineRule="auto"/>
      <w:ind w:left="220" w:hanging="220"/>
    </w:pPr>
  </w:style>
  <w:style w:type="paragraph" w:styleId="Index2">
    <w:name w:val="index 2"/>
    <w:basedOn w:val="Normal"/>
    <w:next w:val="Normal"/>
    <w:autoRedefine/>
    <w:uiPriority w:val="99"/>
    <w:semiHidden/>
    <w:unhideWhenUsed/>
    <w:rsid w:val="00B43027"/>
    <w:pPr>
      <w:spacing w:after="0" w:line="240" w:lineRule="auto"/>
      <w:ind w:left="440" w:hanging="220"/>
    </w:pPr>
  </w:style>
  <w:style w:type="paragraph" w:styleId="Index3">
    <w:name w:val="index 3"/>
    <w:basedOn w:val="Normal"/>
    <w:next w:val="Normal"/>
    <w:autoRedefine/>
    <w:uiPriority w:val="99"/>
    <w:semiHidden/>
    <w:unhideWhenUsed/>
    <w:rsid w:val="00B43027"/>
    <w:pPr>
      <w:spacing w:after="0" w:line="240" w:lineRule="auto"/>
      <w:ind w:left="660" w:hanging="220"/>
    </w:pPr>
  </w:style>
  <w:style w:type="paragraph" w:styleId="Index4">
    <w:name w:val="index 4"/>
    <w:basedOn w:val="Normal"/>
    <w:next w:val="Normal"/>
    <w:autoRedefine/>
    <w:uiPriority w:val="99"/>
    <w:semiHidden/>
    <w:unhideWhenUsed/>
    <w:rsid w:val="00B43027"/>
    <w:pPr>
      <w:spacing w:after="0" w:line="240" w:lineRule="auto"/>
      <w:ind w:left="880" w:hanging="220"/>
    </w:pPr>
  </w:style>
  <w:style w:type="paragraph" w:styleId="Index5">
    <w:name w:val="index 5"/>
    <w:basedOn w:val="Normal"/>
    <w:next w:val="Normal"/>
    <w:autoRedefine/>
    <w:uiPriority w:val="99"/>
    <w:semiHidden/>
    <w:unhideWhenUsed/>
    <w:rsid w:val="00B43027"/>
    <w:pPr>
      <w:spacing w:after="0" w:line="240" w:lineRule="auto"/>
      <w:ind w:left="1100" w:hanging="220"/>
    </w:pPr>
  </w:style>
  <w:style w:type="paragraph" w:styleId="Index6">
    <w:name w:val="index 6"/>
    <w:basedOn w:val="Normal"/>
    <w:next w:val="Normal"/>
    <w:autoRedefine/>
    <w:uiPriority w:val="99"/>
    <w:semiHidden/>
    <w:unhideWhenUsed/>
    <w:rsid w:val="00B43027"/>
    <w:pPr>
      <w:spacing w:after="0" w:line="240" w:lineRule="auto"/>
      <w:ind w:left="1320" w:hanging="220"/>
    </w:pPr>
  </w:style>
  <w:style w:type="paragraph" w:styleId="Index7">
    <w:name w:val="index 7"/>
    <w:basedOn w:val="Normal"/>
    <w:next w:val="Normal"/>
    <w:autoRedefine/>
    <w:uiPriority w:val="99"/>
    <w:semiHidden/>
    <w:unhideWhenUsed/>
    <w:rsid w:val="00B43027"/>
    <w:pPr>
      <w:spacing w:after="0" w:line="240" w:lineRule="auto"/>
      <w:ind w:left="1540" w:hanging="220"/>
    </w:pPr>
  </w:style>
  <w:style w:type="paragraph" w:styleId="Index8">
    <w:name w:val="index 8"/>
    <w:basedOn w:val="Normal"/>
    <w:next w:val="Normal"/>
    <w:autoRedefine/>
    <w:uiPriority w:val="99"/>
    <w:semiHidden/>
    <w:unhideWhenUsed/>
    <w:rsid w:val="00B43027"/>
    <w:pPr>
      <w:spacing w:after="0" w:line="240" w:lineRule="auto"/>
      <w:ind w:left="1760" w:hanging="220"/>
    </w:pPr>
  </w:style>
  <w:style w:type="paragraph" w:styleId="Index9">
    <w:name w:val="index 9"/>
    <w:basedOn w:val="Normal"/>
    <w:next w:val="Normal"/>
    <w:autoRedefine/>
    <w:uiPriority w:val="99"/>
    <w:semiHidden/>
    <w:unhideWhenUsed/>
    <w:rsid w:val="00B43027"/>
    <w:pPr>
      <w:spacing w:after="0" w:line="240" w:lineRule="auto"/>
      <w:ind w:left="1980" w:hanging="220"/>
    </w:pPr>
  </w:style>
  <w:style w:type="paragraph" w:styleId="IndexHeading">
    <w:name w:val="index heading"/>
    <w:basedOn w:val="Normal"/>
    <w:next w:val="Index1"/>
    <w:uiPriority w:val="99"/>
    <w:semiHidden/>
    <w:unhideWhenUsed/>
    <w:rsid w:val="00B43027"/>
    <w:rPr>
      <w:rFonts w:asciiTheme="majorHAnsi" w:eastAsiaTheme="majorEastAsia" w:hAnsiTheme="majorHAnsi" w:cstheme="majorBidi"/>
      <w:b/>
      <w:bCs/>
    </w:rPr>
  </w:style>
  <w:style w:type="paragraph" w:styleId="List">
    <w:name w:val="List"/>
    <w:basedOn w:val="Normal"/>
    <w:uiPriority w:val="99"/>
    <w:semiHidden/>
    <w:unhideWhenUsed/>
    <w:rsid w:val="00B43027"/>
    <w:pPr>
      <w:ind w:left="360" w:hanging="360"/>
      <w:contextualSpacing/>
    </w:pPr>
  </w:style>
  <w:style w:type="paragraph" w:styleId="List2">
    <w:name w:val="List 2"/>
    <w:basedOn w:val="Normal"/>
    <w:uiPriority w:val="99"/>
    <w:semiHidden/>
    <w:unhideWhenUsed/>
    <w:rsid w:val="00B43027"/>
    <w:pPr>
      <w:ind w:left="720" w:hanging="360"/>
      <w:contextualSpacing/>
    </w:pPr>
  </w:style>
  <w:style w:type="paragraph" w:styleId="List3">
    <w:name w:val="List 3"/>
    <w:basedOn w:val="Normal"/>
    <w:uiPriority w:val="99"/>
    <w:semiHidden/>
    <w:unhideWhenUsed/>
    <w:rsid w:val="00B43027"/>
    <w:pPr>
      <w:ind w:left="1080" w:hanging="360"/>
      <w:contextualSpacing/>
    </w:pPr>
  </w:style>
  <w:style w:type="paragraph" w:styleId="List4">
    <w:name w:val="List 4"/>
    <w:basedOn w:val="Normal"/>
    <w:uiPriority w:val="99"/>
    <w:semiHidden/>
    <w:unhideWhenUsed/>
    <w:rsid w:val="00B43027"/>
    <w:pPr>
      <w:ind w:left="1440" w:hanging="360"/>
      <w:contextualSpacing/>
    </w:pPr>
  </w:style>
  <w:style w:type="paragraph" w:styleId="List5">
    <w:name w:val="List 5"/>
    <w:basedOn w:val="Normal"/>
    <w:uiPriority w:val="99"/>
    <w:semiHidden/>
    <w:unhideWhenUsed/>
    <w:rsid w:val="00B43027"/>
    <w:pPr>
      <w:ind w:left="1800" w:hanging="360"/>
      <w:contextualSpacing/>
    </w:pPr>
  </w:style>
  <w:style w:type="paragraph" w:styleId="ListBullet">
    <w:name w:val="List Bullet"/>
    <w:basedOn w:val="Normal"/>
    <w:uiPriority w:val="99"/>
    <w:semiHidden/>
    <w:unhideWhenUsed/>
    <w:rsid w:val="00B43027"/>
    <w:pPr>
      <w:numPr>
        <w:numId w:val="31"/>
      </w:numPr>
      <w:contextualSpacing/>
    </w:pPr>
  </w:style>
  <w:style w:type="paragraph" w:styleId="ListBullet2">
    <w:name w:val="List Bullet 2"/>
    <w:basedOn w:val="Normal"/>
    <w:uiPriority w:val="99"/>
    <w:semiHidden/>
    <w:unhideWhenUsed/>
    <w:rsid w:val="00B43027"/>
    <w:pPr>
      <w:numPr>
        <w:numId w:val="32"/>
      </w:numPr>
      <w:contextualSpacing/>
    </w:pPr>
  </w:style>
  <w:style w:type="paragraph" w:styleId="ListBullet3">
    <w:name w:val="List Bullet 3"/>
    <w:basedOn w:val="Normal"/>
    <w:uiPriority w:val="99"/>
    <w:semiHidden/>
    <w:unhideWhenUsed/>
    <w:rsid w:val="00B43027"/>
    <w:pPr>
      <w:numPr>
        <w:numId w:val="33"/>
      </w:numPr>
      <w:contextualSpacing/>
    </w:pPr>
  </w:style>
  <w:style w:type="paragraph" w:styleId="ListBullet4">
    <w:name w:val="List Bullet 4"/>
    <w:basedOn w:val="Normal"/>
    <w:uiPriority w:val="99"/>
    <w:semiHidden/>
    <w:unhideWhenUsed/>
    <w:rsid w:val="00B43027"/>
    <w:pPr>
      <w:numPr>
        <w:numId w:val="34"/>
      </w:numPr>
      <w:contextualSpacing/>
    </w:pPr>
  </w:style>
  <w:style w:type="paragraph" w:styleId="ListBullet5">
    <w:name w:val="List Bullet 5"/>
    <w:basedOn w:val="Normal"/>
    <w:uiPriority w:val="99"/>
    <w:semiHidden/>
    <w:unhideWhenUsed/>
    <w:rsid w:val="00B43027"/>
    <w:pPr>
      <w:numPr>
        <w:numId w:val="35"/>
      </w:numPr>
      <w:contextualSpacing/>
    </w:pPr>
  </w:style>
  <w:style w:type="paragraph" w:styleId="ListContinue">
    <w:name w:val="List Continue"/>
    <w:basedOn w:val="Normal"/>
    <w:uiPriority w:val="99"/>
    <w:semiHidden/>
    <w:unhideWhenUsed/>
    <w:rsid w:val="00B43027"/>
    <w:pPr>
      <w:spacing w:after="120"/>
      <w:ind w:left="360"/>
      <w:contextualSpacing/>
    </w:pPr>
  </w:style>
  <w:style w:type="paragraph" w:styleId="ListContinue2">
    <w:name w:val="List Continue 2"/>
    <w:basedOn w:val="Normal"/>
    <w:uiPriority w:val="99"/>
    <w:semiHidden/>
    <w:unhideWhenUsed/>
    <w:rsid w:val="00B43027"/>
    <w:pPr>
      <w:spacing w:after="120"/>
      <w:ind w:left="720"/>
      <w:contextualSpacing/>
    </w:pPr>
  </w:style>
  <w:style w:type="paragraph" w:styleId="ListContinue3">
    <w:name w:val="List Continue 3"/>
    <w:basedOn w:val="Normal"/>
    <w:uiPriority w:val="99"/>
    <w:semiHidden/>
    <w:unhideWhenUsed/>
    <w:rsid w:val="00B43027"/>
    <w:pPr>
      <w:spacing w:after="120"/>
      <w:ind w:left="1080"/>
      <w:contextualSpacing/>
    </w:pPr>
  </w:style>
  <w:style w:type="paragraph" w:styleId="ListContinue4">
    <w:name w:val="List Continue 4"/>
    <w:basedOn w:val="Normal"/>
    <w:uiPriority w:val="99"/>
    <w:semiHidden/>
    <w:unhideWhenUsed/>
    <w:rsid w:val="00B43027"/>
    <w:pPr>
      <w:spacing w:after="120"/>
      <w:ind w:left="1440"/>
      <w:contextualSpacing/>
    </w:pPr>
  </w:style>
  <w:style w:type="paragraph" w:styleId="ListContinue5">
    <w:name w:val="List Continue 5"/>
    <w:basedOn w:val="Normal"/>
    <w:uiPriority w:val="99"/>
    <w:semiHidden/>
    <w:unhideWhenUsed/>
    <w:rsid w:val="00B43027"/>
    <w:pPr>
      <w:spacing w:after="120"/>
      <w:ind w:left="1800"/>
      <w:contextualSpacing/>
    </w:pPr>
  </w:style>
  <w:style w:type="paragraph" w:styleId="ListNumber">
    <w:name w:val="List Number"/>
    <w:basedOn w:val="Normal"/>
    <w:uiPriority w:val="99"/>
    <w:semiHidden/>
    <w:unhideWhenUsed/>
    <w:rsid w:val="00B43027"/>
    <w:pPr>
      <w:numPr>
        <w:numId w:val="36"/>
      </w:numPr>
      <w:contextualSpacing/>
    </w:pPr>
  </w:style>
  <w:style w:type="paragraph" w:styleId="ListNumber2">
    <w:name w:val="List Number 2"/>
    <w:basedOn w:val="Normal"/>
    <w:uiPriority w:val="99"/>
    <w:semiHidden/>
    <w:unhideWhenUsed/>
    <w:rsid w:val="00B43027"/>
    <w:pPr>
      <w:numPr>
        <w:numId w:val="37"/>
      </w:numPr>
      <w:contextualSpacing/>
    </w:pPr>
  </w:style>
  <w:style w:type="paragraph" w:styleId="ListNumber3">
    <w:name w:val="List Number 3"/>
    <w:basedOn w:val="Normal"/>
    <w:uiPriority w:val="99"/>
    <w:semiHidden/>
    <w:unhideWhenUsed/>
    <w:rsid w:val="00B43027"/>
    <w:pPr>
      <w:numPr>
        <w:numId w:val="38"/>
      </w:numPr>
      <w:contextualSpacing/>
    </w:pPr>
  </w:style>
  <w:style w:type="paragraph" w:styleId="ListNumber4">
    <w:name w:val="List Number 4"/>
    <w:basedOn w:val="Normal"/>
    <w:uiPriority w:val="99"/>
    <w:semiHidden/>
    <w:unhideWhenUsed/>
    <w:rsid w:val="00B43027"/>
    <w:pPr>
      <w:numPr>
        <w:numId w:val="39"/>
      </w:numPr>
      <w:contextualSpacing/>
    </w:pPr>
  </w:style>
  <w:style w:type="paragraph" w:styleId="ListNumber5">
    <w:name w:val="List Number 5"/>
    <w:basedOn w:val="Normal"/>
    <w:uiPriority w:val="99"/>
    <w:semiHidden/>
    <w:unhideWhenUsed/>
    <w:rsid w:val="00B43027"/>
    <w:pPr>
      <w:numPr>
        <w:numId w:val="40"/>
      </w:numPr>
      <w:contextualSpacing/>
    </w:pPr>
  </w:style>
  <w:style w:type="paragraph" w:styleId="MacroText">
    <w:name w:val="macro"/>
    <w:link w:val="MacroTextChar"/>
    <w:uiPriority w:val="99"/>
    <w:semiHidden/>
    <w:unhideWhenUsed/>
    <w:rsid w:val="00B43027"/>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sz w:val="20"/>
    </w:rPr>
  </w:style>
  <w:style w:type="character" w:customStyle="1" w:styleId="MacroTextChar">
    <w:name w:val="Macro Text Char"/>
    <w:basedOn w:val="DefaultParagraphFont"/>
    <w:link w:val="MacroText"/>
    <w:uiPriority w:val="99"/>
    <w:semiHidden/>
    <w:rsid w:val="00B43027"/>
    <w:rPr>
      <w:rFonts w:ascii="Consolas" w:eastAsia="Calibri" w:hAnsi="Consolas"/>
      <w:sz w:val="20"/>
    </w:rPr>
  </w:style>
  <w:style w:type="paragraph" w:styleId="MessageHeader">
    <w:name w:val="Message Header"/>
    <w:basedOn w:val="Normal"/>
    <w:link w:val="MessageHeaderChar"/>
    <w:uiPriority w:val="99"/>
    <w:semiHidden/>
    <w:unhideWhenUsed/>
    <w:rsid w:val="00B4302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43027"/>
    <w:rPr>
      <w:rFonts w:asciiTheme="majorHAnsi" w:eastAsiaTheme="majorEastAsia" w:hAnsiTheme="majorHAnsi" w:cstheme="majorBidi"/>
      <w:szCs w:val="24"/>
      <w:shd w:val="pct20" w:color="auto" w:fill="auto"/>
    </w:rPr>
  </w:style>
  <w:style w:type="paragraph" w:styleId="NoSpacing">
    <w:name w:val="No Spacing"/>
    <w:uiPriority w:val="1"/>
    <w:qFormat/>
    <w:rsid w:val="00B43027"/>
    <w:pPr>
      <w:spacing w:after="0" w:line="240" w:lineRule="auto"/>
    </w:pPr>
    <w:rPr>
      <w:rFonts w:ascii="Calibri" w:eastAsia="Calibri" w:hAnsi="Calibri"/>
      <w:sz w:val="22"/>
      <w:szCs w:val="22"/>
    </w:rPr>
  </w:style>
  <w:style w:type="paragraph" w:styleId="NormalIndent">
    <w:name w:val="Normal Indent"/>
    <w:basedOn w:val="Normal"/>
    <w:uiPriority w:val="99"/>
    <w:semiHidden/>
    <w:unhideWhenUsed/>
    <w:rsid w:val="00B43027"/>
    <w:pPr>
      <w:ind w:left="720"/>
    </w:pPr>
  </w:style>
  <w:style w:type="paragraph" w:styleId="NoteHeading">
    <w:name w:val="Note Heading"/>
    <w:basedOn w:val="Normal"/>
    <w:next w:val="Normal"/>
    <w:link w:val="NoteHeadingChar"/>
    <w:uiPriority w:val="99"/>
    <w:semiHidden/>
    <w:unhideWhenUsed/>
    <w:rsid w:val="00B43027"/>
    <w:pPr>
      <w:spacing w:after="0" w:line="240" w:lineRule="auto"/>
    </w:pPr>
  </w:style>
  <w:style w:type="character" w:customStyle="1" w:styleId="NoteHeadingChar">
    <w:name w:val="Note Heading Char"/>
    <w:basedOn w:val="DefaultParagraphFont"/>
    <w:link w:val="NoteHeading"/>
    <w:uiPriority w:val="99"/>
    <w:semiHidden/>
    <w:rsid w:val="00B43027"/>
    <w:rPr>
      <w:rFonts w:ascii="Calibri" w:eastAsia="Calibri" w:hAnsi="Calibri"/>
      <w:sz w:val="22"/>
      <w:szCs w:val="22"/>
    </w:rPr>
  </w:style>
  <w:style w:type="paragraph" w:styleId="Salutation">
    <w:name w:val="Salutation"/>
    <w:basedOn w:val="Normal"/>
    <w:next w:val="Normal"/>
    <w:link w:val="SalutationChar"/>
    <w:uiPriority w:val="99"/>
    <w:semiHidden/>
    <w:unhideWhenUsed/>
    <w:rsid w:val="00B43027"/>
  </w:style>
  <w:style w:type="character" w:customStyle="1" w:styleId="SalutationChar">
    <w:name w:val="Salutation Char"/>
    <w:basedOn w:val="DefaultParagraphFont"/>
    <w:link w:val="Salutation"/>
    <w:uiPriority w:val="99"/>
    <w:semiHidden/>
    <w:rsid w:val="00B43027"/>
    <w:rPr>
      <w:rFonts w:ascii="Calibri" w:eastAsia="Calibri" w:hAnsi="Calibri"/>
      <w:sz w:val="22"/>
      <w:szCs w:val="22"/>
    </w:rPr>
  </w:style>
  <w:style w:type="paragraph" w:styleId="Signature">
    <w:name w:val="Signature"/>
    <w:basedOn w:val="Normal"/>
    <w:link w:val="SignatureChar"/>
    <w:uiPriority w:val="99"/>
    <w:semiHidden/>
    <w:unhideWhenUsed/>
    <w:rsid w:val="00B43027"/>
    <w:pPr>
      <w:spacing w:after="0" w:line="240" w:lineRule="auto"/>
      <w:ind w:left="4320"/>
    </w:pPr>
  </w:style>
  <w:style w:type="character" w:customStyle="1" w:styleId="SignatureChar">
    <w:name w:val="Signature Char"/>
    <w:basedOn w:val="DefaultParagraphFont"/>
    <w:link w:val="Signature"/>
    <w:uiPriority w:val="99"/>
    <w:semiHidden/>
    <w:rsid w:val="00B43027"/>
    <w:rPr>
      <w:rFonts w:ascii="Calibri" w:eastAsia="Calibri" w:hAnsi="Calibri"/>
      <w:sz w:val="22"/>
      <w:szCs w:val="22"/>
    </w:rPr>
  </w:style>
  <w:style w:type="paragraph" w:styleId="TOAHeading">
    <w:name w:val="toa heading"/>
    <w:basedOn w:val="Normal"/>
    <w:next w:val="Normal"/>
    <w:uiPriority w:val="99"/>
    <w:semiHidden/>
    <w:unhideWhenUsed/>
    <w:rsid w:val="00B4302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B43027"/>
    <w:pPr>
      <w:spacing w:after="100"/>
      <w:ind w:left="440"/>
    </w:pPr>
  </w:style>
  <w:style w:type="paragraph" w:styleId="TOC4">
    <w:name w:val="toc 4"/>
    <w:basedOn w:val="Normal"/>
    <w:next w:val="Normal"/>
    <w:autoRedefine/>
    <w:uiPriority w:val="39"/>
    <w:semiHidden/>
    <w:unhideWhenUsed/>
    <w:rsid w:val="00B43027"/>
    <w:pPr>
      <w:spacing w:after="100"/>
      <w:ind w:left="660"/>
    </w:pPr>
  </w:style>
  <w:style w:type="paragraph" w:styleId="TOC5">
    <w:name w:val="toc 5"/>
    <w:basedOn w:val="Normal"/>
    <w:next w:val="Normal"/>
    <w:autoRedefine/>
    <w:uiPriority w:val="39"/>
    <w:semiHidden/>
    <w:unhideWhenUsed/>
    <w:rsid w:val="00B43027"/>
    <w:pPr>
      <w:spacing w:after="100"/>
      <w:ind w:left="880"/>
    </w:pPr>
  </w:style>
  <w:style w:type="paragraph" w:styleId="TOC6">
    <w:name w:val="toc 6"/>
    <w:basedOn w:val="Normal"/>
    <w:next w:val="Normal"/>
    <w:autoRedefine/>
    <w:uiPriority w:val="39"/>
    <w:semiHidden/>
    <w:unhideWhenUsed/>
    <w:rsid w:val="00B43027"/>
    <w:pPr>
      <w:spacing w:after="100"/>
      <w:ind w:left="1100"/>
    </w:pPr>
  </w:style>
  <w:style w:type="paragraph" w:styleId="TOC7">
    <w:name w:val="toc 7"/>
    <w:basedOn w:val="Normal"/>
    <w:next w:val="Normal"/>
    <w:autoRedefine/>
    <w:uiPriority w:val="39"/>
    <w:semiHidden/>
    <w:unhideWhenUsed/>
    <w:rsid w:val="00B43027"/>
    <w:pPr>
      <w:spacing w:after="100"/>
      <w:ind w:left="1320"/>
    </w:pPr>
  </w:style>
  <w:style w:type="paragraph" w:styleId="TOC8">
    <w:name w:val="toc 8"/>
    <w:basedOn w:val="Normal"/>
    <w:next w:val="Normal"/>
    <w:autoRedefine/>
    <w:uiPriority w:val="39"/>
    <w:semiHidden/>
    <w:unhideWhenUsed/>
    <w:rsid w:val="00B43027"/>
    <w:pPr>
      <w:spacing w:after="100"/>
      <w:ind w:left="1540"/>
    </w:pPr>
  </w:style>
  <w:style w:type="paragraph" w:styleId="TOC9">
    <w:name w:val="toc 9"/>
    <w:basedOn w:val="Normal"/>
    <w:next w:val="Normal"/>
    <w:autoRedefine/>
    <w:uiPriority w:val="39"/>
    <w:semiHidden/>
    <w:unhideWhenUsed/>
    <w:rsid w:val="00B4302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www.eeoc.gov/eeoc/statistics/enforcement/charges.cfm" TargetMode="External"/><Relationship Id="rId3" Type="http://schemas.openxmlformats.org/officeDocument/2006/relationships/styles" Target="styles.xml"/><Relationship Id="rId21" Type="http://schemas.openxmlformats.org/officeDocument/2006/relationships/hyperlink" Target="http://nces.ed.gov/programs/coe/tables/table-cwd-2.as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www.eeoc.gov/eeoc/statistics/enforcement/charges.cf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disabilityprepared.ku.edu" TargetMode="External"/><Relationship Id="rId29" Type="http://schemas.openxmlformats.org/officeDocument/2006/relationships/hyperlink" Target="http://www.eeoc.gov/federal/reports/fsp2009/appendix4.cf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nlts2.org/data_tables"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ideadata.org/PartBData.asp" TargetMode="External"/><Relationship Id="rId28" Type="http://schemas.openxmlformats.org/officeDocument/2006/relationships/hyperlink" Target="http://www.ideadata.org" TargetMode="External"/><Relationship Id="rId10" Type="http://schemas.openxmlformats.org/officeDocument/2006/relationships/image" Target="media/image2.png"/><Relationship Id="rId19" Type="http://schemas.openxmlformats.org/officeDocument/2006/relationships/hyperlink" Target="http://www.Statehealthfacts.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nces.ed.gov/programs/coe/tables/table-cwd-2.asp" TargetMode="External"/><Relationship Id="rId27" Type="http://schemas.openxmlformats.org/officeDocument/2006/relationships/hyperlink" Target="http://www.eeoc.gov/federal/reports/fsp2009/appendix4.cfm" TargetMode="Externa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www.hhs.gov/secretary/about/speeches/sp20110726.html" TargetMode="External"/><Relationship Id="rId18" Type="http://schemas.openxmlformats.org/officeDocument/2006/relationships/hyperlink" Target="http://www.nwba.org/" TargetMode="External"/><Relationship Id="rId26" Type="http://schemas.openxmlformats.org/officeDocument/2006/relationships/hyperlink" Target="http://www.ncd.gov/publications/2005/06132005" TargetMode="External"/><Relationship Id="rId39" Type="http://schemas.openxmlformats.org/officeDocument/2006/relationships/hyperlink" Target="http://www.aapd.com/site/c.pvI1IkNWJqE/b.5607495/k.33DD/AAPD_Recommendations_for_Accessible_Technology_Research.htm" TargetMode="External"/><Relationship Id="rId21" Type="http://schemas.openxmlformats.org/officeDocument/2006/relationships/hyperlink" Target="http://www.amputee-coalition.org/military-instep/introducing-running-lower-limb.html" TargetMode="External"/><Relationship Id="rId34" Type="http://schemas.openxmlformats.org/officeDocument/2006/relationships/hyperlink" Target="http://www.ncd.gov/newsroom/Testimony/2010/HS_Subcomm_Young_Testimony_FINAL" TargetMode="External"/><Relationship Id="rId42" Type="http://schemas.openxmlformats.org/officeDocument/2006/relationships/hyperlink" Target="http://www.afb.org/afbpress/pub.asp?DocID=aw080104" TargetMode="External"/><Relationship Id="rId47" Type="http://schemas.openxmlformats.org/officeDocument/2006/relationships/hyperlink" Target="http://hraunfoss.fcc.gov/edocs_public/attachmatch/DOC-303939A1.doc" TargetMode="External"/><Relationship Id="rId50" Type="http://schemas.openxmlformats.org/officeDocument/2006/relationships/hyperlink" Target="http://www2.ed.gov/policy/gen/leg/recovery/factsheet/idea.html" TargetMode="External"/><Relationship Id="rId55" Type="http://schemas.openxmlformats.org/officeDocument/2006/relationships/hyperlink" Target="http://journals.lww.com/jrnldbp/Abstract/2010/07000/Can_State_Early_Intervention_Programs_Meet_the.2.aspx" TargetMode="External"/><Relationship Id="rId63" Type="http://schemas.openxmlformats.org/officeDocument/2006/relationships/hyperlink" Target="http://www2.ed.gov/about/offices/list/ocr/letters/colleague-201010.html" TargetMode="External"/><Relationship Id="rId7" Type="http://schemas.openxmlformats.org/officeDocument/2006/relationships/hyperlink" Target="http://scholar.google.com/scholar_case?case=10938590498249398271&amp;hl=en&amp;as_sdt=2&amp;as_vis=1&amp;oi=scholarr" TargetMode="External"/><Relationship Id="rId2" Type="http://schemas.openxmlformats.org/officeDocument/2006/relationships/hyperlink" Target="https://www.cms.gov/MedicaidDataSourcesGenInfo/downloads/09December31f.pdf" TargetMode="External"/><Relationship Id="rId16" Type="http://schemas.openxmlformats.org/officeDocument/2006/relationships/hyperlink" Target="http://www.cdc.gov/physicalactivity/everyone/health/index.html" TargetMode="External"/><Relationship Id="rId29" Type="http://schemas.openxmlformats.org/officeDocument/2006/relationships/hyperlink" Target="http://www.dhs.gov/xabout/structure/gc_1266873528670.shtm" TargetMode="External"/><Relationship Id="rId1" Type="http://schemas.openxmlformats.org/officeDocument/2006/relationships/hyperlink" Target="http://www.declarationforindependence.org" TargetMode="External"/><Relationship Id="rId6" Type="http://schemas.openxmlformats.org/officeDocument/2006/relationships/hyperlink" Target="http://www.aaiddjournals.org/doi/pdf/10.1352/1934-9556-48.6.480" TargetMode="External"/><Relationship Id="rId11" Type="http://schemas.openxmlformats.org/officeDocument/2006/relationships/hyperlink" Target="http://www.ncd.gov/publications/2010/Jan192010" TargetMode="External"/><Relationship Id="rId24" Type="http://schemas.openxmlformats.org/officeDocument/2006/relationships/hyperlink" Target="http://hraunfoss.fcc.gov/edocs_public/attachmatch/DOC-303939A1.doc" TargetMode="External"/><Relationship Id="rId32" Type="http://schemas.openxmlformats.org/officeDocument/2006/relationships/hyperlink" Target="http://www.ncd.gov/publications/2009/Aug122009" TargetMode="External"/><Relationship Id="rId37" Type="http://schemas.openxmlformats.org/officeDocument/2006/relationships/hyperlink" Target="http://www.ncd.gov/publications/2006/Dec262006" TargetMode="External"/><Relationship Id="rId40" Type="http://schemas.openxmlformats.org/officeDocument/2006/relationships/hyperlink" Target="http://www.washington.edu/doit/Faculty/Strategies/Academic/Distancelearning/" TargetMode="External"/><Relationship Id="rId45" Type="http://schemas.openxmlformats.org/officeDocument/2006/relationships/hyperlink" Target="http://www.access-board.gov/sec508/standards.htm" TargetMode="External"/><Relationship Id="rId53" Type="http://schemas.openxmlformats.org/officeDocument/2006/relationships/hyperlink" Target="http://www.cdc.gov/" TargetMode="External"/><Relationship Id="rId58" Type="http://schemas.openxmlformats.org/officeDocument/2006/relationships/hyperlink" Target="http://www.forockids.org/PDF%20Docs/Bullying.pdf" TargetMode="External"/><Relationship Id="rId66" Type="http://schemas.openxmlformats.org/officeDocument/2006/relationships/hyperlink" Target="http://www.whitehouse.gov/the-press-office/executive-order-increasing-federal-employment-individuals-with-disabilities" TargetMode="External"/><Relationship Id="rId5" Type="http://schemas.openxmlformats.org/officeDocument/2006/relationships/hyperlink" Target="http://www.ada.gov/olmstead/index.htm" TargetMode="External"/><Relationship Id="rId15" Type="http://schemas.openxmlformats.org/officeDocument/2006/relationships/hyperlink" Target="http://www.ncaonline.org" TargetMode="External"/><Relationship Id="rId23" Type="http://schemas.openxmlformats.org/officeDocument/2006/relationships/hyperlink" Target="http://www.ada.gov/regs2010/titleIII_2010/titleIII_2010_regulations.htm" TargetMode="External"/><Relationship Id="rId28" Type="http://schemas.openxmlformats.org/officeDocument/2006/relationships/hyperlink" Target="http://www.ncd.gov/publications/2005/04152005" TargetMode="External"/><Relationship Id="rId36" Type="http://schemas.openxmlformats.org/officeDocument/2006/relationships/hyperlink" Target="http://www.ncd.gov/newsroom/Testimony/2010/HS_Subcomm_Young_Testimony_FINAL" TargetMode="External"/><Relationship Id="rId49" Type="http://schemas.openxmlformats.org/officeDocument/2006/relationships/hyperlink" Target="http://www2.ed.gov/offices/OUS/PES/1994legislation.html" TargetMode="External"/><Relationship Id="rId57" Type="http://schemas.openxmlformats.org/officeDocument/2006/relationships/hyperlink" Target="http://www2.ed.gov/programs/tpsid/legislation.html" TargetMode="External"/><Relationship Id="rId61" Type="http://schemas.openxmlformats.org/officeDocument/2006/relationships/hyperlink" Target="http://www.kten.com/story/12298701/dickson-mother-says-bullying-went-too-far?redirected=true" TargetMode="External"/><Relationship Id="rId10" Type="http://schemas.openxmlformats.org/officeDocument/2006/relationships/hyperlink" Target="http://www.aucd.org/docs/policy/PricedOut2010.pdf" TargetMode="External"/><Relationship Id="rId19" Type="http://schemas.openxmlformats.org/officeDocument/2006/relationships/hyperlink" Target="http://www.99main.com/~charlief/vi/recreation.html" TargetMode="External"/><Relationship Id="rId31" Type="http://schemas.openxmlformats.org/officeDocument/2006/relationships/hyperlink" Target="http://www.ed.gov/rschstat/research/pubs" TargetMode="External"/><Relationship Id="rId44" Type="http://schemas.openxmlformats.org/officeDocument/2006/relationships/hyperlink" Target="http://www.w3.org/WAI/intro/wcag.php" TargetMode="External"/><Relationship Id="rId52" Type="http://schemas.openxmlformats.org/officeDocument/2006/relationships/hyperlink" Target="http://www.fpg.unc.edu/~eco/assets/pdfs/outcomesforchildrenfinal.pdf" TargetMode="External"/><Relationship Id="rId60" Type="http://schemas.openxmlformats.org/officeDocument/2006/relationships/hyperlink" Target="http://ies.ed.gov/ncee/edlabs/regions/northeast/pdf/REL_2010092.pdf" TargetMode="External"/><Relationship Id="rId65" Type="http://schemas.openxmlformats.org/officeDocument/2006/relationships/hyperlink" Target="http://monthlyreview.org/2001/07/01/disablement-prison-and-historical-segregation" TargetMode="External"/><Relationship Id="rId4" Type="http://schemas.openxmlformats.org/officeDocument/2006/relationships/hyperlink" Target="http://thehill.com/blogs/congress-blog/healthcare/169259-modernize-medicaid-to-better-support-people-with-disabilities" TargetMode="External"/><Relationship Id="rId9" Type="http://schemas.openxmlformats.org/officeDocument/2006/relationships/hyperlink" Target="http://www.npr.org/2010/12/09/131912529/a-new-nursing-home-population-the-young" TargetMode="External"/><Relationship Id="rId14" Type="http://schemas.openxmlformats.org/officeDocument/2006/relationships/hyperlink" Target="http://www.ncd.gov/newsroom/publications/2009/HealthCare/HealthCare.html" TargetMode="External"/><Relationship Id="rId22" Type="http://schemas.openxmlformats.org/officeDocument/2006/relationships/hyperlink" Target="http://www.ada.gov/regs2010/titleII_2010/titleII_2010_regulations.htm" TargetMode="External"/><Relationship Id="rId27" Type="http://schemas.openxmlformats.org/officeDocument/2006/relationships/hyperlink" Target="http://www.9news.com/rss/story.aspx?storyid=197177" TargetMode="External"/><Relationship Id="rId30" Type="http://schemas.openxmlformats.org/officeDocument/2006/relationships/hyperlink" Target="http://www.dhs.gov/xabout/structure/gc_1266873528670.shtm" TargetMode="External"/><Relationship Id="rId35" Type="http://schemas.openxmlformats.org/officeDocument/2006/relationships/hyperlink" Target="http://www.cbm.org/article/downloads/71140/Fact_sheet_Disability_in_Conflict_and_Emergencies.pdf" TargetMode="External"/><Relationship Id="rId43" Type="http://schemas.openxmlformats.org/officeDocument/2006/relationships/hyperlink" Target="http://www.browngold.com/?s=news&amp;ss=86" TargetMode="External"/><Relationship Id="rId48" Type="http://schemas.openxmlformats.org/officeDocument/2006/relationships/hyperlink" Target="http://www.stlouiskidsmagazine.com/story/victory-parents-disabilities-missouri" TargetMode="External"/><Relationship Id="rId56" Type="http://schemas.openxmlformats.org/officeDocument/2006/relationships/hyperlink" Target="http://iacc.hhs.gov/reports/reports-to-congress/FY2006-2009/index.shtml" TargetMode="External"/><Relationship Id="rId64" Type="http://schemas.openxmlformats.org/officeDocument/2006/relationships/hyperlink" Target="http://www.splcenter.org/get-informed/news/splc-launches-school-to-prison-reform-project-to-help-at-risk-children-get-special" TargetMode="External"/><Relationship Id="rId8" Type="http://schemas.openxmlformats.org/officeDocument/2006/relationships/hyperlink" Target="http://scholar.google.com/scholar_case?case=17767386997275142134&amp;hl=en&amp;as_sdt=2&amp;as_vis=1&amp;oi=scholarr" TargetMode="External"/><Relationship Id="rId51" Type="http://schemas.openxmlformats.org/officeDocument/2006/relationships/hyperlink" Target="http://www.gao.gov/products/GAO-10-231" TargetMode="External"/><Relationship Id="rId3" Type="http://schemas.openxmlformats.org/officeDocument/2006/relationships/hyperlink" Target="http://familiesusa2.org/assets/pdfs/long-term-care/Five-Good-Reasons.pdf" TargetMode="External"/><Relationship Id="rId12" Type="http://schemas.openxmlformats.org/officeDocument/2006/relationships/hyperlink" Target="http://www.ncd.gov/publications/2009/Sept302009" TargetMode="External"/><Relationship Id="rId17" Type="http://schemas.openxmlformats.org/officeDocument/2006/relationships/hyperlink" Target="http://www.disaboom.com/adaptive-fitness/chair-yoga-is-accessible-for-all" TargetMode="External"/><Relationship Id="rId25" Type="http://schemas.openxmlformats.org/officeDocument/2006/relationships/hyperlink" Target="http://www.2010disabilitysurveys.org/pdfs/surveyresults.pdf" TargetMode="External"/><Relationship Id="rId33" Type="http://schemas.openxmlformats.org/officeDocument/2006/relationships/hyperlink" Target="http://www.ncd.gov/newsroom/Testimony/2010/HS_Subcomm_Young_Testimony_FINAL" TargetMode="External"/><Relationship Id="rId38" Type="http://schemas.openxmlformats.org/officeDocument/2006/relationships/hyperlink" Target="http://www.afb.org/blog/blog_comments.asp?TopicID=3002" TargetMode="External"/><Relationship Id="rId46" Type="http://schemas.openxmlformats.org/officeDocument/2006/relationships/hyperlink" Target="http://www.ada.gov/regs2010/2010ADAStandards/2010ADAstandards.htm" TargetMode="External"/><Relationship Id="rId59" Type="http://schemas.openxmlformats.org/officeDocument/2006/relationships/hyperlink" Target="http://www.targetbully.com/uploads/NASP2005.Siebecker.ppt" TargetMode="External"/><Relationship Id="rId67" Type="http://schemas.openxmlformats.org/officeDocument/2006/relationships/hyperlink" Target="http://links.mkt3889.com/ctt?kn=2&amp;ms=MTkzNTUyNwS2&amp;r=MTYzMDM4NDY4MQS2" TargetMode="External"/><Relationship Id="rId20" Type="http://schemas.openxmlformats.org/officeDocument/2006/relationships/hyperlink" Target="http://www.adaptiveadventures.org" TargetMode="External"/><Relationship Id="rId41" Type="http://schemas.openxmlformats.org/officeDocument/2006/relationships/hyperlink" Target="http://www.coataccess.org/node/9967" TargetMode="External"/><Relationship Id="rId54" Type="http://schemas.openxmlformats.org/officeDocument/2006/relationships/hyperlink" Target="http://www.cdc.gov" TargetMode="External"/><Relationship Id="rId62" Type="http://schemas.openxmlformats.org/officeDocument/2006/relationships/hyperlink" Target="http://www.ed.gov/news/press-releases/departments-education-and-justice-reach-agreement-owatonna-minn-public-school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0727-0D2F-4246-9BE2-A11F5551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16065</Words>
  <Characters>91573</Characters>
  <Application>Microsoft Office Word</Application>
  <DocSecurity>4</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Anne Sommers</cp:lastModifiedBy>
  <cp:revision>2</cp:revision>
  <dcterms:created xsi:type="dcterms:W3CDTF">2011-10-26T14:55:00Z</dcterms:created>
  <dcterms:modified xsi:type="dcterms:W3CDTF">2011-10-26T14:55:00Z</dcterms:modified>
</cp:coreProperties>
</file>