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85B1B" w14:textId="77777777" w:rsidR="00780244" w:rsidRPr="000917F0" w:rsidRDefault="00780244" w:rsidP="00780244">
      <w:pPr>
        <w:pStyle w:val="Default"/>
        <w:tabs>
          <w:tab w:val="left" w:pos="873"/>
          <w:tab w:val="left" w:pos="945"/>
        </w:tabs>
        <w:spacing w:after="40"/>
        <w:rPr>
          <w:rFonts w:ascii="Arial Narrow" w:hAnsi="Arial Narrow"/>
          <w:b/>
          <w:sz w:val="32"/>
          <w:szCs w:val="32"/>
        </w:rPr>
      </w:pPr>
      <w:r>
        <w:rPr>
          <w:noProof/>
        </w:rPr>
        <w:drawing>
          <wp:anchor distT="0" distB="0" distL="114300" distR="114300" simplePos="0" relativeHeight="251660800" behindDoc="0" locked="0" layoutInCell="1" allowOverlap="1" wp14:anchorId="3FCF463B" wp14:editId="0DC615AF">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sz w:val="32"/>
          <w:szCs w:val="32"/>
        </w:rPr>
        <w:tab/>
      </w:r>
      <w:r>
        <w:rPr>
          <w:rFonts w:ascii="Arial Narrow" w:hAnsi="Arial Narrow"/>
          <w:b/>
          <w:sz w:val="32"/>
          <w:szCs w:val="32"/>
        </w:rPr>
        <w:tab/>
        <w:t>National Council on Disability</w:t>
      </w:r>
    </w:p>
    <w:p w14:paraId="44BBDE05" w14:textId="77777777" w:rsidR="00780244" w:rsidRPr="009F2663" w:rsidRDefault="00780244" w:rsidP="00780244">
      <w:pPr>
        <w:pStyle w:val="Default"/>
      </w:pPr>
      <w:r>
        <w:rPr>
          <w:noProof/>
        </w:rPr>
        <mc:AlternateContent>
          <mc:Choice Requires="wps">
            <w:drawing>
              <wp:anchor distT="0" distB="0" distL="114300" distR="114300" simplePos="0" relativeHeight="251659776" behindDoc="0" locked="0" layoutInCell="1" allowOverlap="1" wp14:anchorId="033AA2A9" wp14:editId="7B7ED6D4">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BDA19B3" id="Straight Connector 18" o:spid="_x0000_s1026" alt="Title: Line - Description: Rule"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76413D08" w14:textId="77777777" w:rsidR="00780244" w:rsidRPr="003B00D6" w:rsidRDefault="00780244" w:rsidP="007F4116">
      <w:pPr>
        <w:pStyle w:val="NCDBodyText"/>
        <w:spacing w:line="240" w:lineRule="auto"/>
        <w:rPr>
          <w:sz w:val="22"/>
          <w:szCs w:val="22"/>
        </w:rPr>
      </w:pPr>
      <w:r w:rsidRPr="003B00D6">
        <w:rPr>
          <w:sz w:val="22"/>
          <w:szCs w:val="22"/>
        </w:rPr>
        <w:t>An independent federal agency making recommendations to the President and Congress to enhance the quality of life for all Americans with disabilities and their families.</w:t>
      </w:r>
    </w:p>
    <w:p w14:paraId="2D8F7DE8" w14:textId="77777777" w:rsidR="00CB2BDE" w:rsidRPr="00780244" w:rsidRDefault="00CB2BDE" w:rsidP="00296DA5">
      <w:pPr>
        <w:pStyle w:val="Heading1"/>
      </w:pPr>
      <w:bookmarkStart w:id="0" w:name="_Toc525672602"/>
      <w:bookmarkStart w:id="1" w:name="_Toc525758741"/>
      <w:bookmarkStart w:id="2" w:name="_Toc526182067"/>
      <w:r w:rsidRPr="00780244">
        <w:t>Letter of Transmittal</w:t>
      </w:r>
      <w:bookmarkEnd w:id="0"/>
      <w:bookmarkEnd w:id="1"/>
      <w:bookmarkEnd w:id="2"/>
    </w:p>
    <w:p w14:paraId="74DDFEE0" w14:textId="77777777" w:rsidR="00CB2BDE" w:rsidRDefault="001115C1" w:rsidP="00396A3D">
      <w:pPr>
        <w:pStyle w:val="NCDBodyText"/>
        <w:spacing w:after="0" w:line="240" w:lineRule="auto"/>
      </w:pPr>
      <w:r>
        <w:t>October 31</w:t>
      </w:r>
      <w:r w:rsidR="00CB2BDE">
        <w:t>, 2018</w:t>
      </w:r>
    </w:p>
    <w:p w14:paraId="74A07535" w14:textId="77777777" w:rsidR="00780244" w:rsidRDefault="00780244" w:rsidP="00396A3D">
      <w:pPr>
        <w:pStyle w:val="NCDBodyText"/>
        <w:spacing w:after="0" w:line="240" w:lineRule="auto"/>
      </w:pPr>
    </w:p>
    <w:p w14:paraId="0387D02A" w14:textId="77777777" w:rsidR="00CB2BDE" w:rsidRDefault="00CB2BDE" w:rsidP="00396A3D">
      <w:pPr>
        <w:pStyle w:val="NCDBodyText"/>
        <w:spacing w:after="0" w:line="240" w:lineRule="auto"/>
      </w:pPr>
      <w:r>
        <w:t>President</w:t>
      </w:r>
      <w:r w:rsidR="00B937FF">
        <w:t xml:space="preserve"> </w:t>
      </w:r>
      <w:r w:rsidR="00855FC3">
        <w:t>Donald J. Trump</w:t>
      </w:r>
    </w:p>
    <w:p w14:paraId="0C49873F" w14:textId="77777777" w:rsidR="00CB2BDE" w:rsidRDefault="00CB2BDE" w:rsidP="00396A3D">
      <w:pPr>
        <w:pStyle w:val="NCDBodyText"/>
        <w:spacing w:after="0" w:line="240" w:lineRule="auto"/>
      </w:pPr>
      <w:r>
        <w:t>The White House</w:t>
      </w:r>
    </w:p>
    <w:p w14:paraId="7BD620E6" w14:textId="77777777" w:rsidR="00CB2BDE" w:rsidRDefault="00CB2BDE" w:rsidP="00396A3D">
      <w:pPr>
        <w:pStyle w:val="NCDBodyText"/>
        <w:spacing w:after="0" w:line="240" w:lineRule="auto"/>
      </w:pPr>
      <w:r>
        <w:t>1600 Pennsylvania Ave., NW</w:t>
      </w:r>
    </w:p>
    <w:p w14:paraId="60B90D6A" w14:textId="29D496B9" w:rsidR="00CB2BDE" w:rsidRDefault="00CB2BDE" w:rsidP="00396A3D">
      <w:pPr>
        <w:pStyle w:val="NCDBodyText"/>
        <w:spacing w:after="0" w:line="240" w:lineRule="auto"/>
      </w:pPr>
      <w:r>
        <w:t>Washington, DC 20500</w:t>
      </w:r>
    </w:p>
    <w:p w14:paraId="36449112" w14:textId="77777777" w:rsidR="00CB2BDE" w:rsidRDefault="00CB2BDE" w:rsidP="00396A3D">
      <w:pPr>
        <w:pStyle w:val="NCDBodyText"/>
        <w:spacing w:after="0" w:line="240" w:lineRule="auto"/>
      </w:pPr>
    </w:p>
    <w:p w14:paraId="7F7E3926" w14:textId="77777777" w:rsidR="00CB2BDE" w:rsidRDefault="00CB2BDE" w:rsidP="00396A3D">
      <w:pPr>
        <w:pStyle w:val="NCDBodyText"/>
        <w:spacing w:after="0" w:line="240" w:lineRule="auto"/>
      </w:pPr>
      <w:r>
        <w:t>Dear Mr. President,</w:t>
      </w:r>
    </w:p>
    <w:p w14:paraId="2863704D" w14:textId="77777777" w:rsidR="00CB2BDE" w:rsidRDefault="00CB2BDE" w:rsidP="00396A3D">
      <w:pPr>
        <w:pStyle w:val="NCDBodyText"/>
        <w:spacing w:after="0" w:line="240" w:lineRule="auto"/>
      </w:pPr>
    </w:p>
    <w:p w14:paraId="57E7AFA9" w14:textId="5DD52161" w:rsidR="00396A3D" w:rsidRDefault="00CB2BDE" w:rsidP="00396A3D">
      <w:pPr>
        <w:pStyle w:val="NCDBodyText"/>
        <w:spacing w:after="0" w:line="240" w:lineRule="auto"/>
      </w:pPr>
      <w:r>
        <w:t xml:space="preserve">The National Council on Disability (NCD) is pleased to present the 2018 </w:t>
      </w:r>
      <w:r w:rsidR="00631E24" w:rsidRPr="00631E24">
        <w:rPr>
          <w:i/>
        </w:rPr>
        <w:t>National Disability Policy: A Progress Report</w:t>
      </w:r>
      <w:r w:rsidRPr="00B937FF">
        <w:t>,</w:t>
      </w:r>
      <w:r w:rsidR="00B937FF">
        <w:t xml:space="preserve"> this year titled</w:t>
      </w:r>
      <w:r w:rsidR="00631E24" w:rsidRPr="00631E24">
        <w:rPr>
          <w:i/>
        </w:rPr>
        <w:t xml:space="preserve"> Has the Promise Been Kept?</w:t>
      </w:r>
      <w:r>
        <w:t xml:space="preserve"> </w:t>
      </w:r>
      <w:r w:rsidR="00631E24" w:rsidRPr="00631E24">
        <w:rPr>
          <w:i/>
        </w:rPr>
        <w:t>Federal Enforcement of Disability Rights Laws.</w:t>
      </w:r>
      <w:r>
        <w:t xml:space="preserve"> Each year, NCD submits a statutorily mandated report to the White House and Congress to offer recommendations on continuing, new, and emerging issues </w:t>
      </w:r>
      <w:r w:rsidR="000B0E38">
        <w:t xml:space="preserve">that </w:t>
      </w:r>
      <w:r>
        <w:t>affect the lives of people with disabilities.</w:t>
      </w:r>
    </w:p>
    <w:p w14:paraId="3D8911C2" w14:textId="14CEADA1" w:rsidR="00CB2BDE" w:rsidRDefault="00CB2BDE" w:rsidP="00396A3D">
      <w:pPr>
        <w:pStyle w:val="NCDBodyText"/>
        <w:spacing w:after="0" w:line="240" w:lineRule="auto"/>
      </w:pPr>
    </w:p>
    <w:p w14:paraId="7A1DBDA6" w14:textId="0598A615" w:rsidR="002B6E53" w:rsidRDefault="00CB2BDE" w:rsidP="00396A3D">
      <w:pPr>
        <w:pStyle w:val="NCDBodyText"/>
        <w:spacing w:after="0" w:line="240" w:lineRule="auto"/>
      </w:pPr>
      <w:r w:rsidRPr="00380A88">
        <w:t xml:space="preserve">In this report, the Council revisits </w:t>
      </w:r>
      <w:r w:rsidR="00B937FF" w:rsidRPr="00380A88">
        <w:t>the</w:t>
      </w:r>
      <w:r w:rsidRPr="00380A88">
        <w:t xml:space="preserve"> NCD report </w:t>
      </w:r>
      <w:r w:rsidR="00631E24" w:rsidRPr="00631E24">
        <w:rPr>
          <w:i/>
        </w:rPr>
        <w:t>Promises to Keep: A Decade of Federal Enforcement of the Americans with Disabilities Act</w:t>
      </w:r>
      <w:r w:rsidR="00B937FF" w:rsidRPr="00380A88">
        <w:t>, released in 2000,</w:t>
      </w:r>
      <w:r w:rsidRPr="00380A88">
        <w:t xml:space="preserve"> to assess </w:t>
      </w:r>
      <w:r w:rsidR="00B937FF" w:rsidRPr="00380A88">
        <w:t xml:space="preserve">the </w:t>
      </w:r>
      <w:r w:rsidRPr="00380A88">
        <w:t>progress made by the U.S. Equal Employment Opportunity Commission (EEOC) and th</w:t>
      </w:r>
      <w:r w:rsidR="00B937FF" w:rsidRPr="00380A88">
        <w:t>e U.S. Access Board to address NCD</w:t>
      </w:r>
      <w:r w:rsidR="006474CA">
        <w:t>’</w:t>
      </w:r>
      <w:r w:rsidR="00B937FF" w:rsidRPr="00380A88">
        <w:t>s</w:t>
      </w:r>
      <w:r w:rsidR="008F1F67" w:rsidRPr="00380A88">
        <w:t xml:space="preserve"> recommendations in the 2000</w:t>
      </w:r>
      <w:r w:rsidRPr="00380A88">
        <w:t xml:space="preserve"> report. </w:t>
      </w:r>
      <w:r w:rsidR="00B937FF" w:rsidRPr="00380A88">
        <w:t xml:space="preserve">NCD </w:t>
      </w:r>
      <w:r w:rsidRPr="00380A88">
        <w:t xml:space="preserve">uses the framework developed in </w:t>
      </w:r>
      <w:r w:rsidR="00631E24" w:rsidRPr="00631E24">
        <w:rPr>
          <w:i/>
        </w:rPr>
        <w:t>Promises to Keep</w:t>
      </w:r>
      <w:r w:rsidRPr="00380A88">
        <w:t xml:space="preserve"> to</w:t>
      </w:r>
      <w:r w:rsidR="00B937FF" w:rsidRPr="00380A88">
        <w:t xml:space="preserve"> </w:t>
      </w:r>
      <w:r w:rsidRPr="00380A88">
        <w:t>consider</w:t>
      </w:r>
      <w:r w:rsidR="00B937FF" w:rsidRPr="00380A88">
        <w:t xml:space="preserve"> </w:t>
      </w:r>
      <w:r w:rsidRPr="00380A88">
        <w:t xml:space="preserve">the </w:t>
      </w:r>
      <w:r w:rsidR="00B937FF" w:rsidRPr="00380A88">
        <w:t>effort</w:t>
      </w:r>
      <w:r w:rsidR="00C66C8A" w:rsidRPr="00380A88">
        <w:t>s</w:t>
      </w:r>
      <w:r w:rsidR="00B937FF" w:rsidRPr="00380A88">
        <w:t xml:space="preserve"> of the U.S. </w:t>
      </w:r>
      <w:r w:rsidRPr="00380A88">
        <w:t>Department of Labor</w:t>
      </w:r>
      <w:r w:rsidR="006474CA">
        <w:t>’</w:t>
      </w:r>
      <w:r w:rsidR="00C66C8A" w:rsidRPr="00380A88">
        <w:t>s</w:t>
      </w:r>
      <w:r w:rsidRPr="00380A88">
        <w:t xml:space="preserve"> (DOL)</w:t>
      </w:r>
      <w:r w:rsidR="00C66C8A" w:rsidRPr="00380A88">
        <w:t xml:space="preserve"> Employment and Training Administration, Office of Disability Employment Policy, Office of Federal Contract Compliance Programs, Office of the Solicitor, </w:t>
      </w:r>
      <w:r w:rsidR="00C66C8A" w:rsidRPr="00AD257D">
        <w:t xml:space="preserve">and the Wage and Hour Division </w:t>
      </w:r>
      <w:r w:rsidR="00B937FF" w:rsidRPr="00AD257D">
        <w:t>to protect and advance the employment of people with disabilities</w:t>
      </w:r>
      <w:r w:rsidR="00636C1A" w:rsidRPr="00AD257D">
        <w:t xml:space="preserve">. </w:t>
      </w:r>
      <w:bookmarkStart w:id="3" w:name="_Hlk521303718"/>
      <w:r w:rsidR="00AD257D" w:rsidRPr="00AD257D">
        <w:t>NCD received the Department of Labo</w:t>
      </w:r>
      <w:r w:rsidR="00AD257D">
        <w:t>r</w:t>
      </w:r>
      <w:r w:rsidR="006474CA">
        <w:t>’</w:t>
      </w:r>
      <w:r w:rsidR="00AD257D">
        <w:t>s Civil Rights Center</w:t>
      </w:r>
      <w:r w:rsidR="006474CA">
        <w:t>’</w:t>
      </w:r>
      <w:r w:rsidR="00AD257D">
        <w:t xml:space="preserve">s </w:t>
      </w:r>
      <w:r w:rsidR="00AD257D" w:rsidRPr="00AD257D">
        <w:t>response to NCD</w:t>
      </w:r>
      <w:r w:rsidR="006474CA">
        <w:t>’</w:t>
      </w:r>
      <w:r w:rsidR="00AD257D" w:rsidRPr="00AD257D">
        <w:t>s research questions after completion of NCD</w:t>
      </w:r>
      <w:r w:rsidR="006474CA">
        <w:t>’</w:t>
      </w:r>
      <w:r w:rsidR="00AD257D" w:rsidRPr="00AD257D">
        <w:t>s examination of DOL, and thus it has not been analyzed. Therefore, we have appended their unedited response to ensure its inclusion in this report.</w:t>
      </w:r>
      <w:r w:rsidR="00716D6A">
        <w:t xml:space="preserve"> </w:t>
      </w:r>
    </w:p>
    <w:p w14:paraId="6261D749" w14:textId="7790691F" w:rsidR="00AD257D" w:rsidRPr="00AD257D" w:rsidRDefault="00AD257D" w:rsidP="00396A3D">
      <w:pPr>
        <w:pStyle w:val="NCDBodyText"/>
        <w:spacing w:after="0" w:line="240" w:lineRule="auto"/>
        <w:rPr>
          <w:rFonts w:eastAsiaTheme="minorHAnsi" w:cs="Arial"/>
        </w:rPr>
      </w:pPr>
    </w:p>
    <w:bookmarkEnd w:id="3"/>
    <w:p w14:paraId="469D99DF" w14:textId="77777777" w:rsidR="00396A3D" w:rsidRDefault="00C66C8A" w:rsidP="00396A3D">
      <w:pPr>
        <w:pStyle w:val="NCDBodyText"/>
        <w:spacing w:after="0" w:line="240" w:lineRule="auto"/>
      </w:pPr>
      <w:r w:rsidRPr="00AD257D">
        <w:t>The</w:t>
      </w:r>
      <w:r w:rsidR="00AE2E80" w:rsidRPr="00AD257D">
        <w:t xml:space="preserve"> </w:t>
      </w:r>
      <w:r w:rsidRPr="00AD257D">
        <w:t xml:space="preserve">federal </w:t>
      </w:r>
      <w:r w:rsidR="00CB2BDE" w:rsidRPr="00AD257D">
        <w:t xml:space="preserve">agencies </w:t>
      </w:r>
      <w:r w:rsidR="00AE2E80" w:rsidRPr="00AD257D">
        <w:t xml:space="preserve">considered in this report </w:t>
      </w:r>
      <w:r w:rsidR="00CB2BDE" w:rsidRPr="00AD257D">
        <w:t>play a key role to ensure</w:t>
      </w:r>
      <w:r w:rsidR="00CB2BDE" w:rsidRPr="00F9778A">
        <w:t xml:space="preserve"> </w:t>
      </w:r>
      <w:r w:rsidR="00B937FF" w:rsidRPr="00F9778A">
        <w:t>that</w:t>
      </w:r>
      <w:r w:rsidR="00CB2BDE" w:rsidRPr="00F9778A">
        <w:t xml:space="preserve"> people with disabilities </w:t>
      </w:r>
      <w:r w:rsidR="00B937FF" w:rsidRPr="00F9778A">
        <w:t xml:space="preserve">have the equal opportunity </w:t>
      </w:r>
      <w:r w:rsidR="00CB2BDE" w:rsidRPr="00F9778A">
        <w:t xml:space="preserve">to work and access the community </w:t>
      </w:r>
      <w:r w:rsidR="00B937FF" w:rsidRPr="00F9778A">
        <w:t xml:space="preserve">as all </w:t>
      </w:r>
      <w:r w:rsidR="00CB2BDE" w:rsidRPr="00F9778A">
        <w:t>American</w:t>
      </w:r>
      <w:r w:rsidR="00B937FF" w:rsidRPr="00F9778A">
        <w:t>s</w:t>
      </w:r>
      <w:r w:rsidR="00CB2BDE" w:rsidRPr="00F9778A">
        <w:t>. T</w:t>
      </w:r>
      <w:r w:rsidR="00B937FF" w:rsidRPr="00F9778A">
        <w:t xml:space="preserve">his </w:t>
      </w:r>
      <w:r w:rsidR="000F4632" w:rsidRPr="00F9778A">
        <w:t>r</w:t>
      </w:r>
      <w:r w:rsidR="00AE2E80" w:rsidRPr="00F9778A">
        <w:t>eport assesses</w:t>
      </w:r>
      <w:r w:rsidR="00B937FF" w:rsidRPr="00F9778A">
        <w:t xml:space="preserve"> how these</w:t>
      </w:r>
      <w:r w:rsidR="00CB2BDE" w:rsidRPr="00F9778A">
        <w:t xml:space="preserve"> agencies implement and enforce the Americans with Disabilities Act and other federal disability rights laws and programs.</w:t>
      </w:r>
    </w:p>
    <w:p w14:paraId="63B70D80" w14:textId="6E4ACCBE" w:rsidR="00CB2BDE" w:rsidRPr="00F9778A" w:rsidRDefault="00CB2BDE" w:rsidP="00396A3D">
      <w:pPr>
        <w:pStyle w:val="NCDBodyText"/>
        <w:spacing w:after="0" w:line="240" w:lineRule="auto"/>
      </w:pPr>
    </w:p>
    <w:p w14:paraId="72440DDE" w14:textId="77777777" w:rsidR="00A3332F" w:rsidRDefault="00CB2BDE" w:rsidP="00396A3D">
      <w:pPr>
        <w:pStyle w:val="NCDBodyText"/>
        <w:spacing w:after="0" w:line="240" w:lineRule="auto"/>
      </w:pPr>
      <w:r w:rsidRPr="00F9778A">
        <w:t xml:space="preserve">NCD submits this report at a time of </w:t>
      </w:r>
      <w:r w:rsidR="00B937FF" w:rsidRPr="00F9778A">
        <w:t xml:space="preserve">economic expansion, </w:t>
      </w:r>
      <w:r w:rsidRPr="00F9778A">
        <w:t>job growth, and technological</w:t>
      </w:r>
      <w:r>
        <w:t xml:space="preserve"> advancements</w:t>
      </w:r>
      <w:r w:rsidR="009E32D0">
        <w:t>,</w:t>
      </w:r>
      <w:r>
        <w:t xml:space="preserve"> which are</w:t>
      </w:r>
      <w:r w:rsidR="00F9778A">
        <w:t xml:space="preserve"> expanding </w:t>
      </w:r>
      <w:r>
        <w:t xml:space="preserve">opportunities </w:t>
      </w:r>
      <w:r w:rsidR="00B937FF">
        <w:t>for</w:t>
      </w:r>
      <w:r>
        <w:t xml:space="preserve"> people with disabilities. Enforcement and effective implementation of federal disability civil rights laws and employment programs are vital for people with disabilities to share fully in the American economy, to participate in </w:t>
      </w:r>
      <w:r w:rsidR="00B937FF">
        <w:t xml:space="preserve">the </w:t>
      </w:r>
      <w:r>
        <w:t xml:space="preserve">local and national community, and to interact with the </w:t>
      </w:r>
    </w:p>
    <w:p w14:paraId="008DC132" w14:textId="37D4F323" w:rsidR="00CB2BDE" w:rsidRDefault="00791726" w:rsidP="00396A3D">
      <w:pPr>
        <w:pStyle w:val="NCDBodyText"/>
        <w:spacing w:after="0" w:line="240" w:lineRule="auto"/>
      </w:pPr>
      <w:r>
        <w:lastRenderedPageBreak/>
        <w:t>Federal Government</w:t>
      </w:r>
      <w:r w:rsidR="00CB2BDE">
        <w:t xml:space="preserve">. </w:t>
      </w:r>
      <w:r w:rsidR="009E32D0">
        <w:t xml:space="preserve">Although </w:t>
      </w:r>
      <w:r w:rsidR="000F4632">
        <w:t xml:space="preserve">some </w:t>
      </w:r>
      <w:r w:rsidR="00CB2BDE">
        <w:t xml:space="preserve">progress in reaching the goal of full equality and justice for Americans with disabilities has been made since </w:t>
      </w:r>
      <w:r w:rsidR="00B937FF">
        <w:t xml:space="preserve">the release of </w:t>
      </w:r>
      <w:r w:rsidR="00631E24" w:rsidRPr="00631E24">
        <w:rPr>
          <w:i/>
        </w:rPr>
        <w:t>Promises to Keep</w:t>
      </w:r>
      <w:r w:rsidR="00CB2BDE">
        <w:t xml:space="preserve">, </w:t>
      </w:r>
      <w:r w:rsidR="000F4632">
        <w:t>improvements are</w:t>
      </w:r>
      <w:r w:rsidR="00CB2BDE">
        <w:t xml:space="preserve"> needed. NCD offers recommendations to enhance the investigative and compliance efforts of the </w:t>
      </w:r>
      <w:r w:rsidR="00B937FF">
        <w:t>EEOC, DOL, and the Access Board</w:t>
      </w:r>
      <w:r w:rsidR="00CB2BDE">
        <w:t xml:space="preserve"> </w:t>
      </w:r>
      <w:r w:rsidR="00B937FF">
        <w:t xml:space="preserve">in order </w:t>
      </w:r>
      <w:r w:rsidR="000F4632">
        <w:t xml:space="preserve">to respond to ongoing and emerging </w:t>
      </w:r>
      <w:r w:rsidR="00CB2BDE">
        <w:t>barriers face</w:t>
      </w:r>
      <w:r w:rsidR="00636C1A">
        <w:t>d by</w:t>
      </w:r>
      <w:r w:rsidR="00CB2BDE">
        <w:t xml:space="preserve"> people with disabilities. NCD </w:t>
      </w:r>
      <w:r w:rsidR="008977B0">
        <w:t>encourages these agencies to</w:t>
      </w:r>
      <w:r w:rsidR="00CB2BDE">
        <w:t xml:space="preserve"> </w:t>
      </w:r>
      <w:r w:rsidR="008977B0">
        <w:t xml:space="preserve">improve communications with people with all types of disabilities, and </w:t>
      </w:r>
      <w:r w:rsidR="00CB2BDE">
        <w:t xml:space="preserve">to </w:t>
      </w:r>
      <w:r w:rsidR="000007C9">
        <w:t xml:space="preserve">better utilize existing </w:t>
      </w:r>
      <w:r w:rsidR="00EB4C37">
        <w:t>resources in investigations and compliance efforts.</w:t>
      </w:r>
    </w:p>
    <w:p w14:paraId="59393889" w14:textId="77777777" w:rsidR="00CB2BDE" w:rsidRDefault="00CB2BDE" w:rsidP="00396A3D">
      <w:pPr>
        <w:pStyle w:val="NCDBodyText"/>
        <w:spacing w:after="0" w:line="240" w:lineRule="auto"/>
      </w:pPr>
    </w:p>
    <w:p w14:paraId="033AC168" w14:textId="31759C6A" w:rsidR="008F1F67" w:rsidRDefault="008F1F67" w:rsidP="00396A3D">
      <w:pPr>
        <w:pStyle w:val="NCDBodyText"/>
        <w:spacing w:after="0" w:line="240" w:lineRule="auto"/>
      </w:pPr>
      <w:r w:rsidRPr="008F1F67">
        <w:t>NCD looks forward to working with the Administration to ensure the ongoing protection of people with disabilities from discrimination in all aspects of their lives through oversight and enforcement of our nation</w:t>
      </w:r>
      <w:r w:rsidR="006474CA">
        <w:t>’</w:t>
      </w:r>
      <w:r w:rsidRPr="008F1F67">
        <w:t>s disability rights laws.</w:t>
      </w:r>
    </w:p>
    <w:p w14:paraId="001A655D" w14:textId="77777777" w:rsidR="008F1F67" w:rsidRDefault="008F1F67" w:rsidP="00396A3D">
      <w:pPr>
        <w:pStyle w:val="NCDBodyText"/>
        <w:spacing w:after="0" w:line="240" w:lineRule="auto"/>
      </w:pPr>
    </w:p>
    <w:p w14:paraId="0FAF4535" w14:textId="77777777" w:rsidR="00CB2BDE" w:rsidRDefault="00CB2BDE" w:rsidP="00396A3D">
      <w:pPr>
        <w:pStyle w:val="NCDBodyText"/>
        <w:spacing w:after="0" w:line="240" w:lineRule="auto"/>
      </w:pPr>
      <w:r>
        <w:t>Respectfully,</w:t>
      </w:r>
    </w:p>
    <w:p w14:paraId="063FAC7E" w14:textId="77777777" w:rsidR="00DD5B5F" w:rsidRDefault="00DD5B5F" w:rsidP="00396A3D">
      <w:pPr>
        <w:pStyle w:val="NCDBodyText"/>
        <w:spacing w:after="0" w:line="240" w:lineRule="auto"/>
      </w:pPr>
    </w:p>
    <w:p w14:paraId="53C909FB" w14:textId="77777777" w:rsidR="00DD5B5F" w:rsidRDefault="00DD5B5F" w:rsidP="00396A3D">
      <w:pPr>
        <w:pStyle w:val="NCDBodyText"/>
        <w:spacing w:after="0" w:line="240" w:lineRule="auto"/>
      </w:pPr>
    </w:p>
    <w:p w14:paraId="34D0D21E" w14:textId="77777777" w:rsidR="00DD5B5F" w:rsidRDefault="00DD5B5F" w:rsidP="00396A3D">
      <w:pPr>
        <w:pStyle w:val="NCDBodyText"/>
        <w:spacing w:after="0" w:line="240" w:lineRule="auto"/>
      </w:pPr>
      <w:r>
        <w:rPr>
          <w:noProof/>
        </w:rPr>
        <w:drawing>
          <wp:inline distT="0" distB="0" distL="0" distR="0" wp14:anchorId="1E7AE242" wp14:editId="4E549ED3">
            <wp:extent cx="1520792" cy="842053"/>
            <wp:effectExtent l="0" t="0" r="3810" b="0"/>
            <wp:docPr id="3" name="Picture 3" descr="Neil Roman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l Roman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6096" cy="844990"/>
                    </a:xfrm>
                    <a:prstGeom prst="rect">
                      <a:avLst/>
                    </a:prstGeom>
                  </pic:spPr>
                </pic:pic>
              </a:graphicData>
            </a:graphic>
          </wp:inline>
        </w:drawing>
      </w:r>
      <w:r w:rsidR="00D557D1">
        <w:br/>
      </w:r>
    </w:p>
    <w:p w14:paraId="54FDBADD" w14:textId="4A198B49" w:rsidR="00CB2BDE" w:rsidRDefault="00CB2BDE" w:rsidP="00396A3D">
      <w:pPr>
        <w:pStyle w:val="NCDBodyText"/>
        <w:spacing w:after="0" w:line="240" w:lineRule="auto"/>
      </w:pPr>
      <w:r>
        <w:t>Neil Romano</w:t>
      </w:r>
    </w:p>
    <w:p w14:paraId="24F69930" w14:textId="5AD58267" w:rsidR="00CB2BDE" w:rsidRDefault="00CB2BDE" w:rsidP="00396A3D">
      <w:pPr>
        <w:pStyle w:val="NCDBodyText"/>
        <w:spacing w:after="0" w:line="240" w:lineRule="auto"/>
      </w:pPr>
      <w:r>
        <w:t>Chair</w:t>
      </w:r>
      <w:r w:rsidR="001115C1">
        <w:t>man</w:t>
      </w:r>
    </w:p>
    <w:p w14:paraId="235F854E" w14:textId="77777777" w:rsidR="001115C1" w:rsidRPr="000A2B4D" w:rsidRDefault="00CB2BDE" w:rsidP="003C204A">
      <w:pPr>
        <w:pStyle w:val="NCDNationalCouncilStaff"/>
        <w:spacing w:before="0"/>
      </w:pPr>
      <w:r w:rsidRPr="000A2B4D">
        <w:br w:type="page"/>
      </w:r>
      <w:bookmarkStart w:id="4" w:name="_Toc525672603"/>
      <w:bookmarkStart w:id="5" w:name="_Toc525758742"/>
      <w:bookmarkStart w:id="6" w:name="_Toc526182068"/>
      <w:r w:rsidR="001115C1" w:rsidRPr="000A2B4D">
        <w:lastRenderedPageBreak/>
        <w:t>National Council on Disability Members and Staff</w:t>
      </w:r>
      <w:bookmarkEnd w:id="4"/>
      <w:bookmarkEnd w:id="5"/>
      <w:bookmarkEnd w:id="6"/>
    </w:p>
    <w:p w14:paraId="2289C406" w14:textId="77777777" w:rsidR="001115C1" w:rsidRDefault="001115C1" w:rsidP="00396A3D">
      <w:pPr>
        <w:pStyle w:val="NCDBodyText"/>
      </w:pPr>
    </w:p>
    <w:p w14:paraId="1A31E6FC" w14:textId="69747402" w:rsidR="001115C1" w:rsidRPr="00C018E4" w:rsidRDefault="001115C1" w:rsidP="00C018E4">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C018E4">
        <w:rPr>
          <w:rFonts w:eastAsia="Arial" w:cs="Arial"/>
          <w:b/>
          <w:szCs w:val="22"/>
          <w:bdr w:val="none" w:sz="0" w:space="0" w:color="auto"/>
          <w:lang w:bidi="en-US"/>
        </w:rPr>
        <w:t>Members</w:t>
      </w:r>
    </w:p>
    <w:p w14:paraId="07770BFF" w14:textId="49BD06A0" w:rsidR="001115C1" w:rsidRPr="004F7F26" w:rsidRDefault="001115C1" w:rsidP="00396A3D">
      <w:pPr>
        <w:pStyle w:val="NCDBodyText"/>
        <w:spacing w:after="0" w:line="240" w:lineRule="auto"/>
        <w:jc w:val="center"/>
      </w:pPr>
      <w:r w:rsidRPr="004F7F26">
        <w:t>Neil Romano</w:t>
      </w:r>
      <w:r w:rsidR="0053779D">
        <w:t>,</w:t>
      </w:r>
      <w:r w:rsidRPr="004F7F26">
        <w:t xml:space="preserve"> </w:t>
      </w:r>
      <w:r w:rsidR="00631E24" w:rsidRPr="00631E24">
        <w:rPr>
          <w:i/>
        </w:rPr>
        <w:t>Chairman</w:t>
      </w:r>
    </w:p>
    <w:p w14:paraId="7D13DCD2" w14:textId="6EDA9994" w:rsidR="001115C1" w:rsidRPr="004F7F26" w:rsidRDefault="001115C1" w:rsidP="00396A3D">
      <w:pPr>
        <w:pStyle w:val="NCDBodyText"/>
        <w:spacing w:after="0" w:line="240" w:lineRule="auto"/>
        <w:jc w:val="center"/>
      </w:pPr>
      <w:proofErr w:type="spellStart"/>
      <w:r>
        <w:t>Benro</w:t>
      </w:r>
      <w:proofErr w:type="spellEnd"/>
      <w:r>
        <w:t xml:space="preserve"> </w:t>
      </w:r>
      <w:proofErr w:type="spellStart"/>
      <w:r w:rsidRPr="004F7F26">
        <w:t>Ogunyipe</w:t>
      </w:r>
      <w:proofErr w:type="spellEnd"/>
      <w:r w:rsidRPr="004F7F26">
        <w:t xml:space="preserve">, </w:t>
      </w:r>
      <w:r w:rsidR="00631E24" w:rsidRPr="00631E24">
        <w:rPr>
          <w:i/>
        </w:rPr>
        <w:t xml:space="preserve">Vice Chairperson </w:t>
      </w:r>
    </w:p>
    <w:p w14:paraId="7E0B646A" w14:textId="33936072" w:rsidR="001115C1" w:rsidRPr="004F7F26" w:rsidRDefault="001115C1" w:rsidP="00396A3D">
      <w:pPr>
        <w:pStyle w:val="NCDBodyText"/>
        <w:spacing w:after="0" w:line="240" w:lineRule="auto"/>
        <w:jc w:val="center"/>
      </w:pPr>
      <w:r w:rsidRPr="004F7F26">
        <w:t xml:space="preserve">Billy </w:t>
      </w:r>
      <w:proofErr w:type="spellStart"/>
      <w:r w:rsidRPr="004F7F26">
        <w:t>Altom</w:t>
      </w:r>
      <w:proofErr w:type="spellEnd"/>
    </w:p>
    <w:p w14:paraId="161827BA" w14:textId="37E7C896" w:rsidR="001115C1" w:rsidRPr="004F7F26" w:rsidRDefault="001115C1" w:rsidP="00396A3D">
      <w:pPr>
        <w:pStyle w:val="NCDBodyText"/>
        <w:spacing w:after="0" w:line="240" w:lineRule="auto"/>
        <w:jc w:val="center"/>
      </w:pPr>
      <w:r w:rsidRPr="004F7F26">
        <w:t>Rabia Belt</w:t>
      </w:r>
    </w:p>
    <w:p w14:paraId="37B8CFBB" w14:textId="5206EDCB" w:rsidR="001115C1" w:rsidRPr="004F7F26" w:rsidRDefault="001115C1" w:rsidP="00396A3D">
      <w:pPr>
        <w:pStyle w:val="NCDBodyText"/>
        <w:spacing w:after="0" w:line="240" w:lineRule="auto"/>
        <w:jc w:val="center"/>
      </w:pPr>
      <w:r w:rsidRPr="004F7F26">
        <w:t>James Brett</w:t>
      </w:r>
    </w:p>
    <w:p w14:paraId="48060583" w14:textId="6EDD73A3" w:rsidR="001115C1" w:rsidRPr="004F7F26" w:rsidRDefault="001115C1" w:rsidP="00396A3D">
      <w:pPr>
        <w:pStyle w:val="NCDBodyText"/>
        <w:spacing w:after="0" w:line="240" w:lineRule="auto"/>
        <w:jc w:val="center"/>
      </w:pPr>
      <w:r w:rsidRPr="004F7F26">
        <w:t xml:space="preserve">Daniel </w:t>
      </w:r>
      <w:proofErr w:type="spellStart"/>
      <w:r w:rsidRPr="004F7F26">
        <w:t>Gade</w:t>
      </w:r>
      <w:proofErr w:type="spellEnd"/>
    </w:p>
    <w:p w14:paraId="2A0E3E7E" w14:textId="77777777" w:rsidR="001115C1" w:rsidRDefault="001115C1" w:rsidP="00396A3D">
      <w:pPr>
        <w:pStyle w:val="NCDBodyText"/>
        <w:spacing w:after="0" w:line="240" w:lineRule="auto"/>
        <w:jc w:val="center"/>
      </w:pPr>
      <w:r w:rsidRPr="000735A4">
        <w:t>Andrés Gallegos</w:t>
      </w:r>
    </w:p>
    <w:p w14:paraId="7F8041AF" w14:textId="40AA2DD3" w:rsidR="001115C1" w:rsidRPr="004F7F26" w:rsidRDefault="001115C1" w:rsidP="00396A3D">
      <w:pPr>
        <w:pStyle w:val="NCDBodyText"/>
        <w:spacing w:after="0" w:line="240" w:lineRule="auto"/>
        <w:jc w:val="center"/>
      </w:pPr>
      <w:r w:rsidRPr="004F7F26">
        <w:t xml:space="preserve">Wendy </w:t>
      </w:r>
      <w:proofErr w:type="spellStart"/>
      <w:r w:rsidRPr="004F7F26">
        <w:t>Harbour</w:t>
      </w:r>
      <w:proofErr w:type="spellEnd"/>
    </w:p>
    <w:p w14:paraId="7664D593" w14:textId="5BACC9FF" w:rsidR="001115C1" w:rsidRPr="004F7F26" w:rsidRDefault="001115C1" w:rsidP="00396A3D">
      <w:pPr>
        <w:pStyle w:val="NCDBodyText"/>
        <w:spacing w:after="0" w:line="240" w:lineRule="auto"/>
        <w:jc w:val="center"/>
      </w:pPr>
      <w:r w:rsidRPr="004F7F26">
        <w:t>Clyde Terry</w:t>
      </w:r>
    </w:p>
    <w:p w14:paraId="1562641D" w14:textId="77777777" w:rsidR="001115C1" w:rsidRDefault="001115C1" w:rsidP="00D557D1">
      <w:pPr>
        <w:pStyle w:val="NCDBodyText"/>
        <w:spacing w:line="240" w:lineRule="auto"/>
        <w:jc w:val="center"/>
      </w:pPr>
    </w:p>
    <w:p w14:paraId="7AA75BD0" w14:textId="0ECE2D62" w:rsidR="001115C1" w:rsidRPr="00C018E4" w:rsidRDefault="001115C1" w:rsidP="00C018E4">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C018E4">
        <w:rPr>
          <w:rFonts w:eastAsia="Arial" w:cs="Arial"/>
          <w:b/>
          <w:szCs w:val="22"/>
          <w:bdr w:val="none" w:sz="0" w:space="0" w:color="auto"/>
          <w:lang w:bidi="en-US"/>
        </w:rPr>
        <w:t>Staff</w:t>
      </w:r>
    </w:p>
    <w:p w14:paraId="017A2C02" w14:textId="16AFB1BD" w:rsidR="001115C1" w:rsidRPr="004F7F26" w:rsidRDefault="001115C1" w:rsidP="00396A3D">
      <w:pPr>
        <w:pStyle w:val="NCDBodyText"/>
        <w:spacing w:after="0" w:line="240" w:lineRule="auto"/>
        <w:jc w:val="center"/>
      </w:pPr>
      <w:r w:rsidRPr="004F7F26">
        <w:t>Phoebe Ball, Legislative Affairs Specialist</w:t>
      </w:r>
    </w:p>
    <w:p w14:paraId="46F6FC80" w14:textId="6D426EC8" w:rsidR="001115C1" w:rsidRDefault="001115C1" w:rsidP="00396A3D">
      <w:pPr>
        <w:pStyle w:val="NCDBodyText"/>
        <w:spacing w:after="0" w:line="240" w:lineRule="auto"/>
        <w:jc w:val="center"/>
      </w:pPr>
      <w:r w:rsidRPr="004F7F26">
        <w:t>Stacey S. Brown, Staff Assistant</w:t>
      </w:r>
    </w:p>
    <w:p w14:paraId="0C41A80D" w14:textId="77777777" w:rsidR="001115C1" w:rsidRDefault="001115C1" w:rsidP="00396A3D">
      <w:pPr>
        <w:pStyle w:val="NCDBodyText"/>
        <w:spacing w:after="0" w:line="240" w:lineRule="auto"/>
        <w:jc w:val="center"/>
      </w:pPr>
      <w:r w:rsidRPr="004F7F26">
        <w:t>Joan M. Durocher, General Counsel &amp; Director of Policy</w:t>
      </w:r>
    </w:p>
    <w:p w14:paraId="4DD8A8BA" w14:textId="28A0E7AB" w:rsidR="001115C1" w:rsidRDefault="001115C1" w:rsidP="00396A3D">
      <w:pPr>
        <w:pStyle w:val="NCDBodyText"/>
        <w:spacing w:after="0" w:line="240" w:lineRule="auto"/>
        <w:jc w:val="center"/>
      </w:pPr>
      <w:r w:rsidRPr="004F7F26">
        <w:t>Lisa Grubb, Executive Director</w:t>
      </w:r>
    </w:p>
    <w:p w14:paraId="0BCDD5A5" w14:textId="3FE44C16" w:rsidR="001115C1" w:rsidRPr="004F7F26" w:rsidRDefault="001115C1" w:rsidP="00396A3D">
      <w:pPr>
        <w:pStyle w:val="NCDBodyText"/>
        <w:spacing w:after="0" w:line="240" w:lineRule="auto"/>
        <w:jc w:val="center"/>
      </w:pPr>
      <w:proofErr w:type="spellStart"/>
      <w:r>
        <w:t>Netterie</w:t>
      </w:r>
      <w:proofErr w:type="spellEnd"/>
      <w:r>
        <w:t xml:space="preserve"> Lewis, Administrative Support Specialist</w:t>
      </w:r>
    </w:p>
    <w:p w14:paraId="7289C7E5" w14:textId="77777777" w:rsidR="001115C1" w:rsidRDefault="001115C1" w:rsidP="00396A3D">
      <w:pPr>
        <w:pStyle w:val="NCDBodyText"/>
        <w:spacing w:after="0" w:line="240" w:lineRule="auto"/>
        <w:jc w:val="center"/>
      </w:pPr>
      <w:r w:rsidRPr="004F7F26">
        <w:t>Amy Nicholas, Attorney Advisor</w:t>
      </w:r>
    </w:p>
    <w:p w14:paraId="2AC69BCC" w14:textId="3447ADFA" w:rsidR="001115C1" w:rsidRPr="004F7F26" w:rsidRDefault="001115C1" w:rsidP="00396A3D">
      <w:pPr>
        <w:pStyle w:val="NCDBodyText"/>
        <w:spacing w:after="0" w:line="240" w:lineRule="auto"/>
        <w:jc w:val="center"/>
      </w:pPr>
      <w:r>
        <w:t>Nicholas Sabula, Public Affairs Specialist</w:t>
      </w:r>
    </w:p>
    <w:p w14:paraId="2053A17A" w14:textId="3CEA1C53" w:rsidR="001115C1" w:rsidRDefault="001115C1" w:rsidP="00396A3D">
      <w:pPr>
        <w:pStyle w:val="NCDBodyText"/>
        <w:spacing w:after="0" w:line="240" w:lineRule="auto"/>
        <w:jc w:val="center"/>
      </w:pPr>
      <w:proofErr w:type="spellStart"/>
      <w:r w:rsidRPr="004F7F26">
        <w:t>Amged</w:t>
      </w:r>
      <w:proofErr w:type="spellEnd"/>
      <w:r w:rsidRPr="004F7F26">
        <w:t xml:space="preserve"> Soliman, Attorney Advisor</w:t>
      </w:r>
    </w:p>
    <w:p w14:paraId="436679EC" w14:textId="77777777" w:rsidR="001115C1" w:rsidRPr="004F7F26" w:rsidRDefault="001115C1" w:rsidP="00396A3D">
      <w:pPr>
        <w:pStyle w:val="NCDBodyText"/>
        <w:spacing w:after="0" w:line="240" w:lineRule="auto"/>
        <w:jc w:val="center"/>
      </w:pPr>
      <w:r w:rsidRPr="004F7F26">
        <w:t>Anne Sommers, Director of Legislative Affairs &amp; Outreach</w:t>
      </w:r>
    </w:p>
    <w:p w14:paraId="4D6019D7" w14:textId="7C4D6115" w:rsidR="001115C1" w:rsidRPr="004F7F26" w:rsidRDefault="001115C1" w:rsidP="00396A3D">
      <w:pPr>
        <w:pStyle w:val="NCDBodyText"/>
        <w:spacing w:after="0" w:line="240" w:lineRule="auto"/>
        <w:jc w:val="center"/>
      </w:pPr>
      <w:r w:rsidRPr="004F7F26">
        <w:t>Ana Torres-Davis, Attorney Advisor</w:t>
      </w:r>
    </w:p>
    <w:p w14:paraId="7ACC3567" w14:textId="77777777" w:rsidR="000760A2" w:rsidRDefault="001115C1" w:rsidP="00396A3D">
      <w:pPr>
        <w:pStyle w:val="NCDBodyText"/>
        <w:spacing w:after="0" w:line="240" w:lineRule="auto"/>
        <w:jc w:val="center"/>
        <w:rPr>
          <w:rFonts w:ascii="Univers LT Std 45 Light" w:hAnsi="Univers LT Std 45 Light" w:cs="Univers LT Std 45 Light"/>
          <w:sz w:val="20"/>
          <w:szCs w:val="20"/>
        </w:rPr>
      </w:pPr>
      <w:r w:rsidRPr="004F7F26">
        <w:t>Keith Woods, Financial Management Analyst</w:t>
      </w:r>
    </w:p>
    <w:p w14:paraId="20361E76" w14:textId="77777777" w:rsidR="00396A3D" w:rsidRDefault="00396A3D" w:rsidP="00396A3D">
      <w:pPr>
        <w:pStyle w:val="NCDBodyText"/>
      </w:pPr>
    </w:p>
    <w:p w14:paraId="0729AAA1" w14:textId="77777777" w:rsidR="000760A2" w:rsidRDefault="000760A2" w:rsidP="00396A3D">
      <w:pPr>
        <w:pStyle w:val="NCDBodyText"/>
      </w:pPr>
      <w:r>
        <w:br w:type="page"/>
      </w:r>
    </w:p>
    <w:p w14:paraId="3A6AA4BB" w14:textId="26424F12" w:rsidR="004B3FF5" w:rsidRDefault="004B3FF5" w:rsidP="00396A3D">
      <w:pPr>
        <w:pStyle w:val="NCDBodyText"/>
      </w:pPr>
      <w:bookmarkStart w:id="7" w:name="_Toc416884922"/>
    </w:p>
    <w:p w14:paraId="283E6756" w14:textId="77777777" w:rsidR="004F7F26" w:rsidRPr="006B4841" w:rsidRDefault="00934DB5" w:rsidP="00396A3D">
      <w:pPr>
        <w:pStyle w:val="NCDBodyText"/>
        <w:rPr>
          <w:rFonts w:eastAsia="Times New Roman"/>
          <w:sz w:val="36"/>
          <w:szCs w:val="32"/>
        </w:rPr>
      </w:pPr>
      <w:r w:rsidRPr="0086131D">
        <w:br w:type="page"/>
      </w:r>
    </w:p>
    <w:p w14:paraId="0F3926A8" w14:textId="40025EDB" w:rsidR="00C01DAE" w:rsidRPr="00296DA5" w:rsidRDefault="00C01DAE" w:rsidP="00C01DAE">
      <w:pPr>
        <w:pStyle w:val="Heading1"/>
      </w:pPr>
      <w:bookmarkStart w:id="8" w:name="_Toc526182069"/>
      <w:bookmarkStart w:id="9" w:name="_Toc520979972"/>
      <w:r w:rsidRPr="009122F3">
        <w:lastRenderedPageBreak/>
        <w:t>Contents</w:t>
      </w:r>
      <w:bookmarkEnd w:id="8"/>
    </w:p>
    <w:sdt>
      <w:sdtPr>
        <w:rPr>
          <w:rFonts w:eastAsia="Arial" w:cs="Arial"/>
          <w:noProof w:val="0"/>
          <w:color w:val="000000"/>
          <w:sz w:val="22"/>
        </w:rPr>
        <w:id w:val="-1231920377"/>
        <w:docPartObj>
          <w:docPartGallery w:val="Table of Contents"/>
          <w:docPartUnique/>
        </w:docPartObj>
      </w:sdtPr>
      <w:sdtEndPr>
        <w:rPr>
          <w:color w:val="000000" w:themeColor="text1"/>
          <w:szCs w:val="24"/>
        </w:rPr>
      </w:sdtEndPr>
      <w:sdtContent>
        <w:p w14:paraId="7DC4EFA0" w14:textId="2EC07C5F" w:rsidR="00CA0F7E" w:rsidRDefault="00C01DAE" w:rsidP="005664AA">
          <w:pPr>
            <w:pStyle w:val="TOC1"/>
            <w:spacing w:before="160"/>
            <w:rPr>
              <w:rFonts w:asciiTheme="minorHAnsi" w:eastAsiaTheme="minorEastAsia" w:hAnsiTheme="minorHAnsi" w:cstheme="minorBidi"/>
              <w:sz w:val="22"/>
            </w:rPr>
          </w:pPr>
          <w:r w:rsidRPr="008450F8">
            <w:rPr>
              <w:rFonts w:eastAsiaTheme="minorHAnsi" w:cs="Arial"/>
              <w:szCs w:val="24"/>
            </w:rPr>
            <w:fldChar w:fldCharType="begin"/>
          </w:r>
          <w:r w:rsidRPr="008450F8">
            <w:rPr>
              <w:rFonts w:cs="Arial"/>
              <w:szCs w:val="24"/>
            </w:rPr>
            <w:instrText xml:space="preserve"> TOC \h \u \z </w:instrText>
          </w:r>
          <w:r w:rsidRPr="008450F8">
            <w:rPr>
              <w:rFonts w:eastAsiaTheme="minorHAnsi" w:cs="Arial"/>
              <w:szCs w:val="24"/>
            </w:rPr>
            <w:fldChar w:fldCharType="separate"/>
          </w:r>
          <w:hyperlink w:anchor="_Toc526182069" w:history="1">
            <w:r w:rsidR="00CA0F7E" w:rsidRPr="00615503">
              <w:rPr>
                <w:rStyle w:val="Hyperlink"/>
              </w:rPr>
              <w:t>Contents</w:t>
            </w:r>
            <w:r w:rsidR="00CA0F7E">
              <w:rPr>
                <w:webHidden/>
              </w:rPr>
              <w:tab/>
            </w:r>
            <w:r w:rsidR="00CA0F7E">
              <w:rPr>
                <w:webHidden/>
              </w:rPr>
              <w:fldChar w:fldCharType="begin"/>
            </w:r>
            <w:r w:rsidR="00CA0F7E">
              <w:rPr>
                <w:webHidden/>
              </w:rPr>
              <w:instrText xml:space="preserve"> PAGEREF _Toc526182069 \h </w:instrText>
            </w:r>
            <w:r w:rsidR="00CA0F7E">
              <w:rPr>
                <w:webHidden/>
              </w:rPr>
            </w:r>
            <w:r w:rsidR="00CA0F7E">
              <w:rPr>
                <w:webHidden/>
              </w:rPr>
              <w:fldChar w:fldCharType="separate"/>
            </w:r>
            <w:r w:rsidR="00D7526D">
              <w:rPr>
                <w:webHidden/>
              </w:rPr>
              <w:t>5</w:t>
            </w:r>
            <w:r w:rsidR="00CA0F7E">
              <w:rPr>
                <w:webHidden/>
              </w:rPr>
              <w:fldChar w:fldCharType="end"/>
            </w:r>
          </w:hyperlink>
        </w:p>
        <w:p w14:paraId="0729C696" w14:textId="77777777" w:rsidR="00CA0F7E" w:rsidRDefault="0053779D" w:rsidP="005664AA">
          <w:pPr>
            <w:pStyle w:val="TOC1"/>
            <w:spacing w:before="160"/>
            <w:rPr>
              <w:rFonts w:asciiTheme="minorHAnsi" w:eastAsiaTheme="minorEastAsia" w:hAnsiTheme="minorHAnsi" w:cstheme="minorBidi"/>
              <w:sz w:val="22"/>
            </w:rPr>
          </w:pPr>
          <w:hyperlink w:anchor="_Toc526182070" w:history="1">
            <w:r w:rsidR="00CA0F7E" w:rsidRPr="00615503">
              <w:rPr>
                <w:rStyle w:val="Hyperlink"/>
              </w:rPr>
              <w:t>Acknowledgments</w:t>
            </w:r>
            <w:r w:rsidR="00CA0F7E">
              <w:rPr>
                <w:webHidden/>
              </w:rPr>
              <w:tab/>
            </w:r>
            <w:r w:rsidR="00CA0F7E">
              <w:rPr>
                <w:webHidden/>
              </w:rPr>
              <w:fldChar w:fldCharType="begin"/>
            </w:r>
            <w:r w:rsidR="00CA0F7E">
              <w:rPr>
                <w:webHidden/>
              </w:rPr>
              <w:instrText xml:space="preserve"> PAGEREF _Toc526182070 \h </w:instrText>
            </w:r>
            <w:r w:rsidR="00CA0F7E">
              <w:rPr>
                <w:webHidden/>
              </w:rPr>
            </w:r>
            <w:r w:rsidR="00CA0F7E">
              <w:rPr>
                <w:webHidden/>
              </w:rPr>
              <w:fldChar w:fldCharType="separate"/>
            </w:r>
            <w:r w:rsidR="00D7526D">
              <w:rPr>
                <w:webHidden/>
              </w:rPr>
              <w:t>9</w:t>
            </w:r>
            <w:r w:rsidR="00CA0F7E">
              <w:rPr>
                <w:webHidden/>
              </w:rPr>
              <w:fldChar w:fldCharType="end"/>
            </w:r>
          </w:hyperlink>
        </w:p>
        <w:p w14:paraId="68B42CE6" w14:textId="77777777" w:rsidR="00CA0F7E" w:rsidRDefault="0053779D" w:rsidP="005664AA">
          <w:pPr>
            <w:pStyle w:val="TOC1"/>
            <w:spacing w:before="160"/>
            <w:rPr>
              <w:rFonts w:asciiTheme="minorHAnsi" w:eastAsiaTheme="minorEastAsia" w:hAnsiTheme="minorHAnsi" w:cstheme="minorBidi"/>
              <w:sz w:val="22"/>
            </w:rPr>
          </w:pPr>
          <w:hyperlink w:anchor="_Toc526182071" w:history="1">
            <w:r w:rsidR="00CA0F7E" w:rsidRPr="00615503">
              <w:rPr>
                <w:rStyle w:val="Hyperlink"/>
              </w:rPr>
              <w:t>Executive Summary</w:t>
            </w:r>
            <w:r w:rsidR="00CA0F7E">
              <w:rPr>
                <w:webHidden/>
              </w:rPr>
              <w:tab/>
            </w:r>
            <w:r w:rsidR="00CA0F7E">
              <w:rPr>
                <w:webHidden/>
              </w:rPr>
              <w:fldChar w:fldCharType="begin"/>
            </w:r>
            <w:r w:rsidR="00CA0F7E">
              <w:rPr>
                <w:webHidden/>
              </w:rPr>
              <w:instrText xml:space="preserve"> PAGEREF _Toc526182071 \h </w:instrText>
            </w:r>
            <w:r w:rsidR="00CA0F7E">
              <w:rPr>
                <w:webHidden/>
              </w:rPr>
            </w:r>
            <w:r w:rsidR="00CA0F7E">
              <w:rPr>
                <w:webHidden/>
              </w:rPr>
              <w:fldChar w:fldCharType="separate"/>
            </w:r>
            <w:r w:rsidR="00D7526D">
              <w:rPr>
                <w:webHidden/>
              </w:rPr>
              <w:t>11</w:t>
            </w:r>
            <w:r w:rsidR="00CA0F7E">
              <w:rPr>
                <w:webHidden/>
              </w:rPr>
              <w:fldChar w:fldCharType="end"/>
            </w:r>
          </w:hyperlink>
        </w:p>
        <w:p w14:paraId="632B6D89" w14:textId="77777777" w:rsidR="00CA0F7E" w:rsidRDefault="0053779D" w:rsidP="005664AA">
          <w:pPr>
            <w:pStyle w:val="TOC1"/>
            <w:spacing w:before="160"/>
            <w:rPr>
              <w:rFonts w:asciiTheme="minorHAnsi" w:eastAsiaTheme="minorEastAsia" w:hAnsiTheme="minorHAnsi" w:cstheme="minorBidi"/>
              <w:sz w:val="22"/>
            </w:rPr>
          </w:pPr>
          <w:hyperlink w:anchor="_Toc526182072" w:history="1">
            <w:r w:rsidR="00CA0F7E" w:rsidRPr="00615503">
              <w:rPr>
                <w:rStyle w:val="Hyperlink"/>
              </w:rPr>
              <w:t>Acronym Glossary</w:t>
            </w:r>
            <w:r w:rsidR="00CA0F7E">
              <w:rPr>
                <w:webHidden/>
              </w:rPr>
              <w:tab/>
            </w:r>
            <w:r w:rsidR="00CA0F7E">
              <w:rPr>
                <w:webHidden/>
              </w:rPr>
              <w:fldChar w:fldCharType="begin"/>
            </w:r>
            <w:r w:rsidR="00CA0F7E">
              <w:rPr>
                <w:webHidden/>
              </w:rPr>
              <w:instrText xml:space="preserve"> PAGEREF _Toc526182072 \h </w:instrText>
            </w:r>
            <w:r w:rsidR="00CA0F7E">
              <w:rPr>
                <w:webHidden/>
              </w:rPr>
            </w:r>
            <w:r w:rsidR="00CA0F7E">
              <w:rPr>
                <w:webHidden/>
              </w:rPr>
              <w:fldChar w:fldCharType="separate"/>
            </w:r>
            <w:r w:rsidR="00D7526D">
              <w:rPr>
                <w:webHidden/>
              </w:rPr>
              <w:t>15</w:t>
            </w:r>
            <w:r w:rsidR="00CA0F7E">
              <w:rPr>
                <w:webHidden/>
              </w:rPr>
              <w:fldChar w:fldCharType="end"/>
            </w:r>
          </w:hyperlink>
        </w:p>
        <w:p w14:paraId="141615E3" w14:textId="77777777" w:rsidR="00CA0F7E" w:rsidRDefault="0053779D" w:rsidP="005664AA">
          <w:pPr>
            <w:pStyle w:val="TOC1"/>
            <w:spacing w:before="160"/>
            <w:rPr>
              <w:rFonts w:asciiTheme="minorHAnsi" w:eastAsiaTheme="minorEastAsia" w:hAnsiTheme="minorHAnsi" w:cstheme="minorBidi"/>
              <w:sz w:val="22"/>
            </w:rPr>
          </w:pPr>
          <w:hyperlink w:anchor="_Toc526182073" w:history="1">
            <w:r w:rsidR="00CA0F7E" w:rsidRPr="00615503">
              <w:rPr>
                <w:rStyle w:val="Hyperlink"/>
              </w:rPr>
              <w:t>Introduction</w:t>
            </w:r>
            <w:r w:rsidR="00CA0F7E">
              <w:rPr>
                <w:webHidden/>
              </w:rPr>
              <w:tab/>
            </w:r>
            <w:r w:rsidR="00CA0F7E">
              <w:rPr>
                <w:webHidden/>
              </w:rPr>
              <w:fldChar w:fldCharType="begin"/>
            </w:r>
            <w:r w:rsidR="00CA0F7E">
              <w:rPr>
                <w:webHidden/>
              </w:rPr>
              <w:instrText xml:space="preserve"> PAGEREF _Toc526182073 \h </w:instrText>
            </w:r>
            <w:r w:rsidR="00CA0F7E">
              <w:rPr>
                <w:webHidden/>
              </w:rPr>
            </w:r>
            <w:r w:rsidR="00CA0F7E">
              <w:rPr>
                <w:webHidden/>
              </w:rPr>
              <w:fldChar w:fldCharType="separate"/>
            </w:r>
            <w:r w:rsidR="00D7526D">
              <w:rPr>
                <w:webHidden/>
              </w:rPr>
              <w:t>17</w:t>
            </w:r>
            <w:r w:rsidR="00CA0F7E">
              <w:rPr>
                <w:webHidden/>
              </w:rPr>
              <w:fldChar w:fldCharType="end"/>
            </w:r>
          </w:hyperlink>
        </w:p>
        <w:p w14:paraId="2E525545" w14:textId="77777777" w:rsidR="00CA0F7E" w:rsidRDefault="0053779D">
          <w:pPr>
            <w:pStyle w:val="TOC1"/>
            <w:rPr>
              <w:rFonts w:asciiTheme="minorHAnsi" w:eastAsiaTheme="minorEastAsia" w:hAnsiTheme="minorHAnsi" w:cstheme="minorBidi"/>
              <w:sz w:val="22"/>
            </w:rPr>
          </w:pPr>
          <w:hyperlink w:anchor="_Toc526182074" w:history="1">
            <w:r w:rsidR="00CA0F7E" w:rsidRPr="00615503">
              <w:rPr>
                <w:rStyle w:val="Hyperlink"/>
              </w:rPr>
              <w:t>Chapter 1: U.S. Equal Employment Opportunity Commission</w:t>
            </w:r>
            <w:r w:rsidR="00CA0F7E">
              <w:rPr>
                <w:webHidden/>
              </w:rPr>
              <w:tab/>
            </w:r>
            <w:r w:rsidR="00CA0F7E">
              <w:rPr>
                <w:webHidden/>
              </w:rPr>
              <w:fldChar w:fldCharType="begin"/>
            </w:r>
            <w:r w:rsidR="00CA0F7E">
              <w:rPr>
                <w:webHidden/>
              </w:rPr>
              <w:instrText xml:space="preserve"> PAGEREF _Toc526182074 \h </w:instrText>
            </w:r>
            <w:r w:rsidR="00CA0F7E">
              <w:rPr>
                <w:webHidden/>
              </w:rPr>
            </w:r>
            <w:r w:rsidR="00CA0F7E">
              <w:rPr>
                <w:webHidden/>
              </w:rPr>
              <w:fldChar w:fldCharType="separate"/>
            </w:r>
            <w:r w:rsidR="00D7526D">
              <w:rPr>
                <w:webHidden/>
              </w:rPr>
              <w:t>21</w:t>
            </w:r>
            <w:r w:rsidR="00CA0F7E">
              <w:rPr>
                <w:webHidden/>
              </w:rPr>
              <w:fldChar w:fldCharType="end"/>
            </w:r>
          </w:hyperlink>
        </w:p>
        <w:p w14:paraId="279E0D90"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75" w:history="1">
            <w:r w:rsidR="00CA0F7E" w:rsidRPr="00615503">
              <w:rPr>
                <w:rStyle w:val="Hyperlink"/>
                <w:noProof/>
              </w:rPr>
              <w:t>Overview of the EEOC</w:t>
            </w:r>
            <w:r w:rsidR="00CA0F7E">
              <w:rPr>
                <w:noProof/>
                <w:webHidden/>
              </w:rPr>
              <w:tab/>
            </w:r>
            <w:r w:rsidR="00CA0F7E">
              <w:rPr>
                <w:noProof/>
                <w:webHidden/>
              </w:rPr>
              <w:fldChar w:fldCharType="begin"/>
            </w:r>
            <w:r w:rsidR="00CA0F7E">
              <w:rPr>
                <w:noProof/>
                <w:webHidden/>
              </w:rPr>
              <w:instrText xml:space="preserve"> PAGEREF _Toc526182075 \h </w:instrText>
            </w:r>
            <w:r w:rsidR="00CA0F7E">
              <w:rPr>
                <w:noProof/>
                <w:webHidden/>
              </w:rPr>
            </w:r>
            <w:r w:rsidR="00CA0F7E">
              <w:rPr>
                <w:noProof/>
                <w:webHidden/>
              </w:rPr>
              <w:fldChar w:fldCharType="separate"/>
            </w:r>
            <w:r w:rsidR="00D7526D">
              <w:rPr>
                <w:noProof/>
                <w:webHidden/>
              </w:rPr>
              <w:t>23</w:t>
            </w:r>
            <w:r w:rsidR="00CA0F7E">
              <w:rPr>
                <w:noProof/>
                <w:webHidden/>
              </w:rPr>
              <w:fldChar w:fldCharType="end"/>
            </w:r>
          </w:hyperlink>
        </w:p>
        <w:p w14:paraId="757B0A73"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76" w:history="1">
            <w:r w:rsidR="00CA0F7E" w:rsidRPr="00615503">
              <w:rPr>
                <w:rStyle w:val="Hyperlink"/>
                <w:noProof/>
              </w:rPr>
              <w:t>Regulatory, Sub-Regulatory, and Policy Guidance</w:t>
            </w:r>
            <w:r w:rsidR="00CA0F7E">
              <w:rPr>
                <w:noProof/>
                <w:webHidden/>
              </w:rPr>
              <w:tab/>
            </w:r>
            <w:r w:rsidR="00CA0F7E">
              <w:rPr>
                <w:noProof/>
                <w:webHidden/>
              </w:rPr>
              <w:fldChar w:fldCharType="begin"/>
            </w:r>
            <w:r w:rsidR="00CA0F7E">
              <w:rPr>
                <w:noProof/>
                <w:webHidden/>
              </w:rPr>
              <w:instrText xml:space="preserve"> PAGEREF _Toc526182076 \h </w:instrText>
            </w:r>
            <w:r w:rsidR="00CA0F7E">
              <w:rPr>
                <w:noProof/>
                <w:webHidden/>
              </w:rPr>
            </w:r>
            <w:r w:rsidR="00CA0F7E">
              <w:rPr>
                <w:noProof/>
                <w:webHidden/>
              </w:rPr>
              <w:fldChar w:fldCharType="separate"/>
            </w:r>
            <w:r w:rsidR="00D7526D">
              <w:rPr>
                <w:noProof/>
                <w:webHidden/>
              </w:rPr>
              <w:t>24</w:t>
            </w:r>
            <w:r w:rsidR="00CA0F7E">
              <w:rPr>
                <w:noProof/>
                <w:webHidden/>
              </w:rPr>
              <w:fldChar w:fldCharType="end"/>
            </w:r>
          </w:hyperlink>
        </w:p>
        <w:p w14:paraId="0C4CE660"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77" w:history="1">
            <w:r w:rsidR="00CA0F7E" w:rsidRPr="00615503">
              <w:rPr>
                <w:rStyle w:val="Hyperlink"/>
                <w:noProof/>
              </w:rPr>
              <w:t>Proactive and Reactive Strategies</w:t>
            </w:r>
            <w:r w:rsidR="00CA0F7E">
              <w:rPr>
                <w:noProof/>
                <w:webHidden/>
              </w:rPr>
              <w:tab/>
            </w:r>
            <w:r w:rsidR="00CA0F7E">
              <w:rPr>
                <w:noProof/>
                <w:webHidden/>
              </w:rPr>
              <w:fldChar w:fldCharType="begin"/>
            </w:r>
            <w:r w:rsidR="00CA0F7E">
              <w:rPr>
                <w:noProof/>
                <w:webHidden/>
              </w:rPr>
              <w:instrText xml:space="preserve"> PAGEREF _Toc526182077 \h </w:instrText>
            </w:r>
            <w:r w:rsidR="00CA0F7E">
              <w:rPr>
                <w:noProof/>
                <w:webHidden/>
              </w:rPr>
            </w:r>
            <w:r w:rsidR="00CA0F7E">
              <w:rPr>
                <w:noProof/>
                <w:webHidden/>
              </w:rPr>
              <w:fldChar w:fldCharType="separate"/>
            </w:r>
            <w:r w:rsidR="00D7526D">
              <w:rPr>
                <w:noProof/>
                <w:webHidden/>
              </w:rPr>
              <w:t>28</w:t>
            </w:r>
            <w:r w:rsidR="00CA0F7E">
              <w:rPr>
                <w:noProof/>
                <w:webHidden/>
              </w:rPr>
              <w:fldChar w:fldCharType="end"/>
            </w:r>
          </w:hyperlink>
        </w:p>
        <w:p w14:paraId="7D2EA971"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78" w:history="1">
            <w:r w:rsidR="00CA0F7E" w:rsidRPr="00615503">
              <w:rPr>
                <w:rStyle w:val="Hyperlink"/>
                <w:noProof/>
              </w:rPr>
              <w:t>Competent and Credible Investigative Process and Enforcement Action</w:t>
            </w:r>
            <w:r w:rsidR="00CA0F7E">
              <w:rPr>
                <w:noProof/>
                <w:webHidden/>
              </w:rPr>
              <w:tab/>
            </w:r>
            <w:r w:rsidR="00CA0F7E">
              <w:rPr>
                <w:noProof/>
                <w:webHidden/>
              </w:rPr>
              <w:fldChar w:fldCharType="begin"/>
            </w:r>
            <w:r w:rsidR="00CA0F7E">
              <w:rPr>
                <w:noProof/>
                <w:webHidden/>
              </w:rPr>
              <w:instrText xml:space="preserve"> PAGEREF _Toc526182078 \h </w:instrText>
            </w:r>
            <w:r w:rsidR="00CA0F7E">
              <w:rPr>
                <w:noProof/>
                <w:webHidden/>
              </w:rPr>
            </w:r>
            <w:r w:rsidR="00CA0F7E">
              <w:rPr>
                <w:noProof/>
                <w:webHidden/>
              </w:rPr>
              <w:fldChar w:fldCharType="separate"/>
            </w:r>
            <w:r w:rsidR="00D7526D">
              <w:rPr>
                <w:noProof/>
                <w:webHidden/>
              </w:rPr>
              <w:t>32</w:t>
            </w:r>
            <w:r w:rsidR="00CA0F7E">
              <w:rPr>
                <w:noProof/>
                <w:webHidden/>
              </w:rPr>
              <w:fldChar w:fldCharType="end"/>
            </w:r>
          </w:hyperlink>
        </w:p>
        <w:p w14:paraId="02275994"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79" w:history="1">
            <w:r w:rsidR="00CA0F7E" w:rsidRPr="00615503">
              <w:rPr>
                <w:rStyle w:val="Hyperlink"/>
                <w:noProof/>
              </w:rPr>
              <w:t>Timely Resolution of Complaints</w:t>
            </w:r>
            <w:r w:rsidR="00CA0F7E">
              <w:rPr>
                <w:noProof/>
                <w:webHidden/>
              </w:rPr>
              <w:tab/>
            </w:r>
            <w:r w:rsidR="00CA0F7E">
              <w:rPr>
                <w:noProof/>
                <w:webHidden/>
              </w:rPr>
              <w:fldChar w:fldCharType="begin"/>
            </w:r>
            <w:r w:rsidR="00CA0F7E">
              <w:rPr>
                <w:noProof/>
                <w:webHidden/>
              </w:rPr>
              <w:instrText xml:space="preserve"> PAGEREF _Toc526182079 \h </w:instrText>
            </w:r>
            <w:r w:rsidR="00CA0F7E">
              <w:rPr>
                <w:noProof/>
                <w:webHidden/>
              </w:rPr>
            </w:r>
            <w:r w:rsidR="00CA0F7E">
              <w:rPr>
                <w:noProof/>
                <w:webHidden/>
              </w:rPr>
              <w:fldChar w:fldCharType="separate"/>
            </w:r>
            <w:r w:rsidR="00D7526D">
              <w:rPr>
                <w:noProof/>
                <w:webHidden/>
              </w:rPr>
              <w:t>39</w:t>
            </w:r>
            <w:r w:rsidR="00CA0F7E">
              <w:rPr>
                <w:noProof/>
                <w:webHidden/>
              </w:rPr>
              <w:fldChar w:fldCharType="end"/>
            </w:r>
          </w:hyperlink>
        </w:p>
        <w:p w14:paraId="3AA42A1B"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80" w:history="1">
            <w:r w:rsidR="00CA0F7E" w:rsidRPr="00615503">
              <w:rPr>
                <w:rStyle w:val="Hyperlink"/>
                <w:noProof/>
              </w:rPr>
              <w:t>Communication with Complainants and the Community</w:t>
            </w:r>
            <w:r w:rsidR="00CA0F7E">
              <w:rPr>
                <w:noProof/>
                <w:webHidden/>
              </w:rPr>
              <w:tab/>
            </w:r>
            <w:r w:rsidR="00CA0F7E">
              <w:rPr>
                <w:noProof/>
                <w:webHidden/>
              </w:rPr>
              <w:fldChar w:fldCharType="begin"/>
            </w:r>
            <w:r w:rsidR="00CA0F7E">
              <w:rPr>
                <w:noProof/>
                <w:webHidden/>
              </w:rPr>
              <w:instrText xml:space="preserve"> PAGEREF _Toc526182080 \h </w:instrText>
            </w:r>
            <w:r w:rsidR="00CA0F7E">
              <w:rPr>
                <w:noProof/>
                <w:webHidden/>
              </w:rPr>
            </w:r>
            <w:r w:rsidR="00CA0F7E">
              <w:rPr>
                <w:noProof/>
                <w:webHidden/>
              </w:rPr>
              <w:fldChar w:fldCharType="separate"/>
            </w:r>
            <w:r w:rsidR="00D7526D">
              <w:rPr>
                <w:noProof/>
                <w:webHidden/>
              </w:rPr>
              <w:t>39</w:t>
            </w:r>
            <w:r w:rsidR="00CA0F7E">
              <w:rPr>
                <w:noProof/>
                <w:webHidden/>
              </w:rPr>
              <w:fldChar w:fldCharType="end"/>
            </w:r>
          </w:hyperlink>
        </w:p>
        <w:p w14:paraId="46F00F26"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81" w:history="1">
            <w:r w:rsidR="00CA0F7E" w:rsidRPr="00615503">
              <w:rPr>
                <w:rStyle w:val="Hyperlink"/>
                <w:noProof/>
              </w:rPr>
              <w:t>Strategic Litigation</w:t>
            </w:r>
            <w:r w:rsidR="00CA0F7E">
              <w:rPr>
                <w:noProof/>
                <w:webHidden/>
              </w:rPr>
              <w:tab/>
            </w:r>
            <w:r w:rsidR="00CA0F7E">
              <w:rPr>
                <w:noProof/>
                <w:webHidden/>
              </w:rPr>
              <w:fldChar w:fldCharType="begin"/>
            </w:r>
            <w:r w:rsidR="00CA0F7E">
              <w:rPr>
                <w:noProof/>
                <w:webHidden/>
              </w:rPr>
              <w:instrText xml:space="preserve"> PAGEREF _Toc526182081 \h </w:instrText>
            </w:r>
            <w:r w:rsidR="00CA0F7E">
              <w:rPr>
                <w:noProof/>
                <w:webHidden/>
              </w:rPr>
            </w:r>
            <w:r w:rsidR="00CA0F7E">
              <w:rPr>
                <w:noProof/>
                <w:webHidden/>
              </w:rPr>
              <w:fldChar w:fldCharType="separate"/>
            </w:r>
            <w:r w:rsidR="00D7526D">
              <w:rPr>
                <w:noProof/>
                <w:webHidden/>
              </w:rPr>
              <w:t>40</w:t>
            </w:r>
            <w:r w:rsidR="00CA0F7E">
              <w:rPr>
                <w:noProof/>
                <w:webHidden/>
              </w:rPr>
              <w:fldChar w:fldCharType="end"/>
            </w:r>
          </w:hyperlink>
        </w:p>
        <w:p w14:paraId="0281FE46"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82" w:history="1">
            <w:r w:rsidR="00CA0F7E" w:rsidRPr="00615503">
              <w:rPr>
                <w:rStyle w:val="Hyperlink"/>
                <w:noProof/>
              </w:rPr>
              <w:t>Interagency Collaboration and Coordination</w:t>
            </w:r>
            <w:r w:rsidR="00CA0F7E">
              <w:rPr>
                <w:noProof/>
                <w:webHidden/>
              </w:rPr>
              <w:tab/>
            </w:r>
            <w:r w:rsidR="00CA0F7E">
              <w:rPr>
                <w:noProof/>
                <w:webHidden/>
              </w:rPr>
              <w:fldChar w:fldCharType="begin"/>
            </w:r>
            <w:r w:rsidR="00CA0F7E">
              <w:rPr>
                <w:noProof/>
                <w:webHidden/>
              </w:rPr>
              <w:instrText xml:space="preserve"> PAGEREF _Toc526182082 \h </w:instrText>
            </w:r>
            <w:r w:rsidR="00CA0F7E">
              <w:rPr>
                <w:noProof/>
                <w:webHidden/>
              </w:rPr>
            </w:r>
            <w:r w:rsidR="00CA0F7E">
              <w:rPr>
                <w:noProof/>
                <w:webHidden/>
              </w:rPr>
              <w:fldChar w:fldCharType="separate"/>
            </w:r>
            <w:r w:rsidR="00D7526D">
              <w:rPr>
                <w:noProof/>
                <w:webHidden/>
              </w:rPr>
              <w:t>44</w:t>
            </w:r>
            <w:r w:rsidR="00CA0F7E">
              <w:rPr>
                <w:noProof/>
                <w:webHidden/>
              </w:rPr>
              <w:fldChar w:fldCharType="end"/>
            </w:r>
          </w:hyperlink>
        </w:p>
        <w:p w14:paraId="50047242"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83" w:history="1">
            <w:r w:rsidR="00CA0F7E" w:rsidRPr="00615503">
              <w:rPr>
                <w:rStyle w:val="Hyperlink"/>
                <w:noProof/>
              </w:rPr>
              <w:t>Training and Technical Assistance</w:t>
            </w:r>
            <w:r w:rsidR="00CA0F7E">
              <w:rPr>
                <w:noProof/>
                <w:webHidden/>
              </w:rPr>
              <w:tab/>
            </w:r>
            <w:r w:rsidR="00CA0F7E">
              <w:rPr>
                <w:noProof/>
                <w:webHidden/>
              </w:rPr>
              <w:fldChar w:fldCharType="begin"/>
            </w:r>
            <w:r w:rsidR="00CA0F7E">
              <w:rPr>
                <w:noProof/>
                <w:webHidden/>
              </w:rPr>
              <w:instrText xml:space="preserve"> PAGEREF _Toc526182083 \h </w:instrText>
            </w:r>
            <w:r w:rsidR="00CA0F7E">
              <w:rPr>
                <w:noProof/>
                <w:webHidden/>
              </w:rPr>
            </w:r>
            <w:r w:rsidR="00CA0F7E">
              <w:rPr>
                <w:noProof/>
                <w:webHidden/>
              </w:rPr>
              <w:fldChar w:fldCharType="separate"/>
            </w:r>
            <w:r w:rsidR="00D7526D">
              <w:rPr>
                <w:noProof/>
                <w:webHidden/>
              </w:rPr>
              <w:t>46</w:t>
            </w:r>
            <w:r w:rsidR="00CA0F7E">
              <w:rPr>
                <w:noProof/>
                <w:webHidden/>
              </w:rPr>
              <w:fldChar w:fldCharType="end"/>
            </w:r>
          </w:hyperlink>
        </w:p>
        <w:p w14:paraId="55A03BF9"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84" w:history="1">
            <w:r w:rsidR="00CA0F7E" w:rsidRPr="00615503">
              <w:rPr>
                <w:rStyle w:val="Hyperlink"/>
                <w:noProof/>
              </w:rPr>
              <w:t>Adequacy of Agency Resources</w:t>
            </w:r>
            <w:r w:rsidR="00CA0F7E">
              <w:rPr>
                <w:noProof/>
                <w:webHidden/>
              </w:rPr>
              <w:tab/>
            </w:r>
            <w:r w:rsidR="00CA0F7E">
              <w:rPr>
                <w:noProof/>
                <w:webHidden/>
              </w:rPr>
              <w:fldChar w:fldCharType="begin"/>
            </w:r>
            <w:r w:rsidR="00CA0F7E">
              <w:rPr>
                <w:noProof/>
                <w:webHidden/>
              </w:rPr>
              <w:instrText xml:space="preserve"> PAGEREF _Toc526182084 \h </w:instrText>
            </w:r>
            <w:r w:rsidR="00CA0F7E">
              <w:rPr>
                <w:noProof/>
                <w:webHidden/>
              </w:rPr>
            </w:r>
            <w:r w:rsidR="00CA0F7E">
              <w:rPr>
                <w:noProof/>
                <w:webHidden/>
              </w:rPr>
              <w:fldChar w:fldCharType="separate"/>
            </w:r>
            <w:r w:rsidR="00D7526D">
              <w:rPr>
                <w:noProof/>
                <w:webHidden/>
              </w:rPr>
              <w:t>47</w:t>
            </w:r>
            <w:r w:rsidR="00CA0F7E">
              <w:rPr>
                <w:noProof/>
                <w:webHidden/>
              </w:rPr>
              <w:fldChar w:fldCharType="end"/>
            </w:r>
          </w:hyperlink>
        </w:p>
        <w:p w14:paraId="7F29A2CF" w14:textId="77777777" w:rsidR="00CA0F7E" w:rsidRDefault="0053779D">
          <w:pPr>
            <w:pStyle w:val="TOC1"/>
            <w:rPr>
              <w:rFonts w:asciiTheme="minorHAnsi" w:eastAsiaTheme="minorEastAsia" w:hAnsiTheme="minorHAnsi" w:cstheme="minorBidi"/>
              <w:sz w:val="22"/>
            </w:rPr>
          </w:pPr>
          <w:hyperlink w:anchor="_Toc526182085" w:history="1">
            <w:r w:rsidR="00CA0F7E" w:rsidRPr="00615503">
              <w:rPr>
                <w:rStyle w:val="Hyperlink"/>
              </w:rPr>
              <w:t>Chapter 2: U.S. Department of Labor</w:t>
            </w:r>
            <w:r w:rsidR="00CA0F7E">
              <w:rPr>
                <w:webHidden/>
              </w:rPr>
              <w:tab/>
            </w:r>
            <w:r w:rsidR="00CA0F7E">
              <w:rPr>
                <w:webHidden/>
              </w:rPr>
              <w:fldChar w:fldCharType="begin"/>
            </w:r>
            <w:r w:rsidR="00CA0F7E">
              <w:rPr>
                <w:webHidden/>
              </w:rPr>
              <w:instrText xml:space="preserve"> PAGEREF _Toc526182085 \h </w:instrText>
            </w:r>
            <w:r w:rsidR="00CA0F7E">
              <w:rPr>
                <w:webHidden/>
              </w:rPr>
            </w:r>
            <w:r w:rsidR="00CA0F7E">
              <w:rPr>
                <w:webHidden/>
              </w:rPr>
              <w:fldChar w:fldCharType="separate"/>
            </w:r>
            <w:r w:rsidR="00D7526D">
              <w:rPr>
                <w:webHidden/>
              </w:rPr>
              <w:t>49</w:t>
            </w:r>
            <w:r w:rsidR="00CA0F7E">
              <w:rPr>
                <w:webHidden/>
              </w:rPr>
              <w:fldChar w:fldCharType="end"/>
            </w:r>
          </w:hyperlink>
        </w:p>
        <w:p w14:paraId="7B57D9DB"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086" w:history="1">
            <w:r w:rsidR="00CA0F7E" w:rsidRPr="00615503">
              <w:rPr>
                <w:rStyle w:val="Hyperlink"/>
                <w:noProof/>
              </w:rPr>
              <w:t>Employment and Training Administration (ETA)</w:t>
            </w:r>
            <w:r w:rsidR="00CA0F7E">
              <w:rPr>
                <w:noProof/>
                <w:webHidden/>
              </w:rPr>
              <w:tab/>
            </w:r>
            <w:r w:rsidR="00CA0F7E">
              <w:rPr>
                <w:noProof/>
                <w:webHidden/>
              </w:rPr>
              <w:fldChar w:fldCharType="begin"/>
            </w:r>
            <w:r w:rsidR="00CA0F7E">
              <w:rPr>
                <w:noProof/>
                <w:webHidden/>
              </w:rPr>
              <w:instrText xml:space="preserve"> PAGEREF _Toc526182086 \h </w:instrText>
            </w:r>
            <w:r w:rsidR="00CA0F7E">
              <w:rPr>
                <w:noProof/>
                <w:webHidden/>
              </w:rPr>
            </w:r>
            <w:r w:rsidR="00CA0F7E">
              <w:rPr>
                <w:noProof/>
                <w:webHidden/>
              </w:rPr>
              <w:fldChar w:fldCharType="separate"/>
            </w:r>
            <w:r w:rsidR="00D7526D">
              <w:rPr>
                <w:noProof/>
                <w:webHidden/>
              </w:rPr>
              <w:t>52</w:t>
            </w:r>
            <w:r w:rsidR="00CA0F7E">
              <w:rPr>
                <w:noProof/>
                <w:webHidden/>
              </w:rPr>
              <w:fldChar w:fldCharType="end"/>
            </w:r>
          </w:hyperlink>
        </w:p>
        <w:p w14:paraId="744D8DBB"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87" w:history="1">
            <w:r w:rsidR="00CA0F7E" w:rsidRPr="00615503">
              <w:rPr>
                <w:rStyle w:val="Hyperlink"/>
                <w:noProof/>
              </w:rPr>
              <w:t>Overview of the ETA</w:t>
            </w:r>
            <w:r w:rsidR="00CA0F7E">
              <w:rPr>
                <w:noProof/>
                <w:webHidden/>
              </w:rPr>
              <w:tab/>
            </w:r>
            <w:r w:rsidR="00CA0F7E">
              <w:rPr>
                <w:noProof/>
                <w:webHidden/>
              </w:rPr>
              <w:fldChar w:fldCharType="begin"/>
            </w:r>
            <w:r w:rsidR="00CA0F7E">
              <w:rPr>
                <w:noProof/>
                <w:webHidden/>
              </w:rPr>
              <w:instrText xml:space="preserve"> PAGEREF _Toc526182087 \h </w:instrText>
            </w:r>
            <w:r w:rsidR="00CA0F7E">
              <w:rPr>
                <w:noProof/>
                <w:webHidden/>
              </w:rPr>
            </w:r>
            <w:r w:rsidR="00CA0F7E">
              <w:rPr>
                <w:noProof/>
                <w:webHidden/>
              </w:rPr>
              <w:fldChar w:fldCharType="separate"/>
            </w:r>
            <w:r w:rsidR="00D7526D">
              <w:rPr>
                <w:noProof/>
                <w:webHidden/>
              </w:rPr>
              <w:t>52</w:t>
            </w:r>
            <w:r w:rsidR="00CA0F7E">
              <w:rPr>
                <w:noProof/>
                <w:webHidden/>
              </w:rPr>
              <w:fldChar w:fldCharType="end"/>
            </w:r>
          </w:hyperlink>
        </w:p>
        <w:p w14:paraId="5E4343C8"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88" w:history="1">
            <w:r w:rsidR="00CA0F7E" w:rsidRPr="00615503">
              <w:rPr>
                <w:rStyle w:val="Hyperlink"/>
                <w:noProof/>
              </w:rPr>
              <w:t>Regulatory, Sub-Regulatory, and Policy Guidance</w:t>
            </w:r>
            <w:r w:rsidR="00CA0F7E">
              <w:rPr>
                <w:noProof/>
                <w:webHidden/>
              </w:rPr>
              <w:tab/>
            </w:r>
            <w:r w:rsidR="00CA0F7E">
              <w:rPr>
                <w:noProof/>
                <w:webHidden/>
              </w:rPr>
              <w:fldChar w:fldCharType="begin"/>
            </w:r>
            <w:r w:rsidR="00CA0F7E">
              <w:rPr>
                <w:noProof/>
                <w:webHidden/>
              </w:rPr>
              <w:instrText xml:space="preserve"> PAGEREF _Toc526182088 \h </w:instrText>
            </w:r>
            <w:r w:rsidR="00CA0F7E">
              <w:rPr>
                <w:noProof/>
                <w:webHidden/>
              </w:rPr>
            </w:r>
            <w:r w:rsidR="00CA0F7E">
              <w:rPr>
                <w:noProof/>
                <w:webHidden/>
              </w:rPr>
              <w:fldChar w:fldCharType="separate"/>
            </w:r>
            <w:r w:rsidR="00D7526D">
              <w:rPr>
                <w:noProof/>
                <w:webHidden/>
              </w:rPr>
              <w:t>52</w:t>
            </w:r>
            <w:r w:rsidR="00CA0F7E">
              <w:rPr>
                <w:noProof/>
                <w:webHidden/>
              </w:rPr>
              <w:fldChar w:fldCharType="end"/>
            </w:r>
          </w:hyperlink>
        </w:p>
        <w:p w14:paraId="558C2B71"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89" w:history="1">
            <w:r w:rsidR="00CA0F7E" w:rsidRPr="00615503">
              <w:rPr>
                <w:rStyle w:val="Hyperlink"/>
                <w:noProof/>
              </w:rPr>
              <w:t>Proactive and Reactive Strategies</w:t>
            </w:r>
            <w:r w:rsidR="00CA0F7E">
              <w:rPr>
                <w:noProof/>
                <w:webHidden/>
              </w:rPr>
              <w:tab/>
            </w:r>
            <w:r w:rsidR="00CA0F7E">
              <w:rPr>
                <w:noProof/>
                <w:webHidden/>
              </w:rPr>
              <w:fldChar w:fldCharType="begin"/>
            </w:r>
            <w:r w:rsidR="00CA0F7E">
              <w:rPr>
                <w:noProof/>
                <w:webHidden/>
              </w:rPr>
              <w:instrText xml:space="preserve"> PAGEREF _Toc526182089 \h </w:instrText>
            </w:r>
            <w:r w:rsidR="00CA0F7E">
              <w:rPr>
                <w:noProof/>
                <w:webHidden/>
              </w:rPr>
            </w:r>
            <w:r w:rsidR="00CA0F7E">
              <w:rPr>
                <w:noProof/>
                <w:webHidden/>
              </w:rPr>
              <w:fldChar w:fldCharType="separate"/>
            </w:r>
            <w:r w:rsidR="00D7526D">
              <w:rPr>
                <w:noProof/>
                <w:webHidden/>
              </w:rPr>
              <w:t>53</w:t>
            </w:r>
            <w:r w:rsidR="00CA0F7E">
              <w:rPr>
                <w:noProof/>
                <w:webHidden/>
              </w:rPr>
              <w:fldChar w:fldCharType="end"/>
            </w:r>
          </w:hyperlink>
        </w:p>
        <w:p w14:paraId="7D6B7B71"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90" w:history="1">
            <w:r w:rsidR="00CA0F7E" w:rsidRPr="00615503">
              <w:rPr>
                <w:rStyle w:val="Hyperlink"/>
                <w:noProof/>
              </w:rPr>
              <w:t>Training and Technical Assistance</w:t>
            </w:r>
            <w:r w:rsidR="00CA0F7E">
              <w:rPr>
                <w:noProof/>
                <w:webHidden/>
              </w:rPr>
              <w:tab/>
            </w:r>
            <w:r w:rsidR="00CA0F7E">
              <w:rPr>
                <w:noProof/>
                <w:webHidden/>
              </w:rPr>
              <w:fldChar w:fldCharType="begin"/>
            </w:r>
            <w:r w:rsidR="00CA0F7E">
              <w:rPr>
                <w:noProof/>
                <w:webHidden/>
              </w:rPr>
              <w:instrText xml:space="preserve"> PAGEREF _Toc526182090 \h </w:instrText>
            </w:r>
            <w:r w:rsidR="00CA0F7E">
              <w:rPr>
                <w:noProof/>
                <w:webHidden/>
              </w:rPr>
            </w:r>
            <w:r w:rsidR="00CA0F7E">
              <w:rPr>
                <w:noProof/>
                <w:webHidden/>
              </w:rPr>
              <w:fldChar w:fldCharType="separate"/>
            </w:r>
            <w:r w:rsidR="00D7526D">
              <w:rPr>
                <w:noProof/>
                <w:webHidden/>
              </w:rPr>
              <w:t>53</w:t>
            </w:r>
            <w:r w:rsidR="00CA0F7E">
              <w:rPr>
                <w:noProof/>
                <w:webHidden/>
              </w:rPr>
              <w:fldChar w:fldCharType="end"/>
            </w:r>
          </w:hyperlink>
        </w:p>
        <w:p w14:paraId="1F6BA5C0"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91" w:history="1">
            <w:r w:rsidR="00CA0F7E" w:rsidRPr="00615503">
              <w:rPr>
                <w:rStyle w:val="Hyperlink"/>
                <w:noProof/>
              </w:rPr>
              <w:t>Interagency Collaboration and Coordination</w:t>
            </w:r>
            <w:r w:rsidR="00CA0F7E">
              <w:rPr>
                <w:noProof/>
                <w:webHidden/>
              </w:rPr>
              <w:tab/>
            </w:r>
            <w:r w:rsidR="00CA0F7E">
              <w:rPr>
                <w:noProof/>
                <w:webHidden/>
              </w:rPr>
              <w:fldChar w:fldCharType="begin"/>
            </w:r>
            <w:r w:rsidR="00CA0F7E">
              <w:rPr>
                <w:noProof/>
                <w:webHidden/>
              </w:rPr>
              <w:instrText xml:space="preserve"> PAGEREF _Toc526182091 \h </w:instrText>
            </w:r>
            <w:r w:rsidR="00CA0F7E">
              <w:rPr>
                <w:noProof/>
                <w:webHidden/>
              </w:rPr>
            </w:r>
            <w:r w:rsidR="00CA0F7E">
              <w:rPr>
                <w:noProof/>
                <w:webHidden/>
              </w:rPr>
              <w:fldChar w:fldCharType="separate"/>
            </w:r>
            <w:r w:rsidR="00D7526D">
              <w:rPr>
                <w:noProof/>
                <w:webHidden/>
              </w:rPr>
              <w:t>55</w:t>
            </w:r>
            <w:r w:rsidR="00CA0F7E">
              <w:rPr>
                <w:noProof/>
                <w:webHidden/>
              </w:rPr>
              <w:fldChar w:fldCharType="end"/>
            </w:r>
          </w:hyperlink>
        </w:p>
        <w:p w14:paraId="7FC2686D"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092" w:history="1">
            <w:r w:rsidR="00CA0F7E" w:rsidRPr="00615503">
              <w:rPr>
                <w:rStyle w:val="Hyperlink"/>
                <w:noProof/>
              </w:rPr>
              <w:t>Office of Disability Employment Policy (ODEP)</w:t>
            </w:r>
            <w:r w:rsidR="00CA0F7E">
              <w:rPr>
                <w:noProof/>
                <w:webHidden/>
              </w:rPr>
              <w:tab/>
            </w:r>
            <w:r w:rsidR="00CA0F7E">
              <w:rPr>
                <w:noProof/>
                <w:webHidden/>
              </w:rPr>
              <w:fldChar w:fldCharType="begin"/>
            </w:r>
            <w:r w:rsidR="00CA0F7E">
              <w:rPr>
                <w:noProof/>
                <w:webHidden/>
              </w:rPr>
              <w:instrText xml:space="preserve"> PAGEREF _Toc526182092 \h </w:instrText>
            </w:r>
            <w:r w:rsidR="00CA0F7E">
              <w:rPr>
                <w:noProof/>
                <w:webHidden/>
              </w:rPr>
            </w:r>
            <w:r w:rsidR="00CA0F7E">
              <w:rPr>
                <w:noProof/>
                <w:webHidden/>
              </w:rPr>
              <w:fldChar w:fldCharType="separate"/>
            </w:r>
            <w:r w:rsidR="00D7526D">
              <w:rPr>
                <w:noProof/>
                <w:webHidden/>
              </w:rPr>
              <w:t>55</w:t>
            </w:r>
            <w:r w:rsidR="00CA0F7E">
              <w:rPr>
                <w:noProof/>
                <w:webHidden/>
              </w:rPr>
              <w:fldChar w:fldCharType="end"/>
            </w:r>
          </w:hyperlink>
        </w:p>
        <w:p w14:paraId="602D07D8"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93" w:history="1">
            <w:r w:rsidR="00CA0F7E" w:rsidRPr="00615503">
              <w:rPr>
                <w:rStyle w:val="Hyperlink"/>
                <w:noProof/>
              </w:rPr>
              <w:t>Overview of ODEP</w:t>
            </w:r>
            <w:r w:rsidR="00CA0F7E">
              <w:rPr>
                <w:noProof/>
                <w:webHidden/>
              </w:rPr>
              <w:tab/>
            </w:r>
            <w:r w:rsidR="00CA0F7E">
              <w:rPr>
                <w:noProof/>
                <w:webHidden/>
              </w:rPr>
              <w:fldChar w:fldCharType="begin"/>
            </w:r>
            <w:r w:rsidR="00CA0F7E">
              <w:rPr>
                <w:noProof/>
                <w:webHidden/>
              </w:rPr>
              <w:instrText xml:space="preserve"> PAGEREF _Toc526182093 \h </w:instrText>
            </w:r>
            <w:r w:rsidR="00CA0F7E">
              <w:rPr>
                <w:noProof/>
                <w:webHidden/>
              </w:rPr>
            </w:r>
            <w:r w:rsidR="00CA0F7E">
              <w:rPr>
                <w:noProof/>
                <w:webHidden/>
              </w:rPr>
              <w:fldChar w:fldCharType="separate"/>
            </w:r>
            <w:r w:rsidR="00D7526D">
              <w:rPr>
                <w:noProof/>
                <w:webHidden/>
              </w:rPr>
              <w:t>55</w:t>
            </w:r>
            <w:r w:rsidR="00CA0F7E">
              <w:rPr>
                <w:noProof/>
                <w:webHidden/>
              </w:rPr>
              <w:fldChar w:fldCharType="end"/>
            </w:r>
          </w:hyperlink>
        </w:p>
        <w:p w14:paraId="3A92D90A"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94" w:history="1">
            <w:r w:rsidR="00CA0F7E" w:rsidRPr="00615503">
              <w:rPr>
                <w:rStyle w:val="Hyperlink"/>
                <w:noProof/>
              </w:rPr>
              <w:t>Regulatory, Sub-Regulatory, and Policy Guidance</w:t>
            </w:r>
            <w:r w:rsidR="00CA0F7E">
              <w:rPr>
                <w:noProof/>
                <w:webHidden/>
              </w:rPr>
              <w:tab/>
            </w:r>
            <w:r w:rsidR="00CA0F7E">
              <w:rPr>
                <w:noProof/>
                <w:webHidden/>
              </w:rPr>
              <w:fldChar w:fldCharType="begin"/>
            </w:r>
            <w:r w:rsidR="00CA0F7E">
              <w:rPr>
                <w:noProof/>
                <w:webHidden/>
              </w:rPr>
              <w:instrText xml:space="preserve"> PAGEREF _Toc526182094 \h </w:instrText>
            </w:r>
            <w:r w:rsidR="00CA0F7E">
              <w:rPr>
                <w:noProof/>
                <w:webHidden/>
              </w:rPr>
            </w:r>
            <w:r w:rsidR="00CA0F7E">
              <w:rPr>
                <w:noProof/>
                <w:webHidden/>
              </w:rPr>
              <w:fldChar w:fldCharType="separate"/>
            </w:r>
            <w:r w:rsidR="00D7526D">
              <w:rPr>
                <w:noProof/>
                <w:webHidden/>
              </w:rPr>
              <w:t>56</w:t>
            </w:r>
            <w:r w:rsidR="00CA0F7E">
              <w:rPr>
                <w:noProof/>
                <w:webHidden/>
              </w:rPr>
              <w:fldChar w:fldCharType="end"/>
            </w:r>
          </w:hyperlink>
        </w:p>
        <w:p w14:paraId="2E9D19DE"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95" w:history="1">
            <w:r w:rsidR="00CA0F7E" w:rsidRPr="00615503">
              <w:rPr>
                <w:rStyle w:val="Hyperlink"/>
                <w:noProof/>
              </w:rPr>
              <w:t>Proactive and Reactive Strategies</w:t>
            </w:r>
            <w:r w:rsidR="00CA0F7E">
              <w:rPr>
                <w:noProof/>
                <w:webHidden/>
              </w:rPr>
              <w:tab/>
            </w:r>
            <w:r w:rsidR="00CA0F7E">
              <w:rPr>
                <w:noProof/>
                <w:webHidden/>
              </w:rPr>
              <w:fldChar w:fldCharType="begin"/>
            </w:r>
            <w:r w:rsidR="00CA0F7E">
              <w:rPr>
                <w:noProof/>
                <w:webHidden/>
              </w:rPr>
              <w:instrText xml:space="preserve"> PAGEREF _Toc526182095 \h </w:instrText>
            </w:r>
            <w:r w:rsidR="00CA0F7E">
              <w:rPr>
                <w:noProof/>
                <w:webHidden/>
              </w:rPr>
            </w:r>
            <w:r w:rsidR="00CA0F7E">
              <w:rPr>
                <w:noProof/>
                <w:webHidden/>
              </w:rPr>
              <w:fldChar w:fldCharType="separate"/>
            </w:r>
            <w:r w:rsidR="00D7526D">
              <w:rPr>
                <w:noProof/>
                <w:webHidden/>
              </w:rPr>
              <w:t>58</w:t>
            </w:r>
            <w:r w:rsidR="00CA0F7E">
              <w:rPr>
                <w:noProof/>
                <w:webHidden/>
              </w:rPr>
              <w:fldChar w:fldCharType="end"/>
            </w:r>
          </w:hyperlink>
        </w:p>
        <w:p w14:paraId="5BF62D31"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96" w:history="1">
            <w:r w:rsidR="00CA0F7E" w:rsidRPr="00615503">
              <w:rPr>
                <w:rStyle w:val="Hyperlink"/>
                <w:noProof/>
              </w:rPr>
              <w:t>Interagency Collaboration and Coordination</w:t>
            </w:r>
            <w:r w:rsidR="00CA0F7E">
              <w:rPr>
                <w:noProof/>
                <w:webHidden/>
              </w:rPr>
              <w:tab/>
            </w:r>
            <w:r w:rsidR="00CA0F7E">
              <w:rPr>
                <w:noProof/>
                <w:webHidden/>
              </w:rPr>
              <w:fldChar w:fldCharType="begin"/>
            </w:r>
            <w:r w:rsidR="00CA0F7E">
              <w:rPr>
                <w:noProof/>
                <w:webHidden/>
              </w:rPr>
              <w:instrText xml:space="preserve"> PAGEREF _Toc526182096 \h </w:instrText>
            </w:r>
            <w:r w:rsidR="00CA0F7E">
              <w:rPr>
                <w:noProof/>
                <w:webHidden/>
              </w:rPr>
            </w:r>
            <w:r w:rsidR="00CA0F7E">
              <w:rPr>
                <w:noProof/>
                <w:webHidden/>
              </w:rPr>
              <w:fldChar w:fldCharType="separate"/>
            </w:r>
            <w:r w:rsidR="00D7526D">
              <w:rPr>
                <w:noProof/>
                <w:webHidden/>
              </w:rPr>
              <w:t>59</w:t>
            </w:r>
            <w:r w:rsidR="00CA0F7E">
              <w:rPr>
                <w:noProof/>
                <w:webHidden/>
              </w:rPr>
              <w:fldChar w:fldCharType="end"/>
            </w:r>
          </w:hyperlink>
        </w:p>
        <w:p w14:paraId="0E309EF3"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97" w:history="1">
            <w:r w:rsidR="00CA0F7E" w:rsidRPr="00615503">
              <w:rPr>
                <w:rStyle w:val="Hyperlink"/>
                <w:noProof/>
              </w:rPr>
              <w:t>Communication with Complainants and the Community</w:t>
            </w:r>
            <w:r w:rsidR="00CA0F7E">
              <w:rPr>
                <w:noProof/>
                <w:webHidden/>
              </w:rPr>
              <w:tab/>
            </w:r>
            <w:r w:rsidR="00CA0F7E">
              <w:rPr>
                <w:noProof/>
                <w:webHidden/>
              </w:rPr>
              <w:fldChar w:fldCharType="begin"/>
            </w:r>
            <w:r w:rsidR="00CA0F7E">
              <w:rPr>
                <w:noProof/>
                <w:webHidden/>
              </w:rPr>
              <w:instrText xml:space="preserve"> PAGEREF _Toc526182097 \h </w:instrText>
            </w:r>
            <w:r w:rsidR="00CA0F7E">
              <w:rPr>
                <w:noProof/>
                <w:webHidden/>
              </w:rPr>
            </w:r>
            <w:r w:rsidR="00CA0F7E">
              <w:rPr>
                <w:noProof/>
                <w:webHidden/>
              </w:rPr>
              <w:fldChar w:fldCharType="separate"/>
            </w:r>
            <w:r w:rsidR="00D7526D">
              <w:rPr>
                <w:noProof/>
                <w:webHidden/>
              </w:rPr>
              <w:t>60</w:t>
            </w:r>
            <w:r w:rsidR="00CA0F7E">
              <w:rPr>
                <w:noProof/>
                <w:webHidden/>
              </w:rPr>
              <w:fldChar w:fldCharType="end"/>
            </w:r>
          </w:hyperlink>
        </w:p>
        <w:p w14:paraId="7A4E8433"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98" w:history="1">
            <w:r w:rsidR="00CA0F7E" w:rsidRPr="00615503">
              <w:rPr>
                <w:rStyle w:val="Hyperlink"/>
                <w:noProof/>
              </w:rPr>
              <w:t>Training and Technical Assistance</w:t>
            </w:r>
            <w:r w:rsidR="00CA0F7E">
              <w:rPr>
                <w:noProof/>
                <w:webHidden/>
              </w:rPr>
              <w:tab/>
            </w:r>
            <w:r w:rsidR="00CA0F7E">
              <w:rPr>
                <w:noProof/>
                <w:webHidden/>
              </w:rPr>
              <w:fldChar w:fldCharType="begin"/>
            </w:r>
            <w:r w:rsidR="00CA0F7E">
              <w:rPr>
                <w:noProof/>
                <w:webHidden/>
              </w:rPr>
              <w:instrText xml:space="preserve"> PAGEREF _Toc526182098 \h </w:instrText>
            </w:r>
            <w:r w:rsidR="00CA0F7E">
              <w:rPr>
                <w:noProof/>
                <w:webHidden/>
              </w:rPr>
            </w:r>
            <w:r w:rsidR="00CA0F7E">
              <w:rPr>
                <w:noProof/>
                <w:webHidden/>
              </w:rPr>
              <w:fldChar w:fldCharType="separate"/>
            </w:r>
            <w:r w:rsidR="00D7526D">
              <w:rPr>
                <w:noProof/>
                <w:webHidden/>
              </w:rPr>
              <w:t>61</w:t>
            </w:r>
            <w:r w:rsidR="00CA0F7E">
              <w:rPr>
                <w:noProof/>
                <w:webHidden/>
              </w:rPr>
              <w:fldChar w:fldCharType="end"/>
            </w:r>
          </w:hyperlink>
        </w:p>
        <w:p w14:paraId="31329403"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099" w:history="1">
            <w:r w:rsidR="00CA0F7E" w:rsidRPr="00615503">
              <w:rPr>
                <w:rStyle w:val="Hyperlink"/>
                <w:noProof/>
              </w:rPr>
              <w:t>Adequacy of Agency Resources</w:t>
            </w:r>
            <w:r w:rsidR="00CA0F7E">
              <w:rPr>
                <w:noProof/>
                <w:webHidden/>
              </w:rPr>
              <w:tab/>
            </w:r>
            <w:r w:rsidR="00CA0F7E">
              <w:rPr>
                <w:noProof/>
                <w:webHidden/>
              </w:rPr>
              <w:fldChar w:fldCharType="begin"/>
            </w:r>
            <w:r w:rsidR="00CA0F7E">
              <w:rPr>
                <w:noProof/>
                <w:webHidden/>
              </w:rPr>
              <w:instrText xml:space="preserve"> PAGEREF _Toc526182099 \h </w:instrText>
            </w:r>
            <w:r w:rsidR="00CA0F7E">
              <w:rPr>
                <w:noProof/>
                <w:webHidden/>
              </w:rPr>
            </w:r>
            <w:r w:rsidR="00CA0F7E">
              <w:rPr>
                <w:noProof/>
                <w:webHidden/>
              </w:rPr>
              <w:fldChar w:fldCharType="separate"/>
            </w:r>
            <w:r w:rsidR="00D7526D">
              <w:rPr>
                <w:noProof/>
                <w:webHidden/>
              </w:rPr>
              <w:t>63</w:t>
            </w:r>
            <w:r w:rsidR="00CA0F7E">
              <w:rPr>
                <w:noProof/>
                <w:webHidden/>
              </w:rPr>
              <w:fldChar w:fldCharType="end"/>
            </w:r>
          </w:hyperlink>
        </w:p>
        <w:p w14:paraId="7C64F7C0"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100" w:history="1">
            <w:r w:rsidR="00CA0F7E" w:rsidRPr="00615503">
              <w:rPr>
                <w:rStyle w:val="Hyperlink"/>
                <w:noProof/>
              </w:rPr>
              <w:t>Office of Federal Contract Compliance Programs (OFCCP)</w:t>
            </w:r>
            <w:r w:rsidR="00CA0F7E">
              <w:rPr>
                <w:noProof/>
                <w:webHidden/>
              </w:rPr>
              <w:tab/>
            </w:r>
            <w:r w:rsidR="00CA0F7E">
              <w:rPr>
                <w:noProof/>
                <w:webHidden/>
              </w:rPr>
              <w:fldChar w:fldCharType="begin"/>
            </w:r>
            <w:r w:rsidR="00CA0F7E">
              <w:rPr>
                <w:noProof/>
                <w:webHidden/>
              </w:rPr>
              <w:instrText xml:space="preserve"> PAGEREF _Toc526182100 \h </w:instrText>
            </w:r>
            <w:r w:rsidR="00CA0F7E">
              <w:rPr>
                <w:noProof/>
                <w:webHidden/>
              </w:rPr>
            </w:r>
            <w:r w:rsidR="00CA0F7E">
              <w:rPr>
                <w:noProof/>
                <w:webHidden/>
              </w:rPr>
              <w:fldChar w:fldCharType="separate"/>
            </w:r>
            <w:r w:rsidR="00D7526D">
              <w:rPr>
                <w:noProof/>
                <w:webHidden/>
              </w:rPr>
              <w:t>64</w:t>
            </w:r>
            <w:r w:rsidR="00CA0F7E">
              <w:rPr>
                <w:noProof/>
                <w:webHidden/>
              </w:rPr>
              <w:fldChar w:fldCharType="end"/>
            </w:r>
          </w:hyperlink>
        </w:p>
        <w:p w14:paraId="48817796"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01" w:history="1">
            <w:r w:rsidR="00CA0F7E" w:rsidRPr="00615503">
              <w:rPr>
                <w:rStyle w:val="Hyperlink"/>
                <w:noProof/>
              </w:rPr>
              <w:t>Overview of OFCCP</w:t>
            </w:r>
            <w:r w:rsidR="00CA0F7E">
              <w:rPr>
                <w:noProof/>
                <w:webHidden/>
              </w:rPr>
              <w:tab/>
            </w:r>
            <w:r w:rsidR="00CA0F7E">
              <w:rPr>
                <w:noProof/>
                <w:webHidden/>
              </w:rPr>
              <w:fldChar w:fldCharType="begin"/>
            </w:r>
            <w:r w:rsidR="00CA0F7E">
              <w:rPr>
                <w:noProof/>
                <w:webHidden/>
              </w:rPr>
              <w:instrText xml:space="preserve"> PAGEREF _Toc526182101 \h </w:instrText>
            </w:r>
            <w:r w:rsidR="00CA0F7E">
              <w:rPr>
                <w:noProof/>
                <w:webHidden/>
              </w:rPr>
            </w:r>
            <w:r w:rsidR="00CA0F7E">
              <w:rPr>
                <w:noProof/>
                <w:webHidden/>
              </w:rPr>
              <w:fldChar w:fldCharType="separate"/>
            </w:r>
            <w:r w:rsidR="00D7526D">
              <w:rPr>
                <w:noProof/>
                <w:webHidden/>
              </w:rPr>
              <w:t>64</w:t>
            </w:r>
            <w:r w:rsidR="00CA0F7E">
              <w:rPr>
                <w:noProof/>
                <w:webHidden/>
              </w:rPr>
              <w:fldChar w:fldCharType="end"/>
            </w:r>
          </w:hyperlink>
        </w:p>
        <w:p w14:paraId="29D5927B"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02" w:history="1">
            <w:r w:rsidR="00CA0F7E" w:rsidRPr="00615503">
              <w:rPr>
                <w:rStyle w:val="Hyperlink"/>
                <w:noProof/>
              </w:rPr>
              <w:t>Regulatory, Sub-Regulatory, and Policy Guidance</w:t>
            </w:r>
            <w:r w:rsidR="00CA0F7E">
              <w:rPr>
                <w:noProof/>
                <w:webHidden/>
              </w:rPr>
              <w:tab/>
            </w:r>
            <w:r w:rsidR="00CA0F7E">
              <w:rPr>
                <w:noProof/>
                <w:webHidden/>
              </w:rPr>
              <w:fldChar w:fldCharType="begin"/>
            </w:r>
            <w:r w:rsidR="00CA0F7E">
              <w:rPr>
                <w:noProof/>
                <w:webHidden/>
              </w:rPr>
              <w:instrText xml:space="preserve"> PAGEREF _Toc526182102 \h </w:instrText>
            </w:r>
            <w:r w:rsidR="00CA0F7E">
              <w:rPr>
                <w:noProof/>
                <w:webHidden/>
              </w:rPr>
            </w:r>
            <w:r w:rsidR="00CA0F7E">
              <w:rPr>
                <w:noProof/>
                <w:webHidden/>
              </w:rPr>
              <w:fldChar w:fldCharType="separate"/>
            </w:r>
            <w:r w:rsidR="00D7526D">
              <w:rPr>
                <w:noProof/>
                <w:webHidden/>
              </w:rPr>
              <w:t>65</w:t>
            </w:r>
            <w:r w:rsidR="00CA0F7E">
              <w:rPr>
                <w:noProof/>
                <w:webHidden/>
              </w:rPr>
              <w:fldChar w:fldCharType="end"/>
            </w:r>
          </w:hyperlink>
        </w:p>
        <w:p w14:paraId="01613C20"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03" w:history="1">
            <w:r w:rsidR="00CA0F7E" w:rsidRPr="00615503">
              <w:rPr>
                <w:rStyle w:val="Hyperlink"/>
                <w:noProof/>
              </w:rPr>
              <w:t>Competent and Credible Investigative Process and Enforcement Action</w:t>
            </w:r>
            <w:r w:rsidR="00CA0F7E">
              <w:rPr>
                <w:noProof/>
                <w:webHidden/>
              </w:rPr>
              <w:tab/>
            </w:r>
            <w:r w:rsidR="00CA0F7E">
              <w:rPr>
                <w:noProof/>
                <w:webHidden/>
              </w:rPr>
              <w:fldChar w:fldCharType="begin"/>
            </w:r>
            <w:r w:rsidR="00CA0F7E">
              <w:rPr>
                <w:noProof/>
                <w:webHidden/>
              </w:rPr>
              <w:instrText xml:space="preserve"> PAGEREF _Toc526182103 \h </w:instrText>
            </w:r>
            <w:r w:rsidR="00CA0F7E">
              <w:rPr>
                <w:noProof/>
                <w:webHidden/>
              </w:rPr>
            </w:r>
            <w:r w:rsidR="00CA0F7E">
              <w:rPr>
                <w:noProof/>
                <w:webHidden/>
              </w:rPr>
              <w:fldChar w:fldCharType="separate"/>
            </w:r>
            <w:r w:rsidR="00D7526D">
              <w:rPr>
                <w:noProof/>
                <w:webHidden/>
              </w:rPr>
              <w:t>67</w:t>
            </w:r>
            <w:r w:rsidR="00CA0F7E">
              <w:rPr>
                <w:noProof/>
                <w:webHidden/>
              </w:rPr>
              <w:fldChar w:fldCharType="end"/>
            </w:r>
          </w:hyperlink>
        </w:p>
        <w:p w14:paraId="0A4C3706"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04" w:history="1">
            <w:r w:rsidR="00CA0F7E" w:rsidRPr="00615503">
              <w:rPr>
                <w:rStyle w:val="Hyperlink"/>
                <w:noProof/>
              </w:rPr>
              <w:t>Interagency Collaboration and Coordination</w:t>
            </w:r>
            <w:r w:rsidR="00CA0F7E">
              <w:rPr>
                <w:noProof/>
                <w:webHidden/>
              </w:rPr>
              <w:tab/>
            </w:r>
            <w:r w:rsidR="00CA0F7E">
              <w:rPr>
                <w:noProof/>
                <w:webHidden/>
              </w:rPr>
              <w:fldChar w:fldCharType="begin"/>
            </w:r>
            <w:r w:rsidR="00CA0F7E">
              <w:rPr>
                <w:noProof/>
                <w:webHidden/>
              </w:rPr>
              <w:instrText xml:space="preserve"> PAGEREF _Toc526182104 \h </w:instrText>
            </w:r>
            <w:r w:rsidR="00CA0F7E">
              <w:rPr>
                <w:noProof/>
                <w:webHidden/>
              </w:rPr>
            </w:r>
            <w:r w:rsidR="00CA0F7E">
              <w:rPr>
                <w:noProof/>
                <w:webHidden/>
              </w:rPr>
              <w:fldChar w:fldCharType="separate"/>
            </w:r>
            <w:r w:rsidR="00D7526D">
              <w:rPr>
                <w:noProof/>
                <w:webHidden/>
              </w:rPr>
              <w:t>70</w:t>
            </w:r>
            <w:r w:rsidR="00CA0F7E">
              <w:rPr>
                <w:noProof/>
                <w:webHidden/>
              </w:rPr>
              <w:fldChar w:fldCharType="end"/>
            </w:r>
          </w:hyperlink>
        </w:p>
        <w:p w14:paraId="28E798C8"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05" w:history="1">
            <w:r w:rsidR="00CA0F7E" w:rsidRPr="00615503">
              <w:rPr>
                <w:rStyle w:val="Hyperlink"/>
                <w:noProof/>
              </w:rPr>
              <w:t>Training and Technical Assistance</w:t>
            </w:r>
            <w:r w:rsidR="00CA0F7E">
              <w:rPr>
                <w:noProof/>
                <w:webHidden/>
              </w:rPr>
              <w:tab/>
            </w:r>
            <w:r w:rsidR="00CA0F7E">
              <w:rPr>
                <w:noProof/>
                <w:webHidden/>
              </w:rPr>
              <w:fldChar w:fldCharType="begin"/>
            </w:r>
            <w:r w:rsidR="00CA0F7E">
              <w:rPr>
                <w:noProof/>
                <w:webHidden/>
              </w:rPr>
              <w:instrText xml:space="preserve"> PAGEREF _Toc526182105 \h </w:instrText>
            </w:r>
            <w:r w:rsidR="00CA0F7E">
              <w:rPr>
                <w:noProof/>
                <w:webHidden/>
              </w:rPr>
            </w:r>
            <w:r w:rsidR="00CA0F7E">
              <w:rPr>
                <w:noProof/>
                <w:webHidden/>
              </w:rPr>
              <w:fldChar w:fldCharType="separate"/>
            </w:r>
            <w:r w:rsidR="00D7526D">
              <w:rPr>
                <w:noProof/>
                <w:webHidden/>
              </w:rPr>
              <w:t>70</w:t>
            </w:r>
            <w:r w:rsidR="00CA0F7E">
              <w:rPr>
                <w:noProof/>
                <w:webHidden/>
              </w:rPr>
              <w:fldChar w:fldCharType="end"/>
            </w:r>
          </w:hyperlink>
        </w:p>
        <w:p w14:paraId="57DCE717"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06" w:history="1">
            <w:r w:rsidR="00CA0F7E" w:rsidRPr="00615503">
              <w:rPr>
                <w:rStyle w:val="Hyperlink"/>
                <w:noProof/>
              </w:rPr>
              <w:t>Adequacy of Agency Resources</w:t>
            </w:r>
            <w:r w:rsidR="00CA0F7E">
              <w:rPr>
                <w:noProof/>
                <w:webHidden/>
              </w:rPr>
              <w:tab/>
            </w:r>
            <w:r w:rsidR="00CA0F7E">
              <w:rPr>
                <w:noProof/>
                <w:webHidden/>
              </w:rPr>
              <w:fldChar w:fldCharType="begin"/>
            </w:r>
            <w:r w:rsidR="00CA0F7E">
              <w:rPr>
                <w:noProof/>
                <w:webHidden/>
              </w:rPr>
              <w:instrText xml:space="preserve"> PAGEREF _Toc526182106 \h </w:instrText>
            </w:r>
            <w:r w:rsidR="00CA0F7E">
              <w:rPr>
                <w:noProof/>
                <w:webHidden/>
              </w:rPr>
            </w:r>
            <w:r w:rsidR="00CA0F7E">
              <w:rPr>
                <w:noProof/>
                <w:webHidden/>
              </w:rPr>
              <w:fldChar w:fldCharType="separate"/>
            </w:r>
            <w:r w:rsidR="00D7526D">
              <w:rPr>
                <w:noProof/>
                <w:webHidden/>
              </w:rPr>
              <w:t>71</w:t>
            </w:r>
            <w:r w:rsidR="00CA0F7E">
              <w:rPr>
                <w:noProof/>
                <w:webHidden/>
              </w:rPr>
              <w:fldChar w:fldCharType="end"/>
            </w:r>
          </w:hyperlink>
        </w:p>
        <w:p w14:paraId="509A48EA"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107" w:history="1">
            <w:r w:rsidR="00CA0F7E" w:rsidRPr="00615503">
              <w:rPr>
                <w:rStyle w:val="Hyperlink"/>
                <w:noProof/>
              </w:rPr>
              <w:t>Office of the Solicitor (SOL)</w:t>
            </w:r>
            <w:r w:rsidR="00CA0F7E">
              <w:rPr>
                <w:noProof/>
                <w:webHidden/>
              </w:rPr>
              <w:tab/>
            </w:r>
            <w:r w:rsidR="00CA0F7E">
              <w:rPr>
                <w:noProof/>
                <w:webHidden/>
              </w:rPr>
              <w:fldChar w:fldCharType="begin"/>
            </w:r>
            <w:r w:rsidR="00CA0F7E">
              <w:rPr>
                <w:noProof/>
                <w:webHidden/>
              </w:rPr>
              <w:instrText xml:space="preserve"> PAGEREF _Toc526182107 \h </w:instrText>
            </w:r>
            <w:r w:rsidR="00CA0F7E">
              <w:rPr>
                <w:noProof/>
                <w:webHidden/>
              </w:rPr>
            </w:r>
            <w:r w:rsidR="00CA0F7E">
              <w:rPr>
                <w:noProof/>
                <w:webHidden/>
              </w:rPr>
              <w:fldChar w:fldCharType="separate"/>
            </w:r>
            <w:r w:rsidR="00D7526D">
              <w:rPr>
                <w:noProof/>
                <w:webHidden/>
              </w:rPr>
              <w:t>72</w:t>
            </w:r>
            <w:r w:rsidR="00CA0F7E">
              <w:rPr>
                <w:noProof/>
                <w:webHidden/>
              </w:rPr>
              <w:fldChar w:fldCharType="end"/>
            </w:r>
          </w:hyperlink>
        </w:p>
        <w:p w14:paraId="49EC1C4A"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108" w:history="1">
            <w:r w:rsidR="00CA0F7E" w:rsidRPr="00615503">
              <w:rPr>
                <w:rStyle w:val="Hyperlink"/>
                <w:noProof/>
              </w:rPr>
              <w:t>Wage and Hour Division (WHD)</w:t>
            </w:r>
            <w:r w:rsidR="00CA0F7E">
              <w:rPr>
                <w:noProof/>
                <w:webHidden/>
              </w:rPr>
              <w:tab/>
            </w:r>
            <w:r w:rsidR="00CA0F7E">
              <w:rPr>
                <w:noProof/>
                <w:webHidden/>
              </w:rPr>
              <w:fldChar w:fldCharType="begin"/>
            </w:r>
            <w:r w:rsidR="00CA0F7E">
              <w:rPr>
                <w:noProof/>
                <w:webHidden/>
              </w:rPr>
              <w:instrText xml:space="preserve"> PAGEREF _Toc526182108 \h </w:instrText>
            </w:r>
            <w:r w:rsidR="00CA0F7E">
              <w:rPr>
                <w:noProof/>
                <w:webHidden/>
              </w:rPr>
            </w:r>
            <w:r w:rsidR="00CA0F7E">
              <w:rPr>
                <w:noProof/>
                <w:webHidden/>
              </w:rPr>
              <w:fldChar w:fldCharType="separate"/>
            </w:r>
            <w:r w:rsidR="00D7526D">
              <w:rPr>
                <w:noProof/>
                <w:webHidden/>
              </w:rPr>
              <w:t>73</w:t>
            </w:r>
            <w:r w:rsidR="00CA0F7E">
              <w:rPr>
                <w:noProof/>
                <w:webHidden/>
              </w:rPr>
              <w:fldChar w:fldCharType="end"/>
            </w:r>
          </w:hyperlink>
        </w:p>
        <w:p w14:paraId="02061037"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09" w:history="1">
            <w:r w:rsidR="00CA0F7E" w:rsidRPr="00615503">
              <w:rPr>
                <w:rStyle w:val="Hyperlink"/>
                <w:noProof/>
              </w:rPr>
              <w:t>Overview</w:t>
            </w:r>
            <w:r w:rsidR="00CA0F7E">
              <w:rPr>
                <w:noProof/>
                <w:webHidden/>
              </w:rPr>
              <w:tab/>
            </w:r>
            <w:r w:rsidR="00CA0F7E">
              <w:rPr>
                <w:noProof/>
                <w:webHidden/>
              </w:rPr>
              <w:fldChar w:fldCharType="begin"/>
            </w:r>
            <w:r w:rsidR="00CA0F7E">
              <w:rPr>
                <w:noProof/>
                <w:webHidden/>
              </w:rPr>
              <w:instrText xml:space="preserve"> PAGEREF _Toc526182109 \h </w:instrText>
            </w:r>
            <w:r w:rsidR="00CA0F7E">
              <w:rPr>
                <w:noProof/>
                <w:webHidden/>
              </w:rPr>
            </w:r>
            <w:r w:rsidR="00CA0F7E">
              <w:rPr>
                <w:noProof/>
                <w:webHidden/>
              </w:rPr>
              <w:fldChar w:fldCharType="separate"/>
            </w:r>
            <w:r w:rsidR="00D7526D">
              <w:rPr>
                <w:noProof/>
                <w:webHidden/>
              </w:rPr>
              <w:t>73</w:t>
            </w:r>
            <w:r w:rsidR="00CA0F7E">
              <w:rPr>
                <w:noProof/>
                <w:webHidden/>
              </w:rPr>
              <w:fldChar w:fldCharType="end"/>
            </w:r>
          </w:hyperlink>
        </w:p>
        <w:p w14:paraId="3DA8AC7A"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10" w:history="1">
            <w:r w:rsidR="00CA0F7E" w:rsidRPr="00615503">
              <w:rPr>
                <w:rStyle w:val="Hyperlink"/>
                <w:noProof/>
              </w:rPr>
              <w:t>Overview of Section 14(c)</w:t>
            </w:r>
            <w:r w:rsidR="00CA0F7E">
              <w:rPr>
                <w:noProof/>
                <w:webHidden/>
              </w:rPr>
              <w:tab/>
            </w:r>
            <w:r w:rsidR="00CA0F7E">
              <w:rPr>
                <w:noProof/>
                <w:webHidden/>
              </w:rPr>
              <w:fldChar w:fldCharType="begin"/>
            </w:r>
            <w:r w:rsidR="00CA0F7E">
              <w:rPr>
                <w:noProof/>
                <w:webHidden/>
              </w:rPr>
              <w:instrText xml:space="preserve"> PAGEREF _Toc526182110 \h </w:instrText>
            </w:r>
            <w:r w:rsidR="00CA0F7E">
              <w:rPr>
                <w:noProof/>
                <w:webHidden/>
              </w:rPr>
            </w:r>
            <w:r w:rsidR="00CA0F7E">
              <w:rPr>
                <w:noProof/>
                <w:webHidden/>
              </w:rPr>
              <w:fldChar w:fldCharType="separate"/>
            </w:r>
            <w:r w:rsidR="00D7526D">
              <w:rPr>
                <w:noProof/>
                <w:webHidden/>
              </w:rPr>
              <w:t>73</w:t>
            </w:r>
            <w:r w:rsidR="00CA0F7E">
              <w:rPr>
                <w:noProof/>
                <w:webHidden/>
              </w:rPr>
              <w:fldChar w:fldCharType="end"/>
            </w:r>
          </w:hyperlink>
        </w:p>
        <w:p w14:paraId="0AED9B65"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11" w:history="1">
            <w:r w:rsidR="00CA0F7E" w:rsidRPr="00615503">
              <w:rPr>
                <w:rStyle w:val="Hyperlink"/>
                <w:noProof/>
              </w:rPr>
              <w:t>Regulatory, Sub-Regulatory, and Policy Guidance</w:t>
            </w:r>
            <w:r w:rsidR="00CA0F7E">
              <w:rPr>
                <w:noProof/>
                <w:webHidden/>
              </w:rPr>
              <w:tab/>
            </w:r>
            <w:r w:rsidR="00CA0F7E">
              <w:rPr>
                <w:noProof/>
                <w:webHidden/>
              </w:rPr>
              <w:fldChar w:fldCharType="begin"/>
            </w:r>
            <w:r w:rsidR="00CA0F7E">
              <w:rPr>
                <w:noProof/>
                <w:webHidden/>
              </w:rPr>
              <w:instrText xml:space="preserve"> PAGEREF _Toc526182111 \h </w:instrText>
            </w:r>
            <w:r w:rsidR="00CA0F7E">
              <w:rPr>
                <w:noProof/>
                <w:webHidden/>
              </w:rPr>
            </w:r>
            <w:r w:rsidR="00CA0F7E">
              <w:rPr>
                <w:noProof/>
                <w:webHidden/>
              </w:rPr>
              <w:fldChar w:fldCharType="separate"/>
            </w:r>
            <w:r w:rsidR="00D7526D">
              <w:rPr>
                <w:noProof/>
                <w:webHidden/>
              </w:rPr>
              <w:t>74</w:t>
            </w:r>
            <w:r w:rsidR="00CA0F7E">
              <w:rPr>
                <w:noProof/>
                <w:webHidden/>
              </w:rPr>
              <w:fldChar w:fldCharType="end"/>
            </w:r>
          </w:hyperlink>
        </w:p>
        <w:p w14:paraId="586F185A"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12" w:history="1">
            <w:r w:rsidR="00CA0F7E" w:rsidRPr="00615503">
              <w:rPr>
                <w:rStyle w:val="Hyperlink"/>
                <w:noProof/>
              </w:rPr>
              <w:t>Proactive and Reactive Strategies</w:t>
            </w:r>
            <w:r w:rsidR="00CA0F7E">
              <w:rPr>
                <w:noProof/>
                <w:webHidden/>
              </w:rPr>
              <w:tab/>
            </w:r>
            <w:r w:rsidR="00CA0F7E">
              <w:rPr>
                <w:noProof/>
                <w:webHidden/>
              </w:rPr>
              <w:fldChar w:fldCharType="begin"/>
            </w:r>
            <w:r w:rsidR="00CA0F7E">
              <w:rPr>
                <w:noProof/>
                <w:webHidden/>
              </w:rPr>
              <w:instrText xml:space="preserve"> PAGEREF _Toc526182112 \h </w:instrText>
            </w:r>
            <w:r w:rsidR="00CA0F7E">
              <w:rPr>
                <w:noProof/>
                <w:webHidden/>
              </w:rPr>
            </w:r>
            <w:r w:rsidR="00CA0F7E">
              <w:rPr>
                <w:noProof/>
                <w:webHidden/>
              </w:rPr>
              <w:fldChar w:fldCharType="separate"/>
            </w:r>
            <w:r w:rsidR="00D7526D">
              <w:rPr>
                <w:noProof/>
                <w:webHidden/>
              </w:rPr>
              <w:t>76</w:t>
            </w:r>
            <w:r w:rsidR="00CA0F7E">
              <w:rPr>
                <w:noProof/>
                <w:webHidden/>
              </w:rPr>
              <w:fldChar w:fldCharType="end"/>
            </w:r>
          </w:hyperlink>
        </w:p>
        <w:p w14:paraId="39062A69"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13" w:history="1">
            <w:r w:rsidR="00CA0F7E" w:rsidRPr="00615503">
              <w:rPr>
                <w:rStyle w:val="Hyperlink"/>
                <w:noProof/>
              </w:rPr>
              <w:t>Competent and Credible Investigative Process and Enforcement Action</w:t>
            </w:r>
            <w:r w:rsidR="00CA0F7E">
              <w:rPr>
                <w:noProof/>
                <w:webHidden/>
              </w:rPr>
              <w:tab/>
            </w:r>
            <w:r w:rsidR="00CA0F7E">
              <w:rPr>
                <w:noProof/>
                <w:webHidden/>
              </w:rPr>
              <w:fldChar w:fldCharType="begin"/>
            </w:r>
            <w:r w:rsidR="00CA0F7E">
              <w:rPr>
                <w:noProof/>
                <w:webHidden/>
              </w:rPr>
              <w:instrText xml:space="preserve"> PAGEREF _Toc526182113 \h </w:instrText>
            </w:r>
            <w:r w:rsidR="00CA0F7E">
              <w:rPr>
                <w:noProof/>
                <w:webHidden/>
              </w:rPr>
            </w:r>
            <w:r w:rsidR="00CA0F7E">
              <w:rPr>
                <w:noProof/>
                <w:webHidden/>
              </w:rPr>
              <w:fldChar w:fldCharType="separate"/>
            </w:r>
            <w:r w:rsidR="00D7526D">
              <w:rPr>
                <w:noProof/>
                <w:webHidden/>
              </w:rPr>
              <w:t>79</w:t>
            </w:r>
            <w:r w:rsidR="00CA0F7E">
              <w:rPr>
                <w:noProof/>
                <w:webHidden/>
              </w:rPr>
              <w:fldChar w:fldCharType="end"/>
            </w:r>
          </w:hyperlink>
        </w:p>
        <w:p w14:paraId="3C95BF55"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14" w:history="1">
            <w:r w:rsidR="00CA0F7E" w:rsidRPr="00615503">
              <w:rPr>
                <w:rStyle w:val="Hyperlink"/>
                <w:noProof/>
              </w:rPr>
              <w:t>Communication with Complainants and the Community</w:t>
            </w:r>
            <w:r w:rsidR="00CA0F7E">
              <w:rPr>
                <w:noProof/>
                <w:webHidden/>
              </w:rPr>
              <w:tab/>
            </w:r>
            <w:r w:rsidR="00CA0F7E">
              <w:rPr>
                <w:noProof/>
                <w:webHidden/>
              </w:rPr>
              <w:fldChar w:fldCharType="begin"/>
            </w:r>
            <w:r w:rsidR="00CA0F7E">
              <w:rPr>
                <w:noProof/>
                <w:webHidden/>
              </w:rPr>
              <w:instrText xml:space="preserve"> PAGEREF _Toc526182114 \h </w:instrText>
            </w:r>
            <w:r w:rsidR="00CA0F7E">
              <w:rPr>
                <w:noProof/>
                <w:webHidden/>
              </w:rPr>
            </w:r>
            <w:r w:rsidR="00CA0F7E">
              <w:rPr>
                <w:noProof/>
                <w:webHidden/>
              </w:rPr>
              <w:fldChar w:fldCharType="separate"/>
            </w:r>
            <w:r w:rsidR="00D7526D">
              <w:rPr>
                <w:noProof/>
                <w:webHidden/>
              </w:rPr>
              <w:t>85</w:t>
            </w:r>
            <w:r w:rsidR="00CA0F7E">
              <w:rPr>
                <w:noProof/>
                <w:webHidden/>
              </w:rPr>
              <w:fldChar w:fldCharType="end"/>
            </w:r>
          </w:hyperlink>
        </w:p>
        <w:p w14:paraId="57D9FAC4"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15" w:history="1">
            <w:r w:rsidR="00CA0F7E" w:rsidRPr="00615503">
              <w:rPr>
                <w:rStyle w:val="Hyperlink"/>
                <w:noProof/>
              </w:rPr>
              <w:t>Interagency Collaboration and Coordination</w:t>
            </w:r>
            <w:r w:rsidR="00CA0F7E">
              <w:rPr>
                <w:noProof/>
                <w:webHidden/>
              </w:rPr>
              <w:tab/>
            </w:r>
            <w:r w:rsidR="00CA0F7E">
              <w:rPr>
                <w:noProof/>
                <w:webHidden/>
              </w:rPr>
              <w:fldChar w:fldCharType="begin"/>
            </w:r>
            <w:r w:rsidR="00CA0F7E">
              <w:rPr>
                <w:noProof/>
                <w:webHidden/>
              </w:rPr>
              <w:instrText xml:space="preserve"> PAGEREF _Toc526182115 \h </w:instrText>
            </w:r>
            <w:r w:rsidR="00CA0F7E">
              <w:rPr>
                <w:noProof/>
                <w:webHidden/>
              </w:rPr>
            </w:r>
            <w:r w:rsidR="00CA0F7E">
              <w:rPr>
                <w:noProof/>
                <w:webHidden/>
              </w:rPr>
              <w:fldChar w:fldCharType="separate"/>
            </w:r>
            <w:r w:rsidR="00D7526D">
              <w:rPr>
                <w:noProof/>
                <w:webHidden/>
              </w:rPr>
              <w:t>86</w:t>
            </w:r>
            <w:r w:rsidR="00CA0F7E">
              <w:rPr>
                <w:noProof/>
                <w:webHidden/>
              </w:rPr>
              <w:fldChar w:fldCharType="end"/>
            </w:r>
          </w:hyperlink>
        </w:p>
        <w:p w14:paraId="607617B4"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16" w:history="1">
            <w:r w:rsidR="00CA0F7E" w:rsidRPr="00615503">
              <w:rPr>
                <w:rStyle w:val="Hyperlink"/>
                <w:noProof/>
              </w:rPr>
              <w:t>Technical Assistance and Training</w:t>
            </w:r>
            <w:r w:rsidR="00CA0F7E">
              <w:rPr>
                <w:noProof/>
                <w:webHidden/>
              </w:rPr>
              <w:tab/>
            </w:r>
            <w:r w:rsidR="00CA0F7E">
              <w:rPr>
                <w:noProof/>
                <w:webHidden/>
              </w:rPr>
              <w:fldChar w:fldCharType="begin"/>
            </w:r>
            <w:r w:rsidR="00CA0F7E">
              <w:rPr>
                <w:noProof/>
                <w:webHidden/>
              </w:rPr>
              <w:instrText xml:space="preserve"> PAGEREF _Toc526182116 \h </w:instrText>
            </w:r>
            <w:r w:rsidR="00CA0F7E">
              <w:rPr>
                <w:noProof/>
                <w:webHidden/>
              </w:rPr>
            </w:r>
            <w:r w:rsidR="00CA0F7E">
              <w:rPr>
                <w:noProof/>
                <w:webHidden/>
              </w:rPr>
              <w:fldChar w:fldCharType="separate"/>
            </w:r>
            <w:r w:rsidR="00D7526D">
              <w:rPr>
                <w:noProof/>
                <w:webHidden/>
              </w:rPr>
              <w:t>87</w:t>
            </w:r>
            <w:r w:rsidR="00CA0F7E">
              <w:rPr>
                <w:noProof/>
                <w:webHidden/>
              </w:rPr>
              <w:fldChar w:fldCharType="end"/>
            </w:r>
          </w:hyperlink>
        </w:p>
        <w:p w14:paraId="2D7840D0"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17" w:history="1">
            <w:r w:rsidR="00CA0F7E" w:rsidRPr="00615503">
              <w:rPr>
                <w:rStyle w:val="Hyperlink"/>
                <w:noProof/>
              </w:rPr>
              <w:t>Adequacy of Agency Resources</w:t>
            </w:r>
            <w:r w:rsidR="00CA0F7E">
              <w:rPr>
                <w:noProof/>
                <w:webHidden/>
              </w:rPr>
              <w:tab/>
            </w:r>
            <w:r w:rsidR="00CA0F7E">
              <w:rPr>
                <w:noProof/>
                <w:webHidden/>
              </w:rPr>
              <w:fldChar w:fldCharType="begin"/>
            </w:r>
            <w:r w:rsidR="00CA0F7E">
              <w:rPr>
                <w:noProof/>
                <w:webHidden/>
              </w:rPr>
              <w:instrText xml:space="preserve"> PAGEREF _Toc526182117 \h </w:instrText>
            </w:r>
            <w:r w:rsidR="00CA0F7E">
              <w:rPr>
                <w:noProof/>
                <w:webHidden/>
              </w:rPr>
            </w:r>
            <w:r w:rsidR="00CA0F7E">
              <w:rPr>
                <w:noProof/>
                <w:webHidden/>
              </w:rPr>
              <w:fldChar w:fldCharType="separate"/>
            </w:r>
            <w:r w:rsidR="00D7526D">
              <w:rPr>
                <w:noProof/>
                <w:webHidden/>
              </w:rPr>
              <w:t>88</w:t>
            </w:r>
            <w:r w:rsidR="00CA0F7E">
              <w:rPr>
                <w:noProof/>
                <w:webHidden/>
              </w:rPr>
              <w:fldChar w:fldCharType="end"/>
            </w:r>
          </w:hyperlink>
        </w:p>
        <w:p w14:paraId="795B3F08"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18" w:history="1">
            <w:r w:rsidR="00CA0F7E" w:rsidRPr="00615503">
              <w:rPr>
                <w:rStyle w:val="Hyperlink"/>
                <w:noProof/>
              </w:rPr>
              <w:t>Overview of the Family and Medical Leave Act (FMLA)</w:t>
            </w:r>
            <w:r w:rsidR="00CA0F7E">
              <w:rPr>
                <w:noProof/>
                <w:webHidden/>
              </w:rPr>
              <w:tab/>
            </w:r>
            <w:r w:rsidR="00CA0F7E">
              <w:rPr>
                <w:noProof/>
                <w:webHidden/>
              </w:rPr>
              <w:fldChar w:fldCharType="begin"/>
            </w:r>
            <w:r w:rsidR="00CA0F7E">
              <w:rPr>
                <w:noProof/>
                <w:webHidden/>
              </w:rPr>
              <w:instrText xml:space="preserve"> PAGEREF _Toc526182118 \h </w:instrText>
            </w:r>
            <w:r w:rsidR="00CA0F7E">
              <w:rPr>
                <w:noProof/>
                <w:webHidden/>
              </w:rPr>
            </w:r>
            <w:r w:rsidR="00CA0F7E">
              <w:rPr>
                <w:noProof/>
                <w:webHidden/>
              </w:rPr>
              <w:fldChar w:fldCharType="separate"/>
            </w:r>
            <w:r w:rsidR="00D7526D">
              <w:rPr>
                <w:noProof/>
                <w:webHidden/>
              </w:rPr>
              <w:t>88</w:t>
            </w:r>
            <w:r w:rsidR="00CA0F7E">
              <w:rPr>
                <w:noProof/>
                <w:webHidden/>
              </w:rPr>
              <w:fldChar w:fldCharType="end"/>
            </w:r>
          </w:hyperlink>
        </w:p>
        <w:p w14:paraId="3C8DFD15"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19" w:history="1">
            <w:r w:rsidR="00CA0F7E" w:rsidRPr="00615503">
              <w:rPr>
                <w:rStyle w:val="Hyperlink"/>
                <w:noProof/>
              </w:rPr>
              <w:t>Regulatory, Sub-Regulatory, and Policy Guidance</w:t>
            </w:r>
            <w:r w:rsidR="00CA0F7E">
              <w:rPr>
                <w:noProof/>
                <w:webHidden/>
              </w:rPr>
              <w:tab/>
            </w:r>
            <w:r w:rsidR="00CA0F7E">
              <w:rPr>
                <w:noProof/>
                <w:webHidden/>
              </w:rPr>
              <w:fldChar w:fldCharType="begin"/>
            </w:r>
            <w:r w:rsidR="00CA0F7E">
              <w:rPr>
                <w:noProof/>
                <w:webHidden/>
              </w:rPr>
              <w:instrText xml:space="preserve"> PAGEREF _Toc526182119 \h </w:instrText>
            </w:r>
            <w:r w:rsidR="00CA0F7E">
              <w:rPr>
                <w:noProof/>
                <w:webHidden/>
              </w:rPr>
            </w:r>
            <w:r w:rsidR="00CA0F7E">
              <w:rPr>
                <w:noProof/>
                <w:webHidden/>
              </w:rPr>
              <w:fldChar w:fldCharType="separate"/>
            </w:r>
            <w:r w:rsidR="00D7526D">
              <w:rPr>
                <w:noProof/>
                <w:webHidden/>
              </w:rPr>
              <w:t>89</w:t>
            </w:r>
            <w:r w:rsidR="00CA0F7E">
              <w:rPr>
                <w:noProof/>
                <w:webHidden/>
              </w:rPr>
              <w:fldChar w:fldCharType="end"/>
            </w:r>
          </w:hyperlink>
        </w:p>
        <w:p w14:paraId="2E32ED1D"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20" w:history="1">
            <w:r w:rsidR="00CA0F7E" w:rsidRPr="00615503">
              <w:rPr>
                <w:rStyle w:val="Hyperlink"/>
                <w:noProof/>
              </w:rPr>
              <w:t>Competent and Credible Investigative Process and Enforcement Action</w:t>
            </w:r>
            <w:r w:rsidR="00CA0F7E">
              <w:rPr>
                <w:noProof/>
                <w:webHidden/>
              </w:rPr>
              <w:tab/>
            </w:r>
            <w:r w:rsidR="00CA0F7E">
              <w:rPr>
                <w:noProof/>
                <w:webHidden/>
              </w:rPr>
              <w:fldChar w:fldCharType="begin"/>
            </w:r>
            <w:r w:rsidR="00CA0F7E">
              <w:rPr>
                <w:noProof/>
                <w:webHidden/>
              </w:rPr>
              <w:instrText xml:space="preserve"> PAGEREF _Toc526182120 \h </w:instrText>
            </w:r>
            <w:r w:rsidR="00CA0F7E">
              <w:rPr>
                <w:noProof/>
                <w:webHidden/>
              </w:rPr>
            </w:r>
            <w:r w:rsidR="00CA0F7E">
              <w:rPr>
                <w:noProof/>
                <w:webHidden/>
              </w:rPr>
              <w:fldChar w:fldCharType="separate"/>
            </w:r>
            <w:r w:rsidR="00D7526D">
              <w:rPr>
                <w:noProof/>
                <w:webHidden/>
              </w:rPr>
              <w:t>89</w:t>
            </w:r>
            <w:r w:rsidR="00CA0F7E">
              <w:rPr>
                <w:noProof/>
                <w:webHidden/>
              </w:rPr>
              <w:fldChar w:fldCharType="end"/>
            </w:r>
          </w:hyperlink>
        </w:p>
        <w:p w14:paraId="72BF4D3F"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21" w:history="1">
            <w:r w:rsidR="00CA0F7E" w:rsidRPr="00615503">
              <w:rPr>
                <w:rStyle w:val="Hyperlink"/>
                <w:noProof/>
              </w:rPr>
              <w:t>Technical Assistance and Training</w:t>
            </w:r>
            <w:r w:rsidR="00CA0F7E">
              <w:rPr>
                <w:noProof/>
                <w:webHidden/>
              </w:rPr>
              <w:tab/>
            </w:r>
            <w:r w:rsidR="00CA0F7E">
              <w:rPr>
                <w:noProof/>
                <w:webHidden/>
              </w:rPr>
              <w:fldChar w:fldCharType="begin"/>
            </w:r>
            <w:r w:rsidR="00CA0F7E">
              <w:rPr>
                <w:noProof/>
                <w:webHidden/>
              </w:rPr>
              <w:instrText xml:space="preserve"> PAGEREF _Toc526182121 \h </w:instrText>
            </w:r>
            <w:r w:rsidR="00CA0F7E">
              <w:rPr>
                <w:noProof/>
                <w:webHidden/>
              </w:rPr>
            </w:r>
            <w:r w:rsidR="00CA0F7E">
              <w:rPr>
                <w:noProof/>
                <w:webHidden/>
              </w:rPr>
              <w:fldChar w:fldCharType="separate"/>
            </w:r>
            <w:r w:rsidR="00D7526D">
              <w:rPr>
                <w:noProof/>
                <w:webHidden/>
              </w:rPr>
              <w:t>91</w:t>
            </w:r>
            <w:r w:rsidR="00CA0F7E">
              <w:rPr>
                <w:noProof/>
                <w:webHidden/>
              </w:rPr>
              <w:fldChar w:fldCharType="end"/>
            </w:r>
          </w:hyperlink>
        </w:p>
        <w:p w14:paraId="30035051" w14:textId="77777777" w:rsidR="00CA0F7E" w:rsidRDefault="0053779D">
          <w:pPr>
            <w:pStyle w:val="TOC1"/>
            <w:rPr>
              <w:rFonts w:asciiTheme="minorHAnsi" w:eastAsiaTheme="minorEastAsia" w:hAnsiTheme="minorHAnsi" w:cstheme="minorBidi"/>
              <w:sz w:val="22"/>
            </w:rPr>
          </w:pPr>
          <w:hyperlink w:anchor="_Toc526182122" w:history="1">
            <w:r w:rsidR="00CA0F7E" w:rsidRPr="00615503">
              <w:rPr>
                <w:rStyle w:val="Hyperlink"/>
              </w:rPr>
              <w:t>Chapter 3: U.S. Access Board</w:t>
            </w:r>
            <w:r w:rsidR="00CA0F7E">
              <w:rPr>
                <w:webHidden/>
              </w:rPr>
              <w:tab/>
            </w:r>
            <w:r w:rsidR="00CA0F7E">
              <w:rPr>
                <w:webHidden/>
              </w:rPr>
              <w:fldChar w:fldCharType="begin"/>
            </w:r>
            <w:r w:rsidR="00CA0F7E">
              <w:rPr>
                <w:webHidden/>
              </w:rPr>
              <w:instrText xml:space="preserve"> PAGEREF _Toc526182122 \h </w:instrText>
            </w:r>
            <w:r w:rsidR="00CA0F7E">
              <w:rPr>
                <w:webHidden/>
              </w:rPr>
            </w:r>
            <w:r w:rsidR="00CA0F7E">
              <w:rPr>
                <w:webHidden/>
              </w:rPr>
              <w:fldChar w:fldCharType="separate"/>
            </w:r>
            <w:r w:rsidR="00D7526D">
              <w:rPr>
                <w:webHidden/>
              </w:rPr>
              <w:t>93</w:t>
            </w:r>
            <w:r w:rsidR="00CA0F7E">
              <w:rPr>
                <w:webHidden/>
              </w:rPr>
              <w:fldChar w:fldCharType="end"/>
            </w:r>
          </w:hyperlink>
        </w:p>
        <w:p w14:paraId="0A2CF298"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23" w:history="1">
            <w:r w:rsidR="00CA0F7E" w:rsidRPr="00615503">
              <w:rPr>
                <w:rStyle w:val="Hyperlink"/>
                <w:noProof/>
              </w:rPr>
              <w:t>Overview of the Access Board</w:t>
            </w:r>
            <w:r w:rsidR="00CA0F7E">
              <w:rPr>
                <w:noProof/>
                <w:webHidden/>
              </w:rPr>
              <w:tab/>
            </w:r>
            <w:r w:rsidR="00CA0F7E">
              <w:rPr>
                <w:noProof/>
                <w:webHidden/>
              </w:rPr>
              <w:fldChar w:fldCharType="begin"/>
            </w:r>
            <w:r w:rsidR="00CA0F7E">
              <w:rPr>
                <w:noProof/>
                <w:webHidden/>
              </w:rPr>
              <w:instrText xml:space="preserve"> PAGEREF _Toc526182123 \h </w:instrText>
            </w:r>
            <w:r w:rsidR="00CA0F7E">
              <w:rPr>
                <w:noProof/>
                <w:webHidden/>
              </w:rPr>
            </w:r>
            <w:r w:rsidR="00CA0F7E">
              <w:rPr>
                <w:noProof/>
                <w:webHidden/>
              </w:rPr>
              <w:fldChar w:fldCharType="separate"/>
            </w:r>
            <w:r w:rsidR="00D7526D">
              <w:rPr>
                <w:noProof/>
                <w:webHidden/>
              </w:rPr>
              <w:t>94</w:t>
            </w:r>
            <w:r w:rsidR="00CA0F7E">
              <w:rPr>
                <w:noProof/>
                <w:webHidden/>
              </w:rPr>
              <w:fldChar w:fldCharType="end"/>
            </w:r>
          </w:hyperlink>
        </w:p>
        <w:p w14:paraId="79636969"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24" w:history="1">
            <w:r w:rsidR="00CA0F7E" w:rsidRPr="00615503">
              <w:rPr>
                <w:rStyle w:val="Hyperlink"/>
                <w:noProof/>
              </w:rPr>
              <w:t>Regulatory, Policy, and Sub-Regulatory Guidance</w:t>
            </w:r>
            <w:r w:rsidR="00CA0F7E">
              <w:rPr>
                <w:noProof/>
                <w:webHidden/>
              </w:rPr>
              <w:tab/>
            </w:r>
            <w:r w:rsidR="00CA0F7E">
              <w:rPr>
                <w:noProof/>
                <w:webHidden/>
              </w:rPr>
              <w:fldChar w:fldCharType="begin"/>
            </w:r>
            <w:r w:rsidR="00CA0F7E">
              <w:rPr>
                <w:noProof/>
                <w:webHidden/>
              </w:rPr>
              <w:instrText xml:space="preserve"> PAGEREF _Toc526182124 \h </w:instrText>
            </w:r>
            <w:r w:rsidR="00CA0F7E">
              <w:rPr>
                <w:noProof/>
                <w:webHidden/>
              </w:rPr>
            </w:r>
            <w:r w:rsidR="00CA0F7E">
              <w:rPr>
                <w:noProof/>
                <w:webHidden/>
              </w:rPr>
              <w:fldChar w:fldCharType="separate"/>
            </w:r>
            <w:r w:rsidR="00D7526D">
              <w:rPr>
                <w:noProof/>
                <w:webHidden/>
              </w:rPr>
              <w:t>94</w:t>
            </w:r>
            <w:r w:rsidR="00CA0F7E">
              <w:rPr>
                <w:noProof/>
                <w:webHidden/>
              </w:rPr>
              <w:fldChar w:fldCharType="end"/>
            </w:r>
          </w:hyperlink>
        </w:p>
        <w:p w14:paraId="75CFEA2F"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25" w:history="1">
            <w:r w:rsidR="00CA0F7E" w:rsidRPr="00615503">
              <w:rPr>
                <w:rStyle w:val="Hyperlink"/>
                <w:noProof/>
              </w:rPr>
              <w:t>Proactive and Reactive Strategies</w:t>
            </w:r>
            <w:r w:rsidR="00CA0F7E">
              <w:rPr>
                <w:noProof/>
                <w:webHidden/>
              </w:rPr>
              <w:tab/>
            </w:r>
            <w:r w:rsidR="00CA0F7E">
              <w:rPr>
                <w:noProof/>
                <w:webHidden/>
              </w:rPr>
              <w:fldChar w:fldCharType="begin"/>
            </w:r>
            <w:r w:rsidR="00CA0F7E">
              <w:rPr>
                <w:noProof/>
                <w:webHidden/>
              </w:rPr>
              <w:instrText xml:space="preserve"> PAGEREF _Toc526182125 \h </w:instrText>
            </w:r>
            <w:r w:rsidR="00CA0F7E">
              <w:rPr>
                <w:noProof/>
                <w:webHidden/>
              </w:rPr>
            </w:r>
            <w:r w:rsidR="00CA0F7E">
              <w:rPr>
                <w:noProof/>
                <w:webHidden/>
              </w:rPr>
              <w:fldChar w:fldCharType="separate"/>
            </w:r>
            <w:r w:rsidR="00D7526D">
              <w:rPr>
                <w:noProof/>
                <w:webHidden/>
              </w:rPr>
              <w:t>98</w:t>
            </w:r>
            <w:r w:rsidR="00CA0F7E">
              <w:rPr>
                <w:noProof/>
                <w:webHidden/>
              </w:rPr>
              <w:fldChar w:fldCharType="end"/>
            </w:r>
          </w:hyperlink>
        </w:p>
        <w:p w14:paraId="445815D2"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26" w:history="1">
            <w:r w:rsidR="00CA0F7E" w:rsidRPr="00615503">
              <w:rPr>
                <w:rStyle w:val="Hyperlink"/>
                <w:noProof/>
              </w:rPr>
              <w:t>Competent and Credible Investigative Process and Enforcement Action</w:t>
            </w:r>
            <w:r w:rsidR="00CA0F7E">
              <w:rPr>
                <w:noProof/>
                <w:webHidden/>
              </w:rPr>
              <w:tab/>
            </w:r>
            <w:r w:rsidR="00CA0F7E">
              <w:rPr>
                <w:noProof/>
                <w:webHidden/>
              </w:rPr>
              <w:fldChar w:fldCharType="begin"/>
            </w:r>
            <w:r w:rsidR="00CA0F7E">
              <w:rPr>
                <w:noProof/>
                <w:webHidden/>
              </w:rPr>
              <w:instrText xml:space="preserve"> PAGEREF _Toc526182126 \h </w:instrText>
            </w:r>
            <w:r w:rsidR="00CA0F7E">
              <w:rPr>
                <w:noProof/>
                <w:webHidden/>
              </w:rPr>
            </w:r>
            <w:r w:rsidR="00CA0F7E">
              <w:rPr>
                <w:noProof/>
                <w:webHidden/>
              </w:rPr>
              <w:fldChar w:fldCharType="separate"/>
            </w:r>
            <w:r w:rsidR="00D7526D">
              <w:rPr>
                <w:noProof/>
                <w:webHidden/>
              </w:rPr>
              <w:t>99</w:t>
            </w:r>
            <w:r w:rsidR="00CA0F7E">
              <w:rPr>
                <w:noProof/>
                <w:webHidden/>
              </w:rPr>
              <w:fldChar w:fldCharType="end"/>
            </w:r>
          </w:hyperlink>
        </w:p>
        <w:p w14:paraId="0249DFCD"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27" w:history="1">
            <w:r w:rsidR="00CA0F7E" w:rsidRPr="00615503">
              <w:rPr>
                <w:rStyle w:val="Hyperlink"/>
                <w:noProof/>
              </w:rPr>
              <w:t>Timely Resolution of Complaints</w:t>
            </w:r>
            <w:r w:rsidR="00CA0F7E">
              <w:rPr>
                <w:noProof/>
                <w:webHidden/>
              </w:rPr>
              <w:tab/>
            </w:r>
            <w:r w:rsidR="00CA0F7E">
              <w:rPr>
                <w:noProof/>
                <w:webHidden/>
              </w:rPr>
              <w:fldChar w:fldCharType="begin"/>
            </w:r>
            <w:r w:rsidR="00CA0F7E">
              <w:rPr>
                <w:noProof/>
                <w:webHidden/>
              </w:rPr>
              <w:instrText xml:space="preserve"> PAGEREF _Toc526182127 \h </w:instrText>
            </w:r>
            <w:r w:rsidR="00CA0F7E">
              <w:rPr>
                <w:noProof/>
                <w:webHidden/>
              </w:rPr>
            </w:r>
            <w:r w:rsidR="00CA0F7E">
              <w:rPr>
                <w:noProof/>
                <w:webHidden/>
              </w:rPr>
              <w:fldChar w:fldCharType="separate"/>
            </w:r>
            <w:r w:rsidR="00D7526D">
              <w:rPr>
                <w:noProof/>
                <w:webHidden/>
              </w:rPr>
              <w:t>101</w:t>
            </w:r>
            <w:r w:rsidR="00CA0F7E">
              <w:rPr>
                <w:noProof/>
                <w:webHidden/>
              </w:rPr>
              <w:fldChar w:fldCharType="end"/>
            </w:r>
          </w:hyperlink>
        </w:p>
        <w:p w14:paraId="671B6C06"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28" w:history="1">
            <w:r w:rsidR="00CA0F7E" w:rsidRPr="00615503">
              <w:rPr>
                <w:rStyle w:val="Hyperlink"/>
                <w:noProof/>
              </w:rPr>
              <w:t>Communications with Complainants and the Community</w:t>
            </w:r>
            <w:r w:rsidR="00CA0F7E">
              <w:rPr>
                <w:noProof/>
                <w:webHidden/>
              </w:rPr>
              <w:tab/>
            </w:r>
            <w:r w:rsidR="00CA0F7E">
              <w:rPr>
                <w:noProof/>
                <w:webHidden/>
              </w:rPr>
              <w:fldChar w:fldCharType="begin"/>
            </w:r>
            <w:r w:rsidR="00CA0F7E">
              <w:rPr>
                <w:noProof/>
                <w:webHidden/>
              </w:rPr>
              <w:instrText xml:space="preserve"> PAGEREF _Toc526182128 \h </w:instrText>
            </w:r>
            <w:r w:rsidR="00CA0F7E">
              <w:rPr>
                <w:noProof/>
                <w:webHidden/>
              </w:rPr>
            </w:r>
            <w:r w:rsidR="00CA0F7E">
              <w:rPr>
                <w:noProof/>
                <w:webHidden/>
              </w:rPr>
              <w:fldChar w:fldCharType="separate"/>
            </w:r>
            <w:r w:rsidR="00D7526D">
              <w:rPr>
                <w:noProof/>
                <w:webHidden/>
              </w:rPr>
              <w:t>102</w:t>
            </w:r>
            <w:r w:rsidR="00CA0F7E">
              <w:rPr>
                <w:noProof/>
                <w:webHidden/>
              </w:rPr>
              <w:fldChar w:fldCharType="end"/>
            </w:r>
          </w:hyperlink>
        </w:p>
        <w:p w14:paraId="220C16FF"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29" w:history="1">
            <w:r w:rsidR="00CA0F7E" w:rsidRPr="00615503">
              <w:rPr>
                <w:rStyle w:val="Hyperlink"/>
                <w:noProof/>
              </w:rPr>
              <w:t>Interagency Collaboration and Coordination</w:t>
            </w:r>
            <w:r w:rsidR="00CA0F7E">
              <w:rPr>
                <w:noProof/>
                <w:webHidden/>
              </w:rPr>
              <w:tab/>
            </w:r>
            <w:r w:rsidR="00CA0F7E">
              <w:rPr>
                <w:noProof/>
                <w:webHidden/>
              </w:rPr>
              <w:fldChar w:fldCharType="begin"/>
            </w:r>
            <w:r w:rsidR="00CA0F7E">
              <w:rPr>
                <w:noProof/>
                <w:webHidden/>
              </w:rPr>
              <w:instrText xml:space="preserve"> PAGEREF _Toc526182129 \h </w:instrText>
            </w:r>
            <w:r w:rsidR="00CA0F7E">
              <w:rPr>
                <w:noProof/>
                <w:webHidden/>
              </w:rPr>
            </w:r>
            <w:r w:rsidR="00CA0F7E">
              <w:rPr>
                <w:noProof/>
                <w:webHidden/>
              </w:rPr>
              <w:fldChar w:fldCharType="separate"/>
            </w:r>
            <w:r w:rsidR="00D7526D">
              <w:rPr>
                <w:noProof/>
                <w:webHidden/>
              </w:rPr>
              <w:t>102</w:t>
            </w:r>
            <w:r w:rsidR="00CA0F7E">
              <w:rPr>
                <w:noProof/>
                <w:webHidden/>
              </w:rPr>
              <w:fldChar w:fldCharType="end"/>
            </w:r>
          </w:hyperlink>
        </w:p>
        <w:p w14:paraId="44DB05EF"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30" w:history="1">
            <w:r w:rsidR="00CA0F7E" w:rsidRPr="00615503">
              <w:rPr>
                <w:rStyle w:val="Hyperlink"/>
                <w:noProof/>
              </w:rPr>
              <w:t>Training and Technical Assistance</w:t>
            </w:r>
            <w:r w:rsidR="00CA0F7E">
              <w:rPr>
                <w:noProof/>
                <w:webHidden/>
              </w:rPr>
              <w:tab/>
            </w:r>
            <w:r w:rsidR="00CA0F7E">
              <w:rPr>
                <w:noProof/>
                <w:webHidden/>
              </w:rPr>
              <w:fldChar w:fldCharType="begin"/>
            </w:r>
            <w:r w:rsidR="00CA0F7E">
              <w:rPr>
                <w:noProof/>
                <w:webHidden/>
              </w:rPr>
              <w:instrText xml:space="preserve"> PAGEREF _Toc526182130 \h </w:instrText>
            </w:r>
            <w:r w:rsidR="00CA0F7E">
              <w:rPr>
                <w:noProof/>
                <w:webHidden/>
              </w:rPr>
            </w:r>
            <w:r w:rsidR="00CA0F7E">
              <w:rPr>
                <w:noProof/>
                <w:webHidden/>
              </w:rPr>
              <w:fldChar w:fldCharType="separate"/>
            </w:r>
            <w:r w:rsidR="00D7526D">
              <w:rPr>
                <w:noProof/>
                <w:webHidden/>
              </w:rPr>
              <w:t>103</w:t>
            </w:r>
            <w:r w:rsidR="00CA0F7E">
              <w:rPr>
                <w:noProof/>
                <w:webHidden/>
              </w:rPr>
              <w:fldChar w:fldCharType="end"/>
            </w:r>
          </w:hyperlink>
        </w:p>
        <w:p w14:paraId="217F7EBD"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31" w:history="1">
            <w:r w:rsidR="00CA0F7E" w:rsidRPr="00615503">
              <w:rPr>
                <w:rStyle w:val="Hyperlink"/>
                <w:rFonts w:eastAsiaTheme="minorHAnsi"/>
                <w:noProof/>
              </w:rPr>
              <w:t>Adequacy</w:t>
            </w:r>
            <w:r w:rsidR="00CA0F7E" w:rsidRPr="00615503">
              <w:rPr>
                <w:rStyle w:val="Hyperlink"/>
                <w:noProof/>
              </w:rPr>
              <w:t xml:space="preserve"> of Agency Resources</w:t>
            </w:r>
            <w:r w:rsidR="00CA0F7E">
              <w:rPr>
                <w:noProof/>
                <w:webHidden/>
              </w:rPr>
              <w:tab/>
            </w:r>
            <w:r w:rsidR="00CA0F7E">
              <w:rPr>
                <w:noProof/>
                <w:webHidden/>
              </w:rPr>
              <w:fldChar w:fldCharType="begin"/>
            </w:r>
            <w:r w:rsidR="00CA0F7E">
              <w:rPr>
                <w:noProof/>
                <w:webHidden/>
              </w:rPr>
              <w:instrText xml:space="preserve"> PAGEREF _Toc526182131 \h </w:instrText>
            </w:r>
            <w:r w:rsidR="00CA0F7E">
              <w:rPr>
                <w:noProof/>
                <w:webHidden/>
              </w:rPr>
            </w:r>
            <w:r w:rsidR="00CA0F7E">
              <w:rPr>
                <w:noProof/>
                <w:webHidden/>
              </w:rPr>
              <w:fldChar w:fldCharType="separate"/>
            </w:r>
            <w:r w:rsidR="00D7526D">
              <w:rPr>
                <w:noProof/>
                <w:webHidden/>
              </w:rPr>
              <w:t>104</w:t>
            </w:r>
            <w:r w:rsidR="00CA0F7E">
              <w:rPr>
                <w:noProof/>
                <w:webHidden/>
              </w:rPr>
              <w:fldChar w:fldCharType="end"/>
            </w:r>
          </w:hyperlink>
        </w:p>
        <w:p w14:paraId="332DD521" w14:textId="77777777" w:rsidR="00CA0F7E" w:rsidRDefault="0053779D">
          <w:pPr>
            <w:pStyle w:val="TOC1"/>
            <w:rPr>
              <w:rFonts w:asciiTheme="minorHAnsi" w:eastAsiaTheme="minorEastAsia" w:hAnsiTheme="minorHAnsi" w:cstheme="minorBidi"/>
              <w:sz w:val="22"/>
            </w:rPr>
          </w:pPr>
          <w:hyperlink w:anchor="_Toc526182132" w:history="1">
            <w:r w:rsidR="00CA0F7E" w:rsidRPr="00615503">
              <w:rPr>
                <w:rStyle w:val="Hyperlink"/>
              </w:rPr>
              <w:t>Conclusion: Has the Promise Been Kept?</w:t>
            </w:r>
            <w:r w:rsidR="00CA0F7E">
              <w:rPr>
                <w:webHidden/>
              </w:rPr>
              <w:tab/>
            </w:r>
            <w:r w:rsidR="00CA0F7E">
              <w:rPr>
                <w:webHidden/>
              </w:rPr>
              <w:fldChar w:fldCharType="begin"/>
            </w:r>
            <w:r w:rsidR="00CA0F7E">
              <w:rPr>
                <w:webHidden/>
              </w:rPr>
              <w:instrText xml:space="preserve"> PAGEREF _Toc526182132 \h </w:instrText>
            </w:r>
            <w:r w:rsidR="00CA0F7E">
              <w:rPr>
                <w:webHidden/>
              </w:rPr>
            </w:r>
            <w:r w:rsidR="00CA0F7E">
              <w:rPr>
                <w:webHidden/>
              </w:rPr>
              <w:fldChar w:fldCharType="separate"/>
            </w:r>
            <w:r w:rsidR="00D7526D">
              <w:rPr>
                <w:webHidden/>
              </w:rPr>
              <w:t>105</w:t>
            </w:r>
            <w:r w:rsidR="00CA0F7E">
              <w:rPr>
                <w:webHidden/>
              </w:rPr>
              <w:fldChar w:fldCharType="end"/>
            </w:r>
          </w:hyperlink>
        </w:p>
        <w:p w14:paraId="00561CDF" w14:textId="77777777" w:rsidR="00CA0F7E" w:rsidRDefault="0053779D">
          <w:pPr>
            <w:pStyle w:val="TOC1"/>
            <w:rPr>
              <w:rFonts w:asciiTheme="minorHAnsi" w:eastAsiaTheme="minorEastAsia" w:hAnsiTheme="minorHAnsi" w:cstheme="minorBidi"/>
              <w:sz w:val="22"/>
            </w:rPr>
          </w:pPr>
          <w:hyperlink w:anchor="_Toc526182133" w:history="1">
            <w:r w:rsidR="00CA0F7E" w:rsidRPr="00615503">
              <w:rPr>
                <w:rStyle w:val="Hyperlink"/>
              </w:rPr>
              <w:t>Appendix A: Agency Budget and Staffing Charts</w:t>
            </w:r>
            <w:r w:rsidR="00CA0F7E">
              <w:rPr>
                <w:webHidden/>
              </w:rPr>
              <w:tab/>
            </w:r>
            <w:r w:rsidR="00CA0F7E">
              <w:rPr>
                <w:webHidden/>
              </w:rPr>
              <w:fldChar w:fldCharType="begin"/>
            </w:r>
            <w:r w:rsidR="00CA0F7E">
              <w:rPr>
                <w:webHidden/>
              </w:rPr>
              <w:instrText xml:space="preserve"> PAGEREF _Toc526182133 \h </w:instrText>
            </w:r>
            <w:r w:rsidR="00CA0F7E">
              <w:rPr>
                <w:webHidden/>
              </w:rPr>
            </w:r>
            <w:r w:rsidR="00CA0F7E">
              <w:rPr>
                <w:webHidden/>
              </w:rPr>
              <w:fldChar w:fldCharType="separate"/>
            </w:r>
            <w:r w:rsidR="00D7526D">
              <w:rPr>
                <w:webHidden/>
              </w:rPr>
              <w:t>109</w:t>
            </w:r>
            <w:r w:rsidR="00CA0F7E">
              <w:rPr>
                <w:webHidden/>
              </w:rPr>
              <w:fldChar w:fldCharType="end"/>
            </w:r>
          </w:hyperlink>
        </w:p>
        <w:p w14:paraId="029E4E3D" w14:textId="71AF79DA" w:rsidR="00CA0F7E" w:rsidRDefault="0053779D">
          <w:pPr>
            <w:pStyle w:val="TOC1"/>
            <w:rPr>
              <w:rFonts w:asciiTheme="minorHAnsi" w:eastAsiaTheme="minorEastAsia" w:hAnsiTheme="minorHAnsi" w:cstheme="minorBidi"/>
              <w:sz w:val="22"/>
            </w:rPr>
          </w:pPr>
          <w:hyperlink w:anchor="_Toc526182134" w:history="1">
            <w:r w:rsidR="00CA0F7E" w:rsidRPr="00615503">
              <w:rPr>
                <w:rStyle w:val="Hyperlink"/>
              </w:rPr>
              <w:t>Appendix B: Federal Disability Civil Rights Laws Considered</w:t>
            </w:r>
            <w:r w:rsidR="00CA0F7E">
              <w:rPr>
                <w:webHidden/>
              </w:rPr>
              <w:tab/>
            </w:r>
            <w:r w:rsidR="00CA0F7E">
              <w:rPr>
                <w:webHidden/>
              </w:rPr>
              <w:fldChar w:fldCharType="begin"/>
            </w:r>
            <w:r w:rsidR="00CA0F7E">
              <w:rPr>
                <w:webHidden/>
              </w:rPr>
              <w:instrText xml:space="preserve"> PAGEREF _Toc526182134 \h </w:instrText>
            </w:r>
            <w:r w:rsidR="00CA0F7E">
              <w:rPr>
                <w:webHidden/>
              </w:rPr>
            </w:r>
            <w:r w:rsidR="00CA0F7E">
              <w:rPr>
                <w:webHidden/>
              </w:rPr>
              <w:fldChar w:fldCharType="separate"/>
            </w:r>
            <w:r w:rsidR="00D7526D">
              <w:rPr>
                <w:webHidden/>
              </w:rPr>
              <w:t>115</w:t>
            </w:r>
            <w:r w:rsidR="00CA0F7E">
              <w:rPr>
                <w:webHidden/>
              </w:rPr>
              <w:fldChar w:fldCharType="end"/>
            </w:r>
          </w:hyperlink>
        </w:p>
        <w:p w14:paraId="0E2C289F"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135" w:history="1">
            <w:r w:rsidR="00CA0F7E" w:rsidRPr="00615503">
              <w:rPr>
                <w:rStyle w:val="Hyperlink"/>
                <w:noProof/>
              </w:rPr>
              <w:t>The Architectural Barriers Act of 1968</w:t>
            </w:r>
            <w:r w:rsidR="00CA0F7E">
              <w:rPr>
                <w:noProof/>
                <w:webHidden/>
              </w:rPr>
              <w:tab/>
            </w:r>
            <w:r w:rsidR="00CA0F7E">
              <w:rPr>
                <w:noProof/>
                <w:webHidden/>
              </w:rPr>
              <w:fldChar w:fldCharType="begin"/>
            </w:r>
            <w:r w:rsidR="00CA0F7E">
              <w:rPr>
                <w:noProof/>
                <w:webHidden/>
              </w:rPr>
              <w:instrText xml:space="preserve"> PAGEREF _Toc526182135 \h </w:instrText>
            </w:r>
            <w:r w:rsidR="00CA0F7E">
              <w:rPr>
                <w:noProof/>
                <w:webHidden/>
              </w:rPr>
            </w:r>
            <w:r w:rsidR="00CA0F7E">
              <w:rPr>
                <w:noProof/>
                <w:webHidden/>
              </w:rPr>
              <w:fldChar w:fldCharType="separate"/>
            </w:r>
            <w:r w:rsidR="00D7526D">
              <w:rPr>
                <w:noProof/>
                <w:webHidden/>
              </w:rPr>
              <w:t>115</w:t>
            </w:r>
            <w:r w:rsidR="00CA0F7E">
              <w:rPr>
                <w:noProof/>
                <w:webHidden/>
              </w:rPr>
              <w:fldChar w:fldCharType="end"/>
            </w:r>
          </w:hyperlink>
        </w:p>
        <w:p w14:paraId="4F1F0EED"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136" w:history="1">
            <w:r w:rsidR="00CA0F7E" w:rsidRPr="00615503">
              <w:rPr>
                <w:rStyle w:val="Hyperlink"/>
                <w:noProof/>
              </w:rPr>
              <w:t>The Rehabilitation Act of 1973</w:t>
            </w:r>
            <w:r w:rsidR="00CA0F7E">
              <w:rPr>
                <w:noProof/>
                <w:webHidden/>
              </w:rPr>
              <w:tab/>
            </w:r>
            <w:r w:rsidR="00CA0F7E">
              <w:rPr>
                <w:noProof/>
                <w:webHidden/>
              </w:rPr>
              <w:fldChar w:fldCharType="begin"/>
            </w:r>
            <w:r w:rsidR="00CA0F7E">
              <w:rPr>
                <w:noProof/>
                <w:webHidden/>
              </w:rPr>
              <w:instrText xml:space="preserve"> PAGEREF _Toc526182136 \h </w:instrText>
            </w:r>
            <w:r w:rsidR="00CA0F7E">
              <w:rPr>
                <w:noProof/>
                <w:webHidden/>
              </w:rPr>
            </w:r>
            <w:r w:rsidR="00CA0F7E">
              <w:rPr>
                <w:noProof/>
                <w:webHidden/>
              </w:rPr>
              <w:fldChar w:fldCharType="separate"/>
            </w:r>
            <w:r w:rsidR="00D7526D">
              <w:rPr>
                <w:noProof/>
                <w:webHidden/>
              </w:rPr>
              <w:t>115</w:t>
            </w:r>
            <w:r w:rsidR="00CA0F7E">
              <w:rPr>
                <w:noProof/>
                <w:webHidden/>
              </w:rPr>
              <w:fldChar w:fldCharType="end"/>
            </w:r>
          </w:hyperlink>
        </w:p>
        <w:p w14:paraId="758C765E"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137" w:history="1">
            <w:r w:rsidR="00CA0F7E" w:rsidRPr="00615503">
              <w:rPr>
                <w:rStyle w:val="Hyperlink"/>
                <w:noProof/>
              </w:rPr>
              <w:t>Americans with Disabilities Act</w:t>
            </w:r>
            <w:r w:rsidR="00CA0F7E">
              <w:rPr>
                <w:noProof/>
                <w:webHidden/>
              </w:rPr>
              <w:tab/>
            </w:r>
            <w:r w:rsidR="00CA0F7E">
              <w:rPr>
                <w:noProof/>
                <w:webHidden/>
              </w:rPr>
              <w:fldChar w:fldCharType="begin"/>
            </w:r>
            <w:r w:rsidR="00CA0F7E">
              <w:rPr>
                <w:noProof/>
                <w:webHidden/>
              </w:rPr>
              <w:instrText xml:space="preserve"> PAGEREF _Toc526182137 \h </w:instrText>
            </w:r>
            <w:r w:rsidR="00CA0F7E">
              <w:rPr>
                <w:noProof/>
                <w:webHidden/>
              </w:rPr>
            </w:r>
            <w:r w:rsidR="00CA0F7E">
              <w:rPr>
                <w:noProof/>
                <w:webHidden/>
              </w:rPr>
              <w:fldChar w:fldCharType="separate"/>
            </w:r>
            <w:r w:rsidR="00D7526D">
              <w:rPr>
                <w:noProof/>
                <w:webHidden/>
              </w:rPr>
              <w:t>116</w:t>
            </w:r>
            <w:r w:rsidR="00CA0F7E">
              <w:rPr>
                <w:noProof/>
                <w:webHidden/>
              </w:rPr>
              <w:fldChar w:fldCharType="end"/>
            </w:r>
          </w:hyperlink>
        </w:p>
        <w:p w14:paraId="28A5FBB2"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138" w:history="1">
            <w:r w:rsidR="00CA0F7E" w:rsidRPr="00615503">
              <w:rPr>
                <w:rStyle w:val="Hyperlink"/>
                <w:noProof/>
              </w:rPr>
              <w:t>Fair Labor Standards Act</w:t>
            </w:r>
            <w:r w:rsidR="00CA0F7E">
              <w:rPr>
                <w:noProof/>
                <w:webHidden/>
              </w:rPr>
              <w:tab/>
            </w:r>
            <w:r w:rsidR="00CA0F7E">
              <w:rPr>
                <w:noProof/>
                <w:webHidden/>
              </w:rPr>
              <w:fldChar w:fldCharType="begin"/>
            </w:r>
            <w:r w:rsidR="00CA0F7E">
              <w:rPr>
                <w:noProof/>
                <w:webHidden/>
              </w:rPr>
              <w:instrText xml:space="preserve"> PAGEREF _Toc526182138 \h </w:instrText>
            </w:r>
            <w:r w:rsidR="00CA0F7E">
              <w:rPr>
                <w:noProof/>
                <w:webHidden/>
              </w:rPr>
            </w:r>
            <w:r w:rsidR="00CA0F7E">
              <w:rPr>
                <w:noProof/>
                <w:webHidden/>
              </w:rPr>
              <w:fldChar w:fldCharType="separate"/>
            </w:r>
            <w:r w:rsidR="00D7526D">
              <w:rPr>
                <w:noProof/>
                <w:webHidden/>
              </w:rPr>
              <w:t>117</w:t>
            </w:r>
            <w:r w:rsidR="00CA0F7E">
              <w:rPr>
                <w:noProof/>
                <w:webHidden/>
              </w:rPr>
              <w:fldChar w:fldCharType="end"/>
            </w:r>
          </w:hyperlink>
        </w:p>
        <w:p w14:paraId="02B5A5C6"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139" w:history="1">
            <w:r w:rsidR="00CA0F7E" w:rsidRPr="00615503">
              <w:rPr>
                <w:rStyle w:val="Hyperlink"/>
                <w:noProof/>
              </w:rPr>
              <w:t>Family and Medical Leave Act</w:t>
            </w:r>
            <w:r w:rsidR="00CA0F7E">
              <w:rPr>
                <w:noProof/>
                <w:webHidden/>
              </w:rPr>
              <w:tab/>
            </w:r>
            <w:r w:rsidR="00CA0F7E">
              <w:rPr>
                <w:noProof/>
                <w:webHidden/>
              </w:rPr>
              <w:fldChar w:fldCharType="begin"/>
            </w:r>
            <w:r w:rsidR="00CA0F7E">
              <w:rPr>
                <w:noProof/>
                <w:webHidden/>
              </w:rPr>
              <w:instrText xml:space="preserve"> PAGEREF _Toc526182139 \h </w:instrText>
            </w:r>
            <w:r w:rsidR="00CA0F7E">
              <w:rPr>
                <w:noProof/>
                <w:webHidden/>
              </w:rPr>
            </w:r>
            <w:r w:rsidR="00CA0F7E">
              <w:rPr>
                <w:noProof/>
                <w:webHidden/>
              </w:rPr>
              <w:fldChar w:fldCharType="separate"/>
            </w:r>
            <w:r w:rsidR="00D7526D">
              <w:rPr>
                <w:noProof/>
                <w:webHidden/>
              </w:rPr>
              <w:t>118</w:t>
            </w:r>
            <w:r w:rsidR="00CA0F7E">
              <w:rPr>
                <w:noProof/>
                <w:webHidden/>
              </w:rPr>
              <w:fldChar w:fldCharType="end"/>
            </w:r>
          </w:hyperlink>
        </w:p>
        <w:p w14:paraId="0DA542B2"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140" w:history="1">
            <w:r w:rsidR="00CA0F7E" w:rsidRPr="00615503">
              <w:rPr>
                <w:rStyle w:val="Hyperlink"/>
                <w:noProof/>
              </w:rPr>
              <w:t>Genetic Information Nondiscrimination Act</w:t>
            </w:r>
            <w:r w:rsidR="00CA0F7E">
              <w:rPr>
                <w:noProof/>
                <w:webHidden/>
              </w:rPr>
              <w:tab/>
            </w:r>
            <w:r w:rsidR="00CA0F7E">
              <w:rPr>
                <w:noProof/>
                <w:webHidden/>
              </w:rPr>
              <w:fldChar w:fldCharType="begin"/>
            </w:r>
            <w:r w:rsidR="00CA0F7E">
              <w:rPr>
                <w:noProof/>
                <w:webHidden/>
              </w:rPr>
              <w:instrText xml:space="preserve"> PAGEREF _Toc526182140 \h </w:instrText>
            </w:r>
            <w:r w:rsidR="00CA0F7E">
              <w:rPr>
                <w:noProof/>
                <w:webHidden/>
              </w:rPr>
            </w:r>
            <w:r w:rsidR="00CA0F7E">
              <w:rPr>
                <w:noProof/>
                <w:webHidden/>
              </w:rPr>
              <w:fldChar w:fldCharType="separate"/>
            </w:r>
            <w:r w:rsidR="00D7526D">
              <w:rPr>
                <w:noProof/>
                <w:webHidden/>
              </w:rPr>
              <w:t>118</w:t>
            </w:r>
            <w:r w:rsidR="00CA0F7E">
              <w:rPr>
                <w:noProof/>
                <w:webHidden/>
              </w:rPr>
              <w:fldChar w:fldCharType="end"/>
            </w:r>
          </w:hyperlink>
        </w:p>
        <w:p w14:paraId="17FC6F20" w14:textId="77777777" w:rsidR="00CA0F7E" w:rsidRDefault="0053779D">
          <w:pPr>
            <w:pStyle w:val="TOC2"/>
            <w:tabs>
              <w:tab w:val="right" w:leader="dot" w:pos="9350"/>
            </w:tabs>
            <w:rPr>
              <w:rFonts w:asciiTheme="minorHAnsi" w:eastAsiaTheme="minorEastAsia" w:hAnsiTheme="minorHAnsi" w:cstheme="minorBidi"/>
              <w:noProof/>
              <w:sz w:val="22"/>
            </w:rPr>
          </w:pPr>
          <w:hyperlink w:anchor="_Toc526182141" w:history="1">
            <w:r w:rsidR="00CA0F7E" w:rsidRPr="00615503">
              <w:rPr>
                <w:rStyle w:val="Hyperlink"/>
                <w:noProof/>
              </w:rPr>
              <w:t>Workforce Innovation and Opportunities Act</w:t>
            </w:r>
            <w:r w:rsidR="00CA0F7E">
              <w:rPr>
                <w:noProof/>
                <w:webHidden/>
              </w:rPr>
              <w:tab/>
            </w:r>
            <w:r w:rsidR="00CA0F7E">
              <w:rPr>
                <w:noProof/>
                <w:webHidden/>
              </w:rPr>
              <w:fldChar w:fldCharType="begin"/>
            </w:r>
            <w:r w:rsidR="00CA0F7E">
              <w:rPr>
                <w:noProof/>
                <w:webHidden/>
              </w:rPr>
              <w:instrText xml:space="preserve"> PAGEREF _Toc526182141 \h </w:instrText>
            </w:r>
            <w:r w:rsidR="00CA0F7E">
              <w:rPr>
                <w:noProof/>
                <w:webHidden/>
              </w:rPr>
            </w:r>
            <w:r w:rsidR="00CA0F7E">
              <w:rPr>
                <w:noProof/>
                <w:webHidden/>
              </w:rPr>
              <w:fldChar w:fldCharType="separate"/>
            </w:r>
            <w:r w:rsidR="00D7526D">
              <w:rPr>
                <w:noProof/>
                <w:webHidden/>
              </w:rPr>
              <w:t>119</w:t>
            </w:r>
            <w:r w:rsidR="00CA0F7E">
              <w:rPr>
                <w:noProof/>
                <w:webHidden/>
              </w:rPr>
              <w:fldChar w:fldCharType="end"/>
            </w:r>
          </w:hyperlink>
        </w:p>
        <w:p w14:paraId="4A3FDB8B" w14:textId="77777777" w:rsidR="00CA0F7E" w:rsidRDefault="0053779D">
          <w:pPr>
            <w:pStyle w:val="TOC1"/>
            <w:rPr>
              <w:rFonts w:asciiTheme="minorHAnsi" w:eastAsiaTheme="minorEastAsia" w:hAnsiTheme="minorHAnsi" w:cstheme="minorBidi"/>
              <w:sz w:val="22"/>
            </w:rPr>
          </w:pPr>
          <w:hyperlink w:anchor="_Toc526182142" w:history="1">
            <w:r w:rsidR="00CA0F7E" w:rsidRPr="00615503">
              <w:rPr>
                <w:rStyle w:val="Hyperlink"/>
              </w:rPr>
              <w:t xml:space="preserve">Appendix C: Overview of </w:t>
            </w:r>
            <w:r w:rsidR="00CA0F7E" w:rsidRPr="00615503">
              <w:rPr>
                <w:rStyle w:val="Hyperlink"/>
                <w:i/>
              </w:rPr>
              <w:t xml:space="preserve">Promises to Keep </w:t>
            </w:r>
            <w:r w:rsidR="00CA0F7E" w:rsidRPr="00615503">
              <w:rPr>
                <w:rStyle w:val="Hyperlink"/>
              </w:rPr>
              <w:t>and Methodology Used for the 2018 Progress Report</w:t>
            </w:r>
            <w:r w:rsidR="00CA0F7E">
              <w:rPr>
                <w:webHidden/>
              </w:rPr>
              <w:tab/>
            </w:r>
            <w:r w:rsidR="00CA0F7E">
              <w:rPr>
                <w:webHidden/>
              </w:rPr>
              <w:fldChar w:fldCharType="begin"/>
            </w:r>
            <w:r w:rsidR="00CA0F7E">
              <w:rPr>
                <w:webHidden/>
              </w:rPr>
              <w:instrText xml:space="preserve"> PAGEREF _Toc526182142 \h </w:instrText>
            </w:r>
            <w:r w:rsidR="00CA0F7E">
              <w:rPr>
                <w:webHidden/>
              </w:rPr>
            </w:r>
            <w:r w:rsidR="00CA0F7E">
              <w:rPr>
                <w:webHidden/>
              </w:rPr>
              <w:fldChar w:fldCharType="separate"/>
            </w:r>
            <w:r w:rsidR="00D7526D">
              <w:rPr>
                <w:webHidden/>
              </w:rPr>
              <w:t>121</w:t>
            </w:r>
            <w:r w:rsidR="00CA0F7E">
              <w:rPr>
                <w:webHidden/>
              </w:rPr>
              <w:fldChar w:fldCharType="end"/>
            </w:r>
          </w:hyperlink>
        </w:p>
        <w:p w14:paraId="0ED630D3"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43" w:history="1">
            <w:r w:rsidR="00CA0F7E" w:rsidRPr="00615503">
              <w:rPr>
                <w:rStyle w:val="Hyperlink"/>
                <w:noProof/>
              </w:rPr>
              <w:t>Overview of Promises to Keep</w:t>
            </w:r>
            <w:r w:rsidR="00CA0F7E">
              <w:rPr>
                <w:noProof/>
                <w:webHidden/>
              </w:rPr>
              <w:tab/>
            </w:r>
            <w:r w:rsidR="00CA0F7E">
              <w:rPr>
                <w:noProof/>
                <w:webHidden/>
              </w:rPr>
              <w:fldChar w:fldCharType="begin"/>
            </w:r>
            <w:r w:rsidR="00CA0F7E">
              <w:rPr>
                <w:noProof/>
                <w:webHidden/>
              </w:rPr>
              <w:instrText xml:space="preserve"> PAGEREF _Toc526182143 \h </w:instrText>
            </w:r>
            <w:r w:rsidR="00CA0F7E">
              <w:rPr>
                <w:noProof/>
                <w:webHidden/>
              </w:rPr>
            </w:r>
            <w:r w:rsidR="00CA0F7E">
              <w:rPr>
                <w:noProof/>
                <w:webHidden/>
              </w:rPr>
              <w:fldChar w:fldCharType="separate"/>
            </w:r>
            <w:r w:rsidR="00D7526D">
              <w:rPr>
                <w:noProof/>
                <w:webHidden/>
              </w:rPr>
              <w:t>121</w:t>
            </w:r>
            <w:r w:rsidR="00CA0F7E">
              <w:rPr>
                <w:noProof/>
                <w:webHidden/>
              </w:rPr>
              <w:fldChar w:fldCharType="end"/>
            </w:r>
          </w:hyperlink>
        </w:p>
        <w:p w14:paraId="4A1BD383"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44" w:history="1">
            <w:r w:rsidR="00CA0F7E" w:rsidRPr="00615503">
              <w:rPr>
                <w:rStyle w:val="Hyperlink"/>
                <w:noProof/>
              </w:rPr>
              <w:t>Methodology Used for the 2018 Progress Report</w:t>
            </w:r>
            <w:r w:rsidR="00CA0F7E">
              <w:rPr>
                <w:noProof/>
                <w:webHidden/>
              </w:rPr>
              <w:tab/>
            </w:r>
            <w:r w:rsidR="00CA0F7E">
              <w:rPr>
                <w:noProof/>
                <w:webHidden/>
              </w:rPr>
              <w:fldChar w:fldCharType="begin"/>
            </w:r>
            <w:r w:rsidR="00CA0F7E">
              <w:rPr>
                <w:noProof/>
                <w:webHidden/>
              </w:rPr>
              <w:instrText xml:space="preserve"> PAGEREF _Toc526182144 \h </w:instrText>
            </w:r>
            <w:r w:rsidR="00CA0F7E">
              <w:rPr>
                <w:noProof/>
                <w:webHidden/>
              </w:rPr>
            </w:r>
            <w:r w:rsidR="00CA0F7E">
              <w:rPr>
                <w:noProof/>
                <w:webHidden/>
              </w:rPr>
              <w:fldChar w:fldCharType="separate"/>
            </w:r>
            <w:r w:rsidR="00D7526D">
              <w:rPr>
                <w:noProof/>
                <w:webHidden/>
              </w:rPr>
              <w:t>122</w:t>
            </w:r>
            <w:r w:rsidR="00CA0F7E">
              <w:rPr>
                <w:noProof/>
                <w:webHidden/>
              </w:rPr>
              <w:fldChar w:fldCharType="end"/>
            </w:r>
          </w:hyperlink>
        </w:p>
        <w:p w14:paraId="288E1FA9" w14:textId="77777777" w:rsidR="00CA0F7E" w:rsidRDefault="0053779D">
          <w:pPr>
            <w:pStyle w:val="TOC3"/>
            <w:tabs>
              <w:tab w:val="right" w:leader="dot" w:pos="9350"/>
            </w:tabs>
            <w:rPr>
              <w:rFonts w:asciiTheme="minorHAnsi" w:eastAsiaTheme="minorEastAsia" w:hAnsiTheme="minorHAnsi" w:cstheme="minorBidi"/>
              <w:noProof/>
              <w:sz w:val="22"/>
            </w:rPr>
          </w:pPr>
          <w:hyperlink w:anchor="_Toc526182145" w:history="1">
            <w:r w:rsidR="00CA0F7E" w:rsidRPr="00615503">
              <w:rPr>
                <w:rStyle w:val="Hyperlink"/>
                <w:noProof/>
              </w:rPr>
              <w:t>Focus Discussion Groups</w:t>
            </w:r>
            <w:r w:rsidR="00CA0F7E">
              <w:rPr>
                <w:noProof/>
                <w:webHidden/>
              </w:rPr>
              <w:tab/>
            </w:r>
            <w:r w:rsidR="00CA0F7E">
              <w:rPr>
                <w:noProof/>
                <w:webHidden/>
              </w:rPr>
              <w:fldChar w:fldCharType="begin"/>
            </w:r>
            <w:r w:rsidR="00CA0F7E">
              <w:rPr>
                <w:noProof/>
                <w:webHidden/>
              </w:rPr>
              <w:instrText xml:space="preserve"> PAGEREF _Toc526182145 \h </w:instrText>
            </w:r>
            <w:r w:rsidR="00CA0F7E">
              <w:rPr>
                <w:noProof/>
                <w:webHidden/>
              </w:rPr>
            </w:r>
            <w:r w:rsidR="00CA0F7E">
              <w:rPr>
                <w:noProof/>
                <w:webHidden/>
              </w:rPr>
              <w:fldChar w:fldCharType="separate"/>
            </w:r>
            <w:r w:rsidR="00D7526D">
              <w:rPr>
                <w:noProof/>
                <w:webHidden/>
              </w:rPr>
              <w:t>123</w:t>
            </w:r>
            <w:r w:rsidR="00CA0F7E">
              <w:rPr>
                <w:noProof/>
                <w:webHidden/>
              </w:rPr>
              <w:fldChar w:fldCharType="end"/>
            </w:r>
          </w:hyperlink>
        </w:p>
        <w:p w14:paraId="6F614C6A" w14:textId="77777777" w:rsidR="00CA0F7E" w:rsidRDefault="0053779D">
          <w:pPr>
            <w:pStyle w:val="TOC1"/>
            <w:rPr>
              <w:rFonts w:asciiTheme="minorHAnsi" w:eastAsiaTheme="minorEastAsia" w:hAnsiTheme="minorHAnsi" w:cstheme="minorBidi"/>
              <w:sz w:val="22"/>
            </w:rPr>
          </w:pPr>
          <w:hyperlink w:anchor="_Toc526182146" w:history="1">
            <w:r w:rsidR="00CA0F7E" w:rsidRPr="00615503">
              <w:rPr>
                <w:rStyle w:val="Hyperlink"/>
              </w:rPr>
              <w:t>Appendix D: Reply of the Department of Labor’s Civil Rights Center to Research Questions</w:t>
            </w:r>
            <w:r w:rsidR="00CA0F7E">
              <w:rPr>
                <w:webHidden/>
              </w:rPr>
              <w:tab/>
            </w:r>
            <w:r w:rsidR="00CA0F7E">
              <w:rPr>
                <w:webHidden/>
              </w:rPr>
              <w:fldChar w:fldCharType="begin"/>
            </w:r>
            <w:r w:rsidR="00CA0F7E">
              <w:rPr>
                <w:webHidden/>
              </w:rPr>
              <w:instrText xml:space="preserve"> PAGEREF _Toc526182146 \h </w:instrText>
            </w:r>
            <w:r w:rsidR="00CA0F7E">
              <w:rPr>
                <w:webHidden/>
              </w:rPr>
            </w:r>
            <w:r w:rsidR="00CA0F7E">
              <w:rPr>
                <w:webHidden/>
              </w:rPr>
              <w:fldChar w:fldCharType="separate"/>
            </w:r>
            <w:r w:rsidR="00D7526D">
              <w:rPr>
                <w:webHidden/>
              </w:rPr>
              <w:t>125</w:t>
            </w:r>
            <w:r w:rsidR="00CA0F7E">
              <w:rPr>
                <w:webHidden/>
              </w:rPr>
              <w:fldChar w:fldCharType="end"/>
            </w:r>
          </w:hyperlink>
        </w:p>
        <w:p w14:paraId="02BD7D4A" w14:textId="77777777" w:rsidR="00CA0F7E" w:rsidRDefault="0053779D">
          <w:pPr>
            <w:pStyle w:val="TOC1"/>
            <w:rPr>
              <w:rFonts w:asciiTheme="minorHAnsi" w:eastAsiaTheme="minorEastAsia" w:hAnsiTheme="minorHAnsi" w:cstheme="minorBidi"/>
              <w:sz w:val="22"/>
            </w:rPr>
          </w:pPr>
          <w:hyperlink w:anchor="_Toc526182147" w:history="1">
            <w:r w:rsidR="00CA0F7E" w:rsidRPr="00615503">
              <w:rPr>
                <w:rStyle w:val="Hyperlink"/>
              </w:rPr>
              <w:t>Endnotes</w:t>
            </w:r>
            <w:r w:rsidR="00CA0F7E">
              <w:rPr>
                <w:webHidden/>
              </w:rPr>
              <w:tab/>
            </w:r>
            <w:r w:rsidR="00CA0F7E">
              <w:rPr>
                <w:webHidden/>
              </w:rPr>
              <w:fldChar w:fldCharType="begin"/>
            </w:r>
            <w:r w:rsidR="00CA0F7E">
              <w:rPr>
                <w:webHidden/>
              </w:rPr>
              <w:instrText xml:space="preserve"> PAGEREF _Toc526182147 \h </w:instrText>
            </w:r>
            <w:r w:rsidR="00CA0F7E">
              <w:rPr>
                <w:webHidden/>
              </w:rPr>
            </w:r>
            <w:r w:rsidR="00CA0F7E">
              <w:rPr>
                <w:webHidden/>
              </w:rPr>
              <w:fldChar w:fldCharType="separate"/>
            </w:r>
            <w:r w:rsidR="00D7526D">
              <w:rPr>
                <w:webHidden/>
              </w:rPr>
              <w:t>139</w:t>
            </w:r>
            <w:r w:rsidR="00CA0F7E">
              <w:rPr>
                <w:webHidden/>
              </w:rPr>
              <w:fldChar w:fldCharType="end"/>
            </w:r>
          </w:hyperlink>
        </w:p>
        <w:p w14:paraId="4CD80367" w14:textId="77777777" w:rsidR="00C01DAE" w:rsidRPr="00C01DAE" w:rsidRDefault="00C01DAE" w:rsidP="00C01DAE">
          <w:pPr>
            <w:pStyle w:val="Normal1"/>
            <w:tabs>
              <w:tab w:val="right" w:pos="9360"/>
            </w:tabs>
            <w:spacing w:before="200" w:after="80" w:line="240" w:lineRule="auto"/>
            <w:rPr>
              <w:rFonts w:eastAsiaTheme="minorHAnsi"/>
              <w:color w:val="000000" w:themeColor="text1"/>
              <w:sz w:val="24"/>
              <w:szCs w:val="24"/>
            </w:rPr>
          </w:pPr>
          <w:r w:rsidRPr="008450F8">
            <w:rPr>
              <w:color w:val="000000" w:themeColor="text1"/>
              <w:sz w:val="24"/>
              <w:szCs w:val="24"/>
            </w:rPr>
            <w:fldChar w:fldCharType="end"/>
          </w:r>
          <w:r w:rsidRPr="00C01DAE">
            <w:rPr>
              <w:color w:val="000000" w:themeColor="text1"/>
              <w:sz w:val="24"/>
              <w:szCs w:val="24"/>
              <w:lang w:val="fr-FR"/>
            </w:rPr>
            <w:tab/>
          </w:r>
        </w:p>
      </w:sdtContent>
    </w:sdt>
    <w:p w14:paraId="51F93AA8" w14:textId="77777777" w:rsidR="00C01DAE" w:rsidRDefault="00C01DAE">
      <w:pPr>
        <w:spacing w:after="200"/>
        <w:rPr>
          <w:rFonts w:ascii="Arial" w:eastAsiaTheme="minorHAnsi" w:hAnsi="Arial" w:cs="Arial"/>
          <w:b/>
          <w:sz w:val="36"/>
          <w:szCs w:val="32"/>
        </w:rPr>
      </w:pPr>
      <w:r>
        <w:br w:type="page"/>
      </w:r>
    </w:p>
    <w:p w14:paraId="189645CE" w14:textId="77777777" w:rsidR="00C01DAE" w:rsidRDefault="00C01DAE">
      <w:pPr>
        <w:spacing w:after="200"/>
        <w:rPr>
          <w:rFonts w:ascii="Arial" w:eastAsiaTheme="minorHAnsi" w:hAnsi="Arial" w:cs="Arial"/>
          <w:b/>
          <w:sz w:val="36"/>
          <w:szCs w:val="32"/>
        </w:rPr>
      </w:pPr>
      <w:r>
        <w:lastRenderedPageBreak/>
        <w:br w:type="page"/>
      </w:r>
    </w:p>
    <w:p w14:paraId="0BE0B418" w14:textId="77777777" w:rsidR="006547F6" w:rsidRPr="000A2B4D" w:rsidRDefault="006547F6" w:rsidP="006547F6">
      <w:pPr>
        <w:pStyle w:val="Heading1"/>
      </w:pPr>
      <w:bookmarkStart w:id="10" w:name="_Toc520979971"/>
      <w:bookmarkStart w:id="11" w:name="_Toc526182070"/>
      <w:bookmarkStart w:id="12" w:name="_GoBack"/>
      <w:bookmarkEnd w:id="12"/>
      <w:r w:rsidRPr="000A2B4D">
        <w:lastRenderedPageBreak/>
        <w:t>Acknowledgments</w:t>
      </w:r>
      <w:bookmarkEnd w:id="10"/>
      <w:bookmarkEnd w:id="11"/>
    </w:p>
    <w:p w14:paraId="4669C061" w14:textId="77777777" w:rsidR="006547F6" w:rsidRDefault="006547F6" w:rsidP="006547F6">
      <w:pPr>
        <w:pStyle w:val="NCDBodyText"/>
        <w:rPr>
          <w:b/>
        </w:rPr>
      </w:pPr>
      <w:r>
        <w:t xml:space="preserve">The National Council on Disability wishes to thank the National Disability Rights Network, particularly David Hutt, Esq., Ph.D., and his team—Janice Johnson Hunter, Esq., and Kenneth </w:t>
      </w:r>
      <w:proofErr w:type="spellStart"/>
      <w:r>
        <w:t>Shiotani</w:t>
      </w:r>
      <w:proofErr w:type="spellEnd"/>
      <w:r>
        <w:t xml:space="preserve">, Esq., and their partners Eve Hill, Esq. and Regina Kline, Esq., of </w:t>
      </w:r>
      <w:r w:rsidRPr="00706131">
        <w:t xml:space="preserve">Inclusivity Strategic Consulting </w:t>
      </w:r>
      <w:r>
        <w:t xml:space="preserve">at </w:t>
      </w:r>
      <w:r w:rsidRPr="00706131">
        <w:t>Brown, Goldstein &amp; Levy</w:t>
      </w:r>
      <w:r>
        <w:t>, for their work in developing this report.</w:t>
      </w:r>
      <w:r w:rsidRPr="00706131">
        <w:t xml:space="preserve"> NCD also thanks those who shared their personal experiences and offered expert input to inform this report.</w:t>
      </w:r>
    </w:p>
    <w:p w14:paraId="209C2684" w14:textId="77777777" w:rsidR="006547F6" w:rsidRDefault="006547F6">
      <w:pPr>
        <w:spacing w:after="200"/>
        <w:rPr>
          <w:rFonts w:ascii="Arial" w:eastAsiaTheme="minorHAnsi" w:hAnsi="Arial" w:cs="Arial"/>
          <w:b/>
          <w:sz w:val="36"/>
          <w:szCs w:val="32"/>
        </w:rPr>
      </w:pPr>
      <w:r>
        <w:br w:type="page"/>
      </w:r>
    </w:p>
    <w:p w14:paraId="0976FD3A" w14:textId="77777777" w:rsidR="006547F6" w:rsidRDefault="006547F6">
      <w:pPr>
        <w:spacing w:after="200"/>
        <w:rPr>
          <w:rFonts w:ascii="Arial" w:eastAsiaTheme="minorHAnsi" w:hAnsi="Arial" w:cs="Arial"/>
          <w:b/>
          <w:sz w:val="36"/>
          <w:szCs w:val="32"/>
        </w:rPr>
      </w:pPr>
      <w:r>
        <w:lastRenderedPageBreak/>
        <w:br w:type="page"/>
      </w:r>
    </w:p>
    <w:p w14:paraId="3B5CB5F7" w14:textId="217E6860" w:rsidR="00857A1F" w:rsidRPr="00296DA5" w:rsidRDefault="00CC0C00" w:rsidP="00296DA5">
      <w:pPr>
        <w:pStyle w:val="Heading1"/>
      </w:pPr>
      <w:bookmarkStart w:id="13" w:name="_Toc526182071"/>
      <w:r w:rsidRPr="00296DA5">
        <w:lastRenderedPageBreak/>
        <w:t>Executive Summary</w:t>
      </w:r>
      <w:bookmarkEnd w:id="9"/>
      <w:bookmarkEnd w:id="13"/>
    </w:p>
    <w:p w14:paraId="4C110E81" w14:textId="77777777" w:rsidR="00396A3D" w:rsidRDefault="00666312" w:rsidP="00396A3D">
      <w:pPr>
        <w:pStyle w:val="NCDBodyText"/>
      </w:pPr>
      <w:r w:rsidRPr="00666312">
        <w:t xml:space="preserve">For the past </w:t>
      </w:r>
      <w:r w:rsidR="007830DC">
        <w:t>45</w:t>
      </w:r>
      <w:r w:rsidR="00CC4FA5">
        <w:t xml:space="preserve"> </w:t>
      </w:r>
      <w:r w:rsidRPr="00666312">
        <w:t xml:space="preserve">years, as measured from the </w:t>
      </w:r>
      <w:r w:rsidR="0035605A">
        <w:t xml:space="preserve">enactment </w:t>
      </w:r>
      <w:r w:rsidRPr="00666312">
        <w:t>of</w:t>
      </w:r>
      <w:r w:rsidR="0035605A">
        <w:t xml:space="preserve"> the</w:t>
      </w:r>
      <w:r w:rsidR="00CC4FA5">
        <w:t xml:space="preserve"> Rehabilitation Act in September of 1973</w:t>
      </w:r>
      <w:r w:rsidRPr="009051E1">
        <w:t>,</w:t>
      </w:r>
      <w:r w:rsidRPr="00666312">
        <w:t xml:space="preserve"> the United </w:t>
      </w:r>
      <w:r>
        <w:t>S</w:t>
      </w:r>
      <w:r w:rsidRPr="00666312">
        <w:t>tates</w:t>
      </w:r>
      <w:r w:rsidR="00627CC1">
        <w:t xml:space="preserve"> has </w:t>
      </w:r>
      <w:r w:rsidR="009D1554">
        <w:t xml:space="preserve">through legislation </w:t>
      </w:r>
      <w:r w:rsidR="00627CC1">
        <w:t>gradually</w:t>
      </w:r>
      <w:r>
        <w:t xml:space="preserve"> </w:t>
      </w:r>
      <w:r w:rsidR="00627CC1">
        <w:t xml:space="preserve">improved the ability </w:t>
      </w:r>
      <w:r>
        <w:t xml:space="preserve">of </w:t>
      </w:r>
      <w:r w:rsidR="003170A7">
        <w:t>people</w:t>
      </w:r>
      <w:r>
        <w:t xml:space="preserve"> with disabilities to live, work, and participate fully in the community. </w:t>
      </w:r>
      <w:r w:rsidR="00627CC1">
        <w:t>P</w:t>
      </w:r>
      <w:r w:rsidR="00CC4FA5">
        <w:t>assage of</w:t>
      </w:r>
      <w:r w:rsidR="009051E1">
        <w:t xml:space="preserve"> t</w:t>
      </w:r>
      <w:r>
        <w:t xml:space="preserve">he Americans with Disabilities Act </w:t>
      </w:r>
      <w:r w:rsidR="009051E1">
        <w:t>in</w:t>
      </w:r>
      <w:r>
        <w:t xml:space="preserve"> 1990</w:t>
      </w:r>
      <w:r w:rsidR="003E4583">
        <w:t xml:space="preserve"> (ADA)</w:t>
      </w:r>
      <w:r w:rsidR="0020247B">
        <w:t>,</w:t>
      </w:r>
      <w:r>
        <w:t xml:space="preserve"> and </w:t>
      </w:r>
      <w:r w:rsidR="00627CC1">
        <w:t xml:space="preserve">later </w:t>
      </w:r>
      <w:r>
        <w:t xml:space="preserve">the </w:t>
      </w:r>
      <w:r w:rsidR="003D00C5">
        <w:t>ADA Amendments</w:t>
      </w:r>
      <w:r>
        <w:t xml:space="preserve"> Act </w:t>
      </w:r>
      <w:r w:rsidR="0035605A">
        <w:t xml:space="preserve">(ADAAA) </w:t>
      </w:r>
      <w:r w:rsidR="009051E1">
        <w:t>in</w:t>
      </w:r>
      <w:r>
        <w:t xml:space="preserve"> 2008</w:t>
      </w:r>
      <w:r w:rsidR="0020247B">
        <w:t>,</w:t>
      </w:r>
      <w:r>
        <w:t xml:space="preserve"> played </w:t>
      </w:r>
      <w:r w:rsidR="009051E1">
        <w:t xml:space="preserve">major </w:t>
      </w:r>
      <w:r>
        <w:t>roles in th</w:t>
      </w:r>
      <w:r w:rsidR="003E4583">
        <w:t xml:space="preserve">e </w:t>
      </w:r>
      <w:r w:rsidR="00627CC1">
        <w:t>increase</w:t>
      </w:r>
      <w:r w:rsidR="0020247B">
        <w:t xml:space="preserve">d </w:t>
      </w:r>
      <w:r w:rsidR="00627CC1">
        <w:t>protection of the rights of people with disabilities</w:t>
      </w:r>
      <w:r w:rsidR="003E4583">
        <w:t xml:space="preserve">. </w:t>
      </w:r>
      <w:r w:rsidR="00627CC1">
        <w:t>In between</w:t>
      </w:r>
      <w:r w:rsidR="0035605A">
        <w:t xml:space="preserve"> these landmark statutes, n</w:t>
      </w:r>
      <w:r>
        <w:t xml:space="preserve">umerous other federal laws, regulations, and Executive Orders have sought to increase the opportunities for </w:t>
      </w:r>
      <w:r w:rsidR="003170A7">
        <w:t>people</w:t>
      </w:r>
      <w:r>
        <w:t xml:space="preserve"> with disabilitie</w:t>
      </w:r>
      <w:r w:rsidR="00430BEE">
        <w:t>s</w:t>
      </w:r>
      <w:r w:rsidR="0035605A">
        <w:t>. In some cases, as with</w:t>
      </w:r>
      <w:r w:rsidR="00430BEE">
        <w:t xml:space="preserve"> </w:t>
      </w:r>
      <w:r w:rsidR="00A2017C">
        <w:t>Section</w:t>
      </w:r>
      <w:r w:rsidR="003E4583">
        <w:t xml:space="preserve"> 511 of the Workforce Innovation and Opportunity Act </w:t>
      </w:r>
      <w:r w:rsidR="001428F5">
        <w:t xml:space="preserve">(WIOA) </w:t>
      </w:r>
      <w:r w:rsidR="003E4583">
        <w:t>of 2014</w:t>
      </w:r>
      <w:r w:rsidR="0035605A">
        <w:t xml:space="preserve">, such laws </w:t>
      </w:r>
      <w:r w:rsidR="009D1554">
        <w:t xml:space="preserve">attempt </w:t>
      </w:r>
      <w:r w:rsidR="0035605A">
        <w:t>to</w:t>
      </w:r>
      <w:r w:rsidR="003E4583">
        <w:t xml:space="preserve"> </w:t>
      </w:r>
      <w:r w:rsidR="0035605A">
        <w:t xml:space="preserve">temper the </w:t>
      </w:r>
      <w:r w:rsidR="003E4583">
        <w:t xml:space="preserve">adverse effects of </w:t>
      </w:r>
      <w:r w:rsidR="00891293">
        <w:t>other</w:t>
      </w:r>
      <w:r w:rsidR="003E4583">
        <w:t xml:space="preserve"> </w:t>
      </w:r>
      <w:r w:rsidR="0035605A">
        <w:t xml:space="preserve">federal </w:t>
      </w:r>
      <w:r w:rsidR="003E4583">
        <w:t xml:space="preserve">laws </w:t>
      </w:r>
      <w:r w:rsidR="001428F5">
        <w:t>which restrict</w:t>
      </w:r>
      <w:r w:rsidR="00627CC1">
        <w:t xml:space="preserve"> </w:t>
      </w:r>
      <w:r w:rsidR="0035605A">
        <w:t xml:space="preserve">the opportunities </w:t>
      </w:r>
      <w:r w:rsidR="00891293">
        <w:t>for</w:t>
      </w:r>
      <w:r w:rsidR="005F62F7">
        <w:t xml:space="preserve"> people with disabilities. </w:t>
      </w:r>
      <w:r w:rsidR="003E4583">
        <w:t xml:space="preserve">The creation of </w:t>
      </w:r>
      <w:r w:rsidR="00891293">
        <w:t xml:space="preserve">federal </w:t>
      </w:r>
      <w:r w:rsidR="003E4583">
        <w:t xml:space="preserve">disability civil rights and programs through legislative action, however, is only one step to </w:t>
      </w:r>
      <w:r w:rsidR="009D1554">
        <w:t xml:space="preserve">fully achieve </w:t>
      </w:r>
      <w:r w:rsidR="003E4583">
        <w:t xml:space="preserve">equal opportunities for </w:t>
      </w:r>
      <w:r w:rsidR="003170A7">
        <w:t>people</w:t>
      </w:r>
      <w:r w:rsidR="003E4583">
        <w:t xml:space="preserve"> with disabilities. Effective federal oversight and enforcement </w:t>
      </w:r>
      <w:r w:rsidR="00891293">
        <w:t xml:space="preserve">of federal law </w:t>
      </w:r>
      <w:r w:rsidR="003E4583">
        <w:t>is critical to</w:t>
      </w:r>
      <w:r w:rsidR="009D1554">
        <w:t xml:space="preserve"> keep</w:t>
      </w:r>
      <w:r w:rsidR="000F4632">
        <w:t xml:space="preserve"> advancing </w:t>
      </w:r>
      <w:r w:rsidR="00CD3F35">
        <w:t xml:space="preserve">justice and </w:t>
      </w:r>
      <w:r w:rsidR="009D1554">
        <w:t xml:space="preserve">equality </w:t>
      </w:r>
      <w:r w:rsidR="00FA2DD5">
        <w:t>for people with disabilities.</w:t>
      </w:r>
    </w:p>
    <w:p w14:paraId="0085F222" w14:textId="1494693D" w:rsidR="00396A3D" w:rsidRDefault="000F4632" w:rsidP="00396A3D">
      <w:pPr>
        <w:pStyle w:val="NCDBodyText"/>
      </w:pPr>
      <w:r>
        <w:t>This Progress R</w:t>
      </w:r>
      <w:r w:rsidR="003E4583">
        <w:t xml:space="preserve">eport, </w:t>
      </w:r>
      <w:r w:rsidR="00631E24" w:rsidRPr="00631E24">
        <w:rPr>
          <w:i/>
        </w:rPr>
        <w:t xml:space="preserve">Has the Promise Been Kept? </w:t>
      </w:r>
      <w:proofErr w:type="gramStart"/>
      <w:r w:rsidR="00631E24" w:rsidRPr="00631E24">
        <w:rPr>
          <w:i/>
        </w:rPr>
        <w:t>Federal Enforcement of Disability Rights Laws</w:t>
      </w:r>
      <w:r w:rsidR="00FA2DD5">
        <w:t>,</w:t>
      </w:r>
      <w:proofErr w:type="gramEnd"/>
      <w:r w:rsidR="00FA2DD5">
        <w:t xml:space="preserve"> undertakes a partial revisit </w:t>
      </w:r>
      <w:r w:rsidR="00627CC1">
        <w:t xml:space="preserve">of a 2000 National Council on Disability (NCD) report titled </w:t>
      </w:r>
      <w:r w:rsidR="00631E24" w:rsidRPr="00631E24">
        <w:rPr>
          <w:i/>
        </w:rPr>
        <w:t>Promises to Keep: A Decade of Federal Enforcement of the Americans with Disabilities Act</w:t>
      </w:r>
      <w:r w:rsidR="00FA2DD5">
        <w:t xml:space="preserve">. </w:t>
      </w:r>
      <w:r w:rsidR="00631E24" w:rsidRPr="00631E24">
        <w:rPr>
          <w:i/>
        </w:rPr>
        <w:t>Promises to Keep</w:t>
      </w:r>
      <w:r w:rsidR="00627CC1">
        <w:t xml:space="preserve"> considered the</w:t>
      </w:r>
      <w:r>
        <w:t xml:space="preserve"> ADA enforcement efforts of the</w:t>
      </w:r>
      <w:r w:rsidR="00627CC1">
        <w:t xml:space="preserve"> Equal Employment Opportunity Commission (EEOC), the Department of Justice (DOJ), the Department of Transportation (DOT), and the Federal Communications Commission (FCC), </w:t>
      </w:r>
      <w:r w:rsidR="009D1554">
        <w:t>with minor consideration</w:t>
      </w:r>
      <w:r w:rsidR="00627CC1">
        <w:t xml:space="preserve"> of the </w:t>
      </w:r>
      <w:r w:rsidR="00627CC1" w:rsidRPr="00FA2DD5">
        <w:t>Architectural and Transportation Barriers Compliance Board (Access Board)</w:t>
      </w:r>
      <w:r w:rsidR="00627CC1">
        <w:t xml:space="preserve">. </w:t>
      </w:r>
      <w:r w:rsidR="00FA2DD5">
        <w:t>Using</w:t>
      </w:r>
      <w:r w:rsidR="0035605A">
        <w:t xml:space="preserve"> </w:t>
      </w:r>
      <w:r w:rsidR="00891293">
        <w:t>11</w:t>
      </w:r>
      <w:r w:rsidR="00FA2DD5">
        <w:t xml:space="preserve"> </w:t>
      </w:r>
      <w:r w:rsidR="00627CC1">
        <w:t xml:space="preserve">guidepost </w:t>
      </w:r>
      <w:r w:rsidR="00FA2DD5">
        <w:t xml:space="preserve">elements created in </w:t>
      </w:r>
      <w:r w:rsidR="00631E24" w:rsidRPr="00631E24">
        <w:rPr>
          <w:i/>
        </w:rPr>
        <w:t>Promises to Keep</w:t>
      </w:r>
      <w:r w:rsidR="00FA2DD5">
        <w:t xml:space="preserve"> </w:t>
      </w:r>
      <w:proofErr w:type="gramStart"/>
      <w:r w:rsidR="00FA2DD5">
        <w:t>to assess</w:t>
      </w:r>
      <w:proofErr w:type="gramEnd"/>
      <w:r w:rsidR="00FA2DD5">
        <w:t xml:space="preserve"> disability civil rights enforcement</w:t>
      </w:r>
      <w:r w:rsidR="009051E1">
        <w:t xml:space="preserve">, this </w:t>
      </w:r>
      <w:r w:rsidR="008F1F67">
        <w:t xml:space="preserve">2018 </w:t>
      </w:r>
      <w:r w:rsidR="009051E1">
        <w:t xml:space="preserve">report </w:t>
      </w:r>
      <w:r w:rsidR="0035605A">
        <w:t xml:space="preserve">addresses </w:t>
      </w:r>
      <w:r w:rsidR="009051E1">
        <w:t>the efforts of the EEOC, Department of Labor</w:t>
      </w:r>
      <w:r w:rsidR="005F62F7">
        <w:t xml:space="preserve"> (DOL)</w:t>
      </w:r>
      <w:r w:rsidR="009051E1">
        <w:t xml:space="preserve">, and the Access Board to enforce </w:t>
      </w:r>
      <w:r w:rsidR="009D1554">
        <w:t xml:space="preserve">and implement </w:t>
      </w:r>
      <w:r w:rsidR="009051E1">
        <w:t>the ADA and other federal disability rights laws and programs.</w:t>
      </w:r>
    </w:p>
    <w:p w14:paraId="71BBF7FB" w14:textId="6C1B8A19" w:rsidR="00CC4FA5" w:rsidRPr="00596D8A" w:rsidRDefault="0035605A" w:rsidP="00396A3D">
      <w:pPr>
        <w:pStyle w:val="NCDBodyText"/>
      </w:pPr>
      <w:r>
        <w:t xml:space="preserve">Legal progress to ensure greater </w:t>
      </w:r>
      <w:r w:rsidR="009D1554">
        <w:t>opportunities</w:t>
      </w:r>
      <w:r>
        <w:t xml:space="preserve"> for p</w:t>
      </w:r>
      <w:r w:rsidR="009D1554">
        <w:t>eople</w:t>
      </w:r>
      <w:r>
        <w:t xml:space="preserve"> with disabilities </w:t>
      </w:r>
      <w:r w:rsidR="009051E1" w:rsidRPr="001657F4">
        <w:t xml:space="preserve">has occurred since </w:t>
      </w:r>
      <w:r w:rsidR="00631E24" w:rsidRPr="00631E24">
        <w:rPr>
          <w:i/>
        </w:rPr>
        <w:t>Promises to Keep</w:t>
      </w:r>
      <w:r w:rsidR="001657F4">
        <w:t xml:space="preserve">, </w:t>
      </w:r>
      <w:r>
        <w:t xml:space="preserve">best exemplified by the </w:t>
      </w:r>
      <w:r w:rsidR="001657F4" w:rsidRPr="001657F4">
        <w:t xml:space="preserve">bipartisan </w:t>
      </w:r>
      <w:r w:rsidR="001657F4">
        <w:t>pass</w:t>
      </w:r>
      <w:r w:rsidR="00BF6235">
        <w:t>age of</w:t>
      </w:r>
      <w:r w:rsidR="001657F4">
        <w:t xml:space="preserve"> the</w:t>
      </w:r>
      <w:r w:rsidR="001657F4" w:rsidRPr="001657F4">
        <w:t xml:space="preserve"> ADA</w:t>
      </w:r>
      <w:r>
        <w:t>AA</w:t>
      </w:r>
      <w:r w:rsidR="009D1554">
        <w:t>.</w:t>
      </w:r>
      <w:r w:rsidR="001657F4" w:rsidRPr="001657F4">
        <w:t xml:space="preserve"> </w:t>
      </w:r>
      <w:r>
        <w:t>F</w:t>
      </w:r>
      <w:r w:rsidR="00430BEE">
        <w:t>ederal enforcement agencies</w:t>
      </w:r>
      <w:r w:rsidR="008E2632">
        <w:t>,</w:t>
      </w:r>
      <w:r>
        <w:t xml:space="preserve"> however,</w:t>
      </w:r>
      <w:r w:rsidR="001657F4">
        <w:t xml:space="preserve"> still face</w:t>
      </w:r>
      <w:r w:rsidR="00BF6235">
        <w:t>,</w:t>
      </w:r>
      <w:r w:rsidR="001657F4">
        <w:t xml:space="preserve"> or themselves create,</w:t>
      </w:r>
      <w:r w:rsidR="009051E1">
        <w:t xml:space="preserve"> </w:t>
      </w:r>
      <w:r w:rsidR="00CC4FA5">
        <w:t>bureaucratic</w:t>
      </w:r>
      <w:r w:rsidR="009051E1">
        <w:t xml:space="preserve">, </w:t>
      </w:r>
      <w:r w:rsidR="00CC4FA5">
        <w:lastRenderedPageBreak/>
        <w:t>communication</w:t>
      </w:r>
      <w:r w:rsidR="000F4632">
        <w:t>s</w:t>
      </w:r>
      <w:r w:rsidR="00CC4FA5">
        <w:t xml:space="preserve">, </w:t>
      </w:r>
      <w:r w:rsidR="009051E1">
        <w:t>budgetary,</w:t>
      </w:r>
      <w:r w:rsidR="00CC4FA5">
        <w:t xml:space="preserve"> regulatory, staffing, and in some cases technological hurdles </w:t>
      </w:r>
      <w:r w:rsidR="00AE764C">
        <w:t xml:space="preserve">that </w:t>
      </w:r>
      <w:r w:rsidR="00BF6235">
        <w:t xml:space="preserve">can </w:t>
      </w:r>
      <w:r>
        <w:t>negatively impact the full realiza</w:t>
      </w:r>
      <w:r w:rsidR="00BF6235">
        <w:t>tion</w:t>
      </w:r>
      <w:r w:rsidR="008F1F67">
        <w:t xml:space="preserve"> of equal rights for people with disabilities</w:t>
      </w:r>
      <w:r w:rsidR="001657F4">
        <w:t xml:space="preserve">. </w:t>
      </w:r>
      <w:r w:rsidR="00CC4FA5">
        <w:t>Among some of the key findings</w:t>
      </w:r>
      <w:r w:rsidR="002D1E82">
        <w:t xml:space="preserve"> are the following</w:t>
      </w:r>
      <w:r w:rsidR="00CC4FA5">
        <w:t>:</w:t>
      </w:r>
    </w:p>
    <w:p w14:paraId="56F10B6C" w14:textId="350221C9" w:rsidR="00CC4FA5" w:rsidRDefault="00596D8A" w:rsidP="00396A3D">
      <w:pPr>
        <w:pStyle w:val="NCDBulletsLevel1"/>
      </w:pPr>
      <w:r>
        <w:t>T</w:t>
      </w:r>
      <w:r w:rsidR="00CC4FA5">
        <w:t xml:space="preserve">he number </w:t>
      </w:r>
      <w:r w:rsidR="00772F82">
        <w:t xml:space="preserve">of </w:t>
      </w:r>
      <w:r w:rsidR="00CC4FA5">
        <w:t xml:space="preserve">discrimination </w:t>
      </w:r>
      <w:r w:rsidR="0035605A">
        <w:t xml:space="preserve">complaints </w:t>
      </w:r>
      <w:r>
        <w:t>filed with EEOC</w:t>
      </w:r>
      <w:r w:rsidR="000F4632">
        <w:t xml:space="preserve"> </w:t>
      </w:r>
      <w:r>
        <w:t>increase</w:t>
      </w:r>
      <w:r w:rsidR="000F4632">
        <w:t>d</w:t>
      </w:r>
      <w:r>
        <w:t xml:space="preserve"> significantly</w:t>
      </w:r>
      <w:r w:rsidR="000F4632" w:rsidRPr="000F4632">
        <w:t xml:space="preserve"> </w:t>
      </w:r>
      <w:r w:rsidR="000F4632">
        <w:t>after passage of the ADAAA</w:t>
      </w:r>
      <w:r w:rsidR="005D2FD7">
        <w:t>, as has the</w:t>
      </w:r>
      <w:r>
        <w:t xml:space="preserve"> </w:t>
      </w:r>
      <w:r w:rsidR="00CC4FA5">
        <w:t xml:space="preserve">number of ADA cases </w:t>
      </w:r>
      <w:r w:rsidR="005D2FD7">
        <w:t xml:space="preserve">filed by the EEOC </w:t>
      </w:r>
      <w:r w:rsidR="00CC4FA5">
        <w:t>in federal court.</w:t>
      </w:r>
      <w:r w:rsidR="00A41E8F">
        <w:t xml:space="preserve"> </w:t>
      </w:r>
      <w:r w:rsidR="001428F5">
        <w:t>T</w:t>
      </w:r>
      <w:r w:rsidR="00A41E8F">
        <w:t xml:space="preserve">he </w:t>
      </w:r>
      <w:r w:rsidR="00A3345A">
        <w:t xml:space="preserve">EEOC, however, lacks a strong public quality assurance document </w:t>
      </w:r>
      <w:r w:rsidR="000F4632">
        <w:t>to assess ADA investigations</w:t>
      </w:r>
      <w:r w:rsidR="00051AF8">
        <w:t xml:space="preserve">, </w:t>
      </w:r>
      <w:r w:rsidR="007B1432">
        <w:t>d</w:t>
      </w:r>
      <w:r w:rsidR="00A3345A">
        <w:t>oes not clearly articulate how people</w:t>
      </w:r>
      <w:r w:rsidR="00CD3F35">
        <w:t xml:space="preserve"> with disabilities can request a</w:t>
      </w:r>
      <w:r w:rsidR="00A3345A">
        <w:t>n accommodation through the new online public portal</w:t>
      </w:r>
      <w:r w:rsidR="000F4632">
        <w:t xml:space="preserve">, </w:t>
      </w:r>
      <w:r w:rsidR="00051AF8">
        <w:t xml:space="preserve">and its investigative priority assignment system </w:t>
      </w:r>
      <w:r w:rsidR="007B1432">
        <w:t>has the potential to</w:t>
      </w:r>
      <w:r w:rsidR="00051AF8">
        <w:t xml:space="preserve"> negatively impact people with certain disabilities.</w:t>
      </w:r>
    </w:p>
    <w:p w14:paraId="69C0DD84" w14:textId="6419F6DA" w:rsidR="00000862" w:rsidRPr="005D2FD7" w:rsidRDefault="005F62F7" w:rsidP="00396A3D">
      <w:pPr>
        <w:pStyle w:val="NCDBulletsLevel1"/>
      </w:pPr>
      <w:r w:rsidRPr="00051AF8">
        <w:t>DOL</w:t>
      </w:r>
      <w:r w:rsidR="006474CA">
        <w:t>’</w:t>
      </w:r>
      <w:r w:rsidR="007F112C" w:rsidRPr="00051AF8">
        <w:t>s Office of Federa</w:t>
      </w:r>
      <w:r w:rsidR="00A3345A" w:rsidRPr="00051AF8">
        <w:t>l Contr</w:t>
      </w:r>
      <w:r w:rsidR="000F4632" w:rsidRPr="00051AF8">
        <w:t xml:space="preserve">act Compliance Programs (OFCCP), </w:t>
      </w:r>
      <w:r w:rsidR="007F112C" w:rsidRPr="00051AF8">
        <w:t xml:space="preserve">responsible for </w:t>
      </w:r>
      <w:r w:rsidR="00DC0F6F" w:rsidRPr="00051AF8">
        <w:t xml:space="preserve">oversight of </w:t>
      </w:r>
      <w:r w:rsidR="001428F5" w:rsidRPr="00051AF8">
        <w:t>affirmative action for people with disabilities by federal contractors under</w:t>
      </w:r>
      <w:r w:rsidR="007F112C" w:rsidRPr="00051AF8">
        <w:t xml:space="preserve"> </w:t>
      </w:r>
      <w:r w:rsidR="00D41EDD" w:rsidRPr="00051AF8">
        <w:t>Section</w:t>
      </w:r>
      <w:r w:rsidR="007F112C" w:rsidRPr="00051AF8">
        <w:t xml:space="preserve"> 503 </w:t>
      </w:r>
      <w:r w:rsidR="001428F5" w:rsidRPr="00051AF8">
        <w:t xml:space="preserve">of </w:t>
      </w:r>
      <w:r w:rsidR="007F112C" w:rsidRPr="00051AF8">
        <w:t>Rehabilitation Act, conducts a small number of compliance reviews of federal contractors and almost exclusively uses conciliation agreements to address violations</w:t>
      </w:r>
      <w:r w:rsidR="00A3345A" w:rsidRPr="00051AF8">
        <w:t>.</w:t>
      </w:r>
    </w:p>
    <w:p w14:paraId="2275BAE1" w14:textId="531FE462" w:rsidR="007F112C" w:rsidRDefault="000F4632" w:rsidP="00396A3D">
      <w:pPr>
        <w:pStyle w:val="NCDBulletsLevel1"/>
      </w:pPr>
      <w:r>
        <w:t>DOL</w:t>
      </w:r>
      <w:r w:rsidR="006474CA">
        <w:t>’</w:t>
      </w:r>
      <w:r w:rsidR="00A41E8F">
        <w:t>s Wage and Hour Division (WHD)</w:t>
      </w:r>
      <w:r w:rsidR="0020247B">
        <w:t>,</w:t>
      </w:r>
      <w:r w:rsidR="00A41E8F">
        <w:t xml:space="preserve"> </w:t>
      </w:r>
      <w:r w:rsidR="00813111">
        <w:t>has made</w:t>
      </w:r>
      <w:r w:rsidR="00A41E8F" w:rsidRPr="00405B43">
        <w:t xml:space="preserve"> leadership</w:t>
      </w:r>
      <w:r w:rsidR="00813111">
        <w:t>,</w:t>
      </w:r>
      <w:r w:rsidR="00A41E8F" w:rsidRPr="00405B43">
        <w:t xml:space="preserve"> management</w:t>
      </w:r>
      <w:r w:rsidR="00813111">
        <w:t>, and enforcement</w:t>
      </w:r>
      <w:r w:rsidR="00A41E8F" w:rsidRPr="00405B43">
        <w:t xml:space="preserve"> progre</w:t>
      </w:r>
      <w:r w:rsidR="001428F5" w:rsidRPr="00405B43">
        <w:t xml:space="preserve">ss </w:t>
      </w:r>
      <w:r w:rsidR="0020247B">
        <w:t xml:space="preserve">in oversight </w:t>
      </w:r>
      <w:r w:rsidR="001428F5" w:rsidRPr="00405B43">
        <w:t>of the S</w:t>
      </w:r>
      <w:r w:rsidR="00D41EDD" w:rsidRPr="00405B43">
        <w:t>ection</w:t>
      </w:r>
      <w:r w:rsidR="00A41E8F" w:rsidRPr="00405B43">
        <w:t xml:space="preserve"> 14(c) subminimum wage program</w:t>
      </w:r>
      <w:r w:rsidR="0020247B" w:rsidRPr="0020247B">
        <w:t xml:space="preserve"> </w:t>
      </w:r>
      <w:r w:rsidR="0020247B">
        <w:t xml:space="preserve">in the </w:t>
      </w:r>
      <w:r w:rsidR="00A3345A">
        <w:t xml:space="preserve">Fair Labor Standards Act, </w:t>
      </w:r>
      <w:r w:rsidR="00813111">
        <w:t xml:space="preserve">but </w:t>
      </w:r>
      <w:r w:rsidR="00A41E8F">
        <w:t>does</w:t>
      </w:r>
      <w:r w:rsidR="00813111">
        <w:t xml:space="preserve"> not</w:t>
      </w:r>
      <w:r w:rsidR="00A41E8F">
        <w:t xml:space="preserve"> </w:t>
      </w:r>
      <w:r w:rsidR="00813111">
        <w:t xml:space="preserve">investigate employers who do not renew 14(c) certificates or </w:t>
      </w:r>
      <w:r w:rsidR="00A41E8F">
        <w:t xml:space="preserve">seek </w:t>
      </w:r>
      <w:r w:rsidR="00813111">
        <w:t xml:space="preserve">new </w:t>
      </w:r>
      <w:r w:rsidR="00A41E8F">
        <w:t>reso</w:t>
      </w:r>
      <w:r w:rsidR="00813111">
        <w:t>urces to train investigators committed to 14(c) enforcement, and possesses an antiqu</w:t>
      </w:r>
      <w:r w:rsidR="007B1432">
        <w:t>at</w:t>
      </w:r>
      <w:r w:rsidR="00813111">
        <w:t>ed data system</w:t>
      </w:r>
      <w:r w:rsidR="00A41E8F">
        <w:t>.</w:t>
      </w:r>
    </w:p>
    <w:p w14:paraId="1DE57509" w14:textId="11415FBB" w:rsidR="00EB1049" w:rsidRDefault="00051AF8" w:rsidP="00396A3D">
      <w:pPr>
        <w:pStyle w:val="NCDBulletsLevel1"/>
      </w:pPr>
      <w:r>
        <w:t xml:space="preserve">The </w:t>
      </w:r>
      <w:r w:rsidR="00BF6235" w:rsidRPr="00BF6235">
        <w:t xml:space="preserve">Access </w:t>
      </w:r>
      <w:r w:rsidR="00BF6235">
        <w:t xml:space="preserve">Board has </w:t>
      </w:r>
      <w:r>
        <w:t xml:space="preserve">developed </w:t>
      </w:r>
      <w:r w:rsidR="00BF6235">
        <w:t xml:space="preserve">important </w:t>
      </w:r>
      <w:r>
        <w:t xml:space="preserve">accessibility standards </w:t>
      </w:r>
      <w:r w:rsidR="00813111">
        <w:t>and the Board</w:t>
      </w:r>
      <w:r w:rsidR="006474CA">
        <w:t>’</w:t>
      </w:r>
      <w:r w:rsidR="00813111">
        <w:t>s</w:t>
      </w:r>
      <w:r w:rsidR="00BF6235">
        <w:t xml:space="preserve"> </w:t>
      </w:r>
      <w:r w:rsidR="00BF6235" w:rsidRPr="00BF6235">
        <w:t xml:space="preserve">committees </w:t>
      </w:r>
      <w:r w:rsidR="005D2FD7">
        <w:t xml:space="preserve">help </w:t>
      </w:r>
      <w:r w:rsidR="00BF6235" w:rsidRPr="00BF6235">
        <w:t>identif</w:t>
      </w:r>
      <w:r w:rsidR="001428F5">
        <w:t xml:space="preserve">y emerging issues and </w:t>
      </w:r>
      <w:r w:rsidR="007B1432">
        <w:t xml:space="preserve">to </w:t>
      </w:r>
      <w:r w:rsidR="001428F5">
        <w:t xml:space="preserve">shape the </w:t>
      </w:r>
      <w:r w:rsidR="00BF6235" w:rsidRPr="00BF6235">
        <w:t xml:space="preserve">research agenda. </w:t>
      </w:r>
      <w:r w:rsidR="00BF6235">
        <w:t>T</w:t>
      </w:r>
      <w:r w:rsidR="00EF6C9F" w:rsidRPr="00BF6235">
        <w:t>he Board</w:t>
      </w:r>
      <w:r w:rsidR="00BF6235">
        <w:t>, however,</w:t>
      </w:r>
      <w:r w:rsidR="00EF6C9F" w:rsidRPr="00BF6235">
        <w:t xml:space="preserve"> receives few complaints of inaccessible federal buildings and physical environments, and despite the ability to </w:t>
      </w:r>
      <w:r w:rsidR="00DC0F6F" w:rsidRPr="00BF6235">
        <w:t xml:space="preserve">investigate </w:t>
      </w:r>
      <w:r w:rsidR="00EF6C9F" w:rsidRPr="00BF6235">
        <w:t>based on</w:t>
      </w:r>
      <w:r>
        <w:t xml:space="preserve"> </w:t>
      </w:r>
      <w:proofErr w:type="spellStart"/>
      <w:r w:rsidR="00444926">
        <w:t>non</w:t>
      </w:r>
      <w:r>
        <w:t>complaint</w:t>
      </w:r>
      <w:proofErr w:type="spellEnd"/>
      <w:r>
        <w:t xml:space="preserve"> information, r</w:t>
      </w:r>
      <w:r w:rsidR="00EF6C9F" w:rsidRPr="00BF6235">
        <w:t>elies solely on</w:t>
      </w:r>
      <w:r w:rsidR="00A3345A">
        <w:t xml:space="preserve"> individual complaints.</w:t>
      </w:r>
    </w:p>
    <w:p w14:paraId="30FDA02D" w14:textId="77777777" w:rsidR="00021D35" w:rsidRDefault="00021D35">
      <w:pPr>
        <w:spacing w:after="200"/>
        <w:rPr>
          <w:rFonts w:ascii="Arial" w:hAnsi="Arial" w:cs="Calibri"/>
          <w:color w:val="000000"/>
          <w:szCs w:val="24"/>
          <w:u w:color="000000"/>
          <w:bdr w:val="nil"/>
        </w:rPr>
      </w:pPr>
      <w:r>
        <w:br w:type="page"/>
      </w:r>
    </w:p>
    <w:p w14:paraId="3078EB5A" w14:textId="127BC33C" w:rsidR="00A3345A" w:rsidRDefault="00A3345A" w:rsidP="00396A3D">
      <w:pPr>
        <w:pStyle w:val="NCDBodyText"/>
      </w:pPr>
      <w:r w:rsidRPr="00051AF8">
        <w:lastRenderedPageBreak/>
        <w:t xml:space="preserve">Among </w:t>
      </w:r>
      <w:r w:rsidR="005D2FD7">
        <w:t>NCD</w:t>
      </w:r>
      <w:r w:rsidR="006474CA">
        <w:t>’</w:t>
      </w:r>
      <w:r w:rsidR="005D2FD7">
        <w:t>s</w:t>
      </w:r>
      <w:r w:rsidRPr="00051AF8">
        <w:t xml:space="preserve"> recommendations</w:t>
      </w:r>
      <w:r w:rsidR="00051AF8">
        <w:t xml:space="preserve"> in th</w:t>
      </w:r>
      <w:r w:rsidR="005D2FD7">
        <w:t xml:space="preserve">is </w:t>
      </w:r>
      <w:r w:rsidR="00051AF8">
        <w:t>report</w:t>
      </w:r>
      <w:r w:rsidR="00CD4C81">
        <w:t xml:space="preserve"> are the following</w:t>
      </w:r>
      <w:r w:rsidRPr="00051AF8">
        <w:t>:</w:t>
      </w:r>
    </w:p>
    <w:p w14:paraId="0642164F" w14:textId="77777777" w:rsidR="005D2FD7" w:rsidRDefault="008F09A8" w:rsidP="00396A3D">
      <w:pPr>
        <w:pStyle w:val="NCDBulletsLevel1"/>
      </w:pPr>
      <w:r>
        <w:t xml:space="preserve">That the EEOC </w:t>
      </w:r>
      <w:r w:rsidR="00B90C53">
        <w:t xml:space="preserve">create a specific method to assess the quality of ADA investigations, </w:t>
      </w:r>
      <w:r>
        <w:t>develop simple</w:t>
      </w:r>
      <w:r w:rsidR="00B90C53">
        <w:t>r</w:t>
      </w:r>
      <w:r>
        <w:t xml:space="preserve"> documents, </w:t>
      </w:r>
      <w:r w:rsidR="005D2FD7">
        <w:t>provide explicit explanation for requesting accommodations</w:t>
      </w:r>
      <w:r w:rsidR="007B1432">
        <w:t xml:space="preserve"> in the charge</w:t>
      </w:r>
      <w:r w:rsidR="00B90C53">
        <w:t xml:space="preserve"> filing process</w:t>
      </w:r>
      <w:r w:rsidR="005D2FD7">
        <w:t xml:space="preserve">, </w:t>
      </w:r>
      <w:r w:rsidR="00B90C53">
        <w:t xml:space="preserve">improve the response time </w:t>
      </w:r>
      <w:r w:rsidR="005D2FD7">
        <w:t xml:space="preserve">to complainants, and study the charge </w:t>
      </w:r>
      <w:r w:rsidR="007B1432">
        <w:t xml:space="preserve">investigations </w:t>
      </w:r>
      <w:r w:rsidR="005D2FD7">
        <w:t>priority system.</w:t>
      </w:r>
    </w:p>
    <w:p w14:paraId="3305D5C4" w14:textId="77777777" w:rsidR="005D2FD7" w:rsidRDefault="005D2FD7" w:rsidP="00396A3D">
      <w:pPr>
        <w:pStyle w:val="NCDBulletsLevel1"/>
      </w:pPr>
      <w:r>
        <w:t xml:space="preserve">That ODEP revisit prior recommendations and evaluate how they have been adopted, continue to focus on persons with significant long-term disabilities seeking to enter the workforce, and </w:t>
      </w:r>
      <w:r w:rsidR="00B90C53">
        <w:t>that Congress and the President require relevant agencies to consult with ODEP.</w:t>
      </w:r>
    </w:p>
    <w:p w14:paraId="04EFFDD9" w14:textId="77777777" w:rsidR="00B90C53" w:rsidRDefault="00B90C53" w:rsidP="00396A3D">
      <w:pPr>
        <w:pStyle w:val="NCDBulletsLevel1"/>
      </w:pPr>
      <w:r>
        <w:t xml:space="preserve">That OFCCP </w:t>
      </w:r>
      <w:r w:rsidR="00180509">
        <w:t xml:space="preserve">modify its compliance review procedures and improve staff levels to better identify and deter violations of Section 503 and </w:t>
      </w:r>
      <w:r w:rsidR="00460741">
        <w:t xml:space="preserve">ensure the </w:t>
      </w:r>
      <w:r w:rsidR="00180509">
        <w:t xml:space="preserve">focus </w:t>
      </w:r>
      <w:r w:rsidR="00460741">
        <w:t xml:space="preserve">in regulatory development </w:t>
      </w:r>
      <w:r w:rsidR="00180509">
        <w:t>is on the advance</w:t>
      </w:r>
      <w:r w:rsidR="00813111">
        <w:t>ment</w:t>
      </w:r>
      <w:r w:rsidR="00180509">
        <w:t xml:space="preserve"> of employment </w:t>
      </w:r>
      <w:r w:rsidR="00A817B2">
        <w:t xml:space="preserve">of </w:t>
      </w:r>
      <w:r w:rsidR="00180509">
        <w:t>people with disabilities.</w:t>
      </w:r>
    </w:p>
    <w:p w14:paraId="00970D2E" w14:textId="09895F9E" w:rsidR="00813111" w:rsidRDefault="00813111" w:rsidP="00396A3D">
      <w:pPr>
        <w:pStyle w:val="NCDBulletsLevel1"/>
      </w:pPr>
      <w:r>
        <w:t>That WHD improve data collect</w:t>
      </w:r>
      <w:r w:rsidR="00EB4C37">
        <w:t xml:space="preserve">ion and analysis, use directed </w:t>
      </w:r>
      <w:r>
        <w:t xml:space="preserve">investigations in </w:t>
      </w:r>
      <w:r w:rsidR="00EB4C37">
        <w:t xml:space="preserve">Section </w:t>
      </w:r>
      <w:r>
        <w:t>14(c) e</w:t>
      </w:r>
      <w:r w:rsidR="00A817B2">
        <w:t xml:space="preserve">nforcement, </w:t>
      </w:r>
      <w:r>
        <w:t xml:space="preserve">increase education </w:t>
      </w:r>
      <w:r w:rsidR="00EB4C37">
        <w:t xml:space="preserve">on the </w:t>
      </w:r>
      <w:r>
        <w:t xml:space="preserve">rights </w:t>
      </w:r>
      <w:r w:rsidR="00EB4C37">
        <w:t xml:space="preserve">of </w:t>
      </w:r>
      <w:r>
        <w:t>worker</w:t>
      </w:r>
      <w:r w:rsidR="008F1F67">
        <w:t>s</w:t>
      </w:r>
      <w:r>
        <w:t xml:space="preserve"> paid a s</w:t>
      </w:r>
      <w:r w:rsidR="007B1432">
        <w:t>ubminimum wage</w:t>
      </w:r>
      <w:r w:rsidR="008F1F67">
        <w:t>,</w:t>
      </w:r>
      <w:r w:rsidR="00EB4C37">
        <w:t xml:space="preserve"> and analyze</w:t>
      </w:r>
      <w:r w:rsidR="008F1F67">
        <w:t xml:space="preserve"> Family and Medical Leave Act violations.</w:t>
      </w:r>
    </w:p>
    <w:p w14:paraId="71048764" w14:textId="77777777" w:rsidR="00396A3D" w:rsidRDefault="00460741" w:rsidP="00396A3D">
      <w:pPr>
        <w:pStyle w:val="NCDBulletsLevel1"/>
      </w:pPr>
      <w:r>
        <w:t xml:space="preserve">That the Access Board expedite the development of </w:t>
      </w:r>
      <w:r w:rsidR="00037AD9">
        <w:t xml:space="preserve">needed </w:t>
      </w:r>
      <w:r>
        <w:t xml:space="preserve">standards, investigate key parts of </w:t>
      </w:r>
      <w:r w:rsidR="00A817B2">
        <w:t xml:space="preserve">a facility during a </w:t>
      </w:r>
      <w:r>
        <w:t xml:space="preserve">complaint investigation, ensure </w:t>
      </w:r>
      <w:r w:rsidR="00A817B2">
        <w:t xml:space="preserve">timely completion of </w:t>
      </w:r>
      <w:r>
        <w:t>inves</w:t>
      </w:r>
      <w:r w:rsidR="00A817B2">
        <w:t>tigations</w:t>
      </w:r>
      <w:r>
        <w:t>, and partner with other enforcement agencies.</w:t>
      </w:r>
    </w:p>
    <w:p w14:paraId="1DC5CAAA" w14:textId="77777777" w:rsidR="00396A3D" w:rsidRDefault="00396A3D">
      <w:pPr>
        <w:spacing w:after="200"/>
        <w:rPr>
          <w:rFonts w:ascii="Arial" w:eastAsiaTheme="minorHAnsi" w:hAnsi="Arial" w:cs="Arial"/>
          <w:b/>
          <w:sz w:val="36"/>
          <w:szCs w:val="32"/>
        </w:rPr>
      </w:pPr>
      <w:bookmarkStart w:id="14" w:name="_Toc520979973"/>
      <w:r>
        <w:rPr>
          <w:i/>
          <w:sz w:val="36"/>
        </w:rPr>
        <w:br w:type="page"/>
      </w:r>
    </w:p>
    <w:p w14:paraId="1905D039" w14:textId="77777777" w:rsidR="00296DA5" w:rsidRDefault="00296DA5">
      <w:pPr>
        <w:spacing w:after="200"/>
        <w:rPr>
          <w:rFonts w:ascii="Arial" w:eastAsiaTheme="minorHAnsi" w:hAnsi="Arial" w:cs="Arial"/>
          <w:b/>
          <w:sz w:val="36"/>
          <w:szCs w:val="32"/>
        </w:rPr>
      </w:pPr>
      <w:r>
        <w:lastRenderedPageBreak/>
        <w:br w:type="page"/>
      </w:r>
    </w:p>
    <w:p w14:paraId="27AD9AF6" w14:textId="7FD13C5E" w:rsidR="00EB1049" w:rsidRPr="00396A3D" w:rsidRDefault="00EB1049" w:rsidP="00296DA5">
      <w:pPr>
        <w:pStyle w:val="Heading1"/>
      </w:pPr>
      <w:bookmarkStart w:id="15" w:name="_Toc526182072"/>
      <w:r w:rsidRPr="00396A3D">
        <w:lastRenderedPageBreak/>
        <w:t>Acronym</w:t>
      </w:r>
      <w:r w:rsidR="00413DAB" w:rsidRPr="00396A3D">
        <w:t xml:space="preserve"> Glossary</w:t>
      </w:r>
      <w:bookmarkEnd w:id="14"/>
      <w:bookmarkEnd w:id="15"/>
    </w:p>
    <w:p w14:paraId="4A1E98CC" w14:textId="489C0807" w:rsidR="00EB1049" w:rsidRDefault="00EB1049" w:rsidP="00396A3D">
      <w:pPr>
        <w:pStyle w:val="NCDBodyText"/>
        <w:rPr>
          <w:b/>
        </w:rPr>
      </w:pPr>
      <w:r w:rsidRPr="006547F6">
        <w:t>ABA</w:t>
      </w:r>
      <w:r w:rsidR="00AA3988">
        <w:tab/>
      </w:r>
      <w:r w:rsidR="00AA3988">
        <w:tab/>
      </w:r>
      <w:r w:rsidRPr="00167B8A">
        <w:t>Architectural Barriers Act</w:t>
      </w:r>
    </w:p>
    <w:p w14:paraId="12D8A440" w14:textId="485E9A8D" w:rsidR="00EB1049" w:rsidRDefault="00EB1049" w:rsidP="00396A3D">
      <w:pPr>
        <w:pStyle w:val="NCDBodyText"/>
        <w:rPr>
          <w:b/>
        </w:rPr>
      </w:pPr>
      <w:r w:rsidRPr="006547F6">
        <w:t>ADA</w:t>
      </w:r>
      <w:r w:rsidR="00AA3988">
        <w:tab/>
      </w:r>
      <w:r w:rsidR="00AA3988">
        <w:tab/>
      </w:r>
      <w:r w:rsidRPr="00167B8A">
        <w:t>Americans with Disabilities Act</w:t>
      </w:r>
      <w:r>
        <w:t xml:space="preserve"> of 1990</w:t>
      </w:r>
    </w:p>
    <w:p w14:paraId="1C21F26F" w14:textId="143D327C" w:rsidR="00EB1049" w:rsidRDefault="00EB1049" w:rsidP="00396A3D">
      <w:pPr>
        <w:pStyle w:val="NCDBodyText"/>
      </w:pPr>
      <w:r w:rsidRPr="006547F6">
        <w:t>ADAAA</w:t>
      </w:r>
      <w:r w:rsidR="00AA3988">
        <w:rPr>
          <w:b/>
        </w:rPr>
        <w:tab/>
      </w:r>
      <w:r w:rsidRPr="00167B8A">
        <w:t>ADA Amendments Act of 2008</w:t>
      </w:r>
    </w:p>
    <w:p w14:paraId="3EF394E3" w14:textId="3144BB27" w:rsidR="00D8658E" w:rsidRDefault="00D8658E" w:rsidP="00396A3D">
      <w:pPr>
        <w:pStyle w:val="NCDBodyText"/>
      </w:pPr>
      <w:r w:rsidRPr="006547F6">
        <w:t>AJC</w:t>
      </w:r>
      <w:r w:rsidR="00AA3988" w:rsidRPr="006547F6">
        <w:tab/>
      </w:r>
      <w:r w:rsidR="00AA3988">
        <w:tab/>
      </w:r>
      <w:r>
        <w:t>American Job Center</w:t>
      </w:r>
    </w:p>
    <w:p w14:paraId="56306078" w14:textId="702EF4ED" w:rsidR="00377858" w:rsidRDefault="00377858" w:rsidP="00396A3D">
      <w:pPr>
        <w:pStyle w:val="NCDBodyText"/>
        <w:rPr>
          <w:b/>
        </w:rPr>
      </w:pPr>
      <w:r w:rsidRPr="006547F6">
        <w:t>CRC</w:t>
      </w:r>
      <w:r w:rsidR="00AA3988" w:rsidRPr="006547F6">
        <w:tab/>
      </w:r>
      <w:r w:rsidR="00AA3988">
        <w:tab/>
      </w:r>
      <w:r>
        <w:t>Civil Rights Center</w:t>
      </w:r>
    </w:p>
    <w:p w14:paraId="5D5E553A" w14:textId="77995E92" w:rsidR="00EB1049" w:rsidRDefault="00EB1049" w:rsidP="00396A3D">
      <w:pPr>
        <w:pStyle w:val="NCDBodyText"/>
      </w:pPr>
      <w:r w:rsidRPr="006547F6">
        <w:t>CR</w:t>
      </w:r>
      <w:r w:rsidR="0017021D" w:rsidRPr="006547F6">
        <w:t>P</w:t>
      </w:r>
      <w:r w:rsidR="00AA3988" w:rsidRPr="006547F6">
        <w:tab/>
      </w:r>
      <w:r w:rsidR="00AA3988">
        <w:tab/>
      </w:r>
      <w:r w:rsidR="0017021D">
        <w:t>Community Rehabilitation Program</w:t>
      </w:r>
    </w:p>
    <w:p w14:paraId="50633013" w14:textId="39441346" w:rsidR="00396A3D" w:rsidRDefault="000E6AC0" w:rsidP="00396A3D">
      <w:pPr>
        <w:pStyle w:val="NCDBodyText"/>
      </w:pPr>
      <w:r w:rsidRPr="006547F6">
        <w:t>DE</w:t>
      </w:r>
      <w:r w:rsidR="002E051F" w:rsidRPr="006547F6">
        <w:t>I</w:t>
      </w:r>
      <w:r w:rsidR="00AA3988" w:rsidRPr="006547F6">
        <w:tab/>
      </w:r>
      <w:r w:rsidR="00AA3988">
        <w:rPr>
          <w:b/>
        </w:rPr>
        <w:tab/>
      </w:r>
      <w:r w:rsidR="00B04DAD" w:rsidRPr="00CE4717">
        <w:t>Disability Employment Initiative</w:t>
      </w:r>
    </w:p>
    <w:p w14:paraId="394A9D4B" w14:textId="6FEDB13A" w:rsidR="001217ED" w:rsidRPr="00226E53" w:rsidRDefault="001217ED" w:rsidP="00396A3D">
      <w:pPr>
        <w:pStyle w:val="NCDBodyText"/>
      </w:pPr>
      <w:r w:rsidRPr="006547F6">
        <w:t>DOJ</w:t>
      </w:r>
      <w:r w:rsidR="00AA3988" w:rsidRPr="006547F6">
        <w:tab/>
      </w:r>
      <w:r w:rsidR="00AA3988">
        <w:tab/>
      </w:r>
      <w:r>
        <w:t>Department of Justice</w:t>
      </w:r>
    </w:p>
    <w:p w14:paraId="078C4A90" w14:textId="3D5ADEB8" w:rsidR="00EB1049" w:rsidRPr="00226E53" w:rsidRDefault="00EB1049" w:rsidP="00396A3D">
      <w:pPr>
        <w:pStyle w:val="NCDBodyText"/>
      </w:pPr>
      <w:r w:rsidRPr="006547F6">
        <w:t>DOL</w:t>
      </w:r>
      <w:r w:rsidR="00AA3988" w:rsidRPr="006547F6">
        <w:tab/>
      </w:r>
      <w:r w:rsidR="00AA3988">
        <w:rPr>
          <w:b/>
        </w:rPr>
        <w:tab/>
      </w:r>
      <w:r>
        <w:t>Department of Labor</w:t>
      </w:r>
    </w:p>
    <w:p w14:paraId="45C27B98" w14:textId="20EED8AE" w:rsidR="00EB1049" w:rsidRDefault="00EB1049" w:rsidP="00396A3D">
      <w:pPr>
        <w:pStyle w:val="NCDBodyText"/>
      </w:pPr>
      <w:r w:rsidRPr="006547F6">
        <w:t>DOT</w:t>
      </w:r>
      <w:r w:rsidR="00AA3988" w:rsidRPr="006547F6">
        <w:tab/>
      </w:r>
      <w:r w:rsidR="00AA3988">
        <w:tab/>
      </w:r>
      <w:r>
        <w:t>Department of Transportation</w:t>
      </w:r>
    </w:p>
    <w:p w14:paraId="706538FB" w14:textId="55704B10" w:rsidR="00396A3D" w:rsidRDefault="00EB1049" w:rsidP="00396A3D">
      <w:pPr>
        <w:pStyle w:val="NCDBodyText"/>
      </w:pPr>
      <w:r w:rsidRPr="006547F6">
        <w:t>EARN</w:t>
      </w:r>
      <w:r w:rsidR="00AA3988" w:rsidRPr="006547F6">
        <w:tab/>
      </w:r>
      <w:r w:rsidR="00AA3988">
        <w:tab/>
      </w:r>
      <w:r w:rsidRPr="00423854">
        <w:t>Employer Assistance and Resource Network on Disability Inclusion</w:t>
      </w:r>
    </w:p>
    <w:p w14:paraId="608D7F70" w14:textId="5BFAF9DE" w:rsidR="00EB1049" w:rsidRPr="00226E53" w:rsidRDefault="00EB1049" w:rsidP="00396A3D">
      <w:pPr>
        <w:pStyle w:val="NCDBodyText"/>
      </w:pPr>
      <w:r w:rsidRPr="006547F6">
        <w:t>EEOC</w:t>
      </w:r>
      <w:r w:rsidR="00AA3988" w:rsidRPr="006547F6">
        <w:tab/>
      </w:r>
      <w:r w:rsidR="00AA3988">
        <w:rPr>
          <w:b/>
        </w:rPr>
        <w:tab/>
      </w:r>
      <w:r>
        <w:t>Equal Employment Opportunity Commission</w:t>
      </w:r>
    </w:p>
    <w:p w14:paraId="2F5EDC3B" w14:textId="106FC25D" w:rsidR="00EB1049" w:rsidRPr="00226E53" w:rsidRDefault="00EB1049" w:rsidP="00396A3D">
      <w:pPr>
        <w:pStyle w:val="NCDBodyText"/>
      </w:pPr>
      <w:r w:rsidRPr="006547F6">
        <w:t>EO</w:t>
      </w:r>
      <w:r w:rsidR="00AA3988" w:rsidRPr="006547F6">
        <w:tab/>
      </w:r>
      <w:r w:rsidR="00AA3988">
        <w:rPr>
          <w:b/>
        </w:rPr>
        <w:tab/>
      </w:r>
      <w:r>
        <w:t>Executive Order</w:t>
      </w:r>
    </w:p>
    <w:p w14:paraId="3FC63DEC" w14:textId="44DB2512" w:rsidR="00396A3D" w:rsidRDefault="00EB1049" w:rsidP="00396A3D">
      <w:pPr>
        <w:pStyle w:val="NCDBodyText"/>
      </w:pPr>
      <w:r w:rsidRPr="006547F6">
        <w:t>ETA</w:t>
      </w:r>
      <w:r w:rsidR="00AA3988" w:rsidRPr="006547F6">
        <w:tab/>
      </w:r>
      <w:r w:rsidR="00AA3988">
        <w:tab/>
      </w:r>
      <w:r>
        <w:t>Employment and Training Administration</w:t>
      </w:r>
    </w:p>
    <w:p w14:paraId="0722A3BF" w14:textId="37A68BF3" w:rsidR="00EB1049" w:rsidRPr="00226E53" w:rsidRDefault="00EB1049" w:rsidP="00396A3D">
      <w:pPr>
        <w:pStyle w:val="NCDBodyText"/>
      </w:pPr>
      <w:r w:rsidRPr="006547F6">
        <w:t>FEPA</w:t>
      </w:r>
      <w:r w:rsidR="00AA3988" w:rsidRPr="006547F6">
        <w:tab/>
      </w:r>
      <w:r w:rsidR="00AA3988">
        <w:tab/>
      </w:r>
      <w:r>
        <w:t>Fair Employment Practice Agency</w:t>
      </w:r>
    </w:p>
    <w:p w14:paraId="56F07CAD" w14:textId="74218CFD" w:rsidR="00EB1049" w:rsidRPr="00226E53" w:rsidRDefault="00EB1049" w:rsidP="00396A3D">
      <w:pPr>
        <w:pStyle w:val="NCDBodyText"/>
      </w:pPr>
      <w:r w:rsidRPr="006547F6">
        <w:t>FLSA</w:t>
      </w:r>
      <w:r w:rsidR="00AA3988" w:rsidRPr="006547F6">
        <w:tab/>
      </w:r>
      <w:r w:rsidR="00AA3988">
        <w:tab/>
      </w:r>
      <w:r>
        <w:t>Fair Labor Standards Act</w:t>
      </w:r>
    </w:p>
    <w:p w14:paraId="62EBCBB7" w14:textId="3B2EAB68" w:rsidR="00EB1049" w:rsidRPr="00226E53" w:rsidRDefault="00EB1049" w:rsidP="00396A3D">
      <w:pPr>
        <w:pStyle w:val="NCDBodyText"/>
      </w:pPr>
      <w:r w:rsidRPr="006547F6">
        <w:t>FMLA</w:t>
      </w:r>
      <w:r w:rsidR="00AA3988" w:rsidRPr="006547F6">
        <w:tab/>
      </w:r>
      <w:r w:rsidR="00AA3988">
        <w:tab/>
      </w:r>
      <w:r>
        <w:t>Family Medical Leave Act</w:t>
      </w:r>
    </w:p>
    <w:p w14:paraId="0AF327A4" w14:textId="133B617C" w:rsidR="00EB1049" w:rsidRPr="00226E53" w:rsidRDefault="00EB1049" w:rsidP="00396A3D">
      <w:pPr>
        <w:pStyle w:val="NCDBodyText"/>
      </w:pPr>
      <w:r w:rsidRPr="006547F6">
        <w:t>FTE</w:t>
      </w:r>
      <w:r w:rsidR="00AA3988" w:rsidRPr="006547F6">
        <w:tab/>
      </w:r>
      <w:r w:rsidR="00AA3988">
        <w:tab/>
      </w:r>
      <w:r>
        <w:t>Full-Time Equivalent</w:t>
      </w:r>
    </w:p>
    <w:p w14:paraId="2D44713B" w14:textId="3031A5F5" w:rsidR="00EB1049" w:rsidRDefault="00EB1049" w:rsidP="00396A3D">
      <w:pPr>
        <w:pStyle w:val="NCDBodyText"/>
      </w:pPr>
      <w:r w:rsidRPr="006547F6">
        <w:t>FY</w:t>
      </w:r>
      <w:r w:rsidR="00AA3988" w:rsidRPr="006547F6">
        <w:tab/>
      </w:r>
      <w:r w:rsidR="00AA3988">
        <w:rPr>
          <w:b/>
        </w:rPr>
        <w:tab/>
      </w:r>
      <w:r>
        <w:t>Fiscal Year</w:t>
      </w:r>
    </w:p>
    <w:p w14:paraId="221EB418" w14:textId="794E2AB5" w:rsidR="003F5A39" w:rsidRDefault="003F5A39" w:rsidP="00396A3D">
      <w:pPr>
        <w:pStyle w:val="NCDBodyText"/>
        <w:rPr>
          <w:b/>
        </w:rPr>
      </w:pPr>
      <w:r w:rsidRPr="006547F6">
        <w:t>GAO</w:t>
      </w:r>
      <w:r w:rsidR="00AA3988" w:rsidRPr="006547F6">
        <w:tab/>
      </w:r>
      <w:r w:rsidR="00AA3988">
        <w:tab/>
      </w:r>
      <w:r>
        <w:t>Government Acco</w:t>
      </w:r>
      <w:r w:rsidR="00FB2011">
        <w:t>u</w:t>
      </w:r>
      <w:r>
        <w:t>nting Office</w:t>
      </w:r>
    </w:p>
    <w:p w14:paraId="35B8B62E" w14:textId="3AF43983" w:rsidR="00EB1049" w:rsidRPr="00226E53" w:rsidRDefault="00EB1049" w:rsidP="00396A3D">
      <w:pPr>
        <w:pStyle w:val="NCDBodyText"/>
      </w:pPr>
      <w:r w:rsidRPr="006547F6">
        <w:lastRenderedPageBreak/>
        <w:t>GINA</w:t>
      </w:r>
      <w:r w:rsidR="003837E2" w:rsidRPr="006547F6">
        <w:tab/>
      </w:r>
      <w:r w:rsidR="003837E2">
        <w:rPr>
          <w:b/>
        </w:rPr>
        <w:tab/>
      </w:r>
      <w:r>
        <w:t>Genetic Information Nondiscrimination Act</w:t>
      </w:r>
    </w:p>
    <w:p w14:paraId="0A31E313" w14:textId="2DB7DBEC" w:rsidR="00EB1049" w:rsidRDefault="00EB1049" w:rsidP="00396A3D">
      <w:pPr>
        <w:pStyle w:val="NCDBodyText"/>
      </w:pPr>
      <w:r w:rsidRPr="006547F6">
        <w:t>JAN</w:t>
      </w:r>
      <w:r w:rsidR="003837E2" w:rsidRPr="006547F6">
        <w:tab/>
      </w:r>
      <w:r w:rsidR="003837E2">
        <w:tab/>
      </w:r>
      <w:r>
        <w:t>Job Accommodation Network</w:t>
      </w:r>
    </w:p>
    <w:p w14:paraId="17B42D29" w14:textId="5248A44B" w:rsidR="008B1F98" w:rsidRDefault="008B1F98" w:rsidP="003837E2">
      <w:pPr>
        <w:pStyle w:val="NCDBodyText"/>
        <w:ind w:left="1440" w:hanging="1440"/>
      </w:pPr>
      <w:r w:rsidRPr="006547F6">
        <w:t>LEAD</w:t>
      </w:r>
      <w:r w:rsidR="003837E2">
        <w:tab/>
      </w:r>
      <w:r w:rsidRPr="00423854">
        <w:t>Leadership for the Employment and Advancement of People with Disabilities</w:t>
      </w:r>
    </w:p>
    <w:p w14:paraId="4AD94C5D" w14:textId="64229C3B" w:rsidR="003F2269" w:rsidRDefault="00101B24" w:rsidP="00396A3D">
      <w:pPr>
        <w:pStyle w:val="NCDBodyText"/>
      </w:pPr>
      <w:r w:rsidRPr="006547F6">
        <w:t>MOU</w:t>
      </w:r>
      <w:r w:rsidR="00B5419A">
        <w:tab/>
      </w:r>
      <w:r w:rsidR="00B5419A">
        <w:tab/>
      </w:r>
      <w:r w:rsidRPr="00D20526">
        <w:t>Memorand</w:t>
      </w:r>
      <w:r>
        <w:t>a</w:t>
      </w:r>
      <w:r w:rsidRPr="00D20526">
        <w:t xml:space="preserve"> of Understanding</w:t>
      </w:r>
      <w:r>
        <w:t>s</w:t>
      </w:r>
    </w:p>
    <w:p w14:paraId="1FA8A882" w14:textId="741DD74D" w:rsidR="00101B24" w:rsidRPr="00A93179" w:rsidRDefault="003F2269" w:rsidP="00396A3D">
      <w:pPr>
        <w:pStyle w:val="NCDBodyText"/>
        <w:rPr>
          <w:b/>
        </w:rPr>
      </w:pPr>
      <w:r w:rsidRPr="006547F6">
        <w:t>NCD</w:t>
      </w:r>
      <w:r w:rsidR="00B5419A">
        <w:tab/>
      </w:r>
      <w:r w:rsidR="00B5419A">
        <w:tab/>
      </w:r>
      <w:r>
        <w:t>National Council on Disability</w:t>
      </w:r>
    </w:p>
    <w:p w14:paraId="36E0F3A5" w14:textId="314CFB4D" w:rsidR="00EB1049" w:rsidRPr="00226E53" w:rsidRDefault="00EB1049" w:rsidP="00396A3D">
      <w:pPr>
        <w:pStyle w:val="NCDBodyText"/>
      </w:pPr>
      <w:r w:rsidRPr="006547F6">
        <w:t>ODEP</w:t>
      </w:r>
      <w:r w:rsidR="00B5419A">
        <w:rPr>
          <w:b/>
        </w:rPr>
        <w:tab/>
      </w:r>
      <w:r w:rsidR="00B5419A">
        <w:rPr>
          <w:b/>
        </w:rPr>
        <w:tab/>
      </w:r>
      <w:r w:rsidRPr="00226E53">
        <w:t>Office of Disability Employment Policy</w:t>
      </w:r>
    </w:p>
    <w:p w14:paraId="6EEFCD11" w14:textId="5CD9BC84" w:rsidR="00EB1049" w:rsidRDefault="00EB1049" w:rsidP="00396A3D">
      <w:pPr>
        <w:pStyle w:val="NCDBodyText"/>
      </w:pPr>
      <w:r w:rsidRPr="006547F6">
        <w:t>OFCCP</w:t>
      </w:r>
      <w:r w:rsidR="00B5419A">
        <w:rPr>
          <w:b/>
        </w:rPr>
        <w:tab/>
      </w:r>
      <w:r>
        <w:t>Office of Federal Contract Compliance Programs</w:t>
      </w:r>
    </w:p>
    <w:p w14:paraId="009AF400" w14:textId="0D243E7D" w:rsidR="009D1554" w:rsidRDefault="009D1554" w:rsidP="00396A3D">
      <w:pPr>
        <w:pStyle w:val="NCDBodyText"/>
        <w:rPr>
          <w:b/>
        </w:rPr>
      </w:pPr>
      <w:r w:rsidRPr="006547F6">
        <w:t>OGC</w:t>
      </w:r>
      <w:r w:rsidR="00B5419A" w:rsidRPr="006547F6">
        <w:tab/>
      </w:r>
      <w:r w:rsidR="00B5419A">
        <w:rPr>
          <w:b/>
        </w:rPr>
        <w:tab/>
      </w:r>
      <w:r w:rsidRPr="009D1554">
        <w:t xml:space="preserve">Office of </w:t>
      </w:r>
      <w:r>
        <w:t xml:space="preserve">General </w:t>
      </w:r>
      <w:r w:rsidRPr="009D1554">
        <w:t>Council</w:t>
      </w:r>
      <w:r>
        <w:t xml:space="preserve"> (EEOC)</w:t>
      </w:r>
    </w:p>
    <w:p w14:paraId="538F49FD" w14:textId="3CB51C26" w:rsidR="00EB1049" w:rsidRDefault="009D1554" w:rsidP="00396A3D">
      <w:pPr>
        <w:pStyle w:val="NCDBodyText"/>
      </w:pPr>
      <w:r w:rsidRPr="006547F6">
        <w:t>OLC</w:t>
      </w:r>
      <w:r w:rsidR="00B5419A" w:rsidRPr="006547F6">
        <w:tab/>
      </w:r>
      <w:r w:rsidR="00B5419A">
        <w:tab/>
      </w:r>
      <w:r>
        <w:t>Office of Legal Council (EEOC)</w:t>
      </w:r>
    </w:p>
    <w:p w14:paraId="18F86F0B" w14:textId="0A50B39F" w:rsidR="00173755" w:rsidRPr="00173755" w:rsidRDefault="00173755" w:rsidP="00396A3D">
      <w:pPr>
        <w:pStyle w:val="NCDBodyText"/>
      </w:pPr>
      <w:r w:rsidRPr="006547F6">
        <w:t>PTSD</w:t>
      </w:r>
      <w:r w:rsidR="00B5419A" w:rsidRPr="006547F6">
        <w:tab/>
      </w:r>
      <w:r w:rsidR="00B5419A">
        <w:rPr>
          <w:b/>
        </w:rPr>
        <w:tab/>
      </w:r>
      <w:r>
        <w:t>Post-Traumatic Stress Disorder</w:t>
      </w:r>
    </w:p>
    <w:p w14:paraId="3B164C46" w14:textId="0EA5828F" w:rsidR="00EB1049" w:rsidRPr="00A56FB3" w:rsidRDefault="00EB1049" w:rsidP="00396A3D">
      <w:pPr>
        <w:pStyle w:val="NCDBodyText"/>
      </w:pPr>
      <w:r w:rsidRPr="006547F6">
        <w:t>RSA</w:t>
      </w:r>
      <w:r w:rsidR="00B5419A" w:rsidRPr="006547F6">
        <w:tab/>
      </w:r>
      <w:r w:rsidR="00B5419A">
        <w:tab/>
      </w:r>
      <w:r>
        <w:t>Rehabilitation Services Administration</w:t>
      </w:r>
    </w:p>
    <w:p w14:paraId="73C4F182" w14:textId="29C42367" w:rsidR="00D70765" w:rsidRDefault="00EB1049" w:rsidP="00396A3D">
      <w:pPr>
        <w:pStyle w:val="NCDBodyText"/>
      </w:pPr>
      <w:r w:rsidRPr="006547F6">
        <w:t>SEED</w:t>
      </w:r>
      <w:r w:rsidR="00B5419A" w:rsidRPr="006547F6">
        <w:tab/>
      </w:r>
      <w:r w:rsidR="00B5419A">
        <w:tab/>
      </w:r>
      <w:r w:rsidRPr="00423854">
        <w:t>State Exchange on Employment and Disability</w:t>
      </w:r>
    </w:p>
    <w:p w14:paraId="6178E4CE" w14:textId="17B625C6" w:rsidR="00EB1049" w:rsidRDefault="00D70765" w:rsidP="00396A3D">
      <w:pPr>
        <w:pStyle w:val="NCDBodyText"/>
      </w:pPr>
      <w:r w:rsidRPr="006547F6">
        <w:t>SOL</w:t>
      </w:r>
      <w:r w:rsidR="00B5419A" w:rsidRPr="006547F6">
        <w:tab/>
      </w:r>
      <w:r w:rsidR="00B5419A">
        <w:tab/>
      </w:r>
      <w:r>
        <w:t>Office of the Solicitor</w:t>
      </w:r>
    </w:p>
    <w:p w14:paraId="75EEA8B2" w14:textId="75483EF3" w:rsidR="00EB1049" w:rsidRDefault="00EB1049" w:rsidP="00396A3D">
      <w:pPr>
        <w:pStyle w:val="NCDBodyText"/>
      </w:pPr>
      <w:r w:rsidRPr="006547F6">
        <w:t>SWEPs</w:t>
      </w:r>
      <w:r w:rsidR="00B5419A">
        <w:tab/>
      </w:r>
      <w:r>
        <w:t>School</w:t>
      </w:r>
      <w:r w:rsidRPr="00676A96">
        <w:t xml:space="preserve"> Work Experience Programs</w:t>
      </w:r>
    </w:p>
    <w:p w14:paraId="5FCAAA26" w14:textId="278E6920" w:rsidR="00EB1049" w:rsidRDefault="00EB1049" w:rsidP="00396A3D">
      <w:pPr>
        <w:pStyle w:val="NCDBodyText"/>
      </w:pPr>
      <w:r w:rsidRPr="006547F6">
        <w:t>TA</w:t>
      </w:r>
      <w:r w:rsidR="00B5419A" w:rsidRPr="006547F6">
        <w:tab/>
      </w:r>
      <w:r w:rsidR="00B5419A">
        <w:rPr>
          <w:b/>
        </w:rPr>
        <w:tab/>
      </w:r>
      <w:r>
        <w:t>Technical Assistance</w:t>
      </w:r>
    </w:p>
    <w:p w14:paraId="1AF2E134" w14:textId="16138EA9" w:rsidR="00C0635D" w:rsidRDefault="00C0635D" w:rsidP="00396A3D">
      <w:pPr>
        <w:pStyle w:val="NCDBodyText"/>
        <w:rPr>
          <w:b/>
        </w:rPr>
      </w:pPr>
      <w:r w:rsidRPr="006547F6">
        <w:t>VEVRA</w:t>
      </w:r>
      <w:r w:rsidR="00B5419A">
        <w:tab/>
      </w:r>
      <w:r>
        <w:t xml:space="preserve">Vietnam Era Veterans’ Readjustment Assistance </w:t>
      </w:r>
      <w:r w:rsidRPr="00721317">
        <w:t>Act</w:t>
      </w:r>
    </w:p>
    <w:p w14:paraId="7CEE6CCF" w14:textId="7059CA11" w:rsidR="00EB1049" w:rsidRDefault="00EB1049" w:rsidP="00396A3D">
      <w:pPr>
        <w:pStyle w:val="NCDBodyText"/>
        <w:rPr>
          <w:b/>
        </w:rPr>
      </w:pPr>
      <w:r w:rsidRPr="006547F6">
        <w:t>WHD</w:t>
      </w:r>
      <w:r w:rsidR="00B5419A" w:rsidRPr="006547F6">
        <w:tab/>
      </w:r>
      <w:r w:rsidR="00B5419A">
        <w:rPr>
          <w:b/>
        </w:rPr>
        <w:tab/>
      </w:r>
      <w:r>
        <w:t>Wage and Hour Division</w:t>
      </w:r>
    </w:p>
    <w:p w14:paraId="61D14ED0" w14:textId="57C3AF4D" w:rsidR="00857A1F" w:rsidRPr="00EB1049" w:rsidRDefault="00EB1049" w:rsidP="00396A3D">
      <w:pPr>
        <w:pStyle w:val="NCDBodyText"/>
        <w:rPr>
          <w:b/>
        </w:rPr>
      </w:pPr>
      <w:r w:rsidRPr="006547F6">
        <w:t>WIOA</w:t>
      </w:r>
      <w:r w:rsidR="00B5419A" w:rsidRPr="006547F6">
        <w:tab/>
      </w:r>
      <w:r w:rsidR="00B5419A">
        <w:tab/>
      </w:r>
      <w:r w:rsidRPr="00167B8A">
        <w:t>Workforce Innovation and Opportunity Act</w:t>
      </w:r>
    </w:p>
    <w:p w14:paraId="4FAADEB9" w14:textId="77777777" w:rsidR="00396A3D" w:rsidRDefault="00396A3D">
      <w:pPr>
        <w:spacing w:after="200"/>
        <w:rPr>
          <w:rFonts w:ascii="Arial" w:eastAsia="Times New Roman" w:hAnsi="Arial"/>
          <w:color w:val="7F7F7F" w:themeColor="text1" w:themeTint="80"/>
          <w:sz w:val="36"/>
          <w:szCs w:val="32"/>
        </w:rPr>
      </w:pPr>
      <w:bookmarkStart w:id="16" w:name="INTRDUCTION"/>
      <w:bookmarkStart w:id="17" w:name="_Toc520979974"/>
      <w:bookmarkEnd w:id="16"/>
      <w:r>
        <w:rPr>
          <w:caps/>
        </w:rPr>
        <w:br w:type="page"/>
      </w:r>
    </w:p>
    <w:p w14:paraId="35C96717" w14:textId="7FD5FF2A" w:rsidR="00857A1F" w:rsidRPr="00CC0C00" w:rsidRDefault="00A46F95" w:rsidP="00296DA5">
      <w:pPr>
        <w:pStyle w:val="Heading1"/>
        <w:rPr>
          <w:caps/>
        </w:rPr>
      </w:pPr>
      <w:bookmarkStart w:id="18" w:name="_Toc526182073"/>
      <w:r w:rsidRPr="00CC0C00">
        <w:lastRenderedPageBreak/>
        <w:t>Introduction</w:t>
      </w:r>
      <w:bookmarkEnd w:id="17"/>
      <w:bookmarkEnd w:id="18"/>
    </w:p>
    <w:p w14:paraId="0A84BBEB" w14:textId="1FC1C1CF" w:rsidR="0060133B" w:rsidRPr="004029ED" w:rsidRDefault="0060133B" w:rsidP="00296DA5">
      <w:pPr>
        <w:pStyle w:val="NCDBodyText"/>
      </w:pPr>
      <w:r>
        <w:t>T</w:t>
      </w:r>
      <w:r>
        <w:rPr>
          <w:rFonts w:cs="Arial"/>
        </w:rPr>
        <w:t>he National Council on Disability (</w:t>
      </w:r>
      <w:r w:rsidRPr="00264766">
        <w:t>NCD</w:t>
      </w:r>
      <w:r>
        <w:t>)</w:t>
      </w:r>
      <w:r w:rsidRPr="00264766">
        <w:t xml:space="preserve"> </w:t>
      </w:r>
      <w:r>
        <w:t>is</w:t>
      </w:r>
      <w:r w:rsidRPr="00264766">
        <w:t xml:space="preserve"> congressionally mandated to advise the </w:t>
      </w:r>
      <w:r>
        <w:t>P</w:t>
      </w:r>
      <w:r w:rsidRPr="00264766">
        <w:t>resident, Congress, and other policymakers on disability policies and practices that enhance equal opportunity for people with disabilities to achieve economic self-sufficiency, independent living, and inclusion and integrati</w:t>
      </w:r>
      <w:r>
        <w:t>on into all aspects of society.</w:t>
      </w:r>
      <w:r w:rsidR="004029ED" w:rsidRPr="004029ED">
        <w:t xml:space="preserve"> </w:t>
      </w:r>
      <w:r w:rsidR="004029ED">
        <w:t xml:space="preserve">This </w:t>
      </w:r>
      <w:r w:rsidR="004029ED" w:rsidRPr="004029ED">
        <w:t xml:space="preserve">Progress Report titled </w:t>
      </w:r>
      <w:r w:rsidR="00631E24" w:rsidRPr="00631E24">
        <w:rPr>
          <w:i/>
        </w:rPr>
        <w:t xml:space="preserve">Has the Promise Been Kept? </w:t>
      </w:r>
      <w:r w:rsidR="004029ED" w:rsidRPr="004029ED">
        <w:t>fulfills NCD</w:t>
      </w:r>
      <w:r w:rsidR="006474CA">
        <w:t>’</w:t>
      </w:r>
      <w:r w:rsidR="004029ED" w:rsidRPr="004029ED">
        <w:t xml:space="preserve">s congressional mandate by advising policymakers on policies and practices that enable federal agencies to effectively </w:t>
      </w:r>
      <w:r w:rsidR="00BF6A4C">
        <w:t xml:space="preserve">enforce </w:t>
      </w:r>
      <w:r w:rsidR="004029ED" w:rsidRPr="004029ED">
        <w:t>federal disability rights laws.</w:t>
      </w:r>
    </w:p>
    <w:p w14:paraId="1349470B" w14:textId="77777777" w:rsidR="00396A3D" w:rsidRDefault="00D02842" w:rsidP="00296DA5">
      <w:pPr>
        <w:pStyle w:val="NCDBodyText"/>
      </w:pPr>
      <w:r w:rsidRPr="00A817B2">
        <w:t xml:space="preserve">The United States has been at the forefront in the </w:t>
      </w:r>
      <w:r w:rsidR="00BF6A4C" w:rsidRPr="00A817B2">
        <w:t xml:space="preserve">legal </w:t>
      </w:r>
      <w:r w:rsidRPr="00A817B2">
        <w:t>advancement of the rights of people with disabilities</w:t>
      </w:r>
      <w:r w:rsidR="00A817B2" w:rsidRPr="00A817B2">
        <w:t>, led by people with disabilities who demanded equality and justice</w:t>
      </w:r>
      <w:r w:rsidRPr="00A817B2">
        <w:t xml:space="preserve">. Though </w:t>
      </w:r>
      <w:r w:rsidR="009D1554" w:rsidRPr="00A817B2">
        <w:t>th</w:t>
      </w:r>
      <w:r w:rsidR="00324629" w:rsidRPr="00A817B2">
        <w:t xml:space="preserve">e </w:t>
      </w:r>
      <w:r w:rsidRPr="00A817B2">
        <w:t xml:space="preserve">legislative recognition </w:t>
      </w:r>
      <w:r w:rsidR="00A817B2">
        <w:t xml:space="preserve">by the United States </w:t>
      </w:r>
      <w:r w:rsidRPr="00A817B2">
        <w:t>that disability rights are civil rights has not been swift,</w:t>
      </w:r>
      <w:r w:rsidR="00324629" w:rsidRPr="00A817B2">
        <w:t xml:space="preserve"> </w:t>
      </w:r>
      <w:r w:rsidR="00A817B2">
        <w:t xml:space="preserve">the </w:t>
      </w:r>
      <w:r w:rsidR="00A817B2" w:rsidRPr="00A817B2">
        <w:t xml:space="preserve">disability rights </w:t>
      </w:r>
      <w:r w:rsidR="00A817B2">
        <w:t xml:space="preserve">movement </w:t>
      </w:r>
      <w:r w:rsidR="00BF6A4C" w:rsidRPr="00A817B2">
        <w:t>was</w:t>
      </w:r>
      <w:r w:rsidRPr="00A817B2">
        <w:t xml:space="preserve"> the impetus for a number of federal civil rights laws</w:t>
      </w:r>
      <w:r w:rsidR="00BF6A4C" w:rsidRPr="00A817B2">
        <w:t>, most notably the Americans with Disabilities Act (ADA) of 1990</w:t>
      </w:r>
      <w:r w:rsidR="005F62F7" w:rsidRPr="00A817B2">
        <w:rPr>
          <w:rStyle w:val="EndnoteReference"/>
          <w:rFonts w:cs="Arial"/>
        </w:rPr>
        <w:endnoteReference w:id="1"/>
      </w:r>
      <w:r w:rsidR="005F62F7" w:rsidRPr="00A817B2">
        <w:t xml:space="preserve"> </w:t>
      </w:r>
      <w:r w:rsidRPr="00A817B2">
        <w:t xml:space="preserve">to ensure equal opportunity for people with disabilities. </w:t>
      </w:r>
      <w:r w:rsidR="00A3345A" w:rsidRPr="00A817B2">
        <w:t>Several of t</w:t>
      </w:r>
      <w:r w:rsidRPr="00A817B2">
        <w:t xml:space="preserve">hese federal enactments are described in Appendix </w:t>
      </w:r>
      <w:r w:rsidR="00A3345A" w:rsidRPr="00A817B2">
        <w:t>B</w:t>
      </w:r>
      <w:r w:rsidRPr="00A817B2">
        <w:t>.</w:t>
      </w:r>
    </w:p>
    <w:p w14:paraId="6D37FCC3" w14:textId="7BA0051E" w:rsidR="0060133B" w:rsidRDefault="004029ED" w:rsidP="00396A3D">
      <w:pPr>
        <w:pStyle w:val="NCDBodyText"/>
      </w:pPr>
      <w:r w:rsidRPr="00405B43">
        <w:t xml:space="preserve">Enforcement </w:t>
      </w:r>
      <w:r w:rsidRPr="004029ED">
        <w:t xml:space="preserve">of </w:t>
      </w:r>
      <w:r w:rsidRPr="009D1554">
        <w:t>the ADA is critical</w:t>
      </w:r>
      <w:r w:rsidRPr="004029ED">
        <w:t xml:space="preserve"> to provide equal opportunity across all aspects of community life for people with disabilities</w:t>
      </w:r>
      <w:r>
        <w:t xml:space="preserve">, and in </w:t>
      </w:r>
      <w:r w:rsidR="0060133B" w:rsidRPr="006675D4">
        <w:t>2000</w:t>
      </w:r>
      <w:r w:rsidR="0060133B">
        <w:t xml:space="preserve"> </w:t>
      </w:r>
      <w:r w:rsidR="00772F82">
        <w:t xml:space="preserve">NCD </w:t>
      </w:r>
      <w:r w:rsidR="0060133B">
        <w:t xml:space="preserve">issued </w:t>
      </w:r>
      <w:r w:rsidR="00631E24" w:rsidRPr="00631E24">
        <w:rPr>
          <w:i/>
        </w:rPr>
        <w:t>Promises to Keep: A Decade of Federal Enforcement of the Americans with Disabilities Ac</w:t>
      </w:r>
      <w:r w:rsidR="0060133B">
        <w:t>t</w:t>
      </w:r>
      <w:r w:rsidR="00324629">
        <w:t>, t</w:t>
      </w:r>
      <w:r w:rsidR="0060133B">
        <w:t xml:space="preserve">he third in a series of reports </w:t>
      </w:r>
      <w:r w:rsidR="00596D8A">
        <w:t>on</w:t>
      </w:r>
      <w:r>
        <w:t xml:space="preserve"> the ADA.</w:t>
      </w:r>
      <w:r w:rsidR="006C1993">
        <w:rPr>
          <w:rStyle w:val="EndnoteReference"/>
          <w:rFonts w:cs="Arial"/>
        </w:rPr>
        <w:endnoteReference w:id="2"/>
      </w:r>
      <w:r w:rsidR="0060133B">
        <w:t xml:space="preserve"> </w:t>
      </w:r>
      <w:r>
        <w:t xml:space="preserve">In </w:t>
      </w:r>
      <w:r w:rsidR="00631E24" w:rsidRPr="00631E24">
        <w:rPr>
          <w:i/>
        </w:rPr>
        <w:t>Promises to Keep</w:t>
      </w:r>
      <w:r w:rsidR="00A3345A">
        <w:t xml:space="preserve">, </w:t>
      </w:r>
      <w:r>
        <w:t xml:space="preserve">NCD </w:t>
      </w:r>
      <w:r w:rsidR="0060133B">
        <w:t>considered the ADA enforcement activities</w:t>
      </w:r>
      <w:r w:rsidR="00A3345A">
        <w:t xml:space="preserve"> of</w:t>
      </w:r>
      <w:r w:rsidR="0060133B">
        <w:t xml:space="preserve"> </w:t>
      </w:r>
      <w:r w:rsidR="004E43EC">
        <w:t xml:space="preserve">the </w:t>
      </w:r>
      <w:r w:rsidR="00BF6A4C">
        <w:t xml:space="preserve">U.S. </w:t>
      </w:r>
      <w:r w:rsidR="004E43EC">
        <w:t>Equal Employment Opportunity Commission (EEOC)</w:t>
      </w:r>
      <w:r w:rsidR="00BF6A4C">
        <w:t>,</w:t>
      </w:r>
      <w:r w:rsidR="004E43EC">
        <w:t xml:space="preserve"> </w:t>
      </w:r>
      <w:r w:rsidR="0060133B">
        <w:t xml:space="preserve">the </w:t>
      </w:r>
      <w:r w:rsidR="00BF6A4C">
        <w:t xml:space="preserve">U.S. </w:t>
      </w:r>
      <w:r w:rsidR="0060133B">
        <w:t>Department of Justice</w:t>
      </w:r>
      <w:r w:rsidR="004E43EC">
        <w:t xml:space="preserve"> (DOJ)</w:t>
      </w:r>
      <w:r w:rsidR="00772F82">
        <w:t xml:space="preserve">, </w:t>
      </w:r>
      <w:r w:rsidR="0060133B">
        <w:t xml:space="preserve">the </w:t>
      </w:r>
      <w:r w:rsidR="00BF6A4C">
        <w:t xml:space="preserve">U.S. </w:t>
      </w:r>
      <w:r w:rsidR="0060133B">
        <w:t>Department of Transportation</w:t>
      </w:r>
      <w:r w:rsidR="004E43EC">
        <w:t xml:space="preserve"> (DOT)</w:t>
      </w:r>
      <w:r w:rsidR="00596D8A">
        <w:t>,</w:t>
      </w:r>
      <w:r w:rsidR="00334422">
        <w:t xml:space="preserve"> and</w:t>
      </w:r>
      <w:r w:rsidR="0060133B">
        <w:t xml:space="preserve"> the Federal Communications Commission</w:t>
      </w:r>
      <w:r w:rsidR="00BF6235">
        <w:t xml:space="preserve"> (FCC)</w:t>
      </w:r>
      <w:r w:rsidR="00596D8A">
        <w:t xml:space="preserve">, and </w:t>
      </w:r>
      <w:r w:rsidR="0060133B">
        <w:t>addressed the technic</w:t>
      </w:r>
      <w:r w:rsidR="003170A7">
        <w:t xml:space="preserve">al assistance activities of the </w:t>
      </w:r>
      <w:r w:rsidR="003170A7" w:rsidRPr="00FA2DD5">
        <w:t>Architectural and Transportation Barriers Compliance Board (Access Board)</w:t>
      </w:r>
      <w:r w:rsidR="0060133B">
        <w:t>, the National Institute on Disability and Rehabilitation Research</w:t>
      </w:r>
      <w:r w:rsidR="0020247B">
        <w:t xml:space="preserve"> (NIDRR)</w:t>
      </w:r>
      <w:r w:rsidR="0060133B">
        <w:t>, and the then President</w:t>
      </w:r>
      <w:r w:rsidR="006474CA">
        <w:t>’</w:t>
      </w:r>
      <w:r w:rsidR="0060133B">
        <w:t>s Committee on the Employment of P</w:t>
      </w:r>
      <w:r w:rsidR="003170A7">
        <w:t>e</w:t>
      </w:r>
      <w:r w:rsidR="00BF6A4C">
        <w:t>ople with Disabilities (PCEPD).</w:t>
      </w:r>
    </w:p>
    <w:p w14:paraId="56B6D5EF" w14:textId="7909BD44" w:rsidR="004029ED" w:rsidRDefault="004029ED" w:rsidP="00210226">
      <w:pPr>
        <w:pStyle w:val="NCDBodyText"/>
      </w:pPr>
      <w:r>
        <w:t xml:space="preserve">In </w:t>
      </w:r>
      <w:r w:rsidR="00631E24" w:rsidRPr="00631E24">
        <w:rPr>
          <w:i/>
        </w:rPr>
        <w:t>Promises to Keep</w:t>
      </w:r>
      <w:r>
        <w:t xml:space="preserve">, NCD recognized that </w:t>
      </w:r>
      <w:r w:rsidR="006474CA">
        <w:t>“</w:t>
      </w:r>
      <w:r>
        <w:t xml:space="preserve">the placement of disability discrimination on par with race or gender discrimination exposed the common experiences of prejudice and segregation and provided clear rationale for the elimination of disability </w:t>
      </w:r>
      <w:r>
        <w:lastRenderedPageBreak/>
        <w:t>discrimination in this country.</w:t>
      </w:r>
      <w:r w:rsidR="006474CA">
        <w:t>”</w:t>
      </w:r>
      <w:r>
        <w:rPr>
          <w:rStyle w:val="EndnoteReference"/>
          <w:rFonts w:cs="Arial"/>
        </w:rPr>
        <w:endnoteReference w:id="3"/>
      </w:r>
      <w:r>
        <w:t xml:space="preserve"> NCD</w:t>
      </w:r>
      <w:r w:rsidRPr="00F418FC">
        <w:t xml:space="preserve"> found </w:t>
      </w:r>
      <w:r>
        <w:t xml:space="preserve">that </w:t>
      </w:r>
      <w:r w:rsidRPr="00F418FC">
        <w:t xml:space="preserve">federal agencies charged with ADA enforcement and policy development were </w:t>
      </w:r>
      <w:r w:rsidR="006474CA">
        <w:t>“</w:t>
      </w:r>
      <w:r w:rsidRPr="00F418FC">
        <w:t>overly cautious, reactive, and lacking a coherent and unifying national strategy.</w:t>
      </w:r>
      <w:r w:rsidR="006474CA">
        <w:t>”</w:t>
      </w:r>
      <w:r>
        <w:rPr>
          <w:rStyle w:val="EndnoteReference"/>
          <w:rFonts w:cs="Arial"/>
        </w:rPr>
        <w:endnoteReference w:id="4"/>
      </w:r>
      <w:r w:rsidRPr="00F418FC">
        <w:t xml:space="preserve"> </w:t>
      </w:r>
      <w:r w:rsidR="00324629">
        <w:t>E</w:t>
      </w:r>
      <w:r w:rsidRPr="00F418FC">
        <w:t xml:space="preserve">nforcement efforts largely followed </w:t>
      </w:r>
      <w:r w:rsidR="006474CA">
        <w:t>“</w:t>
      </w:r>
      <w:r w:rsidRPr="00F418FC">
        <w:t>a case-by-case approach based on individual complaints rather than one based on compliance monitoring and a cohesive, proactive enforcement strategy.</w:t>
      </w:r>
      <w:r w:rsidR="006474CA">
        <w:t>”</w:t>
      </w:r>
      <w:r>
        <w:rPr>
          <w:rStyle w:val="EndnoteReference"/>
          <w:rFonts w:cs="Arial"/>
        </w:rPr>
        <w:endnoteReference w:id="5"/>
      </w:r>
      <w:r w:rsidR="00324629">
        <w:t xml:space="preserve"> NCD </w:t>
      </w:r>
      <w:r w:rsidRPr="00F418FC">
        <w:t xml:space="preserve">also found that the </w:t>
      </w:r>
      <w:r w:rsidR="00DB1E1A">
        <w:t>“</w:t>
      </w:r>
      <w:r w:rsidRPr="00F418FC">
        <w:t>five federal agencies tasked to enforce the ADA were not working in collaboration to develop a national strategy on enforcement.</w:t>
      </w:r>
      <w:r w:rsidR="006474CA">
        <w:t>”</w:t>
      </w:r>
      <w:r>
        <w:rPr>
          <w:rStyle w:val="EndnoteReference"/>
          <w:rFonts w:cs="Arial"/>
        </w:rPr>
        <w:endnoteReference w:id="6"/>
      </w:r>
    </w:p>
    <w:p w14:paraId="34FDC5C0" w14:textId="754EBC4D" w:rsidR="00296DA5" w:rsidRDefault="004029ED" w:rsidP="00210226">
      <w:pPr>
        <w:pStyle w:val="NCDBodyText"/>
      </w:pPr>
      <w:r w:rsidRPr="004B3FF5">
        <w:t xml:space="preserve">Much has happened since </w:t>
      </w:r>
      <w:r w:rsidR="00631E24" w:rsidRPr="00631E24">
        <w:rPr>
          <w:i/>
        </w:rPr>
        <w:t>Promises to Keep.</w:t>
      </w:r>
      <w:r>
        <w:t xml:space="preserve"> </w:t>
      </w:r>
      <w:r w:rsidRPr="004B3FF5">
        <w:t xml:space="preserve">Technological advances, especially the rapid expansion of the </w:t>
      </w:r>
      <w:r w:rsidR="002947C3">
        <w:t>Internet</w:t>
      </w:r>
      <w:r w:rsidRPr="004B3FF5">
        <w:t xml:space="preserve"> and social media, have revolutionized the workforce and </w:t>
      </w:r>
      <w:r>
        <w:t xml:space="preserve">social </w:t>
      </w:r>
      <w:r w:rsidRPr="004B3FF5">
        <w:t xml:space="preserve">interaction. </w:t>
      </w:r>
      <w:r>
        <w:t xml:space="preserve">New technologies and digital </w:t>
      </w:r>
      <w:r w:rsidRPr="004B3FF5">
        <w:t xml:space="preserve">platforms have increased opportunities for telework, </w:t>
      </w:r>
      <w:r w:rsidR="00413F78">
        <w:t>created</w:t>
      </w:r>
      <w:r w:rsidRPr="004B3FF5">
        <w:t xml:space="preserve"> new employment arrangements, and expanded the range of assistance</w:t>
      </w:r>
      <w:r>
        <w:t xml:space="preserve"> and accommodations</w:t>
      </w:r>
      <w:r w:rsidRPr="004B3FF5">
        <w:t xml:space="preserve"> available to </w:t>
      </w:r>
      <w:r>
        <w:t>people</w:t>
      </w:r>
      <w:r w:rsidRPr="004B3FF5">
        <w:t xml:space="preserve"> with disabilities. Personal digital devices have offered autistic persons new ways to interact and communicate</w:t>
      </w:r>
      <w:r>
        <w:t xml:space="preserve"> with family, friends, and the larger community. I</w:t>
      </w:r>
      <w:r w:rsidRPr="004B3FF5">
        <w:t>mprove</w:t>
      </w:r>
      <w:r>
        <w:t>ments in</w:t>
      </w:r>
      <w:r w:rsidRPr="004B3FF5">
        <w:t xml:space="preserve"> screen-reading, dictation, and similar software have increased the accommodations available for </w:t>
      </w:r>
      <w:r>
        <w:t>the</w:t>
      </w:r>
      <w:r w:rsidRPr="004B3FF5">
        <w:t xml:space="preserve"> Deaf or Hard of Hearing </w:t>
      </w:r>
      <w:r w:rsidR="00A3345A">
        <w:t xml:space="preserve">and the </w:t>
      </w:r>
      <w:r w:rsidR="00BC52DB">
        <w:t>b</w:t>
      </w:r>
      <w:r>
        <w:t xml:space="preserve">lind or </w:t>
      </w:r>
      <w:r w:rsidR="00BC52DB">
        <w:t>visually i</w:t>
      </w:r>
      <w:r>
        <w:t xml:space="preserve">mpaired. </w:t>
      </w:r>
      <w:r w:rsidR="00D02842">
        <w:t>In 2008</w:t>
      </w:r>
      <w:r w:rsidR="0020247B">
        <w:t>,</w:t>
      </w:r>
      <w:r w:rsidR="00D02842">
        <w:t xml:space="preserve"> with </w:t>
      </w:r>
      <w:r w:rsidR="00D02842" w:rsidRPr="00CA0FBD">
        <w:t>overwhelming</w:t>
      </w:r>
      <w:r w:rsidR="00D02842">
        <w:t xml:space="preserve"> bipartisan support, Congress passed the </w:t>
      </w:r>
      <w:r w:rsidR="00324629">
        <w:t>ADA</w:t>
      </w:r>
      <w:r w:rsidR="00D02842">
        <w:t xml:space="preserve"> Amendment</w:t>
      </w:r>
      <w:r w:rsidR="00BF6A4C">
        <w:t>s</w:t>
      </w:r>
      <w:r w:rsidR="00D02842">
        <w:t xml:space="preserve"> Act (</w:t>
      </w:r>
      <w:r>
        <w:t>ADAAA</w:t>
      </w:r>
      <w:r w:rsidR="00BF6A4C">
        <w:t xml:space="preserve"> or Amendments Act</w:t>
      </w:r>
      <w:r>
        <w:t>)</w:t>
      </w:r>
      <w:r w:rsidR="00BF6A4C">
        <w:t xml:space="preserve"> </w:t>
      </w:r>
      <w:r w:rsidR="00D02842" w:rsidRPr="00D02842">
        <w:t>in response to the weakening of th</w:t>
      </w:r>
      <w:r w:rsidR="0020247B">
        <w:t>e ADA by the federal courts.</w:t>
      </w:r>
      <w:r w:rsidR="00791726">
        <w:rPr>
          <w:rStyle w:val="EndnoteReference"/>
          <w:rFonts w:cs="Arial"/>
        </w:rPr>
        <w:endnoteReference w:id="7"/>
      </w:r>
      <w:r w:rsidR="00791726">
        <w:t xml:space="preserve"> </w:t>
      </w:r>
      <w:r w:rsidR="00A3345A">
        <w:t>In 2008</w:t>
      </w:r>
      <w:r w:rsidR="006B1D43">
        <w:t>,</w:t>
      </w:r>
      <w:r w:rsidR="00A3345A">
        <w:t xml:space="preserve"> Congress prohibited discrimination based on genetic information through the Genetic Information Nondiscrimination Act (GINA),</w:t>
      </w:r>
      <w:r w:rsidR="00A3345A">
        <w:rPr>
          <w:rStyle w:val="EndnoteReference"/>
          <w:rFonts w:cs="Arial"/>
        </w:rPr>
        <w:endnoteReference w:id="8"/>
      </w:r>
      <w:r w:rsidR="00A3345A">
        <w:t xml:space="preserve"> and i</w:t>
      </w:r>
      <w:r w:rsidR="0020247B">
        <w:t>n</w:t>
      </w:r>
      <w:r w:rsidR="00A3345A">
        <w:t xml:space="preserve"> 2014 </w:t>
      </w:r>
      <w:r w:rsidRPr="004B3FF5">
        <w:t>reauthorized and amended the Rehabilitation Act through the Workforce Innovation and Opportunity Act</w:t>
      </w:r>
      <w:r>
        <w:t xml:space="preserve"> (WIOA)</w:t>
      </w:r>
      <w:r w:rsidRPr="004B3FF5">
        <w:t>.</w:t>
      </w:r>
      <w:r w:rsidR="0086336F">
        <w:rPr>
          <w:rStyle w:val="EndnoteReference"/>
          <w:rFonts w:cs="Arial"/>
        </w:rPr>
        <w:endnoteReference w:id="9"/>
      </w:r>
      <w:r w:rsidR="0086336F">
        <w:rPr>
          <w:vertAlign w:val="superscript"/>
        </w:rPr>
        <w:t xml:space="preserve"> </w:t>
      </w:r>
      <w:r w:rsidRPr="004B3FF5">
        <w:t xml:space="preserve">Despite </w:t>
      </w:r>
      <w:r>
        <w:t xml:space="preserve">these advances, however, </w:t>
      </w:r>
      <w:r w:rsidR="00BF6A4C">
        <w:t xml:space="preserve">discrimination and outright </w:t>
      </w:r>
      <w:r w:rsidRPr="004B3FF5">
        <w:t xml:space="preserve">exploitation </w:t>
      </w:r>
      <w:r w:rsidR="00E27F73">
        <w:t xml:space="preserve">of </w:t>
      </w:r>
      <w:r>
        <w:t xml:space="preserve">people with disabilities </w:t>
      </w:r>
      <w:r w:rsidRPr="004B3FF5">
        <w:t>continue</w:t>
      </w:r>
      <w:r>
        <w:t>s</w:t>
      </w:r>
      <w:r w:rsidR="00E27F73">
        <w:t>, perhaps b</w:t>
      </w:r>
      <w:r w:rsidRPr="004B3FF5">
        <w:t xml:space="preserve">est exemplified by the </w:t>
      </w:r>
      <w:r>
        <w:t xml:space="preserve">horrific </w:t>
      </w:r>
      <w:r w:rsidR="00BF6A4C">
        <w:t>abuse</w:t>
      </w:r>
      <w:r w:rsidRPr="004B3FF5">
        <w:t xml:space="preserve"> of dozens of men with intellectual disabilities </w:t>
      </w:r>
      <w:r w:rsidR="00E27F73">
        <w:t xml:space="preserve">working </w:t>
      </w:r>
      <w:r w:rsidR="00E27F73" w:rsidRPr="004B3FF5">
        <w:t>for decad</w:t>
      </w:r>
      <w:r w:rsidR="00E27F73">
        <w:t>es</w:t>
      </w:r>
      <w:r w:rsidRPr="004B3FF5">
        <w:t xml:space="preserve"> a</w:t>
      </w:r>
      <w:r w:rsidR="00E27F73">
        <w:t>t a</w:t>
      </w:r>
      <w:r w:rsidRPr="004B3FF5">
        <w:t xml:space="preserve"> turkey </w:t>
      </w:r>
      <w:r w:rsidR="00C808FC">
        <w:t>processing plant</w:t>
      </w:r>
      <w:r w:rsidR="00B531F8">
        <w:t xml:space="preserve"> in </w:t>
      </w:r>
      <w:proofErr w:type="spellStart"/>
      <w:r w:rsidR="00B531F8">
        <w:t>Atalissa</w:t>
      </w:r>
      <w:proofErr w:type="spellEnd"/>
      <w:r w:rsidR="00B531F8">
        <w:t xml:space="preserve">, </w:t>
      </w:r>
      <w:r w:rsidRPr="004B3FF5">
        <w:t>Iowa</w:t>
      </w:r>
      <w:r w:rsidR="000D750E">
        <w:t xml:space="preserve">, </w:t>
      </w:r>
      <w:r w:rsidR="006B1D43">
        <w:t>a situation that</w:t>
      </w:r>
      <w:r w:rsidR="000D750E">
        <w:t xml:space="preserve"> was</w:t>
      </w:r>
      <w:r w:rsidR="00BF6A4C">
        <w:t xml:space="preserve"> brought to light in 2009</w:t>
      </w:r>
      <w:r>
        <w:t>.</w:t>
      </w:r>
      <w:r w:rsidRPr="004B3FF5">
        <w:rPr>
          <w:rStyle w:val="EndnoteReference"/>
          <w:rFonts w:cs="Arial"/>
        </w:rPr>
        <w:endnoteReference w:id="10"/>
      </w:r>
    </w:p>
    <w:p w14:paraId="166A8F98" w14:textId="77777777" w:rsidR="00296DA5" w:rsidRDefault="00D02842" w:rsidP="00C54CCF">
      <w:pPr>
        <w:pStyle w:val="NCDBodyText"/>
      </w:pPr>
      <w:r>
        <w:t xml:space="preserve">Justin Dart Jr., the </w:t>
      </w:r>
      <w:r w:rsidR="006474CA">
        <w:t>“</w:t>
      </w:r>
      <w:r>
        <w:t>father of the ADA</w:t>
      </w:r>
      <w:r w:rsidR="002614ED">
        <w:t>,</w:t>
      </w:r>
      <w:r w:rsidR="006474CA">
        <w:t>”</w:t>
      </w:r>
      <w:r>
        <w:t xml:space="preserve"> offered prophetic remarks</w:t>
      </w:r>
      <w:r w:rsidR="005D5CBC" w:rsidRPr="005D5CBC">
        <w:t xml:space="preserve"> </w:t>
      </w:r>
      <w:r w:rsidR="005D5CBC">
        <w:t>i</w:t>
      </w:r>
      <w:r w:rsidR="005D5CBC" w:rsidRPr="000D1342">
        <w:t>n a Febr</w:t>
      </w:r>
      <w:r w:rsidR="005D5CBC">
        <w:t>uary 6, 1992</w:t>
      </w:r>
      <w:r w:rsidR="002614ED">
        <w:t>,</w:t>
      </w:r>
      <w:r w:rsidR="005D5CBC">
        <w:t xml:space="preserve"> speech:</w:t>
      </w:r>
    </w:p>
    <w:p w14:paraId="30758212" w14:textId="77777777" w:rsidR="00296DA5" w:rsidRDefault="005D5CBC" w:rsidP="00E33E53">
      <w:pPr>
        <w:pStyle w:val="NCDExtract"/>
      </w:pPr>
      <w:r>
        <w:t>[</w:t>
      </w:r>
      <w:r w:rsidR="00D950BD">
        <w:t xml:space="preserve">The </w:t>
      </w:r>
      <w:r w:rsidR="003D00C5">
        <w:t>ADA] . . .</w:t>
      </w:r>
      <w:r w:rsidR="00D02842" w:rsidRPr="000D1342">
        <w:t xml:space="preserve"> is a landmark breakthrough. People with disabilities have been granted full, legal</w:t>
      </w:r>
      <w:r w:rsidR="00716D6A">
        <w:t xml:space="preserve">ly </w:t>
      </w:r>
      <w:r w:rsidR="00D02842" w:rsidRPr="000D1342">
        <w:t>enforceable equality by one of the world</w:t>
      </w:r>
      <w:r w:rsidR="006474CA">
        <w:t>’</w:t>
      </w:r>
      <w:r w:rsidR="00D02842" w:rsidRPr="000D1342">
        <w:t>s most influential nations</w:t>
      </w:r>
      <w:r w:rsidR="00D950BD">
        <w:t>.</w:t>
      </w:r>
      <w:r w:rsidR="00D02842" w:rsidRPr="000D1342">
        <w:t xml:space="preserve"> . . . The ADA is an absolutely essential legal and educational tool to </w:t>
      </w:r>
      <w:r w:rsidR="00D02842" w:rsidRPr="000D1342">
        <w:lastRenderedPageBreak/>
        <w:t xml:space="preserve">achieve equality and to achieve employment. But the ADA is not equality and it is not employment. ADA is a promise to be kept. And what is that promise? For whatever the law says legally, the clear promise of the ADA is that all people with disabilities will be fully equal, fully productive, fully prosperous, and fully welcome participants </w:t>
      </w:r>
      <w:r w:rsidR="00D02842">
        <w:t xml:space="preserve">in the mainstream. </w:t>
      </w:r>
      <w:r w:rsidR="00D02842" w:rsidRPr="00B720D1">
        <w:t>Keeping the Promise</w:t>
      </w:r>
      <w:r w:rsidR="00D02842" w:rsidRPr="000D1342">
        <w:t xml:space="preserve"> of t</w:t>
      </w:r>
      <w:r>
        <w:t>he ADA is not going to be easy.</w:t>
      </w:r>
      <w:r w:rsidR="00D02842">
        <w:rPr>
          <w:rStyle w:val="EndnoteReference"/>
        </w:rPr>
        <w:endnoteReference w:id="11"/>
      </w:r>
    </w:p>
    <w:p w14:paraId="09396F40" w14:textId="44D73D7D" w:rsidR="00296DA5" w:rsidRDefault="00324629" w:rsidP="005C7710">
      <w:pPr>
        <w:pStyle w:val="NCDBodyText"/>
      </w:pPr>
      <w:r>
        <w:t>As</w:t>
      </w:r>
      <w:r w:rsidR="003C4E11">
        <w:t xml:space="preserve"> the 30th anniversary of the ADA approaches, the nation must ask</w:t>
      </w:r>
      <w:r w:rsidR="00CD3F35">
        <w:t>,</w:t>
      </w:r>
      <w:r w:rsidR="003C4E11">
        <w:t xml:space="preserve"> </w:t>
      </w:r>
      <w:r w:rsidR="006474CA">
        <w:t>“</w:t>
      </w:r>
      <w:r w:rsidR="00D950BD">
        <w:t xml:space="preserve">Has </w:t>
      </w:r>
      <w:r w:rsidR="003C4E11">
        <w:t>the promise been kept?</w:t>
      </w:r>
      <w:r w:rsidR="006474CA">
        <w:t>”</w:t>
      </w:r>
      <w:r w:rsidR="005D5CBC">
        <w:t xml:space="preserve"> </w:t>
      </w:r>
      <w:r w:rsidR="004029ED" w:rsidRPr="005D5CBC">
        <w:t xml:space="preserve">In this report, NCD </w:t>
      </w:r>
      <w:r w:rsidR="00E27F73" w:rsidRPr="005D5CBC">
        <w:t>uses</w:t>
      </w:r>
      <w:r w:rsidR="00C6229C" w:rsidRPr="005D5CBC">
        <w:t xml:space="preserve"> 11 elements created in </w:t>
      </w:r>
      <w:r w:rsidR="00631E24" w:rsidRPr="00631E24">
        <w:rPr>
          <w:i/>
        </w:rPr>
        <w:t>Promises to Keep</w:t>
      </w:r>
      <w:r w:rsidR="00C6229C" w:rsidRPr="005D5CBC">
        <w:t xml:space="preserve"> </w:t>
      </w:r>
      <w:r w:rsidR="00FB2011">
        <w:t xml:space="preserve">which </w:t>
      </w:r>
      <w:r w:rsidR="00C6229C" w:rsidRPr="005D5CBC">
        <w:t xml:space="preserve">assess the </w:t>
      </w:r>
      <w:r w:rsidR="00E27F73" w:rsidRPr="005D5CBC">
        <w:t xml:space="preserve">oversight and enforcement of federal disability rights and programs by the EEOC, the </w:t>
      </w:r>
      <w:r w:rsidR="005D5CBC" w:rsidRPr="005D5CBC">
        <w:t xml:space="preserve">U.S. </w:t>
      </w:r>
      <w:r w:rsidR="00E27F73" w:rsidRPr="005D5CBC">
        <w:t>Department o</w:t>
      </w:r>
      <w:r w:rsidR="00C6229C" w:rsidRPr="005D5CBC">
        <w:t>f Labor</w:t>
      </w:r>
      <w:r w:rsidR="005D5CBC" w:rsidRPr="005D5CBC">
        <w:t xml:space="preserve"> (DOL)</w:t>
      </w:r>
      <w:r w:rsidR="00C6229C" w:rsidRPr="005D5CBC">
        <w:t xml:space="preserve">, and the Access Board. </w:t>
      </w:r>
      <w:r w:rsidR="005D5CBC" w:rsidRPr="005D5CBC">
        <w:t>This report</w:t>
      </w:r>
      <w:r w:rsidR="00E27F73" w:rsidRPr="005D5CBC">
        <w:t xml:space="preserve"> </w:t>
      </w:r>
      <w:r w:rsidR="004029ED" w:rsidRPr="005D5CBC">
        <w:t xml:space="preserve">revisits </w:t>
      </w:r>
      <w:r w:rsidR="00E27F73" w:rsidRPr="005D5CBC">
        <w:t xml:space="preserve">some </w:t>
      </w:r>
      <w:r w:rsidR="005D5CBC" w:rsidRPr="005D5CBC">
        <w:t xml:space="preserve">recommendations made in </w:t>
      </w:r>
      <w:r w:rsidR="00631E24" w:rsidRPr="00631E24">
        <w:rPr>
          <w:i/>
        </w:rPr>
        <w:t xml:space="preserve">Promises to Keep </w:t>
      </w:r>
      <w:r w:rsidR="00FB2011">
        <w:t xml:space="preserve">and </w:t>
      </w:r>
      <w:r w:rsidR="00E27F73" w:rsidRPr="005D5CBC">
        <w:t xml:space="preserve">to </w:t>
      </w:r>
      <w:r w:rsidR="00C6229C" w:rsidRPr="005D5CBC">
        <w:t>evaluate</w:t>
      </w:r>
      <w:r w:rsidR="004029ED" w:rsidRPr="005D5CBC">
        <w:t xml:space="preserve"> progress made by the EEOC, while for the first time using the </w:t>
      </w:r>
      <w:r w:rsidR="00631E24" w:rsidRPr="00631E24">
        <w:rPr>
          <w:i/>
        </w:rPr>
        <w:t>Promises to Keep</w:t>
      </w:r>
      <w:r w:rsidR="004029ED" w:rsidRPr="005D5CBC">
        <w:t xml:space="preserve"> framework to </w:t>
      </w:r>
      <w:r w:rsidR="00E27F73" w:rsidRPr="005D5CBC">
        <w:t xml:space="preserve">consider </w:t>
      </w:r>
      <w:r w:rsidR="004029ED" w:rsidRPr="005D5CBC">
        <w:t xml:space="preserve">the role of </w:t>
      </w:r>
      <w:r w:rsidR="005D5CBC" w:rsidRPr="005D5CBC">
        <w:t xml:space="preserve">DOL </w:t>
      </w:r>
      <w:r w:rsidR="00C6229C" w:rsidRPr="005D5CBC">
        <w:t xml:space="preserve">in the enforcement of </w:t>
      </w:r>
      <w:r w:rsidR="00950C1F">
        <w:t xml:space="preserve">federal </w:t>
      </w:r>
      <w:r w:rsidR="00C6229C" w:rsidRPr="005D5CBC">
        <w:t xml:space="preserve">rights and </w:t>
      </w:r>
      <w:r w:rsidR="00950C1F">
        <w:t xml:space="preserve">the </w:t>
      </w:r>
      <w:r w:rsidR="00C6229C" w:rsidRPr="005D5CBC">
        <w:t>develop</w:t>
      </w:r>
      <w:r w:rsidR="00950C1F">
        <w:t xml:space="preserve">ment of programs </w:t>
      </w:r>
      <w:r w:rsidR="00D9361B">
        <w:t xml:space="preserve">that </w:t>
      </w:r>
      <w:r w:rsidR="008C2B5D">
        <w:t xml:space="preserve">affect </w:t>
      </w:r>
      <w:r w:rsidR="00950C1F">
        <w:t>people with disabilities</w:t>
      </w:r>
      <w:r w:rsidR="004029ED" w:rsidRPr="005D5CBC">
        <w:t xml:space="preserve">. </w:t>
      </w:r>
      <w:r w:rsidR="005D5CBC" w:rsidRPr="005D5CBC">
        <w:t xml:space="preserve">The following three </w:t>
      </w:r>
      <w:r w:rsidR="00C70373">
        <w:t>c</w:t>
      </w:r>
      <w:r w:rsidR="00C6229C" w:rsidRPr="005D5CBC">
        <w:t xml:space="preserve">hapters provide </w:t>
      </w:r>
      <w:r w:rsidR="005D5CBC" w:rsidRPr="005D5CBC">
        <w:t>an</w:t>
      </w:r>
      <w:r w:rsidR="00C6229C" w:rsidRPr="005D5CBC">
        <w:t xml:space="preserve"> analysis and recommendations for the</w:t>
      </w:r>
      <w:r w:rsidR="00950C1F">
        <w:t xml:space="preserve">se agencies. </w:t>
      </w:r>
      <w:r w:rsidR="005D5CBC" w:rsidRPr="005D5CBC">
        <w:t xml:space="preserve">Appendix </w:t>
      </w:r>
      <w:r w:rsidR="00791726">
        <w:t>C</w:t>
      </w:r>
      <w:r w:rsidR="005D5CBC" w:rsidRPr="005D5CBC">
        <w:t xml:space="preserve"> contains </w:t>
      </w:r>
      <w:r w:rsidR="00950C1F">
        <w:t xml:space="preserve">a further </w:t>
      </w:r>
      <w:r w:rsidR="00950C1F" w:rsidRPr="005D5CBC">
        <w:t xml:space="preserve">overview of </w:t>
      </w:r>
      <w:r w:rsidR="00631E24" w:rsidRPr="00631E24">
        <w:rPr>
          <w:i/>
        </w:rPr>
        <w:t>Promises to Keep</w:t>
      </w:r>
      <w:r w:rsidR="00950C1F" w:rsidRPr="005D5CBC">
        <w:t xml:space="preserve"> </w:t>
      </w:r>
      <w:r w:rsidR="00950C1F">
        <w:t>and t</w:t>
      </w:r>
      <w:r w:rsidR="00C6229C" w:rsidRPr="005D5CBC">
        <w:t xml:space="preserve">he research methodology used </w:t>
      </w:r>
      <w:r w:rsidR="005D5CBC" w:rsidRPr="005D5CBC">
        <w:t>in this report</w:t>
      </w:r>
      <w:r w:rsidR="00C6229C" w:rsidRPr="005D5CBC">
        <w:t>.</w:t>
      </w:r>
    </w:p>
    <w:p w14:paraId="38BB898F" w14:textId="77777777" w:rsidR="00296DA5" w:rsidRDefault="0060133B" w:rsidP="005C7710">
      <w:pPr>
        <w:pStyle w:val="NCDBodyText"/>
      </w:pPr>
      <w:r w:rsidRPr="00C6229C">
        <w:t>NCD</w:t>
      </w:r>
      <w:r w:rsidR="00BF6235" w:rsidRPr="00C6229C">
        <w:t xml:space="preserve"> appreciates and </w:t>
      </w:r>
      <w:r w:rsidR="005D5CBC">
        <w:t xml:space="preserve">thanks </w:t>
      </w:r>
      <w:r w:rsidRPr="00C6229C">
        <w:t>the</w:t>
      </w:r>
      <w:r w:rsidR="005D5CBC">
        <w:t xml:space="preserve"> leadership and staff of the</w:t>
      </w:r>
      <w:r w:rsidRPr="00C6229C">
        <w:t xml:space="preserve"> federal agencies considered in this report for their time and assistance in providing data</w:t>
      </w:r>
      <w:r w:rsidR="008C2B5D">
        <w:t xml:space="preserve"> and</w:t>
      </w:r>
      <w:r w:rsidR="008C2B5D" w:rsidRPr="00C6229C">
        <w:t xml:space="preserve"> </w:t>
      </w:r>
      <w:r w:rsidRPr="00C6229C">
        <w:t>information and re</w:t>
      </w:r>
      <w:r w:rsidR="00324629">
        <w:t xml:space="preserve">sponding to </w:t>
      </w:r>
      <w:r w:rsidR="00950C1F">
        <w:t xml:space="preserve">many </w:t>
      </w:r>
      <w:r w:rsidRPr="00C6229C">
        <w:t>questions</w:t>
      </w:r>
      <w:r w:rsidR="00324629">
        <w:t xml:space="preserve"> from our researchers</w:t>
      </w:r>
      <w:r w:rsidRPr="00C6229C">
        <w:t xml:space="preserve">. NCD understands that federal civil rights enforcement agencies are charged with </w:t>
      </w:r>
      <w:r w:rsidR="005D5CBC">
        <w:t>a</w:t>
      </w:r>
      <w:r w:rsidRPr="00C6229C">
        <w:t xml:space="preserve"> difficult task to protect the integrity of all civil rights laws within increasingly constrained resources. Nevertheless, improvement is always possible, and often necessary, to ensure the vigorous enforcement of disability r</w:t>
      </w:r>
      <w:r w:rsidR="00BF6235" w:rsidRPr="00C6229C">
        <w:t xml:space="preserve">ights </w:t>
      </w:r>
      <w:r w:rsidRPr="00C6229C">
        <w:t>and all civil rights.</w:t>
      </w:r>
    </w:p>
    <w:p w14:paraId="3CA0C2A5" w14:textId="77777777" w:rsidR="005C7710" w:rsidRDefault="005C7710">
      <w:pPr>
        <w:spacing w:after="200"/>
        <w:rPr>
          <w:rFonts w:ascii="Arial" w:eastAsiaTheme="minorHAnsi" w:hAnsi="Arial" w:cs="Arial"/>
          <w:b/>
          <w:sz w:val="36"/>
          <w:szCs w:val="32"/>
        </w:rPr>
      </w:pPr>
      <w:bookmarkStart w:id="19" w:name="_Toc520979975"/>
      <w:r>
        <w:br w:type="page"/>
      </w:r>
    </w:p>
    <w:p w14:paraId="13158355" w14:textId="77777777" w:rsidR="005C7710" w:rsidRDefault="005C7710">
      <w:pPr>
        <w:spacing w:after="200"/>
        <w:rPr>
          <w:rFonts w:ascii="Arial" w:eastAsiaTheme="minorHAnsi" w:hAnsi="Arial" w:cs="Arial"/>
          <w:b/>
          <w:sz w:val="36"/>
          <w:szCs w:val="32"/>
        </w:rPr>
      </w:pPr>
      <w:r>
        <w:lastRenderedPageBreak/>
        <w:br w:type="page"/>
      </w:r>
    </w:p>
    <w:p w14:paraId="444FEA43" w14:textId="7E580DC7" w:rsidR="00296DA5" w:rsidRDefault="00D7262D" w:rsidP="005C7710">
      <w:pPr>
        <w:pStyle w:val="Heading1"/>
      </w:pPr>
      <w:bookmarkStart w:id="20" w:name="_Toc526182074"/>
      <w:r>
        <w:lastRenderedPageBreak/>
        <w:t xml:space="preserve">Chapter </w:t>
      </w:r>
      <w:r w:rsidR="00413DAB">
        <w:t>1</w:t>
      </w:r>
      <w:r>
        <w:t xml:space="preserve">: </w:t>
      </w:r>
      <w:r w:rsidR="005E180E">
        <w:t>U.S. Equal Employment Opportunity Commission</w:t>
      </w:r>
      <w:bookmarkEnd w:id="19"/>
      <w:bookmarkEnd w:id="20"/>
    </w:p>
    <w:p w14:paraId="0EEB9956" w14:textId="1E92FDA2" w:rsidR="00296DA5" w:rsidRDefault="00DA378B" w:rsidP="005C7710">
      <w:pPr>
        <w:pStyle w:val="NCDBodyText"/>
      </w:pPr>
      <w:r>
        <w:t xml:space="preserve">Passage of the ADAAA </w:t>
      </w:r>
      <w:r w:rsidRPr="004B3FF5">
        <w:t>was the most important development to impact the enforcement</w:t>
      </w:r>
      <w:r>
        <w:t xml:space="preserve"> of </w:t>
      </w:r>
      <w:r w:rsidR="00F71070">
        <w:t xml:space="preserve">disability rights laws </w:t>
      </w:r>
      <w:r>
        <w:t>by the EEOC</w:t>
      </w:r>
      <w:r w:rsidRPr="00167B8A">
        <w:t xml:space="preserve"> </w:t>
      </w:r>
      <w:r w:rsidRPr="004B3FF5">
        <w:t xml:space="preserve">since </w:t>
      </w:r>
      <w:r w:rsidR="00631E24" w:rsidRPr="00631E24">
        <w:rPr>
          <w:i/>
        </w:rPr>
        <w:t>Promises to Keep</w:t>
      </w:r>
      <w:r w:rsidR="0020247B">
        <w:t xml:space="preserve">. The ADAAA resulted in an increase in the number of </w:t>
      </w:r>
      <w:r>
        <w:t>ADA ch</w:t>
      </w:r>
      <w:r w:rsidR="0020247B">
        <w:t>arges</w:t>
      </w:r>
      <w:r w:rsidR="00857A5C">
        <w:t xml:space="preserve"> of discrimination</w:t>
      </w:r>
      <w:r w:rsidR="0020247B">
        <w:t xml:space="preserve"> filed with the Commission</w:t>
      </w:r>
      <w:r w:rsidR="00950C1F">
        <w:t>,</w:t>
      </w:r>
      <w:r w:rsidR="00857A5C">
        <w:t xml:space="preserve"> as well as </w:t>
      </w:r>
      <w:r w:rsidR="00950C1F">
        <w:t xml:space="preserve">in </w:t>
      </w:r>
      <w:r w:rsidR="008C2B5D">
        <w:t>EEOC-</w:t>
      </w:r>
      <w:r w:rsidR="00857A5C">
        <w:t>initiated ADA litigation</w:t>
      </w:r>
      <w:r w:rsidRPr="00DA378B">
        <w:t xml:space="preserve">. </w:t>
      </w:r>
      <w:r>
        <w:t>While the</w:t>
      </w:r>
      <w:r w:rsidRPr="00DA378B">
        <w:t xml:space="preserve"> EEOC has, either purposefully or because of other policy considerations, followed some recommendations</w:t>
      </w:r>
      <w:r w:rsidR="00F71070">
        <w:t xml:space="preserve"> in </w:t>
      </w:r>
      <w:r w:rsidR="00631E24" w:rsidRPr="00631E24">
        <w:rPr>
          <w:i/>
        </w:rPr>
        <w:t>Promises to Keep</w:t>
      </w:r>
      <w:r w:rsidRPr="00DA378B">
        <w:t>, other areas remain unfilled.</w:t>
      </w:r>
    </w:p>
    <w:p w14:paraId="0FE6E9A7" w14:textId="77777777" w:rsidR="00296DA5" w:rsidRDefault="00B83FF7" w:rsidP="005C7710">
      <w:pPr>
        <w:pStyle w:val="NCDBodyText"/>
      </w:pPr>
      <w:r>
        <w:t xml:space="preserve">Based </w:t>
      </w:r>
      <w:r w:rsidR="001B5A8F">
        <w:t xml:space="preserve">upon </w:t>
      </w:r>
      <w:r>
        <w:t xml:space="preserve">the analysis contained </w:t>
      </w:r>
      <w:r w:rsidR="001B5A8F">
        <w:t xml:space="preserve">in </w:t>
      </w:r>
      <w:r w:rsidR="0050335C">
        <w:t xml:space="preserve">this </w:t>
      </w:r>
      <w:r w:rsidR="00C70373">
        <w:t>c</w:t>
      </w:r>
      <w:r w:rsidR="0050335C">
        <w:t>hapter, NCD recommends</w:t>
      </w:r>
      <w:r>
        <w:t xml:space="preserve"> </w:t>
      </w:r>
      <w:r w:rsidR="001B5A8F">
        <w:t xml:space="preserve">that </w:t>
      </w:r>
      <w:r>
        <w:t xml:space="preserve">the </w:t>
      </w:r>
      <w:r w:rsidR="004628DE">
        <w:t>EEOC</w:t>
      </w:r>
      <w:r w:rsidR="001B5A8F">
        <w:t>:</w:t>
      </w:r>
    </w:p>
    <w:p w14:paraId="619A7EBF" w14:textId="77777777" w:rsidR="00296DA5" w:rsidRDefault="00F355EF" w:rsidP="00396A3D">
      <w:pPr>
        <w:pStyle w:val="NCDBulletsLevel1"/>
      </w:pPr>
      <w:r>
        <w:t>Revise</w:t>
      </w:r>
      <w:r w:rsidR="00B83FF7" w:rsidRPr="00394F86">
        <w:t xml:space="preserve"> </w:t>
      </w:r>
      <w:r w:rsidR="005D5CBC">
        <w:t xml:space="preserve">the </w:t>
      </w:r>
      <w:r w:rsidR="00B83FF7" w:rsidRPr="00394F86">
        <w:t>ADA and GINA regulation</w:t>
      </w:r>
      <w:r w:rsidR="007E2A3C">
        <w:t>s</w:t>
      </w:r>
      <w:r w:rsidR="00B83FF7" w:rsidRPr="00394F86">
        <w:t xml:space="preserve"> </w:t>
      </w:r>
      <w:r w:rsidR="008C2B5D">
        <w:t xml:space="preserve">that </w:t>
      </w:r>
      <w:r w:rsidR="00B83FF7" w:rsidRPr="00394F86">
        <w:t xml:space="preserve">allow employees with disabilities to participate in any voluntary employer wellness program while </w:t>
      </w:r>
      <w:r w:rsidR="00950C1F">
        <w:t xml:space="preserve">fully </w:t>
      </w:r>
      <w:r w:rsidR="00B83FF7" w:rsidRPr="00394F86">
        <w:t xml:space="preserve">protecting </w:t>
      </w:r>
      <w:r>
        <w:t>the</w:t>
      </w:r>
      <w:r w:rsidR="00950C1F">
        <w:t xml:space="preserve"> right </w:t>
      </w:r>
      <w:r w:rsidR="00BA1D75">
        <w:t xml:space="preserve">not </w:t>
      </w:r>
      <w:r w:rsidR="00950C1F">
        <w:t xml:space="preserve">to </w:t>
      </w:r>
      <w:r w:rsidR="000B5C37">
        <w:t>disclose</w:t>
      </w:r>
      <w:r w:rsidR="001C5C2B">
        <w:t xml:space="preserve"> protected medical information.</w:t>
      </w:r>
    </w:p>
    <w:p w14:paraId="5601D3A3" w14:textId="77777777" w:rsidR="00296DA5" w:rsidRDefault="001B5A8F" w:rsidP="00396A3D">
      <w:pPr>
        <w:pStyle w:val="NCDBulletsLevel1"/>
      </w:pPr>
      <w:r>
        <w:t>T</w:t>
      </w:r>
      <w:r w:rsidR="00B83FF7" w:rsidRPr="00394F86">
        <w:t xml:space="preserve">rack and analyze data from federal agencies on a quarterly </w:t>
      </w:r>
      <w:r w:rsidR="00950C1F">
        <w:t>basis to ensure the agencies meet</w:t>
      </w:r>
      <w:r w:rsidR="00B83FF7" w:rsidRPr="00394F86">
        <w:t xml:space="preserve"> tar</w:t>
      </w:r>
      <w:r w:rsidR="00C70373">
        <w:t>geted employment goals under</w:t>
      </w:r>
      <w:r w:rsidR="00B83FF7" w:rsidRPr="00394F86">
        <w:t xml:space="preserve"> Section 501 </w:t>
      </w:r>
      <w:r w:rsidR="00C70373">
        <w:t xml:space="preserve">of the Rehabilitation Act </w:t>
      </w:r>
      <w:r w:rsidR="00B83FF7" w:rsidRPr="00394F86">
        <w:t>regulations.</w:t>
      </w:r>
    </w:p>
    <w:p w14:paraId="4D0EA41F" w14:textId="77777777" w:rsidR="00296DA5" w:rsidRDefault="001B5A8F" w:rsidP="00396A3D">
      <w:pPr>
        <w:pStyle w:val="NCDBulletsLevel1"/>
      </w:pPr>
      <w:r>
        <w:t>M</w:t>
      </w:r>
      <w:r w:rsidR="00B83FF7" w:rsidRPr="00394F86">
        <w:t xml:space="preserve">ake </w:t>
      </w:r>
      <w:r>
        <w:t xml:space="preserve">the </w:t>
      </w:r>
      <w:r w:rsidR="00B83FF7" w:rsidRPr="00394F86">
        <w:t>D</w:t>
      </w:r>
      <w:r w:rsidR="00C70373">
        <w:t>istrict Complement Plans to the</w:t>
      </w:r>
      <w:r w:rsidR="005D5CBC">
        <w:t xml:space="preserve"> </w:t>
      </w:r>
      <w:r w:rsidR="00B83FF7" w:rsidRPr="00394F86">
        <w:t xml:space="preserve">Strategic Enforcement Plan </w:t>
      </w:r>
      <w:r w:rsidR="00B83FF7">
        <w:t xml:space="preserve">(SEP) </w:t>
      </w:r>
      <w:r w:rsidR="00B83FF7" w:rsidRPr="00394F86">
        <w:t>available for public review, if necessary</w:t>
      </w:r>
      <w:r w:rsidR="00CD3F35">
        <w:t>,</w:t>
      </w:r>
      <w:r w:rsidR="00B83FF7" w:rsidRPr="00394F86">
        <w:t xml:space="preserve"> by redacting law enforcement strategies</w:t>
      </w:r>
      <w:r w:rsidR="005D5CBC">
        <w:t>,</w:t>
      </w:r>
      <w:r w:rsidR="00B83FF7" w:rsidRPr="00394F86">
        <w:t xml:space="preserve"> to allow </w:t>
      </w:r>
      <w:r w:rsidR="005D5CBC">
        <w:t>for an</w:t>
      </w:r>
      <w:r w:rsidR="00B83FF7" w:rsidRPr="00394F86">
        <w:t xml:space="preserve"> assess</w:t>
      </w:r>
      <w:r w:rsidR="005D5CBC">
        <w:t>ment</w:t>
      </w:r>
      <w:r w:rsidR="00B83FF7" w:rsidRPr="00394F86">
        <w:t xml:space="preserve"> </w:t>
      </w:r>
      <w:r w:rsidR="005D5CBC">
        <w:t xml:space="preserve">of </w:t>
      </w:r>
      <w:r w:rsidR="00B83FF7" w:rsidRPr="00394F86">
        <w:t>the implementation of the SEP at the district level.</w:t>
      </w:r>
    </w:p>
    <w:p w14:paraId="3396AC9A" w14:textId="77777777" w:rsidR="00296DA5" w:rsidRDefault="001B5A8F" w:rsidP="00396A3D">
      <w:pPr>
        <w:pStyle w:val="NCDBulletsLevel1"/>
      </w:pPr>
      <w:r>
        <w:t>P</w:t>
      </w:r>
      <w:r w:rsidR="00B83FF7" w:rsidRPr="00BC3FB6">
        <w:t xml:space="preserve">ublicly post data </w:t>
      </w:r>
      <w:r w:rsidR="00CD3F35">
        <w:t xml:space="preserve">on </w:t>
      </w:r>
      <w:r w:rsidR="00B83FF7" w:rsidRPr="00BC3FB6">
        <w:t xml:space="preserve">how it has fulfilled the </w:t>
      </w:r>
      <w:r w:rsidR="00791726">
        <w:t>SEP</w:t>
      </w:r>
      <w:r w:rsidR="00B83FF7" w:rsidRPr="00BC3FB6">
        <w:t xml:space="preserve"> objective </w:t>
      </w:r>
      <w:r w:rsidR="00950C1F">
        <w:t>to reduce</w:t>
      </w:r>
      <w:r w:rsidR="00B83FF7" w:rsidRPr="00BC3FB6">
        <w:t xml:space="preserve"> the barriers faced by applicants with disabilities in the application and hiring process</w:t>
      </w:r>
      <w:r w:rsidR="00BA1D75">
        <w:t>es</w:t>
      </w:r>
      <w:r w:rsidR="00B83FF7" w:rsidRPr="00BC3FB6">
        <w:t>.</w:t>
      </w:r>
    </w:p>
    <w:p w14:paraId="5ECBD466" w14:textId="77777777" w:rsidR="00296DA5" w:rsidRDefault="001B5A8F" w:rsidP="00396A3D">
      <w:pPr>
        <w:pStyle w:val="NCDBulletsLevel1"/>
      </w:pPr>
      <w:r>
        <w:t>P</w:t>
      </w:r>
      <w:r w:rsidR="00B83FF7" w:rsidRPr="00394F86">
        <w:t xml:space="preserve">ublish a detailed report of the impact of the ADAAA on the number, disability type, discrimination alleged, and final resolution of ADA charges since passage of the </w:t>
      </w:r>
      <w:r w:rsidR="00B83FF7">
        <w:t>ADAAA</w:t>
      </w:r>
      <w:r w:rsidR="00B83FF7" w:rsidRPr="00394F86">
        <w:t>.</w:t>
      </w:r>
    </w:p>
    <w:p w14:paraId="3682768E" w14:textId="77777777" w:rsidR="00296DA5" w:rsidRDefault="001B5A8F" w:rsidP="00396A3D">
      <w:pPr>
        <w:pStyle w:val="NCDBulletsLevel1"/>
      </w:pPr>
      <w:r w:rsidRPr="009C71C2">
        <w:t>E</w:t>
      </w:r>
      <w:r w:rsidR="00B83FF7" w:rsidRPr="009C71C2">
        <w:t>valua</w:t>
      </w:r>
      <w:r w:rsidR="009C71C2">
        <w:t xml:space="preserve">te the impact of the </w:t>
      </w:r>
      <w:r w:rsidR="00037AD9">
        <w:t xml:space="preserve">priority </w:t>
      </w:r>
      <w:r w:rsidR="00B83FF7" w:rsidRPr="009C71C2">
        <w:t>charge classification process on people with disabilities to determine to what extent t</w:t>
      </w:r>
      <w:r w:rsidR="009C71C2">
        <w:t xml:space="preserve">he disability may result in a low </w:t>
      </w:r>
      <w:r w:rsidR="00B83FF7" w:rsidRPr="009C71C2">
        <w:t>classifica</w:t>
      </w:r>
      <w:r w:rsidR="00950C1F">
        <w:t>tion</w:t>
      </w:r>
      <w:r w:rsidR="009C71C2">
        <w:t xml:space="preserve"> because of the disability.</w:t>
      </w:r>
    </w:p>
    <w:p w14:paraId="2D521D27" w14:textId="77777777" w:rsidR="00296DA5" w:rsidRDefault="009C71C2" w:rsidP="00396A3D">
      <w:pPr>
        <w:pStyle w:val="NCDBulletsLevel1"/>
      </w:pPr>
      <w:r>
        <w:lastRenderedPageBreak/>
        <w:t>C</w:t>
      </w:r>
      <w:r w:rsidR="00B83FF7" w:rsidRPr="00BC3FB6">
        <w:t xml:space="preserve">learly identify </w:t>
      </w:r>
      <w:r>
        <w:t xml:space="preserve">on the </w:t>
      </w:r>
      <w:r w:rsidR="005D5CBC">
        <w:t xml:space="preserve">EEOC </w:t>
      </w:r>
      <w:r>
        <w:t xml:space="preserve">public portal </w:t>
      </w:r>
      <w:r w:rsidR="00B83FF7" w:rsidRPr="00BC3FB6">
        <w:t>how a person with a disability can request a reasonable</w:t>
      </w:r>
      <w:r w:rsidR="00F355EF">
        <w:t xml:space="preserve"> accommodation to file a charge</w:t>
      </w:r>
      <w:r w:rsidR="00BA1D75">
        <w:t xml:space="preserve"> and</w:t>
      </w:r>
      <w:r w:rsidR="00F355EF">
        <w:t xml:space="preserve"> </w:t>
      </w:r>
      <w:r w:rsidR="00B83FF7" w:rsidRPr="00BC3FB6">
        <w:t>the other available options for a person with a disability to b</w:t>
      </w:r>
      <w:r w:rsidR="00F355EF">
        <w:t>egin the charge filing process</w:t>
      </w:r>
      <w:r w:rsidR="00C70373">
        <w:t>.</w:t>
      </w:r>
    </w:p>
    <w:p w14:paraId="0D42A321" w14:textId="77777777" w:rsidR="00296DA5" w:rsidRDefault="001B5A8F" w:rsidP="00396A3D">
      <w:pPr>
        <w:pStyle w:val="NCDBulletsLevel1"/>
      </w:pPr>
      <w:r>
        <w:t>C</w:t>
      </w:r>
      <w:r w:rsidR="00B83FF7">
        <w:t>reate and post on its website videos in American Sign Language (ASL) about the charge filing, medi</w:t>
      </w:r>
      <w:r w:rsidR="001A3855">
        <w:t>ation</w:t>
      </w:r>
      <w:r w:rsidR="00950C1F">
        <w:t>,</w:t>
      </w:r>
      <w:r w:rsidR="001A3855">
        <w:t xml:space="preserve"> and investigation process</w:t>
      </w:r>
      <w:r w:rsidR="00950C1F">
        <w:t>es</w:t>
      </w:r>
      <w:r w:rsidR="001A3855">
        <w:t>,</w:t>
      </w:r>
      <w:r w:rsidR="00950C1F">
        <w:t xml:space="preserve"> as well as</w:t>
      </w:r>
      <w:r w:rsidR="00B83FF7">
        <w:t xml:space="preserve"> important guidance on all laws enforced by the EEOC.</w:t>
      </w:r>
    </w:p>
    <w:p w14:paraId="47E25093" w14:textId="77777777" w:rsidR="00296DA5" w:rsidRDefault="001B5A8F" w:rsidP="00D35D4B">
      <w:pPr>
        <w:pStyle w:val="NCDBulletsLevel1"/>
      </w:pPr>
      <w:r>
        <w:t>I</w:t>
      </w:r>
      <w:r w:rsidR="00B83FF7" w:rsidRPr="00394F86">
        <w:t xml:space="preserve">mprove the public understanding of the relationship between the EEOC and the </w:t>
      </w:r>
      <w:r w:rsidR="00F355EF">
        <w:t>Fair Employment Practice Agencies</w:t>
      </w:r>
      <w:r w:rsidR="00B83FF7" w:rsidRPr="00394F86">
        <w:t xml:space="preserve"> </w:t>
      </w:r>
      <w:r w:rsidR="001A3855">
        <w:t xml:space="preserve">(FEPAs) </w:t>
      </w:r>
      <w:r w:rsidR="00B83FF7" w:rsidRPr="00394F86">
        <w:t>by requiring appropriate</w:t>
      </w:r>
      <w:r w:rsidR="00F355EF">
        <w:t xml:space="preserve"> explanations on both EEOC </w:t>
      </w:r>
      <w:r w:rsidR="00B83FF7" w:rsidRPr="00394F86">
        <w:t>and FEPA webpages and fact</w:t>
      </w:r>
      <w:r w:rsidR="001003DE">
        <w:t xml:space="preserve"> </w:t>
      </w:r>
      <w:r w:rsidR="00B83FF7" w:rsidRPr="00394F86">
        <w:t>sheets</w:t>
      </w:r>
      <w:r w:rsidR="00F355EF">
        <w:t>.</w:t>
      </w:r>
    </w:p>
    <w:p w14:paraId="5A392593" w14:textId="77777777" w:rsidR="00296DA5" w:rsidRDefault="001B5A8F" w:rsidP="00396A3D">
      <w:pPr>
        <w:pStyle w:val="NCDBulletsLevel1"/>
      </w:pPr>
      <w:r>
        <w:t>T</w:t>
      </w:r>
      <w:r w:rsidR="00B83FF7" w:rsidRPr="00394F86">
        <w:t xml:space="preserve">rack the training completed by FEPA staff on the ADA and other </w:t>
      </w:r>
      <w:r w:rsidR="00950C1F">
        <w:t xml:space="preserve">federal </w:t>
      </w:r>
      <w:r w:rsidR="00B83FF7" w:rsidRPr="00394F86">
        <w:t>disability rights laws as part of oversight of the</w:t>
      </w:r>
      <w:r w:rsidR="00950C1F">
        <w:t xml:space="preserve"> quality of the work of the</w:t>
      </w:r>
      <w:r w:rsidR="00F355EF">
        <w:t xml:space="preserve"> FEPA</w:t>
      </w:r>
      <w:r w:rsidR="00950C1F">
        <w:t>s</w:t>
      </w:r>
      <w:r w:rsidR="00F355EF">
        <w:t xml:space="preserve"> and take appropriate steps to address low participation.</w:t>
      </w:r>
    </w:p>
    <w:p w14:paraId="463A277D" w14:textId="77777777" w:rsidR="00296DA5" w:rsidRDefault="001B5A8F" w:rsidP="00396A3D">
      <w:pPr>
        <w:pStyle w:val="NCDBulletsLevel1"/>
      </w:pPr>
      <w:r>
        <w:t>D</w:t>
      </w:r>
      <w:r w:rsidR="00B83FF7" w:rsidRPr="00394F86">
        <w:t xml:space="preserve">evelop ADA fact sheets and guidance documents for the general public in more simple language </w:t>
      </w:r>
      <w:r w:rsidR="00F353D8">
        <w:t>that</w:t>
      </w:r>
      <w:r w:rsidR="00F353D8" w:rsidRPr="00394F86">
        <w:t xml:space="preserve"> </w:t>
      </w:r>
      <w:r w:rsidR="00B83FF7" w:rsidRPr="00394F86">
        <w:t>take into account persons wi</w:t>
      </w:r>
      <w:r w:rsidR="001A3855">
        <w:t xml:space="preserve">th various </w:t>
      </w:r>
      <w:r w:rsidR="003D00C5">
        <w:t>disabilities and</w:t>
      </w:r>
      <w:r w:rsidR="001A3855">
        <w:t xml:space="preserve"> </w:t>
      </w:r>
      <w:r w:rsidR="00B83FF7" w:rsidRPr="00394F86">
        <w:t xml:space="preserve">continue to create detailed guidance documents about the ADA </w:t>
      </w:r>
      <w:r w:rsidR="00E52AE8">
        <w:t>that</w:t>
      </w:r>
      <w:r w:rsidR="00E52AE8" w:rsidRPr="00394F86">
        <w:t xml:space="preserve"> </w:t>
      </w:r>
      <w:r w:rsidR="00B83FF7" w:rsidRPr="00394F86">
        <w:t>benefit employers, advocates</w:t>
      </w:r>
      <w:r w:rsidR="00E52AE8">
        <w:t>,</w:t>
      </w:r>
      <w:r w:rsidR="00B83FF7" w:rsidRPr="00394F86">
        <w:t xml:space="preserve"> and the courts.</w:t>
      </w:r>
    </w:p>
    <w:p w14:paraId="517D24C8" w14:textId="77777777" w:rsidR="00296DA5" w:rsidRDefault="001B5A8F" w:rsidP="00396A3D">
      <w:pPr>
        <w:pStyle w:val="NCDBulletsLevel1"/>
      </w:pPr>
      <w:r>
        <w:t>C</w:t>
      </w:r>
      <w:r w:rsidR="00B83FF7" w:rsidRPr="00394F86">
        <w:t xml:space="preserve">reate, with input from the disability community, a specific method to assess the quality of </w:t>
      </w:r>
      <w:r w:rsidR="001A3855">
        <w:t xml:space="preserve">EEOC </w:t>
      </w:r>
      <w:r w:rsidR="00B83FF7" w:rsidRPr="00394F86">
        <w:t xml:space="preserve">investigations of ADA </w:t>
      </w:r>
      <w:r w:rsidR="001A3855">
        <w:t xml:space="preserve">charges </w:t>
      </w:r>
      <w:r>
        <w:t xml:space="preserve">as detailed in this </w:t>
      </w:r>
      <w:r w:rsidR="00950C1F">
        <w:t>chapter</w:t>
      </w:r>
      <w:r w:rsidR="00B83FF7" w:rsidRPr="00394F86">
        <w:t>.</w:t>
      </w:r>
    </w:p>
    <w:p w14:paraId="12DA0357" w14:textId="77777777" w:rsidR="00296DA5" w:rsidRDefault="001B5A8F" w:rsidP="00396A3D">
      <w:pPr>
        <w:pStyle w:val="NCDBulletsLevel1"/>
      </w:pPr>
      <w:r>
        <w:t>D</w:t>
      </w:r>
      <w:r w:rsidR="00B83FF7" w:rsidRPr="00394F86">
        <w:t>evelop investigators who are specialists in disability issues and devoted specifically to investigate ADA charges.</w:t>
      </w:r>
    </w:p>
    <w:p w14:paraId="47DA4D43" w14:textId="77777777" w:rsidR="00296DA5" w:rsidRDefault="001B5A8F" w:rsidP="00396A3D">
      <w:pPr>
        <w:pStyle w:val="NCDBulletsLevel1"/>
      </w:pPr>
      <w:r>
        <w:t>I</w:t>
      </w:r>
      <w:r w:rsidR="00B83FF7" w:rsidRPr="00394F86">
        <w:t xml:space="preserve">mprove communications with people who file </w:t>
      </w:r>
      <w:r w:rsidR="00662285">
        <w:t xml:space="preserve">a </w:t>
      </w:r>
      <w:r w:rsidR="00B83FF7" w:rsidRPr="00394F86">
        <w:t xml:space="preserve">charge by </w:t>
      </w:r>
      <w:r w:rsidR="00B83FF7">
        <w:t xml:space="preserve">requiring that investigators </w:t>
      </w:r>
      <w:r w:rsidR="00B83FF7" w:rsidRPr="00394F86">
        <w:t>respond to inquiries for charging parties within 30 days of the inquiry.</w:t>
      </w:r>
    </w:p>
    <w:p w14:paraId="5F065032" w14:textId="77777777" w:rsidR="00296DA5" w:rsidRDefault="001B5A8F" w:rsidP="00396A3D">
      <w:pPr>
        <w:pStyle w:val="NCDBulletsLevel1"/>
      </w:pPr>
      <w:r>
        <w:t>P</w:t>
      </w:r>
      <w:r w:rsidR="00B83FF7" w:rsidRPr="00394F86">
        <w:t xml:space="preserve">rioritize the reduction of the charge inventory and processing times through </w:t>
      </w:r>
      <w:r w:rsidR="001A3855">
        <w:t>an</w:t>
      </w:r>
      <w:r w:rsidR="00B83FF7" w:rsidRPr="00394F86">
        <w:t xml:space="preserve"> increase in staff levels.</w:t>
      </w:r>
    </w:p>
    <w:p w14:paraId="6B40C323" w14:textId="77777777" w:rsidR="00296DA5" w:rsidRDefault="001B5A8F" w:rsidP="00396A3D">
      <w:pPr>
        <w:pStyle w:val="NCDBulletsLevel1"/>
      </w:pPr>
      <w:r>
        <w:t>I</w:t>
      </w:r>
      <w:r w:rsidR="00B83FF7" w:rsidRPr="00394F86">
        <w:t>ncrease the required frequency of the meetings of the</w:t>
      </w:r>
      <w:r w:rsidR="00F355EF">
        <w:t xml:space="preserve"> </w:t>
      </w:r>
      <w:r w:rsidR="00C70373">
        <w:t>EEOC and DOL Office of Federal Contract Compliance Program</w:t>
      </w:r>
      <w:r w:rsidR="00B83FF7" w:rsidRPr="00394F86">
        <w:t xml:space="preserve"> Compliance Coordination Committees.</w:t>
      </w:r>
    </w:p>
    <w:p w14:paraId="265686D5" w14:textId="77777777" w:rsidR="00296DA5" w:rsidRDefault="004628DE" w:rsidP="00396A3D">
      <w:pPr>
        <w:pStyle w:val="NCDBodyText"/>
      </w:pPr>
      <w:r>
        <w:lastRenderedPageBreak/>
        <w:t>NCD recommends that Congress and the President:</w:t>
      </w:r>
    </w:p>
    <w:p w14:paraId="0ECE1E12" w14:textId="77777777" w:rsidR="00296DA5" w:rsidRDefault="004628DE" w:rsidP="00396A3D">
      <w:pPr>
        <w:pStyle w:val="NCDBulletsLevel1"/>
      </w:pPr>
      <w:r>
        <w:t>E</w:t>
      </w:r>
      <w:r w:rsidRPr="004628DE">
        <w:t>liminate budget and hiring barriers, such as hiring freezes and unfunded mandatory pay increases, which prevent the EEOC from maintaining necessary staff levels</w:t>
      </w:r>
      <w:r>
        <w:t>.</w:t>
      </w:r>
    </w:p>
    <w:p w14:paraId="38B99D8F" w14:textId="607F4D87" w:rsidR="00396A3D" w:rsidRPr="00D35D4B" w:rsidRDefault="009A506E" w:rsidP="00D820F9">
      <w:pPr>
        <w:pStyle w:val="Heading3"/>
      </w:pPr>
      <w:bookmarkStart w:id="21" w:name="_Toc526182075"/>
      <w:r w:rsidRPr="00D35D4B">
        <w:t>Overview</w:t>
      </w:r>
      <w:r w:rsidR="00030D8D" w:rsidRPr="00D35D4B">
        <w:t xml:space="preserve"> of the EEOC</w:t>
      </w:r>
      <w:bookmarkEnd w:id="21"/>
    </w:p>
    <w:p w14:paraId="66E4A5B3" w14:textId="77777777" w:rsidR="00296DA5" w:rsidRDefault="00C70373" w:rsidP="00396A3D">
      <w:pPr>
        <w:pStyle w:val="NCDBodyText"/>
      </w:pPr>
      <w:r>
        <w:t>Established</w:t>
      </w:r>
      <w:r w:rsidR="009A506E" w:rsidRPr="00167B8A">
        <w:t xml:space="preserve"> in 196</w:t>
      </w:r>
      <w:r w:rsidR="00CA288E">
        <w:t>4</w:t>
      </w:r>
      <w:r w:rsidR="009A506E" w:rsidRPr="00167B8A">
        <w:t xml:space="preserve"> </w:t>
      </w:r>
      <w:r w:rsidR="009A506E">
        <w:t>through</w:t>
      </w:r>
      <w:r w:rsidR="009A506E" w:rsidRPr="00167B8A">
        <w:t xml:space="preserve"> Title VII </w:t>
      </w:r>
      <w:r w:rsidR="00AE77FF">
        <w:t>of the Civil Rights Act of 1964,</w:t>
      </w:r>
      <w:r w:rsidR="009A506E" w:rsidRPr="00167B8A">
        <w:rPr>
          <w:rStyle w:val="EndnoteReference"/>
          <w:rFonts w:cs="Arial"/>
        </w:rPr>
        <w:endnoteReference w:id="12"/>
      </w:r>
      <w:r w:rsidR="00332530">
        <w:t xml:space="preserve"> the EEOC</w:t>
      </w:r>
      <w:r w:rsidR="00AE77FF">
        <w:t xml:space="preserve"> </w:t>
      </w:r>
      <w:r w:rsidR="009A506E" w:rsidRPr="00167B8A">
        <w:t>is responsible for the enforcement of federal antidiscrimi</w:t>
      </w:r>
      <w:r w:rsidR="00AE77FF">
        <w:t>nation laws, including Title I of the ADA</w:t>
      </w:r>
      <w:r w:rsidR="009A506E" w:rsidRPr="00167B8A">
        <w:t xml:space="preserve"> and</w:t>
      </w:r>
      <w:r w:rsidR="009A506E">
        <w:t xml:space="preserve"> more recently</w:t>
      </w:r>
      <w:r w:rsidR="009A506E" w:rsidRPr="00167B8A">
        <w:t xml:space="preserve"> Title II</w:t>
      </w:r>
      <w:r>
        <w:t xml:space="preserve"> of</w:t>
      </w:r>
      <w:r w:rsidR="009A506E">
        <w:t xml:space="preserve"> </w:t>
      </w:r>
      <w:r w:rsidR="00791726">
        <w:t>GINA</w:t>
      </w:r>
      <w:r w:rsidR="00AE77FF">
        <w:t>,</w:t>
      </w:r>
      <w:r w:rsidR="00791726">
        <w:t xml:space="preserve"> </w:t>
      </w:r>
      <w:r w:rsidR="00332530">
        <w:t xml:space="preserve">as applicable </w:t>
      </w:r>
      <w:r w:rsidR="0000426B">
        <w:t xml:space="preserve">to </w:t>
      </w:r>
      <w:r w:rsidR="00332530">
        <w:t xml:space="preserve">private </w:t>
      </w:r>
      <w:r w:rsidR="009A506E" w:rsidRPr="00167B8A">
        <w:t>and state and local government</w:t>
      </w:r>
      <w:r w:rsidR="009A506E" w:rsidRPr="006D687B">
        <w:t xml:space="preserve"> </w:t>
      </w:r>
      <w:r w:rsidR="009A506E" w:rsidRPr="00167B8A">
        <w:t>employers</w:t>
      </w:r>
      <w:r w:rsidR="0000426B">
        <w:t>,</w:t>
      </w:r>
      <w:r w:rsidR="00CA288E">
        <w:t xml:space="preserve"> employment agencies,</w:t>
      </w:r>
      <w:r w:rsidR="0000426B">
        <w:t xml:space="preserve"> </w:t>
      </w:r>
      <w:r w:rsidR="00CA288E">
        <w:t xml:space="preserve">and </w:t>
      </w:r>
      <w:r w:rsidR="0000426B">
        <w:t>unions</w:t>
      </w:r>
      <w:r w:rsidR="009A506E" w:rsidRPr="00167B8A">
        <w:t>. The EEOC</w:t>
      </w:r>
      <w:r w:rsidR="0000426B">
        <w:t xml:space="preserve"> also</w:t>
      </w:r>
      <w:r w:rsidR="00975779">
        <w:t xml:space="preserve"> is responsible for</w:t>
      </w:r>
      <w:r w:rsidR="009A506E" w:rsidRPr="00167B8A">
        <w:t xml:space="preserve"> the enforcement of </w:t>
      </w:r>
      <w:r w:rsidR="009A506E">
        <w:t>Section</w:t>
      </w:r>
      <w:r w:rsidR="009A506E" w:rsidRPr="00167B8A">
        <w:t>s 501 and 505 of the Rehabilitation Act applicable to federal employees.</w:t>
      </w:r>
    </w:p>
    <w:p w14:paraId="131949E9" w14:textId="77777777" w:rsidR="00296DA5" w:rsidRDefault="009A506E" w:rsidP="00396A3D">
      <w:pPr>
        <w:pStyle w:val="NCDBodyText"/>
      </w:pPr>
      <w:r w:rsidRPr="00167B8A">
        <w:t>The EEOC is headed by five Commissioners, appointed by the President and confirmed by the Senate for a five-year term. No more than three Commissioners may be from the same political party.</w:t>
      </w:r>
      <w:r>
        <w:t xml:space="preserve"> </w:t>
      </w:r>
      <w:r w:rsidRPr="00167B8A">
        <w:t xml:space="preserve">The </w:t>
      </w:r>
      <w:r w:rsidR="001A3855">
        <w:t>EEO</w:t>
      </w:r>
      <w:r w:rsidR="00BE70F4">
        <w:t>C</w:t>
      </w:r>
      <w:r w:rsidR="001A3855">
        <w:t xml:space="preserve"> </w:t>
      </w:r>
      <w:r w:rsidRPr="00167B8A">
        <w:t>Chair is appointed by the President</w:t>
      </w:r>
      <w:r w:rsidR="00CA288E">
        <w:t xml:space="preserve"> from among the Commissioners</w:t>
      </w:r>
      <w:r w:rsidRPr="00167B8A">
        <w:t xml:space="preserve">. The EEOC General Counsel, who brings litigation on behalf of the </w:t>
      </w:r>
      <w:r w:rsidR="0000426B">
        <w:t>Commission</w:t>
      </w:r>
      <w:r w:rsidRPr="00167B8A">
        <w:t xml:space="preserve">, is also appointed by the President </w:t>
      </w:r>
      <w:r w:rsidR="00950C1F">
        <w:t>but</w:t>
      </w:r>
      <w:r>
        <w:t xml:space="preserve"> confirmed by the Senate </w:t>
      </w:r>
      <w:r w:rsidRPr="00167B8A">
        <w:t>for a four-year term.</w:t>
      </w:r>
      <w:r w:rsidRPr="00167B8A">
        <w:rPr>
          <w:vertAlign w:val="superscript"/>
        </w:rPr>
        <w:endnoteReference w:id="13"/>
      </w:r>
      <w:r w:rsidRPr="00167B8A">
        <w:t xml:space="preserve"> </w:t>
      </w:r>
      <w:r w:rsidR="0000426B">
        <w:t>O</w:t>
      </w:r>
      <w:r w:rsidRPr="00167B8A">
        <w:t>rganizationally</w:t>
      </w:r>
      <w:r w:rsidR="0000426B">
        <w:t xml:space="preserve"> the EEOC</w:t>
      </w:r>
      <w:r w:rsidRPr="00167B8A">
        <w:t xml:space="preserve"> is divided into the Office</w:t>
      </w:r>
      <w:r>
        <w:t>s</w:t>
      </w:r>
      <w:r w:rsidRPr="00167B8A">
        <w:t xml:space="preserve"> of Field Programs, Legal Counsel, General Counsel, Federal Operations, and a number of other offices. Geographically, the </w:t>
      </w:r>
      <w:r w:rsidR="0000426B">
        <w:t>Commission</w:t>
      </w:r>
      <w:r w:rsidRPr="00167B8A">
        <w:t xml:space="preserve"> m</w:t>
      </w:r>
      <w:r w:rsidR="0000426B">
        <w:t xml:space="preserve">aintains </w:t>
      </w:r>
      <w:r w:rsidRPr="00167B8A">
        <w:t>15 districts containing a total of 52 district, field, area</w:t>
      </w:r>
      <w:r w:rsidR="0075156F">
        <w:t>,</w:t>
      </w:r>
      <w:r w:rsidRPr="00167B8A">
        <w:t xml:space="preserve"> and local offices</w:t>
      </w:r>
      <w:r w:rsidR="0075156F">
        <w:t>;</w:t>
      </w:r>
      <w:r w:rsidR="0075156F" w:rsidRPr="00167B8A">
        <w:t xml:space="preserve"> </w:t>
      </w:r>
      <w:r w:rsidR="001A3855">
        <w:t>a headquarters office</w:t>
      </w:r>
      <w:r w:rsidR="001A3855" w:rsidRPr="00167B8A">
        <w:t xml:space="preserve"> in Washington, DC</w:t>
      </w:r>
      <w:r w:rsidR="0075156F">
        <w:t>;</w:t>
      </w:r>
      <w:r w:rsidR="00950C1F">
        <w:t xml:space="preserve"> </w:t>
      </w:r>
      <w:r w:rsidRPr="00167B8A">
        <w:t>and a separate Washington, DC</w:t>
      </w:r>
      <w:r w:rsidR="001B6E59">
        <w:t>,</w:t>
      </w:r>
      <w:r w:rsidR="001B6E59" w:rsidRPr="00167B8A">
        <w:t xml:space="preserve"> </w:t>
      </w:r>
      <w:r w:rsidRPr="00167B8A">
        <w:t>field office.</w:t>
      </w:r>
    </w:p>
    <w:p w14:paraId="3129048D" w14:textId="77777777" w:rsidR="00296DA5" w:rsidRDefault="009A506E" w:rsidP="00396A3D">
      <w:pPr>
        <w:pStyle w:val="NCDBodyText"/>
      </w:pPr>
      <w:r w:rsidRPr="00167B8A">
        <w:t xml:space="preserve">The </w:t>
      </w:r>
      <w:r w:rsidRPr="00167B8A">
        <w:rPr>
          <w:bCs/>
        </w:rPr>
        <w:t>Office</w:t>
      </w:r>
      <w:r>
        <w:rPr>
          <w:bCs/>
        </w:rPr>
        <w:t>s</w:t>
      </w:r>
      <w:r w:rsidRPr="00167B8A">
        <w:rPr>
          <w:bCs/>
        </w:rPr>
        <w:t xml:space="preserve"> of Field Programs</w:t>
      </w:r>
      <w:r>
        <w:t xml:space="preserve"> and </w:t>
      </w:r>
      <w:r w:rsidRPr="00167B8A">
        <w:rPr>
          <w:bCs/>
        </w:rPr>
        <w:t>General Counsel</w:t>
      </w:r>
      <w:r>
        <w:t>, and</w:t>
      </w:r>
      <w:r w:rsidRPr="00167B8A">
        <w:t xml:space="preserve"> </w:t>
      </w:r>
      <w:r>
        <w:t xml:space="preserve">the individual EEOC </w:t>
      </w:r>
      <w:r w:rsidRPr="00167B8A">
        <w:rPr>
          <w:bCs/>
        </w:rPr>
        <w:t>field offices</w:t>
      </w:r>
      <w:r w:rsidRPr="00167B8A">
        <w:t xml:space="preserve"> </w:t>
      </w:r>
      <w:r w:rsidR="006474CA">
        <w:t>“</w:t>
      </w:r>
      <w:r w:rsidRPr="00167B8A">
        <w:t>ensure that EEOC effectively enforces the statutory, regulatory, policy, and program responsibilities of the Commission through a variety of resolution m</w:t>
      </w:r>
      <w:r>
        <w:t>ethods tailored to each</w:t>
      </w:r>
      <w:r w:rsidR="006474CA">
        <w:t>”</w:t>
      </w:r>
      <w:r>
        <w:t xml:space="preserve"> </w:t>
      </w:r>
      <w:r w:rsidR="001A3855">
        <w:t xml:space="preserve">discrimination </w:t>
      </w:r>
      <w:r>
        <w:t xml:space="preserve">complaint, called the </w:t>
      </w:r>
      <w:r w:rsidR="006474CA">
        <w:t>“</w:t>
      </w:r>
      <w:r>
        <w:t>charge of discrimination.</w:t>
      </w:r>
      <w:r w:rsidR="006474CA">
        <w:t>”</w:t>
      </w:r>
      <w:r>
        <w:rPr>
          <w:rStyle w:val="EndnoteReference"/>
          <w:rFonts w:cs="Arial"/>
        </w:rPr>
        <w:endnoteReference w:id="14"/>
      </w:r>
      <w:r w:rsidR="00CD3F35">
        <w:t xml:space="preserve"> </w:t>
      </w:r>
      <w:r w:rsidR="0000426B">
        <w:t>The</w:t>
      </w:r>
      <w:r>
        <w:t xml:space="preserve"> </w:t>
      </w:r>
      <w:r w:rsidRPr="00167B8A">
        <w:rPr>
          <w:bCs/>
        </w:rPr>
        <w:t xml:space="preserve">Office of Legal Counsel </w:t>
      </w:r>
      <w:r w:rsidR="00950C1F">
        <w:rPr>
          <w:bCs/>
        </w:rPr>
        <w:t xml:space="preserve">(OLC) </w:t>
      </w:r>
      <w:r w:rsidRPr="00167B8A">
        <w:t>develops</w:t>
      </w:r>
      <w:r w:rsidR="00CA288E">
        <w:t xml:space="preserve"> regulations and</w:t>
      </w:r>
      <w:r w:rsidRPr="00167B8A">
        <w:t xml:space="preserve"> policy guidance, provides technical assistance to employers and employees, and coordinates with other agencies and </w:t>
      </w:r>
      <w:r w:rsidR="00791726">
        <w:t xml:space="preserve">interested parties </w:t>
      </w:r>
      <w:r w:rsidRPr="00167B8A">
        <w:t xml:space="preserve">regarding the statutes and regulations enforced by the </w:t>
      </w:r>
      <w:r w:rsidR="00BE70F4">
        <w:t>EEOC</w:t>
      </w:r>
      <w:r w:rsidRPr="00167B8A">
        <w:t xml:space="preserve">. The </w:t>
      </w:r>
      <w:r w:rsidR="00950C1F">
        <w:t xml:space="preserve">OLC </w:t>
      </w:r>
      <w:r>
        <w:t xml:space="preserve">was critical in the development of the </w:t>
      </w:r>
      <w:r w:rsidR="00791726">
        <w:t>EEOC</w:t>
      </w:r>
      <w:r>
        <w:t xml:space="preserve"> regulations</w:t>
      </w:r>
      <w:r w:rsidR="00791726">
        <w:t xml:space="preserve"> following the ADAAA.</w:t>
      </w:r>
    </w:p>
    <w:p w14:paraId="5C986417" w14:textId="77777777" w:rsidR="00296DA5" w:rsidRDefault="00CA288E" w:rsidP="00396A3D">
      <w:pPr>
        <w:pStyle w:val="NCDBodyText"/>
      </w:pPr>
      <w:r>
        <w:lastRenderedPageBreak/>
        <w:t>The Office of Federal Operations (OFO) is responsible for</w:t>
      </w:r>
      <w:r w:rsidR="00662285">
        <w:t xml:space="preserve"> the development and implementation of</w:t>
      </w:r>
      <w:r>
        <w:t xml:space="preserve"> </w:t>
      </w:r>
      <w:r w:rsidR="00662285">
        <w:t>affirmative action employment policies</w:t>
      </w:r>
      <w:r>
        <w:t xml:space="preserve"> </w:t>
      </w:r>
      <w:r w:rsidR="00662285">
        <w:t xml:space="preserve">by the </w:t>
      </w:r>
      <w:r>
        <w:t xml:space="preserve">federal agencies, </w:t>
      </w:r>
      <w:r w:rsidR="002228A2">
        <w:t xml:space="preserve">and </w:t>
      </w:r>
      <w:r w:rsidR="00662285">
        <w:t xml:space="preserve">compliance with the adjudication system for federal employees who file discrimination employments, </w:t>
      </w:r>
      <w:r w:rsidR="002228A2">
        <w:t>which includes administration of the review of the appeals process for federal employment discrimination complaints</w:t>
      </w:r>
      <w:r>
        <w:t xml:space="preserve">. </w:t>
      </w:r>
      <w:r w:rsidR="002228A2">
        <w:t>Given the nature of the federal enforcement system in comparison with other employers, the OFO was not analyzed for this report.</w:t>
      </w:r>
    </w:p>
    <w:p w14:paraId="1E56E551" w14:textId="0DA0603B" w:rsidR="000F5905" w:rsidRPr="00D35D4B" w:rsidRDefault="00525794" w:rsidP="00D820F9">
      <w:pPr>
        <w:pStyle w:val="Heading3"/>
      </w:pPr>
      <w:bookmarkStart w:id="22" w:name="_Toc526182076"/>
      <w:r w:rsidRPr="00D35D4B">
        <w:t xml:space="preserve">Regulatory, </w:t>
      </w:r>
      <w:r w:rsidR="0000426B" w:rsidRPr="00D35D4B">
        <w:t>Sub-Regulatory</w:t>
      </w:r>
      <w:r w:rsidR="0075156F" w:rsidRPr="00D35D4B">
        <w:t>,</w:t>
      </w:r>
      <w:r w:rsidRPr="00D35D4B">
        <w:t xml:space="preserve"> and Policy</w:t>
      </w:r>
      <w:r w:rsidR="0000426B" w:rsidRPr="00D35D4B">
        <w:t xml:space="preserve"> </w:t>
      </w:r>
      <w:r w:rsidR="000F5905" w:rsidRPr="00D35D4B">
        <w:t>Guidance</w:t>
      </w:r>
      <w:bookmarkEnd w:id="22"/>
    </w:p>
    <w:p w14:paraId="2E3DDEC4" w14:textId="77777777" w:rsidR="00296DA5" w:rsidRDefault="00950C1F" w:rsidP="00396A3D">
      <w:pPr>
        <w:pStyle w:val="NCDBodyText"/>
      </w:pPr>
      <w:r>
        <w:rPr>
          <w:rFonts w:eastAsiaTheme="minorEastAsia"/>
          <w:bCs/>
        </w:rPr>
        <w:t>After enactment of the ADAAA, the</w:t>
      </w:r>
      <w:r w:rsidR="001A3855">
        <w:rPr>
          <w:rFonts w:eastAsiaTheme="minorEastAsia"/>
          <w:bCs/>
        </w:rPr>
        <w:t xml:space="preserve"> EEOC revised </w:t>
      </w:r>
      <w:r>
        <w:rPr>
          <w:rFonts w:eastAsiaTheme="minorEastAsia"/>
          <w:bCs/>
        </w:rPr>
        <w:t xml:space="preserve">the ADA Title I </w:t>
      </w:r>
      <w:r w:rsidR="001A3855">
        <w:rPr>
          <w:rFonts w:eastAsiaTheme="minorEastAsia"/>
          <w:bCs/>
        </w:rPr>
        <w:t>regulations</w:t>
      </w:r>
      <w:r w:rsidR="0075156F">
        <w:rPr>
          <w:rFonts w:eastAsiaTheme="minorEastAsia"/>
          <w:bCs/>
        </w:rPr>
        <w:t>,</w:t>
      </w:r>
      <w:r w:rsidR="001A3855">
        <w:rPr>
          <w:rFonts w:eastAsiaTheme="minorEastAsia"/>
          <w:bCs/>
        </w:rPr>
        <w:t xml:space="preserve"> </w:t>
      </w:r>
      <w:r w:rsidR="005A5E84">
        <w:rPr>
          <w:rFonts w:eastAsiaTheme="minorEastAsia"/>
        </w:rPr>
        <w:t xml:space="preserve">which </w:t>
      </w:r>
      <w:r w:rsidR="00CA22AE" w:rsidRPr="004B3FF5">
        <w:rPr>
          <w:rFonts w:eastAsiaTheme="minorEastAsia"/>
        </w:rPr>
        <w:t>be</w:t>
      </w:r>
      <w:r w:rsidR="00CA22AE">
        <w:rPr>
          <w:rFonts w:eastAsiaTheme="minorEastAsia"/>
        </w:rPr>
        <w:t>came effective on May 24, 2011</w:t>
      </w:r>
      <w:r w:rsidR="00C22CAE">
        <w:rPr>
          <w:rFonts w:eastAsiaTheme="minorEastAsia"/>
        </w:rPr>
        <w:t>.</w:t>
      </w:r>
      <w:r w:rsidR="00C22CAE">
        <w:rPr>
          <w:rStyle w:val="EndnoteReference"/>
          <w:rFonts w:eastAsiaTheme="minorEastAsia" w:cs="Arial"/>
        </w:rPr>
        <w:endnoteReference w:id="15"/>
      </w:r>
      <w:r w:rsidR="00C22CAE">
        <w:rPr>
          <w:rFonts w:eastAsiaTheme="minorEastAsia"/>
        </w:rPr>
        <w:t xml:space="preserve"> </w:t>
      </w:r>
      <w:r w:rsidR="0039262F">
        <w:t>Key</w:t>
      </w:r>
      <w:r w:rsidR="00D7262D" w:rsidRPr="004B3FF5">
        <w:t xml:space="preserve"> elements of the </w:t>
      </w:r>
      <w:r w:rsidR="004D179F">
        <w:t xml:space="preserve">ADAAA </w:t>
      </w:r>
      <w:r w:rsidR="00D7262D" w:rsidRPr="004B3FF5">
        <w:t>regulations</w:t>
      </w:r>
      <w:r>
        <w:t>, consistent with the Act</w:t>
      </w:r>
      <w:r w:rsidR="0075156F">
        <w:t>,</w:t>
      </w:r>
      <w:r w:rsidR="0039262F">
        <w:t xml:space="preserve"> </w:t>
      </w:r>
      <w:r w:rsidR="005A5E84">
        <w:t>included</w:t>
      </w:r>
      <w:r w:rsidR="0039262F">
        <w:t xml:space="preserve"> that </w:t>
      </w:r>
      <w:r w:rsidR="0075156F">
        <w:t>(</w:t>
      </w:r>
      <w:r w:rsidR="00CA22AE">
        <w:t xml:space="preserve">1) </w:t>
      </w:r>
      <w:r w:rsidR="00D7262D" w:rsidRPr="004B3FF5">
        <w:t xml:space="preserve">the definition of </w:t>
      </w:r>
      <w:r w:rsidR="00B50314">
        <w:t>“</w:t>
      </w:r>
      <w:r w:rsidR="00D7262D" w:rsidRPr="004B3FF5">
        <w:t>disability</w:t>
      </w:r>
      <w:r w:rsidR="00B50314">
        <w:t>”</w:t>
      </w:r>
      <w:r w:rsidR="00D7262D" w:rsidRPr="004B3FF5">
        <w:t xml:space="preserve"> shall be interpreted broadly, and </w:t>
      </w:r>
      <w:r w:rsidR="00CA22AE">
        <w:t>that</w:t>
      </w:r>
      <w:r w:rsidR="00CA22AE" w:rsidRPr="004B3FF5">
        <w:t xml:space="preserve"> </w:t>
      </w:r>
      <w:r w:rsidR="0075156F">
        <w:t>(</w:t>
      </w:r>
      <w:r w:rsidR="00D7262D" w:rsidRPr="004B3FF5">
        <w:t xml:space="preserve">2) </w:t>
      </w:r>
      <w:r w:rsidR="004D179F">
        <w:t>to meet the standard of</w:t>
      </w:r>
      <w:r w:rsidR="00B72C1B">
        <w:t xml:space="preserve"> </w:t>
      </w:r>
      <w:r w:rsidR="00D7262D" w:rsidRPr="004B3FF5">
        <w:t>the</w:t>
      </w:r>
      <w:r w:rsidR="001A3855">
        <w:t xml:space="preserve"> term </w:t>
      </w:r>
      <w:r w:rsidR="00B50314">
        <w:t>“</w:t>
      </w:r>
      <w:r w:rsidR="001A3855">
        <w:t>substantially limits,</w:t>
      </w:r>
      <w:r w:rsidR="00B50314">
        <w:t>”</w:t>
      </w:r>
      <w:r w:rsidR="001A3855">
        <w:t xml:space="preserve"> </w:t>
      </w:r>
      <w:r w:rsidR="004D179F">
        <w:t>the</w:t>
      </w:r>
      <w:r w:rsidR="00D7262D" w:rsidRPr="004B3FF5">
        <w:t xml:space="preserve"> limitation need not </w:t>
      </w:r>
      <w:r w:rsidR="00B50314">
        <w:t>“</w:t>
      </w:r>
      <w:r w:rsidR="00D7262D" w:rsidRPr="004B3FF5">
        <w:t>significantly</w:t>
      </w:r>
      <w:r w:rsidR="00B50314">
        <w:t>”</w:t>
      </w:r>
      <w:r w:rsidR="00D7262D" w:rsidRPr="004B3FF5">
        <w:t xml:space="preserve"> or </w:t>
      </w:r>
      <w:r w:rsidR="00B50314">
        <w:t>“</w:t>
      </w:r>
      <w:r w:rsidR="00D7262D" w:rsidRPr="004B3FF5">
        <w:t>severely</w:t>
      </w:r>
      <w:r w:rsidR="00B50314">
        <w:t>”</w:t>
      </w:r>
      <w:r w:rsidR="00D7262D" w:rsidRPr="004B3FF5">
        <w:t xml:space="preserve"> restrict a major lif</w:t>
      </w:r>
      <w:r w:rsidR="0039262F">
        <w:t>e activity.</w:t>
      </w:r>
      <w:r w:rsidR="00D7262D" w:rsidRPr="004B3FF5">
        <w:rPr>
          <w:vertAlign w:val="superscript"/>
        </w:rPr>
        <w:endnoteReference w:id="16"/>
      </w:r>
      <w:r w:rsidR="0040350B" w:rsidRPr="0040350B">
        <w:rPr>
          <w:rFonts w:eastAsiaTheme="minorEastAsia"/>
        </w:rPr>
        <w:t xml:space="preserve"> </w:t>
      </w:r>
      <w:r>
        <w:rPr>
          <w:rFonts w:eastAsiaTheme="minorEastAsia"/>
        </w:rPr>
        <w:t xml:space="preserve">The EEOC further </w:t>
      </w:r>
      <w:r>
        <w:t>re</w:t>
      </w:r>
      <w:r w:rsidRPr="004B3FF5">
        <w:t>define</w:t>
      </w:r>
      <w:r w:rsidR="00CD3F35">
        <w:t>d</w:t>
      </w:r>
      <w:r>
        <w:t xml:space="preserve"> the term</w:t>
      </w:r>
      <w:r w:rsidRPr="004B3FF5">
        <w:t xml:space="preserve"> </w:t>
      </w:r>
      <w:r w:rsidR="00B50314">
        <w:t>“</w:t>
      </w:r>
      <w:r w:rsidRPr="004B3FF5">
        <w:t>major life activities</w:t>
      </w:r>
      <w:r w:rsidR="00B50314">
        <w:t>”</w:t>
      </w:r>
      <w:r w:rsidRPr="004B3FF5">
        <w:t xml:space="preserve"> through</w:t>
      </w:r>
      <w:r>
        <w:t xml:space="preserve"> the creation of</w:t>
      </w:r>
      <w:r w:rsidRPr="004B3FF5">
        <w:t xml:space="preserve"> two </w:t>
      </w:r>
      <w:proofErr w:type="spellStart"/>
      <w:r w:rsidRPr="004B3FF5">
        <w:t>nonexhaustive</w:t>
      </w:r>
      <w:proofErr w:type="spellEnd"/>
      <w:r w:rsidRPr="004B3FF5">
        <w:t xml:space="preserve"> lists</w:t>
      </w:r>
      <w:r w:rsidR="00975779" w:rsidRPr="00975779">
        <w:t xml:space="preserve"> </w:t>
      </w:r>
      <w:r w:rsidR="00975779">
        <w:t>derived from</w:t>
      </w:r>
      <w:r w:rsidR="00975779" w:rsidRPr="004B3FF5">
        <w:t xml:space="preserve"> the Amendments Act</w:t>
      </w:r>
      <w:r w:rsidR="00776091">
        <w:t>.</w:t>
      </w:r>
      <w:r w:rsidRPr="001A3855">
        <w:rPr>
          <w:rFonts w:eastAsiaTheme="minorEastAsia"/>
        </w:rPr>
        <w:t xml:space="preserve"> </w:t>
      </w:r>
      <w:r>
        <w:rPr>
          <w:rFonts w:eastAsiaTheme="minorEastAsia"/>
        </w:rPr>
        <w:t xml:space="preserve">The </w:t>
      </w:r>
      <w:r>
        <w:t>f</w:t>
      </w:r>
      <w:r w:rsidRPr="004B3FF5">
        <w:t>irst</w:t>
      </w:r>
      <w:r>
        <w:t xml:space="preserve"> list</w:t>
      </w:r>
      <w:r w:rsidRPr="004B3FF5">
        <w:t xml:space="preserve"> </w:t>
      </w:r>
      <w:r w:rsidR="00975779">
        <w:t xml:space="preserve">defines various activities as </w:t>
      </w:r>
      <w:r w:rsidR="006474CA">
        <w:t>“</w:t>
      </w:r>
      <w:r w:rsidR="00975779">
        <w:t>major life activities</w:t>
      </w:r>
      <w:r w:rsidR="003D00C5">
        <w:t>,</w:t>
      </w:r>
      <w:r w:rsidR="006474CA">
        <w:t>”</w:t>
      </w:r>
      <w:r w:rsidR="003D00C5">
        <w:t xml:space="preserve"> while</w:t>
      </w:r>
      <w:r>
        <w:t xml:space="preserve"> the second list defined</w:t>
      </w:r>
      <w:r w:rsidR="00776091">
        <w:t xml:space="preserve"> </w:t>
      </w:r>
      <w:r w:rsidR="006474CA">
        <w:t>“</w:t>
      </w:r>
      <w:r w:rsidR="00776091">
        <w:t>major life activities</w:t>
      </w:r>
      <w:r w:rsidR="006474CA">
        <w:t>”</w:t>
      </w:r>
      <w:r w:rsidR="00776091">
        <w:t xml:space="preserve"> to include</w:t>
      </w:r>
      <w:r w:rsidRPr="004B3FF5">
        <w:t xml:space="preserve"> </w:t>
      </w:r>
      <w:r w:rsidR="006474CA">
        <w:t>“</w:t>
      </w:r>
      <w:r w:rsidRPr="004B3FF5">
        <w:t>major bodily functions</w:t>
      </w:r>
      <w:r w:rsidR="006474CA">
        <w:t>”</w:t>
      </w:r>
      <w:r w:rsidRPr="004B3FF5">
        <w:t xml:space="preserve"> </w:t>
      </w:r>
      <w:r w:rsidR="00776091">
        <w:t>and provided a list of such functions.</w:t>
      </w:r>
      <w:r w:rsidRPr="004B3FF5">
        <w:rPr>
          <w:vertAlign w:val="superscript"/>
        </w:rPr>
        <w:endnoteReference w:id="17"/>
      </w:r>
      <w:r>
        <w:t xml:space="preserve"> </w:t>
      </w:r>
      <w:r w:rsidR="00776091">
        <w:t>A person who is substantially limited in one of the major bodily functions listed in the revised EEOC regulations now meet</w:t>
      </w:r>
      <w:r w:rsidR="00EF33F5">
        <w:t>s</w:t>
      </w:r>
      <w:r w:rsidR="00776091">
        <w:t xml:space="preserve"> the ADA definition of </w:t>
      </w:r>
      <w:r w:rsidR="009A1515">
        <w:t>“</w:t>
      </w:r>
      <w:r w:rsidR="00776091">
        <w:t>disability.</w:t>
      </w:r>
      <w:r w:rsidR="009A1515">
        <w:t>”</w:t>
      </w:r>
    </w:p>
    <w:p w14:paraId="5A3AC757" w14:textId="77777777" w:rsidR="00296DA5" w:rsidRDefault="00CA0FBD" w:rsidP="00396A3D">
      <w:pPr>
        <w:pStyle w:val="NCDBodyText"/>
      </w:pPr>
      <w:r>
        <w:t>Consistent with the ADAAA</w:t>
      </w:r>
      <w:r w:rsidR="00D7262D" w:rsidRPr="004B3FF5">
        <w:t xml:space="preserve">, the </w:t>
      </w:r>
      <w:r w:rsidR="004D179F">
        <w:t xml:space="preserve">updated </w:t>
      </w:r>
      <w:r w:rsidR="00D7262D" w:rsidRPr="004B3FF5">
        <w:t xml:space="preserve">EEOC regulations </w:t>
      </w:r>
      <w:r w:rsidR="00A96C3E" w:rsidRPr="004B3FF5">
        <w:t>provide</w:t>
      </w:r>
      <w:r w:rsidR="004D179F">
        <w:t xml:space="preserve"> </w:t>
      </w:r>
      <w:r w:rsidR="00D7262D" w:rsidRPr="004B3FF5">
        <w:t xml:space="preserve">that mitigating measures other than </w:t>
      </w:r>
      <w:r w:rsidR="00FB2011">
        <w:t>“</w:t>
      </w:r>
      <w:r w:rsidR="00D7262D" w:rsidRPr="004B3FF5">
        <w:t>ordinary eyeglasses or contact lenses,</w:t>
      </w:r>
      <w:r w:rsidR="00FB2011">
        <w:t>”</w:t>
      </w:r>
      <w:r w:rsidR="00FB2011" w:rsidRPr="004B3FF5">
        <w:t xml:space="preserve"> </w:t>
      </w:r>
      <w:r w:rsidR="00D7262D" w:rsidRPr="004B3FF5">
        <w:t xml:space="preserve">shall not be considered in assessing whether an individual has a </w:t>
      </w:r>
      <w:r w:rsidR="00B50314">
        <w:t>“</w:t>
      </w:r>
      <w:r w:rsidR="00D7262D" w:rsidRPr="004B3FF5">
        <w:t>disability</w:t>
      </w:r>
      <w:r w:rsidR="00ED5FBC">
        <w:t>.</w:t>
      </w:r>
      <w:r w:rsidR="006474CA">
        <w:t>”</w:t>
      </w:r>
      <w:r w:rsidR="00ED5FBC">
        <w:t xml:space="preserve"> As important, </w:t>
      </w:r>
      <w:r w:rsidR="002228A2">
        <w:t xml:space="preserve">following the ADAAA </w:t>
      </w:r>
      <w:r w:rsidR="00ED5FBC">
        <w:t xml:space="preserve">the regulations </w:t>
      </w:r>
      <w:r w:rsidR="004D179F">
        <w:t xml:space="preserve">provide </w:t>
      </w:r>
      <w:r w:rsidR="00ED5FBC">
        <w:t xml:space="preserve">that even if an impairment </w:t>
      </w:r>
      <w:r w:rsidR="00D7262D" w:rsidRPr="004B3FF5">
        <w:t>is episodic or in remission</w:t>
      </w:r>
      <w:r w:rsidR="00ED5FBC">
        <w:t>, it is still a</w:t>
      </w:r>
      <w:r w:rsidR="00D7262D" w:rsidRPr="004B3FF5">
        <w:t xml:space="preserve"> disability</w:t>
      </w:r>
      <w:r w:rsidR="00ED5FBC">
        <w:t xml:space="preserve"> under the ADA</w:t>
      </w:r>
      <w:r w:rsidR="00D7262D" w:rsidRPr="004B3FF5">
        <w:t xml:space="preserve"> if it would substantially limit a major life activity when active.</w:t>
      </w:r>
      <w:r w:rsidR="00D7262D" w:rsidRPr="004B3FF5">
        <w:rPr>
          <w:vertAlign w:val="superscript"/>
        </w:rPr>
        <w:endnoteReference w:id="18"/>
      </w:r>
      <w:r w:rsidR="00CA22AE">
        <w:t xml:space="preserve"> </w:t>
      </w:r>
      <w:r w:rsidR="002228A2">
        <w:t>To c</w:t>
      </w:r>
      <w:r w:rsidR="00975779">
        <w:t xml:space="preserve">omply with the Amendments Act, </w:t>
      </w:r>
      <w:r w:rsidR="002228A2">
        <w:t>t</w:t>
      </w:r>
      <w:r w:rsidR="00D7262D" w:rsidRPr="004B3FF5">
        <w:t>he EEOC changed the</w:t>
      </w:r>
      <w:r w:rsidR="00CA22AE">
        <w:t xml:space="preserve"> </w:t>
      </w:r>
      <w:r w:rsidR="00C70373">
        <w:t xml:space="preserve">regulatory </w:t>
      </w:r>
      <w:r w:rsidR="00CA22AE">
        <w:t>definition of being</w:t>
      </w:r>
      <w:r w:rsidR="00D7262D" w:rsidRPr="004B3FF5">
        <w:t xml:space="preserve"> </w:t>
      </w:r>
      <w:r w:rsidR="006474CA">
        <w:t>“</w:t>
      </w:r>
      <w:r w:rsidR="00D7262D" w:rsidRPr="004B3FF5">
        <w:t>regarded as</w:t>
      </w:r>
      <w:r w:rsidR="006474CA">
        <w:t>”</w:t>
      </w:r>
      <w:r w:rsidR="00D7262D" w:rsidRPr="004B3FF5">
        <w:t xml:space="preserve"> a person with a disability</w:t>
      </w:r>
      <w:r w:rsidR="0020247B">
        <w:t>,</w:t>
      </w:r>
      <w:r w:rsidR="00776091">
        <w:t xml:space="preserve"> to make it less burdensome to show an employer discriminated against a person on this basis</w:t>
      </w:r>
      <w:r w:rsidR="00D7262D" w:rsidRPr="004B3FF5">
        <w:t>.</w:t>
      </w:r>
      <w:r w:rsidR="00D7262D" w:rsidRPr="004B3FF5">
        <w:rPr>
          <w:vertAlign w:val="superscript"/>
        </w:rPr>
        <w:endnoteReference w:id="19"/>
      </w:r>
      <w:r w:rsidR="00C808FC">
        <w:t xml:space="preserve"> </w:t>
      </w:r>
      <w:r w:rsidR="00D475CC">
        <w:rPr>
          <w:bCs/>
        </w:rPr>
        <w:t>T</w:t>
      </w:r>
      <w:r w:rsidR="00D7262D" w:rsidRPr="004B3FF5">
        <w:rPr>
          <w:bCs/>
        </w:rPr>
        <w:t>he regulation</w:t>
      </w:r>
      <w:r w:rsidR="00036C45">
        <w:rPr>
          <w:bCs/>
        </w:rPr>
        <w:t>s</w:t>
      </w:r>
      <w:r w:rsidR="00CA22AE">
        <w:rPr>
          <w:bCs/>
        </w:rPr>
        <w:t xml:space="preserve"> </w:t>
      </w:r>
      <w:r w:rsidR="00D475CC">
        <w:rPr>
          <w:bCs/>
        </w:rPr>
        <w:t xml:space="preserve">further </w:t>
      </w:r>
      <w:r w:rsidR="00CA22AE">
        <w:rPr>
          <w:bCs/>
        </w:rPr>
        <w:t>s</w:t>
      </w:r>
      <w:r w:rsidR="00D7262D" w:rsidRPr="004B3FF5">
        <w:rPr>
          <w:bCs/>
        </w:rPr>
        <w:t xml:space="preserve">et out a list of impairments </w:t>
      </w:r>
      <w:r w:rsidR="00AB22E2">
        <w:rPr>
          <w:bCs/>
        </w:rPr>
        <w:t xml:space="preserve">that </w:t>
      </w:r>
      <w:r w:rsidR="001A3855">
        <w:t xml:space="preserve">in almost </w:t>
      </w:r>
      <w:r w:rsidR="00D7262D" w:rsidRPr="004B3FF5">
        <w:t>all cases</w:t>
      </w:r>
      <w:r w:rsidR="00191C5F">
        <w:t xml:space="preserve"> after an individual</w:t>
      </w:r>
      <w:r w:rsidR="00EC21E3">
        <w:t>ized</w:t>
      </w:r>
      <w:r w:rsidR="00191C5F">
        <w:t xml:space="preserve"> assessment</w:t>
      </w:r>
      <w:r w:rsidR="00036C45">
        <w:t xml:space="preserve"> will </w:t>
      </w:r>
      <w:r w:rsidR="00AB22E2">
        <w:t>substantially limit</w:t>
      </w:r>
      <w:r w:rsidR="00D7262D" w:rsidRPr="004B3FF5">
        <w:t xml:space="preserve"> a major life activity.</w:t>
      </w:r>
      <w:r w:rsidR="00036C45">
        <w:rPr>
          <w:rStyle w:val="EndnoteReference"/>
          <w:rFonts w:cs="Arial"/>
        </w:rPr>
        <w:endnoteReference w:id="20"/>
      </w:r>
    </w:p>
    <w:p w14:paraId="043F7AF3" w14:textId="77777777" w:rsidR="00296DA5" w:rsidRDefault="00776091" w:rsidP="00396A3D">
      <w:pPr>
        <w:pStyle w:val="NCDBodyText"/>
        <w:rPr>
          <w:rFonts w:eastAsiaTheme="minorEastAsia"/>
        </w:rPr>
      </w:pPr>
      <w:r>
        <w:rPr>
          <w:rFonts w:eastAsiaTheme="minorEastAsia"/>
        </w:rPr>
        <w:lastRenderedPageBreak/>
        <w:t xml:space="preserve">The EEOC </w:t>
      </w:r>
      <w:r w:rsidRPr="001A3855">
        <w:rPr>
          <w:rFonts w:eastAsiaTheme="minorEastAsia"/>
        </w:rPr>
        <w:t>revised an accompanying ADA interpret</w:t>
      </w:r>
      <w:r>
        <w:rPr>
          <w:rFonts w:eastAsiaTheme="minorEastAsia"/>
        </w:rPr>
        <w:t>i</w:t>
      </w:r>
      <w:r w:rsidR="00C70373">
        <w:rPr>
          <w:rFonts w:eastAsiaTheme="minorEastAsia"/>
        </w:rPr>
        <w:t>ve guidance to the regulations,</w:t>
      </w:r>
      <w:r w:rsidRPr="001A3855">
        <w:rPr>
          <w:rFonts w:eastAsiaTheme="minorEastAsia"/>
          <w:vertAlign w:val="superscript"/>
        </w:rPr>
        <w:endnoteReference w:id="21"/>
      </w:r>
      <w:r>
        <w:t xml:space="preserve"> and </w:t>
      </w:r>
      <w:r w:rsidR="000456A0">
        <w:t>issue</w:t>
      </w:r>
      <w:r>
        <w:t>d</w:t>
      </w:r>
      <w:r w:rsidR="000456A0">
        <w:t xml:space="preserve"> various interpretative and enforcement related </w:t>
      </w:r>
      <w:r w:rsidR="00D475CC">
        <w:t>materials</w:t>
      </w:r>
      <w:r w:rsidR="00191C5F">
        <w:t xml:space="preserve"> </w:t>
      </w:r>
      <w:r w:rsidR="00AB22E2">
        <w:t xml:space="preserve">such as </w:t>
      </w:r>
      <w:r w:rsidR="000456A0">
        <w:t>sub</w:t>
      </w:r>
      <w:r w:rsidR="00AB22E2">
        <w:t>-</w:t>
      </w:r>
      <w:r w:rsidR="000456A0">
        <w:t>regulator</w:t>
      </w:r>
      <w:r w:rsidR="00AB22E2">
        <w:t>y</w:t>
      </w:r>
      <w:r w:rsidR="00191C5F">
        <w:t xml:space="preserve"> guidance </w:t>
      </w:r>
      <w:r w:rsidR="000456A0">
        <w:t>voted on by the Commissioners and which the EEOC voluntary opens for public input.</w:t>
      </w:r>
      <w:r w:rsidR="000456A0">
        <w:rPr>
          <w:rStyle w:val="EndnoteReference"/>
          <w:rFonts w:cs="Arial"/>
        </w:rPr>
        <w:endnoteReference w:id="22"/>
      </w:r>
      <w:r w:rsidR="00191C5F">
        <w:t xml:space="preserve"> The EEOC also </w:t>
      </w:r>
      <w:r w:rsidR="00EC21E3">
        <w:t xml:space="preserve">issues </w:t>
      </w:r>
      <w:r w:rsidR="000456A0">
        <w:t xml:space="preserve">resource documents </w:t>
      </w:r>
      <w:r w:rsidR="00D475CC">
        <w:t xml:space="preserve">such as Fact Sheets, Questions and Answers, Technical Assistance, Best Practices, or similarly titled material </w:t>
      </w:r>
      <w:r w:rsidR="000456A0">
        <w:t>which</w:t>
      </w:r>
      <w:r w:rsidR="00AB22E2">
        <w:t xml:space="preserve"> are approved by the EEOC Chair without the need for a vote.</w:t>
      </w:r>
      <w:r w:rsidR="00390773">
        <w:rPr>
          <w:rStyle w:val="EndnoteReference"/>
          <w:rFonts w:cs="Arial"/>
        </w:rPr>
        <w:endnoteReference w:id="23"/>
      </w:r>
      <w:r w:rsidR="00191C5F">
        <w:t xml:space="preserve"> </w:t>
      </w:r>
      <w:r w:rsidR="000456A0">
        <w:t xml:space="preserve">When the ADAAA regulations were finalized, </w:t>
      </w:r>
      <w:r>
        <w:rPr>
          <w:rFonts w:eastAsiaTheme="minorEastAsia"/>
          <w:bCs/>
        </w:rPr>
        <w:t xml:space="preserve">the EEOC </w:t>
      </w:r>
      <w:r w:rsidR="00EC21E3">
        <w:rPr>
          <w:rFonts w:eastAsiaTheme="minorEastAsia"/>
          <w:bCs/>
        </w:rPr>
        <w:t>issued</w:t>
      </w:r>
      <w:r w:rsidR="00AB22E2">
        <w:rPr>
          <w:rFonts w:eastAsiaTheme="minorEastAsia"/>
          <w:bCs/>
        </w:rPr>
        <w:t xml:space="preserve"> a number of</w:t>
      </w:r>
      <w:r w:rsidR="00191C5F">
        <w:rPr>
          <w:rFonts w:eastAsiaTheme="minorEastAsia"/>
          <w:bCs/>
        </w:rPr>
        <w:t xml:space="preserve"> sub</w:t>
      </w:r>
      <w:r w:rsidR="00AB22E2">
        <w:rPr>
          <w:rFonts w:eastAsiaTheme="minorEastAsia"/>
          <w:bCs/>
        </w:rPr>
        <w:t>-</w:t>
      </w:r>
      <w:r w:rsidR="00191C5F" w:rsidRPr="004B3FF5">
        <w:rPr>
          <w:rFonts w:eastAsiaTheme="minorEastAsia"/>
          <w:bCs/>
        </w:rPr>
        <w:t>regulatory guidance documents</w:t>
      </w:r>
      <w:r w:rsidR="00191C5F">
        <w:rPr>
          <w:rFonts w:eastAsiaTheme="minorEastAsia"/>
          <w:bCs/>
        </w:rPr>
        <w:t xml:space="preserve"> </w:t>
      </w:r>
      <w:r w:rsidR="00191C5F" w:rsidRPr="004B3FF5">
        <w:rPr>
          <w:rFonts w:eastAsiaTheme="minorEastAsia"/>
          <w:bCs/>
        </w:rPr>
        <w:t>to help employer</w:t>
      </w:r>
      <w:r w:rsidR="00191C5F">
        <w:rPr>
          <w:rFonts w:eastAsiaTheme="minorEastAsia"/>
          <w:bCs/>
        </w:rPr>
        <w:t>s and employees</w:t>
      </w:r>
      <w:r w:rsidR="00191C5F" w:rsidRPr="004B3FF5">
        <w:rPr>
          <w:rFonts w:eastAsiaTheme="minorEastAsia"/>
          <w:bCs/>
        </w:rPr>
        <w:t xml:space="preserve"> better understand the </w:t>
      </w:r>
      <w:r w:rsidR="00191C5F">
        <w:rPr>
          <w:rFonts w:eastAsiaTheme="minorEastAsia"/>
          <w:bCs/>
        </w:rPr>
        <w:t xml:space="preserve">new </w:t>
      </w:r>
      <w:r w:rsidR="00191C5F" w:rsidRPr="004B3FF5">
        <w:rPr>
          <w:rFonts w:eastAsiaTheme="minorEastAsia"/>
          <w:bCs/>
        </w:rPr>
        <w:t>law</w:t>
      </w:r>
      <w:r w:rsidR="00191C5F">
        <w:t>. The</w:t>
      </w:r>
      <w:r w:rsidR="000456A0">
        <w:t xml:space="preserve"> EEOC </w:t>
      </w:r>
      <w:r w:rsidR="00AB22E2">
        <w:t xml:space="preserve">also </w:t>
      </w:r>
      <w:r w:rsidR="000456A0">
        <w:t xml:space="preserve">published </w:t>
      </w:r>
      <w:r w:rsidR="00D7262D" w:rsidRPr="004B3FF5">
        <w:t>a fact sheet, a general</w:t>
      </w:r>
      <w:r w:rsidR="000456A0">
        <w:t xml:space="preserve"> Question and Answer</w:t>
      </w:r>
      <w:r w:rsidR="00D7262D" w:rsidRPr="004B3FF5">
        <w:t xml:space="preserve">, and a </w:t>
      </w:r>
      <w:r w:rsidR="00C02E3C">
        <w:t xml:space="preserve">Question and Answer specific to </w:t>
      </w:r>
      <w:r w:rsidR="00D7262D" w:rsidRPr="004B3FF5">
        <w:t>small businesses about the final regulations.</w:t>
      </w:r>
      <w:r w:rsidR="00D7262D" w:rsidRPr="004B3FF5">
        <w:rPr>
          <w:vertAlign w:val="superscript"/>
        </w:rPr>
        <w:endnoteReference w:id="24"/>
      </w:r>
      <w:r w:rsidR="00191C5F">
        <w:rPr>
          <w:rFonts w:eastAsiaTheme="minorEastAsia"/>
          <w:bCs/>
        </w:rPr>
        <w:t xml:space="preserve"> </w:t>
      </w:r>
      <w:r w:rsidR="00D7262D" w:rsidRPr="004B3FF5">
        <w:rPr>
          <w:rFonts w:eastAsiaTheme="minorEastAsia"/>
        </w:rPr>
        <w:t>These include</w:t>
      </w:r>
      <w:r w:rsidR="00191C5F">
        <w:rPr>
          <w:rFonts w:eastAsiaTheme="minorEastAsia"/>
        </w:rPr>
        <w:t>d</w:t>
      </w:r>
      <w:r w:rsidR="00D7262D" w:rsidRPr="004B3FF5">
        <w:rPr>
          <w:rFonts w:eastAsiaTheme="minorEastAsia"/>
        </w:rPr>
        <w:t xml:space="preserve"> two documents</w:t>
      </w:r>
      <w:r w:rsidR="00D7262D" w:rsidRPr="004B3FF5">
        <w:rPr>
          <w:rFonts w:eastAsiaTheme="minorEastAsia"/>
          <w:vertAlign w:val="superscript"/>
        </w:rPr>
        <w:endnoteReference w:id="25"/>
      </w:r>
      <w:r w:rsidR="00D7262D" w:rsidRPr="004B3FF5">
        <w:rPr>
          <w:rFonts w:eastAsiaTheme="minorEastAsia"/>
        </w:rPr>
        <w:t xml:space="preserve"> </w:t>
      </w:r>
      <w:r w:rsidR="0067655E">
        <w:rPr>
          <w:rFonts w:eastAsiaTheme="minorEastAsia"/>
        </w:rPr>
        <w:t>that</w:t>
      </w:r>
      <w:r w:rsidR="0067655E" w:rsidRPr="004B3FF5">
        <w:rPr>
          <w:rFonts w:eastAsiaTheme="minorEastAsia"/>
        </w:rPr>
        <w:t xml:space="preserve"> </w:t>
      </w:r>
      <w:r w:rsidR="00D7262D" w:rsidRPr="004B3FF5">
        <w:rPr>
          <w:rFonts w:eastAsiaTheme="minorEastAsia"/>
        </w:rPr>
        <w:t xml:space="preserve">explain that applicants and employees </w:t>
      </w:r>
      <w:r w:rsidR="00AB22E2">
        <w:rPr>
          <w:rFonts w:eastAsiaTheme="minorEastAsia"/>
        </w:rPr>
        <w:t>with</w:t>
      </w:r>
      <w:r w:rsidR="00D7262D" w:rsidRPr="004B3FF5">
        <w:rPr>
          <w:rFonts w:eastAsiaTheme="minorEastAsia"/>
        </w:rPr>
        <w:t xml:space="preserve"> HIV are protected from employment discrimination and harassment and have a right to reasonable accommodation</w:t>
      </w:r>
      <w:r w:rsidR="00D475CC">
        <w:rPr>
          <w:rFonts w:eastAsiaTheme="minorEastAsia"/>
        </w:rPr>
        <w:t>s</w:t>
      </w:r>
      <w:r w:rsidR="00D7262D" w:rsidRPr="004B3FF5">
        <w:rPr>
          <w:rFonts w:eastAsiaTheme="minorEastAsia"/>
        </w:rPr>
        <w:t xml:space="preserve">, and </w:t>
      </w:r>
      <w:r w:rsidR="00AB22E2">
        <w:rPr>
          <w:rFonts w:eastAsiaTheme="minorEastAsia"/>
        </w:rPr>
        <w:t xml:space="preserve">which offer </w:t>
      </w:r>
      <w:r w:rsidR="00D7262D" w:rsidRPr="004B3FF5">
        <w:rPr>
          <w:rFonts w:eastAsiaTheme="minorEastAsia"/>
        </w:rPr>
        <w:t xml:space="preserve">doctors instructions on how to provide medical documentation to support </w:t>
      </w:r>
      <w:r w:rsidR="00C02E3C">
        <w:rPr>
          <w:rFonts w:eastAsiaTheme="minorEastAsia"/>
        </w:rPr>
        <w:t>a</w:t>
      </w:r>
      <w:r w:rsidR="00C02E3C" w:rsidRPr="004B3FF5">
        <w:rPr>
          <w:rFonts w:eastAsiaTheme="minorEastAsia"/>
        </w:rPr>
        <w:t xml:space="preserve"> </w:t>
      </w:r>
      <w:r w:rsidR="00D7262D" w:rsidRPr="004B3FF5">
        <w:rPr>
          <w:rFonts w:eastAsiaTheme="minorEastAsia"/>
        </w:rPr>
        <w:t>patient</w:t>
      </w:r>
      <w:r w:rsidR="00C02E3C">
        <w:rPr>
          <w:rFonts w:eastAsiaTheme="minorEastAsia"/>
        </w:rPr>
        <w:t xml:space="preserve"> with HIV who</w:t>
      </w:r>
      <w:r w:rsidR="00D7262D" w:rsidRPr="004B3FF5">
        <w:rPr>
          <w:rFonts w:eastAsiaTheme="minorEastAsia"/>
        </w:rPr>
        <w:t xml:space="preserve"> request</w:t>
      </w:r>
      <w:r w:rsidR="00C14959">
        <w:rPr>
          <w:rFonts w:eastAsiaTheme="minorEastAsia"/>
        </w:rPr>
        <w:t>s an</w:t>
      </w:r>
      <w:r w:rsidR="00D7262D" w:rsidRPr="004B3FF5">
        <w:rPr>
          <w:rFonts w:eastAsiaTheme="minorEastAsia"/>
        </w:rPr>
        <w:t xml:space="preserve"> </w:t>
      </w:r>
      <w:r w:rsidR="00C14959">
        <w:rPr>
          <w:rFonts w:eastAsiaTheme="minorEastAsia"/>
        </w:rPr>
        <w:t>accommodation</w:t>
      </w:r>
      <w:r w:rsidR="00D7262D" w:rsidRPr="004B3FF5">
        <w:rPr>
          <w:rFonts w:eastAsiaTheme="minorEastAsia"/>
        </w:rPr>
        <w:t xml:space="preserve"> at work.</w:t>
      </w:r>
      <w:r w:rsidR="00D7262D" w:rsidRPr="004B3FF5">
        <w:rPr>
          <w:rFonts w:eastAsiaTheme="minorEastAsia"/>
          <w:vertAlign w:val="superscript"/>
        </w:rPr>
        <w:endnoteReference w:id="26"/>
      </w:r>
    </w:p>
    <w:p w14:paraId="7D15E95B" w14:textId="1CE3F24F" w:rsidR="00296DA5" w:rsidRDefault="00AB22E2" w:rsidP="00396A3D">
      <w:pPr>
        <w:pStyle w:val="NCDBodyText"/>
      </w:pPr>
      <w:r>
        <w:t>The Commission published</w:t>
      </w:r>
      <w:r w:rsidR="00EC21E3">
        <w:t xml:space="preserve"> a document titled</w:t>
      </w:r>
      <w:r>
        <w:t xml:space="preserve"> </w:t>
      </w:r>
      <w:r w:rsidR="006474CA">
        <w:t>“</w:t>
      </w:r>
      <w:r w:rsidR="00D7262D" w:rsidRPr="004B3FF5">
        <w:t>Employer-Provided Leave and the Americans with Disabilities Act,</w:t>
      </w:r>
      <w:r w:rsidR="006474CA">
        <w:t>”</w:t>
      </w:r>
      <w:r w:rsidR="00C02E3C">
        <w:t xml:space="preserve"> </w:t>
      </w:r>
      <w:r w:rsidR="00D7262D" w:rsidRPr="004B3FF5">
        <w:t xml:space="preserve">which addresses the </w:t>
      </w:r>
      <w:r w:rsidR="003D00C5">
        <w:t>sometimes-complex</w:t>
      </w:r>
      <w:r>
        <w:t xml:space="preserve"> issues of the </w:t>
      </w:r>
      <w:r w:rsidR="00D7262D" w:rsidRPr="004B3FF5">
        <w:t>rights of employees with disabilities who seek leave as a reasonable accommodation.</w:t>
      </w:r>
      <w:r w:rsidR="00D7262D" w:rsidRPr="004B3FF5">
        <w:rPr>
          <w:vertAlign w:val="superscript"/>
        </w:rPr>
        <w:endnoteReference w:id="27"/>
      </w:r>
      <w:r w:rsidR="00D7262D" w:rsidRPr="004B3FF5">
        <w:t xml:space="preserve"> </w:t>
      </w:r>
      <w:r w:rsidR="00EF33F5">
        <w:t xml:space="preserve">Since </w:t>
      </w:r>
      <w:r w:rsidR="00631E24" w:rsidRPr="00631E24">
        <w:rPr>
          <w:i/>
        </w:rPr>
        <w:t>Promises to Keep,</w:t>
      </w:r>
      <w:r w:rsidR="00EF33F5">
        <w:t xml:space="preserve"> </w:t>
      </w:r>
      <w:r w:rsidR="00EF33F5">
        <w:rPr>
          <w:bCs/>
        </w:rPr>
        <w:t>t</w:t>
      </w:r>
      <w:r w:rsidR="00D7262D" w:rsidRPr="004B3FF5">
        <w:rPr>
          <w:bCs/>
        </w:rPr>
        <w:t xml:space="preserve">he EEOC </w:t>
      </w:r>
      <w:r w:rsidR="00EF33F5">
        <w:rPr>
          <w:bCs/>
        </w:rPr>
        <w:t>has released</w:t>
      </w:r>
      <w:r w:rsidR="00C02E3C">
        <w:rPr>
          <w:bCs/>
        </w:rPr>
        <w:t xml:space="preserve"> </w:t>
      </w:r>
      <w:r w:rsidR="00ED5FBC">
        <w:rPr>
          <w:bCs/>
        </w:rPr>
        <w:t>resource documents</w:t>
      </w:r>
      <w:r w:rsidR="00191C5F">
        <w:rPr>
          <w:bCs/>
        </w:rPr>
        <w:t xml:space="preserve"> about ADA </w:t>
      </w:r>
      <w:r w:rsidR="00EF33F5">
        <w:rPr>
          <w:bCs/>
        </w:rPr>
        <w:t xml:space="preserve">rights </w:t>
      </w:r>
      <w:r w:rsidR="00ED5FBC">
        <w:rPr>
          <w:bCs/>
        </w:rPr>
        <w:t xml:space="preserve">largely </w:t>
      </w:r>
      <w:r w:rsidR="00D7262D" w:rsidRPr="004B3FF5">
        <w:rPr>
          <w:bCs/>
        </w:rPr>
        <w:t>directed to members of the public.</w:t>
      </w:r>
      <w:r w:rsidR="00191C5F">
        <w:rPr>
          <w:bCs/>
        </w:rPr>
        <w:t xml:space="preserve"> T</w:t>
      </w:r>
      <w:r w:rsidR="002F2249" w:rsidRPr="004B3FF5">
        <w:t xml:space="preserve">he Commission </w:t>
      </w:r>
      <w:r w:rsidR="00D7262D" w:rsidRPr="004B3FF5">
        <w:t xml:space="preserve">created </w:t>
      </w:r>
      <w:r w:rsidR="00C02E3C">
        <w:t xml:space="preserve">Questions and Answers </w:t>
      </w:r>
      <w:r w:rsidR="00D7262D" w:rsidRPr="004B3FF5">
        <w:t xml:space="preserve">for </w:t>
      </w:r>
      <w:r w:rsidR="00BE70F4">
        <w:t>persons with</w:t>
      </w:r>
      <w:r w:rsidR="00191C5F">
        <w:t xml:space="preserve"> disabilities such as</w:t>
      </w:r>
      <w:r w:rsidR="002F2249" w:rsidRPr="004B3FF5">
        <w:t xml:space="preserve"> </w:t>
      </w:r>
      <w:r w:rsidR="00776091">
        <w:t xml:space="preserve">on </w:t>
      </w:r>
      <w:r w:rsidR="002F2249" w:rsidRPr="004B3FF5">
        <w:t xml:space="preserve">cancer, diabetes, </w:t>
      </w:r>
      <w:r w:rsidR="00ED5FBC">
        <w:t xml:space="preserve">and </w:t>
      </w:r>
      <w:r w:rsidR="002F2249" w:rsidRPr="004B3FF5">
        <w:t>epilepsy</w:t>
      </w:r>
      <w:r w:rsidR="00ED5FBC">
        <w:t>,</w:t>
      </w:r>
      <w:r w:rsidR="002F2249" w:rsidRPr="004B3FF5">
        <w:t xml:space="preserve"> and a Q</w:t>
      </w:r>
      <w:r w:rsidR="00D475CC">
        <w:t>uestion and Answer</w:t>
      </w:r>
      <w:r w:rsidR="002F2249" w:rsidRPr="004B3FF5">
        <w:t xml:space="preserve"> </w:t>
      </w:r>
      <w:r w:rsidR="00C70373">
        <w:t>on the legal rights in the workplace related to d</w:t>
      </w:r>
      <w:r w:rsidR="00D7262D" w:rsidRPr="004B3FF5">
        <w:t xml:space="preserve">epression, </w:t>
      </w:r>
      <w:r w:rsidR="008B15D1">
        <w:t>post-traumatic stress disorder (</w:t>
      </w:r>
      <w:r w:rsidR="00D7262D" w:rsidRPr="004B3FF5">
        <w:t>PTSD</w:t>
      </w:r>
      <w:r w:rsidR="008B15D1">
        <w:t>)</w:t>
      </w:r>
      <w:r w:rsidR="00D7262D" w:rsidRPr="004B3FF5">
        <w:t xml:space="preserve">, and </w:t>
      </w:r>
      <w:r w:rsidR="00C70373">
        <w:t>other mental h</w:t>
      </w:r>
      <w:r w:rsidR="00D7262D" w:rsidRPr="004B3FF5">
        <w:t xml:space="preserve">ealth </w:t>
      </w:r>
      <w:r w:rsidR="00C70373">
        <w:t>c</w:t>
      </w:r>
      <w:r w:rsidR="00D7262D" w:rsidRPr="004B3FF5">
        <w:t>onditions</w:t>
      </w:r>
      <w:r w:rsidR="00C70373">
        <w:t>.</w:t>
      </w:r>
      <w:r w:rsidR="001A456E" w:rsidRPr="00A027EB">
        <w:rPr>
          <w:vertAlign w:val="superscript"/>
        </w:rPr>
        <w:endnoteReference w:id="28"/>
      </w:r>
      <w:r w:rsidR="001A456E" w:rsidRPr="00A027EB">
        <w:t xml:space="preserve"> </w:t>
      </w:r>
      <w:r w:rsidR="00D7262D" w:rsidRPr="00A027EB">
        <w:t xml:space="preserve">The EEOC released </w:t>
      </w:r>
      <w:r w:rsidR="00C02E3C" w:rsidRPr="00A027EB">
        <w:t xml:space="preserve">a </w:t>
      </w:r>
      <w:r w:rsidR="00D7262D" w:rsidRPr="00A027EB">
        <w:t>docum</w:t>
      </w:r>
      <w:r w:rsidR="002F2249" w:rsidRPr="00A027EB">
        <w:t>ent to help medical professionals understand what information they should provide in support of employees</w:t>
      </w:r>
      <w:r w:rsidR="00A027EB" w:rsidRPr="00A027EB">
        <w:t xml:space="preserve"> with mental health disabilities </w:t>
      </w:r>
      <w:r w:rsidR="002F2249" w:rsidRPr="00A027EB">
        <w:t>in need of</w:t>
      </w:r>
      <w:r w:rsidR="00D7262D" w:rsidRPr="00A027EB">
        <w:t xml:space="preserve"> reasonable accommodation</w:t>
      </w:r>
      <w:r w:rsidR="00BE70F4">
        <w:t>s</w:t>
      </w:r>
      <w:r w:rsidR="00D7262D" w:rsidRPr="00A027EB">
        <w:t>.</w:t>
      </w:r>
      <w:r w:rsidR="00C70373">
        <w:rPr>
          <w:rStyle w:val="EndnoteReference"/>
          <w:rFonts w:eastAsiaTheme="minorEastAsia" w:cs="Arial"/>
        </w:rPr>
        <w:endnoteReference w:id="29"/>
      </w:r>
    </w:p>
    <w:p w14:paraId="1EB9ABEC" w14:textId="77777777" w:rsidR="00296DA5" w:rsidRDefault="00776091" w:rsidP="00396A3D">
      <w:pPr>
        <w:pStyle w:val="NCDBodyText"/>
      </w:pPr>
      <w:r>
        <w:t xml:space="preserve">GINA, which took effect in November 2009, </w:t>
      </w:r>
      <w:r w:rsidRPr="00BE70F4">
        <w:t xml:space="preserve">prohibits the use of genetic information </w:t>
      </w:r>
      <w:r>
        <w:t xml:space="preserve">by an employer in making </w:t>
      </w:r>
      <w:r w:rsidRPr="00BE70F4">
        <w:t>decisions</w:t>
      </w:r>
      <w:r>
        <w:t xml:space="preserve"> such as hiring, firing, and job assignments or involving other aspect</w:t>
      </w:r>
      <w:r w:rsidR="00FE125E">
        <w:t>s</w:t>
      </w:r>
      <w:r>
        <w:t xml:space="preserve"> of </w:t>
      </w:r>
      <w:r w:rsidR="00791726">
        <w:t xml:space="preserve">employment </w:t>
      </w:r>
      <w:r>
        <w:t xml:space="preserve">such as pay, fringe benefits, or other terms and conditions of employment; restricts the ability to request and purchase genetic information; and </w:t>
      </w:r>
      <w:r w:rsidRPr="00BE70F4">
        <w:t xml:space="preserve">strictly limits the disclosure of genetic information. </w:t>
      </w:r>
      <w:r w:rsidR="0000426B">
        <w:t xml:space="preserve">The EEOC </w:t>
      </w:r>
      <w:r w:rsidR="008F1F67">
        <w:t>issued</w:t>
      </w:r>
      <w:r w:rsidR="00276926">
        <w:t xml:space="preserve"> </w:t>
      </w:r>
      <w:r w:rsidR="00ED5FBC">
        <w:t>r</w:t>
      </w:r>
      <w:r w:rsidR="002F2249" w:rsidRPr="004B3FF5">
        <w:t xml:space="preserve">egulations </w:t>
      </w:r>
      <w:r w:rsidR="00BE70F4">
        <w:t xml:space="preserve">for </w:t>
      </w:r>
      <w:r w:rsidR="00BE70F4">
        <w:lastRenderedPageBreak/>
        <w:t xml:space="preserve">Title II of GINA </w:t>
      </w:r>
      <w:r w:rsidR="00276926">
        <w:t>effect</w:t>
      </w:r>
      <w:r w:rsidR="0075204E">
        <w:t>ive</w:t>
      </w:r>
      <w:r w:rsidR="00341AA3">
        <w:t xml:space="preserve"> as of January </w:t>
      </w:r>
      <w:r w:rsidR="002F2249" w:rsidRPr="004B3FF5">
        <w:t>2011.</w:t>
      </w:r>
      <w:r w:rsidR="002F2249" w:rsidRPr="004B3FF5">
        <w:rPr>
          <w:rStyle w:val="EndnoteReference"/>
          <w:rFonts w:cs="Arial"/>
        </w:rPr>
        <w:endnoteReference w:id="30"/>
      </w:r>
      <w:r w:rsidR="002D7B94">
        <w:t xml:space="preserve"> </w:t>
      </w:r>
      <w:r w:rsidR="002228A2">
        <w:t>Consistent with GINA</w:t>
      </w:r>
      <w:r>
        <w:t xml:space="preserve">, </w:t>
      </w:r>
      <w:r w:rsidR="002228A2">
        <w:t>the regulations define</w:t>
      </w:r>
      <w:r>
        <w:t xml:space="preserve"> </w:t>
      </w:r>
      <w:r w:rsidR="006474CA">
        <w:t>“</w:t>
      </w:r>
      <w:r>
        <w:t>genetic i</w:t>
      </w:r>
      <w:r w:rsidRPr="004B3FF5">
        <w:t>nformation</w:t>
      </w:r>
      <w:r w:rsidR="006474CA">
        <w:t>”</w:t>
      </w:r>
      <w:r w:rsidRPr="004B3FF5">
        <w:t xml:space="preserve"> </w:t>
      </w:r>
      <w:r w:rsidR="002228A2">
        <w:t xml:space="preserve">to </w:t>
      </w:r>
      <w:r w:rsidRPr="004B3FF5">
        <w:t xml:space="preserve">include information about </w:t>
      </w:r>
      <w:r>
        <w:t xml:space="preserve">the results of </w:t>
      </w:r>
      <w:r w:rsidRPr="004B3FF5">
        <w:t xml:space="preserve">genetic tests of </w:t>
      </w:r>
      <w:r>
        <w:t xml:space="preserve">the person or their </w:t>
      </w:r>
      <w:r w:rsidRPr="004B3FF5">
        <w:t xml:space="preserve">family members, as well as information about the manifestation of a disease or disorder in </w:t>
      </w:r>
      <w:r>
        <w:t>a person</w:t>
      </w:r>
      <w:r w:rsidR="006474CA">
        <w:t>’</w:t>
      </w:r>
      <w:r>
        <w:t>s family medical history</w:t>
      </w:r>
      <w:r w:rsidRPr="004B3FF5">
        <w:t>.</w:t>
      </w:r>
      <w:r w:rsidRPr="004B3FF5">
        <w:rPr>
          <w:rStyle w:val="EndnoteReference"/>
          <w:rFonts w:cs="Arial"/>
        </w:rPr>
        <w:endnoteReference w:id="31"/>
      </w:r>
      <w:r w:rsidR="00791726">
        <w:rPr>
          <w:rFonts w:eastAsiaTheme="minorEastAsia"/>
        </w:rPr>
        <w:t xml:space="preserve"> </w:t>
      </w:r>
      <w:r w:rsidR="00A23A6F">
        <w:t xml:space="preserve">The use of </w:t>
      </w:r>
      <w:r>
        <w:t xml:space="preserve">genetic information to make </w:t>
      </w:r>
      <w:r w:rsidR="002F2249" w:rsidRPr="004B3FF5">
        <w:t>employment decision</w:t>
      </w:r>
      <w:r>
        <w:t>s</w:t>
      </w:r>
      <w:r w:rsidR="002F2249" w:rsidRPr="004B3FF5">
        <w:t xml:space="preserve"> </w:t>
      </w:r>
      <w:r w:rsidR="00A23A6F">
        <w:t xml:space="preserve">is prohibited </w:t>
      </w:r>
      <w:r w:rsidR="006936C7">
        <w:t xml:space="preserve">because </w:t>
      </w:r>
      <w:r w:rsidR="00A23A6F">
        <w:t xml:space="preserve">such </w:t>
      </w:r>
      <w:r w:rsidR="002F2249" w:rsidRPr="004B3FF5">
        <w:t>information is not relevant to</w:t>
      </w:r>
      <w:r w:rsidR="00A23A6F">
        <w:t xml:space="preserve"> a person</w:t>
      </w:r>
      <w:r w:rsidR="006474CA">
        <w:t>’</w:t>
      </w:r>
      <w:r w:rsidR="00A23A6F">
        <w:t>s</w:t>
      </w:r>
      <w:r w:rsidR="0072636A">
        <w:t xml:space="preserve"> </w:t>
      </w:r>
      <w:r w:rsidR="002F2249" w:rsidRPr="004B3FF5">
        <w:t>current ability to work.</w:t>
      </w:r>
      <w:r w:rsidR="002F2249" w:rsidRPr="004B3FF5">
        <w:rPr>
          <w:rStyle w:val="EndnoteReference"/>
          <w:rFonts w:cs="Arial"/>
        </w:rPr>
        <w:endnoteReference w:id="32"/>
      </w:r>
      <w:r w:rsidR="00A23A6F">
        <w:t xml:space="preserve"> </w:t>
      </w:r>
      <w:r w:rsidR="000332BD">
        <w:t xml:space="preserve">Harassment based </w:t>
      </w:r>
      <w:r w:rsidR="00DB68B9">
        <w:t xml:space="preserve">on </w:t>
      </w:r>
      <w:r w:rsidR="00165169">
        <w:t>genetic information</w:t>
      </w:r>
      <w:r w:rsidR="002F2249" w:rsidRPr="004B3FF5">
        <w:t xml:space="preserve"> </w:t>
      </w:r>
      <w:r w:rsidR="000332BD">
        <w:t>and retaliation</w:t>
      </w:r>
      <w:r w:rsidR="00C4494D">
        <w:t xml:space="preserve"> again</w:t>
      </w:r>
      <w:r w:rsidR="00A23A6F">
        <w:t xml:space="preserve">st a person </w:t>
      </w:r>
      <w:r w:rsidR="00165169">
        <w:t>who asserts</w:t>
      </w:r>
      <w:r w:rsidR="00A23A6F">
        <w:t xml:space="preserve"> a protected right under GINA</w:t>
      </w:r>
      <w:r w:rsidR="000332BD">
        <w:t xml:space="preserve"> </w:t>
      </w:r>
      <w:r>
        <w:t xml:space="preserve">is </w:t>
      </w:r>
      <w:r w:rsidR="00DB68B9">
        <w:t xml:space="preserve">also </w:t>
      </w:r>
      <w:r w:rsidR="000332BD">
        <w:t>prohibited similar to other federal laws</w:t>
      </w:r>
      <w:r w:rsidR="002F2249" w:rsidRPr="004B3FF5">
        <w:t>.</w:t>
      </w:r>
      <w:r w:rsidR="002F2249" w:rsidRPr="004B3FF5">
        <w:rPr>
          <w:rStyle w:val="EndnoteReference"/>
          <w:rFonts w:cs="Arial"/>
        </w:rPr>
        <w:endnoteReference w:id="33"/>
      </w:r>
    </w:p>
    <w:p w14:paraId="678FE858" w14:textId="77777777" w:rsidR="00296DA5" w:rsidRDefault="00AE10D9" w:rsidP="00396A3D">
      <w:pPr>
        <w:pStyle w:val="NCDBodyText"/>
      </w:pPr>
      <w:r w:rsidRPr="000456A0">
        <w:t xml:space="preserve">Both </w:t>
      </w:r>
      <w:r w:rsidR="000603EC" w:rsidRPr="000456A0">
        <w:t xml:space="preserve">the ADA and GINA </w:t>
      </w:r>
      <w:r w:rsidR="00341AA3">
        <w:t>place restrictions on when</w:t>
      </w:r>
      <w:r w:rsidR="000603EC" w:rsidRPr="000456A0">
        <w:t xml:space="preserve"> </w:t>
      </w:r>
      <w:r w:rsidR="00C14959" w:rsidRPr="000456A0">
        <w:t xml:space="preserve">an employer may require a job applicant or an employee to disclose </w:t>
      </w:r>
      <w:r w:rsidR="00C14959">
        <w:t>medical or</w:t>
      </w:r>
      <w:r w:rsidR="000603EC" w:rsidRPr="000456A0">
        <w:t xml:space="preserve"> genetic information</w:t>
      </w:r>
      <w:r w:rsidR="00C14959">
        <w:t>. These Acts</w:t>
      </w:r>
      <w:r w:rsidR="00393B62">
        <w:t xml:space="preserve"> </w:t>
      </w:r>
      <w:r w:rsidR="000603EC" w:rsidRPr="000456A0">
        <w:t>allow</w:t>
      </w:r>
      <w:r w:rsidR="000603EC">
        <w:t xml:space="preserve"> an employer to request the </w:t>
      </w:r>
      <w:r w:rsidR="006474CA">
        <w:t>“</w:t>
      </w:r>
      <w:r w:rsidR="000603EC">
        <w:t>voluntary</w:t>
      </w:r>
      <w:r w:rsidR="006474CA">
        <w:t>”</w:t>
      </w:r>
      <w:r w:rsidR="000603EC">
        <w:t xml:space="preserve"> disclosure of medical or genetic information </w:t>
      </w:r>
      <w:r w:rsidR="00341AA3">
        <w:t xml:space="preserve">from an employee </w:t>
      </w:r>
      <w:r w:rsidR="000603EC">
        <w:t xml:space="preserve">for </w:t>
      </w:r>
      <w:r w:rsidR="00341AA3">
        <w:t xml:space="preserve">the purpose of </w:t>
      </w:r>
      <w:r w:rsidR="000603EC">
        <w:t xml:space="preserve">participation in an </w:t>
      </w:r>
      <w:r w:rsidR="00A4245F">
        <w:t>employer-</w:t>
      </w:r>
      <w:r w:rsidR="000603EC">
        <w:t>sponsored wellness program</w:t>
      </w:r>
      <w:r w:rsidR="00C14959">
        <w:t>. P</w:t>
      </w:r>
      <w:r w:rsidR="00341AA3">
        <w:t>rior to 2016</w:t>
      </w:r>
      <w:r w:rsidR="00C14959">
        <w:t>, t</w:t>
      </w:r>
      <w:r w:rsidR="000603EC">
        <w:t>he</w:t>
      </w:r>
      <w:r w:rsidR="000603EC" w:rsidRPr="008740BF">
        <w:t xml:space="preserve"> </w:t>
      </w:r>
      <w:r w:rsidR="000603EC">
        <w:t xml:space="preserve">EEOC </w:t>
      </w:r>
      <w:r w:rsidR="00341AA3">
        <w:t>took</w:t>
      </w:r>
      <w:r w:rsidR="000603EC">
        <w:t xml:space="preserve"> </w:t>
      </w:r>
      <w:r w:rsidR="006474CA">
        <w:t>“</w:t>
      </w:r>
      <w:r w:rsidR="000603EC" w:rsidRPr="008740BF">
        <w:t xml:space="preserve">the position that in order for a wellness program to be </w:t>
      </w:r>
      <w:r w:rsidR="006474CA">
        <w:t>‘</w:t>
      </w:r>
      <w:r w:rsidR="000603EC" w:rsidRPr="008740BF">
        <w:t>voluntary,</w:t>
      </w:r>
      <w:r w:rsidR="006474CA">
        <w:t>’</w:t>
      </w:r>
      <w:r w:rsidR="000603EC" w:rsidRPr="008740BF">
        <w:t xml:space="preserve"> employers could not condition the receipt of incentives o</w:t>
      </w:r>
      <w:r w:rsidR="0039256D">
        <w:t>n the employee</w:t>
      </w:r>
      <w:r w:rsidR="006474CA">
        <w:t>’</w:t>
      </w:r>
      <w:r w:rsidR="0039256D">
        <w:t>s disclosure of</w:t>
      </w:r>
      <w:r w:rsidR="006474CA">
        <w:t>”</w:t>
      </w:r>
      <w:r w:rsidR="0039256D">
        <w:t xml:space="preserve"> </w:t>
      </w:r>
      <w:r w:rsidR="000603EC" w:rsidRPr="008740BF">
        <w:t>medical or genetic information.</w:t>
      </w:r>
      <w:r w:rsidR="000603EC">
        <w:rPr>
          <w:rStyle w:val="EndnoteReference"/>
          <w:rFonts w:cs="Arial"/>
        </w:rPr>
        <w:endnoteReference w:id="34"/>
      </w:r>
    </w:p>
    <w:p w14:paraId="7C806737" w14:textId="77777777" w:rsidR="00296DA5" w:rsidRDefault="00503A82" w:rsidP="00396A3D">
      <w:pPr>
        <w:pStyle w:val="NCDBodyText"/>
      </w:pPr>
      <w:r>
        <w:t>The</w:t>
      </w:r>
      <w:r w:rsidR="000123CC">
        <w:t xml:space="preserve"> 2010 </w:t>
      </w:r>
      <w:r w:rsidR="00EC21E3">
        <w:t xml:space="preserve">Patient Protection and </w:t>
      </w:r>
      <w:r w:rsidR="002F2249" w:rsidRPr="004B3FF5">
        <w:t>Affordable Care Act</w:t>
      </w:r>
      <w:r w:rsidR="000123CC">
        <w:t xml:space="preserve"> made</w:t>
      </w:r>
      <w:r w:rsidR="00770986">
        <w:t xml:space="preserve"> changes </w:t>
      </w:r>
      <w:r w:rsidR="008740BF">
        <w:t xml:space="preserve">related to </w:t>
      </w:r>
      <w:r w:rsidR="00A4245F">
        <w:t>employer-</w:t>
      </w:r>
      <w:r w:rsidR="008740BF">
        <w:t xml:space="preserve">sponsored </w:t>
      </w:r>
      <w:r w:rsidR="000603EC">
        <w:t>wellness plans</w:t>
      </w:r>
      <w:r w:rsidR="008740BF">
        <w:t>.</w:t>
      </w:r>
      <w:r w:rsidR="008740BF">
        <w:rPr>
          <w:rStyle w:val="EndnoteReference"/>
          <w:rFonts w:cs="Arial"/>
        </w:rPr>
        <w:endnoteReference w:id="35"/>
      </w:r>
      <w:r w:rsidR="008740BF">
        <w:t xml:space="preserve"> </w:t>
      </w:r>
      <w:r w:rsidR="00C14959">
        <w:t xml:space="preserve">In response, the </w:t>
      </w:r>
      <w:r w:rsidR="002F2249" w:rsidRPr="004B3FF5">
        <w:t xml:space="preserve">EEOC amended </w:t>
      </w:r>
      <w:r w:rsidR="00ED5FBC">
        <w:t xml:space="preserve">the ADA and </w:t>
      </w:r>
      <w:r w:rsidR="00ED607C" w:rsidRPr="004B3FF5">
        <w:t>GINA</w:t>
      </w:r>
      <w:r w:rsidR="002F2249" w:rsidRPr="004B3FF5">
        <w:t xml:space="preserve"> regulations </w:t>
      </w:r>
      <w:r w:rsidR="008740BF">
        <w:t>to</w:t>
      </w:r>
      <w:r w:rsidR="000603EC">
        <w:t xml:space="preserve"> </w:t>
      </w:r>
      <w:r w:rsidR="008740BF">
        <w:t xml:space="preserve">allow </w:t>
      </w:r>
      <w:r w:rsidR="000603EC">
        <w:t xml:space="preserve">an </w:t>
      </w:r>
      <w:r w:rsidR="008740BF">
        <w:t xml:space="preserve">employer to entice </w:t>
      </w:r>
      <w:r w:rsidR="00BB2423">
        <w:t xml:space="preserve">an employee </w:t>
      </w:r>
      <w:r w:rsidR="00ED607C" w:rsidRPr="004B3FF5">
        <w:t xml:space="preserve">to </w:t>
      </w:r>
      <w:r w:rsidR="00B72C1B">
        <w:t>voluntarily</w:t>
      </w:r>
      <w:r w:rsidR="008740BF">
        <w:t xml:space="preserve"> disclose </w:t>
      </w:r>
      <w:r w:rsidR="00061781">
        <w:t xml:space="preserve">medical </w:t>
      </w:r>
      <w:r w:rsidR="002F2249" w:rsidRPr="004B3FF5">
        <w:t xml:space="preserve">information from </w:t>
      </w:r>
      <w:r w:rsidR="00ED5FBC">
        <w:t>the employee,</w:t>
      </w:r>
      <w:r w:rsidR="00061781">
        <w:t xml:space="preserve"> or </w:t>
      </w:r>
      <w:r w:rsidR="000D5BC9">
        <w:t xml:space="preserve">information about </w:t>
      </w:r>
      <w:r w:rsidR="00061781">
        <w:t>an employee</w:t>
      </w:r>
      <w:r w:rsidR="006474CA">
        <w:t>’</w:t>
      </w:r>
      <w:r w:rsidR="00061781">
        <w:t>s spouse</w:t>
      </w:r>
      <w:r w:rsidR="00A4245F">
        <w:t>’</w:t>
      </w:r>
      <w:r w:rsidR="00061781">
        <w:t>s</w:t>
      </w:r>
      <w:r w:rsidR="00ED5FBC">
        <w:t xml:space="preserve"> </w:t>
      </w:r>
      <w:r w:rsidR="00061781" w:rsidRPr="00061781">
        <w:t>manif</w:t>
      </w:r>
      <w:r w:rsidR="00061781">
        <w:t>estation of disease or disorder</w:t>
      </w:r>
      <w:r w:rsidR="000378E0">
        <w:t>,</w:t>
      </w:r>
      <w:r w:rsidR="00ED5FBC">
        <w:t xml:space="preserve"> as</w:t>
      </w:r>
      <w:r w:rsidR="002F2249" w:rsidRPr="004B3FF5">
        <w:t xml:space="preserve"> part of a </w:t>
      </w:r>
      <w:r w:rsidR="00C14959">
        <w:t xml:space="preserve">requirement to participate in a </w:t>
      </w:r>
      <w:r w:rsidR="002F2249" w:rsidRPr="004B3FF5">
        <w:t>voluntary wellness plan</w:t>
      </w:r>
      <w:r w:rsidR="00ED607C" w:rsidRPr="004B3FF5">
        <w:t>.</w:t>
      </w:r>
      <w:r w:rsidR="00ED607C" w:rsidRPr="004B3FF5">
        <w:rPr>
          <w:rStyle w:val="EndnoteReference"/>
          <w:rFonts w:cs="Arial"/>
        </w:rPr>
        <w:endnoteReference w:id="36"/>
      </w:r>
      <w:r w:rsidR="00C14959" w:rsidRPr="004B3FF5">
        <w:t xml:space="preserve"> </w:t>
      </w:r>
      <w:r w:rsidR="002F2249" w:rsidRPr="004B3FF5">
        <w:t xml:space="preserve">The </w:t>
      </w:r>
      <w:r w:rsidR="00BB2423">
        <w:t>revised voluntary wellness r</w:t>
      </w:r>
      <w:r w:rsidR="002F2249" w:rsidRPr="004B3FF5">
        <w:t xml:space="preserve">egulations permitted an </w:t>
      </w:r>
      <w:r w:rsidR="00BB2423">
        <w:t xml:space="preserve">employer to offer an </w:t>
      </w:r>
      <w:r w:rsidR="006474CA">
        <w:t>“</w:t>
      </w:r>
      <w:r w:rsidR="002F2249" w:rsidRPr="004B3FF5">
        <w:t>incentive</w:t>
      </w:r>
      <w:r w:rsidR="006474CA">
        <w:t>”</w:t>
      </w:r>
      <w:r w:rsidR="002F2249" w:rsidRPr="004B3FF5">
        <w:t xml:space="preserve"> of</w:t>
      </w:r>
      <w:r w:rsidR="00BB2423">
        <w:t xml:space="preserve"> up</w:t>
      </w:r>
      <w:r w:rsidR="00FE125E">
        <w:t xml:space="preserve"> to</w:t>
      </w:r>
      <w:r w:rsidR="002F2249" w:rsidRPr="004B3FF5">
        <w:t xml:space="preserve"> 30 percent of</w:t>
      </w:r>
      <w:r w:rsidR="00ED607C" w:rsidRPr="004B3FF5">
        <w:t>f</w:t>
      </w:r>
      <w:r w:rsidR="002F2249" w:rsidRPr="004B3FF5">
        <w:t xml:space="preserve"> the total cost </w:t>
      </w:r>
      <w:r w:rsidR="00A4245F">
        <w:t>of</w:t>
      </w:r>
      <w:r w:rsidR="00A4245F" w:rsidRPr="004B3FF5">
        <w:t xml:space="preserve"> </w:t>
      </w:r>
      <w:r w:rsidR="002F2249" w:rsidRPr="004B3FF5">
        <w:t xml:space="preserve">self-only </w:t>
      </w:r>
      <w:r w:rsidR="00BB2423">
        <w:t xml:space="preserve">medical insurance </w:t>
      </w:r>
      <w:r w:rsidR="00C14959">
        <w:t>coverage</w:t>
      </w:r>
      <w:r w:rsidR="00C61B35">
        <w:t>.</w:t>
      </w:r>
      <w:r w:rsidR="002F2249" w:rsidRPr="004B3FF5">
        <w:rPr>
          <w:rStyle w:val="EndnoteReference"/>
          <w:rFonts w:cs="Arial"/>
        </w:rPr>
        <w:endnoteReference w:id="37"/>
      </w:r>
      <w:r w:rsidR="00BB2423">
        <w:t xml:space="preserve"> </w:t>
      </w:r>
      <w:r w:rsidR="00090A5F">
        <w:t>The revised</w:t>
      </w:r>
      <w:r w:rsidR="0075204E">
        <w:t xml:space="preserve"> EEOC</w:t>
      </w:r>
      <w:r w:rsidR="00090A5F">
        <w:t xml:space="preserve"> regulations thus </w:t>
      </w:r>
      <w:r w:rsidR="0075204E">
        <w:t xml:space="preserve">imposed a very difficult </w:t>
      </w:r>
      <w:r w:rsidR="00090A5F" w:rsidRPr="004B3FF5">
        <w:t xml:space="preserve">choice </w:t>
      </w:r>
      <w:r w:rsidR="00A4245F">
        <w:t>for</w:t>
      </w:r>
      <w:r w:rsidR="00A4245F" w:rsidRPr="004B3FF5">
        <w:t xml:space="preserve"> </w:t>
      </w:r>
      <w:r w:rsidR="00090A5F">
        <w:t>people</w:t>
      </w:r>
      <w:r w:rsidR="00090A5F" w:rsidRPr="004B3FF5">
        <w:t xml:space="preserve"> with disabilities to</w:t>
      </w:r>
      <w:r w:rsidR="0075204E">
        <w:t xml:space="preserve"> either</w:t>
      </w:r>
      <w:r w:rsidR="00090A5F" w:rsidRPr="004B3FF5">
        <w:t xml:space="preserve"> forgo a substantial savings on health care</w:t>
      </w:r>
      <w:r w:rsidR="0075204E">
        <w:t xml:space="preserve"> of up to 30 percent depending on the employer</w:t>
      </w:r>
      <w:r w:rsidR="00090A5F" w:rsidRPr="004B3FF5">
        <w:t xml:space="preserve"> </w:t>
      </w:r>
      <w:r w:rsidR="0075204E">
        <w:t>or</w:t>
      </w:r>
      <w:r w:rsidR="00090A5F" w:rsidRPr="004B3FF5">
        <w:t xml:space="preserve"> exercise </w:t>
      </w:r>
      <w:r w:rsidR="0075204E">
        <w:t xml:space="preserve">a </w:t>
      </w:r>
      <w:r w:rsidR="00090A5F" w:rsidRPr="004B3FF5">
        <w:t>right not to disclos</w:t>
      </w:r>
      <w:r w:rsidR="00090A5F">
        <w:t>e</w:t>
      </w:r>
      <w:r w:rsidR="00090A5F" w:rsidRPr="004B3FF5">
        <w:t xml:space="preserve"> </w:t>
      </w:r>
      <w:r w:rsidR="00090A5F">
        <w:t xml:space="preserve">a </w:t>
      </w:r>
      <w:r w:rsidR="00090A5F" w:rsidRPr="004B3FF5">
        <w:t>disability</w:t>
      </w:r>
      <w:r w:rsidR="00090A5F">
        <w:t>.</w:t>
      </w:r>
    </w:p>
    <w:p w14:paraId="7C997BBD" w14:textId="77777777" w:rsidR="00296DA5" w:rsidRDefault="002F2249" w:rsidP="00396A3D">
      <w:pPr>
        <w:pStyle w:val="NCDBodyText"/>
      </w:pPr>
      <w:r w:rsidRPr="004B3FF5">
        <w:t xml:space="preserve">In October 2016, </w:t>
      </w:r>
      <w:r w:rsidR="00BB2423">
        <w:t xml:space="preserve">AARP challenged the </w:t>
      </w:r>
      <w:r w:rsidR="00151385">
        <w:t>regulations as</w:t>
      </w:r>
      <w:r w:rsidR="00BB2423">
        <w:t xml:space="preserve"> coercive by </w:t>
      </w:r>
      <w:r w:rsidRPr="004B3FF5">
        <w:t xml:space="preserve">forcing employees </w:t>
      </w:r>
      <w:r w:rsidR="00BB2423">
        <w:t xml:space="preserve">with disabilities </w:t>
      </w:r>
      <w:r w:rsidRPr="004B3FF5">
        <w:t xml:space="preserve">to pay more for health insurance if they decided not to reveal </w:t>
      </w:r>
      <w:r w:rsidR="00BB2423">
        <w:t xml:space="preserve">confidential </w:t>
      </w:r>
      <w:r w:rsidRPr="004B3FF5">
        <w:t xml:space="preserve">medical information to a </w:t>
      </w:r>
      <w:r w:rsidR="00090A5F">
        <w:t xml:space="preserve">voluntary wellness program. AARP </w:t>
      </w:r>
      <w:r w:rsidR="0075204E">
        <w:t>in essence argued that t</w:t>
      </w:r>
      <w:r w:rsidR="00090A5F">
        <w:t xml:space="preserve">he </w:t>
      </w:r>
      <w:r w:rsidRPr="004B3FF5">
        <w:t xml:space="preserve">30 percent incentive </w:t>
      </w:r>
      <w:r w:rsidR="0075204E">
        <w:t>rendered the</w:t>
      </w:r>
      <w:r w:rsidR="00891293">
        <w:t xml:space="preserve"> wellness programs no longer</w:t>
      </w:r>
      <w:r w:rsidR="0075204E">
        <w:t xml:space="preserve"> </w:t>
      </w:r>
      <w:r w:rsidRPr="004B3FF5">
        <w:t xml:space="preserve">truly </w:t>
      </w:r>
      <w:r w:rsidR="006474CA">
        <w:lastRenderedPageBreak/>
        <w:t>“</w:t>
      </w:r>
      <w:r w:rsidRPr="004B3FF5">
        <w:t>voluntary.</w:t>
      </w:r>
      <w:r w:rsidR="006474CA">
        <w:t>”</w:t>
      </w:r>
      <w:r w:rsidR="0086336F">
        <w:rPr>
          <w:rStyle w:val="EndnoteReference"/>
          <w:rFonts w:cs="Arial"/>
        </w:rPr>
        <w:endnoteReference w:id="38"/>
      </w:r>
      <w:r w:rsidR="0086336F">
        <w:t xml:space="preserve"> </w:t>
      </w:r>
      <w:r w:rsidR="00090A5F">
        <w:t>A</w:t>
      </w:r>
      <w:r w:rsidR="00BB2423">
        <w:t xml:space="preserve"> </w:t>
      </w:r>
      <w:r w:rsidRPr="004B3FF5">
        <w:t xml:space="preserve">U.S. </w:t>
      </w:r>
      <w:r w:rsidR="00393B62">
        <w:t>d</w:t>
      </w:r>
      <w:r w:rsidRPr="004B3FF5">
        <w:t xml:space="preserve">istrict </w:t>
      </w:r>
      <w:r w:rsidR="00393B62">
        <w:t>c</w:t>
      </w:r>
      <w:r w:rsidRPr="004B3FF5">
        <w:t xml:space="preserve">ourt </w:t>
      </w:r>
      <w:r w:rsidR="0075204E">
        <w:t>agreed</w:t>
      </w:r>
      <w:r w:rsidR="00891293">
        <w:t xml:space="preserve"> with AARP and </w:t>
      </w:r>
      <w:r w:rsidRPr="004B3FF5">
        <w:t xml:space="preserve">ruled </w:t>
      </w:r>
      <w:r w:rsidR="00BB2423">
        <w:t xml:space="preserve">in </w:t>
      </w:r>
      <w:r w:rsidR="008845AC">
        <w:t xml:space="preserve">August </w:t>
      </w:r>
      <w:r w:rsidR="00BB2423">
        <w:t xml:space="preserve">2017 </w:t>
      </w:r>
      <w:r w:rsidRPr="004B3FF5">
        <w:t xml:space="preserve">that the EEOC </w:t>
      </w:r>
      <w:r w:rsidR="00090A5F">
        <w:t>failed to provide</w:t>
      </w:r>
      <w:r w:rsidRPr="004B3FF5">
        <w:t xml:space="preserve"> a reasoned explanation for its interpretation of the </w:t>
      </w:r>
      <w:r w:rsidR="006474CA">
        <w:t>“</w:t>
      </w:r>
      <w:r w:rsidRPr="004B3FF5">
        <w:t>voluntary</w:t>
      </w:r>
      <w:r w:rsidR="006474CA">
        <w:t>”</w:t>
      </w:r>
      <w:r w:rsidRPr="004B3FF5">
        <w:t xml:space="preserve"> requirement.</w:t>
      </w:r>
      <w:r w:rsidRPr="004B3FF5">
        <w:rPr>
          <w:rStyle w:val="EndnoteReference"/>
          <w:rFonts w:cs="Arial"/>
        </w:rPr>
        <w:endnoteReference w:id="39"/>
      </w:r>
      <w:r w:rsidRPr="004B3FF5">
        <w:t xml:space="preserve"> </w:t>
      </w:r>
      <w:r w:rsidR="00BB2423">
        <w:t>The court</w:t>
      </w:r>
      <w:r w:rsidRPr="004B3FF5">
        <w:t xml:space="preserve"> </w:t>
      </w:r>
      <w:r w:rsidR="000603EC">
        <w:t>later</w:t>
      </w:r>
      <w:r w:rsidRPr="004B3FF5">
        <w:t xml:space="preserve"> vacate</w:t>
      </w:r>
      <w:r w:rsidR="000603EC">
        <w:t>d</w:t>
      </w:r>
      <w:r w:rsidRPr="004B3FF5">
        <w:t xml:space="preserve"> </w:t>
      </w:r>
      <w:r w:rsidR="000B5C37">
        <w:t xml:space="preserve">a portion of </w:t>
      </w:r>
      <w:r w:rsidRPr="004B3FF5">
        <w:t xml:space="preserve">the </w:t>
      </w:r>
      <w:r w:rsidR="00BB2423">
        <w:t xml:space="preserve">regulations </w:t>
      </w:r>
      <w:r w:rsidR="000B5C37">
        <w:t xml:space="preserve">related to incentives </w:t>
      </w:r>
      <w:r w:rsidR="00A4245F">
        <w:t xml:space="preserve">that </w:t>
      </w:r>
      <w:r w:rsidR="00090A5F">
        <w:t xml:space="preserve">will cease to be </w:t>
      </w:r>
      <w:r w:rsidR="00891293">
        <w:t xml:space="preserve">effective </w:t>
      </w:r>
      <w:r w:rsidR="00090A5F">
        <w:t xml:space="preserve">as of </w:t>
      </w:r>
      <w:r w:rsidR="00ED607C" w:rsidRPr="004B3FF5">
        <w:t>January 1, 2019.</w:t>
      </w:r>
      <w:r w:rsidR="00276926">
        <w:t xml:space="preserve"> </w:t>
      </w:r>
      <w:r w:rsidR="00276926" w:rsidRPr="00276926">
        <w:rPr>
          <w:b/>
        </w:rPr>
        <w:t xml:space="preserve">NCD recommends that any revised </w:t>
      </w:r>
      <w:r w:rsidR="000B5C37">
        <w:rPr>
          <w:b/>
        </w:rPr>
        <w:t xml:space="preserve">future </w:t>
      </w:r>
      <w:r w:rsidR="00276926" w:rsidRPr="00276926">
        <w:rPr>
          <w:b/>
        </w:rPr>
        <w:t>ADA and GINA regulation</w:t>
      </w:r>
      <w:r w:rsidR="00AF0C5F">
        <w:rPr>
          <w:b/>
        </w:rPr>
        <w:t>s</w:t>
      </w:r>
      <w:r w:rsidR="00276926" w:rsidRPr="00276926">
        <w:rPr>
          <w:b/>
        </w:rPr>
        <w:t xml:space="preserve"> </w:t>
      </w:r>
      <w:r w:rsidR="00D812E6">
        <w:rPr>
          <w:b/>
        </w:rPr>
        <w:t xml:space="preserve">by the EEOC </w:t>
      </w:r>
      <w:r w:rsidR="00276926" w:rsidRPr="00276926">
        <w:rPr>
          <w:b/>
        </w:rPr>
        <w:t xml:space="preserve">allow employees with disabilities to participate in any voluntary employer wellness program while </w:t>
      </w:r>
      <w:r w:rsidR="00393B62">
        <w:rPr>
          <w:b/>
        </w:rPr>
        <w:t xml:space="preserve">fully </w:t>
      </w:r>
      <w:r w:rsidR="00276926" w:rsidRPr="00276926">
        <w:rPr>
          <w:b/>
        </w:rPr>
        <w:t>protecting</w:t>
      </w:r>
      <w:r w:rsidR="00393B62">
        <w:rPr>
          <w:b/>
        </w:rPr>
        <w:t xml:space="preserve"> the right </w:t>
      </w:r>
      <w:r w:rsidR="000B5C37">
        <w:rPr>
          <w:b/>
        </w:rPr>
        <w:t>not to disclose protected medical information for such participation.</w:t>
      </w:r>
    </w:p>
    <w:p w14:paraId="024348C4" w14:textId="77777777" w:rsidR="00296DA5" w:rsidRDefault="00D41EDD" w:rsidP="00396A3D">
      <w:pPr>
        <w:pStyle w:val="NCDBodyText"/>
      </w:pPr>
      <w:r>
        <w:t>Section</w:t>
      </w:r>
      <w:r w:rsidR="008C6B39" w:rsidRPr="004B3FF5">
        <w:t xml:space="preserve"> 501 of the Rehabilitation Act prohibits the </w:t>
      </w:r>
      <w:r w:rsidR="00791726">
        <w:t>Federal Government</w:t>
      </w:r>
      <w:r w:rsidR="008C6B39" w:rsidRPr="004B3FF5">
        <w:t xml:space="preserve"> </w:t>
      </w:r>
      <w:r w:rsidR="00C37AE1">
        <w:t>from discriminating</w:t>
      </w:r>
      <w:r w:rsidR="008C6B39" w:rsidRPr="004B3FF5">
        <w:t xml:space="preserve"> against </w:t>
      </w:r>
      <w:r w:rsidR="00E05C55">
        <w:t>employees</w:t>
      </w:r>
      <w:r w:rsidR="008C6B39" w:rsidRPr="004B3FF5">
        <w:t xml:space="preserve"> with </w:t>
      </w:r>
      <w:r w:rsidR="003D00C5" w:rsidRPr="004B3FF5">
        <w:t>disabilities and</w:t>
      </w:r>
      <w:r w:rsidR="008C6B39" w:rsidRPr="004B3FF5">
        <w:t xml:space="preserve"> requires </w:t>
      </w:r>
      <w:r w:rsidR="00E05C55">
        <w:t>f</w:t>
      </w:r>
      <w:r w:rsidR="008C6B39" w:rsidRPr="004B3FF5">
        <w:t xml:space="preserve">ederal agencies to develop </w:t>
      </w:r>
      <w:r w:rsidR="00C37AE1">
        <w:t xml:space="preserve">an </w:t>
      </w:r>
      <w:r w:rsidR="008C6B39" w:rsidRPr="004B3FF5">
        <w:t>affirmative action plan for the recruitment, placement</w:t>
      </w:r>
      <w:r w:rsidR="002E0786">
        <w:t>,</w:t>
      </w:r>
      <w:r w:rsidR="008C6B39" w:rsidRPr="004B3FF5">
        <w:t xml:space="preserve"> and advancement of people with disabilities.</w:t>
      </w:r>
      <w:r w:rsidR="0086336F">
        <w:rPr>
          <w:rStyle w:val="EndnoteReference"/>
          <w:rFonts w:eastAsiaTheme="minorEastAsia" w:cs="Arial"/>
        </w:rPr>
        <w:endnoteReference w:id="40"/>
      </w:r>
      <w:r w:rsidR="00393B62">
        <w:t xml:space="preserve"> </w:t>
      </w:r>
      <w:r w:rsidR="0075204E">
        <w:t>For decades</w:t>
      </w:r>
      <w:r w:rsidR="00AF0C5F">
        <w:t>,</w:t>
      </w:r>
      <w:r w:rsidR="0075204E">
        <w:t xml:space="preserve"> the Section 501 regulations </w:t>
      </w:r>
      <w:r w:rsidR="0075204E" w:rsidRPr="004B3FF5">
        <w:t>simply stated t</w:t>
      </w:r>
      <w:r w:rsidR="0075204E">
        <w:t>hat t</w:t>
      </w:r>
      <w:r w:rsidR="0075204E" w:rsidRPr="004B3FF5">
        <w:t xml:space="preserve">he </w:t>
      </w:r>
      <w:r w:rsidR="00791726">
        <w:t>Federal Government</w:t>
      </w:r>
      <w:r w:rsidR="0075204E" w:rsidRPr="004B3FF5">
        <w:t xml:space="preserve"> should be a </w:t>
      </w:r>
      <w:r w:rsidR="006474CA">
        <w:t>“</w:t>
      </w:r>
      <w:r w:rsidR="0075204E" w:rsidRPr="004B3FF5">
        <w:t>model employer</w:t>
      </w:r>
      <w:r w:rsidR="006474CA">
        <w:t>”</w:t>
      </w:r>
      <w:r w:rsidR="0075204E" w:rsidRPr="004B3FF5">
        <w:t xml:space="preserve"> for people with disabilities. </w:t>
      </w:r>
      <w:r w:rsidR="0075204E">
        <w:t>T</w:t>
      </w:r>
      <w:r w:rsidR="0075204E" w:rsidRPr="004B3FF5">
        <w:t>he EEOC ha</w:t>
      </w:r>
      <w:r w:rsidR="0075204E">
        <w:t>d</w:t>
      </w:r>
      <w:r w:rsidR="0075204E" w:rsidRPr="004B3FF5">
        <w:t xml:space="preserve"> issued various Management Directives providing some guidance on how a federal agency</w:t>
      </w:r>
      <w:r w:rsidR="006474CA">
        <w:t>’</w:t>
      </w:r>
      <w:r w:rsidR="0075204E" w:rsidRPr="004B3FF5">
        <w:t xml:space="preserve">s plan should result in the </w:t>
      </w:r>
      <w:r w:rsidR="00791726">
        <w:t>Federal Government</w:t>
      </w:r>
      <w:r w:rsidR="0075204E" w:rsidRPr="004B3FF5">
        <w:t xml:space="preserve"> being a model employer. Over the years</w:t>
      </w:r>
      <w:r w:rsidR="0075204E">
        <w:t>,</w:t>
      </w:r>
      <w:r w:rsidR="0075204E" w:rsidRPr="004B3FF5">
        <w:t xml:space="preserve"> Executive Orders </w:t>
      </w:r>
      <w:r w:rsidR="0075204E">
        <w:t>have been</w:t>
      </w:r>
      <w:r w:rsidR="0075204E" w:rsidRPr="004B3FF5">
        <w:t xml:space="preserve"> issued </w:t>
      </w:r>
      <w:r w:rsidR="00AF0C5F">
        <w:t>that</w:t>
      </w:r>
      <w:r w:rsidR="00AF0C5F" w:rsidRPr="004B3FF5">
        <w:t xml:space="preserve"> </w:t>
      </w:r>
      <w:r w:rsidR="0075204E" w:rsidRPr="004B3FF5">
        <w:t xml:space="preserve">require federal agencies to develop reasonable accommodation policies and set </w:t>
      </w:r>
      <w:r w:rsidR="00996A93" w:rsidRPr="004B3FF5">
        <w:t>government</w:t>
      </w:r>
      <w:r w:rsidR="00996A93">
        <w:t>-</w:t>
      </w:r>
      <w:r w:rsidR="0075204E" w:rsidRPr="004B3FF5">
        <w:t>wide goals for federal hiring of people with disabilities</w:t>
      </w:r>
      <w:r w:rsidR="0075204E">
        <w:t xml:space="preserve">. The more </w:t>
      </w:r>
      <w:r w:rsidR="0075204E" w:rsidRPr="004B3FF5">
        <w:t>recent Ex</w:t>
      </w:r>
      <w:r w:rsidR="0075204E">
        <w:t>ecutive Orders included s</w:t>
      </w:r>
      <w:r w:rsidR="0075204E" w:rsidRPr="004B3FF5">
        <w:t>ub-goals for hiring people</w:t>
      </w:r>
      <w:r w:rsidR="00314DB8">
        <w:t xml:space="preserve"> with significant disabilities.</w:t>
      </w:r>
      <w:r w:rsidR="002936D2">
        <w:rPr>
          <w:rStyle w:val="EndnoteReference"/>
          <w:rFonts w:eastAsiaTheme="minorEastAsia" w:cs="Arial"/>
        </w:rPr>
        <w:endnoteReference w:id="41"/>
      </w:r>
    </w:p>
    <w:p w14:paraId="63929152" w14:textId="77777777" w:rsidR="00296DA5" w:rsidRDefault="0075204E" w:rsidP="00396A3D">
      <w:pPr>
        <w:pStyle w:val="NCDBodyText"/>
        <w:rPr>
          <w:rFonts w:eastAsiaTheme="minorEastAsia"/>
        </w:rPr>
      </w:pPr>
      <w:r>
        <w:t xml:space="preserve">In May </w:t>
      </w:r>
      <w:r w:rsidRPr="004B3FF5">
        <w:t>2014</w:t>
      </w:r>
      <w:r>
        <w:t>,</w:t>
      </w:r>
      <w:r w:rsidRPr="004B3FF5">
        <w:t xml:space="preserve"> the EEOC request</w:t>
      </w:r>
      <w:r>
        <w:t xml:space="preserve">ed </w:t>
      </w:r>
      <w:r w:rsidRPr="004B3FF5">
        <w:t xml:space="preserve">public comment on specific inquiries </w:t>
      </w:r>
      <w:r>
        <w:t xml:space="preserve">for </w:t>
      </w:r>
      <w:r w:rsidRPr="004B3FF5">
        <w:t xml:space="preserve">ways to strengthen </w:t>
      </w:r>
      <w:r>
        <w:t>the</w:t>
      </w:r>
      <w:r w:rsidRPr="004B3FF5">
        <w:t xml:space="preserve"> </w:t>
      </w:r>
      <w:r>
        <w:t>Section</w:t>
      </w:r>
      <w:r w:rsidRPr="004B3FF5">
        <w:t xml:space="preserve"> 501 affirmative action regulations.</w:t>
      </w:r>
      <w:r w:rsidRPr="004B3FF5">
        <w:rPr>
          <w:rStyle w:val="EndnoteReference"/>
          <w:rFonts w:cs="Arial"/>
        </w:rPr>
        <w:endnoteReference w:id="42"/>
      </w:r>
      <w:r>
        <w:t xml:space="preserve"> In</w:t>
      </w:r>
      <w:r w:rsidRPr="004B3FF5">
        <w:t xml:space="preserve"> February 2016</w:t>
      </w:r>
      <w:r w:rsidR="007A73BA">
        <w:t>,</w:t>
      </w:r>
      <w:r w:rsidRPr="004B3FF5">
        <w:t xml:space="preserve"> the EEOC propos</w:t>
      </w:r>
      <w:r>
        <w:t>ed</w:t>
      </w:r>
      <w:r w:rsidRPr="004B3FF5">
        <w:t xml:space="preserve"> specific revisions to the regulations</w:t>
      </w:r>
      <w:r w:rsidR="007A73BA">
        <w:t>,</w:t>
      </w:r>
      <w:r w:rsidRPr="004B3FF5">
        <w:rPr>
          <w:rStyle w:val="EndnoteReference"/>
          <w:rFonts w:cs="Arial"/>
        </w:rPr>
        <w:endnoteReference w:id="43"/>
      </w:r>
      <w:r w:rsidRPr="004B3FF5">
        <w:t xml:space="preserve"> </w:t>
      </w:r>
      <w:r>
        <w:t xml:space="preserve">and </w:t>
      </w:r>
      <w:r w:rsidRPr="004B3FF5">
        <w:t xml:space="preserve">issued </w:t>
      </w:r>
      <w:r>
        <w:t>final regulations</w:t>
      </w:r>
      <w:r w:rsidRPr="004B3FF5">
        <w:t xml:space="preserve"> </w:t>
      </w:r>
      <w:r>
        <w:t>in January 2017</w:t>
      </w:r>
      <w:r w:rsidR="00FE4AB6">
        <w:t>,</w:t>
      </w:r>
      <w:r>
        <w:t xml:space="preserve"> which became</w:t>
      </w:r>
      <w:r w:rsidRPr="004B3FF5">
        <w:t xml:space="preserve"> </w:t>
      </w:r>
      <w:r>
        <w:t xml:space="preserve">applicable on </w:t>
      </w:r>
      <w:r w:rsidRPr="004B3FF5">
        <w:t>January 3, 2018.</w:t>
      </w:r>
      <w:r w:rsidRPr="004B3FF5">
        <w:rPr>
          <w:rStyle w:val="EndnoteReference"/>
          <w:rFonts w:cs="Arial"/>
        </w:rPr>
        <w:endnoteReference w:id="44"/>
      </w:r>
      <w:r w:rsidR="00A8793C">
        <w:t xml:space="preserve"> </w:t>
      </w:r>
      <w:r w:rsidR="008C6B39" w:rsidRPr="004B3FF5">
        <w:t xml:space="preserve">The </w:t>
      </w:r>
      <w:r w:rsidR="002E0786">
        <w:t>EEOC</w:t>
      </w:r>
      <w:r w:rsidR="008C6B39" w:rsidRPr="004B3FF5">
        <w:t xml:space="preserve"> gather</w:t>
      </w:r>
      <w:r w:rsidR="00791726">
        <w:t>ed</w:t>
      </w:r>
      <w:r w:rsidR="008C6B39" w:rsidRPr="004B3FF5">
        <w:t xml:space="preserve"> </w:t>
      </w:r>
      <w:r w:rsidR="00314DB8" w:rsidRPr="004B3FF5">
        <w:t xml:space="preserve">into a single regulation </w:t>
      </w:r>
      <w:r w:rsidR="00FE4AB6">
        <w:t xml:space="preserve">those </w:t>
      </w:r>
      <w:r w:rsidR="008C6B39" w:rsidRPr="004B3FF5">
        <w:t xml:space="preserve">requirements previously found in a variety of documents </w:t>
      </w:r>
      <w:r w:rsidR="00E05C55">
        <w:t>and clarif</w:t>
      </w:r>
      <w:r w:rsidR="00791726">
        <w:t xml:space="preserve">ied </w:t>
      </w:r>
      <w:r w:rsidR="008C6B39" w:rsidRPr="004B3FF5">
        <w:t>that the</w:t>
      </w:r>
      <w:r w:rsidR="002E0786">
        <w:t xml:space="preserve"> regulations </w:t>
      </w:r>
      <w:r w:rsidR="008C6B39" w:rsidRPr="004B3FF5">
        <w:t xml:space="preserve">have the force of law. </w:t>
      </w:r>
      <w:r w:rsidR="00E05C55">
        <w:t xml:space="preserve">The new regulations require </w:t>
      </w:r>
      <w:r w:rsidR="00791726">
        <w:t>each federal agency to take</w:t>
      </w:r>
      <w:r w:rsidR="008C6B39" w:rsidRPr="004B3FF5">
        <w:t xml:space="preserve"> steps reasonably designed to gradually increase the number of employees with disabilities and with targeted disabilities until </w:t>
      </w:r>
      <w:r w:rsidR="002E0786">
        <w:t xml:space="preserve">the agency </w:t>
      </w:r>
      <w:r w:rsidR="008C6B39" w:rsidRPr="004B3FF5">
        <w:t>meet</w:t>
      </w:r>
      <w:r w:rsidR="002E0786">
        <w:t>s</w:t>
      </w:r>
      <w:r w:rsidR="008C6B39" w:rsidRPr="004B3FF5">
        <w:t xml:space="preserve"> specific goals set by the EEOC. </w:t>
      </w:r>
      <w:r w:rsidR="00314DB8">
        <w:t xml:space="preserve">Significantly, the regulations </w:t>
      </w:r>
      <w:r w:rsidR="008C6B39" w:rsidRPr="004B3FF5">
        <w:t xml:space="preserve">also </w:t>
      </w:r>
      <w:r w:rsidR="00314DB8">
        <w:t>require</w:t>
      </w:r>
      <w:r w:rsidR="002E0786">
        <w:t xml:space="preserve"> each agency to </w:t>
      </w:r>
      <w:r w:rsidR="008C6B39" w:rsidRPr="004B3FF5">
        <w:t>provide employees with targeted disabilities Personal Assistance Services during wor</w:t>
      </w:r>
      <w:r w:rsidR="00C37AE1">
        <w:t xml:space="preserve">k hours and work-related travel, if </w:t>
      </w:r>
      <w:r w:rsidR="00314DB8">
        <w:t>necessary</w:t>
      </w:r>
      <w:r w:rsidR="002E0786">
        <w:t>.</w:t>
      </w:r>
      <w:r w:rsidR="008C6B39" w:rsidRPr="004B3FF5">
        <w:rPr>
          <w:rStyle w:val="EndnoteReference"/>
          <w:rFonts w:cs="Arial"/>
        </w:rPr>
        <w:endnoteReference w:id="45"/>
      </w:r>
    </w:p>
    <w:p w14:paraId="462B4204" w14:textId="77777777" w:rsidR="00296DA5" w:rsidRDefault="00E05C55" w:rsidP="00396A3D">
      <w:pPr>
        <w:pStyle w:val="NCDBodyText"/>
        <w:rPr>
          <w:b/>
        </w:rPr>
      </w:pPr>
      <w:r w:rsidRPr="00276926">
        <w:lastRenderedPageBreak/>
        <w:t>It</w:t>
      </w:r>
      <w:r w:rsidR="008C6B39" w:rsidRPr="00276926">
        <w:t xml:space="preserve"> is too early to gauge any impac</w:t>
      </w:r>
      <w:r w:rsidRPr="00276926">
        <w:t xml:space="preserve">t of the </w:t>
      </w:r>
      <w:r w:rsidR="002E0786" w:rsidRPr="00276926">
        <w:t xml:space="preserve">new </w:t>
      </w:r>
      <w:r w:rsidR="00314DB8">
        <w:t xml:space="preserve">Section 501 </w:t>
      </w:r>
      <w:r w:rsidR="002E0786" w:rsidRPr="00276926">
        <w:t>regulation</w:t>
      </w:r>
      <w:r w:rsidR="00314DB8">
        <w:t>s</w:t>
      </w:r>
      <w:r w:rsidR="002E0786" w:rsidRPr="00276926">
        <w:t xml:space="preserve"> </w:t>
      </w:r>
      <w:r w:rsidRPr="00276926">
        <w:t>on federal hiring. B</w:t>
      </w:r>
      <w:r w:rsidR="008C6B39" w:rsidRPr="00276926">
        <w:t>y setting specific steps</w:t>
      </w:r>
      <w:r w:rsidR="004D09FF" w:rsidRPr="00276926">
        <w:t xml:space="preserve"> </w:t>
      </w:r>
      <w:r w:rsidR="0093749E">
        <w:t>that</w:t>
      </w:r>
      <w:r w:rsidR="004D09FF" w:rsidRPr="00276926">
        <w:t xml:space="preserve"> </w:t>
      </w:r>
      <w:r w:rsidR="008C6B39" w:rsidRPr="00276926">
        <w:t xml:space="preserve">agencies must take, </w:t>
      </w:r>
      <w:r w:rsidRPr="00276926">
        <w:t xml:space="preserve">however, </w:t>
      </w:r>
      <w:r w:rsidR="008C6B39" w:rsidRPr="00276926">
        <w:t xml:space="preserve">the rule has the potential to move the </w:t>
      </w:r>
      <w:r w:rsidR="00791726">
        <w:t>Federal Government</w:t>
      </w:r>
      <w:r w:rsidR="008C6B39" w:rsidRPr="00276926">
        <w:t xml:space="preserve"> forward in </w:t>
      </w:r>
      <w:r w:rsidR="00276926">
        <w:t xml:space="preserve">the </w:t>
      </w:r>
      <w:r w:rsidR="008C6B39" w:rsidRPr="00276926">
        <w:t>hiring, placement</w:t>
      </w:r>
      <w:r w:rsidR="007A73BA">
        <w:t>,</w:t>
      </w:r>
      <w:r w:rsidR="008C6B39" w:rsidRPr="00276926">
        <w:t xml:space="preserve"> and advancement of people with disabilities and with a specific emphasis on people </w:t>
      </w:r>
      <w:r w:rsidR="007C1E9F">
        <w:t xml:space="preserve">with significant disabilities. </w:t>
      </w:r>
      <w:r w:rsidR="00276926" w:rsidRPr="00276926">
        <w:rPr>
          <w:b/>
        </w:rPr>
        <w:t>NCD recommends that the EEOC track and analyze data from federal agencies on a quarterly basis to ensure the agencies are meeting targeted employment goals under the Section 501 regulations.</w:t>
      </w:r>
    </w:p>
    <w:p w14:paraId="280D13F4" w14:textId="08DDF5CC" w:rsidR="00D7262D" w:rsidRPr="00D35D4B" w:rsidRDefault="00D7262D" w:rsidP="00D820F9">
      <w:pPr>
        <w:pStyle w:val="Heading3"/>
      </w:pPr>
      <w:bookmarkStart w:id="23" w:name="_Toc526182077"/>
      <w:r w:rsidRPr="00D35D4B">
        <w:t>Pr</w:t>
      </w:r>
      <w:r w:rsidR="00525794" w:rsidRPr="00D35D4B">
        <w:t>oactive and Reactive Strategies</w:t>
      </w:r>
      <w:bookmarkEnd w:id="23"/>
    </w:p>
    <w:p w14:paraId="320E7B51" w14:textId="6E6C669C" w:rsidR="00296DA5" w:rsidRDefault="00E05C55" w:rsidP="00396A3D">
      <w:pPr>
        <w:pStyle w:val="NCDBodyText"/>
      </w:pPr>
      <w:r>
        <w:t xml:space="preserve">Since </w:t>
      </w:r>
      <w:r w:rsidR="00631E24" w:rsidRPr="00631E24">
        <w:rPr>
          <w:i/>
        </w:rPr>
        <w:t>Promises to Keep</w:t>
      </w:r>
      <w:r>
        <w:t>,</w:t>
      </w:r>
      <w:r w:rsidR="00D7262D" w:rsidRPr="004B3FF5">
        <w:t xml:space="preserve"> the EEOC continue</w:t>
      </w:r>
      <w:r w:rsidR="00221D77">
        <w:t>s</w:t>
      </w:r>
      <w:r w:rsidR="00D7262D" w:rsidRPr="004B3FF5">
        <w:t xml:space="preserve"> to revise the agency</w:t>
      </w:r>
      <w:r w:rsidR="006474CA">
        <w:t>’</w:t>
      </w:r>
      <w:r w:rsidR="00D7262D" w:rsidRPr="004B3FF5">
        <w:t xml:space="preserve">s strategic planning </w:t>
      </w:r>
      <w:proofErr w:type="gramStart"/>
      <w:r w:rsidR="00D7262D" w:rsidRPr="004B3FF5">
        <w:t>in an effort to</w:t>
      </w:r>
      <w:proofErr w:type="gramEnd"/>
      <w:r w:rsidR="00D7262D" w:rsidRPr="004B3FF5">
        <w:t xml:space="preserve"> better utilize Commission resources. The EEOC no longer uses the National Enforcement Plan referred to in </w:t>
      </w:r>
      <w:r w:rsidR="00631E24" w:rsidRPr="00631E24">
        <w:rPr>
          <w:i/>
        </w:rPr>
        <w:t>Promises to Keep</w:t>
      </w:r>
      <w:r w:rsidR="00D7262D" w:rsidRPr="004B3FF5">
        <w:t>.</w:t>
      </w:r>
      <w:r w:rsidR="00D7262D" w:rsidRPr="004B3FF5">
        <w:rPr>
          <w:vertAlign w:val="superscript"/>
        </w:rPr>
        <w:endnoteReference w:id="46"/>
      </w:r>
      <w:r w:rsidR="00D7262D" w:rsidRPr="004B3FF5">
        <w:t xml:space="preserve"> </w:t>
      </w:r>
      <w:r w:rsidR="004D09FF">
        <w:t xml:space="preserve">As required by Congress, </w:t>
      </w:r>
      <w:r w:rsidR="00D7262D" w:rsidRPr="004B3FF5">
        <w:t>the Commissio</w:t>
      </w:r>
      <w:r w:rsidR="00F8728F">
        <w:t xml:space="preserve">n </w:t>
      </w:r>
      <w:r w:rsidR="00D7262D" w:rsidRPr="004B3FF5">
        <w:t>develop</w:t>
      </w:r>
      <w:r w:rsidR="00F8728F">
        <w:t>s</w:t>
      </w:r>
      <w:r w:rsidR="00D7262D" w:rsidRPr="004B3FF5">
        <w:t xml:space="preserve"> a</w:t>
      </w:r>
      <w:r w:rsidR="00EB138D">
        <w:t xml:space="preserve"> </w:t>
      </w:r>
      <w:r w:rsidR="003D00C5">
        <w:t>five-year</w:t>
      </w:r>
      <w:r w:rsidR="00EB138D">
        <w:t xml:space="preserve"> </w:t>
      </w:r>
      <w:r w:rsidR="00D7262D" w:rsidRPr="004B3FF5">
        <w:t>agency</w:t>
      </w:r>
      <w:r w:rsidR="00FE4AB6">
        <w:t>-wide</w:t>
      </w:r>
      <w:r w:rsidR="00D7262D" w:rsidRPr="004B3FF5">
        <w:t xml:space="preserve"> Strategic Plan</w:t>
      </w:r>
      <w:r w:rsidR="008468A2">
        <w:t>.</w:t>
      </w:r>
      <w:r w:rsidR="00D7262D" w:rsidRPr="004B3FF5">
        <w:rPr>
          <w:vertAlign w:val="superscript"/>
        </w:rPr>
        <w:endnoteReference w:id="47"/>
      </w:r>
      <w:r w:rsidR="00D7262D" w:rsidRPr="004B3FF5">
        <w:t xml:space="preserve"> </w:t>
      </w:r>
      <w:r w:rsidR="00F8728F">
        <w:t>The FY 2012</w:t>
      </w:r>
      <w:r w:rsidR="006411AA">
        <w:t>–</w:t>
      </w:r>
      <w:r w:rsidR="00F8728F">
        <w:t xml:space="preserve">2016 EEOC Strategic Plan called for the </w:t>
      </w:r>
      <w:r w:rsidR="00941F4A">
        <w:t xml:space="preserve">development of a </w:t>
      </w:r>
      <w:r w:rsidR="00D7262D" w:rsidRPr="004B3FF5">
        <w:t>separate</w:t>
      </w:r>
      <w:r w:rsidR="0024127E">
        <w:t>,</w:t>
      </w:r>
      <w:r w:rsidR="00941F4A">
        <w:t xml:space="preserve"> more focused</w:t>
      </w:r>
      <w:r w:rsidR="00D7262D" w:rsidRPr="004B3FF5">
        <w:t xml:space="preserve"> </w:t>
      </w:r>
      <w:r w:rsidR="003D00C5">
        <w:t>five-year</w:t>
      </w:r>
      <w:r w:rsidR="00EB138D">
        <w:t xml:space="preserve"> </w:t>
      </w:r>
      <w:r w:rsidR="00D7262D" w:rsidRPr="004B3FF5">
        <w:t xml:space="preserve">Strategic Enforcement Plan </w:t>
      </w:r>
      <w:r w:rsidR="00276926">
        <w:t>(SEP)</w:t>
      </w:r>
      <w:r w:rsidR="00F8728F">
        <w:t xml:space="preserve">, </w:t>
      </w:r>
      <w:r w:rsidR="0024127E">
        <w:t xml:space="preserve">and </w:t>
      </w:r>
      <w:r w:rsidR="00F8728F">
        <w:t>the FY 2018</w:t>
      </w:r>
      <w:r w:rsidR="008A4474">
        <w:t>–</w:t>
      </w:r>
      <w:r w:rsidR="00F8728F">
        <w:t>2022 Strategic Plan called for consistent implementation</w:t>
      </w:r>
      <w:r w:rsidR="00D7262D" w:rsidRPr="004B3FF5">
        <w:t>.</w:t>
      </w:r>
    </w:p>
    <w:p w14:paraId="6C7BF7A6" w14:textId="77777777" w:rsidR="00296DA5" w:rsidRDefault="00D7262D" w:rsidP="00396A3D">
      <w:pPr>
        <w:pStyle w:val="NCDBodyText"/>
        <w:rPr>
          <w:u w:val="single"/>
        </w:rPr>
      </w:pPr>
      <w:r w:rsidRPr="004B3FF5">
        <w:t>The FY 2018</w:t>
      </w:r>
      <w:r w:rsidR="00CC064C">
        <w:t>–</w:t>
      </w:r>
      <w:r w:rsidRPr="004B3FF5">
        <w:t xml:space="preserve">2022 </w:t>
      </w:r>
      <w:r w:rsidR="00F8728F" w:rsidRPr="004B3FF5">
        <w:t xml:space="preserve">Strategic Plan </w:t>
      </w:r>
      <w:r w:rsidR="00F8728F">
        <w:t xml:space="preserve">also </w:t>
      </w:r>
      <w:r w:rsidRPr="004B3FF5">
        <w:t xml:space="preserve">lays out </w:t>
      </w:r>
      <w:r w:rsidR="00E05C55">
        <w:t xml:space="preserve">two </w:t>
      </w:r>
      <w:r w:rsidRPr="004B3FF5">
        <w:t xml:space="preserve">broad strategic objectives to </w:t>
      </w:r>
      <w:r w:rsidR="006474CA">
        <w:t>“</w:t>
      </w:r>
      <w:r w:rsidRPr="004B3FF5">
        <w:t>combat and prevent employment discrimination through the strategic application of EEOC</w:t>
      </w:r>
      <w:r w:rsidR="006474CA">
        <w:t>’</w:t>
      </w:r>
      <w:r w:rsidRPr="004B3FF5">
        <w:t>s law enforcement authorities,</w:t>
      </w:r>
      <w:r w:rsidR="006474CA">
        <w:t>”</w:t>
      </w:r>
      <w:r w:rsidRPr="004B3FF5">
        <w:t xml:space="preserve"> </w:t>
      </w:r>
      <w:r w:rsidR="006474CA">
        <w:t>“</w:t>
      </w:r>
      <w:r w:rsidRPr="004B3FF5">
        <w:t>prevent employment discrimination and promote inclusive workplaces through education and outreach,</w:t>
      </w:r>
      <w:r w:rsidR="006474CA">
        <w:t>”</w:t>
      </w:r>
      <w:r w:rsidRPr="004B3FF5">
        <w:t xml:space="preserve"> and a </w:t>
      </w:r>
      <w:r w:rsidR="00F8728F" w:rsidRPr="004B3FF5">
        <w:t>b</w:t>
      </w:r>
      <w:r w:rsidR="00F8728F">
        <w:t>road</w:t>
      </w:r>
      <w:r w:rsidR="00F8728F" w:rsidRPr="004B3FF5">
        <w:t xml:space="preserve"> </w:t>
      </w:r>
      <w:r w:rsidRPr="004B3FF5">
        <w:t xml:space="preserve">management objective to </w:t>
      </w:r>
      <w:r w:rsidR="006474CA">
        <w:t>“</w:t>
      </w:r>
      <w:r w:rsidRPr="004B3FF5">
        <w:t>achieve organizational excellence.</w:t>
      </w:r>
      <w:r w:rsidR="006474CA">
        <w:t>”</w:t>
      </w:r>
      <w:r w:rsidRPr="004B3FF5">
        <w:rPr>
          <w:vertAlign w:val="superscript"/>
        </w:rPr>
        <w:endnoteReference w:id="48"/>
      </w:r>
      <w:r w:rsidRPr="004B3FF5">
        <w:t xml:space="preserve"> The </w:t>
      </w:r>
      <w:r w:rsidR="00EB138D" w:rsidRPr="004B3FF5">
        <w:t>FY 2012</w:t>
      </w:r>
      <w:r w:rsidR="00EB138D">
        <w:t>–</w:t>
      </w:r>
      <w:r w:rsidR="00EB138D" w:rsidRPr="004B3FF5">
        <w:t>2016</w:t>
      </w:r>
      <w:r w:rsidR="00EB138D">
        <w:t xml:space="preserve"> </w:t>
      </w:r>
      <w:r w:rsidRPr="004B3FF5">
        <w:t>Strategic Plan contained similar objectives.</w:t>
      </w:r>
      <w:r w:rsidRPr="004B3FF5">
        <w:rPr>
          <w:vertAlign w:val="superscript"/>
        </w:rPr>
        <w:endnoteReference w:id="49"/>
      </w:r>
    </w:p>
    <w:p w14:paraId="0F63038D" w14:textId="77777777" w:rsidR="00296DA5" w:rsidRDefault="00D7262D" w:rsidP="00396A3D">
      <w:pPr>
        <w:pStyle w:val="NCDBodyText"/>
      </w:pPr>
      <w:r w:rsidRPr="004B3FF5">
        <w:t xml:space="preserve">The </w:t>
      </w:r>
      <w:r w:rsidR="00EB138D">
        <w:t xml:space="preserve">more specific </w:t>
      </w:r>
      <w:r w:rsidR="00791726">
        <w:t>SEP</w:t>
      </w:r>
      <w:r w:rsidR="004D09FF" w:rsidRPr="004B3FF5">
        <w:t xml:space="preserve"> </w:t>
      </w:r>
      <w:r w:rsidRPr="004B3FF5">
        <w:t>for FY 2017</w:t>
      </w:r>
      <w:r w:rsidR="00140836">
        <w:t>–</w:t>
      </w:r>
      <w:r w:rsidRPr="004B3FF5">
        <w:t>202</w:t>
      </w:r>
      <w:r w:rsidR="00186F2F" w:rsidRPr="004B3FF5">
        <w:t>1</w:t>
      </w:r>
      <w:r w:rsidRPr="004B3FF5">
        <w:t xml:space="preserve"> includes six substantive enforcement priorities: </w:t>
      </w:r>
      <w:r w:rsidR="00852CC6">
        <w:t>(</w:t>
      </w:r>
      <w:r w:rsidRPr="004B3FF5">
        <w:t xml:space="preserve">1) eliminating barriers in recruitment and hiring, </w:t>
      </w:r>
      <w:r w:rsidR="00852CC6">
        <w:t>(</w:t>
      </w:r>
      <w:r w:rsidRPr="004B3FF5">
        <w:t>2) protecting vulnerable workers (which includes</w:t>
      </w:r>
      <w:r w:rsidR="007A73BA">
        <w:t xml:space="preserve"> </w:t>
      </w:r>
      <w:r w:rsidRPr="004B3FF5">
        <w:t xml:space="preserve">underserved communities) from discrimination, </w:t>
      </w:r>
      <w:r w:rsidR="00503D2F">
        <w:t>(</w:t>
      </w:r>
      <w:r w:rsidRPr="004B3FF5">
        <w:t xml:space="preserve">3) addressing selected emerging and developing issues, </w:t>
      </w:r>
      <w:r w:rsidR="00503D2F">
        <w:t>(</w:t>
      </w:r>
      <w:r w:rsidRPr="004B3FF5">
        <w:t xml:space="preserve">4) ensuring equal pay protections for all workers, </w:t>
      </w:r>
      <w:r w:rsidR="00503D2F">
        <w:t>(</w:t>
      </w:r>
      <w:r w:rsidRPr="004B3FF5">
        <w:t xml:space="preserve">5) preserving access to the legal system, and </w:t>
      </w:r>
      <w:r w:rsidR="006A38D6">
        <w:t>(</w:t>
      </w:r>
      <w:r w:rsidRPr="004B3FF5">
        <w:t>6) preventing systemic harassment.</w:t>
      </w:r>
      <w:r w:rsidRPr="004B3FF5">
        <w:rPr>
          <w:vertAlign w:val="superscript"/>
        </w:rPr>
        <w:endnoteReference w:id="50"/>
      </w:r>
      <w:r w:rsidRPr="004B3FF5">
        <w:t xml:space="preserve"> </w:t>
      </w:r>
      <w:r w:rsidR="00C554BD">
        <w:t>I</w:t>
      </w:r>
      <w:r w:rsidR="00C554BD" w:rsidRPr="00720741">
        <w:t>n the current SEP</w:t>
      </w:r>
      <w:r w:rsidR="00D269CB">
        <w:t>,</w:t>
      </w:r>
      <w:r w:rsidR="00C554BD" w:rsidRPr="009C5835">
        <w:t xml:space="preserve"> </w:t>
      </w:r>
      <w:r w:rsidR="00C554BD">
        <w:t>t</w:t>
      </w:r>
      <w:r w:rsidR="009C5835" w:rsidRPr="009C5835">
        <w:t>he</w:t>
      </w:r>
      <w:r w:rsidR="009C5835" w:rsidRPr="00C554BD">
        <w:t xml:space="preserve"> Commission reaffirmed, with some modification and additions, the </w:t>
      </w:r>
      <w:r w:rsidRPr="009C5835">
        <w:t xml:space="preserve">priorities </w:t>
      </w:r>
      <w:r w:rsidR="009C5835">
        <w:t>in</w:t>
      </w:r>
      <w:r w:rsidRPr="009C5835">
        <w:t xml:space="preserve"> the</w:t>
      </w:r>
      <w:r w:rsidR="00791726" w:rsidRPr="009C5835">
        <w:t xml:space="preserve"> </w:t>
      </w:r>
      <w:r w:rsidRPr="009C5835">
        <w:t>SEP for FY 2013–2016.</w:t>
      </w:r>
      <w:r w:rsidRPr="009C5835">
        <w:rPr>
          <w:vertAlign w:val="superscript"/>
        </w:rPr>
        <w:endnoteReference w:id="51"/>
      </w:r>
      <w:r w:rsidRPr="009C5835">
        <w:t xml:space="preserve"> </w:t>
      </w:r>
      <w:r w:rsidR="000D5BC9">
        <w:t>The</w:t>
      </w:r>
      <w:r w:rsidR="009C5835">
        <w:t xml:space="preserve"> modifications include extending a priority on equal pay </w:t>
      </w:r>
      <w:r w:rsidR="00D7005F">
        <w:t>to reach all workers protected under federal law</w:t>
      </w:r>
      <w:r w:rsidR="000D5BC9">
        <w:t xml:space="preserve">, and </w:t>
      </w:r>
      <w:r w:rsidR="000D5BC9">
        <w:lastRenderedPageBreak/>
        <w:t xml:space="preserve">indicating that the EEOC will focus on qualifications standards and inflexible leave policies </w:t>
      </w:r>
      <w:r w:rsidR="0093749E">
        <w:t>that</w:t>
      </w:r>
      <w:r w:rsidR="000D5BC9">
        <w:t xml:space="preserve"> discriminate against people with disabilities as part of addressing developing issues.</w:t>
      </w:r>
    </w:p>
    <w:p w14:paraId="671D40DA" w14:textId="7C4B6689" w:rsidR="00296DA5" w:rsidRDefault="00020F4D" w:rsidP="00396A3D">
      <w:pPr>
        <w:pStyle w:val="NCDBodyText"/>
      </w:pPr>
      <w:r>
        <w:t xml:space="preserve">Finally, the SEP </w:t>
      </w:r>
      <w:r w:rsidRPr="00020F4D">
        <w:t xml:space="preserve">requires </w:t>
      </w:r>
      <w:r w:rsidR="00791726">
        <w:t xml:space="preserve">that </w:t>
      </w:r>
      <w:r w:rsidR="00791726" w:rsidRPr="00020F4D">
        <w:t>the EEOC districts and the Washington</w:t>
      </w:r>
      <w:r w:rsidR="00E04CB0">
        <w:t>, DC,</w:t>
      </w:r>
      <w:r w:rsidR="00791726" w:rsidRPr="00020F4D">
        <w:t xml:space="preserve"> </w:t>
      </w:r>
      <w:r w:rsidR="00F8728F">
        <w:t>F</w:t>
      </w:r>
      <w:r w:rsidR="00F8728F" w:rsidRPr="00020F4D">
        <w:t xml:space="preserve">ield </w:t>
      </w:r>
      <w:r w:rsidR="00F8728F">
        <w:t>O</w:t>
      </w:r>
      <w:r w:rsidR="00F8728F" w:rsidRPr="00020F4D">
        <w:t xml:space="preserve">ffice </w:t>
      </w:r>
      <w:r w:rsidR="00791726">
        <w:t>establish</w:t>
      </w:r>
      <w:r w:rsidRPr="00020F4D">
        <w:t xml:space="preserve"> District Complement Pl</w:t>
      </w:r>
      <w:r w:rsidR="00393B62">
        <w:t xml:space="preserve">ans </w:t>
      </w:r>
      <w:r w:rsidRPr="00020F4D">
        <w:t xml:space="preserve">to identify how </w:t>
      </w:r>
      <w:r w:rsidR="00791726">
        <w:t xml:space="preserve">the districts </w:t>
      </w:r>
      <w:r w:rsidRPr="00020F4D">
        <w:t xml:space="preserve">will implement the SEP and areas </w:t>
      </w:r>
      <w:r w:rsidR="00393B62">
        <w:t>of emphasis t</w:t>
      </w:r>
      <w:r w:rsidRPr="00020F4D">
        <w:t>o address local situations.</w:t>
      </w:r>
      <w:r w:rsidR="007A73BA">
        <w:rPr>
          <w:rStyle w:val="EndnoteReference"/>
          <w:rFonts w:cs="Arial"/>
        </w:rPr>
        <w:endnoteReference w:id="52"/>
      </w:r>
      <w:r w:rsidRPr="00020F4D">
        <w:t xml:space="preserve"> The Commissioners review the District </w:t>
      </w:r>
      <w:r w:rsidR="00221D77">
        <w:t xml:space="preserve">Complement Plans, </w:t>
      </w:r>
      <w:r w:rsidRPr="00020F4D">
        <w:t xml:space="preserve">but the plans are considered confidential enforcement documents and not made public. </w:t>
      </w:r>
      <w:r w:rsidR="00393B62">
        <w:t>Therefore, i</w:t>
      </w:r>
      <w:r w:rsidRPr="00020F4D">
        <w:t>t is not possible to assess the degree to which local plans and the SEP a</w:t>
      </w:r>
      <w:r w:rsidR="004F52E3">
        <w:t xml:space="preserve">re consistent as recommended </w:t>
      </w:r>
      <w:r w:rsidRPr="00020F4D">
        <w:t xml:space="preserve">in </w:t>
      </w:r>
      <w:r w:rsidR="00631E24" w:rsidRPr="00631E24">
        <w:rPr>
          <w:i/>
        </w:rPr>
        <w:t>Promises to Keep.</w:t>
      </w:r>
      <w:r w:rsidR="000332BD" w:rsidRPr="000332BD">
        <w:rPr>
          <w:rStyle w:val="EndnoteReference"/>
          <w:rFonts w:cs="Arial"/>
        </w:rPr>
        <w:endnoteReference w:id="53"/>
      </w:r>
      <w:r w:rsidR="002B6E53">
        <w:t xml:space="preserve"> </w:t>
      </w:r>
      <w:r w:rsidR="00314DB8">
        <w:rPr>
          <w:b/>
        </w:rPr>
        <w:t xml:space="preserve">NCD </w:t>
      </w:r>
      <w:r w:rsidR="00314DB8" w:rsidRPr="00276926">
        <w:rPr>
          <w:b/>
        </w:rPr>
        <w:t>recommends the EEOC make the District Complement Plans to the Strategic Enforcement Plan</w:t>
      </w:r>
      <w:r w:rsidR="00314DB8">
        <w:rPr>
          <w:b/>
        </w:rPr>
        <w:t xml:space="preserve"> </w:t>
      </w:r>
      <w:r w:rsidR="00314DB8" w:rsidRPr="00276926">
        <w:rPr>
          <w:b/>
        </w:rPr>
        <w:t>available for public review, if necessary by redacting law enforcement strategies to allow the public to assess the implementation of the SEP at the district level</w:t>
      </w:r>
      <w:r w:rsidR="00314DB8">
        <w:rPr>
          <w:b/>
        </w:rPr>
        <w:t>.</w:t>
      </w:r>
    </w:p>
    <w:p w14:paraId="0E24928F" w14:textId="7A53F357" w:rsidR="00296DA5" w:rsidRDefault="00020F4D" w:rsidP="00396A3D">
      <w:pPr>
        <w:pStyle w:val="NCDBodyText"/>
      </w:pPr>
      <w:r>
        <w:t>The</w:t>
      </w:r>
      <w:r w:rsidRPr="004B3FF5">
        <w:t xml:space="preserve"> SEP priority to eliminate barriers to recruitment an</w:t>
      </w:r>
      <w:r w:rsidR="004D09FF">
        <w:t xml:space="preserve">d hiring </w:t>
      </w:r>
      <w:r w:rsidR="00314DB8">
        <w:t>aligns</w:t>
      </w:r>
      <w:r w:rsidR="00393B62">
        <w:t>,</w:t>
      </w:r>
      <w:r w:rsidR="004D09FF">
        <w:t xml:space="preserve"> </w:t>
      </w:r>
      <w:r w:rsidR="00314DB8">
        <w:t>to an extent</w:t>
      </w:r>
      <w:r w:rsidR="00393B62">
        <w:t>,</w:t>
      </w:r>
      <w:r w:rsidR="00314DB8">
        <w:t xml:space="preserve"> </w:t>
      </w:r>
      <w:r w:rsidR="004D09FF">
        <w:t xml:space="preserve">with </w:t>
      </w:r>
      <w:r>
        <w:t xml:space="preserve">a </w:t>
      </w:r>
      <w:r w:rsidR="00631E24" w:rsidRPr="00631E24">
        <w:rPr>
          <w:i/>
        </w:rPr>
        <w:t>Promises to Keep</w:t>
      </w:r>
      <w:r>
        <w:t xml:space="preserve"> </w:t>
      </w:r>
      <w:r w:rsidR="00276926" w:rsidRPr="004B3FF5">
        <w:t xml:space="preserve">recommendation </w:t>
      </w:r>
      <w:r w:rsidR="00276926">
        <w:t>t</w:t>
      </w:r>
      <w:r>
        <w:t>hat the</w:t>
      </w:r>
      <w:r w:rsidRPr="004B3FF5">
        <w:t xml:space="preserve"> </w:t>
      </w:r>
      <w:r w:rsidR="00393B62">
        <w:t>EEOC</w:t>
      </w:r>
      <w:r w:rsidRPr="004B3FF5">
        <w:t xml:space="preserve"> prioritize </w:t>
      </w:r>
      <w:r w:rsidR="00314DB8">
        <w:t xml:space="preserve">addressing the problems </w:t>
      </w:r>
      <w:r>
        <w:t>people</w:t>
      </w:r>
      <w:r w:rsidRPr="004B3FF5">
        <w:t xml:space="preserve"> with disabilities </w:t>
      </w:r>
      <w:r w:rsidR="00393B62">
        <w:t xml:space="preserve">face in </w:t>
      </w:r>
      <w:r w:rsidRPr="004B3FF5">
        <w:t>entering the workforce and remov</w:t>
      </w:r>
      <w:r w:rsidR="00314DB8">
        <w:t>ing</w:t>
      </w:r>
      <w:r w:rsidRPr="004B3FF5">
        <w:t xml:space="preserve"> barriers to the application and hiring process.</w:t>
      </w:r>
      <w:r w:rsidR="000332BD">
        <w:rPr>
          <w:rStyle w:val="EndnoteReference"/>
          <w:rFonts w:cs="Arial"/>
        </w:rPr>
        <w:endnoteReference w:id="54"/>
      </w:r>
      <w:r w:rsidR="000332BD">
        <w:t xml:space="preserve"> </w:t>
      </w:r>
      <w:r>
        <w:t xml:space="preserve">Under the SEP, the EEOC </w:t>
      </w:r>
      <w:r w:rsidRPr="004B3FF5">
        <w:t>prioritize</w:t>
      </w:r>
      <w:r>
        <w:t>s</w:t>
      </w:r>
      <w:r w:rsidRPr="004B3FF5">
        <w:t xml:space="preserve"> charges</w:t>
      </w:r>
      <w:r>
        <w:t xml:space="preserve"> of discrimination</w:t>
      </w:r>
      <w:r w:rsidRPr="004B3FF5">
        <w:t xml:space="preserve"> </w:t>
      </w:r>
      <w:r w:rsidR="0093749E">
        <w:t>that</w:t>
      </w:r>
      <w:r>
        <w:t xml:space="preserve"> </w:t>
      </w:r>
      <w:r w:rsidRPr="004B3FF5">
        <w:t xml:space="preserve">suggest an employer uses </w:t>
      </w:r>
      <w:r w:rsidR="006474CA">
        <w:t>“</w:t>
      </w:r>
      <w:r w:rsidRPr="004B3FF5">
        <w:t xml:space="preserve">exclusionary policies and practices, the channeling/steering of individuals into specific jobs due to their status in a particular group, job segregation, restrictive application processes (including online systems that are inaccessible to individuals with disabilities), and screening tools that disproportionately impact workers based on their </w:t>
      </w:r>
      <w:r w:rsidR="00F8728F">
        <w:t>protected</w:t>
      </w:r>
      <w:r w:rsidR="00F8728F" w:rsidRPr="004B3FF5">
        <w:t xml:space="preserve"> </w:t>
      </w:r>
      <w:r w:rsidRPr="004B3FF5">
        <w:t>status (e.g.</w:t>
      </w:r>
      <w:r w:rsidR="0032549F">
        <w:t>,</w:t>
      </w:r>
      <w:r w:rsidRPr="004B3FF5">
        <w:t xml:space="preserve"> . . . medical questionnaires impacting individuals with disabilities).</w:t>
      </w:r>
      <w:r w:rsidR="006474CA">
        <w:t>”</w:t>
      </w:r>
      <w:r w:rsidRPr="004B3FF5">
        <w:rPr>
          <w:vertAlign w:val="superscript"/>
        </w:rPr>
        <w:endnoteReference w:id="55"/>
      </w:r>
      <w:r w:rsidR="00314DB8">
        <w:t xml:space="preserve"> </w:t>
      </w:r>
      <w:r w:rsidR="006D6DC2" w:rsidRPr="006D6DC2">
        <w:rPr>
          <w:b/>
        </w:rPr>
        <w:t xml:space="preserve">NCD recommends the EEOC publicly post data </w:t>
      </w:r>
      <w:r w:rsidR="007A73BA">
        <w:rPr>
          <w:b/>
        </w:rPr>
        <w:t xml:space="preserve">on </w:t>
      </w:r>
      <w:r w:rsidR="006D6DC2" w:rsidRPr="006D6DC2">
        <w:rPr>
          <w:b/>
        </w:rPr>
        <w:t xml:space="preserve">how </w:t>
      </w:r>
      <w:r w:rsidR="00D812E6">
        <w:rPr>
          <w:b/>
        </w:rPr>
        <w:t xml:space="preserve">it has fulfilled </w:t>
      </w:r>
      <w:r w:rsidR="006D6DC2" w:rsidRPr="006D6DC2">
        <w:rPr>
          <w:b/>
        </w:rPr>
        <w:t xml:space="preserve">the </w:t>
      </w:r>
      <w:r w:rsidR="00A8793C">
        <w:rPr>
          <w:b/>
        </w:rPr>
        <w:t>SEP</w:t>
      </w:r>
      <w:r w:rsidR="006D6DC2" w:rsidRPr="006D6DC2">
        <w:rPr>
          <w:b/>
        </w:rPr>
        <w:t xml:space="preserve"> </w:t>
      </w:r>
      <w:r w:rsidR="00393B62">
        <w:rPr>
          <w:b/>
        </w:rPr>
        <w:t>objective to reduce</w:t>
      </w:r>
      <w:r w:rsidR="006D6DC2" w:rsidRPr="006D6DC2">
        <w:rPr>
          <w:b/>
        </w:rPr>
        <w:t xml:space="preserve"> the barriers faced by applicants with disabilities in </w:t>
      </w:r>
      <w:r w:rsidR="00D812E6">
        <w:rPr>
          <w:b/>
        </w:rPr>
        <w:t xml:space="preserve">the </w:t>
      </w:r>
      <w:r w:rsidR="006D6DC2" w:rsidRPr="006D6DC2">
        <w:rPr>
          <w:b/>
        </w:rPr>
        <w:t>application and hiring process.</w:t>
      </w:r>
    </w:p>
    <w:p w14:paraId="13705DAA" w14:textId="051479F1" w:rsidR="00296DA5" w:rsidRPr="00361A80" w:rsidRDefault="00186F2F" w:rsidP="00396A3D">
      <w:pPr>
        <w:pStyle w:val="NCDBodyText"/>
        <w:rPr>
          <w:spacing w:val="-2"/>
        </w:rPr>
      </w:pPr>
      <w:r w:rsidRPr="00361A80">
        <w:rPr>
          <w:spacing w:val="-2"/>
        </w:rPr>
        <w:t xml:space="preserve">The </w:t>
      </w:r>
      <w:r w:rsidR="00D7262D" w:rsidRPr="00361A80">
        <w:rPr>
          <w:spacing w:val="-2"/>
        </w:rPr>
        <w:t>EEOC collect</w:t>
      </w:r>
      <w:r w:rsidR="00020F4D" w:rsidRPr="00361A80">
        <w:rPr>
          <w:spacing w:val="-2"/>
        </w:rPr>
        <w:t>s</w:t>
      </w:r>
      <w:r w:rsidR="00D7262D" w:rsidRPr="00361A80">
        <w:rPr>
          <w:spacing w:val="-2"/>
        </w:rPr>
        <w:t xml:space="preserve"> </w:t>
      </w:r>
      <w:r w:rsidR="00F8728F" w:rsidRPr="00361A80">
        <w:rPr>
          <w:spacing w:val="-2"/>
        </w:rPr>
        <w:t>aggregate</w:t>
      </w:r>
      <w:r w:rsidR="007546AD" w:rsidRPr="00361A80">
        <w:rPr>
          <w:spacing w:val="-2"/>
        </w:rPr>
        <w:t xml:space="preserve"> </w:t>
      </w:r>
      <w:r w:rsidR="003951D5" w:rsidRPr="00361A80">
        <w:rPr>
          <w:spacing w:val="-2"/>
        </w:rPr>
        <w:t xml:space="preserve">enforcement </w:t>
      </w:r>
      <w:r w:rsidR="00D7262D" w:rsidRPr="00361A80">
        <w:rPr>
          <w:spacing w:val="-2"/>
        </w:rPr>
        <w:t xml:space="preserve">data, including </w:t>
      </w:r>
      <w:r w:rsidR="007A73BA" w:rsidRPr="00361A80">
        <w:rPr>
          <w:spacing w:val="-2"/>
        </w:rPr>
        <w:t xml:space="preserve">on </w:t>
      </w:r>
      <w:r w:rsidR="00020F4D" w:rsidRPr="00361A80">
        <w:rPr>
          <w:spacing w:val="-2"/>
        </w:rPr>
        <w:t xml:space="preserve">charges filed by </w:t>
      </w:r>
      <w:r w:rsidR="00393B62" w:rsidRPr="00361A80">
        <w:rPr>
          <w:spacing w:val="-2"/>
        </w:rPr>
        <w:t>people</w:t>
      </w:r>
      <w:r w:rsidR="00D7262D" w:rsidRPr="00361A80">
        <w:rPr>
          <w:spacing w:val="-2"/>
        </w:rPr>
        <w:t xml:space="preserve"> </w:t>
      </w:r>
      <w:r w:rsidR="00020F4D" w:rsidRPr="00361A80">
        <w:rPr>
          <w:spacing w:val="-2"/>
        </w:rPr>
        <w:t xml:space="preserve">with disabilities </w:t>
      </w:r>
      <w:r w:rsidR="007546AD" w:rsidRPr="00361A80">
        <w:rPr>
          <w:spacing w:val="-2"/>
        </w:rPr>
        <w:t xml:space="preserve">and EEOC litigation </w:t>
      </w:r>
      <w:r w:rsidR="00D7262D" w:rsidRPr="00361A80">
        <w:rPr>
          <w:spacing w:val="-2"/>
        </w:rPr>
        <w:t>under the ADA</w:t>
      </w:r>
      <w:r w:rsidR="00393B62" w:rsidRPr="00361A80">
        <w:rPr>
          <w:spacing w:val="-2"/>
        </w:rPr>
        <w:t xml:space="preserve">. In part, </w:t>
      </w:r>
      <w:r w:rsidR="007546AD" w:rsidRPr="00361A80">
        <w:rPr>
          <w:spacing w:val="-2"/>
        </w:rPr>
        <w:t xml:space="preserve">this is consistent </w:t>
      </w:r>
      <w:r w:rsidR="003951D5" w:rsidRPr="00361A80">
        <w:rPr>
          <w:spacing w:val="-2"/>
        </w:rPr>
        <w:t xml:space="preserve">with </w:t>
      </w:r>
      <w:r w:rsidRPr="00361A80">
        <w:rPr>
          <w:spacing w:val="-2"/>
        </w:rPr>
        <w:t>recommendati</w:t>
      </w:r>
      <w:r w:rsidR="003951D5" w:rsidRPr="00361A80">
        <w:rPr>
          <w:spacing w:val="-2"/>
        </w:rPr>
        <w:t xml:space="preserve">ons in </w:t>
      </w:r>
      <w:r w:rsidR="00631E24" w:rsidRPr="00361A80">
        <w:rPr>
          <w:i/>
          <w:spacing w:val="-2"/>
        </w:rPr>
        <w:t>Promises to Keep</w:t>
      </w:r>
      <w:r w:rsidR="007546AD" w:rsidRPr="00361A80">
        <w:rPr>
          <w:spacing w:val="-2"/>
        </w:rPr>
        <w:t xml:space="preserve"> that the EEOC better collect and analyze enforcement data.</w:t>
      </w:r>
      <w:r w:rsidR="00AD1839" w:rsidRPr="00361A80">
        <w:rPr>
          <w:rStyle w:val="EndnoteReference"/>
          <w:rFonts w:cs="Arial"/>
          <w:spacing w:val="-2"/>
        </w:rPr>
        <w:endnoteReference w:id="56"/>
      </w:r>
      <w:r w:rsidR="00AD1839" w:rsidRPr="00361A80">
        <w:rPr>
          <w:spacing w:val="-2"/>
        </w:rPr>
        <w:t xml:space="preserve"> </w:t>
      </w:r>
      <w:r w:rsidRPr="00361A80">
        <w:rPr>
          <w:spacing w:val="-2"/>
        </w:rPr>
        <w:t xml:space="preserve">The EEOC </w:t>
      </w:r>
      <w:r w:rsidR="00314DB8" w:rsidRPr="00361A80">
        <w:rPr>
          <w:spacing w:val="-2"/>
        </w:rPr>
        <w:t xml:space="preserve">tracks ADA </w:t>
      </w:r>
      <w:r w:rsidR="004968E7" w:rsidRPr="00361A80">
        <w:rPr>
          <w:spacing w:val="-2"/>
        </w:rPr>
        <w:t xml:space="preserve">discrimination </w:t>
      </w:r>
      <w:r w:rsidR="00314DB8" w:rsidRPr="00361A80">
        <w:rPr>
          <w:spacing w:val="-2"/>
        </w:rPr>
        <w:t xml:space="preserve">charges using </w:t>
      </w:r>
      <w:r w:rsidRPr="00361A80">
        <w:rPr>
          <w:spacing w:val="-2"/>
        </w:rPr>
        <w:t xml:space="preserve">45 </w:t>
      </w:r>
      <w:r w:rsidR="00D7262D" w:rsidRPr="00361A80">
        <w:rPr>
          <w:spacing w:val="-2"/>
        </w:rPr>
        <w:t xml:space="preserve">disability </w:t>
      </w:r>
      <w:r w:rsidR="00D7262D" w:rsidRPr="00361A80">
        <w:rPr>
          <w:spacing w:val="-2"/>
        </w:rPr>
        <w:lastRenderedPageBreak/>
        <w:t xml:space="preserve">categories, </w:t>
      </w:r>
      <w:r w:rsidR="00314DB8" w:rsidRPr="00361A80">
        <w:rPr>
          <w:spacing w:val="-2"/>
        </w:rPr>
        <w:t>as well as</w:t>
      </w:r>
      <w:r w:rsidR="00D7262D" w:rsidRPr="00361A80">
        <w:rPr>
          <w:spacing w:val="-2"/>
        </w:rPr>
        <w:t xml:space="preserve"> </w:t>
      </w:r>
      <w:r w:rsidR="00314DB8" w:rsidRPr="00361A80">
        <w:rPr>
          <w:spacing w:val="-2"/>
        </w:rPr>
        <w:t xml:space="preserve">ADA </w:t>
      </w:r>
      <w:r w:rsidR="00D7262D" w:rsidRPr="00361A80">
        <w:rPr>
          <w:spacing w:val="-2"/>
        </w:rPr>
        <w:t>charges based upon a person</w:t>
      </w:r>
      <w:r w:rsidR="00230DDE" w:rsidRPr="00361A80">
        <w:rPr>
          <w:spacing w:val="-2"/>
        </w:rPr>
        <w:t xml:space="preserve"> </w:t>
      </w:r>
      <w:r w:rsidR="007320AD" w:rsidRPr="00361A80">
        <w:rPr>
          <w:spacing w:val="-2"/>
        </w:rPr>
        <w:t>alleging</w:t>
      </w:r>
      <w:r w:rsidR="00230DDE" w:rsidRPr="00361A80">
        <w:rPr>
          <w:spacing w:val="-2"/>
        </w:rPr>
        <w:t xml:space="preserve"> to have been </w:t>
      </w:r>
      <w:r w:rsidR="00D7262D" w:rsidRPr="00361A80">
        <w:rPr>
          <w:spacing w:val="-2"/>
        </w:rPr>
        <w:t>regarde</w:t>
      </w:r>
      <w:r w:rsidR="004968E7" w:rsidRPr="00361A80">
        <w:rPr>
          <w:spacing w:val="-2"/>
        </w:rPr>
        <w:t>d as a person with a disability</w:t>
      </w:r>
      <w:r w:rsidR="00D7262D" w:rsidRPr="00361A80">
        <w:rPr>
          <w:spacing w:val="-2"/>
        </w:rPr>
        <w:t xml:space="preserve"> or for being associated with a person with a disability.</w:t>
      </w:r>
    </w:p>
    <w:p w14:paraId="3EFF9C66" w14:textId="77777777" w:rsidR="00296DA5" w:rsidRDefault="00D7262D" w:rsidP="00361A80">
      <w:pPr>
        <w:pStyle w:val="NCDBodyText"/>
        <w:spacing w:after="160"/>
      </w:pPr>
      <w:r w:rsidRPr="004B3FF5">
        <w:t xml:space="preserve">The total number of charges filed under the ADA increased significantly following enactment of </w:t>
      </w:r>
      <w:r w:rsidR="003951D5">
        <w:t xml:space="preserve">the ADAAA. Total </w:t>
      </w:r>
      <w:r w:rsidR="004968E7">
        <w:t xml:space="preserve">ADA </w:t>
      </w:r>
      <w:r w:rsidR="003951D5">
        <w:t>charges filed increased</w:t>
      </w:r>
      <w:r w:rsidR="00C37AE1">
        <w:t xml:space="preserve"> </w:t>
      </w:r>
      <w:r w:rsidRPr="004B3FF5">
        <w:t xml:space="preserve">58 percent </w:t>
      </w:r>
      <w:r w:rsidR="003951D5">
        <w:t xml:space="preserve">when </w:t>
      </w:r>
      <w:r w:rsidRPr="004B3FF5">
        <w:t xml:space="preserve">comparing the period </w:t>
      </w:r>
      <w:r w:rsidR="00676A96">
        <w:t xml:space="preserve">FY </w:t>
      </w:r>
      <w:r w:rsidRPr="004B3FF5">
        <w:t>2000 to 2008</w:t>
      </w:r>
      <w:r w:rsidR="00E52184">
        <w:t>,</w:t>
      </w:r>
      <w:r w:rsidR="004968E7">
        <w:t xml:space="preserve"> before the effective date of the ADAAA, </w:t>
      </w:r>
      <w:r w:rsidR="0033193D">
        <w:t xml:space="preserve">with </w:t>
      </w:r>
      <w:r w:rsidR="00E52184">
        <w:t xml:space="preserve">the period </w:t>
      </w:r>
      <w:r w:rsidR="00676A96">
        <w:t xml:space="preserve">FY </w:t>
      </w:r>
      <w:r w:rsidR="004968E7">
        <w:t>2009 to 2017 after the ADAAA.</w:t>
      </w:r>
      <w:r w:rsidRPr="004B3FF5">
        <w:rPr>
          <w:vertAlign w:val="superscript"/>
        </w:rPr>
        <w:endnoteReference w:id="57"/>
      </w:r>
      <w:r w:rsidRPr="004B3FF5">
        <w:t xml:space="preserve"> </w:t>
      </w:r>
      <w:r w:rsidR="00F96DAA" w:rsidRPr="004B3FF5">
        <w:t>Chart 1 provides a comparison of the total number of ADA charges received and resolved by the EEOC</w:t>
      </w:r>
      <w:r w:rsidR="004968E7">
        <w:t xml:space="preserve"> in the nine years before and </w:t>
      </w:r>
      <w:r w:rsidR="00E52184">
        <w:t xml:space="preserve">the </w:t>
      </w:r>
      <w:r w:rsidR="004968E7">
        <w:t>nine year</w:t>
      </w:r>
      <w:r w:rsidR="00E52184">
        <w:t>s</w:t>
      </w:r>
      <w:r w:rsidR="004968E7">
        <w:t xml:space="preserve"> after the effective date of the </w:t>
      </w:r>
      <w:r w:rsidR="00E52184">
        <w:t>ADAAA</w:t>
      </w:r>
      <w:r w:rsidR="00F96DAA" w:rsidRPr="004B3FF5">
        <w:t>.</w:t>
      </w:r>
    </w:p>
    <w:p w14:paraId="5AF77A33" w14:textId="77777777" w:rsidR="00296DA5" w:rsidRDefault="00A26E97" w:rsidP="00396A3D">
      <w:pPr>
        <w:pStyle w:val="NCDBodyText"/>
      </w:pPr>
      <w:r w:rsidRPr="00A26E97">
        <w:t xml:space="preserve">The average annual number of ADA charges filed increased from </w:t>
      </w:r>
      <w:r w:rsidR="008263B5">
        <w:t>about</w:t>
      </w:r>
      <w:r w:rsidR="008263B5" w:rsidRPr="00A26E97">
        <w:t xml:space="preserve"> </w:t>
      </w:r>
      <w:r w:rsidRPr="00A26E97">
        <w:t xml:space="preserve">16,000 charges a year </w:t>
      </w:r>
      <w:r>
        <w:t>between</w:t>
      </w:r>
      <w:r w:rsidRPr="00A26E97">
        <w:t xml:space="preserve"> </w:t>
      </w:r>
      <w:r w:rsidR="00E52184">
        <w:t xml:space="preserve">FY </w:t>
      </w:r>
      <w:r w:rsidRPr="00A26E97">
        <w:t xml:space="preserve">2000 </w:t>
      </w:r>
      <w:r w:rsidR="004A7BC0">
        <w:t>and</w:t>
      </w:r>
      <w:r w:rsidR="004A7BC0" w:rsidRPr="00A26E97">
        <w:t xml:space="preserve"> </w:t>
      </w:r>
      <w:r w:rsidRPr="00A26E97">
        <w:t>200</w:t>
      </w:r>
      <w:r>
        <w:t xml:space="preserve">8, to 25,700 charges a year between </w:t>
      </w:r>
      <w:r w:rsidR="00105AE9">
        <w:t xml:space="preserve">FY </w:t>
      </w:r>
      <w:r w:rsidRPr="00A26E97">
        <w:t xml:space="preserve">2009 </w:t>
      </w:r>
      <w:r w:rsidR="004A7BC0">
        <w:t>and</w:t>
      </w:r>
      <w:r w:rsidR="004A7BC0" w:rsidRPr="00A26E97">
        <w:t xml:space="preserve"> </w:t>
      </w:r>
      <w:r w:rsidRPr="00A26E97">
        <w:t xml:space="preserve">2017. During </w:t>
      </w:r>
      <w:r w:rsidR="00105AE9">
        <w:t xml:space="preserve">FY </w:t>
      </w:r>
      <w:r w:rsidRPr="00A26E97">
        <w:t xml:space="preserve">2009 to 2017, 85,236 more </w:t>
      </w:r>
      <w:r w:rsidR="00A8793C">
        <w:t xml:space="preserve">ADA </w:t>
      </w:r>
      <w:r w:rsidRPr="00A26E97">
        <w:t xml:space="preserve">charges were filed than for the </w:t>
      </w:r>
      <w:r w:rsidR="00105AE9">
        <w:t xml:space="preserve">FY </w:t>
      </w:r>
      <w:r w:rsidRPr="00A26E97">
        <w:t>2000 to 2008 period. The increase in ADA ch</w:t>
      </w:r>
      <w:r>
        <w:t xml:space="preserve">arges filed with the EEOC </w:t>
      </w:r>
      <w:r w:rsidR="00A8793C">
        <w:t>since</w:t>
      </w:r>
      <w:r>
        <w:t xml:space="preserve"> 2009 </w:t>
      </w:r>
      <w:r w:rsidRPr="00A26E97">
        <w:t xml:space="preserve">exceeded the increase in charges </w:t>
      </w:r>
      <w:r w:rsidR="00A8793C">
        <w:t>for all other protected classes</w:t>
      </w:r>
      <w:r w:rsidRPr="00A26E97">
        <w:t xml:space="preserve"> for which the EEOC </w:t>
      </w:r>
      <w:r w:rsidR="00F8728F">
        <w:t xml:space="preserve">has </w:t>
      </w:r>
      <w:r w:rsidR="00F8728F" w:rsidRPr="00A26E97">
        <w:t>ha</w:t>
      </w:r>
      <w:r w:rsidR="00F8728F">
        <w:t>d</w:t>
      </w:r>
      <w:r w:rsidR="00F8728F" w:rsidRPr="00A26E97">
        <w:t xml:space="preserve"> </w:t>
      </w:r>
      <w:r w:rsidRPr="00A26E97">
        <w:t>authority</w:t>
      </w:r>
      <w:r>
        <w:t xml:space="preserve"> </w:t>
      </w:r>
      <w:r w:rsidR="00F8728F">
        <w:t xml:space="preserve">since 2000 </w:t>
      </w:r>
      <w:r w:rsidRPr="00A26E97">
        <w:t>(age, color, national origin, race, religion, and sex</w:t>
      </w:r>
      <w:r>
        <w:t>)</w:t>
      </w:r>
      <w:r w:rsidRPr="00A26E97">
        <w:t>.</w:t>
      </w:r>
      <w:r w:rsidR="008C2574" w:rsidRPr="004B3FF5">
        <w:rPr>
          <w:vertAlign w:val="superscript"/>
        </w:rPr>
        <w:endnoteReference w:id="58"/>
      </w:r>
      <w:r w:rsidR="007C1E9F">
        <w:t xml:space="preserve"> </w:t>
      </w:r>
      <w:r w:rsidR="00A8793C">
        <w:t>Furthermore, m</w:t>
      </w:r>
      <w:r w:rsidRPr="00A26E97">
        <w:t xml:space="preserve">onetary relief obtained through the EEOC process more than </w:t>
      </w:r>
      <w:r>
        <w:t xml:space="preserve">doubled for ADA charges since </w:t>
      </w:r>
      <w:r w:rsidR="00DB078C">
        <w:t xml:space="preserve">FY </w:t>
      </w:r>
      <w:r>
        <w:t>2</w:t>
      </w:r>
      <w:r w:rsidRPr="00A26E97">
        <w:t xml:space="preserve">009, with an average of $50 million in relief per year from </w:t>
      </w:r>
      <w:r w:rsidR="00DB078C">
        <w:t xml:space="preserve">FY </w:t>
      </w:r>
      <w:r w:rsidRPr="00A26E97">
        <w:t>2</w:t>
      </w:r>
      <w:r w:rsidR="00DB078C">
        <w:t xml:space="preserve">000 to </w:t>
      </w:r>
      <w:r w:rsidRPr="00A26E97">
        <w:t>2008</w:t>
      </w:r>
      <w:r w:rsidR="00F617D3">
        <w:t xml:space="preserve"> and</w:t>
      </w:r>
      <w:r w:rsidRPr="00A26E97">
        <w:t xml:space="preserve"> jumping to an average of $105.6 million per year from </w:t>
      </w:r>
      <w:r w:rsidR="00DB078C">
        <w:t xml:space="preserve">FY </w:t>
      </w:r>
      <w:r w:rsidRPr="00A26E97">
        <w:t>2009 to 2017.</w:t>
      </w:r>
    </w:p>
    <w:p w14:paraId="273F0E2E" w14:textId="77777777" w:rsidR="00296DA5" w:rsidRDefault="00D7262D" w:rsidP="00396A3D">
      <w:pPr>
        <w:pStyle w:val="NCDBodyText"/>
      </w:pPr>
      <w:r w:rsidRPr="004B3FF5">
        <w:t xml:space="preserve">The number of charges filed by </w:t>
      </w:r>
      <w:r w:rsidR="003170A7">
        <w:t>people</w:t>
      </w:r>
      <w:r w:rsidRPr="004B3FF5">
        <w:t xml:space="preserve"> with disabilities in most of the 45 </w:t>
      </w:r>
      <w:r w:rsidR="007B0D88">
        <w:t xml:space="preserve">disability </w:t>
      </w:r>
      <w:r w:rsidRPr="004B3FF5">
        <w:t>categories used by the EEOC</w:t>
      </w:r>
      <w:r w:rsidR="00A26E97">
        <w:t xml:space="preserve"> also</w:t>
      </w:r>
      <w:r w:rsidRPr="004B3FF5">
        <w:t xml:space="preserve"> increased after the ADAAA.</w:t>
      </w:r>
      <w:r w:rsidR="00276926">
        <w:rPr>
          <w:rStyle w:val="EndnoteReference"/>
          <w:rFonts w:cs="Arial"/>
        </w:rPr>
        <w:endnoteReference w:id="59"/>
      </w:r>
      <w:r w:rsidRPr="004B3FF5">
        <w:t xml:space="preserve"> Charges from </w:t>
      </w:r>
      <w:r w:rsidR="00221D77">
        <w:t xml:space="preserve">people </w:t>
      </w:r>
      <w:r w:rsidRPr="004B3FF5">
        <w:t>with certain disabilities</w:t>
      </w:r>
      <w:r w:rsidR="00173755">
        <w:t>—</w:t>
      </w:r>
      <w:r w:rsidRPr="004B3FF5">
        <w:t>notably</w:t>
      </w:r>
      <w:r w:rsidR="00173755">
        <w:t>,</w:t>
      </w:r>
      <w:r w:rsidRPr="004B3FF5">
        <w:t xml:space="preserve"> anxiety disorders, autism, intellectual disabilities, PTSD, and gastrointestinal </w:t>
      </w:r>
      <w:r w:rsidR="00173755" w:rsidRPr="004B3FF5">
        <w:t>impairments</w:t>
      </w:r>
      <w:r w:rsidR="00173755">
        <w:t>—</w:t>
      </w:r>
      <w:r w:rsidRPr="004B3FF5">
        <w:t>increased significantly after</w:t>
      </w:r>
      <w:r w:rsidR="00DB078C">
        <w:t xml:space="preserve"> </w:t>
      </w:r>
      <w:r w:rsidR="00A8793C">
        <w:t>the Amendments Act</w:t>
      </w:r>
      <w:r w:rsidRPr="004B3FF5">
        <w:t xml:space="preserve">. Charges filed based on PTSD jumped by 557 percent between the </w:t>
      </w:r>
      <w:r w:rsidR="00151385" w:rsidRPr="004B3FF5">
        <w:t>pre- and</w:t>
      </w:r>
      <w:r w:rsidRPr="004B3FF5">
        <w:t xml:space="preserve"> post-ADAAA periods, with charges based on autism increasing by 497 percent and charges based on anxiety disorders by 224 percent.</w:t>
      </w:r>
      <w:r w:rsidRPr="004B3FF5">
        <w:rPr>
          <w:vertAlign w:val="superscript"/>
        </w:rPr>
        <w:endnoteReference w:id="60"/>
      </w:r>
      <w:r w:rsidRPr="004B3FF5">
        <w:t xml:space="preserve"> The cause for these increases is not addressed in this research</w:t>
      </w:r>
      <w:r w:rsidR="009D2008">
        <w:t>;</w:t>
      </w:r>
      <w:r w:rsidR="009D2008" w:rsidRPr="004B3FF5">
        <w:t xml:space="preserve"> </w:t>
      </w:r>
      <w:r w:rsidRPr="004B3FF5">
        <w:t xml:space="preserve">however, the impact of U.S. military engagement in Iraq and Afghanistan and greater public awareness of PTSD may account for the increase </w:t>
      </w:r>
      <w:r w:rsidR="000D5BC9">
        <w:t>in PTSD</w:t>
      </w:r>
      <w:r w:rsidRPr="004B3FF5">
        <w:t xml:space="preserve"> charges. As noted, the EEOC has issued guidance documents on </w:t>
      </w:r>
      <w:r w:rsidR="00EE5A4C" w:rsidRPr="004B3FF5">
        <w:t>disability</w:t>
      </w:r>
      <w:r w:rsidR="00EE5A4C">
        <w:t>-</w:t>
      </w:r>
      <w:r w:rsidRPr="004B3FF5">
        <w:t>specific topics</w:t>
      </w:r>
      <w:r w:rsidR="00686BA2">
        <w:t xml:space="preserve"> since 2000</w:t>
      </w:r>
      <w:r w:rsidRPr="004B3FF5">
        <w:t>, including on PTSD.</w:t>
      </w:r>
    </w:p>
    <w:p w14:paraId="2BE49EBA" w14:textId="77777777" w:rsidR="00296DA5" w:rsidRDefault="00E52184" w:rsidP="00396A3D">
      <w:pPr>
        <w:pStyle w:val="NCDBodyText"/>
        <w:rPr>
          <w:b/>
        </w:rPr>
      </w:pPr>
      <w:r>
        <w:lastRenderedPageBreak/>
        <w:t>While the number of ADA</w:t>
      </w:r>
      <w:r w:rsidR="00D7262D" w:rsidRPr="00276926">
        <w:t xml:space="preserve"> charges increased after the ADAAA, the outcomes of these charges </w:t>
      </w:r>
      <w:r w:rsidR="00E009A5">
        <w:t xml:space="preserve">under the EEOC administrative process </w:t>
      </w:r>
      <w:r w:rsidR="00ED0B09" w:rsidRPr="00276926">
        <w:t xml:space="preserve">for people with disabilities </w:t>
      </w:r>
      <w:r w:rsidR="00E009A5">
        <w:t>has</w:t>
      </w:r>
      <w:r w:rsidR="00E009A5" w:rsidRPr="00276926">
        <w:t xml:space="preserve"> </w:t>
      </w:r>
      <w:r w:rsidR="00276926" w:rsidRPr="00276926">
        <w:t xml:space="preserve">not </w:t>
      </w:r>
      <w:r w:rsidR="00E009A5">
        <w:t xml:space="preserve">been </w:t>
      </w:r>
      <w:r w:rsidR="00276926" w:rsidRPr="00276926">
        <w:t>as positive</w:t>
      </w:r>
      <w:r w:rsidR="00D7262D" w:rsidRPr="00276926">
        <w:t>. The p</w:t>
      </w:r>
      <w:r>
        <w:t>ercentage of merit resolutions</w:t>
      </w:r>
      <w:r w:rsidR="0093749E">
        <w:t>—</w:t>
      </w:r>
      <w:r w:rsidR="00D7262D" w:rsidRPr="00276926">
        <w:t xml:space="preserve">which the EEOC defines as </w:t>
      </w:r>
      <w:r w:rsidR="006474CA">
        <w:t>“</w:t>
      </w:r>
      <w:r w:rsidR="00D7262D" w:rsidRPr="00276926">
        <w:t>charges with outcomes favorable to charging parties and/or charg</w:t>
      </w:r>
      <w:r w:rsidR="007A73BA">
        <w:t>es with meritorious allegations</w:t>
      </w:r>
      <w:r w:rsidR="006474CA">
        <w:t>”</w:t>
      </w:r>
      <w:r w:rsidR="00AD1839">
        <w:rPr>
          <w:rStyle w:val="EndnoteReference"/>
          <w:rFonts w:cs="Arial"/>
        </w:rPr>
        <w:endnoteReference w:id="61"/>
      </w:r>
      <w:r w:rsidR="0093749E">
        <w:t>—</w:t>
      </w:r>
      <w:r w:rsidR="00D7262D" w:rsidRPr="00276926">
        <w:t xml:space="preserve">declined from 23.4 percent of all charges between </w:t>
      </w:r>
      <w:r w:rsidR="007F1F67">
        <w:t xml:space="preserve">FY </w:t>
      </w:r>
      <w:r w:rsidR="00D7262D" w:rsidRPr="00276926">
        <w:t xml:space="preserve">2000 and 2008, to 20.6 percent from </w:t>
      </w:r>
      <w:r w:rsidR="007F1F67">
        <w:t xml:space="preserve">FY </w:t>
      </w:r>
      <w:r w:rsidR="00D7262D" w:rsidRPr="00276926">
        <w:t>2009 to 2017. Findings of cause, in which the EEOC determines an ADA violation occurred following an investigation, also declined</w:t>
      </w:r>
      <w:r w:rsidR="00EE5A4C">
        <w:t>,</w:t>
      </w:r>
      <w:r w:rsidR="00D7262D" w:rsidRPr="00276926">
        <w:t xml:space="preserve"> from 7.6 percent in the nine years before the Amendments Act to 4.3 percent in the nine </w:t>
      </w:r>
      <w:r w:rsidR="00151385" w:rsidRPr="00276926">
        <w:t>years</w:t>
      </w:r>
      <w:r w:rsidR="00D7262D" w:rsidRPr="00276926">
        <w:t xml:space="preserve"> after the ADAAA. It is notable that</w:t>
      </w:r>
      <w:r w:rsidR="00ED0B09" w:rsidRPr="00276926">
        <w:t xml:space="preserve"> charges under the six other protected classes </w:t>
      </w:r>
      <w:r w:rsidR="00F96DAA" w:rsidRPr="00276926">
        <w:t>covered by the EEOC</w:t>
      </w:r>
      <w:r w:rsidR="00D7262D" w:rsidRPr="00276926">
        <w:t xml:space="preserve"> </w:t>
      </w:r>
      <w:r w:rsidR="0018439A">
        <w:t xml:space="preserve">also </w:t>
      </w:r>
      <w:r w:rsidR="00D7262D" w:rsidRPr="00276926">
        <w:t xml:space="preserve">experienced a decline in </w:t>
      </w:r>
      <w:r w:rsidR="00E009A5">
        <w:t xml:space="preserve">EEOC </w:t>
      </w:r>
      <w:r w:rsidR="00D7262D" w:rsidRPr="00276926">
        <w:t xml:space="preserve">merit and cause </w:t>
      </w:r>
      <w:r w:rsidR="00ED0B09" w:rsidRPr="00276926">
        <w:t xml:space="preserve">resolutions </w:t>
      </w:r>
      <w:r w:rsidR="00686BA2" w:rsidRPr="00276926">
        <w:t xml:space="preserve">in the </w:t>
      </w:r>
      <w:r w:rsidR="00262365" w:rsidRPr="00276926">
        <w:t>post</w:t>
      </w:r>
      <w:r w:rsidR="00262365">
        <w:t>-</w:t>
      </w:r>
      <w:r w:rsidR="00686BA2" w:rsidRPr="00276926">
        <w:t>ADAAA</w:t>
      </w:r>
      <w:r w:rsidR="00262365">
        <w:t xml:space="preserve"> </w:t>
      </w:r>
      <w:r w:rsidR="00686BA2" w:rsidRPr="00276926">
        <w:t>period</w:t>
      </w:r>
      <w:r w:rsidR="00D7262D" w:rsidRPr="00276926">
        <w:t xml:space="preserve">. </w:t>
      </w:r>
      <w:r w:rsidR="00276926" w:rsidRPr="00B140AF">
        <w:rPr>
          <w:b/>
        </w:rPr>
        <w:t xml:space="preserve">NCD recommends the EEOC publish a detailed report of the impact of the ADAAA on the number, disability type, discrimination alleged, and final resolution of ADA charges since passage of the </w:t>
      </w:r>
      <w:r w:rsidR="00D812E6">
        <w:rPr>
          <w:b/>
        </w:rPr>
        <w:t>ADAAA</w:t>
      </w:r>
      <w:r w:rsidR="00276926" w:rsidRPr="00B140AF">
        <w:rPr>
          <w:b/>
        </w:rPr>
        <w:t>.</w:t>
      </w:r>
    </w:p>
    <w:p w14:paraId="25F10BE7" w14:textId="77777777" w:rsidR="00296DA5" w:rsidRDefault="00A26E97" w:rsidP="00396A3D">
      <w:pPr>
        <w:pStyle w:val="NCDBodyText"/>
      </w:pPr>
      <w:r>
        <w:t>The number of c</w:t>
      </w:r>
      <w:r w:rsidR="00487F15" w:rsidRPr="00487F15">
        <w:t>h</w:t>
      </w:r>
      <w:r>
        <w:t>arges filed under GINA are the lowest</w:t>
      </w:r>
      <w:r w:rsidR="00F96DAA">
        <w:t xml:space="preserve"> </w:t>
      </w:r>
      <w:r w:rsidR="00E52184">
        <w:t>of</w:t>
      </w:r>
      <w:r>
        <w:t xml:space="preserve"> all the protected classes for which the </w:t>
      </w:r>
      <w:r w:rsidR="00E52184">
        <w:t>EEOC</w:t>
      </w:r>
      <w:r>
        <w:t xml:space="preserve"> has authority.</w:t>
      </w:r>
      <w:r w:rsidR="00C53F62">
        <w:rPr>
          <w:rStyle w:val="EndnoteReference"/>
          <w:rFonts w:cs="Arial"/>
        </w:rPr>
        <w:endnoteReference w:id="62"/>
      </w:r>
      <w:r w:rsidR="00F96DAA" w:rsidRPr="00C808FC">
        <w:rPr>
          <w:vertAlign w:val="superscript"/>
        </w:rPr>
        <w:t xml:space="preserve"> </w:t>
      </w:r>
      <w:r w:rsidR="00487F15" w:rsidRPr="00487F15">
        <w:t xml:space="preserve">Between </w:t>
      </w:r>
      <w:r w:rsidR="00DB078C">
        <w:t xml:space="preserve">FY </w:t>
      </w:r>
      <w:r w:rsidR="00E52184">
        <w:t>2010</w:t>
      </w:r>
      <w:r w:rsidR="00487F15" w:rsidRPr="00487F15">
        <w:t xml:space="preserve"> and 2017, only 2,093 charges were filed under the statute, representing </w:t>
      </w:r>
      <w:r w:rsidR="007A73BA">
        <w:t>a</w:t>
      </w:r>
      <w:r w:rsidR="00487F15" w:rsidRPr="00487F15">
        <w:t>n average</w:t>
      </w:r>
      <w:r w:rsidR="007F1F67">
        <w:t xml:space="preserve"> of</w:t>
      </w:r>
      <w:r w:rsidR="00487F15" w:rsidRPr="00487F15">
        <w:t xml:space="preserve"> 262 charges a year. By comparison, 23,351 discrimination charges based on color and 260,802 charges based on race were filed during the same period. Merit resolution of GINA cases </w:t>
      </w:r>
      <w:r w:rsidR="00E009A5">
        <w:t>were</w:t>
      </w:r>
      <w:r w:rsidR="00E009A5" w:rsidRPr="00487F15">
        <w:t xml:space="preserve"> </w:t>
      </w:r>
      <w:r w:rsidR="00487F15" w:rsidRPr="00487F15">
        <w:t xml:space="preserve">similar to the ADA after the Amendments Act, with just short of 20 percent of GINA cases resulting in a merit resolution. As a percentage, more GINA charges were closed administratively than under the ADA between FY 2010 and FY 2017, 21.5 percent under GINA </w:t>
      </w:r>
      <w:r w:rsidR="007F1F67">
        <w:t>on average</w:t>
      </w:r>
      <w:r w:rsidR="007F1F67" w:rsidRPr="00487F15">
        <w:t xml:space="preserve"> </w:t>
      </w:r>
      <w:r w:rsidR="00487F15" w:rsidRPr="00487F15">
        <w:t xml:space="preserve">compared </w:t>
      </w:r>
      <w:r w:rsidR="002226EA">
        <w:t>with</w:t>
      </w:r>
      <w:r w:rsidR="002226EA" w:rsidRPr="00487F15">
        <w:t xml:space="preserve"> </w:t>
      </w:r>
      <w:r w:rsidR="00487F15" w:rsidRPr="00487F15">
        <w:t>just over 16 per</w:t>
      </w:r>
      <w:r w:rsidR="00221D77">
        <w:t>cent under the ADA.</w:t>
      </w:r>
      <w:r w:rsidR="00BB16B0">
        <w:t xml:space="preserve"> </w:t>
      </w:r>
      <w:r w:rsidR="00487F15" w:rsidRPr="00487F15">
        <w:t xml:space="preserve">Given the few GINA charges filed, monetary benefits totaled $6.28 million through FY 2017, or about $0.79 million </w:t>
      </w:r>
      <w:r w:rsidR="001A3135">
        <w:t>in GINA monetary damages on average per</w:t>
      </w:r>
      <w:r w:rsidR="00487F15" w:rsidRPr="00487F15">
        <w:t xml:space="preserve"> year. The next lowest total monetary benefits for discrimination was religious discrimination with $73.30 million followed by discrimination based on color with a total of $85.3 million in benefit</w:t>
      </w:r>
      <w:r w:rsidR="007F1F67">
        <w:t>s for persons</w:t>
      </w:r>
      <w:r w:rsidR="00E52184">
        <w:t xml:space="preserve"> filing an EEOC charge</w:t>
      </w:r>
      <w:r w:rsidR="00487F15" w:rsidRPr="00487F15">
        <w:t>.</w:t>
      </w:r>
    </w:p>
    <w:p w14:paraId="7AE8C85A" w14:textId="3AFC135C" w:rsidR="00296DA5" w:rsidRDefault="00631E24" w:rsidP="00396A3D">
      <w:pPr>
        <w:pStyle w:val="NCDBodyText"/>
        <w:rPr>
          <w:b/>
        </w:rPr>
      </w:pPr>
      <w:r w:rsidRPr="00631E24">
        <w:rPr>
          <w:i/>
        </w:rPr>
        <w:t>Promises to Keep</w:t>
      </w:r>
      <w:r w:rsidR="007F1F67">
        <w:t xml:space="preserve"> discussed the EEOC</w:t>
      </w:r>
      <w:r w:rsidR="006474CA">
        <w:t>’</w:t>
      </w:r>
      <w:r w:rsidR="007F1F67">
        <w:t xml:space="preserve">s </w:t>
      </w:r>
      <w:r w:rsidR="00E52184">
        <w:t xml:space="preserve">use of </w:t>
      </w:r>
      <w:r w:rsidR="003D00C5">
        <w:t>mediation and</w:t>
      </w:r>
      <w:r w:rsidR="00E52184">
        <w:t xml:space="preserve"> </w:t>
      </w:r>
      <w:r w:rsidR="007F1F67">
        <w:t xml:space="preserve">encouraged the Commission to adopt guidelines </w:t>
      </w:r>
      <w:proofErr w:type="gramStart"/>
      <w:r w:rsidR="007F1F67">
        <w:t xml:space="preserve">similar </w:t>
      </w:r>
      <w:r w:rsidR="00E52184">
        <w:t>to</w:t>
      </w:r>
      <w:proofErr w:type="gramEnd"/>
      <w:r w:rsidR="00E52184">
        <w:t xml:space="preserve"> the ADA Mediation Guidelines</w:t>
      </w:r>
      <w:r w:rsidR="007F1F67">
        <w:t xml:space="preserve"> and to carefully evaluate the mediation program</w:t>
      </w:r>
      <w:r w:rsidR="00570F1D" w:rsidRPr="004B3FF5">
        <w:t>.</w:t>
      </w:r>
      <w:r w:rsidR="00C53F62">
        <w:rPr>
          <w:rStyle w:val="EndnoteReference"/>
          <w:rFonts w:cs="Arial"/>
        </w:rPr>
        <w:endnoteReference w:id="63"/>
      </w:r>
      <w:r w:rsidR="008C2574">
        <w:t xml:space="preserve"> The EEOC indicated </w:t>
      </w:r>
      <w:r w:rsidR="00795DCE">
        <w:t xml:space="preserve">that </w:t>
      </w:r>
      <w:r w:rsidR="00CD3F35">
        <w:t xml:space="preserve">it </w:t>
      </w:r>
      <w:r w:rsidR="008C2574">
        <w:t>use</w:t>
      </w:r>
      <w:r w:rsidR="00A8793C">
        <w:t>s</w:t>
      </w:r>
      <w:r w:rsidR="008C2574">
        <w:t xml:space="preserve"> the ADA </w:t>
      </w:r>
      <w:r w:rsidR="008C2574">
        <w:lastRenderedPageBreak/>
        <w:t>Mediation Guidelines.</w:t>
      </w:r>
      <w:r w:rsidR="00E52184">
        <w:rPr>
          <w:b/>
        </w:rPr>
        <w:t xml:space="preserve"> </w:t>
      </w:r>
      <w:r w:rsidR="00E52184">
        <w:t>The Commission evaluates</w:t>
      </w:r>
      <w:r w:rsidR="00570F1D" w:rsidRPr="004B3FF5">
        <w:t xml:space="preserve"> each charge</w:t>
      </w:r>
      <w:r w:rsidR="00ED0B09">
        <w:t xml:space="preserve"> of discrimination</w:t>
      </w:r>
      <w:r w:rsidR="00570F1D" w:rsidRPr="004B3FF5">
        <w:t xml:space="preserve"> to see </w:t>
      </w:r>
      <w:r w:rsidR="00D6014E">
        <w:t>whether</w:t>
      </w:r>
      <w:r w:rsidR="00D6014E" w:rsidRPr="004B3FF5">
        <w:t xml:space="preserve"> </w:t>
      </w:r>
      <w:r w:rsidR="00570F1D" w:rsidRPr="004B3FF5">
        <w:t>i</w:t>
      </w:r>
      <w:r w:rsidR="00AD1839">
        <w:t xml:space="preserve">t is appropriate for mediation. </w:t>
      </w:r>
      <w:r w:rsidR="00570F1D" w:rsidRPr="004B3FF5">
        <w:t>Charges determine</w:t>
      </w:r>
      <w:r w:rsidR="008C2574">
        <w:t>d</w:t>
      </w:r>
      <w:r w:rsidR="00570F1D" w:rsidRPr="004B3FF5">
        <w:t xml:space="preserve"> </w:t>
      </w:r>
      <w:r w:rsidR="008C2574">
        <w:t xml:space="preserve">to be </w:t>
      </w:r>
      <w:r w:rsidR="00570F1D" w:rsidRPr="004B3FF5">
        <w:t xml:space="preserve">without merit are not eligible for mediation. In most instances, charges </w:t>
      </w:r>
      <w:r w:rsidR="0093749E">
        <w:t>that</w:t>
      </w:r>
      <w:r w:rsidR="00570F1D" w:rsidRPr="004B3FF5">
        <w:t xml:space="preserve"> require additional investigation on the merits are eligible </w:t>
      </w:r>
      <w:r w:rsidR="00ED0B09">
        <w:t>for mediation, but</w:t>
      </w:r>
      <w:r w:rsidR="00ED0B09" w:rsidRPr="004B3FF5">
        <w:t xml:space="preserve"> </w:t>
      </w:r>
      <w:r w:rsidR="00570F1D" w:rsidRPr="004B3FF5">
        <w:t>the EEOC will not refer to mediation cases that it may investigat</w:t>
      </w:r>
      <w:r w:rsidR="00C37AE1">
        <w:t>e as</w:t>
      </w:r>
      <w:r w:rsidR="00570F1D" w:rsidRPr="004B3FF5">
        <w:t xml:space="preserve"> systemic cases or for possibl</w:t>
      </w:r>
      <w:r w:rsidR="009E1E98">
        <w:t>e litigation</w:t>
      </w:r>
      <w:r w:rsidR="00C22CAE">
        <w:t>.</w:t>
      </w:r>
      <w:r w:rsidR="00C22CAE">
        <w:rPr>
          <w:rStyle w:val="EndnoteReference"/>
          <w:rFonts w:cs="Arial"/>
        </w:rPr>
        <w:endnoteReference w:id="64"/>
      </w:r>
      <w:r w:rsidR="003D79CC">
        <w:t xml:space="preserve"> A c</w:t>
      </w:r>
      <w:r w:rsidR="003D79CC" w:rsidRPr="004B3FF5">
        <w:t>harging part</w:t>
      </w:r>
      <w:r w:rsidR="003D79CC">
        <w:t>y</w:t>
      </w:r>
      <w:r w:rsidR="003D79CC" w:rsidRPr="004B3FF5">
        <w:t xml:space="preserve"> </w:t>
      </w:r>
      <w:r w:rsidR="003D79CC">
        <w:t>may</w:t>
      </w:r>
      <w:r w:rsidR="003D79CC" w:rsidRPr="004B3FF5">
        <w:t xml:space="preserve"> be offered mediation before </w:t>
      </w:r>
      <w:r w:rsidR="003D79CC">
        <w:t xml:space="preserve">the EEOC begins </w:t>
      </w:r>
      <w:r w:rsidR="003D79CC" w:rsidRPr="004B3FF5">
        <w:t>any investigation</w:t>
      </w:r>
      <w:r w:rsidR="00E52184">
        <w:t>, and e</w:t>
      </w:r>
      <w:r w:rsidR="003D79CC">
        <w:t xml:space="preserve">ither party may </w:t>
      </w:r>
      <w:r w:rsidR="009E1E98">
        <w:t xml:space="preserve">request mediation </w:t>
      </w:r>
      <w:r w:rsidR="003D79CC">
        <w:t>even without an offer from the EEOC.</w:t>
      </w:r>
      <w:r w:rsidR="00D0076B">
        <w:rPr>
          <w:rStyle w:val="EndnoteReference"/>
          <w:rFonts w:cs="Arial"/>
        </w:rPr>
        <w:endnoteReference w:id="65"/>
      </w:r>
      <w:r w:rsidR="003D79CC">
        <w:t xml:space="preserve"> </w:t>
      </w:r>
      <w:r w:rsidR="00570F1D" w:rsidRPr="004B3FF5">
        <w:t xml:space="preserve">If the charging party is interested in mediation, the EEOC </w:t>
      </w:r>
      <w:r w:rsidR="00ED0B09">
        <w:t xml:space="preserve">offers mediation to </w:t>
      </w:r>
      <w:r w:rsidR="007546AD">
        <w:t>the employer</w:t>
      </w:r>
      <w:r w:rsidR="00570F1D" w:rsidRPr="004B3FF5">
        <w:t xml:space="preserve">. </w:t>
      </w:r>
      <w:r w:rsidR="00D37D5C">
        <w:t>Because</w:t>
      </w:r>
      <w:r w:rsidR="00D37D5C" w:rsidRPr="004B3FF5">
        <w:t xml:space="preserve"> </w:t>
      </w:r>
      <w:r w:rsidR="00570F1D" w:rsidRPr="004B3FF5">
        <w:t>mediation is voluntary, a significant number of employers decline to mediate. If mediation is unsuccess</w:t>
      </w:r>
      <w:r w:rsidR="007546AD">
        <w:t>ful, the charge is investigated</w:t>
      </w:r>
      <w:r w:rsidR="00570F1D" w:rsidRPr="004B3FF5">
        <w:t xml:space="preserve">. </w:t>
      </w:r>
      <w:r w:rsidR="0018439A">
        <w:t xml:space="preserve">The Commission uses </w:t>
      </w:r>
      <w:r w:rsidR="00F26B2E">
        <w:t xml:space="preserve">both </w:t>
      </w:r>
      <w:r w:rsidR="00625850">
        <w:t>internal</w:t>
      </w:r>
      <w:r w:rsidR="00F26B2E">
        <w:t xml:space="preserve"> and</w:t>
      </w:r>
      <w:r w:rsidR="00625850">
        <w:t xml:space="preserve"> </w:t>
      </w:r>
      <w:r w:rsidR="0018439A">
        <w:t>external unpaid and paid contract mediators.</w:t>
      </w:r>
      <w:r w:rsidR="0018439A">
        <w:rPr>
          <w:rStyle w:val="EndnoteReference"/>
          <w:rFonts w:cs="Arial"/>
        </w:rPr>
        <w:endnoteReference w:id="66"/>
      </w:r>
      <w:r w:rsidR="0018439A">
        <w:t xml:space="preserve"> External mediators are more likely to be used in rural areas. </w:t>
      </w:r>
      <w:r w:rsidR="00ED0B09" w:rsidRPr="00ED0B09">
        <w:t xml:space="preserve">The EEOC </w:t>
      </w:r>
      <w:r w:rsidR="00A027EB">
        <w:t>reports</w:t>
      </w:r>
      <w:r w:rsidR="00ED0B09" w:rsidRPr="00ED0B09">
        <w:t xml:space="preserve"> a high percentage of satisfaction </w:t>
      </w:r>
      <w:r w:rsidR="007F1F67">
        <w:t>with the EEOC mediation process</w:t>
      </w:r>
      <w:r w:rsidR="00ED0B09" w:rsidRPr="00ED0B09">
        <w:t>.</w:t>
      </w:r>
    </w:p>
    <w:p w14:paraId="777813BA" w14:textId="77777777" w:rsidR="00296DA5" w:rsidRDefault="00725130" w:rsidP="00396A3D">
      <w:pPr>
        <w:pStyle w:val="NCDBodyText"/>
      </w:pPr>
      <w:r>
        <w:t>As discussed in</w:t>
      </w:r>
      <w:r w:rsidR="00A027EB">
        <w:t xml:space="preserve"> A</w:t>
      </w:r>
      <w:r>
        <w:t>ppendix</w:t>
      </w:r>
      <w:r w:rsidR="00A027EB">
        <w:t xml:space="preserve"> C</w:t>
      </w:r>
      <w:r>
        <w:t>, researchers</w:t>
      </w:r>
      <w:r w:rsidR="008C2574">
        <w:t xml:space="preserve"> for this report</w:t>
      </w:r>
      <w:r>
        <w:t xml:space="preserve"> conducted three focus groups of </w:t>
      </w:r>
      <w:r w:rsidR="00E52184">
        <w:t xml:space="preserve">people with disabilities in which </w:t>
      </w:r>
      <w:r>
        <w:t>12 participants had interacted with the EEOC.</w:t>
      </w:r>
      <w:r w:rsidR="00F02D23">
        <w:t xml:space="preserve"> </w:t>
      </w:r>
      <w:r w:rsidR="00570F1D" w:rsidRPr="004B3FF5">
        <w:t xml:space="preserve">The focus group participants, </w:t>
      </w:r>
      <w:r w:rsidR="00941F4A">
        <w:t>though limited</w:t>
      </w:r>
      <w:r w:rsidR="00570F1D" w:rsidRPr="004B3FF5">
        <w:t xml:space="preserve"> in number, included several who agreed to </w:t>
      </w:r>
      <w:r>
        <w:t xml:space="preserve">EEOC </w:t>
      </w:r>
      <w:r w:rsidR="003D00C5">
        <w:t>mediation,</w:t>
      </w:r>
      <w:r w:rsidR="00E52184">
        <w:t xml:space="preserve"> but </w:t>
      </w:r>
      <w:r w:rsidR="00037AD9">
        <w:t>their</w:t>
      </w:r>
      <w:r w:rsidR="00E52184">
        <w:t xml:space="preserve"> employer</w:t>
      </w:r>
      <w:r w:rsidR="00037AD9">
        <w:t>s did not</w:t>
      </w:r>
      <w:r w:rsidR="00570F1D" w:rsidRPr="004B3FF5">
        <w:t xml:space="preserve">. </w:t>
      </w:r>
      <w:r w:rsidR="003D79CC">
        <w:t>Based on interview</w:t>
      </w:r>
      <w:r w:rsidR="00E52184">
        <w:t>s</w:t>
      </w:r>
      <w:r w:rsidR="003D79CC">
        <w:t xml:space="preserve"> </w:t>
      </w:r>
      <w:r w:rsidR="00E52184">
        <w:t xml:space="preserve">with </w:t>
      </w:r>
      <w:r w:rsidR="003D79CC">
        <w:t xml:space="preserve">three </w:t>
      </w:r>
      <w:r w:rsidR="00A01D1B" w:rsidRPr="004B3FF5">
        <w:t>EEOC District Directors</w:t>
      </w:r>
      <w:r w:rsidR="003D79CC">
        <w:t xml:space="preserve">, there appears </w:t>
      </w:r>
      <w:r w:rsidR="00E009A5">
        <w:t xml:space="preserve">to be </w:t>
      </w:r>
      <w:r w:rsidR="00A01D1B" w:rsidRPr="004B3FF5">
        <w:t>significant variation in the willingness of employers to take part in mediation</w:t>
      </w:r>
      <w:r w:rsidR="00BB16B0">
        <w:t xml:space="preserve"> across the districts.</w:t>
      </w:r>
    </w:p>
    <w:p w14:paraId="581339BA" w14:textId="4F5B2A71" w:rsidR="00256596" w:rsidRPr="00D35D4B" w:rsidRDefault="00256596" w:rsidP="00D820F9">
      <w:pPr>
        <w:pStyle w:val="Heading3"/>
      </w:pPr>
      <w:bookmarkStart w:id="24" w:name="_Toc526182078"/>
      <w:r w:rsidRPr="00D35D4B">
        <w:t>Competent and Credible Investigative Process</w:t>
      </w:r>
      <w:r w:rsidR="00030D8D" w:rsidRPr="00D35D4B">
        <w:t xml:space="preserve"> and Enforcement Action</w:t>
      </w:r>
      <w:bookmarkEnd w:id="24"/>
    </w:p>
    <w:p w14:paraId="2BB03CFD" w14:textId="2967FC71" w:rsidR="00296DA5" w:rsidRDefault="00256596" w:rsidP="00396A3D">
      <w:pPr>
        <w:pStyle w:val="NCDBodyText"/>
      </w:pPr>
      <w:r w:rsidRPr="004B3FF5">
        <w:t xml:space="preserve">In addition to the </w:t>
      </w:r>
      <w:r>
        <w:t>S</w:t>
      </w:r>
      <w:r w:rsidRPr="004B3FF5">
        <w:t xml:space="preserve">trategic </w:t>
      </w:r>
      <w:r>
        <w:t>P</w:t>
      </w:r>
      <w:r w:rsidRPr="004B3FF5">
        <w:t>lan and</w:t>
      </w:r>
      <w:r w:rsidR="00A8793C">
        <w:t xml:space="preserve"> the SEP</w:t>
      </w:r>
      <w:r w:rsidRPr="004B3FF5">
        <w:t xml:space="preserve">, since 1995 the EEOC has used the </w:t>
      </w:r>
      <w:r w:rsidRPr="00B0570D">
        <w:t xml:space="preserve">Priority Charge Handling Procedures (PCHP) </w:t>
      </w:r>
      <w:r w:rsidRPr="004B3FF5">
        <w:t>to prioritize the Commission</w:t>
      </w:r>
      <w:r w:rsidR="006474CA">
        <w:t>’</w:t>
      </w:r>
      <w:r w:rsidRPr="004B3FF5">
        <w:t>s investigative efforts.</w:t>
      </w:r>
      <w:r w:rsidRPr="004B3FF5">
        <w:rPr>
          <w:vertAlign w:val="superscript"/>
        </w:rPr>
        <w:endnoteReference w:id="67"/>
      </w:r>
      <w:r w:rsidRPr="004B3FF5">
        <w:t xml:space="preserve"> Under the PCHP</w:t>
      </w:r>
      <w:r>
        <w:t xml:space="preserve">, </w:t>
      </w:r>
      <w:r w:rsidRPr="004B3FF5">
        <w:t>investigators classify each charge received as either an A, B or C. Charges classifi</w:t>
      </w:r>
      <w:r>
        <w:t xml:space="preserve">ed as an </w:t>
      </w:r>
      <w:r w:rsidR="006474CA">
        <w:t>“</w:t>
      </w:r>
      <w:r>
        <w:t>A</w:t>
      </w:r>
      <w:r w:rsidR="006474CA">
        <w:t>”</w:t>
      </w:r>
      <w:r>
        <w:t xml:space="preserve"> are charges where </w:t>
      </w:r>
      <w:r w:rsidR="00E009A5">
        <w:t>it appears more likely than not that discrimination occurred and will receive priority</w:t>
      </w:r>
      <w:r w:rsidR="00E55BF1">
        <w:t xml:space="preserve"> treatment</w:t>
      </w:r>
      <w:r w:rsidR="00C554BD">
        <w:t xml:space="preserve"> by the EEOC</w:t>
      </w:r>
      <w:r w:rsidR="00E55BF1">
        <w:t xml:space="preserve">. </w:t>
      </w:r>
      <w:r w:rsidR="00E009A5">
        <w:t xml:space="preserve">Charges classified as a </w:t>
      </w:r>
      <w:r w:rsidR="006474CA">
        <w:t>“</w:t>
      </w:r>
      <w:r w:rsidR="00E009A5">
        <w:t>B</w:t>
      </w:r>
      <w:r w:rsidR="006474CA">
        <w:t>”</w:t>
      </w:r>
      <w:r w:rsidR="00E009A5">
        <w:t xml:space="preserve"> include charges that initially appear to have some </w:t>
      </w:r>
      <w:r w:rsidR="003D00C5">
        <w:t>merit but</w:t>
      </w:r>
      <w:r w:rsidR="00E009A5">
        <w:t xml:space="preserve"> require additional evidence to determine whether continued investigation is likely to find </w:t>
      </w:r>
      <w:r w:rsidR="00E55BF1">
        <w:t xml:space="preserve">prohibited </w:t>
      </w:r>
      <w:r w:rsidR="00E009A5">
        <w:t xml:space="preserve">discrimination, or where it is not yet possible for the </w:t>
      </w:r>
      <w:r w:rsidR="00E55BF1">
        <w:t>EEOC</w:t>
      </w:r>
      <w:r w:rsidR="00E009A5">
        <w:t xml:space="preserve"> to make a judgement regarding the merits.</w:t>
      </w:r>
      <w:r w:rsidR="00E55BF1">
        <w:t xml:space="preserve"> </w:t>
      </w:r>
      <w:r w:rsidR="00F26B2E">
        <w:t xml:space="preserve">Charges classified as </w:t>
      </w:r>
      <w:r w:rsidR="006474CA">
        <w:t>“</w:t>
      </w:r>
      <w:r w:rsidR="00E55BF1">
        <w:t>B</w:t>
      </w:r>
      <w:r w:rsidR="006474CA">
        <w:t>”</w:t>
      </w:r>
      <w:r w:rsidR="00E55BF1">
        <w:t xml:space="preserve"> are investigated as resources</w:t>
      </w:r>
      <w:r w:rsidR="00C554BD">
        <w:t xml:space="preserve"> permit, </w:t>
      </w:r>
      <w:r w:rsidR="00E009A5">
        <w:t xml:space="preserve">Charges classified as a </w:t>
      </w:r>
      <w:r w:rsidR="006474CA">
        <w:t>“</w:t>
      </w:r>
      <w:r w:rsidR="00E009A5">
        <w:t>C</w:t>
      </w:r>
      <w:r w:rsidR="006474CA">
        <w:t>”</w:t>
      </w:r>
      <w:r w:rsidR="00E009A5">
        <w:t xml:space="preserve"> </w:t>
      </w:r>
      <w:r w:rsidR="00E55BF1">
        <w:t xml:space="preserve">are those the EEOC has </w:t>
      </w:r>
      <w:proofErr w:type="gramStart"/>
      <w:r w:rsidR="00E55BF1">
        <w:t>sufficient</w:t>
      </w:r>
      <w:proofErr w:type="gramEnd"/>
      <w:r w:rsidR="00E55BF1">
        <w:t xml:space="preserve"> </w:t>
      </w:r>
      <w:r w:rsidR="00E55BF1">
        <w:lastRenderedPageBreak/>
        <w:t>information to conclude further investigation is not likely to find prohibited discrimination and will be dismissed.</w:t>
      </w:r>
      <w:r w:rsidR="00E009A5">
        <w:t xml:space="preserve"> </w:t>
      </w:r>
      <w:r w:rsidR="00F26B2E">
        <w:t>W</w:t>
      </w:r>
      <w:r w:rsidRPr="004B3FF5">
        <w:t>hether the investigator find</w:t>
      </w:r>
      <w:r w:rsidR="00E52184">
        <w:t>s</w:t>
      </w:r>
      <w:r w:rsidRPr="004B3FF5">
        <w:t xml:space="preserve"> the existence of </w:t>
      </w:r>
      <w:r>
        <w:t xml:space="preserve">a </w:t>
      </w:r>
      <w:r w:rsidR="006474CA">
        <w:t>“</w:t>
      </w:r>
      <w:r w:rsidRPr="000E65A2">
        <w:t>prima facie</w:t>
      </w:r>
      <w:r w:rsidR="00631E24" w:rsidRPr="00631E24">
        <w:rPr>
          <w:i/>
        </w:rPr>
        <w:t>”</w:t>
      </w:r>
      <w:r w:rsidRPr="004B3FF5">
        <w:t xml:space="preserve"> c</w:t>
      </w:r>
      <w:r w:rsidR="00E52184">
        <w:t>ase</w:t>
      </w:r>
      <w:r w:rsidR="00F26B2E">
        <w:t xml:space="preserve"> is an important factor in categorizing charges—</w:t>
      </w:r>
      <w:r w:rsidR="00E52184">
        <w:t>in other words</w:t>
      </w:r>
      <w:r w:rsidR="00F26B2E">
        <w:t>,</w:t>
      </w:r>
      <w:r w:rsidR="00E52184">
        <w:t xml:space="preserve"> based on the face of the information </w:t>
      </w:r>
      <w:r w:rsidRPr="004B3FF5">
        <w:t>provided by the person making the charge</w:t>
      </w:r>
      <w:r w:rsidR="00F26B2E">
        <w:t>,</w:t>
      </w:r>
      <w:r w:rsidR="00A05229">
        <w:t xml:space="preserve"> prohibited</w:t>
      </w:r>
      <w:r w:rsidRPr="004B3FF5">
        <w:t xml:space="preserve"> </w:t>
      </w:r>
      <w:r w:rsidR="003D79CC">
        <w:t>discrimination</w:t>
      </w:r>
      <w:r w:rsidRPr="004B3FF5">
        <w:t xml:space="preserve"> appears possible.</w:t>
      </w:r>
    </w:p>
    <w:p w14:paraId="325A3462" w14:textId="77777777" w:rsidR="00296DA5" w:rsidRDefault="00256596" w:rsidP="00396A3D">
      <w:pPr>
        <w:pStyle w:val="NCDBodyText"/>
      </w:pPr>
      <w:r>
        <w:t>People</w:t>
      </w:r>
      <w:r w:rsidRPr="004B3FF5">
        <w:t xml:space="preserve"> with certain disabilities that </w:t>
      </w:r>
      <w:r w:rsidR="002E18D3">
        <w:t xml:space="preserve">affect </w:t>
      </w:r>
      <w:r>
        <w:t xml:space="preserve">communication, observation, or information processing could </w:t>
      </w:r>
      <w:r w:rsidRPr="004B3FF5">
        <w:t xml:space="preserve">be at a </w:t>
      </w:r>
      <w:r>
        <w:t xml:space="preserve">disadvantage under the EEOC classification process. The </w:t>
      </w:r>
      <w:r w:rsidRPr="004B3FF5">
        <w:t xml:space="preserve">EEOC </w:t>
      </w:r>
      <w:r>
        <w:t xml:space="preserve">investigator on intake </w:t>
      </w:r>
      <w:r w:rsidR="00A8793C">
        <w:t xml:space="preserve">uses </w:t>
      </w:r>
      <w:r w:rsidRPr="004B3FF5">
        <w:t xml:space="preserve">the initial information </w:t>
      </w:r>
      <w:r w:rsidR="00A8793C">
        <w:t xml:space="preserve">received </w:t>
      </w:r>
      <w:r>
        <w:t>from</w:t>
      </w:r>
      <w:r w:rsidRPr="004B3FF5">
        <w:t xml:space="preserve"> the person making the charge</w:t>
      </w:r>
      <w:r w:rsidR="00A8793C">
        <w:t xml:space="preserve"> to </w:t>
      </w:r>
      <w:r w:rsidRPr="004B3FF5">
        <w:t>assign a charge as an A, B</w:t>
      </w:r>
      <w:r w:rsidR="002E18D3">
        <w:t>,</w:t>
      </w:r>
      <w:r w:rsidRPr="004B3FF5">
        <w:t xml:space="preserve"> or C</w:t>
      </w:r>
      <w:r>
        <w:t>. Such information includes facts the person</w:t>
      </w:r>
      <w:r w:rsidR="003D79CC">
        <w:t xml:space="preserve"> tells </w:t>
      </w:r>
      <w:r>
        <w:t>the investigator</w:t>
      </w:r>
      <w:r w:rsidRPr="004B3FF5">
        <w:t>, similar circumstances the person knows about</w:t>
      </w:r>
      <w:r>
        <w:t xml:space="preserve"> at the worksite</w:t>
      </w:r>
      <w:r w:rsidRPr="004B3FF5">
        <w:t xml:space="preserve">, </w:t>
      </w:r>
      <w:r>
        <w:t xml:space="preserve">and </w:t>
      </w:r>
      <w:r w:rsidRPr="004B3FF5">
        <w:t>information about other employees or employer practices</w:t>
      </w:r>
      <w:r>
        <w:t xml:space="preserve"> the person may be aware </w:t>
      </w:r>
      <w:r w:rsidR="003D79CC">
        <w:t xml:space="preserve">of </w:t>
      </w:r>
      <w:r>
        <w:t>or able to access</w:t>
      </w:r>
      <w:r w:rsidRPr="004B3FF5">
        <w:t>.</w:t>
      </w:r>
    </w:p>
    <w:p w14:paraId="7369EABC" w14:textId="77777777" w:rsidR="00296DA5" w:rsidRDefault="00256596" w:rsidP="00396A3D">
      <w:pPr>
        <w:pStyle w:val="NCDBodyText"/>
      </w:pPr>
      <w:r w:rsidRPr="004B3FF5">
        <w:t xml:space="preserve">A person with </w:t>
      </w:r>
      <w:r w:rsidR="00C04F27">
        <w:t xml:space="preserve">a </w:t>
      </w:r>
      <w:r w:rsidRPr="004B3FF5">
        <w:t>d</w:t>
      </w:r>
      <w:r>
        <w:t>isability</w:t>
      </w:r>
      <w:r w:rsidR="00C04F27" w:rsidRPr="00C04F27">
        <w:t xml:space="preserve"> </w:t>
      </w:r>
      <w:r w:rsidR="0093749E">
        <w:t>that</w:t>
      </w:r>
      <w:r w:rsidR="00C04F27">
        <w:t xml:space="preserve"> impacts</w:t>
      </w:r>
      <w:r w:rsidR="00C04F27" w:rsidRPr="004B3FF5">
        <w:t xml:space="preserve"> communications</w:t>
      </w:r>
      <w:r w:rsidR="00C04F27">
        <w:t xml:space="preserve"> or </w:t>
      </w:r>
      <w:r>
        <w:t xml:space="preserve">information processing, </w:t>
      </w:r>
      <w:r w:rsidR="003D79CC">
        <w:t>for example, c</w:t>
      </w:r>
      <w:r w:rsidRPr="004B3FF5">
        <w:t xml:space="preserve">ould be </w:t>
      </w:r>
      <w:r>
        <w:t>disadvantage</w:t>
      </w:r>
      <w:r w:rsidR="0018439A">
        <w:t>d</w:t>
      </w:r>
      <w:r>
        <w:t xml:space="preserve"> </w:t>
      </w:r>
      <w:r w:rsidRPr="004B3FF5">
        <w:t xml:space="preserve">if </w:t>
      </w:r>
      <w:r w:rsidR="002E18D3">
        <w:t>that person</w:t>
      </w:r>
      <w:r w:rsidR="002E18D3" w:rsidRPr="004B3FF5">
        <w:t xml:space="preserve"> </w:t>
      </w:r>
      <w:r w:rsidRPr="004B3FF5">
        <w:t>cannot relate essential information to the investigator</w:t>
      </w:r>
      <w:r>
        <w:t xml:space="preserve">. According to an EEOC </w:t>
      </w:r>
      <w:r w:rsidR="003D79CC">
        <w:t>D</w:t>
      </w:r>
      <w:r>
        <w:t xml:space="preserve">istrict </w:t>
      </w:r>
      <w:r w:rsidR="003D79CC">
        <w:t>D</w:t>
      </w:r>
      <w:r>
        <w:t xml:space="preserve">irector, </w:t>
      </w:r>
      <w:r w:rsidR="0018439A">
        <w:t>i</w:t>
      </w:r>
      <w:r>
        <w:t xml:space="preserve">nvestigators are instructed to be aware and take steps to assist if </w:t>
      </w:r>
      <w:r w:rsidRPr="004B3FF5">
        <w:t xml:space="preserve">it </w:t>
      </w:r>
      <w:r>
        <w:t>appears</w:t>
      </w:r>
      <w:r w:rsidRPr="004B3FF5">
        <w:t xml:space="preserve"> the person</w:t>
      </w:r>
      <w:r w:rsidR="006474CA">
        <w:t>’</w:t>
      </w:r>
      <w:r w:rsidRPr="004B3FF5">
        <w:t xml:space="preserve">s disability </w:t>
      </w:r>
      <w:r w:rsidR="00C04F27">
        <w:t xml:space="preserve">might affect the ability to articulate the situation </w:t>
      </w:r>
      <w:r>
        <w:t xml:space="preserve">and </w:t>
      </w:r>
      <w:r w:rsidRPr="004B3FF5">
        <w:t>the alleged dis</w:t>
      </w:r>
      <w:r>
        <w:t>crimination involves the ADA</w:t>
      </w:r>
      <w:r w:rsidRPr="004B3FF5">
        <w:t>.</w:t>
      </w:r>
      <w:r>
        <w:t xml:space="preserve"> </w:t>
      </w:r>
      <w:r w:rsidR="00524087">
        <w:t>T</w:t>
      </w:r>
      <w:r>
        <w:t>here has been no apparent public assessment</w:t>
      </w:r>
      <w:r w:rsidR="00524087">
        <w:t>, however,</w:t>
      </w:r>
      <w:r>
        <w:t xml:space="preserve"> of </w:t>
      </w:r>
      <w:r w:rsidR="00941F4A">
        <w:t xml:space="preserve">whether </w:t>
      </w:r>
      <w:r>
        <w:t xml:space="preserve">the PCHP </w:t>
      </w:r>
      <w:r w:rsidR="00524087">
        <w:t xml:space="preserve">negatively </w:t>
      </w:r>
      <w:r>
        <w:t>impact</w:t>
      </w:r>
      <w:r w:rsidR="00941F4A">
        <w:t>s</w:t>
      </w:r>
      <w:r>
        <w:t xml:space="preserve"> people with disabilities by resulting in</w:t>
      </w:r>
      <w:r w:rsidR="00941F4A">
        <w:t xml:space="preserve"> a</w:t>
      </w:r>
      <w:r>
        <w:t xml:space="preserve"> lower classi</w:t>
      </w:r>
      <w:r w:rsidR="00A05229">
        <w:t xml:space="preserve">fication because of the </w:t>
      </w:r>
      <w:r>
        <w:t>disability.</w:t>
      </w:r>
      <w:r w:rsidRPr="00AE77FF">
        <w:t xml:space="preserve"> </w:t>
      </w:r>
      <w:r w:rsidRPr="004B3FF5">
        <w:t>Charges from persons with intellectual, cognitive</w:t>
      </w:r>
      <w:r w:rsidR="00B92FA7">
        <w:t>,</w:t>
      </w:r>
      <w:r w:rsidRPr="004B3FF5">
        <w:t xml:space="preserve"> or other disabilities may result in </w:t>
      </w:r>
      <w:r>
        <w:t xml:space="preserve">a </w:t>
      </w:r>
      <w:r w:rsidRPr="004B3FF5">
        <w:t>C categorization</w:t>
      </w:r>
      <w:r w:rsidR="00B92FA7">
        <w:t>,</w:t>
      </w:r>
      <w:r w:rsidRPr="004B3FF5">
        <w:t xml:space="preserve"> not based on the merit</w:t>
      </w:r>
      <w:r w:rsidR="00C04F27">
        <w:t>s</w:t>
      </w:r>
      <w:r w:rsidRPr="004B3FF5">
        <w:t xml:space="preserve"> but because the charging part</w:t>
      </w:r>
      <w:r w:rsidR="00C04F27">
        <w:t xml:space="preserve">y </w:t>
      </w:r>
      <w:r w:rsidRPr="004B3FF5">
        <w:t xml:space="preserve">with a disability </w:t>
      </w:r>
      <w:r>
        <w:t>ha</w:t>
      </w:r>
      <w:r w:rsidR="00C04F27">
        <w:t>s</w:t>
      </w:r>
      <w:r>
        <w:t xml:space="preserve"> </w:t>
      </w:r>
      <w:r w:rsidRPr="004B3FF5">
        <w:t>difficult</w:t>
      </w:r>
      <w:r>
        <w:t>y</w:t>
      </w:r>
      <w:r w:rsidRPr="004B3FF5">
        <w:t xml:space="preserve"> in processing information or </w:t>
      </w:r>
      <w:r w:rsidR="00C04F27">
        <w:t>explaining</w:t>
      </w:r>
      <w:r w:rsidRPr="004B3FF5">
        <w:t xml:space="preserve"> the discriminatory situation</w:t>
      </w:r>
      <w:r w:rsidRPr="00C04F27">
        <w:t>.</w:t>
      </w:r>
      <w:r w:rsidRPr="007F620E">
        <w:t xml:space="preserve"> </w:t>
      </w:r>
      <w:r w:rsidRPr="004B3FF5">
        <w:t>While EEOC staff are instructed to take steps to assist in ADA cases</w:t>
      </w:r>
      <w:r>
        <w:t xml:space="preserve"> if assistance appears necessary</w:t>
      </w:r>
      <w:r w:rsidRPr="004B3FF5">
        <w:t>, this may not occur in non-ADA cases or</w:t>
      </w:r>
      <w:r>
        <w:t xml:space="preserve"> even</w:t>
      </w:r>
      <w:r w:rsidRPr="004B3FF5">
        <w:t xml:space="preserve"> recognized </w:t>
      </w:r>
      <w:r>
        <w:t xml:space="preserve">in ADA cases </w:t>
      </w:r>
      <w:r w:rsidRPr="004B3FF5">
        <w:t xml:space="preserve">without appropriate </w:t>
      </w:r>
      <w:r w:rsidR="00B92FA7">
        <w:t>disability-</w:t>
      </w:r>
      <w:r>
        <w:t xml:space="preserve">specific </w:t>
      </w:r>
      <w:r w:rsidRPr="004B3FF5">
        <w:t>training.</w:t>
      </w:r>
      <w:r>
        <w:t xml:space="preserve"> </w:t>
      </w:r>
      <w:r w:rsidRPr="00256596">
        <w:rPr>
          <w:b/>
        </w:rPr>
        <w:t>NCD recommends the EEOC evaluate the impact of the Prior</w:t>
      </w:r>
      <w:r w:rsidR="00524087">
        <w:rPr>
          <w:b/>
        </w:rPr>
        <w:t xml:space="preserve">ity Charge Handling Procedures </w:t>
      </w:r>
      <w:r w:rsidRPr="00256596">
        <w:rPr>
          <w:b/>
        </w:rPr>
        <w:t>classification process on people with disabilities to determine to what extent the disability may result in C classifications because of the disability and not on the initial merits.</w:t>
      </w:r>
    </w:p>
    <w:p w14:paraId="79CFE9F5" w14:textId="77777777" w:rsidR="00296DA5" w:rsidRDefault="004E6636" w:rsidP="00396A3D">
      <w:pPr>
        <w:pStyle w:val="NCDBodyText"/>
      </w:pPr>
      <w:r>
        <w:lastRenderedPageBreak/>
        <w:t>In 2017</w:t>
      </w:r>
      <w:r w:rsidR="00256596" w:rsidRPr="004B3FF5">
        <w:t>, the EEOC rolled</w:t>
      </w:r>
      <w:r w:rsidR="009E6A84">
        <w:t xml:space="preserve"> </w:t>
      </w:r>
      <w:r w:rsidR="00256596" w:rsidRPr="004B3FF5">
        <w:t xml:space="preserve">out a </w:t>
      </w:r>
      <w:r w:rsidR="006474CA">
        <w:t>“</w:t>
      </w:r>
      <w:r w:rsidR="00256596" w:rsidRPr="004B3FF5">
        <w:t>public portal</w:t>
      </w:r>
      <w:r w:rsidR="006474CA">
        <w:t>”</w:t>
      </w:r>
      <w:r w:rsidR="00256596" w:rsidRPr="004B3FF5">
        <w:t xml:space="preserve"> </w:t>
      </w:r>
      <w:r w:rsidR="0093749E">
        <w:t>that</w:t>
      </w:r>
      <w:r w:rsidR="00256596" w:rsidRPr="004B3FF5">
        <w:t xml:space="preserve"> allows a person to begin the process </w:t>
      </w:r>
      <w:r w:rsidR="00256596">
        <w:t xml:space="preserve">of </w:t>
      </w:r>
      <w:r w:rsidR="00256596" w:rsidRPr="004B3FF5">
        <w:t>filing a charge of discrimination</w:t>
      </w:r>
      <w:r w:rsidR="00256596">
        <w:t xml:space="preserve"> </w:t>
      </w:r>
      <w:r w:rsidR="00CD4C81">
        <w:t>online</w:t>
      </w:r>
      <w:r w:rsidR="00256596" w:rsidRPr="004B3FF5">
        <w:t>.</w:t>
      </w:r>
      <w:r w:rsidR="00256596" w:rsidRPr="004B3FF5">
        <w:rPr>
          <w:vertAlign w:val="superscript"/>
        </w:rPr>
        <w:endnoteReference w:id="68"/>
      </w:r>
      <w:r w:rsidR="00256596" w:rsidRPr="004B3FF5">
        <w:t xml:space="preserve"> </w:t>
      </w:r>
      <w:r>
        <w:t>Anyone</w:t>
      </w:r>
      <w:r w:rsidR="00256596" w:rsidRPr="004B3FF5">
        <w:t xml:space="preserve"> who believe</w:t>
      </w:r>
      <w:r w:rsidR="001F7BA7">
        <w:t>s</w:t>
      </w:r>
      <w:r w:rsidR="00256596" w:rsidRPr="004B3FF5">
        <w:t xml:space="preserve"> they have faced discrimination may use the portal to submit an </w:t>
      </w:r>
      <w:r w:rsidR="006474CA">
        <w:t>“</w:t>
      </w:r>
      <w:r w:rsidR="00256596" w:rsidRPr="004B3FF5">
        <w:t>inquiry</w:t>
      </w:r>
      <w:r w:rsidR="006474CA">
        <w:t>”</w:t>
      </w:r>
      <w:r w:rsidR="00E7456F">
        <w:t xml:space="preserve"> to the EEOC and </w:t>
      </w:r>
      <w:r w:rsidR="00256596" w:rsidRPr="004B3FF5">
        <w:t>schedule an intake interview. The intake interview can occur by phone or in</w:t>
      </w:r>
      <w:r w:rsidR="001F7BA7">
        <w:t xml:space="preserve"> </w:t>
      </w:r>
      <w:r w:rsidR="00256596" w:rsidRPr="004B3FF5">
        <w:t>person. Following the intake interview, the person can decide whether to file a formal charge of discrimination. EEOC staff indicated that the portal allows for more efficient handling of complaints.</w:t>
      </w:r>
    </w:p>
    <w:p w14:paraId="54413513" w14:textId="77777777" w:rsidR="00296DA5" w:rsidRDefault="00256596" w:rsidP="00396A3D">
      <w:pPr>
        <w:pStyle w:val="NCDBodyText"/>
      </w:pPr>
      <w:r w:rsidRPr="004B3FF5">
        <w:t xml:space="preserve">The EEOC website </w:t>
      </w:r>
      <w:r w:rsidR="001F7BA7">
        <w:t>contains</w:t>
      </w:r>
      <w:r w:rsidR="001F7BA7" w:rsidRPr="004B3FF5">
        <w:t xml:space="preserve"> </w:t>
      </w:r>
      <w:r w:rsidRPr="004B3FF5">
        <w:t>information</w:t>
      </w:r>
      <w:r>
        <w:t xml:space="preserve"> on </w:t>
      </w:r>
      <w:r w:rsidR="006474CA">
        <w:t>“</w:t>
      </w:r>
      <w:r w:rsidRPr="004B3FF5">
        <w:t>How to File a Charge</w:t>
      </w:r>
      <w:r>
        <w:t>,</w:t>
      </w:r>
      <w:r w:rsidR="006474CA">
        <w:t>”</w:t>
      </w:r>
      <w:r>
        <w:t xml:space="preserve"> which </w:t>
      </w:r>
      <w:r w:rsidR="00524087">
        <w:t xml:space="preserve">includes </w:t>
      </w:r>
      <w:r w:rsidRPr="004B3FF5">
        <w:t xml:space="preserve">the methods by which a person can </w:t>
      </w:r>
      <w:r w:rsidR="001F7BA7">
        <w:t>find out from</w:t>
      </w:r>
      <w:r w:rsidRPr="004B3FF5">
        <w:t xml:space="preserve"> the EEOC </w:t>
      </w:r>
      <w:r w:rsidR="00BF1E45">
        <w:t xml:space="preserve">how </w:t>
      </w:r>
      <w:r w:rsidRPr="004B3FF5">
        <w:t>to begin the charge filing process.</w:t>
      </w:r>
      <w:r w:rsidRPr="004B3FF5">
        <w:rPr>
          <w:vertAlign w:val="superscript"/>
        </w:rPr>
        <w:endnoteReference w:id="69"/>
      </w:r>
      <w:r w:rsidRPr="004B3FF5">
        <w:t xml:space="preserve"> </w:t>
      </w:r>
      <w:r w:rsidR="00524087">
        <w:t>T</w:t>
      </w:r>
      <w:r>
        <w:t>he web</w:t>
      </w:r>
      <w:r w:rsidR="00524087">
        <w:t xml:space="preserve">page </w:t>
      </w:r>
      <w:r w:rsidRPr="004B3FF5">
        <w:t>emphasizes that the person should use the electronic public portal.</w:t>
      </w:r>
      <w:r w:rsidR="00A65D88">
        <w:t xml:space="preserve"> </w:t>
      </w:r>
      <w:r w:rsidRPr="004B3FF5">
        <w:t>The EEOC also has a 1-800</w:t>
      </w:r>
      <w:r w:rsidR="00C04F27">
        <w:t xml:space="preserve"> number for persons to connect to</w:t>
      </w:r>
      <w:r w:rsidRPr="004B3FF5">
        <w:t xml:space="preserve"> general information, </w:t>
      </w:r>
      <w:r>
        <w:t xml:space="preserve">to </w:t>
      </w:r>
      <w:r w:rsidR="00000610">
        <w:t xml:space="preserve">get </w:t>
      </w:r>
      <w:r w:rsidRPr="004B3FF5">
        <w:t>answe</w:t>
      </w:r>
      <w:r>
        <w:t>r</w:t>
      </w:r>
      <w:r w:rsidR="00000610">
        <w:t>s to</w:t>
      </w:r>
      <w:r>
        <w:t xml:space="preserve"> basic</w:t>
      </w:r>
      <w:r w:rsidRPr="004B3FF5">
        <w:t xml:space="preserve"> questions about the EEOC charge process, and </w:t>
      </w:r>
      <w:r>
        <w:t xml:space="preserve">for some basic help in filing a charge through the </w:t>
      </w:r>
      <w:r w:rsidR="00CD4C81">
        <w:t>online</w:t>
      </w:r>
      <w:r>
        <w:t xml:space="preserve"> portal.</w:t>
      </w:r>
    </w:p>
    <w:p w14:paraId="1E8204D2" w14:textId="77777777" w:rsidR="00296DA5" w:rsidRDefault="00256596" w:rsidP="00396A3D">
      <w:pPr>
        <w:pStyle w:val="NCDBodyText"/>
      </w:pPr>
      <w:r w:rsidRPr="004B3FF5">
        <w:t xml:space="preserve">While the use of </w:t>
      </w:r>
      <w:r w:rsidR="00CD4C81">
        <w:t>online</w:t>
      </w:r>
      <w:r w:rsidRPr="004B3FF5">
        <w:t xml:space="preserve"> technology to handle complaints is commendable, there are significant drawbacks for </w:t>
      </w:r>
      <w:r>
        <w:t>people</w:t>
      </w:r>
      <w:r w:rsidRPr="004B3FF5">
        <w:t xml:space="preserve"> with </w:t>
      </w:r>
      <w:r w:rsidR="00524087">
        <w:t>certain</w:t>
      </w:r>
      <w:r w:rsidRPr="004B3FF5">
        <w:t xml:space="preserve"> disabilities</w:t>
      </w:r>
      <w:r w:rsidR="003D79CC">
        <w:t xml:space="preserve"> that </w:t>
      </w:r>
      <w:r w:rsidR="00C04F27">
        <w:t xml:space="preserve">the EEOC should </w:t>
      </w:r>
      <w:r w:rsidR="003D79CC">
        <w:t>address</w:t>
      </w:r>
      <w:r w:rsidRPr="004B3FF5">
        <w:t>. The public portal, while</w:t>
      </w:r>
      <w:r>
        <w:t xml:space="preserve"> Section</w:t>
      </w:r>
      <w:r w:rsidRPr="004B3FF5">
        <w:t xml:space="preserve"> 508 compliant, does not clearly state how a person may request an accommodation necessary to complete an inquiry. </w:t>
      </w:r>
      <w:r>
        <w:t>People</w:t>
      </w:r>
      <w:r w:rsidRPr="004B3FF5">
        <w:t xml:space="preserve"> with disabilities who have difficulty in the use of technology may be deterred from contacting the EEOC to file a charge. </w:t>
      </w:r>
      <w:r w:rsidR="004E6636">
        <w:t xml:space="preserve">Though the </w:t>
      </w:r>
      <w:r w:rsidR="00801954">
        <w:t>p</w:t>
      </w:r>
      <w:r w:rsidR="004E6636">
        <w:t xml:space="preserve">ortal contains an email </w:t>
      </w:r>
      <w:r w:rsidR="00495A75">
        <w:t xml:space="preserve">address to use </w:t>
      </w:r>
      <w:r w:rsidR="004E6636">
        <w:t>to report technica</w:t>
      </w:r>
      <w:r w:rsidR="00E55BF1">
        <w:t>l problems</w:t>
      </w:r>
      <w:r w:rsidR="004E6636">
        <w:t xml:space="preserve"> and a link to a statement about the Rehabilitation Act, there is no clear indication</w:t>
      </w:r>
      <w:r w:rsidR="002947C3">
        <w:t xml:space="preserve"> of</w:t>
      </w:r>
      <w:r w:rsidR="004E6636">
        <w:t xml:space="preserve"> how a person with a disability may request other accommodations needed to file a charge. </w:t>
      </w:r>
      <w:r w:rsidRPr="004B3FF5">
        <w:t>Likewise, a person with a disability whose symptoms may cause frustration, confusion, or attention difficulties may drop</w:t>
      </w:r>
      <w:r w:rsidR="00CD1F36">
        <w:t xml:space="preserve"> </w:t>
      </w:r>
      <w:r w:rsidRPr="004B3FF5">
        <w:t>off before answering the question</w:t>
      </w:r>
      <w:r>
        <w:t>s</w:t>
      </w:r>
      <w:r w:rsidRPr="004B3FF5">
        <w:t xml:space="preserve"> on the portal given the lack of clear</w:t>
      </w:r>
      <w:r>
        <w:t xml:space="preserve"> and simple</w:t>
      </w:r>
      <w:r w:rsidRPr="004B3FF5">
        <w:t xml:space="preserve"> information on how to request an accommodation or </w:t>
      </w:r>
      <w:r w:rsidR="00C04F27">
        <w:t xml:space="preserve">how to </w:t>
      </w:r>
      <w:r w:rsidRPr="004B3FF5">
        <w:t>file a charge through other means</w:t>
      </w:r>
      <w:r>
        <w:t>.</w:t>
      </w:r>
      <w:r w:rsidR="003D79CC">
        <w:t xml:space="preserve"> Similarly, though a caption</w:t>
      </w:r>
      <w:r w:rsidR="0018439A">
        <w:t>ed</w:t>
      </w:r>
      <w:r w:rsidR="003D79CC">
        <w:t xml:space="preserve"> video describing the EEOC charge process is available, there is no comparable video </w:t>
      </w:r>
      <w:r w:rsidR="0093749E">
        <w:t>that</w:t>
      </w:r>
      <w:r w:rsidR="003D79CC">
        <w:t xml:space="preserve"> uses American Sign Language.</w:t>
      </w:r>
    </w:p>
    <w:p w14:paraId="79BA24AB" w14:textId="77777777" w:rsidR="00296DA5" w:rsidRDefault="00C04F27" w:rsidP="00396A3D">
      <w:pPr>
        <w:pStyle w:val="NCDBodyText"/>
      </w:pPr>
      <w:r>
        <w:t>B</w:t>
      </w:r>
      <w:r w:rsidR="00256596">
        <w:t>etween FY 20</w:t>
      </w:r>
      <w:r w:rsidR="00660754">
        <w:t>0</w:t>
      </w:r>
      <w:r w:rsidR="00256596">
        <w:t>3 and 2017</w:t>
      </w:r>
      <w:r w:rsidR="00660754">
        <w:t>,</w:t>
      </w:r>
      <w:r w:rsidR="00524087">
        <w:t xml:space="preserve"> according to EEOC provided data,</w:t>
      </w:r>
      <w:r w:rsidR="00256596">
        <w:t xml:space="preserve"> half of all people who made an inquiry with the EEOC about potential employment discr</w:t>
      </w:r>
      <w:r w:rsidR="00524087">
        <w:t>imination did not file a charge. T</w:t>
      </w:r>
      <w:r w:rsidR="00256596">
        <w:t>hat number has dropped to between 42 and 45 percent</w:t>
      </w:r>
      <w:r w:rsidR="00660754">
        <w:t xml:space="preserve"> in more recent years</w:t>
      </w:r>
      <w:r w:rsidR="00256596">
        <w:t xml:space="preserve">. </w:t>
      </w:r>
      <w:r w:rsidR="00256596">
        <w:lastRenderedPageBreak/>
        <w:t>Da</w:t>
      </w:r>
      <w:r w:rsidR="00660754">
        <w:t>ta is not available about which a</w:t>
      </w:r>
      <w:r w:rsidR="003D79CC">
        <w:t>ct</w:t>
      </w:r>
      <w:r w:rsidR="00256596">
        <w:t xml:space="preserve"> the person making the inquiry</w:t>
      </w:r>
      <w:r w:rsidR="00660754">
        <w:t xml:space="preserve"> of the EEOC</w:t>
      </w:r>
      <w:r w:rsidR="00256596">
        <w:t xml:space="preserve"> believed had been violated </w:t>
      </w:r>
      <w:r w:rsidR="00CD1F36">
        <w:t xml:space="preserve">because </w:t>
      </w:r>
      <w:r w:rsidR="003D79CC">
        <w:t xml:space="preserve">a charge is not filed in </w:t>
      </w:r>
      <w:r w:rsidR="007F278E">
        <w:t>inquiry-</w:t>
      </w:r>
      <w:r w:rsidR="00660754">
        <w:t>only situations</w:t>
      </w:r>
      <w:r w:rsidR="00256596">
        <w:t>.</w:t>
      </w:r>
    </w:p>
    <w:p w14:paraId="0E59B463" w14:textId="77777777" w:rsidR="00296DA5" w:rsidRDefault="00256596" w:rsidP="00396A3D">
      <w:pPr>
        <w:pStyle w:val="NCDBodyText"/>
      </w:pPr>
      <w:r>
        <w:t xml:space="preserve">Finally, during </w:t>
      </w:r>
      <w:r w:rsidRPr="004B3FF5">
        <w:t xml:space="preserve">the </w:t>
      </w:r>
      <w:r>
        <w:t>small focus discussion groups,</w:t>
      </w:r>
      <w:r w:rsidRPr="004B3FF5">
        <w:t xml:space="preserve"> </w:t>
      </w:r>
      <w:r>
        <w:t xml:space="preserve">while </w:t>
      </w:r>
      <w:r w:rsidRPr="004B3FF5">
        <w:t xml:space="preserve">one participant was pleased that </w:t>
      </w:r>
      <w:r>
        <w:t>an EEOC staff</w:t>
      </w:r>
      <w:r w:rsidRPr="004B3FF5">
        <w:t xml:space="preserve"> </w:t>
      </w:r>
      <w:r w:rsidR="00857A5C">
        <w:t xml:space="preserve">person </w:t>
      </w:r>
      <w:r w:rsidRPr="004B3FF5">
        <w:t>fill</w:t>
      </w:r>
      <w:r w:rsidR="00857A5C">
        <w:t>ed</w:t>
      </w:r>
      <w:r w:rsidRPr="004B3FF5">
        <w:t xml:space="preserve"> out the form because the </w:t>
      </w:r>
      <w:r w:rsidR="00857A5C">
        <w:t>person</w:t>
      </w:r>
      <w:r w:rsidR="006474CA">
        <w:t>’</w:t>
      </w:r>
      <w:r w:rsidR="00857A5C">
        <w:t xml:space="preserve">s </w:t>
      </w:r>
      <w:r w:rsidRPr="004B3FF5">
        <w:t xml:space="preserve">disability </w:t>
      </w:r>
      <w:r>
        <w:t>made writing difficult, a</w:t>
      </w:r>
      <w:r w:rsidRPr="004B3FF5">
        <w:t xml:space="preserve"> more common complaint among participants</w:t>
      </w:r>
      <w:r>
        <w:t xml:space="preserve"> </w:t>
      </w:r>
      <w:r w:rsidRPr="004B3FF5">
        <w:t>was that the private sector charge filing proce</w:t>
      </w:r>
      <w:r w:rsidR="00941F4A">
        <w:t xml:space="preserve">ss was difficult to understand and navigate. </w:t>
      </w:r>
      <w:r w:rsidR="00E7456F" w:rsidRPr="00E7456F">
        <w:rPr>
          <w:b/>
        </w:rPr>
        <w:t xml:space="preserve">NCD recommends the EEOC revise the public portal to clearly identify how a person with a disability can request a reasonable accommodation to file a charge, and clearly state the other options </w:t>
      </w:r>
      <w:r w:rsidR="00524087" w:rsidRPr="00E7456F">
        <w:rPr>
          <w:b/>
        </w:rPr>
        <w:t xml:space="preserve">available </w:t>
      </w:r>
      <w:r w:rsidR="00E7456F" w:rsidRPr="00E7456F">
        <w:rPr>
          <w:b/>
        </w:rPr>
        <w:t xml:space="preserve">to begin the charge filing process. This should include a clear explanation of the option to file a self-created charge of discrimination, especially in cases </w:t>
      </w:r>
      <w:r w:rsidR="00481AB8">
        <w:rPr>
          <w:b/>
        </w:rPr>
        <w:t>in which</w:t>
      </w:r>
      <w:r w:rsidR="00481AB8" w:rsidRPr="00E7456F">
        <w:rPr>
          <w:b/>
        </w:rPr>
        <w:t xml:space="preserve"> </w:t>
      </w:r>
      <w:r w:rsidR="00E7456F" w:rsidRPr="00E7456F">
        <w:rPr>
          <w:b/>
        </w:rPr>
        <w:t>the time to file may soon expire.</w:t>
      </w:r>
      <w:r w:rsidR="00E7456F" w:rsidRPr="008C340C">
        <w:rPr>
          <w:rStyle w:val="EndnoteReference"/>
          <w:rFonts w:cs="Arial"/>
        </w:rPr>
        <w:endnoteReference w:id="70"/>
      </w:r>
    </w:p>
    <w:p w14:paraId="55F1CC46" w14:textId="77777777" w:rsidR="00296DA5" w:rsidRPr="003C7C4B" w:rsidRDefault="00D812E6" w:rsidP="00396A3D">
      <w:pPr>
        <w:pStyle w:val="NCDBodyText"/>
        <w:rPr>
          <w:b/>
        </w:rPr>
      </w:pPr>
      <w:r w:rsidRPr="003C7C4B">
        <w:rPr>
          <w:b/>
        </w:rPr>
        <w:t xml:space="preserve">NCD recommends the EEOC create and post on its website videos in American Sign Language </w:t>
      </w:r>
      <w:r w:rsidR="0035768A" w:rsidRPr="003C7C4B">
        <w:rPr>
          <w:b/>
        </w:rPr>
        <w:t>(ASL</w:t>
      </w:r>
      <w:r w:rsidR="0018439A" w:rsidRPr="003C7C4B">
        <w:rPr>
          <w:b/>
        </w:rPr>
        <w:t xml:space="preserve">) </w:t>
      </w:r>
      <w:r w:rsidRPr="003C7C4B">
        <w:rPr>
          <w:b/>
        </w:rPr>
        <w:t>about the EEOC charge filing, mediation</w:t>
      </w:r>
      <w:r w:rsidR="00BE0B8E" w:rsidRPr="003C7C4B">
        <w:rPr>
          <w:b/>
        </w:rPr>
        <w:t>,</w:t>
      </w:r>
      <w:r w:rsidRPr="003C7C4B">
        <w:rPr>
          <w:b/>
        </w:rPr>
        <w:t xml:space="preserve"> and investigation process</w:t>
      </w:r>
      <w:r w:rsidR="00BE0B8E" w:rsidRPr="003C7C4B">
        <w:rPr>
          <w:b/>
        </w:rPr>
        <w:t>es</w:t>
      </w:r>
      <w:r w:rsidRPr="003C7C4B">
        <w:rPr>
          <w:b/>
        </w:rPr>
        <w:t xml:space="preserve"> and important guidance on all laws enforced by the EEOC.</w:t>
      </w:r>
      <w:r w:rsidR="0018439A" w:rsidRPr="003C7C4B">
        <w:rPr>
          <w:rStyle w:val="EndnoteReference"/>
          <w:rFonts w:cs="Arial"/>
          <w:b/>
        </w:rPr>
        <w:endnoteReference w:id="71"/>
      </w:r>
    </w:p>
    <w:p w14:paraId="1AE2BBE6" w14:textId="77777777" w:rsidR="00296DA5" w:rsidRDefault="00E7456F" w:rsidP="00396A3D">
      <w:pPr>
        <w:pStyle w:val="NCDBodyText"/>
      </w:pPr>
      <w:r>
        <w:t>T</w:t>
      </w:r>
      <w:r w:rsidR="00256596" w:rsidRPr="004B3FF5">
        <w:t xml:space="preserve">he EEOC </w:t>
      </w:r>
      <w:r w:rsidR="00F71070">
        <w:t>at present</w:t>
      </w:r>
      <w:r>
        <w:t xml:space="preserve"> </w:t>
      </w:r>
      <w:r w:rsidR="00256596" w:rsidRPr="004B3FF5">
        <w:t xml:space="preserve">maintains working relationships with </w:t>
      </w:r>
      <w:r w:rsidR="00564A81">
        <w:t xml:space="preserve">92 </w:t>
      </w:r>
      <w:r w:rsidR="00256596" w:rsidRPr="004B3FF5">
        <w:t>state and local investigative agencies</w:t>
      </w:r>
      <w:r w:rsidR="00C025BA">
        <w:t>, which are</w:t>
      </w:r>
      <w:r w:rsidR="00256596" w:rsidRPr="004B3FF5">
        <w:t xml:space="preserve"> know</w:t>
      </w:r>
      <w:r w:rsidR="004E6636">
        <w:t>n</w:t>
      </w:r>
      <w:r w:rsidR="00256596" w:rsidRPr="004B3FF5">
        <w:t xml:space="preserve"> as Fair Employment Practice Agencies (FEPAs).</w:t>
      </w:r>
      <w:r w:rsidR="00256596" w:rsidRPr="004B3FF5">
        <w:rPr>
          <w:vertAlign w:val="superscript"/>
        </w:rPr>
        <w:endnoteReference w:id="72"/>
      </w:r>
      <w:r w:rsidR="00256596" w:rsidRPr="004B3FF5">
        <w:t xml:space="preserve"> Through </w:t>
      </w:r>
      <w:r w:rsidR="0093749E" w:rsidRPr="004B3FF5">
        <w:t>work</w:t>
      </w:r>
      <w:r w:rsidR="0093749E">
        <w:t>-</w:t>
      </w:r>
      <w:r w:rsidR="00256596" w:rsidRPr="004B3FF5">
        <w:t xml:space="preserve">sharing agreements between the EEOC and the FEPAs, a charge filed by a person with a disability with one agency is </w:t>
      </w:r>
      <w:r w:rsidR="00256596">
        <w:t xml:space="preserve">normally </w:t>
      </w:r>
      <w:r w:rsidR="00A65D88">
        <w:t>dual</w:t>
      </w:r>
      <w:r w:rsidR="00112E8C">
        <w:t>ly</w:t>
      </w:r>
      <w:r w:rsidR="00A65D88">
        <w:t xml:space="preserve"> filed with the other. </w:t>
      </w:r>
      <w:r w:rsidR="00256596" w:rsidRPr="004B3FF5">
        <w:t xml:space="preserve">Typically, the agency </w:t>
      </w:r>
      <w:r w:rsidR="0093749E">
        <w:t>that</w:t>
      </w:r>
      <w:r w:rsidR="00256596" w:rsidRPr="004B3FF5">
        <w:t xml:space="preserve"> receives the charge first</w:t>
      </w:r>
      <w:r w:rsidR="00256596">
        <w:t xml:space="preserve">, </w:t>
      </w:r>
      <w:r w:rsidR="00941F4A">
        <w:t xml:space="preserve">either </w:t>
      </w:r>
      <w:r w:rsidR="00256596">
        <w:t xml:space="preserve">the EEOC or the FEPA, </w:t>
      </w:r>
      <w:r w:rsidR="00256596" w:rsidRPr="004B3FF5">
        <w:t xml:space="preserve">will conduct the investigation. Following a FEPA investigation, the charging party may request </w:t>
      </w:r>
      <w:r w:rsidR="00524087">
        <w:t xml:space="preserve">the EEOC conduct </w:t>
      </w:r>
      <w:r w:rsidR="00256596" w:rsidRPr="004B3FF5">
        <w:t xml:space="preserve">a </w:t>
      </w:r>
      <w:r w:rsidR="006474CA">
        <w:t>“</w:t>
      </w:r>
      <w:r w:rsidR="00256596" w:rsidRPr="004B3FF5">
        <w:t>substantial weight review</w:t>
      </w:r>
      <w:r w:rsidR="006474CA">
        <w:t>”</w:t>
      </w:r>
      <w:r w:rsidR="00256596" w:rsidRPr="004B3FF5">
        <w:t xml:space="preserve"> of the FEPA decision. In addition, the EEOC conducts random reviews of FEPA decisions. EEOC staff report approximately 23 percent of all FEPA charges are reviewed when considering both the individual</w:t>
      </w:r>
      <w:r w:rsidR="00256596">
        <w:t xml:space="preserve"> party</w:t>
      </w:r>
      <w:r w:rsidR="00256596" w:rsidRPr="004B3FF5">
        <w:t xml:space="preserve"> requests and the </w:t>
      </w:r>
      <w:r w:rsidR="00256596">
        <w:t>EEOC</w:t>
      </w:r>
      <w:r w:rsidR="006474CA">
        <w:t>’</w:t>
      </w:r>
      <w:r w:rsidR="00256596">
        <w:t xml:space="preserve">s </w:t>
      </w:r>
      <w:r w:rsidR="00256596" w:rsidRPr="004B3FF5">
        <w:t>random reviews. A FEPA error rate greater than 5 percent would result in EEOC action to seek to improve the work of the FEPA.</w:t>
      </w:r>
      <w:r w:rsidR="00256596" w:rsidRPr="004B3FF5">
        <w:rPr>
          <w:vertAlign w:val="superscript"/>
        </w:rPr>
        <w:endnoteReference w:id="73"/>
      </w:r>
      <w:r w:rsidR="00256596">
        <w:t xml:space="preserve"> EEOC staff report that no FEPA has </w:t>
      </w:r>
      <w:r w:rsidR="00256596" w:rsidRPr="004B3FF5">
        <w:t>ever exceeded the 5 percent error rate</w:t>
      </w:r>
      <w:r w:rsidR="00256596">
        <w:t>.</w:t>
      </w:r>
      <w:r w:rsidR="00256596" w:rsidRPr="004B3FF5">
        <w:t xml:space="preserve"> </w:t>
      </w:r>
      <w:r w:rsidR="00256596">
        <w:t xml:space="preserve">If </w:t>
      </w:r>
      <w:r w:rsidR="00060097">
        <w:t>a FE</w:t>
      </w:r>
      <w:r w:rsidR="00660754">
        <w:t>P</w:t>
      </w:r>
      <w:r w:rsidR="00060097">
        <w:t xml:space="preserve">A ever crossed </w:t>
      </w:r>
      <w:r w:rsidR="00256596">
        <w:t xml:space="preserve">the 5 percent </w:t>
      </w:r>
      <w:r w:rsidR="00060097">
        <w:t>error rate</w:t>
      </w:r>
      <w:r w:rsidR="00256596">
        <w:t>, t</w:t>
      </w:r>
      <w:r w:rsidR="00524087">
        <w:t>he Commission</w:t>
      </w:r>
      <w:r w:rsidR="00256596" w:rsidRPr="004B3FF5">
        <w:t xml:space="preserve"> would work to improve </w:t>
      </w:r>
      <w:r w:rsidR="00524087">
        <w:t>the FEPA</w:t>
      </w:r>
      <w:r w:rsidR="00256596" w:rsidRPr="004B3FF5">
        <w:t xml:space="preserve"> performance</w:t>
      </w:r>
      <w:r w:rsidR="00256596">
        <w:t xml:space="preserve"> </w:t>
      </w:r>
      <w:r w:rsidR="00660754">
        <w:t>and</w:t>
      </w:r>
      <w:r w:rsidR="00256596">
        <w:t xml:space="preserve"> not terminate the </w:t>
      </w:r>
      <w:r w:rsidR="005B4A06">
        <w:t>work-</w:t>
      </w:r>
      <w:r w:rsidR="00256596">
        <w:t>sharing agreement.</w:t>
      </w:r>
    </w:p>
    <w:p w14:paraId="137996E8" w14:textId="5302E945" w:rsidR="00396A3D" w:rsidRDefault="00631E24" w:rsidP="00396A3D">
      <w:pPr>
        <w:pStyle w:val="NCDBodyText"/>
      </w:pPr>
      <w:r w:rsidRPr="00631E24">
        <w:rPr>
          <w:i/>
        </w:rPr>
        <w:lastRenderedPageBreak/>
        <w:t>Promises to Keep</w:t>
      </w:r>
      <w:r w:rsidR="00256596" w:rsidRPr="004B3FF5">
        <w:t xml:space="preserve"> recommended the EEOC better explain the role of the FEPAs and offer more support, oversight, and training.</w:t>
      </w:r>
      <w:r w:rsidR="00256596" w:rsidRPr="004B3FF5">
        <w:rPr>
          <w:vertAlign w:val="superscript"/>
        </w:rPr>
        <w:endnoteReference w:id="74"/>
      </w:r>
      <w:r w:rsidR="00256596">
        <w:t xml:space="preserve"> The EEOC </w:t>
      </w:r>
      <w:r w:rsidR="00524087">
        <w:t>explains</w:t>
      </w:r>
      <w:r w:rsidR="00256596" w:rsidRPr="004B3FF5">
        <w:t xml:space="preserve"> the role of the FEPAs </w:t>
      </w:r>
      <w:r w:rsidR="00524087">
        <w:t xml:space="preserve">and </w:t>
      </w:r>
      <w:r w:rsidR="00256596" w:rsidRPr="004B3FF5">
        <w:t>provides an explanation of dual filing.</w:t>
      </w:r>
      <w:r w:rsidR="00256596" w:rsidRPr="004B3FF5">
        <w:rPr>
          <w:vertAlign w:val="superscript"/>
        </w:rPr>
        <w:endnoteReference w:id="75"/>
      </w:r>
      <w:r w:rsidR="00256596" w:rsidRPr="004B3FF5">
        <w:t xml:space="preserve"> </w:t>
      </w:r>
      <w:r w:rsidR="00524087">
        <w:t>Researchers found that t</w:t>
      </w:r>
      <w:r w:rsidR="00256596" w:rsidRPr="004B3FF5">
        <w:t>he language</w:t>
      </w:r>
      <w:r w:rsidR="00256596">
        <w:t xml:space="preserve"> </w:t>
      </w:r>
      <w:r w:rsidR="00060097">
        <w:t xml:space="preserve">used </w:t>
      </w:r>
      <w:r w:rsidR="00524087">
        <w:t xml:space="preserve">to explain the role of the FEPA </w:t>
      </w:r>
      <w:r w:rsidR="00060097">
        <w:t>is at a</w:t>
      </w:r>
      <w:r w:rsidR="00256596" w:rsidRPr="004B3FF5">
        <w:t xml:space="preserve"> 13.7 </w:t>
      </w:r>
      <w:r w:rsidR="00256596">
        <w:t xml:space="preserve">grade level </w:t>
      </w:r>
      <w:r w:rsidR="00256596" w:rsidRPr="004B3FF5">
        <w:t>under the Flesch-Kincaid Grade-Level</w:t>
      </w:r>
      <w:r w:rsidR="00256596">
        <w:t xml:space="preserve"> scale</w:t>
      </w:r>
      <w:r w:rsidR="00256596" w:rsidRPr="004B3FF5">
        <w:t>.</w:t>
      </w:r>
      <w:r w:rsidR="00256596" w:rsidRPr="004B3FF5">
        <w:rPr>
          <w:vertAlign w:val="superscript"/>
        </w:rPr>
        <w:endnoteReference w:id="76"/>
      </w:r>
      <w:r w:rsidR="00256596" w:rsidRPr="004B3FF5">
        <w:t xml:space="preserve"> </w:t>
      </w:r>
      <w:r w:rsidR="00256596">
        <w:t>People</w:t>
      </w:r>
      <w:r w:rsidR="00256596" w:rsidRPr="004B3FF5">
        <w:t xml:space="preserve"> with intellectual, cognitive, or certain learning disabilities might have difficulty understanding the role of the FEPA. The </w:t>
      </w:r>
      <w:r w:rsidR="00256596">
        <w:t xml:space="preserve">EEOC </w:t>
      </w:r>
      <w:r w:rsidR="00256596" w:rsidRPr="004B3FF5">
        <w:t>description does not clearly state</w:t>
      </w:r>
      <w:r w:rsidR="003C2FA7">
        <w:t xml:space="preserve"> that</w:t>
      </w:r>
      <w:r w:rsidR="00256596">
        <w:t xml:space="preserve"> </w:t>
      </w:r>
      <w:r w:rsidR="00256596" w:rsidRPr="004B3FF5">
        <w:t>the FEPA will likely investigate the charge if filed first with the FEPA</w:t>
      </w:r>
      <w:r w:rsidR="00256596">
        <w:t>, using instead a more bureaucratic term</w:t>
      </w:r>
      <w:r w:rsidR="00256596" w:rsidRPr="004B3FF5">
        <w:t xml:space="preserve"> that the FEPA will </w:t>
      </w:r>
      <w:r w:rsidR="006474CA">
        <w:t>“</w:t>
      </w:r>
      <w:r w:rsidR="00256596" w:rsidRPr="004B3FF5">
        <w:t>process the charge.</w:t>
      </w:r>
      <w:r w:rsidR="006474CA">
        <w:t>”</w:t>
      </w:r>
    </w:p>
    <w:p w14:paraId="0124F0E4" w14:textId="3F79F956" w:rsidR="00296DA5" w:rsidRDefault="00660754" w:rsidP="00396A3D">
      <w:pPr>
        <w:pStyle w:val="NCDBodyText"/>
      </w:pPr>
      <w:r>
        <w:t xml:space="preserve">An assessment </w:t>
      </w:r>
      <w:r w:rsidR="00524087">
        <w:t xml:space="preserve">of </w:t>
      </w:r>
      <w:r>
        <w:t xml:space="preserve">FEPA websites also suggests the </w:t>
      </w:r>
      <w:r w:rsidR="00256596" w:rsidRPr="004B3FF5">
        <w:t>EEOC/FEPA</w:t>
      </w:r>
      <w:r>
        <w:t xml:space="preserve"> relationship is not clearly explained, if at all.</w:t>
      </w:r>
      <w:r w:rsidR="00256596" w:rsidRPr="004B3FF5">
        <w:t xml:space="preserve"> </w:t>
      </w:r>
      <w:r>
        <w:t>A</w:t>
      </w:r>
      <w:r w:rsidR="00256596" w:rsidRPr="004B3FF5">
        <w:t xml:space="preserve"> random review of 10 percent of the FEPA websites revealed little or no mention of the role of the EEOC.</w:t>
      </w:r>
      <w:r w:rsidR="00256596" w:rsidRPr="004B3FF5">
        <w:rPr>
          <w:vertAlign w:val="superscript"/>
        </w:rPr>
        <w:endnoteReference w:id="77"/>
      </w:r>
      <w:r w:rsidR="00256596" w:rsidRPr="004B3FF5">
        <w:t xml:space="preserve"> Only three of 12 websites reviewed mention the </w:t>
      </w:r>
      <w:r w:rsidR="003C2FA7">
        <w:t>work-shar</w:t>
      </w:r>
      <w:r w:rsidR="00256596" w:rsidRPr="004B3FF5">
        <w:t>ing role between the EEOC and the FEPA. Two of the websites reviewed reference</w:t>
      </w:r>
      <w:r w:rsidR="00524087">
        <w:t>,</w:t>
      </w:r>
      <w:r w:rsidR="00256596" w:rsidRPr="004B3FF5">
        <w:t xml:space="preserve"> </w:t>
      </w:r>
      <w:r w:rsidR="00524087">
        <w:t xml:space="preserve">but are not clear, about </w:t>
      </w:r>
      <w:r w:rsidR="00256596">
        <w:t>the exact</w:t>
      </w:r>
      <w:r w:rsidR="00256596" w:rsidRPr="004B3FF5">
        <w:t xml:space="preserve"> role of </w:t>
      </w:r>
      <w:r w:rsidR="00256596">
        <w:t>the</w:t>
      </w:r>
      <w:r w:rsidR="00524087" w:rsidRPr="00524087">
        <w:t xml:space="preserve"> </w:t>
      </w:r>
      <w:r w:rsidR="00524087" w:rsidRPr="004B3FF5">
        <w:t>EEOC</w:t>
      </w:r>
      <w:r w:rsidR="00256596" w:rsidRPr="004B3FF5">
        <w:t>. The remaining six websites reviewed had no indication of any working interaction between the EEOC and the FEPA.</w:t>
      </w:r>
      <w:r w:rsidR="00E7456F" w:rsidRPr="00E7456F">
        <w:t xml:space="preserve"> </w:t>
      </w:r>
      <w:r w:rsidR="00E7456F" w:rsidRPr="00E7456F">
        <w:rPr>
          <w:b/>
        </w:rPr>
        <w:t xml:space="preserve">NCD reiterates the recommendation from </w:t>
      </w:r>
      <w:r w:rsidR="00631E24" w:rsidRPr="003C7C4B">
        <w:rPr>
          <w:b/>
          <w:i/>
        </w:rPr>
        <w:t>Promises to Keep</w:t>
      </w:r>
      <w:r w:rsidR="00E7456F" w:rsidRPr="00E7456F">
        <w:rPr>
          <w:b/>
        </w:rPr>
        <w:t xml:space="preserve"> that the EEOC improve the public understanding of the relationship between the EEOC and the FEPAs by requiring appropriate explanations on </w:t>
      </w:r>
      <w:r w:rsidR="00242AEF">
        <w:rPr>
          <w:b/>
        </w:rPr>
        <w:t>EEOC a</w:t>
      </w:r>
      <w:r w:rsidR="00242AEF" w:rsidRPr="00E7456F">
        <w:rPr>
          <w:b/>
        </w:rPr>
        <w:t>nd the FEPA</w:t>
      </w:r>
      <w:r w:rsidR="00242AEF">
        <w:rPr>
          <w:b/>
        </w:rPr>
        <w:t xml:space="preserve"> </w:t>
      </w:r>
      <w:r w:rsidRPr="00E7456F">
        <w:rPr>
          <w:b/>
        </w:rPr>
        <w:t>webpages and fact</w:t>
      </w:r>
      <w:r w:rsidR="006606F6">
        <w:rPr>
          <w:b/>
        </w:rPr>
        <w:t xml:space="preserve"> </w:t>
      </w:r>
      <w:r w:rsidRPr="00E7456F">
        <w:rPr>
          <w:b/>
        </w:rPr>
        <w:t>sheets</w:t>
      </w:r>
      <w:r w:rsidR="00E7456F" w:rsidRPr="00E7456F">
        <w:rPr>
          <w:b/>
        </w:rPr>
        <w:t xml:space="preserve">. The EEOC should improve and simplify its explanation of the role of the FEPAs by following </w:t>
      </w:r>
      <w:r w:rsidR="00524087">
        <w:rPr>
          <w:b/>
        </w:rPr>
        <w:t xml:space="preserve">the </w:t>
      </w:r>
      <w:r w:rsidR="00E7456F" w:rsidRPr="00E7456F">
        <w:rPr>
          <w:b/>
        </w:rPr>
        <w:t xml:space="preserve">requirements </w:t>
      </w:r>
      <w:r w:rsidR="00524087">
        <w:rPr>
          <w:b/>
        </w:rPr>
        <w:t>of</w:t>
      </w:r>
      <w:r w:rsidR="00E7456F" w:rsidRPr="00E7456F">
        <w:rPr>
          <w:b/>
        </w:rPr>
        <w:t xml:space="preserve"> the Plain Writing Act.</w:t>
      </w:r>
    </w:p>
    <w:p w14:paraId="2CC4C6AE" w14:textId="77777777" w:rsidR="00296DA5" w:rsidRDefault="00256596" w:rsidP="00396A3D">
      <w:pPr>
        <w:pStyle w:val="NCDBodyText"/>
      </w:pPr>
      <w:r w:rsidRPr="004B3FF5">
        <w:t>In regard to FEPA training and support, the EEOC explained that FEPA staff are invited to EEOC investigator training</w:t>
      </w:r>
      <w:r w:rsidR="006606F6">
        <w:t xml:space="preserve"> session</w:t>
      </w:r>
      <w:r w:rsidRPr="004B3FF5">
        <w:t xml:space="preserve">s and webinars, and larger FEPAs often participate in </w:t>
      </w:r>
      <w:r>
        <w:t xml:space="preserve">the </w:t>
      </w:r>
      <w:r w:rsidRPr="004B3FF5">
        <w:t>EEOC</w:t>
      </w:r>
      <w:r w:rsidR="006474CA">
        <w:t>’</w:t>
      </w:r>
      <w:r>
        <w:t>s</w:t>
      </w:r>
      <w:r w:rsidRPr="004B3FF5">
        <w:t xml:space="preserve"> multiday intermediate investigator training. The exact number of FEPA staff who attend these trainings is unknown. While training opportunities</w:t>
      </w:r>
      <w:r w:rsidR="00FB59D7">
        <w:t xml:space="preserve"> on the ADA</w:t>
      </w:r>
      <w:r w:rsidRPr="004B3FF5">
        <w:t xml:space="preserve"> for FEPA staff may have increased since 2000, there is no indication of the actual number of FEPA staff who participated</w:t>
      </w:r>
      <w:r>
        <w:t xml:space="preserve"> in ADA training</w:t>
      </w:r>
      <w:r w:rsidRPr="004B3FF5">
        <w:t>.</w:t>
      </w:r>
    </w:p>
    <w:p w14:paraId="65719370" w14:textId="77777777" w:rsidR="00296DA5" w:rsidRDefault="00256596" w:rsidP="00396A3D">
      <w:pPr>
        <w:pStyle w:val="NCDBodyText"/>
        <w:rPr>
          <w:b/>
        </w:rPr>
      </w:pPr>
      <w:r w:rsidRPr="004B3FF5">
        <w:t xml:space="preserve">Finally, it </w:t>
      </w:r>
      <w:r w:rsidR="0040350B">
        <w:t>should be noted that</w:t>
      </w:r>
      <w:r w:rsidRPr="004B3FF5">
        <w:t xml:space="preserve"> </w:t>
      </w:r>
      <w:r w:rsidR="00060097" w:rsidRPr="004B3FF5">
        <w:t xml:space="preserve">a federal jury </w:t>
      </w:r>
      <w:r w:rsidR="00060097">
        <w:t>found</w:t>
      </w:r>
      <w:r w:rsidR="0086726B">
        <w:t xml:space="preserve"> that</w:t>
      </w:r>
      <w:r w:rsidR="0040350B">
        <w:t xml:space="preserve"> a</w:t>
      </w:r>
      <w:r w:rsidRPr="004B3FF5">
        <w:t xml:space="preserve"> FEPA</w:t>
      </w:r>
      <w:r w:rsidR="004E6636">
        <w:t>, in its capacity as an employer,</w:t>
      </w:r>
      <w:r w:rsidRPr="004B3FF5">
        <w:t xml:space="preserve"> </w:t>
      </w:r>
      <w:r w:rsidR="00060097">
        <w:t xml:space="preserve">had </w:t>
      </w:r>
      <w:r w:rsidRPr="004B3FF5">
        <w:t xml:space="preserve">discriminated against an employee with a disability who requested an accommodation. The FEPA asserted, among other arguments rejected by the federal court, that </w:t>
      </w:r>
      <w:r>
        <w:t>Section</w:t>
      </w:r>
      <w:r w:rsidRPr="004B3FF5">
        <w:t xml:space="preserve"> 504 of the Rehabilitation Act did not require the provision of an </w:t>
      </w:r>
      <w:r w:rsidRPr="004B3FF5">
        <w:lastRenderedPageBreak/>
        <w:t xml:space="preserve">accommodation of a </w:t>
      </w:r>
      <w:r w:rsidR="0066488A" w:rsidRPr="004B3FF5">
        <w:t>climate</w:t>
      </w:r>
      <w:r w:rsidR="0066488A">
        <w:t>-</w:t>
      </w:r>
      <w:r w:rsidRPr="004B3FF5">
        <w:t xml:space="preserve">controlled office </w:t>
      </w:r>
      <w:r w:rsidR="0066488A">
        <w:t>because</w:t>
      </w:r>
      <w:r w:rsidR="0066488A" w:rsidRPr="004B3FF5">
        <w:t xml:space="preserve"> </w:t>
      </w:r>
      <w:r w:rsidRPr="004B3FF5">
        <w:t>the employee</w:t>
      </w:r>
      <w:r w:rsidR="006474CA">
        <w:t>’</w:t>
      </w:r>
      <w:r w:rsidRPr="004B3FF5">
        <w:t>s condition would eventually require her to stop working.</w:t>
      </w:r>
      <w:r w:rsidRPr="004B3FF5">
        <w:rPr>
          <w:vertAlign w:val="superscript"/>
        </w:rPr>
        <w:endnoteReference w:id="78"/>
      </w:r>
      <w:r w:rsidRPr="004B3FF5">
        <w:t xml:space="preserve"> Though no broad conclusions may be drawn about all FEPAs based on a single case, it </w:t>
      </w:r>
      <w:r>
        <w:t>is</w:t>
      </w:r>
      <w:r w:rsidRPr="004B3FF5">
        <w:t xml:space="preserve"> disturbing that a state entity with a relationship with the EEOC </w:t>
      </w:r>
      <w:r>
        <w:t>to enforce disability civil rights would take such a</w:t>
      </w:r>
      <w:r w:rsidRPr="004B3FF5">
        <w:t xml:space="preserve"> position regarding its own employment of a person with a disability. </w:t>
      </w:r>
      <w:r w:rsidR="00FB59D7" w:rsidRPr="00FB59D7">
        <w:rPr>
          <w:b/>
        </w:rPr>
        <w:t>NCD recommends the EEOC track the training completed by FEPA staff on the ADA and other disability civil rights laws as part of oversight of the quality of the work of a FEPA, and should low participation be found, develop methods to encourage FEPA staff participation in such trainings.</w:t>
      </w:r>
    </w:p>
    <w:p w14:paraId="0AF89B69" w14:textId="4C6AFE5C" w:rsidR="00296DA5" w:rsidRDefault="00631E24" w:rsidP="00396A3D">
      <w:pPr>
        <w:pStyle w:val="NCDBodyText"/>
      </w:pPr>
      <w:r w:rsidRPr="00631E24">
        <w:rPr>
          <w:i/>
        </w:rPr>
        <w:t>Promises to Keep</w:t>
      </w:r>
      <w:r w:rsidR="00256596" w:rsidRPr="004B3FF5">
        <w:t xml:space="preserve"> encouraged the EEOC to continue </w:t>
      </w:r>
      <w:r w:rsidR="00256596">
        <w:t>to</w:t>
      </w:r>
      <w:r w:rsidR="00256596" w:rsidRPr="004B3FF5">
        <w:t xml:space="preserve"> enhance a team approach on appropriate AD</w:t>
      </w:r>
      <w:r w:rsidR="00256596">
        <w:t>A investigations and litigation</w:t>
      </w:r>
      <w:r w:rsidR="00256596" w:rsidRPr="004B3FF5">
        <w:t>.</w:t>
      </w:r>
      <w:r w:rsidR="00256596" w:rsidRPr="004B3FF5">
        <w:rPr>
          <w:vertAlign w:val="superscript"/>
        </w:rPr>
        <w:endnoteReference w:id="79"/>
      </w:r>
      <w:r w:rsidR="0093316E">
        <w:t xml:space="preserve"> According to the EEOC</w:t>
      </w:r>
      <w:r w:rsidR="00256596" w:rsidRPr="004B3FF5">
        <w:t xml:space="preserve">, </w:t>
      </w:r>
      <w:r w:rsidR="006B6F86">
        <w:t>the Commission</w:t>
      </w:r>
      <w:r w:rsidR="00256596" w:rsidRPr="004B3FF5">
        <w:t xml:space="preserve"> is making progress to</w:t>
      </w:r>
      <w:r w:rsidR="007E66DE">
        <w:t>ward</w:t>
      </w:r>
      <w:r w:rsidR="00256596" w:rsidRPr="004B3FF5">
        <w:t xml:space="preserve"> creating a </w:t>
      </w:r>
      <w:r w:rsidR="006474CA">
        <w:t>“</w:t>
      </w:r>
      <w:r w:rsidR="00256596" w:rsidRPr="004B3FF5">
        <w:t>national law firm</w:t>
      </w:r>
      <w:r w:rsidR="006474CA">
        <w:t>”</w:t>
      </w:r>
      <w:r w:rsidR="00256596" w:rsidRPr="004B3FF5">
        <w:t xml:space="preserve"> model.</w:t>
      </w:r>
      <w:r w:rsidR="00256596" w:rsidRPr="004B3FF5">
        <w:rPr>
          <w:vertAlign w:val="superscript"/>
        </w:rPr>
        <w:endnoteReference w:id="80"/>
      </w:r>
      <w:r w:rsidR="00256596" w:rsidRPr="004B3FF5">
        <w:t xml:space="preserve"> Under this model, the Office</w:t>
      </w:r>
      <w:r w:rsidR="007C1E9F">
        <w:t>s</w:t>
      </w:r>
      <w:r w:rsidR="00256596" w:rsidRPr="004B3FF5">
        <w:t xml:space="preserve"> of General Counsel and Field Programs meet regularly to discuss pending investigations,</w:t>
      </w:r>
      <w:r w:rsidR="00242AEF">
        <w:t xml:space="preserve"> </w:t>
      </w:r>
      <w:r w:rsidR="00256596" w:rsidRPr="004B3FF5">
        <w:t xml:space="preserve">lead systemic investigators exist in every district, </w:t>
      </w:r>
      <w:r w:rsidR="00242AEF">
        <w:t>and</w:t>
      </w:r>
      <w:r w:rsidR="00256596" w:rsidRPr="004B3FF5">
        <w:t xml:space="preserve"> a national system</w:t>
      </w:r>
      <w:r w:rsidR="007C1E9F">
        <w:t>ic</w:t>
      </w:r>
      <w:r w:rsidR="00256596" w:rsidRPr="004B3FF5">
        <w:t xml:space="preserve"> investigations manage</w:t>
      </w:r>
      <w:r w:rsidR="00256596">
        <w:t>r</w:t>
      </w:r>
      <w:r w:rsidR="00256596" w:rsidRPr="004B3FF5">
        <w:t xml:space="preserve"> </w:t>
      </w:r>
      <w:r w:rsidR="00242AEF">
        <w:t xml:space="preserve">is </w:t>
      </w:r>
      <w:r w:rsidR="00256596" w:rsidRPr="004B3FF5">
        <w:t>located at EEOC headquarters.</w:t>
      </w:r>
      <w:r w:rsidR="00256596" w:rsidRPr="004B3FF5">
        <w:rPr>
          <w:vertAlign w:val="superscript"/>
        </w:rPr>
        <w:endnoteReference w:id="81"/>
      </w:r>
      <w:r w:rsidR="00256596" w:rsidRPr="004B3FF5">
        <w:t xml:space="preserve"> The EEOC </w:t>
      </w:r>
      <w:r w:rsidR="007C1E9F">
        <w:t>told</w:t>
      </w:r>
      <w:r w:rsidR="00256596" w:rsidRPr="004B3FF5">
        <w:t xml:space="preserve"> the researchers that</w:t>
      </w:r>
      <w:r w:rsidR="007C1E9F">
        <w:t xml:space="preserve"> the national database allows</w:t>
      </w:r>
      <w:r w:rsidR="00256596" w:rsidRPr="004B3FF5">
        <w:t xml:space="preserve"> investigator</w:t>
      </w:r>
      <w:r w:rsidR="007C1E9F">
        <w:t>s</w:t>
      </w:r>
      <w:r w:rsidR="00256596" w:rsidRPr="004B3FF5">
        <w:t xml:space="preserve"> to check on issues that migh</w:t>
      </w:r>
      <w:r w:rsidR="007C1E9F">
        <w:t>t have arisen in charges filed</w:t>
      </w:r>
      <w:r w:rsidR="00256596" w:rsidRPr="004B3FF5">
        <w:t xml:space="preserve"> in </w:t>
      </w:r>
      <w:r w:rsidR="007C1E9F">
        <w:t>other districts, improving the</w:t>
      </w:r>
      <w:r w:rsidR="00256596" w:rsidRPr="004B3FF5">
        <w:t xml:space="preserve"> chance to identify systemic issues.</w:t>
      </w:r>
    </w:p>
    <w:p w14:paraId="7AE3FC4D" w14:textId="150BC9B4" w:rsidR="00296DA5" w:rsidRDefault="003C269C" w:rsidP="00396A3D">
      <w:pPr>
        <w:pStyle w:val="NCDBodyText"/>
      </w:pPr>
      <w:r>
        <w:t xml:space="preserve">The EEOC </w:t>
      </w:r>
      <w:r w:rsidR="006B6F86">
        <w:t>indicated</w:t>
      </w:r>
      <w:r w:rsidR="004226C5">
        <w:t xml:space="preserve"> that the quality of </w:t>
      </w:r>
      <w:r>
        <w:t xml:space="preserve">intake, </w:t>
      </w:r>
      <w:r w:rsidR="004226C5">
        <w:t>investigations</w:t>
      </w:r>
      <w:r>
        <w:t xml:space="preserve">, and </w:t>
      </w:r>
      <w:r w:rsidR="004226C5">
        <w:t xml:space="preserve">the </w:t>
      </w:r>
      <w:r>
        <w:t>conciliation process is overseen</w:t>
      </w:r>
      <w:r w:rsidR="0050335C">
        <w:t xml:space="preserve"> first</w:t>
      </w:r>
      <w:r>
        <w:t xml:space="preserve"> by a supervisor who is responsible for six to eight investigators. EEOC headquarters staff also conduct a quality review of </w:t>
      </w:r>
      <w:r w:rsidR="00122CCF">
        <w:t xml:space="preserve">about </w:t>
      </w:r>
      <w:r>
        <w:t xml:space="preserve">1,500 </w:t>
      </w:r>
      <w:r w:rsidR="00524127">
        <w:t>to 2,00</w:t>
      </w:r>
      <w:r w:rsidR="004226C5">
        <w:t>0</w:t>
      </w:r>
      <w:r w:rsidR="00524127">
        <w:t xml:space="preserve"> </w:t>
      </w:r>
      <w:r>
        <w:t>charge</w:t>
      </w:r>
      <w:r w:rsidR="00524127">
        <w:t xml:space="preserve">s </w:t>
      </w:r>
      <w:r w:rsidR="007070B8">
        <w:t>resolved each</w:t>
      </w:r>
      <w:r w:rsidR="00471E8F">
        <w:t xml:space="preserve"> year</w:t>
      </w:r>
      <w:r>
        <w:t xml:space="preserve"> from across the districts </w:t>
      </w:r>
      <w:r w:rsidR="004226C5">
        <w:t>using</w:t>
      </w:r>
      <w:r>
        <w:t xml:space="preserve"> </w:t>
      </w:r>
      <w:r w:rsidR="003D00C5">
        <w:t>a quality criterion and</w:t>
      </w:r>
      <w:r>
        <w:t xml:space="preserve"> may conduct on-site technical assistance visits. Problems </w:t>
      </w:r>
      <w:r w:rsidR="004226C5">
        <w:t xml:space="preserve">uncovered </w:t>
      </w:r>
      <w:r w:rsidR="00471E8F">
        <w:t>are</w:t>
      </w:r>
      <w:r>
        <w:t xml:space="preserve"> discussed with the </w:t>
      </w:r>
      <w:r w:rsidR="00242AEF">
        <w:t>d</w:t>
      </w:r>
      <w:r>
        <w:t xml:space="preserve">istrict </w:t>
      </w:r>
      <w:r w:rsidR="00242AEF">
        <w:t>d</w:t>
      </w:r>
      <w:r>
        <w:t>irector. T</w:t>
      </w:r>
      <w:r w:rsidR="00524127">
        <w:t>he Commission issued</w:t>
      </w:r>
      <w:r w:rsidR="007070B8">
        <w:t xml:space="preserve"> a </w:t>
      </w:r>
      <w:r w:rsidR="00631E24" w:rsidRPr="00631E24">
        <w:rPr>
          <w:i/>
        </w:rPr>
        <w:t>Quality Practices for Effective Investigations and Conciliation</w:t>
      </w:r>
      <w:r w:rsidR="00524127">
        <w:t xml:space="preserve"> in September 2015</w:t>
      </w:r>
      <w:r w:rsidR="000332BD">
        <w:t>.</w:t>
      </w:r>
      <w:r w:rsidR="000332BD">
        <w:rPr>
          <w:rStyle w:val="EndnoteReference"/>
          <w:rFonts w:cs="Arial"/>
        </w:rPr>
        <w:endnoteReference w:id="82"/>
      </w:r>
      <w:r w:rsidR="000332BD">
        <w:t xml:space="preserve"> The</w:t>
      </w:r>
      <w:r w:rsidR="00471E8F">
        <w:t xml:space="preserve"> </w:t>
      </w:r>
      <w:r w:rsidR="00880DBF">
        <w:t>four-</w:t>
      </w:r>
      <w:r w:rsidR="00471E8F">
        <w:t>page</w:t>
      </w:r>
      <w:r w:rsidR="007070B8">
        <w:t xml:space="preserve"> </w:t>
      </w:r>
      <w:r w:rsidR="00631E24" w:rsidRPr="00631E24">
        <w:rPr>
          <w:i/>
        </w:rPr>
        <w:t>Quality Practices</w:t>
      </w:r>
      <w:r w:rsidR="00471E8F">
        <w:t xml:space="preserve"> document</w:t>
      </w:r>
      <w:r w:rsidR="007070B8">
        <w:t xml:space="preserve"> </w:t>
      </w:r>
      <w:r w:rsidR="00471E8F">
        <w:t>is</w:t>
      </w:r>
      <w:r w:rsidR="00B60DE6">
        <w:t xml:space="preserve"> very brief and extremely general,</w:t>
      </w:r>
      <w:r w:rsidR="007070B8">
        <w:t xml:space="preserve"> stating that investigators should utilize </w:t>
      </w:r>
      <w:r w:rsidR="006474CA">
        <w:t>“</w:t>
      </w:r>
      <w:r w:rsidR="007070B8">
        <w:t>investigative tools</w:t>
      </w:r>
      <w:r w:rsidR="000623FB">
        <w:t>,</w:t>
      </w:r>
      <w:r w:rsidR="006474CA">
        <w:t>”</w:t>
      </w:r>
      <w:r w:rsidR="000623FB">
        <w:t xml:space="preserve"> attempt to interview the charging party,</w:t>
      </w:r>
      <w:r w:rsidR="004226C5">
        <w:t xml:space="preserve"> and may request statements from the charging party or the employer.</w:t>
      </w:r>
      <w:r w:rsidR="00242AEF">
        <w:rPr>
          <w:rStyle w:val="EndnoteReference"/>
          <w:rFonts w:cs="Arial"/>
        </w:rPr>
        <w:endnoteReference w:id="83"/>
      </w:r>
      <w:r w:rsidR="004226C5">
        <w:t xml:space="preserve"> </w:t>
      </w:r>
      <w:r w:rsidR="00242AEF">
        <w:t>According to the document, i</w:t>
      </w:r>
      <w:r w:rsidR="004226C5">
        <w:t xml:space="preserve">nvestigator </w:t>
      </w:r>
      <w:r w:rsidR="00276843">
        <w:t xml:space="preserve">analysis and conclusions </w:t>
      </w:r>
      <w:r w:rsidR="004226C5">
        <w:t xml:space="preserve">should </w:t>
      </w:r>
      <w:r w:rsidR="00276843">
        <w:t xml:space="preserve">be </w:t>
      </w:r>
      <w:r w:rsidR="004226C5">
        <w:t>support</w:t>
      </w:r>
      <w:r w:rsidR="00276843">
        <w:t>ed</w:t>
      </w:r>
      <w:r w:rsidR="004226C5">
        <w:t xml:space="preserve"> </w:t>
      </w:r>
      <w:r w:rsidR="000623FB">
        <w:t>by</w:t>
      </w:r>
      <w:r w:rsidR="00276843">
        <w:t xml:space="preserve"> evidence and reflect a </w:t>
      </w:r>
      <w:r w:rsidR="006474CA">
        <w:t>“</w:t>
      </w:r>
      <w:r w:rsidR="000623FB">
        <w:t>reasonable application of the la</w:t>
      </w:r>
      <w:r w:rsidR="00276843">
        <w:t>w and current C</w:t>
      </w:r>
      <w:r w:rsidR="000623FB">
        <w:t>ommission policy.</w:t>
      </w:r>
      <w:r w:rsidR="006474CA">
        <w:t>”</w:t>
      </w:r>
      <w:r w:rsidR="00242AEF">
        <w:rPr>
          <w:rStyle w:val="EndnoteReference"/>
          <w:rFonts w:cs="Arial"/>
        </w:rPr>
        <w:endnoteReference w:id="84"/>
      </w:r>
    </w:p>
    <w:p w14:paraId="6633B45F" w14:textId="7C731223" w:rsidR="00296DA5" w:rsidRDefault="000623FB" w:rsidP="00396A3D">
      <w:pPr>
        <w:pStyle w:val="NCDBodyText"/>
      </w:pPr>
      <w:r>
        <w:lastRenderedPageBreak/>
        <w:t xml:space="preserve">Unlike other federal agencies such as the </w:t>
      </w:r>
      <w:r w:rsidR="00242AEF">
        <w:t>DOL Wage and Hour Division</w:t>
      </w:r>
      <w:r w:rsidR="006474CA">
        <w:t>’</w:t>
      </w:r>
      <w:r w:rsidR="00242AEF">
        <w:t>s</w:t>
      </w:r>
      <w:r w:rsidR="00E00D62">
        <w:t xml:space="preserve"> </w:t>
      </w:r>
      <w:r>
        <w:t xml:space="preserve">Field </w:t>
      </w:r>
      <w:r w:rsidR="004226C5">
        <w:t xml:space="preserve">Operations </w:t>
      </w:r>
      <w:r w:rsidR="00242AEF">
        <w:t>Handbook, the Office of Federal Contract Compliance Programs</w:t>
      </w:r>
      <w:r w:rsidR="006474CA">
        <w:t>’</w:t>
      </w:r>
      <w:r w:rsidR="00BF1F73">
        <w:t xml:space="preserve"> Compliance Manual, and</w:t>
      </w:r>
      <w:r>
        <w:t xml:space="preserve"> the Social Security Administration</w:t>
      </w:r>
      <w:r w:rsidR="006474CA">
        <w:t>’</w:t>
      </w:r>
      <w:r>
        <w:t>s Program Operations Manual</w:t>
      </w:r>
      <w:r w:rsidR="004226C5">
        <w:t>,</w:t>
      </w:r>
      <w:r>
        <w:t xml:space="preserve"> there </w:t>
      </w:r>
      <w:r w:rsidR="00276843">
        <w:t xml:space="preserve">is </w:t>
      </w:r>
      <w:r>
        <w:t xml:space="preserve">no current EEOC manual </w:t>
      </w:r>
      <w:r w:rsidR="0093749E">
        <w:t>that</w:t>
      </w:r>
      <w:r>
        <w:t xml:space="preserve"> covers the application of all laws enforced by the </w:t>
      </w:r>
      <w:r w:rsidR="00B60DE6">
        <w:t xml:space="preserve">Commission or </w:t>
      </w:r>
      <w:r w:rsidR="0093749E">
        <w:t>that</w:t>
      </w:r>
      <w:r w:rsidR="00B60DE6">
        <w:t xml:space="preserve"> </w:t>
      </w:r>
      <w:r>
        <w:t>provide</w:t>
      </w:r>
      <w:r w:rsidR="00B60DE6">
        <w:t xml:space="preserve">s investigative </w:t>
      </w:r>
      <w:r>
        <w:t>guidance to investigators.</w:t>
      </w:r>
      <w:r w:rsidR="0050335C">
        <w:t xml:space="preserve"> </w:t>
      </w:r>
      <w:r w:rsidR="004226C5">
        <w:t xml:space="preserve">The EEOC has an older compliance manual </w:t>
      </w:r>
      <w:r w:rsidR="0093749E">
        <w:t>that</w:t>
      </w:r>
      <w:r w:rsidR="004226C5">
        <w:t xml:space="preserve"> addresses procedural matters </w:t>
      </w:r>
      <w:r w:rsidR="0093749E">
        <w:t>that</w:t>
      </w:r>
      <w:r w:rsidR="004226C5">
        <w:t xml:space="preserve"> m</w:t>
      </w:r>
      <w:r w:rsidR="0050335C">
        <w:t xml:space="preserve">ay be referred to during </w:t>
      </w:r>
      <w:r w:rsidR="006B6F86">
        <w:t>an ADA investigation</w:t>
      </w:r>
      <w:r w:rsidR="004226C5">
        <w:t xml:space="preserve">, but </w:t>
      </w:r>
      <w:r w:rsidR="0050335C">
        <w:t xml:space="preserve">investigators mainly rely on EEOC facts sheets, Q&amp;As, </w:t>
      </w:r>
      <w:r w:rsidR="00276843">
        <w:t>and other documents create</w:t>
      </w:r>
      <w:r w:rsidR="0050335C">
        <w:t>d by the OLC</w:t>
      </w:r>
      <w:r w:rsidR="00276843">
        <w:t xml:space="preserve"> to determine ADA requirements.</w:t>
      </w:r>
      <w:r w:rsidR="00276843" w:rsidRPr="00276843">
        <w:rPr>
          <w:b/>
        </w:rPr>
        <w:t xml:space="preserve"> </w:t>
      </w:r>
      <w:r w:rsidR="008B1A8F" w:rsidRPr="008B1A8F">
        <w:rPr>
          <w:b/>
        </w:rPr>
        <w:t xml:space="preserve">NCD recommends the EEOC create, with input from the disability community, a specific methodology to assess the quality of investigations of ADA charges, </w:t>
      </w:r>
      <w:r w:rsidR="00242AEF">
        <w:rPr>
          <w:b/>
        </w:rPr>
        <w:t>to</w:t>
      </w:r>
      <w:r w:rsidR="008B1A8F" w:rsidRPr="008B1A8F">
        <w:rPr>
          <w:b/>
        </w:rPr>
        <w:t xml:space="preserve"> include </w:t>
      </w:r>
      <w:r w:rsidR="00880DBF">
        <w:rPr>
          <w:b/>
        </w:rPr>
        <w:t>(1</w:t>
      </w:r>
      <w:r w:rsidR="008B1A8F" w:rsidRPr="008B1A8F">
        <w:rPr>
          <w:b/>
        </w:rPr>
        <w:t xml:space="preserve">) intake interviews of persons with disabilities, </w:t>
      </w:r>
      <w:r w:rsidR="003C7C4B">
        <w:rPr>
          <w:b/>
        </w:rPr>
        <w:br/>
      </w:r>
      <w:r w:rsidR="00880DBF">
        <w:rPr>
          <w:b/>
        </w:rPr>
        <w:t>(2</w:t>
      </w:r>
      <w:r w:rsidR="008B1A8F" w:rsidRPr="008B1A8F">
        <w:rPr>
          <w:b/>
        </w:rPr>
        <w:t xml:space="preserve">) requests made for documentation of the discriminatory acts alleged, </w:t>
      </w:r>
      <w:r w:rsidR="003C7C4B">
        <w:rPr>
          <w:b/>
        </w:rPr>
        <w:br/>
      </w:r>
      <w:r w:rsidR="00880DBF">
        <w:rPr>
          <w:b/>
        </w:rPr>
        <w:t>(3</w:t>
      </w:r>
      <w:r w:rsidR="008B1A8F" w:rsidRPr="008B1A8F">
        <w:rPr>
          <w:b/>
        </w:rPr>
        <w:t xml:space="preserve">) whether overbroad or unnecessary requests were made for medical documentation based on the standards established through the ADAAA, </w:t>
      </w:r>
      <w:r w:rsidR="00880DBF">
        <w:rPr>
          <w:b/>
        </w:rPr>
        <w:t>(4</w:t>
      </w:r>
      <w:r w:rsidR="008B1A8F" w:rsidRPr="008B1A8F">
        <w:rPr>
          <w:b/>
        </w:rPr>
        <w:t xml:space="preserve">) the reasonableness of time provided to respond to requests, </w:t>
      </w:r>
      <w:r w:rsidR="00880DBF">
        <w:rPr>
          <w:b/>
        </w:rPr>
        <w:t>(5</w:t>
      </w:r>
      <w:r w:rsidR="008B1A8F" w:rsidRPr="008B1A8F">
        <w:rPr>
          <w:b/>
        </w:rPr>
        <w:t xml:space="preserve">) the quality of the review of the documentation and statements, and </w:t>
      </w:r>
      <w:r w:rsidR="00880DBF">
        <w:rPr>
          <w:b/>
        </w:rPr>
        <w:t>(6</w:t>
      </w:r>
      <w:r w:rsidR="00795DCE" w:rsidRPr="008B1A8F">
        <w:rPr>
          <w:b/>
        </w:rPr>
        <w:t xml:space="preserve">) </w:t>
      </w:r>
      <w:r w:rsidR="008B1A8F" w:rsidRPr="008B1A8F">
        <w:rPr>
          <w:b/>
        </w:rPr>
        <w:t>the application of the facts to the current state of law under the ADA.</w:t>
      </w:r>
    </w:p>
    <w:p w14:paraId="3540805A" w14:textId="77777777" w:rsidR="00296DA5" w:rsidRDefault="000623FB" w:rsidP="00396A3D">
      <w:pPr>
        <w:pStyle w:val="NCDBodyText"/>
      </w:pPr>
      <w:r>
        <w:t>Consistent with other federal enforcement agencies, EEOC investigators are cross trained on all l</w:t>
      </w:r>
      <w:r w:rsidR="00276843">
        <w:t>aws enforced by the Commission. Disability</w:t>
      </w:r>
      <w:r w:rsidR="00BF1F73">
        <w:t xml:space="preserve"> discrimination cases</w:t>
      </w:r>
      <w:r w:rsidR="00276843">
        <w:t xml:space="preserve">, however, </w:t>
      </w:r>
      <w:r w:rsidR="00BF1F73">
        <w:t xml:space="preserve">may </w:t>
      </w:r>
      <w:r w:rsidR="00276843">
        <w:t>contain nuances and com</w:t>
      </w:r>
      <w:r w:rsidR="00BF1F73">
        <w:t>plexities based on</w:t>
      </w:r>
      <w:r w:rsidR="00276843">
        <w:t xml:space="preserve"> the charging person</w:t>
      </w:r>
      <w:r w:rsidR="006474CA">
        <w:t>’</w:t>
      </w:r>
      <w:r w:rsidR="00276843">
        <w:t xml:space="preserve">s disability. This is especially the case </w:t>
      </w:r>
      <w:r w:rsidR="004E76C1">
        <w:t>in</w:t>
      </w:r>
      <w:r w:rsidR="00276843">
        <w:t xml:space="preserve"> request</w:t>
      </w:r>
      <w:r w:rsidR="0050335C">
        <w:t>s</w:t>
      </w:r>
      <w:r w:rsidR="00276843">
        <w:t xml:space="preserve"> for reasonable accommodations. </w:t>
      </w:r>
      <w:r w:rsidR="00471E8F">
        <w:t>While NCD recognizes the cost efficiency of cross-trained staff, a</w:t>
      </w:r>
      <w:r w:rsidR="00276843">
        <w:t xml:space="preserve"> specific </w:t>
      </w:r>
      <w:r w:rsidR="00471E8F">
        <w:t xml:space="preserve">understanding of </w:t>
      </w:r>
      <w:r w:rsidR="00276843">
        <w:t>disability issues, for example</w:t>
      </w:r>
      <w:r w:rsidR="00C90169">
        <w:t>,</w:t>
      </w:r>
      <w:r w:rsidR="00276843">
        <w:t xml:space="preserve"> understanding important differences between various mental health disabilities, intellectual disabilities, developmental disabilities, </w:t>
      </w:r>
      <w:r w:rsidR="00471E8F">
        <w:t>or</w:t>
      </w:r>
      <w:r w:rsidR="00276843">
        <w:t xml:space="preserve"> communications issues for the Deaf and Hard of Hearing and </w:t>
      </w:r>
      <w:r w:rsidR="0050335C">
        <w:t xml:space="preserve">the </w:t>
      </w:r>
      <w:r w:rsidR="006B6F86">
        <w:t>b</w:t>
      </w:r>
      <w:r w:rsidR="00276843">
        <w:t>lind and visually</w:t>
      </w:r>
      <w:r w:rsidR="00471E8F">
        <w:t xml:space="preserve"> impaired</w:t>
      </w:r>
      <w:r w:rsidR="00CF35BC">
        <w:t>,</w:t>
      </w:r>
      <w:r w:rsidR="00276843">
        <w:t xml:space="preserve"> can impact the outcome of an </w:t>
      </w:r>
      <w:r w:rsidR="0018439A">
        <w:t xml:space="preserve">ADA </w:t>
      </w:r>
      <w:r w:rsidR="00276843">
        <w:t xml:space="preserve">investigation. </w:t>
      </w:r>
      <w:r w:rsidR="007E56C2" w:rsidRPr="007E56C2">
        <w:rPr>
          <w:b/>
        </w:rPr>
        <w:t>NCD recommends the EEOC develop investigators who are specialists in disability issues and devoted specifically to investigate ADA charges.</w:t>
      </w:r>
    </w:p>
    <w:p w14:paraId="4C148612" w14:textId="689B9F70" w:rsidR="00396A3D" w:rsidRPr="006E37D6" w:rsidRDefault="00256596" w:rsidP="006E37D6">
      <w:pPr>
        <w:pStyle w:val="Heading3"/>
      </w:pPr>
      <w:bookmarkStart w:id="25" w:name="_Toc526182079"/>
      <w:r w:rsidRPr="006E37D6">
        <w:lastRenderedPageBreak/>
        <w:t>Timely Resolution of Complaints</w:t>
      </w:r>
      <w:bookmarkEnd w:id="25"/>
    </w:p>
    <w:p w14:paraId="498A03BA" w14:textId="77777777" w:rsidR="00296DA5" w:rsidRDefault="0086726B" w:rsidP="00396A3D">
      <w:pPr>
        <w:pStyle w:val="NCDBodyText"/>
      </w:pPr>
      <w:r>
        <w:t>T</w:t>
      </w:r>
      <w:r w:rsidRPr="004B3FF5">
        <w:t xml:space="preserve">he EEOC </w:t>
      </w:r>
      <w:r>
        <w:t>seeks to</w:t>
      </w:r>
      <w:r w:rsidRPr="004B3FF5">
        <w:t xml:space="preserve"> reduce what</w:t>
      </w:r>
      <w:r w:rsidR="00BB16B0">
        <w:t xml:space="preserve"> it terms the charge </w:t>
      </w:r>
      <w:r w:rsidR="006474CA">
        <w:t>“</w:t>
      </w:r>
      <w:r w:rsidR="00BB16B0">
        <w:t>inventory</w:t>
      </w:r>
      <w:r w:rsidR="006474CA">
        <w:t>”</w:t>
      </w:r>
      <w:r w:rsidR="00BB16B0">
        <w:t xml:space="preserve"> </w:t>
      </w:r>
      <w:r>
        <w:t xml:space="preserve">as an ongoing goal. </w:t>
      </w:r>
      <w:r w:rsidR="00037AD9">
        <w:t xml:space="preserve">Before </w:t>
      </w:r>
      <w:r w:rsidR="00256596" w:rsidRPr="004B3FF5">
        <w:t xml:space="preserve">the </w:t>
      </w:r>
      <w:r w:rsidR="00FB59D7">
        <w:t>PCHP</w:t>
      </w:r>
      <w:r w:rsidR="00256596" w:rsidRPr="00D57DEA">
        <w:t xml:space="preserve"> </w:t>
      </w:r>
      <w:r w:rsidR="00256596" w:rsidRPr="004B3FF5">
        <w:t xml:space="preserve">was adopted in </w:t>
      </w:r>
      <w:r>
        <w:t xml:space="preserve">FY </w:t>
      </w:r>
      <w:r w:rsidR="00256596" w:rsidRPr="004B3FF5">
        <w:t>1995, the policy of the Commission was to fully investigate every charge.</w:t>
      </w:r>
      <w:r w:rsidR="00256596" w:rsidRPr="004B3FF5">
        <w:rPr>
          <w:vertAlign w:val="superscript"/>
        </w:rPr>
        <w:endnoteReference w:id="85"/>
      </w:r>
      <w:r w:rsidR="00256596" w:rsidRPr="004B3FF5">
        <w:t xml:space="preserve"> </w:t>
      </w:r>
      <w:r w:rsidR="000623FB">
        <w:t>U</w:t>
      </w:r>
      <w:r w:rsidR="00256596" w:rsidRPr="004B3FF5">
        <w:t>se of PCH</w:t>
      </w:r>
      <w:r w:rsidR="00521B67">
        <w:t>P</w:t>
      </w:r>
      <w:r w:rsidR="00256596" w:rsidRPr="004B3FF5">
        <w:t xml:space="preserve"> reduced the inventory from 112,000 charges in </w:t>
      </w:r>
      <w:r>
        <w:t xml:space="preserve">FY </w:t>
      </w:r>
      <w:r w:rsidR="00256596" w:rsidRPr="004B3FF5">
        <w:t xml:space="preserve">1995 to 29,000 charges </w:t>
      </w:r>
      <w:r w:rsidR="006B6F86">
        <w:t>by</w:t>
      </w:r>
      <w:r w:rsidR="00256596" w:rsidRPr="004B3FF5">
        <w:t xml:space="preserve"> </w:t>
      </w:r>
      <w:r>
        <w:t xml:space="preserve">FY </w:t>
      </w:r>
      <w:r w:rsidR="00256596" w:rsidRPr="004B3FF5">
        <w:t>2002.</w:t>
      </w:r>
      <w:r w:rsidR="00256596" w:rsidRPr="004B3FF5">
        <w:rPr>
          <w:vertAlign w:val="superscript"/>
        </w:rPr>
        <w:endnoteReference w:id="86"/>
      </w:r>
      <w:r w:rsidR="00256596" w:rsidRPr="004B3FF5">
        <w:t xml:space="preserve"> </w:t>
      </w:r>
      <w:r w:rsidR="0018439A">
        <w:t xml:space="preserve">The EEOC inventory has also increased since the low point in FY 2002. The most recent peak occurred in FY 2010 when the </w:t>
      </w:r>
      <w:r w:rsidR="00CF35BC">
        <w:t>end-of-</w:t>
      </w:r>
      <w:r w:rsidR="0018439A">
        <w:t xml:space="preserve">year inventory was 86,000, dropping steadily to 61,621 charges at the end of FY 2017. </w:t>
      </w:r>
      <w:r w:rsidR="00564A81">
        <w:t xml:space="preserve">While at its lowest point in </w:t>
      </w:r>
      <w:r w:rsidR="00CF35BC">
        <w:t xml:space="preserve">10 </w:t>
      </w:r>
      <w:r w:rsidR="00564A81">
        <w:t>years, t</w:t>
      </w:r>
      <w:r w:rsidR="0018439A">
        <w:t>he inventory is still more than double the low</w:t>
      </w:r>
      <w:r w:rsidR="00CF35BC">
        <w:t xml:space="preserve"> </w:t>
      </w:r>
      <w:r w:rsidR="0018439A">
        <w:t>point in FY 2002.</w:t>
      </w:r>
    </w:p>
    <w:p w14:paraId="640DB103" w14:textId="77777777" w:rsidR="00296DA5" w:rsidRDefault="00256596" w:rsidP="00396A3D">
      <w:pPr>
        <w:pStyle w:val="NCDBodyText"/>
      </w:pPr>
      <w:r w:rsidRPr="004B3FF5">
        <w:t xml:space="preserve">The average time to resolve a complaint in </w:t>
      </w:r>
      <w:r>
        <w:t xml:space="preserve">FY </w:t>
      </w:r>
      <w:r w:rsidRPr="004B3FF5">
        <w:t>2002 was 160 days</w:t>
      </w:r>
      <w:r w:rsidR="00FB59D7">
        <w:t xml:space="preserve">, but this has </w:t>
      </w:r>
      <w:r>
        <w:t>steadily increased</w:t>
      </w:r>
      <w:r w:rsidRPr="004B3FF5">
        <w:t>.</w:t>
      </w:r>
      <w:r w:rsidRPr="004B3FF5">
        <w:rPr>
          <w:vertAlign w:val="superscript"/>
        </w:rPr>
        <w:endnoteReference w:id="87"/>
      </w:r>
      <w:r>
        <w:t xml:space="preserve"> In FY 2016, </w:t>
      </w:r>
      <w:r w:rsidRPr="004B3FF5">
        <w:t xml:space="preserve">with a reduced staff, the average time to resolve complaints increased to </w:t>
      </w:r>
      <w:r w:rsidR="00CF35BC">
        <w:t xml:space="preserve">more than </w:t>
      </w:r>
      <w:r>
        <w:t xml:space="preserve">300 days, slightly improving to 295 days in FY 2017. Since </w:t>
      </w:r>
      <w:r w:rsidR="0086726B">
        <w:t xml:space="preserve">FY </w:t>
      </w:r>
      <w:r>
        <w:t>2000, on average it takes 241 days from receipt of a complaint to resolution.</w:t>
      </w:r>
      <w:r w:rsidR="006B6F86" w:rsidRPr="004B3FF5">
        <w:rPr>
          <w:vertAlign w:val="superscript"/>
        </w:rPr>
        <w:endnoteReference w:id="88"/>
      </w:r>
      <w:r w:rsidR="0018439A">
        <w:t xml:space="preserve"> </w:t>
      </w:r>
      <w:r w:rsidRPr="004B3FF5">
        <w:t xml:space="preserve">The increased average time to resolve a complaint reported is echoed in several comments by participants in the focus discussion groups </w:t>
      </w:r>
      <w:r w:rsidR="00242AEF">
        <w:t xml:space="preserve">about </w:t>
      </w:r>
      <w:r w:rsidRPr="004B3FF5">
        <w:t>investigations</w:t>
      </w:r>
      <w:r w:rsidR="00242AEF">
        <w:t xml:space="preserve"> </w:t>
      </w:r>
      <w:r w:rsidR="0093749E">
        <w:t>that</w:t>
      </w:r>
      <w:r w:rsidR="00242AEF">
        <w:t xml:space="preserve"> dragged</w:t>
      </w:r>
      <w:r w:rsidR="00C274AC">
        <w:t xml:space="preserve"> on for several </w:t>
      </w:r>
      <w:r w:rsidR="003D00C5">
        <w:t xml:space="preserve">years, </w:t>
      </w:r>
      <w:r w:rsidR="003D00C5" w:rsidRPr="004B3FF5">
        <w:t>waiting</w:t>
      </w:r>
      <w:r w:rsidRPr="004B3FF5">
        <w:t xml:space="preserve"> one to two years </w:t>
      </w:r>
      <w:r w:rsidR="00242AEF">
        <w:t>before</w:t>
      </w:r>
      <w:r w:rsidRPr="004B3FF5">
        <w:t xml:space="preserve"> case closure. One participant believed the investigator re-started the investigation from the beginning over the course of several years, and several participants were told by investigators they had too many cases. One focus group participant report</w:t>
      </w:r>
      <w:r w:rsidR="006B6F86">
        <w:t xml:space="preserve">ed, however, </w:t>
      </w:r>
      <w:r w:rsidRPr="004B3FF5">
        <w:t xml:space="preserve">that the EEOC issued a reasonable cause finding within about six months. </w:t>
      </w:r>
      <w:r w:rsidR="007E56C2" w:rsidRPr="007E56C2">
        <w:rPr>
          <w:b/>
        </w:rPr>
        <w:t xml:space="preserve">NCD recommends the EEOC prioritize the reduction of the charge inventory and processing times to FY 2002 levels through </w:t>
      </w:r>
      <w:r w:rsidR="007E56C2">
        <w:rPr>
          <w:b/>
        </w:rPr>
        <w:t>an</w:t>
      </w:r>
      <w:r w:rsidR="007E56C2" w:rsidRPr="007E56C2">
        <w:rPr>
          <w:b/>
        </w:rPr>
        <w:t xml:space="preserve"> increase in staff levels.</w:t>
      </w:r>
    </w:p>
    <w:p w14:paraId="54DC90F3" w14:textId="4EBDD7D4" w:rsidR="00256596" w:rsidRDefault="002957E2" w:rsidP="006E37D6">
      <w:pPr>
        <w:pStyle w:val="Heading3"/>
      </w:pPr>
      <w:bookmarkStart w:id="26" w:name="_Toc526182080"/>
      <w:r w:rsidRPr="007E56C2">
        <w:t>Communication with Complainants</w:t>
      </w:r>
      <w:r>
        <w:t xml:space="preserve"> and the Community</w:t>
      </w:r>
      <w:bookmarkEnd w:id="26"/>
    </w:p>
    <w:p w14:paraId="23C259BA" w14:textId="77777777" w:rsidR="00296DA5" w:rsidRDefault="00256596" w:rsidP="00396A3D">
      <w:pPr>
        <w:pStyle w:val="NCDBodyText"/>
      </w:pPr>
      <w:r w:rsidRPr="004B3FF5">
        <w:t>Independently assessing the communications of th</w:t>
      </w:r>
      <w:r w:rsidR="00FB59D7">
        <w:t xml:space="preserve">e EEOC </w:t>
      </w:r>
      <w:r w:rsidRPr="004B3FF5">
        <w:t xml:space="preserve">with </w:t>
      </w:r>
      <w:r>
        <w:t>people</w:t>
      </w:r>
      <w:r w:rsidRPr="004B3FF5">
        <w:t xml:space="preserve"> with disabilities and complain</w:t>
      </w:r>
      <w:r w:rsidR="00795DCE">
        <w:t>an</w:t>
      </w:r>
      <w:r w:rsidRPr="004B3FF5">
        <w:t>ts on a generalized national basis is difficult given the lack of data and measurable outcomes. EEOC staff reported</w:t>
      </w:r>
      <w:r w:rsidR="00941F4A" w:rsidRPr="00941F4A">
        <w:t xml:space="preserve"> that</w:t>
      </w:r>
      <w:r w:rsidRPr="00941F4A">
        <w:t xml:space="preserve"> </w:t>
      </w:r>
      <w:r w:rsidRPr="004B3FF5">
        <w:t>each district seeks out substantial partners, which include at least one disability organization</w:t>
      </w:r>
      <w:r>
        <w:t>.</w:t>
      </w:r>
    </w:p>
    <w:p w14:paraId="780FC1D1" w14:textId="77777777" w:rsidR="00296DA5" w:rsidRDefault="000623FB" w:rsidP="00396A3D">
      <w:pPr>
        <w:pStyle w:val="NCDBodyText"/>
        <w:rPr>
          <w:b/>
        </w:rPr>
      </w:pPr>
      <w:r>
        <w:t>A</w:t>
      </w:r>
      <w:r w:rsidR="00256596" w:rsidRPr="004B3FF5">
        <w:t xml:space="preserve"> number of participants </w:t>
      </w:r>
      <w:r>
        <w:t xml:space="preserve">from the three focus groups </w:t>
      </w:r>
      <w:r w:rsidR="00256596" w:rsidRPr="004B3FF5">
        <w:t>complained</w:t>
      </w:r>
      <w:r w:rsidR="00711ED5">
        <w:t xml:space="preserve"> </w:t>
      </w:r>
      <w:r w:rsidR="00256596" w:rsidRPr="004B3FF5">
        <w:t xml:space="preserve">about the lack of communication after </w:t>
      </w:r>
      <w:r w:rsidR="007E56C2">
        <w:t xml:space="preserve">contacting the EEOC. </w:t>
      </w:r>
      <w:r w:rsidR="007E56C2" w:rsidRPr="004B3FF5">
        <w:t xml:space="preserve">The complaints ranged from a participant </w:t>
      </w:r>
      <w:r w:rsidR="007E56C2" w:rsidRPr="004B3FF5">
        <w:lastRenderedPageBreak/>
        <w:t>who said she initially went to her local EEOC office in March 2015</w:t>
      </w:r>
      <w:r w:rsidR="007E56C2">
        <w:t>,</w:t>
      </w:r>
      <w:r w:rsidR="007E56C2" w:rsidRPr="004B3FF5">
        <w:t xml:space="preserve"> but her charge was not actually filed until the fall of that year, to others who reported long time gaps in communication with the investigator. </w:t>
      </w:r>
      <w:r w:rsidR="0086726B">
        <w:t>O</w:t>
      </w:r>
      <w:r w:rsidR="00256596" w:rsidRPr="004B3FF5">
        <w:t>ne partici</w:t>
      </w:r>
      <w:r w:rsidR="007E56C2">
        <w:t>pant did appreciate the new</w:t>
      </w:r>
      <w:r w:rsidR="00256596" w:rsidRPr="004B3FF5">
        <w:t xml:space="preserve"> online portal</w:t>
      </w:r>
      <w:r w:rsidR="00795DCE">
        <w:t>,</w:t>
      </w:r>
      <w:r w:rsidR="007E56C2">
        <w:t xml:space="preserve"> which </w:t>
      </w:r>
      <w:r w:rsidR="00256596" w:rsidRPr="004B3FF5">
        <w:t xml:space="preserve">allowed her to learn that an investigator had been assigned to her complaint. </w:t>
      </w:r>
      <w:r w:rsidR="004A04E2" w:rsidRPr="004A04E2">
        <w:rPr>
          <w:b/>
        </w:rPr>
        <w:t xml:space="preserve">NCD recommends the EEOC improve communications with </w:t>
      </w:r>
      <w:r w:rsidR="00A57F82">
        <w:rPr>
          <w:b/>
        </w:rPr>
        <w:t xml:space="preserve">people who file a charge </w:t>
      </w:r>
      <w:r w:rsidR="004A04E2" w:rsidRPr="004A04E2">
        <w:rPr>
          <w:b/>
        </w:rPr>
        <w:t>by requiring that investigators respond to inquiries</w:t>
      </w:r>
      <w:r w:rsidR="00842335">
        <w:rPr>
          <w:b/>
        </w:rPr>
        <w:t xml:space="preserve"> made</w:t>
      </w:r>
      <w:r w:rsidR="004A04E2" w:rsidRPr="004A04E2">
        <w:rPr>
          <w:b/>
        </w:rPr>
        <w:t xml:space="preserve"> </w:t>
      </w:r>
      <w:r w:rsidR="00711ED5">
        <w:rPr>
          <w:b/>
        </w:rPr>
        <w:t xml:space="preserve">by </w:t>
      </w:r>
      <w:r w:rsidR="004A04E2" w:rsidRPr="004A04E2">
        <w:rPr>
          <w:b/>
        </w:rPr>
        <w:t>charging parties within 30 days of the inquiry.</w:t>
      </w:r>
    </w:p>
    <w:p w14:paraId="48D13CFD" w14:textId="71F8FD06" w:rsidR="00A01D1B" w:rsidRPr="00256596" w:rsidRDefault="00256596" w:rsidP="006E37D6">
      <w:pPr>
        <w:pStyle w:val="Heading3"/>
      </w:pPr>
      <w:bookmarkStart w:id="27" w:name="_Toc526182081"/>
      <w:r w:rsidRPr="00256596">
        <w:t>Strategic Litigation</w:t>
      </w:r>
      <w:bookmarkEnd w:id="27"/>
    </w:p>
    <w:p w14:paraId="72AEDCAE" w14:textId="15A68B5C" w:rsidR="00296DA5" w:rsidRDefault="00F71070" w:rsidP="00396A3D">
      <w:pPr>
        <w:pStyle w:val="NCDBodyText"/>
      </w:pPr>
      <w:r>
        <w:t xml:space="preserve">The number </w:t>
      </w:r>
      <w:r w:rsidR="006B6F86">
        <w:t xml:space="preserve">of </w:t>
      </w:r>
      <w:r w:rsidRPr="004B3FF5">
        <w:t xml:space="preserve">EEOC </w:t>
      </w:r>
      <w:r>
        <w:t>cases litigated</w:t>
      </w:r>
      <w:r w:rsidRPr="004B3FF5">
        <w:t xml:space="preserve"> under the ADA </w:t>
      </w:r>
      <w:r w:rsidR="002564AF">
        <w:t xml:space="preserve">has </w:t>
      </w:r>
      <w:r>
        <w:t xml:space="preserve">significantly increased </w:t>
      </w:r>
      <w:r w:rsidRPr="004B3FF5">
        <w:t xml:space="preserve">since </w:t>
      </w:r>
      <w:r w:rsidR="00631E24" w:rsidRPr="00631E24">
        <w:rPr>
          <w:i/>
        </w:rPr>
        <w:t>Promises to Keep</w:t>
      </w:r>
      <w:r w:rsidRPr="00F370C7">
        <w:t>,</w:t>
      </w:r>
      <w:r w:rsidRPr="004B3FF5">
        <w:t xml:space="preserve"> primarily due to the ADAAA</w:t>
      </w:r>
      <w:r>
        <w:t>.</w:t>
      </w:r>
      <w:r w:rsidRPr="00F71070">
        <w:t xml:space="preserve"> Under the ADAAA, Congress clarified the ADA definition of </w:t>
      </w:r>
      <w:r w:rsidR="00355320">
        <w:t>“</w:t>
      </w:r>
      <w:r w:rsidRPr="00F71070">
        <w:t>disability</w:t>
      </w:r>
      <w:r w:rsidR="00355320">
        <w:t>”</w:t>
      </w:r>
      <w:r w:rsidRPr="00F71070">
        <w:t xml:space="preserve"> to reverse restrictive interpretations by the U.S. Supreme Court and other federal courts of </w:t>
      </w:r>
      <w:r w:rsidR="006474CA">
        <w:t>“</w:t>
      </w:r>
      <w:r w:rsidRPr="00F71070">
        <w:t>who is a qualified person with a dis</w:t>
      </w:r>
      <w:r>
        <w:t>ability covered under the ADA.</w:t>
      </w:r>
      <w:r w:rsidR="006474CA">
        <w:t>”</w:t>
      </w:r>
      <w:r w:rsidR="00E00D62">
        <w:rPr>
          <w:rStyle w:val="EndnoteReference"/>
          <w:rFonts w:cs="Arial"/>
        </w:rPr>
        <w:endnoteReference w:id="89"/>
      </w:r>
      <w:r w:rsidR="00242AEF">
        <w:t xml:space="preserve"> </w:t>
      </w:r>
      <w:r w:rsidR="00D7262D" w:rsidRPr="004B3FF5">
        <w:t xml:space="preserve">As noted in </w:t>
      </w:r>
      <w:r w:rsidR="00631E24" w:rsidRPr="00631E24">
        <w:rPr>
          <w:i/>
        </w:rPr>
        <w:t>Promises to Keep</w:t>
      </w:r>
      <w:r w:rsidR="0086726B" w:rsidRPr="0086726B">
        <w:t>,</w:t>
      </w:r>
      <w:r w:rsidR="00D7262D" w:rsidRPr="004B3FF5">
        <w:rPr>
          <w:vertAlign w:val="superscript"/>
        </w:rPr>
        <w:endnoteReference w:id="90"/>
      </w:r>
      <w:r w:rsidR="00D7262D" w:rsidRPr="004B3FF5">
        <w:t xml:space="preserve"> pr</w:t>
      </w:r>
      <w:r w:rsidR="00686BA2">
        <w:t xml:space="preserve">ior to </w:t>
      </w:r>
      <w:r w:rsidR="0086726B">
        <w:t>the Amendments Act</w:t>
      </w:r>
      <w:r w:rsidR="00686BA2">
        <w:t xml:space="preserve"> the General Counsel</w:t>
      </w:r>
      <w:r w:rsidR="00D7262D" w:rsidRPr="004B3FF5">
        <w:t xml:space="preserve"> would request approval of the Commissioners before filing an ADA case given the </w:t>
      </w:r>
      <w:r w:rsidR="00564A81" w:rsidRPr="004B3FF5">
        <w:t>difficult</w:t>
      </w:r>
      <w:r w:rsidR="00564A81">
        <w:t>ies under</w:t>
      </w:r>
      <w:r w:rsidR="00D7262D" w:rsidRPr="004B3FF5">
        <w:t xml:space="preserve"> t</w:t>
      </w:r>
      <w:r w:rsidR="007546AD">
        <w:t xml:space="preserve">he ADA definition of </w:t>
      </w:r>
      <w:r w:rsidR="00B22875">
        <w:t>“</w:t>
      </w:r>
      <w:r w:rsidR="007546AD">
        <w:t>disability</w:t>
      </w:r>
      <w:r w:rsidR="00D7262D" w:rsidRPr="004B3FF5">
        <w:t>.</w:t>
      </w:r>
      <w:r w:rsidR="00B22875">
        <w:t>”</w:t>
      </w:r>
      <w:r w:rsidR="00D7262D" w:rsidRPr="004B3FF5">
        <w:t xml:space="preserve"> </w:t>
      </w:r>
      <w:r>
        <w:t>Approval by the Commissioners is</w:t>
      </w:r>
      <w:r w:rsidRPr="004B3FF5">
        <w:t xml:space="preserve"> no longer </w:t>
      </w:r>
      <w:r>
        <w:t>necessary</w:t>
      </w:r>
      <w:r w:rsidR="00564A81">
        <w:t xml:space="preserve"> except as required according to general EEOC policy</w:t>
      </w:r>
      <w:r w:rsidR="0086726B">
        <w:t>.</w:t>
      </w:r>
      <w:r w:rsidR="00564A81">
        <w:rPr>
          <w:rStyle w:val="EndnoteReference"/>
          <w:rFonts w:cs="Arial"/>
        </w:rPr>
        <w:endnoteReference w:id="91"/>
      </w:r>
      <w:r w:rsidR="0086726B">
        <w:t xml:space="preserve"> T</w:t>
      </w:r>
      <w:r w:rsidRPr="00F71070">
        <w:t xml:space="preserve">hough some </w:t>
      </w:r>
      <w:r w:rsidR="0086726B">
        <w:t>disability</w:t>
      </w:r>
      <w:r w:rsidRPr="00F71070">
        <w:t xml:space="preserve"> </w:t>
      </w:r>
      <w:r w:rsidR="006474CA">
        <w:t>“</w:t>
      </w:r>
      <w:r w:rsidRPr="00F71070">
        <w:t>coverage</w:t>
      </w:r>
      <w:r w:rsidR="006474CA">
        <w:t>”</w:t>
      </w:r>
      <w:r w:rsidRPr="00F71070">
        <w:t xml:space="preserve"> issues remain</w:t>
      </w:r>
      <w:r w:rsidR="0086726B">
        <w:t>,</w:t>
      </w:r>
      <w:r w:rsidRPr="00F71070">
        <w:t xml:space="preserve"> </w:t>
      </w:r>
      <w:r>
        <w:t>t</w:t>
      </w:r>
      <w:r w:rsidRPr="00F71070">
        <w:t>he legal issues have shifted</w:t>
      </w:r>
      <w:r w:rsidR="0086726B">
        <w:t xml:space="preserve"> more</w:t>
      </w:r>
      <w:r w:rsidRPr="00F71070">
        <w:t xml:space="preserve"> to</w:t>
      </w:r>
      <w:r w:rsidR="007E66DE">
        <w:t>ward</w:t>
      </w:r>
      <w:r w:rsidRPr="00F71070">
        <w:t xml:space="preserve"> what constitutes employment discrimination </w:t>
      </w:r>
      <w:r w:rsidR="0086726B">
        <w:t>under the ADA</w:t>
      </w:r>
      <w:r w:rsidRPr="00F71070">
        <w:t>.</w:t>
      </w:r>
    </w:p>
    <w:p w14:paraId="0D7B2FD0" w14:textId="77777777" w:rsidR="00296DA5" w:rsidRDefault="00D7262D" w:rsidP="00396A3D">
      <w:pPr>
        <w:pStyle w:val="NCDBodyText"/>
      </w:pPr>
      <w:r w:rsidRPr="004B3FF5">
        <w:t xml:space="preserve">Between </w:t>
      </w:r>
      <w:r w:rsidR="0086726B">
        <w:t xml:space="preserve">FY </w:t>
      </w:r>
      <w:r w:rsidRPr="004B3FF5">
        <w:t>2002 and 2008, ADA cases represented on average 12.6 percent of all merit cases the EEOC filed in federal court, with an average of 44 ADA cases per year.</w:t>
      </w:r>
      <w:r w:rsidRPr="004B3FF5">
        <w:rPr>
          <w:vertAlign w:val="superscript"/>
        </w:rPr>
        <w:endnoteReference w:id="92"/>
      </w:r>
      <w:r w:rsidRPr="004B3FF5">
        <w:t xml:space="preserve"> ADA federal cases filed by the EEOC increased to 33 percent of all merit cases per year from </w:t>
      </w:r>
      <w:r w:rsidR="0086726B">
        <w:t xml:space="preserve">FY </w:t>
      </w:r>
      <w:r w:rsidRPr="004B3FF5">
        <w:t>2009 to 2016, with an a</w:t>
      </w:r>
      <w:r w:rsidR="00A65D88">
        <w:t xml:space="preserve">verage of 54 ADA cases per year. </w:t>
      </w:r>
      <w:r w:rsidRPr="004B3FF5">
        <w:t xml:space="preserve">Court monetary awards for </w:t>
      </w:r>
      <w:r w:rsidR="009A1515" w:rsidRPr="004B3FF5">
        <w:t>EEOC</w:t>
      </w:r>
      <w:r w:rsidR="009A1515">
        <w:t>-</w:t>
      </w:r>
      <w:r w:rsidRPr="004B3FF5">
        <w:t>litigated ADA cases, as would be expected, rose as well from an average of $4.58 mil</w:t>
      </w:r>
      <w:r w:rsidR="00CD35F3">
        <w:t>lion</w:t>
      </w:r>
      <w:r w:rsidR="00CD35F3" w:rsidRPr="004B3FF5">
        <w:t xml:space="preserve"> </w:t>
      </w:r>
      <w:r w:rsidRPr="004B3FF5">
        <w:t xml:space="preserve">per year between </w:t>
      </w:r>
      <w:r w:rsidR="0086726B">
        <w:t xml:space="preserve">FY </w:t>
      </w:r>
      <w:r w:rsidRPr="004B3FF5">
        <w:t>2002 and 2008, to $10.14 mil</w:t>
      </w:r>
      <w:r w:rsidR="0087591D">
        <w:t>lion</w:t>
      </w:r>
      <w:r w:rsidR="0087591D" w:rsidRPr="004B3FF5">
        <w:t xml:space="preserve"> </w:t>
      </w:r>
      <w:r w:rsidRPr="004B3FF5">
        <w:t xml:space="preserve">between </w:t>
      </w:r>
      <w:r w:rsidR="0086726B">
        <w:t xml:space="preserve">FY </w:t>
      </w:r>
      <w:r w:rsidRPr="004B3FF5">
        <w:t>2009 and 2016.</w:t>
      </w:r>
    </w:p>
    <w:p w14:paraId="14BCE43B" w14:textId="77777777" w:rsidR="00296DA5" w:rsidRDefault="00C53F62" w:rsidP="00396A3D">
      <w:pPr>
        <w:pStyle w:val="NCDBodyText"/>
      </w:pPr>
      <w:r>
        <w:t xml:space="preserve">EEOC litigation since </w:t>
      </w:r>
      <w:r w:rsidR="00D7262D" w:rsidRPr="004B3FF5">
        <w:t xml:space="preserve">the ADAAA has included </w:t>
      </w:r>
      <w:r>
        <w:t xml:space="preserve">different </w:t>
      </w:r>
      <w:r w:rsidR="0086726B">
        <w:t>substantive legal issues</w:t>
      </w:r>
      <w:r w:rsidR="00AF5ADA">
        <w:t>.</w:t>
      </w:r>
      <w:r w:rsidR="00686BA2">
        <w:t xml:space="preserve"> </w:t>
      </w:r>
      <w:r w:rsidR="00D7262D" w:rsidRPr="004B3FF5">
        <w:t>Under the</w:t>
      </w:r>
      <w:r w:rsidR="00AF5ADA">
        <w:t xml:space="preserve"> </w:t>
      </w:r>
      <w:r w:rsidR="006B6F86">
        <w:t>SEP</w:t>
      </w:r>
      <w:r w:rsidR="00B37FFB">
        <w:t xml:space="preserve">, </w:t>
      </w:r>
      <w:r w:rsidR="005060B3">
        <w:t xml:space="preserve">the </w:t>
      </w:r>
      <w:r w:rsidR="00B37FFB">
        <w:t>EEOC</w:t>
      </w:r>
      <w:r w:rsidR="00D7262D" w:rsidRPr="004B3FF5">
        <w:t xml:space="preserve"> in</w:t>
      </w:r>
      <w:r w:rsidR="001C65EB">
        <w:t xml:space="preserve">creased its focus on litigating </w:t>
      </w:r>
      <w:r w:rsidR="00D7262D" w:rsidRPr="004B3FF5">
        <w:t>cases that involve systemic issues.</w:t>
      </w:r>
      <w:r w:rsidR="00B37FFB">
        <w:rPr>
          <w:rStyle w:val="EndnoteReference"/>
          <w:rFonts w:cs="Arial"/>
        </w:rPr>
        <w:endnoteReference w:id="93"/>
      </w:r>
      <w:r w:rsidR="00B37FFB">
        <w:t xml:space="preserve"> </w:t>
      </w:r>
      <w:r w:rsidR="00D7262D" w:rsidRPr="004B3FF5">
        <w:t xml:space="preserve">Major </w:t>
      </w:r>
      <w:r w:rsidR="006B6F86">
        <w:t xml:space="preserve">areas of litigation focus </w:t>
      </w:r>
      <w:r w:rsidR="009A1515">
        <w:t xml:space="preserve">have </w:t>
      </w:r>
      <w:r w:rsidR="00E00D62">
        <w:t xml:space="preserve">been employer policies on leave or </w:t>
      </w:r>
      <w:r w:rsidR="0093749E">
        <w:t>that</w:t>
      </w:r>
      <w:r w:rsidR="00AF5ADA">
        <w:t xml:space="preserve"> require</w:t>
      </w:r>
      <w:r w:rsidR="00E00D62">
        <w:t xml:space="preserve"> return to work with</w:t>
      </w:r>
      <w:r w:rsidR="00D7262D" w:rsidRPr="004B3FF5">
        <w:t xml:space="preserve"> no restrictions and the right </w:t>
      </w:r>
      <w:r w:rsidR="00AF5ADA">
        <w:t xml:space="preserve">of </w:t>
      </w:r>
      <w:r w:rsidR="00D7262D" w:rsidRPr="004B3FF5">
        <w:t xml:space="preserve">assignment to a vacant </w:t>
      </w:r>
      <w:r w:rsidR="00D7262D" w:rsidRPr="004B3FF5">
        <w:lastRenderedPageBreak/>
        <w:t>position as a reasonable accommodation.</w:t>
      </w:r>
      <w:r w:rsidR="00251C60">
        <w:t xml:space="preserve"> T</w:t>
      </w:r>
      <w:r w:rsidR="00221D77">
        <w:t>he</w:t>
      </w:r>
      <w:r w:rsidR="00251C60">
        <w:t xml:space="preserve"> EEOC also brought several cases on what are the </w:t>
      </w:r>
      <w:r w:rsidR="006474CA">
        <w:t>“</w:t>
      </w:r>
      <w:r w:rsidR="00251C60">
        <w:t>es</w:t>
      </w:r>
      <w:r w:rsidR="00B140AF">
        <w:t>sential functions</w:t>
      </w:r>
      <w:r w:rsidR="006474CA">
        <w:t>”</w:t>
      </w:r>
      <w:r w:rsidR="00B140AF">
        <w:t xml:space="preserve"> of a job</w:t>
      </w:r>
      <w:r w:rsidR="00251C60">
        <w:t>.</w:t>
      </w:r>
    </w:p>
    <w:p w14:paraId="7F6F27CD" w14:textId="54444E3A" w:rsidR="00296DA5" w:rsidRDefault="005060B3" w:rsidP="00396A3D">
      <w:pPr>
        <w:pStyle w:val="NCDBodyText"/>
      </w:pPr>
      <w:r>
        <w:t xml:space="preserve">The </w:t>
      </w:r>
      <w:r w:rsidRPr="004B3FF5">
        <w:t xml:space="preserve">EEOC was highly successful in </w:t>
      </w:r>
      <w:r w:rsidR="00631E24" w:rsidRPr="00631E24">
        <w:rPr>
          <w:i/>
        </w:rPr>
        <w:t>EEOC v. Hill Country Farms d/b/a as Henry’s Turkey Service</w:t>
      </w:r>
      <w:r w:rsidRPr="004B3FF5">
        <w:t xml:space="preserve"> for ADA violations of discriminatory pay and hostile working conditions experience</w:t>
      </w:r>
      <w:r>
        <w:t>d</w:t>
      </w:r>
      <w:r w:rsidRPr="004B3FF5">
        <w:t xml:space="preserve"> by</w:t>
      </w:r>
      <w:r>
        <w:t xml:space="preserve"> the men with intellectual disabilities exploited in </w:t>
      </w:r>
      <w:r w:rsidRPr="004B3FF5">
        <w:t>Iowa.</w:t>
      </w:r>
      <w:r w:rsidRPr="004B3FF5">
        <w:rPr>
          <w:vertAlign w:val="superscript"/>
        </w:rPr>
        <w:endnoteReference w:id="94"/>
      </w:r>
      <w:r>
        <w:t xml:space="preserve"> </w:t>
      </w:r>
      <w:r w:rsidR="006B6F86">
        <w:t>T</w:t>
      </w:r>
      <w:r w:rsidR="00E00D62">
        <w:t>he</w:t>
      </w:r>
      <w:r>
        <w:t xml:space="preserve"> </w:t>
      </w:r>
      <w:r w:rsidRPr="004B3FF5">
        <w:t>EEOC obtained a back-pay award of $1.3 million for work the men perform</w:t>
      </w:r>
      <w:r>
        <w:t xml:space="preserve">ed from 2007 to 2009, and </w:t>
      </w:r>
      <w:r w:rsidRPr="004B3FF5">
        <w:t xml:space="preserve">prevailed </w:t>
      </w:r>
      <w:r>
        <w:t>i</w:t>
      </w:r>
      <w:r w:rsidRPr="004B3FF5">
        <w:t xml:space="preserve">n </w:t>
      </w:r>
      <w:r>
        <w:t>a</w:t>
      </w:r>
      <w:r w:rsidRPr="004B3FF5">
        <w:t xml:space="preserve"> discriminatory treatment </w:t>
      </w:r>
      <w:r>
        <w:t>allegation when a jury returned</w:t>
      </w:r>
      <w:r w:rsidRPr="004B3FF5">
        <w:t xml:space="preserve"> a verdict of $240 million in punitive and compensatory damages for the workers</w:t>
      </w:r>
      <w:r w:rsidR="00CC064C">
        <w:t>—</w:t>
      </w:r>
      <w:r>
        <w:t xml:space="preserve">the </w:t>
      </w:r>
      <w:r w:rsidRPr="004B3FF5">
        <w:t>highest ever</w:t>
      </w:r>
      <w:r>
        <w:t xml:space="preserve"> achieved by the EEOC in a</w:t>
      </w:r>
      <w:r w:rsidR="00BB16B0">
        <w:t xml:space="preserve"> jury trial.</w:t>
      </w:r>
      <w:r w:rsidR="006B6F86">
        <w:rPr>
          <w:rStyle w:val="EndnoteReference"/>
          <w:rFonts w:cs="Arial"/>
        </w:rPr>
        <w:endnoteReference w:id="95"/>
      </w:r>
      <w:r w:rsidR="006B6F86">
        <w:t xml:space="preserve"> The</w:t>
      </w:r>
      <w:r w:rsidR="00BB16B0">
        <w:t xml:space="preserve"> award </w:t>
      </w:r>
      <w:r w:rsidRPr="004B3FF5">
        <w:t xml:space="preserve">was </w:t>
      </w:r>
      <w:r>
        <w:t xml:space="preserve">significantly </w:t>
      </w:r>
      <w:r w:rsidRPr="004B3FF5">
        <w:t xml:space="preserve">reduced </w:t>
      </w:r>
      <w:r>
        <w:t>by the court because</w:t>
      </w:r>
      <w:r w:rsidRPr="005060B3">
        <w:t xml:space="preserve"> </w:t>
      </w:r>
      <w:r>
        <w:t xml:space="preserve">of a statutory </w:t>
      </w:r>
      <w:r w:rsidRPr="004B3FF5">
        <w:t xml:space="preserve">cap </w:t>
      </w:r>
      <w:r>
        <w:t xml:space="preserve">on such </w:t>
      </w:r>
      <w:r w:rsidRPr="004B3FF5">
        <w:t>damages.</w:t>
      </w:r>
      <w:r w:rsidR="006B6F86">
        <w:rPr>
          <w:rStyle w:val="EndnoteReference"/>
          <w:rFonts w:cs="Arial"/>
        </w:rPr>
        <w:endnoteReference w:id="96"/>
      </w:r>
    </w:p>
    <w:p w14:paraId="2E3857B8" w14:textId="5534BE9E" w:rsidR="00296DA5" w:rsidRDefault="005060B3" w:rsidP="00396A3D">
      <w:pPr>
        <w:pStyle w:val="NCDBodyText"/>
        <w:rPr>
          <w:color w:val="222222"/>
        </w:rPr>
      </w:pPr>
      <w:r>
        <w:t xml:space="preserve">The Commission achieved </w:t>
      </w:r>
      <w:r w:rsidR="00E00D62">
        <w:t xml:space="preserve">a </w:t>
      </w:r>
      <w:r>
        <w:t>s</w:t>
      </w:r>
      <w:r w:rsidR="00D7262D" w:rsidRPr="004B3FF5">
        <w:t xml:space="preserve">ignificant victory on </w:t>
      </w:r>
      <w:r>
        <w:t xml:space="preserve">the issue of </w:t>
      </w:r>
      <w:r w:rsidR="00D7262D" w:rsidRPr="004B3FF5">
        <w:t xml:space="preserve">reassignment to a vacant position in </w:t>
      </w:r>
      <w:r w:rsidR="00631E24" w:rsidRPr="00631E24">
        <w:rPr>
          <w:i/>
        </w:rPr>
        <w:t>EEOC v. United Airlines</w:t>
      </w:r>
      <w:r w:rsidR="00D7262D" w:rsidRPr="004B3FF5">
        <w:rPr>
          <w:vertAlign w:val="superscript"/>
        </w:rPr>
        <w:endnoteReference w:id="97"/>
      </w:r>
      <w:r w:rsidR="00D7262D" w:rsidRPr="004B3FF5">
        <w:t xml:space="preserve"> when the U.S. Seventh Circuit Court of Appeals ove</w:t>
      </w:r>
      <w:r w:rsidR="00686BA2">
        <w:t>rruled a prior decision</w:t>
      </w:r>
      <w:r w:rsidR="00D7262D" w:rsidRPr="004B3FF5">
        <w:t xml:space="preserve"> </w:t>
      </w:r>
      <w:r w:rsidR="0093749E">
        <w:t>that</w:t>
      </w:r>
      <w:r w:rsidR="00D7262D" w:rsidRPr="004B3FF5">
        <w:t xml:space="preserve"> had taken a more restrictive view </w:t>
      </w:r>
      <w:r w:rsidR="003A6395" w:rsidRPr="004B3FF5">
        <w:t>o</w:t>
      </w:r>
      <w:r w:rsidR="003A6395">
        <w:t>f</w:t>
      </w:r>
      <w:r w:rsidR="003A6395" w:rsidRPr="004B3FF5">
        <w:t xml:space="preserve"> </w:t>
      </w:r>
      <w:r w:rsidR="00D7262D" w:rsidRPr="004B3FF5">
        <w:t>reassignment.</w:t>
      </w:r>
      <w:r w:rsidRPr="008C340C">
        <w:rPr>
          <w:vertAlign w:val="superscript"/>
        </w:rPr>
        <w:endnoteReference w:id="98"/>
      </w:r>
      <w:r w:rsidR="00D7262D" w:rsidRPr="004B3FF5">
        <w:t xml:space="preserve"> </w:t>
      </w:r>
      <w:r w:rsidR="00AB5BB1">
        <w:br/>
      </w:r>
      <w:r w:rsidR="00D7262D" w:rsidRPr="004B3FF5">
        <w:t xml:space="preserve">In the </w:t>
      </w:r>
      <w:r w:rsidR="00631E24" w:rsidRPr="00631E24">
        <w:rPr>
          <w:i/>
        </w:rPr>
        <w:t>United Airlines</w:t>
      </w:r>
      <w:r w:rsidR="00D7262D" w:rsidRPr="004B3FF5">
        <w:t xml:space="preserve"> case, the Seventh Circuit found that the ADA mandates the assignment of an employee with a disability to a vacant position for which </w:t>
      </w:r>
      <w:r>
        <w:t>the employee</w:t>
      </w:r>
      <w:r w:rsidR="00D7262D" w:rsidRPr="004B3FF5">
        <w:t xml:space="preserve"> is qualified as a </w:t>
      </w:r>
      <w:r w:rsidR="00251C60">
        <w:t xml:space="preserve">reasonable </w:t>
      </w:r>
      <w:r w:rsidR="00D7262D" w:rsidRPr="004B3FF5">
        <w:t>accommodation</w:t>
      </w:r>
      <w:r>
        <w:t>,</w:t>
      </w:r>
      <w:r w:rsidR="00D7262D" w:rsidRPr="004B3FF5">
        <w:t xml:space="preserve"> provided the assignment is ordin</w:t>
      </w:r>
      <w:r>
        <w:t xml:space="preserve">arily reasonable in most cases </w:t>
      </w:r>
      <w:r w:rsidR="00D7262D" w:rsidRPr="004B3FF5">
        <w:t xml:space="preserve">and would not present an undue hardship in the particular case at hand. </w:t>
      </w:r>
      <w:r>
        <w:t xml:space="preserve">Other EEOC </w:t>
      </w:r>
      <w:r w:rsidR="00D7262D" w:rsidRPr="004B3FF5">
        <w:t xml:space="preserve">litigation outcomes </w:t>
      </w:r>
      <w:r w:rsidR="00B140AF">
        <w:t xml:space="preserve">on reassignment cases have not </w:t>
      </w:r>
      <w:r w:rsidR="00D7262D" w:rsidRPr="004B3FF5">
        <w:t xml:space="preserve">been successful. In </w:t>
      </w:r>
      <w:r w:rsidR="00631E24" w:rsidRPr="00631E24">
        <w:rPr>
          <w:i/>
        </w:rPr>
        <w:t>EEOC v. St. Joseph’s Hospital</w:t>
      </w:r>
      <w:r w:rsidR="009A1515">
        <w:t>,</w:t>
      </w:r>
      <w:r w:rsidR="002B6E53">
        <w:t xml:space="preserve"> </w:t>
      </w:r>
      <w:r>
        <w:t>the U.S. Eleventh Circuit Court of Appeals</w:t>
      </w:r>
      <w:r w:rsidR="00D7262D" w:rsidRPr="004B3FF5">
        <w:t xml:space="preserve"> concluded</w:t>
      </w:r>
      <w:r w:rsidR="009A1515">
        <w:t xml:space="preserve"> that</w:t>
      </w:r>
      <w:r w:rsidR="009A1515" w:rsidRPr="004B3FF5">
        <w:t xml:space="preserve"> </w:t>
      </w:r>
      <w:r w:rsidR="006474CA">
        <w:t>“</w:t>
      </w:r>
      <w:r w:rsidR="00D7262D" w:rsidRPr="004B3FF5">
        <w:rPr>
          <w:color w:val="222222"/>
        </w:rPr>
        <w:t>the ADA does not require reassignment without competition for, or preferential treatment of, the disabled.</w:t>
      </w:r>
      <w:r w:rsidR="006474CA">
        <w:rPr>
          <w:color w:val="222222"/>
        </w:rPr>
        <w:t>”</w:t>
      </w:r>
      <w:r w:rsidR="00D7262D" w:rsidRPr="004B3FF5">
        <w:rPr>
          <w:color w:val="222222"/>
          <w:vertAlign w:val="superscript"/>
        </w:rPr>
        <w:endnoteReference w:id="99"/>
      </w:r>
    </w:p>
    <w:p w14:paraId="43448288" w14:textId="46C4DDA0" w:rsidR="00296DA5" w:rsidRPr="004E3A36" w:rsidRDefault="005D55C2" w:rsidP="00396A3D">
      <w:pPr>
        <w:pStyle w:val="NCDBodyText"/>
        <w:rPr>
          <w:spacing w:val="-2"/>
        </w:rPr>
      </w:pPr>
      <w:r w:rsidRPr="004E3A36">
        <w:rPr>
          <w:spacing w:val="-2"/>
        </w:rPr>
        <w:t>The o</w:t>
      </w:r>
      <w:r w:rsidR="00E00D62" w:rsidRPr="004E3A36">
        <w:rPr>
          <w:spacing w:val="-2"/>
        </w:rPr>
        <w:t xml:space="preserve">utcomes </w:t>
      </w:r>
      <w:r w:rsidR="00E52FA0" w:rsidRPr="004E3A36">
        <w:rPr>
          <w:spacing w:val="-2"/>
        </w:rPr>
        <w:t xml:space="preserve">in </w:t>
      </w:r>
      <w:r w:rsidR="006474CA" w:rsidRPr="004E3A36">
        <w:rPr>
          <w:spacing w:val="-2"/>
        </w:rPr>
        <w:t>“</w:t>
      </w:r>
      <w:r w:rsidR="00E52FA0" w:rsidRPr="004E3A36">
        <w:rPr>
          <w:spacing w:val="-2"/>
        </w:rPr>
        <w:t>essential job function</w:t>
      </w:r>
      <w:r w:rsidR="006474CA" w:rsidRPr="004E3A36">
        <w:rPr>
          <w:spacing w:val="-2"/>
        </w:rPr>
        <w:t>”</w:t>
      </w:r>
      <w:r w:rsidR="00E00D62" w:rsidRPr="004E3A36">
        <w:rPr>
          <w:spacing w:val="-2"/>
        </w:rPr>
        <w:t xml:space="preserve"> litigation</w:t>
      </w:r>
      <w:r w:rsidR="00E52FA0" w:rsidRPr="004E3A36">
        <w:rPr>
          <w:spacing w:val="-2"/>
        </w:rPr>
        <w:t xml:space="preserve"> </w:t>
      </w:r>
      <w:r w:rsidRPr="004E3A36">
        <w:rPr>
          <w:spacing w:val="-2"/>
        </w:rPr>
        <w:t xml:space="preserve">by the EEOC </w:t>
      </w:r>
      <w:r w:rsidR="005060B3" w:rsidRPr="004E3A36">
        <w:rPr>
          <w:spacing w:val="-2"/>
        </w:rPr>
        <w:t xml:space="preserve">in the U.S. Courts of Appeal </w:t>
      </w:r>
      <w:r w:rsidR="004859EC" w:rsidRPr="004E3A36">
        <w:rPr>
          <w:spacing w:val="-2"/>
        </w:rPr>
        <w:t xml:space="preserve">has been </w:t>
      </w:r>
      <w:r w:rsidR="005060B3" w:rsidRPr="004E3A36">
        <w:rPr>
          <w:spacing w:val="-2"/>
        </w:rPr>
        <w:t xml:space="preserve">similarly </w:t>
      </w:r>
      <w:r w:rsidR="00E52FA0" w:rsidRPr="004E3A36">
        <w:rPr>
          <w:spacing w:val="-2"/>
        </w:rPr>
        <w:t xml:space="preserve">mixed. The EEOC </w:t>
      </w:r>
      <w:r w:rsidR="00B140AF" w:rsidRPr="004E3A36">
        <w:rPr>
          <w:spacing w:val="-2"/>
        </w:rPr>
        <w:t>failed</w:t>
      </w:r>
      <w:r w:rsidR="00E52FA0" w:rsidRPr="004E3A36">
        <w:rPr>
          <w:spacing w:val="-2"/>
        </w:rPr>
        <w:t xml:space="preserve"> in </w:t>
      </w:r>
      <w:r w:rsidR="00631E24" w:rsidRPr="004E3A36">
        <w:rPr>
          <w:i/>
          <w:spacing w:val="-2"/>
        </w:rPr>
        <w:t>EEOC v. The Picture People, Inc.</w:t>
      </w:r>
      <w:r w:rsidR="00221D77" w:rsidRPr="004E3A36">
        <w:rPr>
          <w:spacing w:val="-2"/>
        </w:rPr>
        <w:t>,</w:t>
      </w:r>
      <w:r w:rsidR="00E52FA0" w:rsidRPr="004E3A36">
        <w:rPr>
          <w:bCs/>
          <w:color w:val="222222"/>
          <w:spacing w:val="-2"/>
        </w:rPr>
        <w:t xml:space="preserve"> which involved</w:t>
      </w:r>
      <w:r w:rsidR="00E52FA0" w:rsidRPr="004E3A36">
        <w:rPr>
          <w:spacing w:val="-2"/>
        </w:rPr>
        <w:t xml:space="preserve"> </w:t>
      </w:r>
      <w:r w:rsidR="0093749E" w:rsidRPr="004E3A36">
        <w:rPr>
          <w:spacing w:val="-2"/>
        </w:rPr>
        <w:t xml:space="preserve">deciding </w:t>
      </w:r>
      <w:r w:rsidR="00E52FA0" w:rsidRPr="004E3A36">
        <w:rPr>
          <w:bCs/>
          <w:color w:val="222222"/>
          <w:spacing w:val="-2"/>
        </w:rPr>
        <w:t>whether</w:t>
      </w:r>
      <w:r w:rsidR="00EA36B5" w:rsidRPr="004E3A36">
        <w:rPr>
          <w:bCs/>
          <w:color w:val="222222"/>
          <w:spacing w:val="-2"/>
        </w:rPr>
        <w:t xml:space="preserve"> the</w:t>
      </w:r>
      <w:r w:rsidR="00E52FA0" w:rsidRPr="004E3A36">
        <w:rPr>
          <w:bCs/>
          <w:color w:val="222222"/>
          <w:spacing w:val="-2"/>
        </w:rPr>
        <w:t xml:space="preserve"> Deaf </w:t>
      </w:r>
      <w:r w:rsidR="0093749E" w:rsidRPr="004E3A36">
        <w:rPr>
          <w:bCs/>
          <w:color w:val="222222"/>
          <w:spacing w:val="-2"/>
        </w:rPr>
        <w:t xml:space="preserve">and Hard of Hearing </w:t>
      </w:r>
      <w:r w:rsidR="00E52FA0" w:rsidRPr="004E3A36">
        <w:rPr>
          <w:bCs/>
          <w:color w:val="222222"/>
          <w:spacing w:val="-2"/>
        </w:rPr>
        <w:t xml:space="preserve">could perform the essential functions of a job as a </w:t>
      </w:r>
      <w:r w:rsidR="006474CA" w:rsidRPr="004E3A36">
        <w:rPr>
          <w:bCs/>
          <w:color w:val="222222"/>
          <w:spacing w:val="-2"/>
        </w:rPr>
        <w:t>“</w:t>
      </w:r>
      <w:r w:rsidR="00E52FA0" w:rsidRPr="004E3A36">
        <w:rPr>
          <w:bCs/>
          <w:color w:val="222222"/>
          <w:spacing w:val="-2"/>
        </w:rPr>
        <w:t>performer</w:t>
      </w:r>
      <w:r w:rsidR="006474CA" w:rsidRPr="004E3A36">
        <w:rPr>
          <w:bCs/>
          <w:color w:val="222222"/>
          <w:spacing w:val="-2"/>
        </w:rPr>
        <w:t>”</w:t>
      </w:r>
      <w:r w:rsidR="00E52FA0" w:rsidRPr="004E3A36">
        <w:rPr>
          <w:bCs/>
          <w:color w:val="222222"/>
          <w:spacing w:val="-2"/>
        </w:rPr>
        <w:t xml:space="preserve"> at </w:t>
      </w:r>
      <w:r w:rsidR="005060B3" w:rsidRPr="004E3A36">
        <w:rPr>
          <w:bCs/>
          <w:color w:val="222222"/>
          <w:spacing w:val="-2"/>
        </w:rPr>
        <w:t>a</w:t>
      </w:r>
      <w:r w:rsidR="00E52FA0" w:rsidRPr="004E3A36">
        <w:rPr>
          <w:bCs/>
          <w:color w:val="222222"/>
          <w:spacing w:val="-2"/>
        </w:rPr>
        <w:t xml:space="preserve"> store.</w:t>
      </w:r>
      <w:r w:rsidR="00E52FA0" w:rsidRPr="004E3A36">
        <w:rPr>
          <w:rStyle w:val="EndnoteReference"/>
          <w:rFonts w:cs="Arial"/>
          <w:bCs/>
          <w:color w:val="222222"/>
          <w:spacing w:val="-2"/>
        </w:rPr>
        <w:endnoteReference w:id="100"/>
      </w:r>
      <w:r w:rsidR="00E52FA0" w:rsidRPr="004E3A36">
        <w:rPr>
          <w:spacing w:val="-2"/>
        </w:rPr>
        <w:t xml:space="preserve"> The EEOC </w:t>
      </w:r>
      <w:r w:rsidR="00E00D62" w:rsidRPr="004E3A36">
        <w:rPr>
          <w:spacing w:val="-2"/>
        </w:rPr>
        <w:t>succeeded</w:t>
      </w:r>
      <w:r w:rsidR="00E52FA0" w:rsidRPr="004E3A36">
        <w:rPr>
          <w:spacing w:val="-2"/>
        </w:rPr>
        <w:t xml:space="preserve"> in </w:t>
      </w:r>
      <w:r w:rsidR="00631E24" w:rsidRPr="004E3A36">
        <w:rPr>
          <w:i/>
          <w:spacing w:val="-2"/>
        </w:rPr>
        <w:t>EEOC v. AutoZone, Inc.</w:t>
      </w:r>
      <w:r w:rsidR="00E52FA0" w:rsidRPr="004E3A36">
        <w:rPr>
          <w:spacing w:val="-2"/>
        </w:rPr>
        <w:t xml:space="preserve">, </w:t>
      </w:r>
      <w:r w:rsidR="00791558" w:rsidRPr="004E3A36">
        <w:rPr>
          <w:spacing w:val="-2"/>
        </w:rPr>
        <w:t xml:space="preserve">in which </w:t>
      </w:r>
      <w:r w:rsidR="00E52FA0" w:rsidRPr="004E3A36">
        <w:rPr>
          <w:spacing w:val="-2"/>
        </w:rPr>
        <w:t xml:space="preserve">an employer unsuccessfully contended that mopping up the store at the </w:t>
      </w:r>
      <w:r w:rsidR="00221D77" w:rsidRPr="004E3A36">
        <w:rPr>
          <w:spacing w:val="-2"/>
        </w:rPr>
        <w:t xml:space="preserve">end </w:t>
      </w:r>
      <w:r w:rsidR="00E52FA0" w:rsidRPr="004E3A36">
        <w:rPr>
          <w:spacing w:val="-2"/>
        </w:rPr>
        <w:t xml:space="preserve">of the day was an essential function </w:t>
      </w:r>
      <w:r w:rsidR="00690FA7" w:rsidRPr="004E3A36">
        <w:rPr>
          <w:spacing w:val="-2"/>
        </w:rPr>
        <w:t xml:space="preserve">of </w:t>
      </w:r>
      <w:r w:rsidR="00E00D62" w:rsidRPr="004E3A36">
        <w:rPr>
          <w:spacing w:val="-2"/>
        </w:rPr>
        <w:t>the</w:t>
      </w:r>
      <w:r w:rsidR="00690FA7" w:rsidRPr="004E3A36">
        <w:rPr>
          <w:spacing w:val="-2"/>
        </w:rPr>
        <w:t xml:space="preserve"> job</w:t>
      </w:r>
      <w:r w:rsidR="00E00D62" w:rsidRPr="004E3A36">
        <w:rPr>
          <w:spacing w:val="-2"/>
        </w:rPr>
        <w:t xml:space="preserve"> at issue</w:t>
      </w:r>
      <w:r w:rsidR="00E52FA0" w:rsidRPr="004E3A36">
        <w:rPr>
          <w:spacing w:val="-2"/>
        </w:rPr>
        <w:t>.</w:t>
      </w:r>
      <w:r w:rsidR="00E52FA0" w:rsidRPr="004E3A36">
        <w:rPr>
          <w:rStyle w:val="EndnoteReference"/>
          <w:rFonts w:cs="Arial"/>
          <w:spacing w:val="-2"/>
        </w:rPr>
        <w:endnoteReference w:id="101"/>
      </w:r>
      <w:r w:rsidR="00E52FA0" w:rsidRPr="004E3A36">
        <w:rPr>
          <w:spacing w:val="-2"/>
        </w:rPr>
        <w:t xml:space="preserve"> In </w:t>
      </w:r>
      <w:r w:rsidR="00631E24" w:rsidRPr="004E3A36">
        <w:rPr>
          <w:i/>
          <w:spacing w:val="-2"/>
        </w:rPr>
        <w:t xml:space="preserve">EEOC v. LHC Group, Inc., </w:t>
      </w:r>
      <w:r w:rsidR="005060B3" w:rsidRPr="004E3A36">
        <w:rPr>
          <w:spacing w:val="-2"/>
        </w:rPr>
        <w:t>t</w:t>
      </w:r>
      <w:r w:rsidR="00B140AF" w:rsidRPr="004E3A36">
        <w:rPr>
          <w:spacing w:val="-2"/>
        </w:rPr>
        <w:t xml:space="preserve">he </w:t>
      </w:r>
      <w:r w:rsidRPr="004E3A36">
        <w:rPr>
          <w:spacing w:val="-2"/>
        </w:rPr>
        <w:t xml:space="preserve">Commission </w:t>
      </w:r>
      <w:r w:rsidR="00E00D62" w:rsidRPr="004E3A36">
        <w:rPr>
          <w:spacing w:val="-2"/>
        </w:rPr>
        <w:t>proved</w:t>
      </w:r>
      <w:r w:rsidR="00B140AF" w:rsidRPr="004E3A36">
        <w:rPr>
          <w:spacing w:val="-2"/>
        </w:rPr>
        <w:t xml:space="preserve"> that driving was not an essential job function </w:t>
      </w:r>
      <w:r w:rsidR="00636C1A" w:rsidRPr="004E3A36">
        <w:rPr>
          <w:spacing w:val="-2"/>
        </w:rPr>
        <w:t>for</w:t>
      </w:r>
      <w:r w:rsidR="005060B3" w:rsidRPr="004E3A36">
        <w:rPr>
          <w:spacing w:val="-2"/>
        </w:rPr>
        <w:t xml:space="preserve"> a nurse team leader for a home health agency </w:t>
      </w:r>
      <w:r w:rsidR="009A1515" w:rsidRPr="004E3A36">
        <w:rPr>
          <w:spacing w:val="-2"/>
        </w:rPr>
        <w:t xml:space="preserve">because, </w:t>
      </w:r>
      <w:r w:rsidR="0018555C" w:rsidRPr="004E3A36">
        <w:rPr>
          <w:spacing w:val="-2"/>
        </w:rPr>
        <w:t xml:space="preserve">despite the job description </w:t>
      </w:r>
      <w:r w:rsidR="005060B3" w:rsidRPr="004E3A36">
        <w:rPr>
          <w:spacing w:val="-2"/>
        </w:rPr>
        <w:t xml:space="preserve">and </w:t>
      </w:r>
      <w:r w:rsidRPr="004E3A36">
        <w:rPr>
          <w:spacing w:val="-2"/>
        </w:rPr>
        <w:lastRenderedPageBreak/>
        <w:t>the assertion</w:t>
      </w:r>
      <w:r w:rsidR="005060B3" w:rsidRPr="004E3A36">
        <w:rPr>
          <w:spacing w:val="-2"/>
        </w:rPr>
        <w:t xml:space="preserve"> of the employer, </w:t>
      </w:r>
      <w:r w:rsidR="00E52FA0" w:rsidRPr="004E3A36">
        <w:rPr>
          <w:spacing w:val="-2"/>
        </w:rPr>
        <w:t>the appropriate test was whether the position</w:t>
      </w:r>
      <w:r w:rsidR="00B140AF" w:rsidRPr="004E3A36">
        <w:rPr>
          <w:spacing w:val="-2"/>
        </w:rPr>
        <w:t xml:space="preserve"> </w:t>
      </w:r>
      <w:r w:rsidR="005060B3" w:rsidRPr="004E3A36">
        <w:rPr>
          <w:spacing w:val="-2"/>
        </w:rPr>
        <w:t>actually required driving</w:t>
      </w:r>
      <w:r w:rsidR="0018555C" w:rsidRPr="004E3A36">
        <w:rPr>
          <w:spacing w:val="-2"/>
        </w:rPr>
        <w:t>,</w:t>
      </w:r>
      <w:r w:rsidR="00E52FA0" w:rsidRPr="004E3A36">
        <w:rPr>
          <w:spacing w:val="-2"/>
        </w:rPr>
        <w:t xml:space="preserve"> and </w:t>
      </w:r>
      <w:r w:rsidR="00B140AF" w:rsidRPr="004E3A36">
        <w:rPr>
          <w:spacing w:val="-2"/>
        </w:rPr>
        <w:t xml:space="preserve">the evidence showed </w:t>
      </w:r>
      <w:r w:rsidR="005060B3" w:rsidRPr="004E3A36">
        <w:rPr>
          <w:spacing w:val="-2"/>
        </w:rPr>
        <w:t xml:space="preserve">a team leader </w:t>
      </w:r>
      <w:r w:rsidR="00E52FA0" w:rsidRPr="004E3A36">
        <w:rPr>
          <w:spacing w:val="-2"/>
        </w:rPr>
        <w:t>rarely needed to drive.</w:t>
      </w:r>
      <w:r w:rsidR="00E52FA0" w:rsidRPr="004E3A36">
        <w:rPr>
          <w:rStyle w:val="EndnoteReference"/>
          <w:rFonts w:cs="Arial"/>
          <w:spacing w:val="-2"/>
        </w:rPr>
        <w:endnoteReference w:id="102"/>
      </w:r>
    </w:p>
    <w:p w14:paraId="48CB56C1" w14:textId="105B4538" w:rsidR="00296DA5" w:rsidRDefault="00E52FA0" w:rsidP="00396A3D">
      <w:pPr>
        <w:pStyle w:val="NCDBodyText"/>
      </w:pPr>
      <w:r w:rsidRPr="004B3FF5">
        <w:t xml:space="preserve">The EEOC </w:t>
      </w:r>
      <w:r w:rsidR="0018555C">
        <w:t xml:space="preserve">was unsuccessful, </w:t>
      </w:r>
      <w:r w:rsidR="00193835">
        <w:t>how</w:t>
      </w:r>
      <w:r w:rsidR="0018555C">
        <w:t>ever</w:t>
      </w:r>
      <w:r w:rsidR="00193835">
        <w:t>,</w:t>
      </w:r>
      <w:r w:rsidR="0018555C">
        <w:t xml:space="preserve"> </w:t>
      </w:r>
      <w:r w:rsidRPr="004B3FF5">
        <w:t xml:space="preserve">in two cases on whether heavy lifting was an essential job function. In </w:t>
      </w:r>
      <w:r w:rsidR="00631E24" w:rsidRPr="00631E24">
        <w:rPr>
          <w:i/>
        </w:rPr>
        <w:t>EEOC v. Womble Carlyle, Sandridge &amp; Rice, LLP</w:t>
      </w:r>
      <w:r w:rsidR="009A1515">
        <w:t>,</w:t>
      </w:r>
      <w:r w:rsidRPr="004B3FF5">
        <w:t xml:space="preserve"> the </w:t>
      </w:r>
      <w:r>
        <w:t>court ruled again</w:t>
      </w:r>
      <w:r w:rsidR="00221D77">
        <w:t>st</w:t>
      </w:r>
      <w:r>
        <w:t xml:space="preserve"> the EEOC and found that</w:t>
      </w:r>
      <w:r w:rsidRPr="004B3FF5">
        <w:t xml:space="preserve"> heavy lifting was an essential function for an office support worker with a disability </w:t>
      </w:r>
      <w:r w:rsidR="0018555C">
        <w:t>assigned many</w:t>
      </w:r>
      <w:r w:rsidRPr="004B3FF5">
        <w:t xml:space="preserve"> tasks in a large law firm office who could be assigned to work alone on weekends.</w:t>
      </w:r>
      <w:r w:rsidRPr="004B3FF5">
        <w:rPr>
          <w:vertAlign w:val="superscript"/>
        </w:rPr>
        <w:endnoteReference w:id="103"/>
      </w:r>
      <w:r w:rsidRPr="004B3FF5">
        <w:t xml:space="preserve"> In</w:t>
      </w:r>
      <w:r w:rsidR="0018555C">
        <w:t xml:space="preserve"> another </w:t>
      </w:r>
      <w:r w:rsidR="00221D77">
        <w:t>ca</w:t>
      </w:r>
      <w:r w:rsidR="0018555C">
        <w:t>se against Auto</w:t>
      </w:r>
      <w:r w:rsidR="00795DCE">
        <w:t>Z</w:t>
      </w:r>
      <w:r w:rsidR="0018555C">
        <w:t xml:space="preserve">one, the U.S. </w:t>
      </w:r>
      <w:r w:rsidR="005060B3">
        <w:t xml:space="preserve">Seventh Circuit </w:t>
      </w:r>
      <w:r w:rsidR="0018555C">
        <w:t>C</w:t>
      </w:r>
      <w:r w:rsidR="00221D77">
        <w:t>ourt</w:t>
      </w:r>
      <w:r w:rsidR="0018555C">
        <w:t xml:space="preserve"> of Appeals</w:t>
      </w:r>
      <w:r w:rsidR="00221D77">
        <w:t xml:space="preserve"> </w:t>
      </w:r>
      <w:r w:rsidRPr="004B3FF5">
        <w:t>refused to reverse a verdict against the EEOC</w:t>
      </w:r>
      <w:r w:rsidR="00636C1A">
        <w:t>,</w:t>
      </w:r>
      <w:r w:rsidRPr="004B3FF5">
        <w:t xml:space="preserve"> </w:t>
      </w:r>
      <w:r w:rsidR="0018555C">
        <w:t xml:space="preserve">finding that the district court did not commit an error when it </w:t>
      </w:r>
      <w:r w:rsidR="005D55C2">
        <w:t>failed</w:t>
      </w:r>
      <w:r w:rsidR="0018555C">
        <w:t xml:space="preserve"> to instruct the jury about </w:t>
      </w:r>
      <w:r w:rsidR="00193835">
        <w:t xml:space="preserve">the use of the </w:t>
      </w:r>
      <w:r w:rsidR="006474CA">
        <w:t>“</w:t>
      </w:r>
      <w:r w:rsidR="00193835">
        <w:t>team concept</w:t>
      </w:r>
      <w:r w:rsidR="006474CA">
        <w:t>”</w:t>
      </w:r>
      <w:r w:rsidR="00CC064C">
        <w:t>—</w:t>
      </w:r>
      <w:r w:rsidRPr="004B3FF5">
        <w:t>where</w:t>
      </w:r>
      <w:r w:rsidR="009A1515">
        <w:t>in</w:t>
      </w:r>
      <w:r w:rsidRPr="004B3FF5">
        <w:t xml:space="preserve"> team members perform tasks according to their cap</w:t>
      </w:r>
      <w:r>
        <w:t>acities and abilities</w:t>
      </w:r>
      <w:r w:rsidRPr="004B3FF5">
        <w:t>.</w:t>
      </w:r>
      <w:r w:rsidRPr="004B3FF5">
        <w:rPr>
          <w:vertAlign w:val="superscript"/>
        </w:rPr>
        <w:endnoteReference w:id="104"/>
      </w:r>
    </w:p>
    <w:p w14:paraId="1EC8C1E8" w14:textId="6F8E1D6F" w:rsidR="00296DA5" w:rsidRDefault="005060B3" w:rsidP="00396A3D">
      <w:pPr>
        <w:pStyle w:val="NCDBodyText"/>
      </w:pPr>
      <w:r>
        <w:t>T</w:t>
      </w:r>
      <w:r w:rsidR="00D7262D" w:rsidRPr="004B3FF5">
        <w:t xml:space="preserve">elework </w:t>
      </w:r>
      <w:r w:rsidR="003326BC">
        <w:t>as a reasonable accommodation</w:t>
      </w:r>
      <w:r>
        <w:t xml:space="preserve"> suffered a </w:t>
      </w:r>
      <w:r w:rsidR="00193835">
        <w:t xml:space="preserve">legal </w:t>
      </w:r>
      <w:r>
        <w:t>setback for</w:t>
      </w:r>
      <w:r w:rsidR="00193835">
        <w:t xml:space="preserve"> people with disabilities </w:t>
      </w:r>
      <w:r w:rsidR="00D7262D" w:rsidRPr="004B3FF5">
        <w:t>in</w:t>
      </w:r>
      <w:r w:rsidR="00221D77">
        <w:t xml:space="preserve"> a</w:t>
      </w:r>
      <w:r w:rsidR="0018555C">
        <w:t xml:space="preserve"> decision by the </w:t>
      </w:r>
      <w:r w:rsidR="00D7262D" w:rsidRPr="004B3FF5">
        <w:t xml:space="preserve">U.S. </w:t>
      </w:r>
      <w:r w:rsidRPr="004B3FF5">
        <w:t xml:space="preserve">Sixth Circuit </w:t>
      </w:r>
      <w:r w:rsidR="00D7262D" w:rsidRPr="004B3FF5">
        <w:t xml:space="preserve">Court of Appeals in </w:t>
      </w:r>
      <w:r w:rsidR="00631E24" w:rsidRPr="00631E24">
        <w:rPr>
          <w:i/>
        </w:rPr>
        <w:t>EEOC v. Ford Motor Company</w:t>
      </w:r>
      <w:r w:rsidR="00D7262D" w:rsidRPr="004B3FF5">
        <w:t>.</w:t>
      </w:r>
      <w:r w:rsidR="00D7262D" w:rsidRPr="004B3FF5">
        <w:rPr>
          <w:vertAlign w:val="superscript"/>
        </w:rPr>
        <w:endnoteReference w:id="105"/>
      </w:r>
      <w:r w:rsidR="00A01D1B" w:rsidRPr="004B3FF5">
        <w:t xml:space="preserve"> The </w:t>
      </w:r>
      <w:r w:rsidR="005D55C2">
        <w:t xml:space="preserve">Commission </w:t>
      </w:r>
      <w:r w:rsidR="00A01D1B" w:rsidRPr="004B3FF5">
        <w:t>argued</w:t>
      </w:r>
      <w:r w:rsidR="00D7262D" w:rsidRPr="004B3FF5">
        <w:t xml:space="preserve"> that </w:t>
      </w:r>
      <w:r w:rsidR="003326BC">
        <w:t>a</w:t>
      </w:r>
      <w:r w:rsidR="003326BC" w:rsidRPr="004B3FF5">
        <w:t xml:space="preserve"> </w:t>
      </w:r>
      <w:r w:rsidR="0018555C">
        <w:t xml:space="preserve">terminated employee with a disability </w:t>
      </w:r>
      <w:r w:rsidR="00D7262D" w:rsidRPr="004B3FF5">
        <w:t>could have pe</w:t>
      </w:r>
      <w:r w:rsidR="00686BA2">
        <w:t xml:space="preserve">rformed her job effectively through </w:t>
      </w:r>
      <w:r w:rsidR="00D7262D" w:rsidRPr="004B3FF5">
        <w:t xml:space="preserve">telework </w:t>
      </w:r>
      <w:r w:rsidR="00686BA2">
        <w:t xml:space="preserve">for </w:t>
      </w:r>
      <w:r w:rsidR="0018555C">
        <w:t>up to four days a week as an accommodation</w:t>
      </w:r>
      <w:r w:rsidR="00D7262D" w:rsidRPr="004B3FF5">
        <w:t xml:space="preserve">. The majority of the entire Sixth </w:t>
      </w:r>
      <w:r w:rsidR="00564A81" w:rsidRPr="004B3FF5">
        <w:t>C</w:t>
      </w:r>
      <w:r w:rsidR="00564A81">
        <w:t>ircuit</w:t>
      </w:r>
      <w:r w:rsidR="00D7262D" w:rsidRPr="004B3FF5">
        <w:t xml:space="preserve">, however, held that regular and predictable on-site </w:t>
      </w:r>
      <w:r w:rsidR="00193835">
        <w:t xml:space="preserve">attendance was essential to what the court termed the </w:t>
      </w:r>
      <w:r w:rsidR="00E747C3">
        <w:t>employee</w:t>
      </w:r>
      <w:r w:rsidR="006474CA">
        <w:t>’</w:t>
      </w:r>
      <w:r w:rsidR="00193835">
        <w:t xml:space="preserve">s </w:t>
      </w:r>
      <w:r w:rsidR="006474CA">
        <w:t>“</w:t>
      </w:r>
      <w:r w:rsidR="00193835">
        <w:t>highly interactive job.</w:t>
      </w:r>
      <w:r w:rsidR="006474CA">
        <w:t>”</w:t>
      </w:r>
      <w:r w:rsidR="004D5E12">
        <w:rPr>
          <w:rStyle w:val="EndnoteReference"/>
          <w:rFonts w:cs="Arial"/>
        </w:rPr>
        <w:endnoteReference w:id="106"/>
      </w:r>
    </w:p>
    <w:p w14:paraId="6B50A410" w14:textId="46F91E41" w:rsidR="00296DA5" w:rsidRDefault="00A57F82" w:rsidP="00396A3D">
      <w:pPr>
        <w:pStyle w:val="NCDBodyText"/>
        <w:rPr>
          <w:color w:val="222222"/>
        </w:rPr>
      </w:pPr>
      <w:r>
        <w:t>T</w:t>
      </w:r>
      <w:r w:rsidR="00D7262D" w:rsidRPr="004B3FF5">
        <w:t xml:space="preserve">he EEOC litigated individual cases </w:t>
      </w:r>
      <w:r w:rsidR="00F8339A">
        <w:t>involving</w:t>
      </w:r>
      <w:r w:rsidR="00D7262D" w:rsidRPr="004B3FF5">
        <w:t xml:space="preserve"> blanket exclusionary policies</w:t>
      </w:r>
      <w:r w:rsidR="0018555C">
        <w:t>.</w:t>
      </w:r>
      <w:r w:rsidR="00D7262D" w:rsidRPr="004B3FF5">
        <w:t xml:space="preserve"> </w:t>
      </w:r>
      <w:r>
        <w:t>For example, i</w:t>
      </w:r>
      <w:r w:rsidR="00D7262D" w:rsidRPr="004B3FF5">
        <w:t xml:space="preserve">n </w:t>
      </w:r>
      <w:r w:rsidR="00631E24" w:rsidRPr="00631E24">
        <w:rPr>
          <w:i/>
        </w:rPr>
        <w:t>EEOC v. Old Dominion Freight Line, Inc.</w:t>
      </w:r>
      <w:r w:rsidR="00795DCE">
        <w:t xml:space="preserve">, </w:t>
      </w:r>
      <w:r w:rsidR="0018555C">
        <w:t>t</w:t>
      </w:r>
      <w:r w:rsidR="0018555C" w:rsidRPr="004B3FF5">
        <w:t xml:space="preserve">he EEOC prevailed </w:t>
      </w:r>
      <w:r w:rsidR="005D55C2">
        <w:t xml:space="preserve">on the issue of </w:t>
      </w:r>
      <w:r w:rsidR="00636C1A">
        <w:t>an employer</w:t>
      </w:r>
      <w:r w:rsidR="006474CA">
        <w:t>’</w:t>
      </w:r>
      <w:r w:rsidR="00636C1A">
        <w:t xml:space="preserve">s </w:t>
      </w:r>
      <w:r w:rsidR="005D55C2">
        <w:t xml:space="preserve">refusal </w:t>
      </w:r>
      <w:r w:rsidR="0018555C" w:rsidRPr="004B3FF5">
        <w:t xml:space="preserve">to reinstate or rehire </w:t>
      </w:r>
      <w:r w:rsidR="005D55C2">
        <w:t xml:space="preserve">truck </w:t>
      </w:r>
      <w:r w:rsidR="0018555C" w:rsidRPr="004B3FF5">
        <w:t>drivers who were diagnosed with alcoholism but who had completed an alcohol treatment program</w:t>
      </w:r>
      <w:r w:rsidR="00631E24" w:rsidRPr="00631E24">
        <w:rPr>
          <w:i/>
        </w:rPr>
        <w:t>.</w:t>
      </w:r>
      <w:r w:rsidR="00D7262D" w:rsidRPr="00BB16B0">
        <w:rPr>
          <w:vertAlign w:val="superscript"/>
        </w:rPr>
        <w:endnoteReference w:id="107"/>
      </w:r>
      <w:r w:rsidR="002B6E53">
        <w:t xml:space="preserve"> </w:t>
      </w:r>
      <w:r w:rsidR="00D7262D" w:rsidRPr="004B3FF5">
        <w:t>In</w:t>
      </w:r>
      <w:r>
        <w:t xml:space="preserve"> </w:t>
      </w:r>
      <w:r w:rsidR="00564A81">
        <w:t xml:space="preserve">a </w:t>
      </w:r>
      <w:r>
        <w:t>case dealing with the ADA and the U.S. Constitution, in</w:t>
      </w:r>
      <w:r w:rsidR="00631E24" w:rsidRPr="00631E24">
        <w:rPr>
          <w:i/>
        </w:rPr>
        <w:t xml:space="preserve"> Hosanna-Tabor Evangelical Lutheran Church v. EEOC</w:t>
      </w:r>
      <w:r w:rsidR="00D7262D" w:rsidRPr="004B3FF5">
        <w:t xml:space="preserve">, the U.S. Supreme Court </w:t>
      </w:r>
      <w:r w:rsidR="003326BC">
        <w:t xml:space="preserve">ruled against the EEOC and </w:t>
      </w:r>
      <w:r w:rsidR="00D7262D" w:rsidRPr="004B3FF5">
        <w:rPr>
          <w:color w:val="222222"/>
        </w:rPr>
        <w:t xml:space="preserve">recognized the existence of a </w:t>
      </w:r>
      <w:r w:rsidR="006474CA">
        <w:rPr>
          <w:color w:val="222222"/>
        </w:rPr>
        <w:t>“</w:t>
      </w:r>
      <w:r w:rsidR="00D7262D" w:rsidRPr="004B3FF5">
        <w:rPr>
          <w:color w:val="222222"/>
        </w:rPr>
        <w:t>ministerial exception</w:t>
      </w:r>
      <w:r w:rsidR="006474CA">
        <w:rPr>
          <w:color w:val="222222"/>
        </w:rPr>
        <w:t>”</w:t>
      </w:r>
      <w:r w:rsidR="00D7262D" w:rsidRPr="004B3FF5">
        <w:rPr>
          <w:color w:val="222222"/>
        </w:rPr>
        <w:t xml:space="preserve"> </w:t>
      </w:r>
      <w:r w:rsidR="00E747C3">
        <w:rPr>
          <w:color w:val="222222"/>
        </w:rPr>
        <w:t>under the ADA</w:t>
      </w:r>
      <w:r w:rsidR="003326BC">
        <w:rPr>
          <w:color w:val="222222"/>
        </w:rPr>
        <w:t>,</w:t>
      </w:r>
      <w:r w:rsidR="00E747C3">
        <w:rPr>
          <w:color w:val="222222"/>
        </w:rPr>
        <w:t xml:space="preserve"> </w:t>
      </w:r>
      <w:r w:rsidR="00D7262D" w:rsidRPr="004B3FF5">
        <w:rPr>
          <w:color w:val="222222"/>
        </w:rPr>
        <w:t>grounded in the First Amendment</w:t>
      </w:r>
      <w:r w:rsidR="003326BC">
        <w:rPr>
          <w:color w:val="222222"/>
        </w:rPr>
        <w:t xml:space="preserve"> </w:t>
      </w:r>
      <w:r w:rsidR="00D7262D" w:rsidRPr="004B3FF5">
        <w:rPr>
          <w:color w:val="222222"/>
        </w:rPr>
        <w:t xml:space="preserve">that precludes application of </w:t>
      </w:r>
      <w:r w:rsidR="00444926">
        <w:rPr>
          <w:color w:val="222222"/>
        </w:rPr>
        <w:t>non</w:t>
      </w:r>
      <w:r w:rsidR="00D7262D" w:rsidRPr="004B3FF5">
        <w:rPr>
          <w:color w:val="222222"/>
        </w:rPr>
        <w:t>discrimination laws to claims concerning the employment relationship between a religious institution and its ministers.</w:t>
      </w:r>
      <w:r w:rsidR="00D7262D" w:rsidRPr="004B3FF5">
        <w:rPr>
          <w:color w:val="222222"/>
          <w:vertAlign w:val="superscript"/>
        </w:rPr>
        <w:endnoteReference w:id="108"/>
      </w:r>
    </w:p>
    <w:p w14:paraId="60481BF6" w14:textId="77777777" w:rsidR="00296DA5" w:rsidRDefault="00AE77FF" w:rsidP="00396A3D">
      <w:pPr>
        <w:pStyle w:val="NCDBodyText"/>
      </w:pPr>
      <w:r>
        <w:t>The</w:t>
      </w:r>
      <w:r w:rsidR="00D7262D" w:rsidRPr="004B3FF5">
        <w:t xml:space="preserve"> majority of EEOC litigation set</w:t>
      </w:r>
      <w:r w:rsidR="0018555C">
        <w:t xml:space="preserve">tles, and the Commission </w:t>
      </w:r>
      <w:r w:rsidR="00D7262D" w:rsidRPr="004B3FF5">
        <w:t>stresse</w:t>
      </w:r>
      <w:r w:rsidR="00193835">
        <w:t>s</w:t>
      </w:r>
      <w:r w:rsidR="00D7262D" w:rsidRPr="004B3FF5">
        <w:t xml:space="preserve"> </w:t>
      </w:r>
      <w:r w:rsidR="00E747C3" w:rsidRPr="004B3FF5">
        <w:t xml:space="preserve">targeted equitable relief </w:t>
      </w:r>
      <w:r w:rsidR="003326BC">
        <w:t xml:space="preserve">in </w:t>
      </w:r>
      <w:r w:rsidR="00D7262D" w:rsidRPr="004B3FF5">
        <w:t>ad</w:t>
      </w:r>
      <w:r w:rsidR="00E747C3">
        <w:t>dition to</w:t>
      </w:r>
      <w:r w:rsidR="00D7262D" w:rsidRPr="004B3FF5">
        <w:t xml:space="preserve"> monetary relief</w:t>
      </w:r>
      <w:r w:rsidR="00193835" w:rsidRPr="00193835">
        <w:t xml:space="preserve"> </w:t>
      </w:r>
      <w:r w:rsidR="00193835">
        <w:t>in its ADA settlement agreements</w:t>
      </w:r>
      <w:r w:rsidR="00D7262D" w:rsidRPr="004B3FF5">
        <w:t xml:space="preserve">. Two examples </w:t>
      </w:r>
      <w:r w:rsidR="00A01D1B" w:rsidRPr="004B3FF5">
        <w:t xml:space="preserve">of </w:t>
      </w:r>
      <w:r w:rsidR="00A01D1B" w:rsidRPr="004B3FF5">
        <w:lastRenderedPageBreak/>
        <w:t xml:space="preserve">targeted equitable relief </w:t>
      </w:r>
      <w:r w:rsidR="00E747C3">
        <w:t>from FY 2016 highlight this effort. I</w:t>
      </w:r>
      <w:r w:rsidR="00D7262D" w:rsidRPr="004B3FF5">
        <w:t>n one case</w:t>
      </w:r>
      <w:r w:rsidR="00513CB4">
        <w:t>,</w:t>
      </w:r>
      <w:r w:rsidR="00D7262D" w:rsidRPr="004B3FF5">
        <w:t xml:space="preserve"> the EEOC alleged that an employer failed to accommodate employees who requested </w:t>
      </w:r>
      <w:r w:rsidR="00E747C3">
        <w:t>to sit during their shift</w:t>
      </w:r>
      <w:r w:rsidR="0018555C">
        <w:t>s</w:t>
      </w:r>
      <w:r w:rsidR="00E747C3">
        <w:t xml:space="preserve">. </w:t>
      </w:r>
      <w:r w:rsidR="0018555C">
        <w:t>Through a</w:t>
      </w:r>
      <w:r w:rsidR="00D7262D" w:rsidRPr="004B3FF5">
        <w:t xml:space="preserve"> conciliation</w:t>
      </w:r>
      <w:r w:rsidR="00E747C3">
        <w:t xml:space="preserve"> agreement</w:t>
      </w:r>
      <w:r w:rsidR="0018555C">
        <w:t>, the employer agreed to pay</w:t>
      </w:r>
      <w:r w:rsidR="00D7262D" w:rsidRPr="004B3FF5">
        <w:t xml:space="preserve"> $5.05 million </w:t>
      </w:r>
      <w:r w:rsidR="00181EAC">
        <w:t>to</w:t>
      </w:r>
      <w:r w:rsidR="00181EAC" w:rsidRPr="004B3FF5">
        <w:t xml:space="preserve"> </w:t>
      </w:r>
      <w:r w:rsidR="00D7262D" w:rsidRPr="004B3FF5">
        <w:t>nine parties</w:t>
      </w:r>
      <w:r w:rsidR="00256596">
        <w:t>,</w:t>
      </w:r>
      <w:r w:rsidR="00181EAC">
        <w:t xml:space="preserve"> </w:t>
      </w:r>
      <w:r w:rsidR="00D7262D" w:rsidRPr="004B3FF5">
        <w:t>77 known class members and additional unidentified class members,</w:t>
      </w:r>
      <w:r w:rsidR="00256596">
        <w:t xml:space="preserve"> to </w:t>
      </w:r>
      <w:r w:rsidR="00D7262D" w:rsidRPr="004B3FF5">
        <w:t>restru</w:t>
      </w:r>
      <w:r w:rsidR="00256596">
        <w:t xml:space="preserve">cture its accommodation process and provide training </w:t>
      </w:r>
      <w:r w:rsidR="00695762">
        <w:t>that</w:t>
      </w:r>
      <w:r w:rsidR="00256596">
        <w:t xml:space="preserve"> would benefit </w:t>
      </w:r>
      <w:r w:rsidR="003C6E30">
        <w:t>more than</w:t>
      </w:r>
      <w:r w:rsidR="00E747C3">
        <w:t xml:space="preserve"> 40,000 employees.</w:t>
      </w:r>
      <w:r w:rsidR="00C22CAE">
        <w:rPr>
          <w:rStyle w:val="EndnoteReference"/>
          <w:rFonts w:cs="Arial"/>
        </w:rPr>
        <w:endnoteReference w:id="109"/>
      </w:r>
      <w:r w:rsidR="00E747C3">
        <w:t xml:space="preserve"> In the </w:t>
      </w:r>
      <w:r w:rsidR="00D7262D" w:rsidRPr="004B3FF5">
        <w:t xml:space="preserve">second </w:t>
      </w:r>
      <w:r w:rsidR="00E747C3">
        <w:t xml:space="preserve">2016 </w:t>
      </w:r>
      <w:r w:rsidR="00D7262D" w:rsidRPr="004B3FF5">
        <w:t xml:space="preserve">case, </w:t>
      </w:r>
      <w:r w:rsidR="00E747C3">
        <w:t xml:space="preserve">the </w:t>
      </w:r>
      <w:r w:rsidR="00D7262D" w:rsidRPr="004B3FF5">
        <w:t>EEOC resolved a Commissioner</w:t>
      </w:r>
      <w:r w:rsidR="006474CA">
        <w:t>’</w:t>
      </w:r>
      <w:r w:rsidR="00D7262D" w:rsidRPr="004B3FF5">
        <w:t>s charge alleging disability discrimination against a large assessment test provider</w:t>
      </w:r>
      <w:r w:rsidR="00E00D62">
        <w:t xml:space="preserve"> when the</w:t>
      </w:r>
      <w:r w:rsidR="00D7262D" w:rsidRPr="004B3FF5">
        <w:t xml:space="preserve"> company agreed </w:t>
      </w:r>
      <w:r w:rsidR="00256596">
        <w:t>to make</w:t>
      </w:r>
      <w:r w:rsidR="00D7262D" w:rsidRPr="004B3FF5">
        <w:t xml:space="preserve"> all of its online applicant assessment tests accessible to </w:t>
      </w:r>
      <w:r w:rsidR="00513CB4" w:rsidRPr="004B3FF5">
        <w:t>vision</w:t>
      </w:r>
      <w:r w:rsidR="00513CB4">
        <w:t>-</w:t>
      </w:r>
      <w:r w:rsidR="00D7262D" w:rsidRPr="004B3FF5">
        <w:t>impaired applica</w:t>
      </w:r>
      <w:r w:rsidR="00E00D62">
        <w:t>nts via screen reading software</w:t>
      </w:r>
      <w:r w:rsidR="00513CB4">
        <w:t>,</w:t>
      </w:r>
      <w:r w:rsidR="00E00D62">
        <w:t xml:space="preserve"> impacting thousands of assessments</w:t>
      </w:r>
      <w:r w:rsidR="00D7262D" w:rsidRPr="004B3FF5">
        <w:t>.</w:t>
      </w:r>
      <w:r w:rsidR="00D7262D" w:rsidRPr="004B3FF5">
        <w:rPr>
          <w:vertAlign w:val="superscript"/>
        </w:rPr>
        <w:endnoteReference w:id="110"/>
      </w:r>
    </w:p>
    <w:p w14:paraId="56FA0F81" w14:textId="77777777" w:rsidR="00296DA5" w:rsidRDefault="00256596" w:rsidP="00396A3D">
      <w:pPr>
        <w:pStyle w:val="NCDBodyText"/>
      </w:pPr>
      <w:r>
        <w:t>The EEOC</w:t>
      </w:r>
      <w:r w:rsidR="006474CA">
        <w:t>’</w:t>
      </w:r>
      <w:r>
        <w:t xml:space="preserve">s first </w:t>
      </w:r>
      <w:r w:rsidR="00415B9F" w:rsidRPr="00415B9F">
        <w:t xml:space="preserve">GINA </w:t>
      </w:r>
      <w:r>
        <w:t xml:space="preserve">suit </w:t>
      </w:r>
      <w:r w:rsidR="00415B9F" w:rsidRPr="00415B9F">
        <w:t>was filed</w:t>
      </w:r>
      <w:r w:rsidR="00373051">
        <w:t xml:space="preserve"> in 2013 against Fabricut, Inc. for violations of </w:t>
      </w:r>
      <w:r w:rsidR="00795DCE">
        <w:t>GINA</w:t>
      </w:r>
      <w:r w:rsidR="00CC064C">
        <w:t>—</w:t>
      </w:r>
      <w:r w:rsidRPr="00415B9F">
        <w:t>when it asked a woman for her family medical history in a post-offer medical exam</w:t>
      </w:r>
      <w:r w:rsidR="00CC064C">
        <w:t>—</w:t>
      </w:r>
      <w:r>
        <w:t>and</w:t>
      </w:r>
      <w:r w:rsidRPr="00415B9F">
        <w:t xml:space="preserve"> </w:t>
      </w:r>
      <w:r w:rsidR="00415B9F" w:rsidRPr="00415B9F">
        <w:t>the ADA</w:t>
      </w:r>
      <w:r w:rsidR="00CC064C">
        <w:t>—</w:t>
      </w:r>
      <w:r w:rsidR="00415B9F" w:rsidRPr="00415B9F">
        <w:t xml:space="preserve">when </w:t>
      </w:r>
      <w:r>
        <w:t>it</w:t>
      </w:r>
      <w:r w:rsidR="00415B9F" w:rsidRPr="00415B9F">
        <w:t xml:space="preserve"> refused to hire </w:t>
      </w:r>
      <w:r>
        <w:t xml:space="preserve">her </w:t>
      </w:r>
      <w:r w:rsidR="00415B9F" w:rsidRPr="00415B9F">
        <w:t>because it regarded her as ha</w:t>
      </w:r>
      <w:r>
        <w:t xml:space="preserve">ving carpal tunnel syndrome. The company </w:t>
      </w:r>
      <w:r w:rsidR="00415B9F" w:rsidRPr="00415B9F">
        <w:t xml:space="preserve">settled </w:t>
      </w:r>
      <w:r w:rsidR="00373051">
        <w:t>for</w:t>
      </w:r>
      <w:r>
        <w:t xml:space="preserve"> $50,000, modified</w:t>
      </w:r>
      <w:r w:rsidR="00415B9F" w:rsidRPr="00415B9F">
        <w:t xml:space="preserve"> its policies</w:t>
      </w:r>
      <w:r w:rsidR="00513CB4">
        <w:t>,</w:t>
      </w:r>
      <w:r w:rsidR="00415B9F" w:rsidRPr="00415B9F">
        <w:t xml:space="preserve"> and provide</w:t>
      </w:r>
      <w:r>
        <w:t>d</w:t>
      </w:r>
      <w:r w:rsidR="00415B9F" w:rsidRPr="00415B9F">
        <w:t xml:space="preserve"> </w:t>
      </w:r>
      <w:r w:rsidR="006C7616">
        <w:t>anti</w:t>
      </w:r>
      <w:r w:rsidR="00415B9F" w:rsidRPr="00415B9F">
        <w:t xml:space="preserve">discrimination training to its employees. </w:t>
      </w:r>
      <w:r>
        <w:t>The EEOC has</w:t>
      </w:r>
      <w:r w:rsidR="00415B9F" w:rsidRPr="00415B9F">
        <w:t xml:space="preserve"> filed </w:t>
      </w:r>
      <w:r>
        <w:t xml:space="preserve">only </w:t>
      </w:r>
      <w:r w:rsidR="00415B9F" w:rsidRPr="00415B9F">
        <w:t>a handfu</w:t>
      </w:r>
      <w:r>
        <w:t>l of a</w:t>
      </w:r>
      <w:r w:rsidR="00D0076B">
        <w:t>dditional GINA cases since</w:t>
      </w:r>
      <w:r w:rsidR="00513CB4">
        <w:t>,</w:t>
      </w:r>
      <w:r w:rsidR="00D0076B">
        <w:t xml:space="preserve"> </w:t>
      </w:r>
      <w:r>
        <w:t>given the small number of GINA charges filed with the Commission</w:t>
      </w:r>
      <w:r w:rsidR="00415B9F" w:rsidRPr="00415B9F">
        <w:t>.</w:t>
      </w:r>
    </w:p>
    <w:p w14:paraId="53F8B4DD" w14:textId="34D51634" w:rsidR="00296DA5" w:rsidRDefault="00D7262D" w:rsidP="00396A3D">
      <w:pPr>
        <w:pStyle w:val="NCDBodyText"/>
      </w:pPr>
      <w:r w:rsidRPr="004B3FF5">
        <w:t xml:space="preserve">As part of the </w:t>
      </w:r>
      <w:r w:rsidR="00933A78">
        <w:t>effort of</w:t>
      </w:r>
      <w:r w:rsidRPr="004B3FF5">
        <w:t xml:space="preserve"> the EEOC to guide interpretation of the ADA, the Commission submits friend of the court</w:t>
      </w:r>
      <w:r w:rsidR="00C36C24">
        <w:t xml:space="preserve"> (</w:t>
      </w:r>
      <w:r w:rsidR="00631E24" w:rsidRPr="00631E24">
        <w:rPr>
          <w:i/>
        </w:rPr>
        <w:t>amici</w:t>
      </w:r>
      <w:r w:rsidR="00C36C24">
        <w:t>)</w:t>
      </w:r>
      <w:r w:rsidRPr="004B3FF5">
        <w:t xml:space="preserve"> briefs in many individual ADA cases in which the EEOC is not the plaintiff. These briefs can assist a court </w:t>
      </w:r>
      <w:r w:rsidR="0055780E">
        <w:t>in interpreting</w:t>
      </w:r>
      <w:r w:rsidR="0055780E" w:rsidRPr="004B3FF5">
        <w:t xml:space="preserve"> </w:t>
      </w:r>
      <w:r w:rsidRPr="004B3FF5">
        <w:t xml:space="preserve">the ADA or the </w:t>
      </w:r>
      <w:r w:rsidR="00C36C24">
        <w:t xml:space="preserve">EEOC </w:t>
      </w:r>
      <w:r w:rsidRPr="004B3FF5">
        <w:t>regulations.</w:t>
      </w:r>
      <w:r w:rsidR="00415B9F">
        <w:t xml:space="preserve"> According to the </w:t>
      </w:r>
      <w:r w:rsidR="00E00D62">
        <w:t xml:space="preserve">OGC, </w:t>
      </w:r>
      <w:r w:rsidR="00415B9F">
        <w:t xml:space="preserve">the EEOC monitors federal cases </w:t>
      </w:r>
      <w:r w:rsidR="00695762">
        <w:t>that</w:t>
      </w:r>
      <w:r w:rsidR="00415B9F">
        <w:t xml:space="preserve"> are appealed by either the plaintiff or the defendant to a U.S. Court of Appeals. This includes plaintiffs who are not represented by an attorney. OGC noted there are still a number of cases in which the district court wrongly applies pre-ADAAA case law, especially when the plaintiff is not represented by an attorney.</w:t>
      </w:r>
    </w:p>
    <w:p w14:paraId="2853000B" w14:textId="7D644F00" w:rsidR="00296DA5" w:rsidRDefault="00415B9F" w:rsidP="00396A3D">
      <w:pPr>
        <w:pStyle w:val="NCDBodyText"/>
      </w:pPr>
      <w:r>
        <w:t>The EEOC can submit a friend of the court brief in a case being considered by a U.S.</w:t>
      </w:r>
      <w:r w:rsidR="00716D6A">
        <w:t xml:space="preserve"> </w:t>
      </w:r>
      <w:r>
        <w:t>Court of Appeals without</w:t>
      </w:r>
      <w:r w:rsidRPr="00415B9F">
        <w:t xml:space="preserve"> </w:t>
      </w:r>
      <w:r w:rsidR="00037AD9">
        <w:t xml:space="preserve">court </w:t>
      </w:r>
      <w:r w:rsidR="00E55A54">
        <w:t>approval.</w:t>
      </w:r>
      <w:r>
        <w:t xml:space="preserve"> In determining whether to file a friend of the court brief, the EEOC looks for clear legal error by the lower district court </w:t>
      </w:r>
      <w:r w:rsidR="00D0076B">
        <w:t xml:space="preserve">and </w:t>
      </w:r>
      <w:r>
        <w:t xml:space="preserve">in which the EEOC can be of assistance to the </w:t>
      </w:r>
      <w:r w:rsidR="00D0076B">
        <w:t>court.</w:t>
      </w:r>
      <w:r w:rsidR="00FD5B65">
        <w:t xml:space="preserve"> The Commissioners must approve the filing </w:t>
      </w:r>
      <w:r w:rsidR="004E599F">
        <w:t xml:space="preserve">of </w:t>
      </w:r>
      <w:r w:rsidR="00FD5B65">
        <w:t>friend of the court briefs.</w:t>
      </w:r>
      <w:r w:rsidR="000A2944">
        <w:t xml:space="preserve"> </w:t>
      </w:r>
      <w:r w:rsidR="00795DCE">
        <w:t>T</w:t>
      </w:r>
      <w:r w:rsidR="00D7262D" w:rsidRPr="004B3FF5">
        <w:t>he EEOC</w:t>
      </w:r>
      <w:r w:rsidR="006474CA">
        <w:t>’</w:t>
      </w:r>
      <w:r w:rsidR="00D7262D" w:rsidRPr="004B3FF5">
        <w:t xml:space="preserve">s </w:t>
      </w:r>
      <w:r w:rsidR="00665A72">
        <w:t>friend of the court</w:t>
      </w:r>
      <w:r w:rsidR="00D7262D" w:rsidRPr="004B3FF5">
        <w:t xml:space="preserve"> activity has been successful </w:t>
      </w:r>
      <w:r w:rsidR="000A2944">
        <w:lastRenderedPageBreak/>
        <w:t xml:space="preserve">in some cases </w:t>
      </w:r>
      <w:r w:rsidR="00D7262D" w:rsidRPr="004B3FF5">
        <w:t xml:space="preserve">with </w:t>
      </w:r>
      <w:r w:rsidR="00665A72">
        <w:t xml:space="preserve">U.S. </w:t>
      </w:r>
      <w:r w:rsidR="00D7262D" w:rsidRPr="004B3FF5">
        <w:t xml:space="preserve">Circuit Courts agreeing to </w:t>
      </w:r>
      <w:r w:rsidR="00665A72">
        <w:t xml:space="preserve">a </w:t>
      </w:r>
      <w:r w:rsidR="00D7262D" w:rsidRPr="004B3FF5">
        <w:t xml:space="preserve">broad </w:t>
      </w:r>
      <w:r w:rsidR="00665A72">
        <w:t xml:space="preserve">interpretation of the </w:t>
      </w:r>
      <w:r w:rsidR="00D7262D" w:rsidRPr="004B3FF5">
        <w:t xml:space="preserve">definition of </w:t>
      </w:r>
      <w:r w:rsidR="00011DF9">
        <w:t>“</w:t>
      </w:r>
      <w:r w:rsidR="00D7262D" w:rsidRPr="004B3FF5">
        <w:t>disability</w:t>
      </w:r>
      <w:r w:rsidR="00011DF9">
        <w:t>”</w:t>
      </w:r>
      <w:r w:rsidR="00D7262D" w:rsidRPr="004B3FF5">
        <w:t xml:space="preserve"> </w:t>
      </w:r>
      <w:r w:rsidR="00665A72">
        <w:t xml:space="preserve">as </w:t>
      </w:r>
      <w:r w:rsidR="000A2944">
        <w:t xml:space="preserve">intended by the </w:t>
      </w:r>
      <w:r w:rsidR="00D7262D" w:rsidRPr="004B3FF5">
        <w:t xml:space="preserve">ADAAA. In </w:t>
      </w:r>
      <w:proofErr w:type="spellStart"/>
      <w:r w:rsidR="00631E24" w:rsidRPr="00631E24">
        <w:rPr>
          <w:i/>
        </w:rPr>
        <w:t>Barlia</w:t>
      </w:r>
      <w:proofErr w:type="spellEnd"/>
      <w:r w:rsidR="00631E24" w:rsidRPr="00631E24">
        <w:rPr>
          <w:i/>
        </w:rPr>
        <w:t xml:space="preserve"> v. MWI Veterinary Supply,</w:t>
      </w:r>
      <w:r w:rsidR="00D7262D" w:rsidRPr="004B3FF5">
        <w:rPr>
          <w:vertAlign w:val="superscript"/>
        </w:rPr>
        <w:endnoteReference w:id="111"/>
      </w:r>
      <w:r w:rsidR="00665A72">
        <w:t xml:space="preserve"> the Sixth Circuit, for example, </w:t>
      </w:r>
      <w:r w:rsidR="00D7262D" w:rsidRPr="004B3FF5">
        <w:t xml:space="preserve">agreed with the EEOC and reversed the </w:t>
      </w:r>
      <w:r w:rsidR="00665A72">
        <w:t xml:space="preserve">lower </w:t>
      </w:r>
      <w:r w:rsidR="00D7262D" w:rsidRPr="004B3FF5">
        <w:t xml:space="preserve">district court on the definition of </w:t>
      </w:r>
      <w:r w:rsidR="00E01FEC">
        <w:t>“</w:t>
      </w:r>
      <w:r w:rsidR="00D7262D" w:rsidRPr="004B3FF5">
        <w:t>disability</w:t>
      </w:r>
      <w:r w:rsidR="00E01FEC">
        <w:t>”</w:t>
      </w:r>
      <w:r w:rsidR="000A2944">
        <w:t xml:space="preserve"> (though agreeing on the merits against the plaintiff)</w:t>
      </w:r>
      <w:r w:rsidR="00D7262D" w:rsidRPr="004B3FF5">
        <w:t>.</w:t>
      </w:r>
    </w:p>
    <w:p w14:paraId="5E0C4E81" w14:textId="073F7408" w:rsidR="002957E2" w:rsidRPr="004B3FF5" w:rsidRDefault="002957E2" w:rsidP="006E37D6">
      <w:pPr>
        <w:pStyle w:val="Heading3"/>
      </w:pPr>
      <w:bookmarkStart w:id="28" w:name="_Toc526182082"/>
      <w:r w:rsidRPr="004B3FF5">
        <w:t>Interagency Collaboration and Coordination</w:t>
      </w:r>
      <w:bookmarkEnd w:id="28"/>
    </w:p>
    <w:p w14:paraId="04DAF8E9" w14:textId="0A9062A1" w:rsidR="00296DA5" w:rsidRDefault="00631E24" w:rsidP="00396A3D">
      <w:pPr>
        <w:pStyle w:val="NCDBodyText"/>
      </w:pPr>
      <w:r w:rsidRPr="00631E24">
        <w:rPr>
          <w:i/>
        </w:rPr>
        <w:t>Promises to Keep</w:t>
      </w:r>
      <w:r w:rsidR="00CC1865" w:rsidRPr="00D20526">
        <w:t xml:space="preserve"> </w:t>
      </w:r>
      <w:r w:rsidR="00BB16B0">
        <w:t>i</w:t>
      </w:r>
      <w:r w:rsidR="002957E2" w:rsidRPr="00D20526">
        <w:t>dentified interagency collaboration and coordination as a critical factor for enforcement</w:t>
      </w:r>
      <w:r w:rsidR="002957E2">
        <w:t>.</w:t>
      </w:r>
      <w:r w:rsidR="002957E2">
        <w:rPr>
          <w:rStyle w:val="EndnoteReference"/>
          <w:rFonts w:cs="Arial"/>
        </w:rPr>
        <w:endnoteReference w:id="112"/>
      </w:r>
      <w:r w:rsidR="002957E2">
        <w:t xml:space="preserve"> </w:t>
      </w:r>
      <w:r w:rsidR="00CC1865">
        <w:t>I</w:t>
      </w:r>
      <w:r w:rsidR="00665A72">
        <w:t>n 2015</w:t>
      </w:r>
      <w:r w:rsidR="002957E2" w:rsidRPr="00D20526">
        <w:t xml:space="preserve">, </w:t>
      </w:r>
      <w:r w:rsidR="000A2944">
        <w:t xml:space="preserve">the </w:t>
      </w:r>
      <w:r w:rsidR="002957E2" w:rsidRPr="00D20526">
        <w:t>EEOC entered into memorand</w:t>
      </w:r>
      <w:r w:rsidR="002957E2">
        <w:t>a</w:t>
      </w:r>
      <w:r w:rsidR="002957E2" w:rsidRPr="00D20526">
        <w:t xml:space="preserve"> of understanding</w:t>
      </w:r>
      <w:r w:rsidR="00CC1865">
        <w:t>s</w:t>
      </w:r>
      <w:r w:rsidR="002957E2" w:rsidRPr="00D20526">
        <w:t xml:space="preserve"> </w:t>
      </w:r>
      <w:r w:rsidR="002957E2">
        <w:t xml:space="preserve">(MOU) </w:t>
      </w:r>
      <w:r w:rsidR="002957E2" w:rsidRPr="00D20526">
        <w:t xml:space="preserve">with </w:t>
      </w:r>
      <w:r w:rsidR="005D55C2">
        <w:t>DOJ</w:t>
      </w:r>
      <w:r w:rsidR="006474CA">
        <w:t>’</w:t>
      </w:r>
      <w:r w:rsidR="005D55C2">
        <w:t xml:space="preserve">s </w:t>
      </w:r>
      <w:r w:rsidR="002957E2">
        <w:t>Civil Rights</w:t>
      </w:r>
      <w:r w:rsidR="00665A72">
        <w:t xml:space="preserve"> Division, </w:t>
      </w:r>
      <w:r w:rsidR="00CC1865">
        <w:t xml:space="preserve">in 2017 </w:t>
      </w:r>
      <w:r w:rsidR="00E00D62">
        <w:t>with DOL</w:t>
      </w:r>
      <w:r w:rsidR="006474CA">
        <w:t>’</w:t>
      </w:r>
      <w:r w:rsidR="00E00D62">
        <w:t xml:space="preserve">s </w:t>
      </w:r>
      <w:r w:rsidR="00D70AA0">
        <w:t>Wage and Hour Division (WHD)</w:t>
      </w:r>
      <w:r w:rsidR="002957E2">
        <w:t xml:space="preserve">, and </w:t>
      </w:r>
      <w:r w:rsidR="00CC1865">
        <w:t>in 2011 updated an MOU</w:t>
      </w:r>
      <w:r w:rsidR="00665A72">
        <w:t xml:space="preserve"> </w:t>
      </w:r>
      <w:r w:rsidR="002957E2">
        <w:t xml:space="preserve">with </w:t>
      </w:r>
      <w:r w:rsidR="00665A72">
        <w:t>DOL</w:t>
      </w:r>
      <w:r w:rsidR="006474CA">
        <w:t>’</w:t>
      </w:r>
      <w:r w:rsidR="00665A72">
        <w:t xml:space="preserve">s </w:t>
      </w:r>
      <w:r w:rsidR="00D70AA0">
        <w:t>Office of Federal Contract Compliance Programs (</w:t>
      </w:r>
      <w:r w:rsidR="00E00D62">
        <w:t>OFCCP</w:t>
      </w:r>
      <w:r w:rsidR="00D70AA0">
        <w:t>).</w:t>
      </w:r>
    </w:p>
    <w:p w14:paraId="0FD91DCA" w14:textId="60246E56" w:rsidR="00296DA5" w:rsidRDefault="002957E2" w:rsidP="00396A3D">
      <w:pPr>
        <w:pStyle w:val="NCDBodyText"/>
      </w:pPr>
      <w:r w:rsidRPr="00D20526">
        <w:t>EEOC and DOJ share enforcement authority for public sector employers unde</w:t>
      </w:r>
      <w:r>
        <w:t>r the ADA and GIN</w:t>
      </w:r>
      <w:r w:rsidR="00CC1865">
        <w:t>A</w:t>
      </w:r>
      <w:r>
        <w:t>.</w:t>
      </w:r>
      <w:r>
        <w:rPr>
          <w:rStyle w:val="EndnoteReference"/>
          <w:rFonts w:cs="Arial"/>
          <w:lang w:val="en"/>
        </w:rPr>
        <w:endnoteReference w:id="113"/>
      </w:r>
      <w:r>
        <w:t xml:space="preserve"> </w:t>
      </w:r>
      <w:r w:rsidRPr="00D20526">
        <w:t xml:space="preserve">EEOC has authority to investigate and mediate </w:t>
      </w:r>
      <w:r w:rsidR="00933A78" w:rsidRPr="00D20526">
        <w:t xml:space="preserve">discrimination </w:t>
      </w:r>
      <w:r w:rsidRPr="00D20526">
        <w:t xml:space="preserve">charges </w:t>
      </w:r>
      <w:r w:rsidR="00933A78">
        <w:t>against public sector employer</w:t>
      </w:r>
      <w:r w:rsidR="00CC1865">
        <w:t>s</w:t>
      </w:r>
      <w:r w:rsidR="00933A78">
        <w:t>, and a</w:t>
      </w:r>
      <w:r>
        <w:t>s with private employer</w:t>
      </w:r>
      <w:r w:rsidR="00933A78">
        <w:t>s</w:t>
      </w:r>
      <w:r>
        <w:t>, the EEOC</w:t>
      </w:r>
      <w:r w:rsidR="00933A78">
        <w:t xml:space="preserve"> seeks to remedy</w:t>
      </w:r>
      <w:r>
        <w:t xml:space="preserve"> violation</w:t>
      </w:r>
      <w:r w:rsidR="00C20556">
        <w:t xml:space="preserve">s by </w:t>
      </w:r>
      <w:r w:rsidR="00CC1865">
        <w:t>public</w:t>
      </w:r>
      <w:r w:rsidR="00933A78">
        <w:t xml:space="preserve"> employer</w:t>
      </w:r>
      <w:r w:rsidR="00CC1865">
        <w:t>s</w:t>
      </w:r>
      <w:r>
        <w:t xml:space="preserve"> through conciliation. If the EEOC </w:t>
      </w:r>
      <w:r w:rsidR="00933A78">
        <w:t>conciliation fails</w:t>
      </w:r>
      <w:r>
        <w:t>,</w:t>
      </w:r>
      <w:r w:rsidRPr="00D20526">
        <w:t xml:space="preserve"> </w:t>
      </w:r>
      <w:r>
        <w:t>the matter</w:t>
      </w:r>
      <w:r w:rsidR="00665A72">
        <w:t xml:space="preserve"> is referred to DOJ</w:t>
      </w:r>
      <w:r w:rsidR="00513CB4">
        <w:t xml:space="preserve">, </w:t>
      </w:r>
      <w:r w:rsidRPr="00D20526">
        <w:t>which has sole authorit</w:t>
      </w:r>
      <w:r>
        <w:t>y</w:t>
      </w:r>
      <w:r w:rsidR="00933A78">
        <w:t>, and discretion</w:t>
      </w:r>
      <w:r w:rsidR="00CC1865">
        <w:t>,</w:t>
      </w:r>
      <w:r>
        <w:t xml:space="preserve"> </w:t>
      </w:r>
      <w:r w:rsidR="00933A78">
        <w:t>on whether to</w:t>
      </w:r>
      <w:r>
        <w:t xml:space="preserve"> file suit</w:t>
      </w:r>
      <w:r w:rsidRPr="00D20526">
        <w:t xml:space="preserve"> against </w:t>
      </w:r>
      <w:r>
        <w:t xml:space="preserve">a </w:t>
      </w:r>
      <w:r w:rsidRPr="00D20526">
        <w:t xml:space="preserve">public </w:t>
      </w:r>
      <w:r w:rsidR="00665A72">
        <w:t>employer</w:t>
      </w:r>
      <w:r>
        <w:t>.</w:t>
      </w:r>
    </w:p>
    <w:p w14:paraId="38191680" w14:textId="208E5C49" w:rsidR="00296DA5" w:rsidRDefault="00933A78" w:rsidP="00396A3D">
      <w:pPr>
        <w:pStyle w:val="NCDBodyText"/>
      </w:pPr>
      <w:r w:rsidRPr="00D20526">
        <w:t xml:space="preserve">The EEOC and the DOJ Civil Rights Division </w:t>
      </w:r>
      <w:r>
        <w:t xml:space="preserve">MOU </w:t>
      </w:r>
      <w:r w:rsidR="002957E2" w:rsidRPr="00D20526">
        <w:t>authorize</w:t>
      </w:r>
      <w:r>
        <w:t>s</w:t>
      </w:r>
      <w:r w:rsidR="002957E2" w:rsidRPr="00D20526">
        <w:t xml:space="preserve"> collaboration between the agencies </w:t>
      </w:r>
      <w:r>
        <w:t xml:space="preserve">on </w:t>
      </w:r>
      <w:r w:rsidR="006474CA">
        <w:t>“</w:t>
      </w:r>
      <w:r>
        <w:t xml:space="preserve">the </w:t>
      </w:r>
      <w:r w:rsidR="002957E2" w:rsidRPr="00D20526">
        <w:t>investigation, resolution, and litigation of charges; development of policy guidance; engaging in outreach and public education; training of each agency</w:t>
      </w:r>
      <w:r w:rsidR="006474CA">
        <w:t>’</w:t>
      </w:r>
      <w:r w:rsidR="002957E2" w:rsidRPr="00D20526">
        <w:t>s staff; and sharing of r</w:t>
      </w:r>
      <w:r w:rsidR="00C20556">
        <w:t>esources, as may be appropriate</w:t>
      </w:r>
      <w:r w:rsidR="002957E2">
        <w:t>.</w:t>
      </w:r>
      <w:r w:rsidR="006474CA">
        <w:t>”</w:t>
      </w:r>
      <w:r>
        <w:rPr>
          <w:rStyle w:val="EndnoteReference"/>
          <w:rFonts w:cs="Arial"/>
        </w:rPr>
        <w:endnoteReference w:id="114"/>
      </w:r>
      <w:r w:rsidR="002957E2">
        <w:t xml:space="preserve"> </w:t>
      </w:r>
      <w:r>
        <w:t xml:space="preserve">The MOU also addresses </w:t>
      </w:r>
      <w:r w:rsidR="002957E2">
        <w:t xml:space="preserve">information sharing, </w:t>
      </w:r>
      <w:r>
        <w:t>points of contact,</w:t>
      </w:r>
      <w:r w:rsidR="002957E2">
        <w:t xml:space="preserve"> di</w:t>
      </w:r>
      <w:r w:rsidR="002957E2" w:rsidRPr="00D20526">
        <w:t>sclosure of infor</w:t>
      </w:r>
      <w:r>
        <w:t>mation to third parties</w:t>
      </w:r>
      <w:r w:rsidR="00513CB4">
        <w:t>,</w:t>
      </w:r>
      <w:r>
        <w:t xml:space="preserve"> and</w:t>
      </w:r>
      <w:r w:rsidR="002957E2">
        <w:t xml:space="preserve"> confidentiality; </w:t>
      </w:r>
      <w:r w:rsidR="002957E2" w:rsidRPr="00D20526">
        <w:t>notification and consultation proce</w:t>
      </w:r>
      <w:r w:rsidR="002957E2">
        <w:t>dures at various stages</w:t>
      </w:r>
      <w:r w:rsidR="00CE75A2">
        <w:t>;</w:t>
      </w:r>
      <w:r w:rsidR="00CC1865">
        <w:t xml:space="preserve"> </w:t>
      </w:r>
      <w:r w:rsidR="002957E2" w:rsidRPr="00D20526">
        <w:t>and establishi</w:t>
      </w:r>
      <w:r w:rsidR="002957E2">
        <w:t>ng field cooperation procedures.</w:t>
      </w:r>
      <w:r w:rsidR="002957E2" w:rsidRPr="002957E2">
        <w:t xml:space="preserve"> </w:t>
      </w:r>
      <w:r w:rsidR="002957E2" w:rsidRPr="006626F2">
        <w:t xml:space="preserve">The EEOC reports that </w:t>
      </w:r>
      <w:r w:rsidR="000A2944">
        <w:t xml:space="preserve">the </w:t>
      </w:r>
      <w:r w:rsidR="002957E2" w:rsidRPr="006626F2">
        <w:t xml:space="preserve">district offices and DOJ now have local liaisons, and DOJ attorneys are involved earlier in </w:t>
      </w:r>
      <w:r w:rsidR="00CC1865">
        <w:t xml:space="preserve">EEOC </w:t>
      </w:r>
      <w:r w:rsidR="002957E2" w:rsidRPr="006626F2">
        <w:t>investigations and conciliation</w:t>
      </w:r>
      <w:r w:rsidR="00CC1865">
        <w:t>s</w:t>
      </w:r>
      <w:r w:rsidR="002957E2" w:rsidRPr="006626F2">
        <w:t xml:space="preserve"> to determine whether </w:t>
      </w:r>
      <w:r w:rsidR="00CC1865">
        <w:t xml:space="preserve">it </w:t>
      </w:r>
      <w:r w:rsidR="002957E2" w:rsidRPr="006626F2">
        <w:t>may be interest</w:t>
      </w:r>
      <w:r w:rsidR="00CC1865">
        <w:t xml:space="preserve">ed in litigating the case. This early involvement has helped reduce the time </w:t>
      </w:r>
      <w:r>
        <w:t>for DOJ to de</w:t>
      </w:r>
      <w:r w:rsidR="00CC1865">
        <w:t xml:space="preserve">cide </w:t>
      </w:r>
      <w:r w:rsidR="002957E2" w:rsidRPr="006626F2">
        <w:t>whether</w:t>
      </w:r>
      <w:r w:rsidR="00CC1865">
        <w:t xml:space="preserve"> </w:t>
      </w:r>
      <w:r w:rsidR="002957E2" w:rsidRPr="006626F2">
        <w:t>to litigate</w:t>
      </w:r>
      <w:r w:rsidR="00513CB4">
        <w:t>,</w:t>
      </w:r>
      <w:r w:rsidR="002957E2" w:rsidRPr="006626F2">
        <w:t xml:space="preserve"> because both </w:t>
      </w:r>
      <w:r w:rsidR="00CC1865">
        <w:t>agencies</w:t>
      </w:r>
      <w:r w:rsidR="002957E2" w:rsidRPr="006626F2">
        <w:t xml:space="preserve"> understand the charge </w:t>
      </w:r>
      <w:r w:rsidR="00665A72">
        <w:t xml:space="preserve">and the investigative file. </w:t>
      </w:r>
      <w:r w:rsidR="002957E2" w:rsidRPr="006626F2">
        <w:t xml:space="preserve">The MOU has provided a formal mechanism to achieve tighter coordination and interagency </w:t>
      </w:r>
      <w:r w:rsidR="002957E2" w:rsidRPr="006626F2">
        <w:lastRenderedPageBreak/>
        <w:t>cooperation in enforcement of employment laws.</w:t>
      </w:r>
      <w:r w:rsidR="00E00D62" w:rsidRPr="00E00D62">
        <w:t xml:space="preserve"> The EEOC also partners with </w:t>
      </w:r>
      <w:r w:rsidR="00E00D62">
        <w:t>DOJ</w:t>
      </w:r>
      <w:r w:rsidR="00E00D62" w:rsidRPr="00E00D62">
        <w:t xml:space="preserve"> </w:t>
      </w:r>
      <w:r w:rsidR="00FC1D6C">
        <w:br/>
      </w:r>
      <w:r w:rsidR="00E00D62" w:rsidRPr="00E00D62">
        <w:t xml:space="preserve">in submitting briefs such as in </w:t>
      </w:r>
      <w:proofErr w:type="spellStart"/>
      <w:r w:rsidR="00631E24" w:rsidRPr="00631E24">
        <w:rPr>
          <w:i/>
        </w:rPr>
        <w:t>Dagher</w:t>
      </w:r>
      <w:proofErr w:type="spellEnd"/>
      <w:r w:rsidR="00631E24" w:rsidRPr="00631E24">
        <w:rPr>
          <w:i/>
        </w:rPr>
        <w:t xml:space="preserve"> v. Washington Metropolitan Area Transportation Administration</w:t>
      </w:r>
      <w:r w:rsidR="00BB16B0">
        <w:t xml:space="preserve"> </w:t>
      </w:r>
      <w:r w:rsidR="00E00D62" w:rsidRPr="00E00D62">
        <w:t xml:space="preserve">involving the definition of </w:t>
      </w:r>
      <w:r w:rsidR="00914B55">
        <w:t>“</w:t>
      </w:r>
      <w:r w:rsidR="00E00D62" w:rsidRPr="00E00D62">
        <w:t>disability.</w:t>
      </w:r>
      <w:r w:rsidR="00914B55">
        <w:t>”</w:t>
      </w:r>
      <w:r w:rsidR="00D70AA0">
        <w:rPr>
          <w:rStyle w:val="EndnoteReference"/>
          <w:rFonts w:cs="Arial"/>
        </w:rPr>
        <w:endnoteReference w:id="115"/>
      </w:r>
    </w:p>
    <w:p w14:paraId="33051BF5" w14:textId="77777777" w:rsidR="00296DA5" w:rsidRDefault="00E00D62" w:rsidP="00396A3D">
      <w:pPr>
        <w:pStyle w:val="NCDBodyText"/>
      </w:pPr>
      <w:r>
        <w:t xml:space="preserve">The </w:t>
      </w:r>
      <w:r w:rsidR="002957E2">
        <w:t xml:space="preserve">MOU </w:t>
      </w:r>
      <w:r>
        <w:t xml:space="preserve">between EEOC and </w:t>
      </w:r>
      <w:r w:rsidR="002957E2">
        <w:t>WHD cover</w:t>
      </w:r>
      <w:r w:rsidR="0086336F">
        <w:t>s</w:t>
      </w:r>
      <w:r w:rsidR="002957E2">
        <w:t xml:space="preserve"> a number of federal labor laws enforce</w:t>
      </w:r>
      <w:r>
        <w:t>d</w:t>
      </w:r>
      <w:r w:rsidR="002957E2">
        <w:t xml:space="preserve"> by WHD. </w:t>
      </w:r>
      <w:r w:rsidR="002957E2" w:rsidRPr="00D20526">
        <w:t>With th</w:t>
      </w:r>
      <w:r w:rsidR="002957E2">
        <w:t xml:space="preserve">e </w:t>
      </w:r>
      <w:r w:rsidR="002957E2" w:rsidRPr="00D20526">
        <w:t xml:space="preserve">convergence of employment </w:t>
      </w:r>
      <w:r w:rsidR="002957E2">
        <w:t xml:space="preserve">rights </w:t>
      </w:r>
      <w:r w:rsidR="002957E2" w:rsidRPr="00D20526">
        <w:t xml:space="preserve">protections and enforcement </w:t>
      </w:r>
      <w:r w:rsidR="00CC1865">
        <w:t xml:space="preserve">by </w:t>
      </w:r>
      <w:r w:rsidR="002957E2" w:rsidRPr="00D20526">
        <w:t>EEOC</w:t>
      </w:r>
      <w:r w:rsidR="002957E2">
        <w:t xml:space="preserve"> and WHD</w:t>
      </w:r>
      <w:r w:rsidR="002957E2" w:rsidRPr="00D20526">
        <w:t xml:space="preserve">, the MOU is intended to </w:t>
      </w:r>
      <w:r w:rsidR="006474CA">
        <w:t>“</w:t>
      </w:r>
      <w:r w:rsidR="002957E2" w:rsidRPr="00D20526">
        <w:t>maximize and improve the enforcement of the federal law</w:t>
      </w:r>
      <w:r w:rsidR="002957E2">
        <w:t>s administered [by the agencies</w:t>
      </w:r>
      <w:r w:rsidR="002957E2" w:rsidRPr="00D20526">
        <w:t>].</w:t>
      </w:r>
      <w:r w:rsidR="006474CA">
        <w:t>”</w:t>
      </w:r>
      <w:r w:rsidR="00C22CAE">
        <w:rPr>
          <w:rStyle w:val="EndnoteReference"/>
          <w:rFonts w:cs="Arial"/>
        </w:rPr>
        <w:endnoteReference w:id="116"/>
      </w:r>
      <w:r w:rsidR="00C22CAE">
        <w:t xml:space="preserve"> </w:t>
      </w:r>
      <w:r w:rsidR="002957E2">
        <w:t>T</w:t>
      </w:r>
      <w:r w:rsidR="002957E2" w:rsidRPr="00D20526">
        <w:t xml:space="preserve">he MOU contains agreements between </w:t>
      </w:r>
      <w:r w:rsidR="002957E2">
        <w:t xml:space="preserve">the agencies similar to </w:t>
      </w:r>
      <w:r w:rsidR="003B38D1">
        <w:t xml:space="preserve">the </w:t>
      </w:r>
      <w:r>
        <w:t xml:space="preserve">MOU with DOJ </w:t>
      </w:r>
      <w:r w:rsidR="002957E2">
        <w:t>such as i</w:t>
      </w:r>
      <w:r w:rsidR="002957E2" w:rsidRPr="00D20526">
        <w:t>nformation sharing</w:t>
      </w:r>
      <w:r w:rsidR="000A2944">
        <w:t>,</w:t>
      </w:r>
      <w:r w:rsidR="002957E2">
        <w:t xml:space="preserve"> agency </w:t>
      </w:r>
      <w:r w:rsidR="002957E2" w:rsidRPr="00D20526">
        <w:t>points</w:t>
      </w:r>
      <w:r w:rsidR="002957E2">
        <w:t xml:space="preserve"> of contact</w:t>
      </w:r>
      <w:r w:rsidR="000A2944">
        <w:t>,</w:t>
      </w:r>
      <w:r w:rsidR="002957E2">
        <w:t xml:space="preserve"> c</w:t>
      </w:r>
      <w:r w:rsidR="002957E2" w:rsidRPr="00D20526">
        <w:t>onfidentiality</w:t>
      </w:r>
      <w:r w:rsidR="000A2944">
        <w:t>,</w:t>
      </w:r>
      <w:r w:rsidR="002957E2">
        <w:t xml:space="preserve"> and d</w:t>
      </w:r>
      <w:r w:rsidR="002957E2" w:rsidRPr="00D20526">
        <w:t>isclosure of information to third parties</w:t>
      </w:r>
      <w:r w:rsidR="002957E2">
        <w:t>.</w:t>
      </w:r>
    </w:p>
    <w:p w14:paraId="500F982F" w14:textId="77777777" w:rsidR="00296DA5" w:rsidRDefault="002957E2" w:rsidP="00396A3D">
      <w:pPr>
        <w:pStyle w:val="NCDBodyText"/>
      </w:pPr>
      <w:r>
        <w:t xml:space="preserve">The </w:t>
      </w:r>
      <w:r w:rsidR="00C20556">
        <w:t xml:space="preserve">MOU between </w:t>
      </w:r>
      <w:r>
        <w:t xml:space="preserve">WHD and EEOC emphasizes </w:t>
      </w:r>
      <w:r w:rsidR="00CC1865">
        <w:t xml:space="preserve">development of </w:t>
      </w:r>
      <w:r w:rsidRPr="00D20526">
        <w:t xml:space="preserve">ways to efficiently systematize information and data sharing, particularly </w:t>
      </w:r>
      <w:r w:rsidR="00513CB4">
        <w:t>regarding</w:t>
      </w:r>
      <w:r w:rsidRPr="00D20526">
        <w:t xml:space="preserve"> unlawful compensation practices, </w:t>
      </w:r>
      <w:r w:rsidR="00CC1865">
        <w:t xml:space="preserve">especially </w:t>
      </w:r>
      <w:r w:rsidRPr="00D20526">
        <w:t>unlawful denial of minimum wages or overtime pay</w:t>
      </w:r>
      <w:r w:rsidR="00106D9E">
        <w:t>;</w:t>
      </w:r>
      <w:r w:rsidR="00106D9E" w:rsidRPr="00D20526">
        <w:t xml:space="preserve"> </w:t>
      </w:r>
      <w:r w:rsidRPr="00D20526">
        <w:t>discrimination in compensation; working and</w:t>
      </w:r>
      <w:r>
        <w:t xml:space="preserve"> living conditions of employees</w:t>
      </w:r>
      <w:r w:rsidRPr="00D20526">
        <w:t>; unlawful denial of family and medical leave and leave-related dis</w:t>
      </w:r>
      <w:r>
        <w:t>crimination based on disability and other grounds</w:t>
      </w:r>
      <w:r w:rsidRPr="00D20526">
        <w:t xml:space="preserve">; employment opportunities for </w:t>
      </w:r>
      <w:r w:rsidR="003B38D1">
        <w:t>people</w:t>
      </w:r>
      <w:r w:rsidRPr="00D20526">
        <w:t xml:space="preserve"> with disabilities; and the identification and investigation o</w:t>
      </w:r>
      <w:r>
        <w:t>f complex employment structures. Other areas of emphasis include c</w:t>
      </w:r>
      <w:r w:rsidRPr="00D20526">
        <w:t>onduc</w:t>
      </w:r>
      <w:r w:rsidR="00C20556">
        <w:t xml:space="preserve">ting coordinated investigations and </w:t>
      </w:r>
      <w:r w:rsidRPr="00D20526">
        <w:t>training and outreach to each agency</w:t>
      </w:r>
      <w:r w:rsidR="006474CA">
        <w:t>’</w:t>
      </w:r>
      <w:r w:rsidRPr="00D20526">
        <w:t>s staff</w:t>
      </w:r>
      <w:r w:rsidR="003B38D1">
        <w:t>;</w:t>
      </w:r>
      <w:r w:rsidRPr="00D20526">
        <w:t xml:space="preserve"> increasing public </w:t>
      </w:r>
      <w:r w:rsidR="003D00C5" w:rsidRPr="00D20526">
        <w:t>education and</w:t>
      </w:r>
      <w:r w:rsidRPr="00D20526">
        <w:t xml:space="preserve"> sharing or co-developing training materials and programs </w:t>
      </w:r>
      <w:r>
        <w:t>for a</w:t>
      </w:r>
      <w:r w:rsidRPr="00D20526">
        <w:t xml:space="preserve"> greater understanding of t</w:t>
      </w:r>
      <w:r>
        <w:t>he laws enforced by each agency; and h</w:t>
      </w:r>
      <w:r w:rsidRPr="00D20526">
        <w:t>olding periodic meeting</w:t>
      </w:r>
      <w:r w:rsidR="003B38D1">
        <w:t>s</w:t>
      </w:r>
      <w:r w:rsidRPr="00D20526">
        <w:t xml:space="preserve"> and establishing routine communication to share information </w:t>
      </w:r>
      <w:r w:rsidR="00C20556">
        <w:t>about</w:t>
      </w:r>
      <w:r w:rsidRPr="00D20526">
        <w:t xml:space="preserve"> enforcement priorit</w:t>
      </w:r>
      <w:r>
        <w:t>ies and other employment trends.</w:t>
      </w:r>
      <w:r w:rsidR="00CC1865">
        <w:t xml:space="preserve"> The </w:t>
      </w:r>
      <w:r w:rsidRPr="00D20526">
        <w:t>MOU between EEOC and W</w:t>
      </w:r>
      <w:r>
        <w:t>HD</w:t>
      </w:r>
      <w:r w:rsidRPr="00D20526">
        <w:t xml:space="preserve"> has been in plac</w:t>
      </w:r>
      <w:r>
        <w:t>e</w:t>
      </w:r>
      <w:r w:rsidR="00CC1865">
        <w:t xml:space="preserve"> for under two years, </w:t>
      </w:r>
      <w:r w:rsidR="00636C1A">
        <w:t>and</w:t>
      </w:r>
      <w:r w:rsidR="00CC1865">
        <w:t xml:space="preserve"> there is </w:t>
      </w:r>
      <w:r>
        <w:t>l</w:t>
      </w:r>
      <w:r w:rsidR="003B38D1">
        <w:t xml:space="preserve">ittle </w:t>
      </w:r>
      <w:r w:rsidR="00CC1865">
        <w:t>information</w:t>
      </w:r>
      <w:r w:rsidR="003B38D1">
        <w:t xml:space="preserve"> about the impact of </w:t>
      </w:r>
      <w:r w:rsidR="00CC1865">
        <w:t>the agreement</w:t>
      </w:r>
      <w:r>
        <w:t>.</w:t>
      </w:r>
    </w:p>
    <w:p w14:paraId="2DBDA2EA" w14:textId="77777777" w:rsidR="00296DA5" w:rsidRDefault="002957E2" w:rsidP="00396A3D">
      <w:pPr>
        <w:pStyle w:val="NCDBodyText"/>
      </w:pPr>
      <w:r w:rsidRPr="004B3FF5">
        <w:t>In 1992</w:t>
      </w:r>
      <w:r>
        <w:t>,</w:t>
      </w:r>
      <w:r w:rsidRPr="004B3FF5">
        <w:t xml:space="preserve"> OFCCP and the EEOC developed parallel regulations for handling </w:t>
      </w:r>
      <w:r>
        <w:t xml:space="preserve">individual </w:t>
      </w:r>
      <w:r w:rsidRPr="004B3FF5">
        <w:t xml:space="preserve">complaints </w:t>
      </w:r>
      <w:r w:rsidR="00695762">
        <w:t>that</w:t>
      </w:r>
      <w:r w:rsidRPr="004B3FF5">
        <w:t xml:space="preserve"> allege violations of both </w:t>
      </w:r>
      <w:r>
        <w:t>Section</w:t>
      </w:r>
      <w:r w:rsidRPr="004B3FF5">
        <w:t xml:space="preserve"> 503 </w:t>
      </w:r>
      <w:r w:rsidR="000A2944">
        <w:t xml:space="preserve">of the Rehabilitation Act </w:t>
      </w:r>
      <w:r w:rsidRPr="004B3FF5">
        <w:t>and the ADA.</w:t>
      </w:r>
      <w:r w:rsidRPr="004B3FF5">
        <w:rPr>
          <w:rStyle w:val="EndnoteReference"/>
          <w:rFonts w:cs="Arial"/>
        </w:rPr>
        <w:endnoteReference w:id="117"/>
      </w:r>
      <w:r>
        <w:t xml:space="preserve"> The</w:t>
      </w:r>
      <w:r w:rsidRPr="004B3FF5">
        <w:t xml:space="preserve"> regulations</w:t>
      </w:r>
      <w:r>
        <w:t xml:space="preserve"> address exchange of information between the agencies and confidentiality requirements, but </w:t>
      </w:r>
      <w:r w:rsidR="003B38D1">
        <w:t xml:space="preserve">also </w:t>
      </w:r>
      <w:r>
        <w:t>go into detail about the processing and investigation of individual ADA and Section 503 complaints. The procedures are helpful to p</w:t>
      </w:r>
      <w:r w:rsidR="003B38D1">
        <w:t>eople</w:t>
      </w:r>
      <w:r>
        <w:t xml:space="preserve"> with disabilities</w:t>
      </w:r>
      <w:r w:rsidR="003F2269">
        <w:t>,</w:t>
      </w:r>
      <w:r>
        <w:t xml:space="preserve"> as they ensure timely filing of a complaint or charge regardless of whether the person files first with the EEOC or OFCCP.</w:t>
      </w:r>
    </w:p>
    <w:p w14:paraId="5C492A1F" w14:textId="77777777" w:rsidR="00296DA5" w:rsidRDefault="002957E2" w:rsidP="00396A3D">
      <w:pPr>
        <w:pStyle w:val="NCDBodyText"/>
      </w:pPr>
      <w:r>
        <w:lastRenderedPageBreak/>
        <w:t xml:space="preserve">In addition, since 1970, the EEOC and OFCCP have maintained an MOU, last updated in 2011 to </w:t>
      </w:r>
      <w:r w:rsidR="002B6DB1">
        <w:t>promote interagency coordination</w:t>
      </w:r>
      <w:r w:rsidR="00106D9E">
        <w:t xml:space="preserve"> and </w:t>
      </w:r>
      <w:r w:rsidR="002B6DB1">
        <w:t xml:space="preserve">efficiency and </w:t>
      </w:r>
      <w:r w:rsidR="00106D9E">
        <w:t xml:space="preserve">to </w:t>
      </w:r>
      <w:r w:rsidR="002B6DB1">
        <w:t>eliminate conflict and duplication.</w:t>
      </w:r>
      <w:r w:rsidR="002B6DB1">
        <w:rPr>
          <w:rStyle w:val="EndnoteReference"/>
          <w:rFonts w:cs="Arial"/>
        </w:rPr>
        <w:endnoteReference w:id="118"/>
      </w:r>
      <w:r w:rsidR="008D7CDF">
        <w:t xml:space="preserve"> </w:t>
      </w:r>
      <w:r w:rsidR="0086336F">
        <w:t>S</w:t>
      </w:r>
      <w:r>
        <w:t>imilar to the other MOUs, the EEOC and OFCCP address procedures to share information to support their enforcement mandates</w:t>
      </w:r>
      <w:r w:rsidR="00C20556">
        <w:t>;</w:t>
      </w:r>
      <w:r>
        <w:t xml:space="preserve"> the disclosure of information to third parties</w:t>
      </w:r>
      <w:r w:rsidR="00C20556">
        <w:t>;</w:t>
      </w:r>
      <w:r>
        <w:t xml:space="preserve"> confidentiality, notification</w:t>
      </w:r>
      <w:r w:rsidR="00106D9E">
        <w:t>,</w:t>
      </w:r>
      <w:r>
        <w:t xml:space="preserve"> and consultation during compliance activities</w:t>
      </w:r>
      <w:r w:rsidR="00C20556">
        <w:t>;</w:t>
      </w:r>
      <w:r>
        <w:t xml:space="preserve"> and the processing and investigation of dual</w:t>
      </w:r>
      <w:r w:rsidR="00AD39BE">
        <w:t>ly</w:t>
      </w:r>
      <w:r>
        <w:t xml:space="preserve"> filed complaints.</w:t>
      </w:r>
    </w:p>
    <w:p w14:paraId="5C884846" w14:textId="05CAC65B" w:rsidR="00296DA5" w:rsidRDefault="002957E2" w:rsidP="00396A3D">
      <w:pPr>
        <w:pStyle w:val="NCDBodyText"/>
        <w:rPr>
          <w:b/>
        </w:rPr>
      </w:pPr>
      <w:r>
        <w:t>Staff report some jurisdiction</w:t>
      </w:r>
      <w:r w:rsidR="003B38D1">
        <w:t>al</w:t>
      </w:r>
      <w:r>
        <w:t xml:space="preserve"> competition between OFCCP and EEOC, as well as different procedures, such as</w:t>
      </w:r>
      <w:r w:rsidR="00106D9E">
        <w:t xml:space="preserve"> those</w:t>
      </w:r>
      <w:r>
        <w:t xml:space="preserve"> </w:t>
      </w:r>
      <w:r w:rsidR="00106D9E">
        <w:t xml:space="preserve">concerning </w:t>
      </w:r>
      <w:r>
        <w:t xml:space="preserve">the confidentiality of settlement agreements, which </w:t>
      </w:r>
      <w:r w:rsidR="003B38D1">
        <w:t xml:space="preserve">in the past </w:t>
      </w:r>
      <w:r>
        <w:t xml:space="preserve">required negotiations on how to proceed in cases of joint investigations. The agencies seek to deal </w:t>
      </w:r>
      <w:r w:rsidR="003B38D1">
        <w:t xml:space="preserve">with </w:t>
      </w:r>
      <w:r>
        <w:t>specific issues o</w:t>
      </w:r>
      <w:r w:rsidR="003B38D1">
        <w:t>f</w:t>
      </w:r>
      <w:r>
        <w:t xml:space="preserve"> joint responsibility and investigations of federal contractors through biannual meetings </w:t>
      </w:r>
      <w:r w:rsidR="005D55C2">
        <w:t>at the field and headquarters level</w:t>
      </w:r>
      <w:r w:rsidR="00382345">
        <w:t>s</w:t>
      </w:r>
      <w:r w:rsidR="005D55C2">
        <w:t xml:space="preserve"> </w:t>
      </w:r>
      <w:r>
        <w:t xml:space="preserve">of </w:t>
      </w:r>
      <w:r w:rsidR="005D55C2">
        <w:t xml:space="preserve">the </w:t>
      </w:r>
      <w:r w:rsidR="00234731">
        <w:t>MOU-</w:t>
      </w:r>
      <w:r w:rsidR="005D55C2">
        <w:t xml:space="preserve">developed </w:t>
      </w:r>
      <w:r>
        <w:t>Compliance Coordination Committees.</w:t>
      </w:r>
      <w:r w:rsidRPr="006626F2">
        <w:t xml:space="preserve"> </w:t>
      </w:r>
      <w:r w:rsidRPr="006626F2">
        <w:rPr>
          <w:b/>
        </w:rPr>
        <w:t>NCD recommends that the EEOC and OFCCP increase the required frequency of the meetings of the Compliance Coordination Committees to ensure early resolution of jurisdictional issues and the identification of systemic problems by federal contractors.</w:t>
      </w:r>
    </w:p>
    <w:p w14:paraId="09CC80A1" w14:textId="7DE1DA7F" w:rsidR="00D7262D" w:rsidRPr="004B3FF5" w:rsidRDefault="00D7262D" w:rsidP="006E37D6">
      <w:pPr>
        <w:pStyle w:val="Heading3"/>
      </w:pPr>
      <w:bookmarkStart w:id="29" w:name="_Toc526182083"/>
      <w:r w:rsidRPr="004B3FF5">
        <w:t>Training and Technical Assistance</w:t>
      </w:r>
      <w:bookmarkEnd w:id="29"/>
    </w:p>
    <w:p w14:paraId="68F165B7" w14:textId="5074D85A" w:rsidR="00296DA5" w:rsidRDefault="00631E24" w:rsidP="00B33BCC">
      <w:pPr>
        <w:pStyle w:val="NCDBodyText"/>
        <w:spacing w:after="180"/>
      </w:pPr>
      <w:r w:rsidRPr="00631E24">
        <w:rPr>
          <w:i/>
        </w:rPr>
        <w:t>Promises to Keep</w:t>
      </w:r>
      <w:r w:rsidR="00D7262D" w:rsidRPr="004B3FF5">
        <w:t xml:space="preserve"> made several recommendations </w:t>
      </w:r>
      <w:r w:rsidR="003F2269">
        <w:t>concerning</w:t>
      </w:r>
      <w:r w:rsidR="003F2269" w:rsidRPr="004B3FF5">
        <w:t xml:space="preserve"> </w:t>
      </w:r>
      <w:r w:rsidR="00D7262D" w:rsidRPr="004B3FF5">
        <w:t xml:space="preserve">EEOC training and technical assistance, including more training to the federal judiciary and to consumers, </w:t>
      </w:r>
      <w:r w:rsidR="00941F4A">
        <w:t xml:space="preserve">as well as </w:t>
      </w:r>
      <w:r w:rsidR="00D7262D" w:rsidRPr="004B3FF5">
        <w:t>additional training and guidance to investigators o</w:t>
      </w:r>
      <w:r w:rsidR="00E55A54">
        <w:t>n U.S. Supreme Court decisions.</w:t>
      </w:r>
      <w:r w:rsidR="004C632A">
        <w:rPr>
          <w:rStyle w:val="EndnoteReference"/>
          <w:rFonts w:cs="Arial"/>
        </w:rPr>
        <w:endnoteReference w:id="119"/>
      </w:r>
      <w:r w:rsidR="00E55A54">
        <w:t xml:space="preserve"> </w:t>
      </w:r>
      <w:r w:rsidR="00BE6673">
        <w:t>EEOC t</w:t>
      </w:r>
      <w:r w:rsidR="00D7262D" w:rsidRPr="004B3FF5">
        <w:t>raining on the ADA</w:t>
      </w:r>
      <w:r w:rsidR="00BE6673">
        <w:t xml:space="preserve"> and the Rehabilitation Act is provided by the OLC, outreach and education coordinators in the EEOC field offices, and through outreach and education staff at the Office of Federal Operations.</w:t>
      </w:r>
      <w:r w:rsidR="00D7262D" w:rsidRPr="004B3FF5">
        <w:t xml:space="preserve"> </w:t>
      </w:r>
      <w:r w:rsidR="00CE0481" w:rsidRPr="004B3FF5">
        <w:t>There was no information available to assess the quality of such trainings.</w:t>
      </w:r>
    </w:p>
    <w:p w14:paraId="6D8DBB8F" w14:textId="77777777" w:rsidR="00296DA5" w:rsidRDefault="007B14F4" w:rsidP="00B33BCC">
      <w:pPr>
        <w:pStyle w:val="NCDBodyText"/>
        <w:spacing w:after="180"/>
      </w:pPr>
      <w:r>
        <w:t xml:space="preserve">The </w:t>
      </w:r>
      <w:r w:rsidR="004C632A">
        <w:t>Commission</w:t>
      </w:r>
      <w:r>
        <w:t xml:space="preserve"> offers a no-cost outreach program</w:t>
      </w:r>
      <w:r w:rsidR="009B592C">
        <w:t xml:space="preserve"> </w:t>
      </w:r>
      <w:r>
        <w:t xml:space="preserve">in which </w:t>
      </w:r>
      <w:r w:rsidR="006474CA">
        <w:t>“</w:t>
      </w:r>
      <w:r w:rsidRPr="007B14F4">
        <w:t xml:space="preserve">EEOC representatives are available on a limited basis </w:t>
      </w:r>
      <w:r w:rsidR="004C632A">
        <w:t>. . . to</w:t>
      </w:r>
      <w:r w:rsidRPr="007B14F4">
        <w:t xml:space="preserve"> make presentations and participate in meetings, conferences and seminars with employee and employer groups, professional associations, students, non-profit entities, community organizations and other members of the general public.</w:t>
      </w:r>
      <w:r w:rsidR="006474CA">
        <w:t>”</w:t>
      </w:r>
      <w:r w:rsidR="004C632A">
        <w:rPr>
          <w:rStyle w:val="EndnoteReference"/>
          <w:rFonts w:cs="Arial"/>
        </w:rPr>
        <w:endnoteReference w:id="120"/>
      </w:r>
      <w:r w:rsidR="004C632A">
        <w:t xml:space="preserve"> </w:t>
      </w:r>
      <w:r w:rsidR="00D96B9F">
        <w:t>The</w:t>
      </w:r>
      <w:r w:rsidR="002D5620">
        <w:t xml:space="preserve"> EEOC conduct</w:t>
      </w:r>
      <w:r w:rsidR="00CE0481">
        <w:t>s about 30</w:t>
      </w:r>
      <w:r w:rsidR="002D5620">
        <w:t xml:space="preserve"> Technical Assistance Program </w:t>
      </w:r>
      <w:r w:rsidR="002D5620">
        <w:lastRenderedPageBreak/>
        <w:t>Seminars</w:t>
      </w:r>
      <w:r w:rsidR="00CE0481">
        <w:t xml:space="preserve"> a year under a provision that allows the agency to provide </w:t>
      </w:r>
      <w:r w:rsidR="00392A20">
        <w:t>fee-</w:t>
      </w:r>
      <w:r w:rsidR="00CE0481">
        <w:t>based trainings through the EEOC Training Institute.</w:t>
      </w:r>
      <w:r w:rsidR="004C632A">
        <w:rPr>
          <w:rStyle w:val="EndnoteReference"/>
          <w:rFonts w:cs="Arial"/>
        </w:rPr>
        <w:endnoteReference w:id="121"/>
      </w:r>
      <w:r w:rsidR="00CE0481">
        <w:t xml:space="preserve"> The EEOC also holds an annual Ex</w:t>
      </w:r>
      <w:r w:rsidR="00CE0481" w:rsidRPr="00CE0481">
        <w:t>amining Conflicts in Employment Laws</w:t>
      </w:r>
      <w:r w:rsidR="00CE0481">
        <w:t xml:space="preserve"> national conference for equal employment opportun</w:t>
      </w:r>
      <w:r w:rsidR="004C632A">
        <w:t xml:space="preserve">ity managers and professionals. </w:t>
      </w:r>
      <w:r w:rsidR="00CE0481">
        <w:t>The EEOC reported staff are encouraged</w:t>
      </w:r>
      <w:r>
        <w:t xml:space="preserve"> to add visits</w:t>
      </w:r>
      <w:r w:rsidR="004C632A">
        <w:t xml:space="preserve"> </w:t>
      </w:r>
      <w:r w:rsidR="00C20556">
        <w:t xml:space="preserve">to partners affiliated with employees </w:t>
      </w:r>
      <w:r w:rsidR="004C632A">
        <w:t xml:space="preserve">when traveling to conduct </w:t>
      </w:r>
      <w:r w:rsidR="003D00C5">
        <w:t>fee-based</w:t>
      </w:r>
      <w:r w:rsidR="004C632A">
        <w:t xml:space="preserve"> trainings.</w:t>
      </w:r>
    </w:p>
    <w:p w14:paraId="3D344A74" w14:textId="77777777" w:rsidR="00296DA5" w:rsidRDefault="00D7262D" w:rsidP="00B33BCC">
      <w:pPr>
        <w:pStyle w:val="NCDBodyText"/>
        <w:spacing w:after="180"/>
      </w:pPr>
      <w:r w:rsidRPr="004B3FF5">
        <w:t xml:space="preserve">The </w:t>
      </w:r>
      <w:r w:rsidR="004C632A">
        <w:t>OGC</w:t>
      </w:r>
      <w:r w:rsidRPr="004B3FF5">
        <w:t xml:space="preserve"> interacts more with the federal courts, </w:t>
      </w:r>
      <w:r w:rsidR="00D96B9F">
        <w:t xml:space="preserve">but </w:t>
      </w:r>
      <w:r w:rsidR="009F01F0">
        <w:t>stat</w:t>
      </w:r>
      <w:r w:rsidRPr="004B3FF5">
        <w:t xml:space="preserve">ed </w:t>
      </w:r>
      <w:r w:rsidR="00D06DB6">
        <w:t>it</w:t>
      </w:r>
      <w:r w:rsidRPr="004B3FF5">
        <w:t xml:space="preserve"> has little ability to control what trainings the federal judiciary</w:t>
      </w:r>
      <w:r w:rsidR="00D06DB6">
        <w:t>, as a separate branch of government,</w:t>
      </w:r>
      <w:r w:rsidRPr="004B3FF5">
        <w:t xml:space="preserve"> will provide to judges. </w:t>
      </w:r>
      <w:r w:rsidR="00D96B9F">
        <w:t>While the General Counsel</w:t>
      </w:r>
      <w:r w:rsidR="005D55C2">
        <w:t>,</w:t>
      </w:r>
      <w:r w:rsidR="00D96B9F">
        <w:t xml:space="preserve"> and on a few occasions attorney</w:t>
      </w:r>
      <w:r w:rsidR="005D55C2">
        <w:t>s</w:t>
      </w:r>
      <w:r w:rsidR="00D96B9F">
        <w:t xml:space="preserve"> from </w:t>
      </w:r>
      <w:r w:rsidR="003506EB">
        <w:t>OLC</w:t>
      </w:r>
      <w:r w:rsidR="005D55C2">
        <w:t xml:space="preserve">, </w:t>
      </w:r>
      <w:r w:rsidR="00D96B9F">
        <w:t xml:space="preserve">have presented to various </w:t>
      </w:r>
      <w:r w:rsidR="00FB03E8">
        <w:t xml:space="preserve">U.S. </w:t>
      </w:r>
      <w:r w:rsidR="00D96B9F">
        <w:t>Court of Appeal Circuit trainings, the judges decide whom to invite to such trainings. The</w:t>
      </w:r>
      <w:r w:rsidR="00FB03E8">
        <w:t xml:space="preserve"> EEOC believes the filing of friend of the court briefs are a</w:t>
      </w:r>
      <w:r w:rsidR="00D96B9F">
        <w:t xml:space="preserve"> very good way to inform federal judges about the ADA.</w:t>
      </w:r>
    </w:p>
    <w:p w14:paraId="4F07CA38" w14:textId="77777777" w:rsidR="00296DA5" w:rsidRDefault="003506EB" w:rsidP="00B33BCC">
      <w:pPr>
        <w:pStyle w:val="NCDBodyText"/>
        <w:spacing w:after="180"/>
        <w:rPr>
          <w:b/>
        </w:rPr>
      </w:pPr>
      <w:r>
        <w:t xml:space="preserve">The </w:t>
      </w:r>
      <w:r w:rsidR="000A2944">
        <w:t>Commission</w:t>
      </w:r>
      <w:r w:rsidR="006474CA">
        <w:t>’</w:t>
      </w:r>
      <w:r w:rsidR="000A2944">
        <w:t xml:space="preserve">s FY </w:t>
      </w:r>
      <w:r w:rsidR="009D4C67">
        <w:t xml:space="preserve">2012 </w:t>
      </w:r>
      <w:r w:rsidR="000A2944">
        <w:t xml:space="preserve">and the current </w:t>
      </w:r>
      <w:r>
        <w:t xml:space="preserve">Strategic Plan </w:t>
      </w:r>
      <w:r w:rsidR="000A2944">
        <w:t xml:space="preserve">have sought </w:t>
      </w:r>
      <w:r>
        <w:t xml:space="preserve">to ensure that </w:t>
      </w:r>
      <w:r w:rsidR="006474CA">
        <w:t>“</w:t>
      </w:r>
      <w:r>
        <w:t>sub-regulatory gu</w:t>
      </w:r>
      <w:r w:rsidR="004434BC">
        <w:t>idance and document</w:t>
      </w:r>
      <w:r w:rsidR="007C1E9F">
        <w:t>s</w:t>
      </w:r>
      <w:r w:rsidR="004434BC">
        <w:t xml:space="preserve"> are reviewed and that, where necessary they are updated </w:t>
      </w:r>
      <w:r w:rsidR="00AC1823">
        <w:t>and acco</w:t>
      </w:r>
      <w:r w:rsidR="009D4C67">
        <w:t>mpanied by plain language texts</w:t>
      </w:r>
      <w:r w:rsidR="00A40410">
        <w:t>.”</w:t>
      </w:r>
      <w:r w:rsidR="00AC1823">
        <w:rPr>
          <w:rStyle w:val="EndnoteReference"/>
          <w:rFonts w:cs="Arial"/>
        </w:rPr>
        <w:endnoteReference w:id="122"/>
      </w:r>
      <w:r w:rsidR="000A2944">
        <w:t xml:space="preserve"> </w:t>
      </w:r>
      <w:r w:rsidR="002D5620">
        <w:t>Based on a test of several EEOC facts sheets and Q&amp;As</w:t>
      </w:r>
      <w:r w:rsidR="009B592C" w:rsidRPr="009B592C">
        <w:t xml:space="preserve"> u</w:t>
      </w:r>
      <w:r w:rsidR="009B592C">
        <w:t>sing</w:t>
      </w:r>
      <w:r w:rsidR="009B592C" w:rsidRPr="009B592C">
        <w:t xml:space="preserve"> the Flesch-Kincaid Grade-Level scale</w:t>
      </w:r>
      <w:r w:rsidR="000A2944">
        <w:t>,</w:t>
      </w:r>
      <w:r w:rsidR="002D5620">
        <w:t xml:space="preserve"> the agency resource documents are still written at a </w:t>
      </w:r>
      <w:r w:rsidR="00230DDE">
        <w:t>post–</w:t>
      </w:r>
      <w:r w:rsidR="007B14F4">
        <w:t>high</w:t>
      </w:r>
      <w:r w:rsidR="00230DDE">
        <w:t xml:space="preserve"> </w:t>
      </w:r>
      <w:r w:rsidR="007B14F4">
        <w:t xml:space="preserve">school reading level. </w:t>
      </w:r>
      <w:r w:rsidR="00D7262D" w:rsidRPr="004B3FF5">
        <w:t>A few participants in the focus</w:t>
      </w:r>
      <w:r w:rsidR="003B38D1">
        <w:t xml:space="preserve"> discussion</w:t>
      </w:r>
      <w:r w:rsidR="00D7262D" w:rsidRPr="004B3FF5">
        <w:t xml:space="preserve"> group</w:t>
      </w:r>
      <w:r w:rsidR="00C20556">
        <w:t>s</w:t>
      </w:r>
      <w:r w:rsidR="00D7262D" w:rsidRPr="004B3FF5">
        <w:t xml:space="preserve"> had</w:t>
      </w:r>
      <w:r w:rsidR="002D5620">
        <w:t>, however,</w:t>
      </w:r>
      <w:r w:rsidR="00D7262D" w:rsidRPr="004B3FF5">
        <w:t xml:space="preserve"> used EEOC materials from the website and in general found th</w:t>
      </w:r>
      <w:r w:rsidR="00FB03E8">
        <w:t>e</w:t>
      </w:r>
      <w:r w:rsidR="00D7262D" w:rsidRPr="004B3FF5">
        <w:t xml:space="preserve"> materials helpful.</w:t>
      </w:r>
      <w:r w:rsidR="00F378A3">
        <w:t xml:space="preserve"> </w:t>
      </w:r>
      <w:r w:rsidR="00F378A3" w:rsidRPr="00F378A3">
        <w:rPr>
          <w:b/>
        </w:rPr>
        <w:t>NCD recommends the EEOC develop ADA fact sheets and guidance documents for the general public in simple</w:t>
      </w:r>
      <w:r w:rsidR="00A40410">
        <w:rPr>
          <w:b/>
        </w:rPr>
        <w:t>r</w:t>
      </w:r>
      <w:r w:rsidR="00F378A3" w:rsidRPr="00F378A3">
        <w:rPr>
          <w:b/>
        </w:rPr>
        <w:t xml:space="preserve"> language </w:t>
      </w:r>
      <w:r w:rsidR="00695762">
        <w:rPr>
          <w:b/>
        </w:rPr>
        <w:t>that</w:t>
      </w:r>
      <w:r w:rsidR="00F378A3" w:rsidRPr="00F378A3">
        <w:rPr>
          <w:b/>
        </w:rPr>
        <w:t xml:space="preserve"> takes into account persons with various disabilities as stated in the </w:t>
      </w:r>
      <w:r w:rsidR="00FB03E8">
        <w:rPr>
          <w:b/>
        </w:rPr>
        <w:t>Commission</w:t>
      </w:r>
      <w:r w:rsidR="006474CA">
        <w:rPr>
          <w:b/>
        </w:rPr>
        <w:t>’</w:t>
      </w:r>
      <w:r w:rsidR="00FB03E8">
        <w:rPr>
          <w:b/>
        </w:rPr>
        <w:t>s</w:t>
      </w:r>
      <w:r w:rsidR="00F378A3" w:rsidRPr="00F378A3">
        <w:rPr>
          <w:b/>
        </w:rPr>
        <w:t xml:space="preserve"> Strategic Plan and in accordance with the Plain </w:t>
      </w:r>
      <w:r w:rsidR="00C20556">
        <w:rPr>
          <w:b/>
        </w:rPr>
        <w:t xml:space="preserve">Writing Act. The </w:t>
      </w:r>
      <w:r w:rsidR="00F378A3" w:rsidRPr="00F378A3">
        <w:rPr>
          <w:b/>
        </w:rPr>
        <w:t xml:space="preserve">EEOC should continue to routinely create detailed guidance documents about the ADA </w:t>
      </w:r>
      <w:r w:rsidR="00695762">
        <w:rPr>
          <w:b/>
        </w:rPr>
        <w:t>that</w:t>
      </w:r>
      <w:r w:rsidR="00F378A3" w:rsidRPr="00F378A3">
        <w:rPr>
          <w:b/>
        </w:rPr>
        <w:t xml:space="preserve"> benefit employers, advocates</w:t>
      </w:r>
      <w:r w:rsidR="00A40410">
        <w:rPr>
          <w:b/>
        </w:rPr>
        <w:t>,</w:t>
      </w:r>
      <w:r w:rsidR="00F378A3" w:rsidRPr="00F378A3">
        <w:rPr>
          <w:b/>
        </w:rPr>
        <w:t xml:space="preserve"> and the courts.</w:t>
      </w:r>
    </w:p>
    <w:p w14:paraId="2343EAD5" w14:textId="1A191358" w:rsidR="00D7262D" w:rsidRPr="004B3FF5" w:rsidRDefault="00D7262D" w:rsidP="006E37D6">
      <w:pPr>
        <w:pStyle w:val="Heading3"/>
      </w:pPr>
      <w:bookmarkStart w:id="30" w:name="_Toc526182084"/>
      <w:r w:rsidRPr="006E37D6">
        <w:t>Adequacy</w:t>
      </w:r>
      <w:r w:rsidRPr="004B3FF5">
        <w:t xml:space="preserve"> of Agency Resources</w:t>
      </w:r>
      <w:bookmarkEnd w:id="30"/>
    </w:p>
    <w:p w14:paraId="1DA36CB6" w14:textId="6381A9B5" w:rsidR="00296DA5" w:rsidRDefault="006626F2" w:rsidP="00B33BCC">
      <w:pPr>
        <w:pStyle w:val="NCDBodyText"/>
        <w:spacing w:after="180"/>
      </w:pPr>
      <w:r>
        <w:t>A</w:t>
      </w:r>
      <w:r w:rsidR="00D7262D" w:rsidRPr="004B3FF5">
        <w:t>dequate funding and staffing of enforcement agencies</w:t>
      </w:r>
      <w:r w:rsidRPr="006626F2">
        <w:t xml:space="preserve"> </w:t>
      </w:r>
      <w:r>
        <w:t>is a</w:t>
      </w:r>
      <w:r w:rsidRPr="004B3FF5">
        <w:t xml:space="preserve"> key requirement for enforcement of disability civil rights laws</w:t>
      </w:r>
      <w:r w:rsidR="00D7262D" w:rsidRPr="004B3FF5">
        <w:t xml:space="preserve">. Since </w:t>
      </w:r>
      <w:r w:rsidR="00631E24" w:rsidRPr="00631E24">
        <w:rPr>
          <w:i/>
        </w:rPr>
        <w:t>Promises to Keep</w:t>
      </w:r>
      <w:r w:rsidR="00D7262D" w:rsidRPr="004B3FF5">
        <w:t xml:space="preserve">, the EEOC budget in constant dollars dropped by 8.85 percent (see </w:t>
      </w:r>
      <w:r>
        <w:t>T</w:t>
      </w:r>
      <w:r w:rsidR="00D7262D" w:rsidRPr="004B3FF5">
        <w:t xml:space="preserve">able </w:t>
      </w:r>
      <w:r w:rsidR="004A04E2">
        <w:t>A</w:t>
      </w:r>
      <w:r>
        <w:t xml:space="preserve"> in Appendix </w:t>
      </w:r>
      <w:r w:rsidR="00EF0CAF">
        <w:t>A</w:t>
      </w:r>
      <w:r w:rsidR="00D7262D" w:rsidRPr="004B3FF5">
        <w:t xml:space="preserve">). Of greater concern, EEOC staff levels </w:t>
      </w:r>
      <w:r w:rsidR="00FB03E8">
        <w:t xml:space="preserve">have </w:t>
      </w:r>
      <w:r w:rsidR="00D7262D" w:rsidRPr="004B3FF5">
        <w:t>declined rapidly since 2000, dropping 27 percent from 2,852 actual</w:t>
      </w:r>
      <w:r w:rsidR="003B38D1">
        <w:t xml:space="preserve"> </w:t>
      </w:r>
      <w:r w:rsidR="00A40410">
        <w:t>full-</w:t>
      </w:r>
      <w:r w:rsidR="003B38D1">
        <w:t>time equivalent (</w:t>
      </w:r>
      <w:r w:rsidR="000A2944">
        <w:t>FTE</w:t>
      </w:r>
      <w:r w:rsidR="003B38D1">
        <w:t>)</w:t>
      </w:r>
      <w:r w:rsidR="00D7262D" w:rsidRPr="004B3FF5">
        <w:t xml:space="preserve"> </w:t>
      </w:r>
      <w:r w:rsidR="00C20556">
        <w:t xml:space="preserve">staff </w:t>
      </w:r>
      <w:r w:rsidR="00D7262D" w:rsidRPr="004B3FF5">
        <w:t>in FY 2000</w:t>
      </w:r>
      <w:r w:rsidR="000A2944">
        <w:t>,</w:t>
      </w:r>
      <w:r w:rsidR="00D7262D" w:rsidRPr="004B3FF5">
        <w:t xml:space="preserve"> to 2,082 actual FTEs in FY 2017. The number of actual FTEs was also below the approved FTE ceiling in 17 out of </w:t>
      </w:r>
      <w:r w:rsidR="00D7262D" w:rsidRPr="004B3FF5">
        <w:lastRenderedPageBreak/>
        <w:t>the past</w:t>
      </w:r>
      <w:r w:rsidR="001C2D5A">
        <w:t xml:space="preserve"> 18 fiscal years (see </w:t>
      </w:r>
      <w:r w:rsidR="00031901">
        <w:t>T</w:t>
      </w:r>
      <w:r w:rsidR="001C2D5A">
        <w:t xml:space="preserve">able </w:t>
      </w:r>
      <w:r w:rsidR="004A04E2">
        <w:t xml:space="preserve">B in Appendix </w:t>
      </w:r>
      <w:r w:rsidR="00EF0CAF">
        <w:t>A</w:t>
      </w:r>
      <w:r w:rsidR="001C2D5A">
        <w:t>). Ac</w:t>
      </w:r>
      <w:r w:rsidR="00D06DB6">
        <w:t xml:space="preserve">cording to EEOC data, </w:t>
      </w:r>
      <w:r w:rsidR="00A40410">
        <w:t xml:space="preserve">about </w:t>
      </w:r>
      <w:r w:rsidR="00AB5BB1">
        <w:br/>
      </w:r>
      <w:r w:rsidR="00D06DB6">
        <w:t>71 percent</w:t>
      </w:r>
      <w:r w:rsidR="001C2D5A">
        <w:t xml:space="preserve"> of the EEOC budget on average is for compensation and benefits.</w:t>
      </w:r>
    </w:p>
    <w:p w14:paraId="6B81EDA9" w14:textId="77777777" w:rsidR="00296DA5" w:rsidRDefault="00D7262D" w:rsidP="00B33BCC">
      <w:pPr>
        <w:pStyle w:val="NCDBodyText"/>
        <w:spacing w:after="180"/>
      </w:pPr>
      <w:r w:rsidRPr="004B3FF5">
        <w:t xml:space="preserve">Staffing within the </w:t>
      </w:r>
      <w:r w:rsidR="003B38D1">
        <w:t>OGC</w:t>
      </w:r>
      <w:r w:rsidRPr="004B3FF5">
        <w:t xml:space="preserve"> similarly declined, with field attorneys dropping from 226 in FY 2000 to 173 in FY 2016, a decline of 23 percent. OGC headquarters staff also declined</w:t>
      </w:r>
      <w:r w:rsidR="004C50BC">
        <w:t>,</w:t>
      </w:r>
      <w:r w:rsidRPr="004B3FF5">
        <w:t xml:space="preserve"> from 89 FTE</w:t>
      </w:r>
      <w:r w:rsidR="00FB03E8">
        <w:t>s</w:t>
      </w:r>
      <w:r w:rsidRPr="004B3FF5">
        <w:t xml:space="preserve"> in FY 2000 to 48 in FY 2015, a decline of 46 percent. The OGC litigation budget has generally </w:t>
      </w:r>
      <w:r w:rsidR="004C50BC">
        <w:t>made up</w:t>
      </w:r>
      <w:r w:rsidR="004C50BC" w:rsidRPr="004B3FF5">
        <w:t xml:space="preserve"> </w:t>
      </w:r>
      <w:r w:rsidRPr="004B3FF5">
        <w:t>only about 1 percent of the entire E</w:t>
      </w:r>
      <w:r w:rsidR="00CF71AF">
        <w:t xml:space="preserve">EOC budget, or </w:t>
      </w:r>
      <w:r w:rsidR="00654600">
        <w:t xml:space="preserve">from </w:t>
      </w:r>
      <w:r w:rsidR="00CF71AF">
        <w:t xml:space="preserve">$4.9 </w:t>
      </w:r>
      <w:r w:rsidR="00E71FD2">
        <w:t>million</w:t>
      </w:r>
      <w:r w:rsidR="00CF71AF">
        <w:t xml:space="preserve"> </w:t>
      </w:r>
      <w:r w:rsidRPr="004B3FF5">
        <w:t xml:space="preserve">in FY 2010 to a total of $3.77 </w:t>
      </w:r>
      <w:r w:rsidR="00E71FD2">
        <w:t>million</w:t>
      </w:r>
      <w:r w:rsidRPr="004B3FF5">
        <w:t xml:space="preserve"> in FY 2016.</w:t>
      </w:r>
      <w:r w:rsidRPr="004B3FF5">
        <w:rPr>
          <w:vertAlign w:val="superscript"/>
        </w:rPr>
        <w:endnoteReference w:id="123"/>
      </w:r>
    </w:p>
    <w:p w14:paraId="53474A84" w14:textId="218E4F38" w:rsidR="00FB03E8" w:rsidRDefault="00B0570D" w:rsidP="00B33BCC">
      <w:pPr>
        <w:pStyle w:val="NCDBodyText"/>
        <w:spacing w:after="180"/>
        <w:rPr>
          <w:b/>
        </w:rPr>
      </w:pPr>
      <w:r>
        <w:t xml:space="preserve">The EEOC indicated that a number of factors impact the ability to hire and achieve staffing levels. In addition to differences between the requested and enacted appropriations, the EEOC noted </w:t>
      </w:r>
      <w:r w:rsidR="003B38D1">
        <w:t xml:space="preserve">external factors </w:t>
      </w:r>
      <w:r w:rsidR="00695762">
        <w:t>that</w:t>
      </w:r>
      <w:r w:rsidR="003B38D1">
        <w:t xml:space="preserve"> </w:t>
      </w:r>
      <w:r w:rsidR="00320B71">
        <w:t xml:space="preserve">have </w:t>
      </w:r>
      <w:r w:rsidR="003B38D1">
        <w:t>impacted hiring</w:t>
      </w:r>
      <w:r w:rsidR="00FB03E8">
        <w:t xml:space="preserve"> to</w:t>
      </w:r>
      <w:r w:rsidR="00142D2A">
        <w:t xml:space="preserve"> include </w:t>
      </w:r>
      <w:r w:rsidR="003A0843">
        <w:t xml:space="preserve">FTE targets not </w:t>
      </w:r>
      <w:r w:rsidR="003B38D1">
        <w:t xml:space="preserve">being </w:t>
      </w:r>
      <w:r w:rsidR="003A0843">
        <w:t xml:space="preserve">reduced when </w:t>
      </w:r>
      <w:r w:rsidR="00605B86">
        <w:t xml:space="preserve">congressional </w:t>
      </w:r>
      <w:r w:rsidR="003A0843">
        <w:t xml:space="preserve">appropriations are lower than requested, </w:t>
      </w:r>
      <w:r>
        <w:t>federal hiring freezes, mandated and unfunded pa</w:t>
      </w:r>
      <w:r w:rsidR="003A0843">
        <w:t xml:space="preserve">y </w:t>
      </w:r>
      <w:r>
        <w:t>increase</w:t>
      </w:r>
      <w:r w:rsidR="003A0843">
        <w:t>s</w:t>
      </w:r>
      <w:r w:rsidR="00605B86">
        <w:t xml:space="preserve"> </w:t>
      </w:r>
      <w:r>
        <w:t>during the first part of the century, re</w:t>
      </w:r>
      <w:r w:rsidR="003A0843">
        <w:t>s</w:t>
      </w:r>
      <w:r>
        <w:t>ci</w:t>
      </w:r>
      <w:r w:rsidR="003A0843">
        <w:t>s</w:t>
      </w:r>
      <w:r>
        <w:t xml:space="preserve">sions, and the FY 2013 </w:t>
      </w:r>
      <w:r w:rsidR="00FB03E8">
        <w:t xml:space="preserve">sequestration. </w:t>
      </w:r>
      <w:r w:rsidR="006626F2" w:rsidRPr="00C02ACB">
        <w:rPr>
          <w:b/>
        </w:rPr>
        <w:t>NCD recommends that Congress and the President eliminate budget and hiring barriers, such as hiring freezes and unfunded mandatory pay increases, which prevent the EEOC from maintaining necessary staff levels.</w:t>
      </w:r>
      <w:bookmarkStart w:id="31" w:name="CH4ODEP"/>
      <w:bookmarkEnd w:id="31"/>
    </w:p>
    <w:p w14:paraId="3FFDA3A6" w14:textId="77777777" w:rsidR="000613DA" w:rsidRDefault="000613DA">
      <w:pPr>
        <w:spacing w:after="200"/>
        <w:rPr>
          <w:rFonts w:ascii="Arial" w:eastAsiaTheme="minorHAnsi" w:hAnsi="Arial" w:cs="Arial"/>
          <w:b/>
          <w:sz w:val="36"/>
          <w:szCs w:val="32"/>
        </w:rPr>
      </w:pPr>
      <w:bookmarkStart w:id="32" w:name="_Toc520979976"/>
      <w:r>
        <w:br w:type="page"/>
      </w:r>
    </w:p>
    <w:p w14:paraId="26148A71" w14:textId="4C464CD0" w:rsidR="003B11E2" w:rsidRPr="00FF0005" w:rsidRDefault="00FE11DC" w:rsidP="006E37D6">
      <w:pPr>
        <w:pStyle w:val="Heading1"/>
      </w:pPr>
      <w:bookmarkStart w:id="33" w:name="_Toc526182085"/>
      <w:r>
        <w:lastRenderedPageBreak/>
        <w:t xml:space="preserve">Chapter </w:t>
      </w:r>
      <w:r w:rsidR="00CD14BB">
        <w:t>2</w:t>
      </w:r>
      <w:r w:rsidR="004B27CD">
        <w:t xml:space="preserve">: </w:t>
      </w:r>
      <w:r w:rsidR="00D7262D">
        <w:t>U.S. Department of Labor</w:t>
      </w:r>
      <w:bookmarkStart w:id="34" w:name="CH4EEOC"/>
      <w:bookmarkEnd w:id="32"/>
      <w:bookmarkEnd w:id="33"/>
      <w:bookmarkEnd w:id="34"/>
    </w:p>
    <w:p w14:paraId="4C0E2CFD" w14:textId="77777777" w:rsidR="00296DA5" w:rsidRDefault="00C02ACB" w:rsidP="00396A3D">
      <w:pPr>
        <w:pStyle w:val="NCDBodyText"/>
        <w:rPr>
          <w:lang w:val="en"/>
        </w:rPr>
      </w:pPr>
      <w:r>
        <w:rPr>
          <w:lang w:val="en"/>
        </w:rPr>
        <w:t xml:space="preserve">The Department of Labor </w:t>
      </w:r>
      <w:r w:rsidR="00A65671">
        <w:rPr>
          <w:lang w:val="en"/>
        </w:rPr>
        <w:t xml:space="preserve">(DOL) </w:t>
      </w:r>
      <w:r>
        <w:rPr>
          <w:lang w:val="en"/>
        </w:rPr>
        <w:t xml:space="preserve">is responsible for </w:t>
      </w:r>
      <w:r w:rsidR="00FB03E8">
        <w:rPr>
          <w:lang w:val="en"/>
        </w:rPr>
        <w:t xml:space="preserve">the enforcement and oversight of </w:t>
      </w:r>
      <w:r>
        <w:rPr>
          <w:lang w:val="en"/>
        </w:rPr>
        <w:t>a number of programs</w:t>
      </w:r>
      <w:r w:rsidR="001428F4">
        <w:rPr>
          <w:lang w:val="en"/>
        </w:rPr>
        <w:t xml:space="preserve"> </w:t>
      </w:r>
      <w:r w:rsidR="00695762">
        <w:rPr>
          <w:lang w:val="en"/>
        </w:rPr>
        <w:t>that</w:t>
      </w:r>
      <w:r w:rsidR="001428F4">
        <w:rPr>
          <w:lang w:val="en"/>
        </w:rPr>
        <w:t xml:space="preserve"> impact the employment </w:t>
      </w:r>
      <w:r w:rsidR="00FB03E8">
        <w:rPr>
          <w:lang w:val="en"/>
        </w:rPr>
        <w:t>and rights of people</w:t>
      </w:r>
      <w:r w:rsidR="001428F4">
        <w:rPr>
          <w:lang w:val="en"/>
        </w:rPr>
        <w:t xml:space="preserve"> with disabilities</w:t>
      </w:r>
      <w:r w:rsidR="00C561A1">
        <w:rPr>
          <w:lang w:val="en"/>
        </w:rPr>
        <w:t xml:space="preserve">. </w:t>
      </w:r>
      <w:r w:rsidR="00C9313D" w:rsidRPr="00C34EC7">
        <w:rPr>
          <w:lang w:val="en"/>
        </w:rPr>
        <w:t xml:space="preserve">This </w:t>
      </w:r>
      <w:r w:rsidR="00711ED5">
        <w:rPr>
          <w:lang w:val="en"/>
        </w:rPr>
        <w:t>c</w:t>
      </w:r>
      <w:r w:rsidR="00C561A1">
        <w:rPr>
          <w:lang w:val="en"/>
        </w:rPr>
        <w:t xml:space="preserve">hapter </w:t>
      </w:r>
      <w:r>
        <w:rPr>
          <w:lang w:val="en"/>
        </w:rPr>
        <w:t>considers the</w:t>
      </w:r>
      <w:r w:rsidR="00C9313D" w:rsidRPr="00C34EC7">
        <w:rPr>
          <w:lang w:val="en"/>
        </w:rPr>
        <w:t xml:space="preserve"> efforts </w:t>
      </w:r>
      <w:r w:rsidR="00AF41E4">
        <w:rPr>
          <w:lang w:val="en"/>
        </w:rPr>
        <w:t>of DOL</w:t>
      </w:r>
      <w:r w:rsidR="006474CA">
        <w:rPr>
          <w:lang w:val="en"/>
        </w:rPr>
        <w:t>’</w:t>
      </w:r>
      <w:r w:rsidR="00711ED5">
        <w:rPr>
          <w:lang w:val="en"/>
        </w:rPr>
        <w:t>s</w:t>
      </w:r>
      <w:r w:rsidR="00AF41E4">
        <w:rPr>
          <w:lang w:val="en"/>
        </w:rPr>
        <w:t xml:space="preserve"> Employment and Training Administration</w:t>
      </w:r>
      <w:r w:rsidR="00405B43">
        <w:rPr>
          <w:lang w:val="en"/>
        </w:rPr>
        <w:t xml:space="preserve"> (ETA)</w:t>
      </w:r>
      <w:r w:rsidR="00AF41E4">
        <w:rPr>
          <w:lang w:val="en"/>
        </w:rPr>
        <w:t>, Office of Disability Employment Policy</w:t>
      </w:r>
      <w:r w:rsidR="00405B43">
        <w:rPr>
          <w:lang w:val="en"/>
        </w:rPr>
        <w:t xml:space="preserve"> (ODEP)</w:t>
      </w:r>
      <w:r w:rsidR="00AF41E4">
        <w:rPr>
          <w:lang w:val="en"/>
        </w:rPr>
        <w:t>, Office of Federal Contract Compliance Programs</w:t>
      </w:r>
      <w:r w:rsidR="00405B43">
        <w:rPr>
          <w:lang w:val="en"/>
        </w:rPr>
        <w:t xml:space="preserve"> (OFCCP)</w:t>
      </w:r>
      <w:r w:rsidR="00AF41E4">
        <w:rPr>
          <w:lang w:val="en"/>
        </w:rPr>
        <w:t>, Office of the Solicitor</w:t>
      </w:r>
      <w:r w:rsidR="00405B43">
        <w:rPr>
          <w:lang w:val="en"/>
        </w:rPr>
        <w:t xml:space="preserve"> (SOL)</w:t>
      </w:r>
      <w:r w:rsidR="00DA378B">
        <w:rPr>
          <w:lang w:val="en"/>
        </w:rPr>
        <w:t>,</w:t>
      </w:r>
      <w:r w:rsidR="00AF41E4">
        <w:rPr>
          <w:lang w:val="en"/>
        </w:rPr>
        <w:t xml:space="preserve"> and the Wage and Hour</w:t>
      </w:r>
      <w:r>
        <w:rPr>
          <w:lang w:val="en"/>
        </w:rPr>
        <w:t xml:space="preserve"> Di</w:t>
      </w:r>
      <w:r w:rsidR="00C561A1">
        <w:rPr>
          <w:lang w:val="en"/>
        </w:rPr>
        <w:t>vision</w:t>
      </w:r>
      <w:r w:rsidR="00405B43">
        <w:rPr>
          <w:lang w:val="en"/>
        </w:rPr>
        <w:t xml:space="preserve"> (WHD)</w:t>
      </w:r>
      <w:r w:rsidR="00C561A1" w:rsidRPr="00DA2E61">
        <w:rPr>
          <w:lang w:val="en"/>
        </w:rPr>
        <w:t>.</w:t>
      </w:r>
    </w:p>
    <w:p w14:paraId="0995DE7E" w14:textId="77777777" w:rsidR="00296DA5" w:rsidRDefault="00A65671" w:rsidP="00396A3D">
      <w:pPr>
        <w:pStyle w:val="NCDBodyText"/>
        <w:rPr>
          <w:lang w:val="en"/>
        </w:rPr>
      </w:pPr>
      <w:r w:rsidRPr="00A65671">
        <w:rPr>
          <w:lang w:val="en"/>
        </w:rPr>
        <w:t xml:space="preserve">Based upon the analysis contained </w:t>
      </w:r>
      <w:r w:rsidR="000A2944">
        <w:rPr>
          <w:lang w:val="en"/>
        </w:rPr>
        <w:t>in</w:t>
      </w:r>
      <w:r w:rsidR="00703EB9">
        <w:rPr>
          <w:lang w:val="en"/>
        </w:rPr>
        <w:t xml:space="preserve"> </w:t>
      </w:r>
      <w:r w:rsidR="00FB03E8">
        <w:rPr>
          <w:lang w:val="en"/>
        </w:rPr>
        <w:t>this</w:t>
      </w:r>
      <w:r w:rsidRPr="00A65671">
        <w:rPr>
          <w:lang w:val="en"/>
        </w:rPr>
        <w:t xml:space="preserve"> </w:t>
      </w:r>
      <w:r w:rsidR="000A2944">
        <w:rPr>
          <w:lang w:val="en"/>
        </w:rPr>
        <w:t>c</w:t>
      </w:r>
      <w:r w:rsidRPr="00A65671">
        <w:rPr>
          <w:lang w:val="en"/>
        </w:rPr>
        <w:t>hapter, NCD recomme</w:t>
      </w:r>
      <w:r>
        <w:rPr>
          <w:lang w:val="en"/>
        </w:rPr>
        <w:t xml:space="preserve">nds </w:t>
      </w:r>
      <w:r w:rsidR="00FB03E8">
        <w:rPr>
          <w:lang w:val="en"/>
        </w:rPr>
        <w:t>that</w:t>
      </w:r>
      <w:r>
        <w:rPr>
          <w:lang w:val="en"/>
        </w:rPr>
        <w:t>:</w:t>
      </w:r>
    </w:p>
    <w:p w14:paraId="7202A625" w14:textId="77777777" w:rsidR="00296DA5" w:rsidRDefault="00405B43" w:rsidP="006E37D6">
      <w:pPr>
        <w:pStyle w:val="NCDBulletsLevel1"/>
      </w:pPr>
      <w:r w:rsidRPr="00753C25">
        <w:t xml:space="preserve">ETA expand </w:t>
      </w:r>
      <w:r>
        <w:t xml:space="preserve">the </w:t>
      </w:r>
      <w:r w:rsidRPr="00CE4717">
        <w:t>D</w:t>
      </w:r>
      <w:r w:rsidR="00711ED5">
        <w:t>isability Employment Initiative</w:t>
      </w:r>
      <w:r w:rsidR="00772A65">
        <w:t xml:space="preserve"> (DEI)</w:t>
      </w:r>
      <w:r w:rsidR="00711ED5">
        <w:t xml:space="preserve"> </w:t>
      </w:r>
      <w:r w:rsidRPr="00753C25">
        <w:t xml:space="preserve">program to include a greater number of </w:t>
      </w:r>
      <w:r w:rsidR="00772A65">
        <w:t xml:space="preserve">DEI </w:t>
      </w:r>
      <w:r w:rsidRPr="00753C25">
        <w:t xml:space="preserve">projects for </w:t>
      </w:r>
      <w:r w:rsidR="00A65671">
        <w:t>people</w:t>
      </w:r>
      <w:r w:rsidRPr="00753C25">
        <w:t xml:space="preserve"> with sig</w:t>
      </w:r>
      <w:r w:rsidR="00A65671">
        <w:t>nificant disabilities</w:t>
      </w:r>
      <w:r>
        <w:t>.</w:t>
      </w:r>
    </w:p>
    <w:p w14:paraId="0306EDA0" w14:textId="77777777" w:rsidR="00296DA5" w:rsidRDefault="00405B43" w:rsidP="006E37D6">
      <w:pPr>
        <w:pStyle w:val="NCDBulletsLevel1"/>
      </w:pPr>
      <w:r w:rsidRPr="00CE4717">
        <w:t xml:space="preserve">ETA develop </w:t>
      </w:r>
      <w:r w:rsidR="00795DCE">
        <w:t>an accessibility grants program</w:t>
      </w:r>
      <w:r w:rsidRPr="00CE4717">
        <w:t xml:space="preserve"> to plan, fund, and administer better programmatic, physical, and electronic accessibility of </w:t>
      </w:r>
      <w:r>
        <w:t>American Job Centers</w:t>
      </w:r>
      <w:r w:rsidR="00A65671">
        <w:t xml:space="preserve"> in a</w:t>
      </w:r>
      <w:r w:rsidR="00703EB9">
        <w:t>ccordance of Section 188 of</w:t>
      </w:r>
      <w:r w:rsidR="00D70765">
        <w:t xml:space="preserve"> the Workforce Innovation and Op</w:t>
      </w:r>
      <w:r w:rsidR="0032549F">
        <w:t>p</w:t>
      </w:r>
      <w:r w:rsidR="00D70765">
        <w:t>ortunity Act</w:t>
      </w:r>
      <w:r w:rsidR="00703EB9">
        <w:t xml:space="preserve"> </w:t>
      </w:r>
      <w:r w:rsidR="00D70765">
        <w:t>(</w:t>
      </w:r>
      <w:r w:rsidR="00703EB9">
        <w:t>WIOA</w:t>
      </w:r>
      <w:r w:rsidR="00D70765">
        <w:t>)</w:t>
      </w:r>
      <w:r w:rsidR="00A65671">
        <w:t>.</w:t>
      </w:r>
    </w:p>
    <w:p w14:paraId="390C7971" w14:textId="77777777" w:rsidR="00296DA5" w:rsidRDefault="00405B43" w:rsidP="006E37D6">
      <w:pPr>
        <w:pStyle w:val="NCDBulletsLevel1"/>
      </w:pPr>
      <w:r w:rsidRPr="00A526FB">
        <w:t xml:space="preserve">ETA provide guidance and technical assistance </w:t>
      </w:r>
      <w:r>
        <w:t xml:space="preserve">to </w:t>
      </w:r>
      <w:r w:rsidRPr="00A526FB">
        <w:t xml:space="preserve">assist </w:t>
      </w:r>
      <w:r>
        <w:t>American Job Centers</w:t>
      </w:r>
      <w:r w:rsidRPr="00A526FB">
        <w:t xml:space="preserve"> </w:t>
      </w:r>
      <w:r>
        <w:t xml:space="preserve">achieve better accessibility, including </w:t>
      </w:r>
      <w:r w:rsidRPr="00A526FB">
        <w:t xml:space="preserve">guidance on serving </w:t>
      </w:r>
      <w:r w:rsidR="00A65671">
        <w:t>people</w:t>
      </w:r>
      <w:r w:rsidRPr="00A526FB">
        <w:t xml:space="preserve"> with communication disabilities (sign language interpreters, etc.)</w:t>
      </w:r>
      <w:r>
        <w:t>.</w:t>
      </w:r>
    </w:p>
    <w:p w14:paraId="247DCBC8" w14:textId="77777777" w:rsidR="00296DA5" w:rsidRDefault="00A65671" w:rsidP="006E37D6">
      <w:pPr>
        <w:pStyle w:val="NCDBulletsLevel1"/>
      </w:pPr>
      <w:r>
        <w:t>ETA create</w:t>
      </w:r>
      <w:r w:rsidR="00405B43" w:rsidRPr="00CE4717">
        <w:t xml:space="preserve"> a strategic plan </w:t>
      </w:r>
      <w:r>
        <w:t>to develop and implement</w:t>
      </w:r>
      <w:r w:rsidR="00405B43" w:rsidRPr="00CE4717">
        <w:t xml:space="preserve"> evidence-based policies, practices, and tools to foster the inclusion of people with disabilities in </w:t>
      </w:r>
      <w:r w:rsidR="008027F5" w:rsidRPr="00CE4717">
        <w:t>21</w:t>
      </w:r>
      <w:r w:rsidR="008027F5" w:rsidRPr="008027F5">
        <w:t>st</w:t>
      </w:r>
      <w:r w:rsidR="008027F5">
        <w:t>-</w:t>
      </w:r>
      <w:r w:rsidR="00405B43" w:rsidRPr="00CE4717">
        <w:t>century jobs with specific timelines and benchmarks.</w:t>
      </w:r>
    </w:p>
    <w:p w14:paraId="4E415509" w14:textId="77777777" w:rsidR="00296DA5" w:rsidRDefault="00405B43" w:rsidP="006E37D6">
      <w:pPr>
        <w:pStyle w:val="NCDBulletsLevel1"/>
      </w:pPr>
      <w:r w:rsidRPr="00394F86">
        <w:t>ODEP create and oversee a working group of federal agencies to infuse promising practices into all federal employment programs in order to increase disability employment.</w:t>
      </w:r>
    </w:p>
    <w:p w14:paraId="21B8D4C7" w14:textId="77777777" w:rsidR="00296DA5" w:rsidRDefault="00405B43" w:rsidP="006E37D6">
      <w:pPr>
        <w:pStyle w:val="NCDBulletsLevel1"/>
      </w:pPr>
      <w:r w:rsidRPr="00DF5328">
        <w:t xml:space="preserve">ODEP revisit </w:t>
      </w:r>
      <w:r w:rsidR="00736C90" w:rsidRPr="00DF5328">
        <w:t>p</w:t>
      </w:r>
      <w:r w:rsidRPr="00DF5328">
        <w:t xml:space="preserve">rior recommendations </w:t>
      </w:r>
      <w:r w:rsidR="00A65671" w:rsidRPr="00DF5328">
        <w:t xml:space="preserve">made to other entities </w:t>
      </w:r>
      <w:r w:rsidRPr="00DF5328">
        <w:t xml:space="preserve">to evaluate the extent to which </w:t>
      </w:r>
      <w:r w:rsidR="00A65671" w:rsidRPr="00DF5328">
        <w:t xml:space="preserve">ODEP </w:t>
      </w:r>
      <w:r w:rsidR="00DF5328" w:rsidRPr="00DF5328">
        <w:t xml:space="preserve">recommendations were adopted </w:t>
      </w:r>
      <w:r w:rsidR="00736C90" w:rsidRPr="00DF5328">
        <w:t xml:space="preserve">and </w:t>
      </w:r>
      <w:r w:rsidRPr="00DF5328">
        <w:t xml:space="preserve">follow up to discuss </w:t>
      </w:r>
      <w:proofErr w:type="spellStart"/>
      <w:r w:rsidR="00444926">
        <w:t>non</w:t>
      </w:r>
      <w:r w:rsidRPr="00DF5328">
        <w:t>implemented</w:t>
      </w:r>
      <w:proofErr w:type="spellEnd"/>
      <w:r w:rsidRPr="00DF5328">
        <w:t xml:space="preserve"> recommendations and </w:t>
      </w:r>
      <w:r w:rsidR="008027F5">
        <w:t xml:space="preserve">to </w:t>
      </w:r>
      <w:r w:rsidRPr="00DF5328">
        <w:t>provide assistance</w:t>
      </w:r>
      <w:r w:rsidR="00DF5328">
        <w:t>.</w:t>
      </w:r>
    </w:p>
    <w:p w14:paraId="68302BDE" w14:textId="77777777" w:rsidR="00296DA5" w:rsidRDefault="00656EBF" w:rsidP="006E37D6">
      <w:pPr>
        <w:pStyle w:val="NCDBulletsLevel1"/>
      </w:pPr>
      <w:r w:rsidRPr="00DF5328">
        <w:lastRenderedPageBreak/>
        <w:t xml:space="preserve">ODEP continue to focus on strategies that support changing workplaces to allow all people with disabilities, including those with significant long-term disabilities, to enter or remain in the workforce, which </w:t>
      </w:r>
      <w:r w:rsidR="0059357D" w:rsidRPr="00DF5328">
        <w:t>includes</w:t>
      </w:r>
      <w:r w:rsidR="00AA438F" w:rsidRPr="00DF5328">
        <w:t xml:space="preserve"> the improvement </w:t>
      </w:r>
      <w:r w:rsidR="0059357D" w:rsidRPr="00DF5328">
        <w:t xml:space="preserve">of </w:t>
      </w:r>
      <w:r w:rsidR="00AA438F" w:rsidRPr="00DF5328">
        <w:t>return-to-work/stay-at-work programs.</w:t>
      </w:r>
    </w:p>
    <w:p w14:paraId="4A910048" w14:textId="77777777" w:rsidR="00296DA5" w:rsidRDefault="00405B43" w:rsidP="006E37D6">
      <w:pPr>
        <w:pStyle w:val="NCDBulletsLevel1"/>
      </w:pPr>
      <w:r w:rsidRPr="00213C95">
        <w:t>OFCCP better ensure materials and documents are written in simple language.</w:t>
      </w:r>
    </w:p>
    <w:p w14:paraId="0F8EEB65" w14:textId="77777777" w:rsidR="00296DA5" w:rsidRDefault="007E1593" w:rsidP="006E37D6">
      <w:pPr>
        <w:pStyle w:val="NCDBulletsLevel1"/>
      </w:pPr>
      <w:r w:rsidRPr="007E1593">
        <w:t xml:space="preserve">OFCCP ensure its primary focus in the development of all regulations, sub- regulatory guidance, and other policy materials pertaining to Section 503 and </w:t>
      </w:r>
      <w:r>
        <w:t>the Vietnam Era Veterans Readjustment Assistance Act</w:t>
      </w:r>
      <w:r w:rsidRPr="007E1593">
        <w:t xml:space="preserve"> is on the advancement of employment opportunities for people with disabilities.</w:t>
      </w:r>
    </w:p>
    <w:p w14:paraId="2838E6CF" w14:textId="77777777" w:rsidR="00296DA5" w:rsidRDefault="00405B43" w:rsidP="006E37D6">
      <w:pPr>
        <w:pStyle w:val="NCDBulletsLevel1"/>
      </w:pPr>
      <w:r w:rsidRPr="00394F86">
        <w:t xml:space="preserve">OFCCP modify its </w:t>
      </w:r>
      <w:r w:rsidR="000A2944">
        <w:t>compliance review</w:t>
      </w:r>
      <w:r w:rsidR="00A65671">
        <w:t xml:space="preserve"> </w:t>
      </w:r>
      <w:r w:rsidRPr="00394F86">
        <w:t>procedure</w:t>
      </w:r>
      <w:r w:rsidR="00A65671">
        <w:t>s</w:t>
      </w:r>
      <w:r w:rsidRPr="00394F86">
        <w:t xml:space="preserve"> </w:t>
      </w:r>
      <w:r w:rsidR="000A2944">
        <w:t>for</w:t>
      </w:r>
      <w:r w:rsidR="00A65671">
        <w:t xml:space="preserve"> Section 503 of the Rehabilitation Act </w:t>
      </w:r>
      <w:r w:rsidR="00703EB9">
        <w:t xml:space="preserve">as specifically detailed in this </w:t>
      </w:r>
      <w:r w:rsidR="000A2944">
        <w:t>c</w:t>
      </w:r>
      <w:r w:rsidR="00703EB9">
        <w:t>hapter</w:t>
      </w:r>
      <w:r w:rsidRPr="004B318C">
        <w:t>.</w:t>
      </w:r>
    </w:p>
    <w:p w14:paraId="2AAD4BAC" w14:textId="77777777" w:rsidR="00296DA5" w:rsidRDefault="00405B43" w:rsidP="006E37D6">
      <w:pPr>
        <w:pStyle w:val="NCDBulletsLevel1"/>
      </w:pPr>
      <w:r w:rsidRPr="00565EF6">
        <w:t xml:space="preserve">OFCCP develop new procedures outside of the compliance review process, such as a random request for </w:t>
      </w:r>
      <w:r w:rsidR="007E1593">
        <w:t>the</w:t>
      </w:r>
      <w:r w:rsidR="008027F5" w:rsidRPr="008027F5">
        <w:t xml:space="preserve"> </w:t>
      </w:r>
      <w:r w:rsidR="008027F5" w:rsidRPr="00565EF6">
        <w:t>establishment</w:t>
      </w:r>
      <w:r w:rsidR="008027F5">
        <w:t xml:space="preserve"> of</w:t>
      </w:r>
      <w:r w:rsidR="007E1593">
        <w:t xml:space="preserve"> written </w:t>
      </w:r>
      <w:r w:rsidR="003B0A2F" w:rsidRPr="00565EF6">
        <w:t xml:space="preserve">contractor affirmative action </w:t>
      </w:r>
      <w:r w:rsidR="007E1593">
        <w:t>programs</w:t>
      </w:r>
      <w:r w:rsidR="003B0A2F" w:rsidRPr="00565EF6">
        <w:t xml:space="preserve">, </w:t>
      </w:r>
      <w:r w:rsidRPr="00565EF6">
        <w:t>to better ensure compliance with the Section 503 written affirmative action requirements.</w:t>
      </w:r>
    </w:p>
    <w:p w14:paraId="199B587C" w14:textId="77777777" w:rsidR="00296DA5" w:rsidRDefault="00405B43" w:rsidP="006E37D6">
      <w:pPr>
        <w:pStyle w:val="NCDBulletsLevel1"/>
      </w:pPr>
      <w:r w:rsidRPr="00213C95">
        <w:t>OFCCP hire and train a sufficient number of compliance officers in areas where federal contractors are concentrated in order to increase the number of compliance reviews.</w:t>
      </w:r>
    </w:p>
    <w:p w14:paraId="0EEFD167" w14:textId="77777777" w:rsidR="00296DA5" w:rsidRDefault="00405B43" w:rsidP="006E37D6">
      <w:pPr>
        <w:pStyle w:val="NCDBulletsLevel1"/>
      </w:pPr>
      <w:r w:rsidRPr="00213C95">
        <w:t xml:space="preserve">WHD amend the </w:t>
      </w:r>
      <w:r w:rsidR="00711ED5">
        <w:t>Fair Labor Standards Act</w:t>
      </w:r>
      <w:r w:rsidR="00711ED5" w:rsidRPr="00213C95">
        <w:t xml:space="preserve"> </w:t>
      </w:r>
      <w:r w:rsidR="003B0A2F">
        <w:t xml:space="preserve">Section </w:t>
      </w:r>
      <w:r w:rsidRPr="00213C95">
        <w:t>14(c)</w:t>
      </w:r>
      <w:r w:rsidR="00703EB9">
        <w:t xml:space="preserve"> </w:t>
      </w:r>
      <w:r w:rsidRPr="00213C95">
        <w:t>certificate application form to co</w:t>
      </w:r>
      <w:r w:rsidR="00736C90" w:rsidRPr="00213C95">
        <w:t xml:space="preserve">llect information </w:t>
      </w:r>
      <w:r w:rsidRPr="00213C95">
        <w:t xml:space="preserve">on the total number of employees who earn </w:t>
      </w:r>
      <w:r w:rsidR="003B0A2F">
        <w:t xml:space="preserve">a </w:t>
      </w:r>
      <w:r w:rsidRPr="00213C95">
        <w:t xml:space="preserve">subminimum </w:t>
      </w:r>
      <w:r w:rsidR="00711ED5">
        <w:t xml:space="preserve">wage </w:t>
      </w:r>
      <w:r w:rsidR="003B0A2F">
        <w:t xml:space="preserve">and </w:t>
      </w:r>
      <w:r w:rsidRPr="00213C95">
        <w:t xml:space="preserve">state that 14(c) employees have </w:t>
      </w:r>
      <w:r w:rsidR="00703EB9">
        <w:t>rights under the ADA</w:t>
      </w:r>
      <w:r w:rsidRPr="00213C95">
        <w:t>.</w:t>
      </w:r>
    </w:p>
    <w:p w14:paraId="5B69EF10" w14:textId="77777777" w:rsidR="00296DA5" w:rsidRDefault="00405B43" w:rsidP="006E37D6">
      <w:pPr>
        <w:pStyle w:val="NCDBulletsLevel1"/>
      </w:pPr>
      <w:r w:rsidRPr="00213C95">
        <w:t xml:space="preserve">WHD create technical guidance </w:t>
      </w:r>
      <w:r w:rsidR="00736C90" w:rsidRPr="00213C95">
        <w:t xml:space="preserve">for </w:t>
      </w:r>
      <w:r w:rsidRPr="00213C95">
        <w:t>14(c) certificate holders</w:t>
      </w:r>
      <w:r w:rsidR="00736C90" w:rsidRPr="00213C95">
        <w:t xml:space="preserve"> that</w:t>
      </w:r>
      <w:r w:rsidRPr="00213C95">
        <w:t xml:space="preserve"> </w:t>
      </w:r>
      <w:r w:rsidR="00736C90" w:rsidRPr="00213C95">
        <w:t xml:space="preserve">being </w:t>
      </w:r>
      <w:r w:rsidR="006474CA">
        <w:t>“</w:t>
      </w:r>
      <w:r w:rsidRPr="00213C95">
        <w:t>disabled for the work</w:t>
      </w:r>
      <w:r w:rsidR="006474CA">
        <w:t>”</w:t>
      </w:r>
      <w:r w:rsidRPr="00213C95">
        <w:t xml:space="preserve"> on one task does not establish </w:t>
      </w:r>
      <w:r w:rsidR="00736C90" w:rsidRPr="00213C95">
        <w:t xml:space="preserve">a person is </w:t>
      </w:r>
      <w:r w:rsidR="006474CA">
        <w:t>“</w:t>
      </w:r>
      <w:r w:rsidRPr="00213C95">
        <w:t>disabled fo</w:t>
      </w:r>
      <w:r w:rsidR="00736C90" w:rsidRPr="00213C95">
        <w:t>r the work</w:t>
      </w:r>
      <w:r w:rsidR="006474CA">
        <w:t>”</w:t>
      </w:r>
      <w:r w:rsidR="00736C90" w:rsidRPr="00213C95">
        <w:t xml:space="preserve"> on</w:t>
      </w:r>
      <w:r w:rsidRPr="00213C95">
        <w:t xml:space="preserve"> other tasks.</w:t>
      </w:r>
    </w:p>
    <w:p w14:paraId="040A6FE8" w14:textId="77777777" w:rsidR="00296DA5" w:rsidRDefault="00736C90" w:rsidP="006E37D6">
      <w:pPr>
        <w:pStyle w:val="NCDBulletsLevel1"/>
      </w:pPr>
      <w:r w:rsidRPr="00213C95">
        <w:t xml:space="preserve">WHD systematically track </w:t>
      </w:r>
      <w:r w:rsidR="00405B43" w:rsidRPr="00213C95">
        <w:t>how many 14(c) certificates have expired</w:t>
      </w:r>
      <w:r w:rsidR="00ED2A88">
        <w:t xml:space="preserve"> and</w:t>
      </w:r>
      <w:r w:rsidR="00405B43" w:rsidRPr="00213C95">
        <w:t xml:space="preserve"> the reasons for </w:t>
      </w:r>
      <w:r w:rsidR="003B0A2F">
        <w:t xml:space="preserve">the </w:t>
      </w:r>
      <w:r w:rsidR="00405B43" w:rsidRPr="00213C95">
        <w:t>expiration.</w:t>
      </w:r>
    </w:p>
    <w:p w14:paraId="38C03FF1" w14:textId="77777777" w:rsidR="00296DA5" w:rsidRDefault="00405B43" w:rsidP="006E37D6">
      <w:pPr>
        <w:pStyle w:val="NCDBulletsLevel1"/>
      </w:pPr>
      <w:r w:rsidRPr="00213C95">
        <w:lastRenderedPageBreak/>
        <w:t>WHD use en</w:t>
      </w:r>
      <w:r w:rsidR="00736C90" w:rsidRPr="00213C95">
        <w:t xml:space="preserve">forcement authority to </w:t>
      </w:r>
      <w:r w:rsidRPr="00213C95">
        <w:t>determine the extent to which employers who do not renew a 14(c) certificate continue to pay a subminimum wage.</w:t>
      </w:r>
    </w:p>
    <w:p w14:paraId="3E0CCB1F" w14:textId="77777777" w:rsidR="00296DA5" w:rsidRDefault="00405B43" w:rsidP="006E37D6">
      <w:pPr>
        <w:pStyle w:val="NCDBulletsLevel1"/>
      </w:pPr>
      <w:r w:rsidRPr="00213C95">
        <w:t>WHD produce</w:t>
      </w:r>
      <w:r w:rsidR="003B0A2F">
        <w:t xml:space="preserve"> additional training materials </w:t>
      </w:r>
      <w:r w:rsidRPr="00213C95">
        <w:t>targeted for use by community rehabilitation program staff.</w:t>
      </w:r>
    </w:p>
    <w:p w14:paraId="297DAE1E" w14:textId="77777777" w:rsidR="00296DA5" w:rsidRDefault="00405B43" w:rsidP="006E37D6">
      <w:pPr>
        <w:pStyle w:val="NCDBulletsLevel1"/>
      </w:pPr>
      <w:r w:rsidRPr="00213C95">
        <w:t xml:space="preserve">WHD undertake a focused strategic enforcement effort to determine the extent </w:t>
      </w:r>
      <w:r w:rsidR="00711ED5">
        <w:t>s</w:t>
      </w:r>
      <w:r w:rsidR="00676A96" w:rsidRPr="00676A96">
        <w:t xml:space="preserve">chool </w:t>
      </w:r>
      <w:r w:rsidR="00711ED5">
        <w:t>w</w:t>
      </w:r>
      <w:r w:rsidR="00676A96" w:rsidRPr="00676A96">
        <w:t xml:space="preserve">ork </w:t>
      </w:r>
      <w:r w:rsidR="00711ED5">
        <w:t>e</w:t>
      </w:r>
      <w:r w:rsidR="00676A96" w:rsidRPr="00676A96">
        <w:t xml:space="preserve">xperience </w:t>
      </w:r>
      <w:r w:rsidR="00711ED5">
        <w:t>p</w:t>
      </w:r>
      <w:r w:rsidR="00676A96" w:rsidRPr="00676A96">
        <w:t>rograms</w:t>
      </w:r>
      <w:r w:rsidR="00676A96">
        <w:t xml:space="preserve"> </w:t>
      </w:r>
      <w:r w:rsidRPr="00213C95">
        <w:t>compl</w:t>
      </w:r>
      <w:r w:rsidR="003B0A2F">
        <w:t>y</w:t>
      </w:r>
      <w:r w:rsidR="00703EB9">
        <w:t xml:space="preserve"> with Section 511 of</w:t>
      </w:r>
      <w:r w:rsidRPr="00213C95">
        <w:t xml:space="preserve"> WIOA.</w:t>
      </w:r>
    </w:p>
    <w:p w14:paraId="2FF219A1" w14:textId="77777777" w:rsidR="00296DA5" w:rsidRDefault="00405B43" w:rsidP="006E37D6">
      <w:pPr>
        <w:pStyle w:val="NCDBulletsLevel1"/>
      </w:pPr>
      <w:r w:rsidRPr="00213C95">
        <w:t xml:space="preserve">WHD track the extent to which </w:t>
      </w:r>
      <w:r w:rsidR="00711ED5">
        <w:t>c</w:t>
      </w:r>
      <w:r w:rsidRPr="00213C95">
        <w:t xml:space="preserve">ommunity </w:t>
      </w:r>
      <w:r w:rsidR="00711ED5">
        <w:t>r</w:t>
      </w:r>
      <w:r w:rsidRPr="00213C95">
        <w:t xml:space="preserve">ehabilitation </w:t>
      </w:r>
      <w:r w:rsidR="00711ED5">
        <w:t>p</w:t>
      </w:r>
      <w:r w:rsidR="000A2944">
        <w:t>rogram</w:t>
      </w:r>
      <w:r w:rsidR="00711ED5">
        <w:t>s</w:t>
      </w:r>
      <w:r w:rsidRPr="00213C95">
        <w:t xml:space="preserve"> participate in the </w:t>
      </w:r>
      <w:proofErr w:type="spellStart"/>
      <w:r w:rsidRPr="00213C95">
        <w:t>AbilityOne</w:t>
      </w:r>
      <w:proofErr w:type="spellEnd"/>
      <w:r w:rsidRPr="00213C95">
        <w:t xml:space="preserve"> program, the number of legal violations, and the number of referrals made by WHD to the </w:t>
      </w:r>
      <w:proofErr w:type="spellStart"/>
      <w:r w:rsidRPr="00213C95">
        <w:t>AbilityOne</w:t>
      </w:r>
      <w:proofErr w:type="spellEnd"/>
      <w:r w:rsidRPr="00213C95">
        <w:t xml:space="preserve"> program for enforcement.</w:t>
      </w:r>
    </w:p>
    <w:p w14:paraId="7D17DC38" w14:textId="77777777" w:rsidR="00296DA5" w:rsidRDefault="00405B43" w:rsidP="006E37D6">
      <w:pPr>
        <w:pStyle w:val="NCDBulletsLevel1"/>
      </w:pPr>
      <w:r w:rsidRPr="00213C95">
        <w:t>WHD prioritize the use of directed e</w:t>
      </w:r>
      <w:r w:rsidR="003B0A2F">
        <w:t xml:space="preserve">nforcement investigations </w:t>
      </w:r>
      <w:r w:rsidRPr="00213C95">
        <w:t>to ensure effective enforcement and deterrence.</w:t>
      </w:r>
    </w:p>
    <w:p w14:paraId="1706A6B2" w14:textId="77777777" w:rsidR="00296DA5" w:rsidRDefault="00405B43" w:rsidP="006E37D6">
      <w:pPr>
        <w:pStyle w:val="NCDBulletsLevel1"/>
      </w:pPr>
      <w:r w:rsidRPr="00213C95">
        <w:t xml:space="preserve">WHD reallocate its resources to expand </w:t>
      </w:r>
      <w:r w:rsidR="00703EB9">
        <w:t xml:space="preserve">Section </w:t>
      </w:r>
      <w:r w:rsidRPr="00213C95">
        <w:t xml:space="preserve">14(c) </w:t>
      </w:r>
      <w:r w:rsidR="003B0A2F">
        <w:t xml:space="preserve">oversight </w:t>
      </w:r>
      <w:r w:rsidRPr="00213C95">
        <w:t>through random sampling of 14(c) certificate</w:t>
      </w:r>
      <w:r w:rsidR="00D052B0">
        <w:t xml:space="preserve"> </w:t>
      </w:r>
      <w:r w:rsidRPr="00213C95">
        <w:t>holders to determine the prevalence of violations of federal</w:t>
      </w:r>
      <w:r w:rsidR="003B0A2F">
        <w:t xml:space="preserve"> wage and hour</w:t>
      </w:r>
      <w:r w:rsidRPr="00213C95">
        <w:t xml:space="preserve"> laws </w:t>
      </w:r>
      <w:r w:rsidR="003B0A2F">
        <w:t xml:space="preserve">and </w:t>
      </w:r>
      <w:r w:rsidRPr="00213C95">
        <w:t>to determine factors likely to lead to violations.</w:t>
      </w:r>
    </w:p>
    <w:p w14:paraId="2A8E2869" w14:textId="77777777" w:rsidR="00296DA5" w:rsidRDefault="00405B43" w:rsidP="006E37D6">
      <w:pPr>
        <w:pStyle w:val="NCDBulletsLevel1"/>
      </w:pPr>
      <w:r w:rsidRPr="00213C95">
        <w:t xml:space="preserve">WHD create </w:t>
      </w:r>
      <w:r w:rsidR="003B0A2F">
        <w:t>an online form to better enable</w:t>
      </w:r>
      <w:r w:rsidRPr="00213C95">
        <w:t xml:space="preserve"> an employee with a disability to request a hearing </w:t>
      </w:r>
      <w:r w:rsidR="003B0A2F">
        <w:t xml:space="preserve">by an Administrative Law Judge </w:t>
      </w:r>
      <w:r w:rsidRPr="00213C95">
        <w:t>to review the payment of subminimum wages.</w:t>
      </w:r>
    </w:p>
    <w:p w14:paraId="66B8AB26" w14:textId="77777777" w:rsidR="00296DA5" w:rsidRDefault="00405B43" w:rsidP="006E37D6">
      <w:pPr>
        <w:pStyle w:val="NCDBulletsLevel1"/>
      </w:pPr>
      <w:r w:rsidRPr="00213C95">
        <w:t xml:space="preserve">WHD conduct outreach to employees with disabilities </w:t>
      </w:r>
      <w:r w:rsidR="003B0A2F">
        <w:t xml:space="preserve">paid a </w:t>
      </w:r>
      <w:r w:rsidR="00703EB9">
        <w:t xml:space="preserve">Section </w:t>
      </w:r>
      <w:r w:rsidR="003B0A2F">
        <w:t xml:space="preserve">14(c) </w:t>
      </w:r>
      <w:r w:rsidR="00711ED5">
        <w:t>sub</w:t>
      </w:r>
      <w:r w:rsidR="003B0A2F">
        <w:t xml:space="preserve">minimum wage </w:t>
      </w:r>
      <w:r w:rsidRPr="00213C95">
        <w:t xml:space="preserve">about their rights and the process to petition for review of their </w:t>
      </w:r>
      <w:r w:rsidR="003D00C5" w:rsidRPr="00213C95">
        <w:t>wages and</w:t>
      </w:r>
      <w:r w:rsidRPr="00213C95">
        <w:t xml:space="preserve"> modify all relevant ou</w:t>
      </w:r>
      <w:r w:rsidR="003B0A2F">
        <w:t xml:space="preserve">treach materials and posters to clearly state those </w:t>
      </w:r>
      <w:r w:rsidRPr="00213C95">
        <w:t>right</w:t>
      </w:r>
      <w:r w:rsidR="003B0A2F">
        <w:t>s</w:t>
      </w:r>
      <w:r w:rsidRPr="00213C95">
        <w:t>.</w:t>
      </w:r>
    </w:p>
    <w:p w14:paraId="47F45D3F" w14:textId="77777777" w:rsidR="00296DA5" w:rsidRDefault="00405B43" w:rsidP="006E37D6">
      <w:pPr>
        <w:pStyle w:val="NCDBulletsLevel1"/>
      </w:pPr>
      <w:r w:rsidRPr="00213C95">
        <w:t>WHD take steps to increase the percentage of investigators trained for, and solely dedicated to, the enforcement of Section 14(c).</w:t>
      </w:r>
    </w:p>
    <w:p w14:paraId="0AAFA4A9" w14:textId="77777777" w:rsidR="00296DA5" w:rsidRDefault="00405B43" w:rsidP="006E37D6">
      <w:pPr>
        <w:pStyle w:val="NCDBulletsLevel1"/>
      </w:pPr>
      <w:r w:rsidRPr="00213C95">
        <w:t>WHD undertake a systemic look at the reasons for the increase in F</w:t>
      </w:r>
      <w:r w:rsidR="003B0A2F">
        <w:t>amily and Medical Leave Act</w:t>
      </w:r>
      <w:r w:rsidRPr="00213C95">
        <w:t xml:space="preserve"> violations, with an emphasis on whether an increase in </w:t>
      </w:r>
      <w:r w:rsidR="008027F5" w:rsidRPr="00213C95">
        <w:t>agency</w:t>
      </w:r>
      <w:r w:rsidR="008027F5">
        <w:t>-</w:t>
      </w:r>
      <w:r w:rsidRPr="00213C95">
        <w:t>initiated investigations is warranted.</w:t>
      </w:r>
    </w:p>
    <w:p w14:paraId="0A98DAC5" w14:textId="77777777" w:rsidR="00296DA5" w:rsidRDefault="003B0A2F" w:rsidP="00396A3D">
      <w:pPr>
        <w:pStyle w:val="NCDBodyText"/>
      </w:pPr>
      <w:r>
        <w:lastRenderedPageBreak/>
        <w:t xml:space="preserve">NCD recommends that Congress and </w:t>
      </w:r>
      <w:r w:rsidR="000A2944">
        <w:t xml:space="preserve">the </w:t>
      </w:r>
      <w:r>
        <w:t>President:</w:t>
      </w:r>
    </w:p>
    <w:p w14:paraId="115FB92F" w14:textId="77777777" w:rsidR="00296DA5" w:rsidRDefault="003B0A2F" w:rsidP="006E37D6">
      <w:pPr>
        <w:pStyle w:val="NCDBulletsLevel1"/>
      </w:pPr>
      <w:r>
        <w:t>R</w:t>
      </w:r>
      <w:r w:rsidR="00A65671" w:rsidRPr="00394F86">
        <w:t xml:space="preserve">equire federal agencies responsible for oversight of federal employment programs </w:t>
      </w:r>
      <w:r w:rsidR="00795DCE">
        <w:t xml:space="preserve">to </w:t>
      </w:r>
      <w:r w:rsidR="00A65671" w:rsidRPr="00394F86">
        <w:t>consult with ODEP to incorporate promising disability practices and by doing so break down silos that exist between federal agencies.</w:t>
      </w:r>
    </w:p>
    <w:p w14:paraId="3919590C" w14:textId="77777777" w:rsidR="00296DA5" w:rsidRDefault="003B0A2F" w:rsidP="006E37D6">
      <w:pPr>
        <w:pStyle w:val="NCDBulletsLevel1"/>
        <w:rPr>
          <w:rFonts w:eastAsiaTheme="minorHAnsi"/>
        </w:rPr>
      </w:pPr>
      <w:r>
        <w:t>E</w:t>
      </w:r>
      <w:r w:rsidR="00A65671" w:rsidRPr="00394F86">
        <w:t>nsure ODEP funding is flexible and focused on contracts with, and grants to, experts in the various fields affecting disability employment.</w:t>
      </w:r>
    </w:p>
    <w:p w14:paraId="0CF1B8DC" w14:textId="77777777" w:rsidR="00296DA5" w:rsidRDefault="003B0A2F" w:rsidP="00396A3D">
      <w:pPr>
        <w:pStyle w:val="NCDBodyText"/>
        <w:rPr>
          <w:lang w:val="en"/>
        </w:rPr>
      </w:pPr>
      <w:r>
        <w:rPr>
          <w:lang w:val="en"/>
        </w:rPr>
        <w:t xml:space="preserve">The remainder of this chapter </w:t>
      </w:r>
      <w:r w:rsidR="00703EB9">
        <w:rPr>
          <w:lang w:val="en"/>
        </w:rPr>
        <w:t>considers</w:t>
      </w:r>
      <w:r>
        <w:rPr>
          <w:lang w:val="en"/>
        </w:rPr>
        <w:t xml:space="preserve"> each of the DOL agencies.</w:t>
      </w:r>
    </w:p>
    <w:p w14:paraId="43D8B816" w14:textId="1C79EFD0" w:rsidR="00D929B5" w:rsidRPr="006E37D6" w:rsidRDefault="00E43D84" w:rsidP="006E37D6">
      <w:pPr>
        <w:pStyle w:val="Heading2"/>
      </w:pPr>
      <w:bookmarkStart w:id="35" w:name="_Toc520979977"/>
      <w:bookmarkStart w:id="36" w:name="_Toc526182086"/>
      <w:r w:rsidRPr="006E37D6">
        <w:t>Employment and Training Administration</w:t>
      </w:r>
      <w:r w:rsidR="00756EF4" w:rsidRPr="006E37D6">
        <w:t xml:space="preserve"> (ETA)</w:t>
      </w:r>
      <w:bookmarkEnd w:id="35"/>
      <w:bookmarkEnd w:id="36"/>
    </w:p>
    <w:p w14:paraId="6C1B03E6" w14:textId="77777777" w:rsidR="00C02ACB" w:rsidRPr="00C02ACB" w:rsidRDefault="00C02ACB" w:rsidP="006E37D6">
      <w:pPr>
        <w:pStyle w:val="Heading3"/>
      </w:pPr>
      <w:bookmarkStart w:id="37" w:name="_Toc526182087"/>
      <w:r w:rsidRPr="00C02ACB">
        <w:t>Overview</w:t>
      </w:r>
      <w:r w:rsidR="001A6906">
        <w:t xml:space="preserve"> of the ETA</w:t>
      </w:r>
      <w:bookmarkEnd w:id="37"/>
    </w:p>
    <w:p w14:paraId="2A885CC7" w14:textId="77777777" w:rsidR="00296DA5" w:rsidRDefault="00405B43" w:rsidP="00396A3D">
      <w:pPr>
        <w:pStyle w:val="NCDBodyText"/>
      </w:pPr>
      <w:r>
        <w:rPr>
          <w:rFonts w:eastAsia="Times New Roman"/>
          <w:color w:val="333333"/>
        </w:rPr>
        <w:t>DOL</w:t>
      </w:r>
      <w:r w:rsidR="006474CA">
        <w:rPr>
          <w:rFonts w:eastAsia="Times New Roman"/>
          <w:color w:val="333333"/>
        </w:rPr>
        <w:t>’</w:t>
      </w:r>
      <w:r w:rsidR="00E43D84">
        <w:rPr>
          <w:rFonts w:eastAsia="Times New Roman"/>
          <w:color w:val="333333"/>
        </w:rPr>
        <w:t xml:space="preserve">s </w:t>
      </w:r>
      <w:r w:rsidR="00E43D84" w:rsidRPr="00167B8A">
        <w:rPr>
          <w:rFonts w:eastAsia="Times New Roman"/>
          <w:color w:val="333333"/>
        </w:rPr>
        <w:t xml:space="preserve">Employment and Training Administration </w:t>
      </w:r>
      <w:r w:rsidR="00D929B5">
        <w:t>seeks</w:t>
      </w:r>
      <w:r w:rsidR="00E43D84" w:rsidRPr="00167B8A">
        <w:t xml:space="preserve"> to contribute to </w:t>
      </w:r>
      <w:r w:rsidR="00E43D84">
        <w:t>a</w:t>
      </w:r>
      <w:r w:rsidR="00E43D84" w:rsidRPr="00167B8A">
        <w:t xml:space="preserve"> more efficient functioning of the U.S. labor market by providing job training, employment, labor market information, and income maintenance services primarily through state and local workforce development systems.</w:t>
      </w:r>
      <w:r w:rsidR="00C02ACB" w:rsidRPr="00010434">
        <w:rPr>
          <w:rStyle w:val="EndnoteReference"/>
          <w:rFonts w:cs="Arial"/>
        </w:rPr>
        <w:endnoteReference w:id="124"/>
      </w:r>
      <w:r w:rsidR="00E43D84" w:rsidRPr="00167B8A">
        <w:t xml:space="preserve"> Much of ETA</w:t>
      </w:r>
      <w:r w:rsidR="006474CA">
        <w:t>’</w:t>
      </w:r>
      <w:r w:rsidR="00E43D84" w:rsidRPr="00167B8A">
        <w:t>s wo</w:t>
      </w:r>
      <w:r w:rsidR="00010434">
        <w:t>rk is carried out through grants and contracts</w:t>
      </w:r>
      <w:r w:rsidR="00E43D84" w:rsidRPr="00167B8A">
        <w:t>.</w:t>
      </w:r>
    </w:p>
    <w:p w14:paraId="01B53D72" w14:textId="77777777" w:rsidR="00296DA5" w:rsidRDefault="00010434" w:rsidP="00452A86">
      <w:pPr>
        <w:pStyle w:val="NCDBodyText"/>
        <w:contextualSpacing/>
      </w:pPr>
      <w:r>
        <w:rPr>
          <w:rFonts w:cs="Arial"/>
          <w:color w:val="auto"/>
        </w:rPr>
        <w:t>The</w:t>
      </w:r>
      <w:r w:rsidR="00AF41E4" w:rsidRPr="00AF41E4">
        <w:rPr>
          <w:rFonts w:cs="Arial"/>
          <w:color w:val="auto"/>
        </w:rPr>
        <w:t xml:space="preserve"> broad mission </w:t>
      </w:r>
      <w:r>
        <w:rPr>
          <w:rFonts w:cs="Arial"/>
          <w:color w:val="auto"/>
        </w:rPr>
        <w:t xml:space="preserve">of ETA </w:t>
      </w:r>
      <w:r w:rsidR="00AF41E4" w:rsidRPr="00AF41E4">
        <w:rPr>
          <w:rFonts w:cs="Arial"/>
          <w:color w:val="auto"/>
        </w:rPr>
        <w:t>is inclus</w:t>
      </w:r>
      <w:r w:rsidR="00D929B5">
        <w:rPr>
          <w:rFonts w:cs="Arial"/>
          <w:color w:val="auto"/>
        </w:rPr>
        <w:t>ive of people with disabilities</w:t>
      </w:r>
      <w:r w:rsidR="00AF41E4" w:rsidRPr="00AF41E4">
        <w:rPr>
          <w:rFonts w:cs="Arial"/>
          <w:color w:val="auto"/>
        </w:rPr>
        <w:t xml:space="preserve">. </w:t>
      </w:r>
      <w:r w:rsidR="00D929B5">
        <w:rPr>
          <w:rFonts w:cs="Arial"/>
          <w:color w:val="auto"/>
        </w:rPr>
        <w:t>A</w:t>
      </w:r>
      <w:r w:rsidR="00AF41E4" w:rsidRPr="00AF41E4">
        <w:rPr>
          <w:rFonts w:cs="Arial"/>
          <w:color w:val="auto"/>
        </w:rPr>
        <w:t xml:space="preserve">ccording to </w:t>
      </w:r>
      <w:r w:rsidR="00D929B5">
        <w:rPr>
          <w:rFonts w:cs="Arial"/>
          <w:color w:val="auto"/>
        </w:rPr>
        <w:t>ETA</w:t>
      </w:r>
      <w:r>
        <w:rPr>
          <w:rFonts w:cs="Arial"/>
          <w:color w:val="auto"/>
        </w:rPr>
        <w:t>,</w:t>
      </w:r>
      <w:r w:rsidR="00AF41E4" w:rsidRPr="00AF41E4">
        <w:rPr>
          <w:rFonts w:cs="Arial"/>
          <w:color w:val="auto"/>
        </w:rPr>
        <w:t xml:space="preserve"> approximately 290,000 individuals identified themselves as having a disability in 2016 when they received services </w:t>
      </w:r>
      <w:r w:rsidR="00D929B5">
        <w:rPr>
          <w:rFonts w:cs="Arial"/>
          <w:color w:val="auto"/>
        </w:rPr>
        <w:t xml:space="preserve">under </w:t>
      </w:r>
      <w:r w:rsidR="00D8658E">
        <w:rPr>
          <w:rFonts w:cs="Arial"/>
          <w:color w:val="auto"/>
        </w:rPr>
        <w:t>ETA-</w:t>
      </w:r>
      <w:r w:rsidR="000A2944" w:rsidRPr="00AF41E4">
        <w:rPr>
          <w:rFonts w:cs="Arial"/>
          <w:color w:val="auto"/>
        </w:rPr>
        <w:t>administered</w:t>
      </w:r>
      <w:r w:rsidR="000A2944">
        <w:rPr>
          <w:rFonts w:cs="Arial"/>
          <w:color w:val="auto"/>
        </w:rPr>
        <w:t xml:space="preserve"> </w:t>
      </w:r>
      <w:r w:rsidR="00AF41E4" w:rsidRPr="00AF41E4">
        <w:rPr>
          <w:rFonts w:cs="Arial"/>
          <w:color w:val="auto"/>
        </w:rPr>
        <w:t>WIOA</w:t>
      </w:r>
      <w:r w:rsidR="00D929B5">
        <w:rPr>
          <w:rFonts w:cs="Arial"/>
          <w:color w:val="auto"/>
        </w:rPr>
        <w:t xml:space="preserve"> Title I programs for a</w:t>
      </w:r>
      <w:r w:rsidR="00AF41E4" w:rsidRPr="00AF41E4">
        <w:rPr>
          <w:rFonts w:cs="Arial"/>
          <w:color w:val="auto"/>
        </w:rPr>
        <w:t>dult</w:t>
      </w:r>
      <w:r w:rsidR="00D929B5">
        <w:rPr>
          <w:rFonts w:cs="Arial"/>
          <w:color w:val="auto"/>
        </w:rPr>
        <w:t>s</w:t>
      </w:r>
      <w:r w:rsidR="00AF41E4" w:rsidRPr="00AF41E4">
        <w:rPr>
          <w:rFonts w:cs="Arial"/>
          <w:color w:val="auto"/>
        </w:rPr>
        <w:t xml:space="preserve">, </w:t>
      </w:r>
      <w:r w:rsidR="00D929B5">
        <w:rPr>
          <w:rFonts w:cs="Arial"/>
          <w:color w:val="auto"/>
        </w:rPr>
        <w:t>d</w:t>
      </w:r>
      <w:r w:rsidR="00AF41E4" w:rsidRPr="00AF41E4">
        <w:rPr>
          <w:rFonts w:cs="Arial"/>
          <w:color w:val="auto"/>
        </w:rPr>
        <w:t xml:space="preserve">islocated </w:t>
      </w:r>
      <w:r w:rsidR="00D929B5">
        <w:rPr>
          <w:rFonts w:cs="Arial"/>
          <w:color w:val="auto"/>
        </w:rPr>
        <w:t>w</w:t>
      </w:r>
      <w:r w:rsidR="00AF41E4" w:rsidRPr="00AF41E4">
        <w:rPr>
          <w:rFonts w:cs="Arial"/>
          <w:color w:val="auto"/>
        </w:rPr>
        <w:t>orker</w:t>
      </w:r>
      <w:r w:rsidR="00D929B5">
        <w:rPr>
          <w:rFonts w:cs="Arial"/>
          <w:color w:val="auto"/>
        </w:rPr>
        <w:t>s</w:t>
      </w:r>
      <w:r w:rsidR="00711ED5">
        <w:rPr>
          <w:rFonts w:cs="Arial"/>
          <w:color w:val="auto"/>
        </w:rPr>
        <w:t>,</w:t>
      </w:r>
      <w:r w:rsidR="00AF41E4" w:rsidRPr="00AF41E4">
        <w:rPr>
          <w:rFonts w:cs="Arial"/>
          <w:color w:val="auto"/>
        </w:rPr>
        <w:t xml:space="preserve"> and </w:t>
      </w:r>
      <w:r w:rsidR="00C22CAE">
        <w:rPr>
          <w:rFonts w:cs="Arial"/>
          <w:color w:val="auto"/>
        </w:rPr>
        <w:t>youth</w:t>
      </w:r>
      <w:r w:rsidR="00D929B5">
        <w:rPr>
          <w:rFonts w:cs="Arial"/>
          <w:color w:val="auto"/>
        </w:rPr>
        <w:t>.</w:t>
      </w:r>
      <w:r w:rsidR="00D929B5" w:rsidRPr="00D929B5">
        <w:t xml:space="preserve"> </w:t>
      </w:r>
      <w:r w:rsidR="00D929B5">
        <w:t xml:space="preserve">ETA also administers </w:t>
      </w:r>
      <w:r>
        <w:t>Title III of WIOA</w:t>
      </w:r>
      <w:r w:rsidR="00D929B5">
        <w:t>, the Wagner-</w:t>
      </w:r>
      <w:proofErr w:type="spellStart"/>
      <w:r w:rsidR="00D929B5">
        <w:t>Peyser</w:t>
      </w:r>
      <w:proofErr w:type="spellEnd"/>
      <w:r w:rsidR="00D929B5">
        <w:t xml:space="preserve"> Act Employment Service program, and has direct oversight of approximately 2,400 American Job Centers (AJCs), which provide workforce services to </w:t>
      </w:r>
      <w:r w:rsidR="00F13B4D">
        <w:t>job seek</w:t>
      </w:r>
      <w:r w:rsidR="00D929B5">
        <w:t>ers</w:t>
      </w:r>
      <w:r w:rsidR="00F379FE">
        <w:t>,</w:t>
      </w:r>
      <w:r w:rsidR="00D929B5">
        <w:t xml:space="preserve"> including </w:t>
      </w:r>
      <w:r w:rsidR="00780B85">
        <w:t>person</w:t>
      </w:r>
      <w:r w:rsidR="00D929B5">
        <w:t xml:space="preserve">s with disabilities. </w:t>
      </w:r>
      <w:r w:rsidR="00135AA9">
        <w:t xml:space="preserve">ETA </w:t>
      </w:r>
      <w:r w:rsidR="00757531">
        <w:t>further</w:t>
      </w:r>
      <w:r w:rsidR="00CA0FBD">
        <w:t xml:space="preserve"> </w:t>
      </w:r>
      <w:r w:rsidR="00AF41E4">
        <w:t>administers t</w:t>
      </w:r>
      <w:r w:rsidR="00757531">
        <w:t>he Work Opportunity Tax Credit</w:t>
      </w:r>
      <w:r w:rsidR="00CA0FBD">
        <w:t xml:space="preserve">, not assessed in this report, </w:t>
      </w:r>
      <w:r w:rsidR="00D929B5">
        <w:t xml:space="preserve">which provides </w:t>
      </w:r>
      <w:r w:rsidR="00AF41E4">
        <w:t>tax credit</w:t>
      </w:r>
      <w:r w:rsidR="00D929B5">
        <w:t xml:space="preserve">s for employers to </w:t>
      </w:r>
      <w:r w:rsidR="00CA0FBD">
        <w:t xml:space="preserve">hire </w:t>
      </w:r>
      <w:r w:rsidR="00AF41E4">
        <w:t>Supplemental Security Income recipients</w:t>
      </w:r>
      <w:r w:rsidR="00CA0FBD">
        <w:t>, among</w:t>
      </w:r>
      <w:r w:rsidR="00A720F1">
        <w:t xml:space="preserve"> </w:t>
      </w:r>
      <w:r w:rsidR="00CA0FBD">
        <w:t>several</w:t>
      </w:r>
      <w:r w:rsidR="00A720F1" w:rsidRPr="00A720F1">
        <w:t xml:space="preserve"> </w:t>
      </w:r>
      <w:r w:rsidR="00A720F1">
        <w:t>other</w:t>
      </w:r>
      <w:r w:rsidR="00CA0FBD">
        <w:t xml:space="preserve"> targeted groups</w:t>
      </w:r>
      <w:r w:rsidR="00AF41E4">
        <w:t>.</w:t>
      </w:r>
    </w:p>
    <w:p w14:paraId="790A8819" w14:textId="4C5C083F" w:rsidR="00396A3D" w:rsidRDefault="00135AA9" w:rsidP="006E37D6">
      <w:pPr>
        <w:pStyle w:val="Heading3"/>
      </w:pPr>
      <w:bookmarkStart w:id="38" w:name="_Toc526182088"/>
      <w:r>
        <w:t xml:space="preserve">Regulatory, </w:t>
      </w:r>
      <w:r w:rsidRPr="00423854">
        <w:t>Sub-Regulatory</w:t>
      </w:r>
      <w:r w:rsidR="00A36733">
        <w:t>,</w:t>
      </w:r>
      <w:r>
        <w:t xml:space="preserve"> and Policy</w:t>
      </w:r>
      <w:r w:rsidRPr="00423854">
        <w:t xml:space="preserve"> Guidance</w:t>
      </w:r>
      <w:bookmarkEnd w:id="38"/>
    </w:p>
    <w:p w14:paraId="07A7D949" w14:textId="77777777" w:rsidR="00296DA5" w:rsidRDefault="00742E48" w:rsidP="006E37D6">
      <w:pPr>
        <w:pStyle w:val="NCDBodyText"/>
      </w:pPr>
      <w:r>
        <w:t>ETA publishe</w:t>
      </w:r>
      <w:r w:rsidR="00795DCE">
        <w:t>s</w:t>
      </w:r>
      <w:r>
        <w:t xml:space="preserve"> regulations </w:t>
      </w:r>
      <w:r w:rsidR="00135AA9">
        <w:t xml:space="preserve">and monitors AJCs for compliance with </w:t>
      </w:r>
      <w:r w:rsidR="00EB19F9">
        <w:t>law</w:t>
      </w:r>
      <w:r>
        <w:t>s</w:t>
      </w:r>
      <w:r w:rsidR="00135AA9">
        <w:t xml:space="preserve"> </w:t>
      </w:r>
      <w:r w:rsidR="00695762">
        <w:t xml:space="preserve">that </w:t>
      </w:r>
      <w:r w:rsidR="00135AA9">
        <w:t>require that AJCs be accessible both physically and pragmatically. While Sta</w:t>
      </w:r>
      <w:r>
        <w:t>te Workforce Development Boards</w:t>
      </w:r>
      <w:r w:rsidR="008A4474">
        <w:t>—</w:t>
      </w:r>
      <w:r>
        <w:t xml:space="preserve">which </w:t>
      </w:r>
      <w:r w:rsidR="00135AA9">
        <w:t>develop AJC certification criteria</w:t>
      </w:r>
      <w:r w:rsidR="008A4474">
        <w:t>—</w:t>
      </w:r>
      <w:r w:rsidR="00135AA9">
        <w:t>have some flexibility</w:t>
      </w:r>
      <w:r>
        <w:t xml:space="preserve"> in </w:t>
      </w:r>
      <w:r>
        <w:lastRenderedPageBreak/>
        <w:t>establishing the criteria</w:t>
      </w:r>
      <w:r w:rsidR="00855FC3">
        <w:t>, ETA emphasizes that A</w:t>
      </w:r>
      <w:r w:rsidR="00135AA9">
        <w:t>J</w:t>
      </w:r>
      <w:r w:rsidR="00855FC3">
        <w:t>C</w:t>
      </w:r>
      <w:r w:rsidR="00135AA9">
        <w:t xml:space="preserve"> accessibility, at a minimum, must comply with the equal opportunity provisions of </w:t>
      </w:r>
      <w:r w:rsidR="00EB19F9">
        <w:t xml:space="preserve">Section 188 </w:t>
      </w:r>
      <w:r w:rsidR="00780B85">
        <w:t xml:space="preserve">of </w:t>
      </w:r>
      <w:r w:rsidR="00135AA9">
        <w:t>WIOA.</w:t>
      </w:r>
      <w:r w:rsidR="00757531">
        <w:rPr>
          <w:rStyle w:val="EndnoteReference"/>
        </w:rPr>
        <w:endnoteReference w:id="125"/>
      </w:r>
    </w:p>
    <w:p w14:paraId="6BB69528" w14:textId="2102E8C0" w:rsidR="00135AA9" w:rsidRPr="007E1593" w:rsidRDefault="007E1593" w:rsidP="006E37D6">
      <w:pPr>
        <w:pStyle w:val="NCDBodyText"/>
        <w:rPr>
          <w:b/>
        </w:rPr>
      </w:pPr>
      <w:r w:rsidRPr="007E1593">
        <w:t>ETA reports that it maximizes compliance with Section 188 through grant monitoring by its six regional offices. Monitoring can include on-site visits and desk reviews, and ETA checks that grantees have appropriate policies and procedures necessary to comply with federal disability rights laws. ETA has developed several technical assistance resources and webpages for AJC and other WIOA covered entities</w:t>
      </w:r>
      <w:r w:rsidR="00A720F1">
        <w:t>;</w:t>
      </w:r>
      <w:r w:rsidR="00A720F1" w:rsidRPr="007E1593">
        <w:t xml:space="preserve"> </w:t>
      </w:r>
      <w:r w:rsidRPr="007E1593">
        <w:t xml:space="preserve">however, it is not clear if ETA has a strategy to disseminate and target such information to all AJCs. </w:t>
      </w:r>
      <w:r w:rsidRPr="007E1593">
        <w:rPr>
          <w:b/>
        </w:rPr>
        <w:t>NCD recommends that ETA develop an accessibility grants programs to plan, fund, and strategically focus upon better programmatic, physical, and electronic accessibility of AJCs, pursuant to the requirements of Section 188 of WIOA.</w:t>
      </w:r>
    </w:p>
    <w:p w14:paraId="56851D1C" w14:textId="77777777" w:rsidR="00EB19F9" w:rsidRPr="00EB19F9" w:rsidRDefault="00EB19F9" w:rsidP="006E37D6">
      <w:pPr>
        <w:pStyle w:val="Heading3"/>
      </w:pPr>
      <w:bookmarkStart w:id="39" w:name="_Toc526182089"/>
      <w:r w:rsidRPr="004B3FF5">
        <w:t>Pr</w:t>
      </w:r>
      <w:r>
        <w:t>oactive and Reactive Strategies</w:t>
      </w:r>
      <w:bookmarkEnd w:id="39"/>
    </w:p>
    <w:p w14:paraId="4836549D" w14:textId="77777777" w:rsidR="00296DA5" w:rsidRDefault="00EB19F9" w:rsidP="00452A86">
      <w:pPr>
        <w:pStyle w:val="NCDBodyText"/>
        <w:contextualSpacing/>
        <w:rPr>
          <w:b/>
        </w:rPr>
      </w:pPr>
      <w:r>
        <w:t>While ETA recognizes the importance of being innovative to meet the principles of WIOA</w:t>
      </w:r>
      <w:r w:rsidR="00557FA1">
        <w:t>,</w:t>
      </w:r>
      <w:r>
        <w:t xml:space="preserve"> as well as evolve to meet new technologies and emerging markets, </w:t>
      </w:r>
      <w:r w:rsidR="00780B85">
        <w:t xml:space="preserve">ETA </w:t>
      </w:r>
      <w:r w:rsidR="00557FA1">
        <w:t xml:space="preserve">is not clear about its </w:t>
      </w:r>
      <w:r>
        <w:t xml:space="preserve">strategic plan for the employment of people with disabilities in </w:t>
      </w:r>
      <w:r w:rsidR="00A720F1">
        <w:t>21</w:t>
      </w:r>
      <w:r w:rsidR="00A720F1" w:rsidRPr="00A720F1">
        <w:t>st</w:t>
      </w:r>
      <w:r w:rsidR="00A720F1">
        <w:t>-</w:t>
      </w:r>
      <w:r>
        <w:t xml:space="preserve">century jobs. ETA has yet to report concrete progress in implementing WIOA </w:t>
      </w:r>
      <w:r w:rsidR="00557FA1">
        <w:t>in response</w:t>
      </w:r>
      <w:r>
        <w:t xml:space="preserve"> to new and rapidly emerging techno</w:t>
      </w:r>
      <w:r w:rsidR="00795DCE">
        <w:t>logies and labor market sectors,</w:t>
      </w:r>
      <w:r>
        <w:t xml:space="preserve"> although the </w:t>
      </w:r>
      <w:r w:rsidR="00DF24CF">
        <w:t xml:space="preserve">ETA </w:t>
      </w:r>
      <w:r>
        <w:t xml:space="preserve">has stated its commitment to exploring the dynamics of this area and </w:t>
      </w:r>
      <w:r w:rsidR="00703EB9">
        <w:t xml:space="preserve">to </w:t>
      </w:r>
      <w:r>
        <w:t>make its resources available.</w:t>
      </w:r>
      <w:r w:rsidR="004A04E2" w:rsidRPr="004A04E2">
        <w:t xml:space="preserve"> </w:t>
      </w:r>
      <w:r w:rsidR="004A04E2" w:rsidRPr="004A04E2">
        <w:rPr>
          <w:b/>
        </w:rPr>
        <w:t xml:space="preserve">NCD recommends ETA develop a strategic plan for developing and implementing evidence-based policies, practices, and tools to foster the inclusion of people with disabilities in </w:t>
      </w:r>
      <w:r w:rsidR="00A720F1" w:rsidRPr="004A04E2">
        <w:rPr>
          <w:b/>
        </w:rPr>
        <w:t>21</w:t>
      </w:r>
      <w:r w:rsidR="00A720F1" w:rsidRPr="00A720F1">
        <w:rPr>
          <w:b/>
        </w:rPr>
        <w:t>st</w:t>
      </w:r>
      <w:r w:rsidR="00A720F1">
        <w:rPr>
          <w:b/>
        </w:rPr>
        <w:t>-</w:t>
      </w:r>
      <w:r w:rsidR="004A04E2" w:rsidRPr="004A04E2">
        <w:rPr>
          <w:b/>
        </w:rPr>
        <w:t>century jobs with specific timelines and benchmarks.</w:t>
      </w:r>
    </w:p>
    <w:p w14:paraId="0C16C32E" w14:textId="4D476D3B" w:rsidR="00CC057E" w:rsidRPr="006E37D6" w:rsidRDefault="00D929B5" w:rsidP="006E37D6">
      <w:pPr>
        <w:pStyle w:val="Heading3"/>
      </w:pPr>
      <w:bookmarkStart w:id="40" w:name="_Toc526182090"/>
      <w:r w:rsidRPr="006E37D6">
        <w:t>Training and Technical Assistance</w:t>
      </w:r>
      <w:bookmarkEnd w:id="40"/>
    </w:p>
    <w:p w14:paraId="5779A0BF" w14:textId="77777777" w:rsidR="00296DA5" w:rsidRDefault="00EB19F9" w:rsidP="006E37D6">
      <w:pPr>
        <w:pStyle w:val="NCDBodyText"/>
      </w:pPr>
      <w:r>
        <w:t xml:space="preserve">ETA provided training on WIOA and </w:t>
      </w:r>
      <w:r w:rsidR="00757531">
        <w:t>its</w:t>
      </w:r>
      <w:r w:rsidR="00557FA1">
        <w:t xml:space="preserve"> </w:t>
      </w:r>
      <w:r>
        <w:t xml:space="preserve">regulations, including </w:t>
      </w:r>
      <w:r w:rsidR="00557FA1">
        <w:t xml:space="preserve">on </w:t>
      </w:r>
      <w:r>
        <w:t xml:space="preserve">AJC accessibility and the </w:t>
      </w:r>
      <w:r w:rsidR="00557FA1">
        <w:t xml:space="preserve">Section </w:t>
      </w:r>
      <w:r w:rsidR="00D959DF">
        <w:t xml:space="preserve">188 regulations during </w:t>
      </w:r>
      <w:r>
        <w:t>in-person WIOA training</w:t>
      </w:r>
      <w:r w:rsidR="003C7017">
        <w:t xml:space="preserve"> session</w:t>
      </w:r>
      <w:r>
        <w:t xml:space="preserve">s in 2016 and 2017 </w:t>
      </w:r>
      <w:r w:rsidR="00703EB9">
        <w:t>and</w:t>
      </w:r>
      <w:r>
        <w:t xml:space="preserve"> through guidance and o</w:t>
      </w:r>
      <w:r w:rsidR="00D959DF">
        <w:t xml:space="preserve">nline technical assistance. </w:t>
      </w:r>
      <w:r w:rsidR="007E1593" w:rsidRPr="007E1593">
        <w:t>Materials from these training</w:t>
      </w:r>
      <w:r w:rsidR="003C7017">
        <w:t xml:space="preserve"> session</w:t>
      </w:r>
      <w:r w:rsidR="007E1593" w:rsidRPr="007E1593">
        <w:t>s, as well as a calendar of upc</w:t>
      </w:r>
      <w:r w:rsidR="007E1593">
        <w:t>oming events relevant to WIOA</w:t>
      </w:r>
      <w:r w:rsidR="00845C87">
        <w:t>,</w:t>
      </w:r>
      <w:r w:rsidR="00845C87" w:rsidRPr="00845C87">
        <w:t xml:space="preserve"> </w:t>
      </w:r>
      <w:r w:rsidR="00845C87" w:rsidRPr="007E1593">
        <w:t xml:space="preserve">are available </w:t>
      </w:r>
      <w:r w:rsidR="00845C87">
        <w:t>online</w:t>
      </w:r>
      <w:r w:rsidR="007E1593">
        <w:t>.</w:t>
      </w:r>
    </w:p>
    <w:p w14:paraId="7AFD34C4" w14:textId="77777777" w:rsidR="00296DA5" w:rsidRDefault="00AF41E4" w:rsidP="006E37D6">
      <w:pPr>
        <w:pStyle w:val="NCDBodyText"/>
      </w:pPr>
      <w:r>
        <w:lastRenderedPageBreak/>
        <w:t>ETA</w:t>
      </w:r>
      <w:r w:rsidR="006474CA">
        <w:t>’</w:t>
      </w:r>
      <w:r>
        <w:t xml:space="preserve">s State Apprenticeship Expansion grants and extensive technical assistance efforts are designed to allow states to expand the use </w:t>
      </w:r>
      <w:r w:rsidR="006A19D0">
        <w:t xml:space="preserve">and reach </w:t>
      </w:r>
      <w:r>
        <w:t>of apprenticeship.</w:t>
      </w:r>
      <w:r w:rsidR="00E53B5D">
        <w:rPr>
          <w:rStyle w:val="EndnoteReference"/>
        </w:rPr>
        <w:endnoteReference w:id="126"/>
      </w:r>
      <w:r w:rsidR="00E53B5D">
        <w:t xml:space="preserve"> </w:t>
      </w:r>
      <w:r>
        <w:t xml:space="preserve">ETA has not provided quantitative data reflecting the number of people with disabilities </w:t>
      </w:r>
      <w:r w:rsidR="00845C87">
        <w:t xml:space="preserve">who </w:t>
      </w:r>
      <w:r>
        <w:t>currently participate in such apprent</w:t>
      </w:r>
      <w:r w:rsidR="006A19D0">
        <w:t xml:space="preserve">iceship programs. </w:t>
      </w:r>
      <w:r w:rsidR="007E1593" w:rsidRPr="007E1593">
        <w:t>ETA is updating its parameters for data collection and anticipates disability status will be a part of the data collection beginning January 2019.</w:t>
      </w:r>
    </w:p>
    <w:p w14:paraId="0D099E58" w14:textId="77777777" w:rsidR="00296DA5" w:rsidRDefault="00AF41E4" w:rsidP="006E37D6">
      <w:pPr>
        <w:pStyle w:val="NCDBodyText"/>
      </w:pPr>
      <w:r>
        <w:t xml:space="preserve">According to the agency, over the </w:t>
      </w:r>
      <w:r w:rsidR="00661EB7">
        <w:t xml:space="preserve">past </w:t>
      </w:r>
      <w:r>
        <w:t xml:space="preserve">several years, ETA has worked to improve and align services in AJCs, including for </w:t>
      </w:r>
      <w:r w:rsidR="00CC057E">
        <w:t>person</w:t>
      </w:r>
      <w:r>
        <w:t xml:space="preserve">s with disabilities. DOL awarded </w:t>
      </w:r>
      <w:r w:rsidR="00010434">
        <w:t xml:space="preserve">total </w:t>
      </w:r>
      <w:r>
        <w:t xml:space="preserve">grants </w:t>
      </w:r>
      <w:r w:rsidR="00010434">
        <w:t xml:space="preserve">of </w:t>
      </w:r>
      <w:r>
        <w:t>approximately $139 million to 55 projects in 30 states over eight years through the Disability Employment Initiative (DEI), which aim</w:t>
      </w:r>
      <w:r w:rsidR="00AF5BF1">
        <w:t>s</w:t>
      </w:r>
      <w:r>
        <w:t xml:space="preserve"> to strengthen the capacity of the workforce investment system to i</w:t>
      </w:r>
      <w:r w:rsidR="00010434">
        <w:t>mprove employment outcomes for people</w:t>
      </w:r>
      <w:r>
        <w:t xml:space="preserve"> with disabilities. ETA administers DEI through joint funding with </w:t>
      </w:r>
      <w:r w:rsidR="00010434">
        <w:t>ODEP</w:t>
      </w:r>
      <w:r>
        <w:t>.</w:t>
      </w:r>
    </w:p>
    <w:p w14:paraId="06D724A5" w14:textId="77777777" w:rsidR="00296DA5" w:rsidRDefault="00AF41E4" w:rsidP="006E37D6">
      <w:pPr>
        <w:pStyle w:val="NCDBodyText"/>
      </w:pPr>
      <w:r>
        <w:t xml:space="preserve">More recent DEI grants incorporated a </w:t>
      </w:r>
      <w:r w:rsidR="00661EB7">
        <w:t>career-</w:t>
      </w:r>
      <w:r>
        <w:t>pathways focus, including apprenticeship, to align with the goals and objectives of WIOA an</w:t>
      </w:r>
      <w:r w:rsidR="00010434">
        <w:t xml:space="preserve">d </w:t>
      </w:r>
      <w:r w:rsidR="00D959DF">
        <w:t xml:space="preserve">to </w:t>
      </w:r>
      <w:r w:rsidR="00010434">
        <w:t>close the skills gap. T</w:t>
      </w:r>
      <w:r>
        <w:t>here are currently 18 active DEI projects in 1</w:t>
      </w:r>
      <w:r w:rsidR="00010434">
        <w:t>5 states and one tribal nation</w:t>
      </w:r>
      <w:r w:rsidR="00661EB7">
        <w:t>,</w:t>
      </w:r>
      <w:r w:rsidR="00D959DF">
        <w:t xml:space="preserve"> of which eight are focused on </w:t>
      </w:r>
      <w:r w:rsidR="00010434">
        <w:t>adults</w:t>
      </w:r>
      <w:r>
        <w:t>, seven are focused on youth, and three are focused</w:t>
      </w:r>
      <w:r w:rsidR="00010434">
        <w:t xml:space="preserve"> on persons with significant disabilities</w:t>
      </w:r>
      <w:r w:rsidR="004A04E2">
        <w:t xml:space="preserve">. </w:t>
      </w:r>
      <w:r w:rsidR="004A04E2" w:rsidRPr="004A04E2">
        <w:rPr>
          <w:b/>
        </w:rPr>
        <w:t xml:space="preserve">NCD recommends that ETA expand the </w:t>
      </w:r>
      <w:r w:rsidR="008F259F">
        <w:rPr>
          <w:b/>
        </w:rPr>
        <w:t>DEI</w:t>
      </w:r>
      <w:r w:rsidR="004A04E2" w:rsidRPr="004A04E2">
        <w:rPr>
          <w:b/>
        </w:rPr>
        <w:t xml:space="preserve"> grants program to include a greater number of DEI projects for individuals with significant disabilities nationwide.</w:t>
      </w:r>
    </w:p>
    <w:p w14:paraId="17AD48AC" w14:textId="77777777" w:rsidR="00296DA5" w:rsidRPr="00B33BCC" w:rsidRDefault="00006306" w:rsidP="006E37D6">
      <w:pPr>
        <w:pStyle w:val="NCDBodyText"/>
        <w:rPr>
          <w:b/>
          <w:spacing w:val="2"/>
        </w:rPr>
      </w:pPr>
      <w:r w:rsidRPr="00B33BCC">
        <w:rPr>
          <w:spacing w:val="2"/>
        </w:rPr>
        <w:t xml:space="preserve">ETA reports it seeks </w:t>
      </w:r>
      <w:r w:rsidR="00AF41E4" w:rsidRPr="00B33BCC">
        <w:rPr>
          <w:spacing w:val="2"/>
        </w:rPr>
        <w:t xml:space="preserve">to improve AJC </w:t>
      </w:r>
      <w:r w:rsidRPr="00B33BCC">
        <w:rPr>
          <w:spacing w:val="2"/>
        </w:rPr>
        <w:t xml:space="preserve">services </w:t>
      </w:r>
      <w:r w:rsidR="00AF41E4" w:rsidRPr="00B33BCC">
        <w:rPr>
          <w:spacing w:val="2"/>
        </w:rPr>
        <w:t xml:space="preserve">by encouraging states and local areas to </w:t>
      </w:r>
      <w:r w:rsidRPr="00B33BCC">
        <w:rPr>
          <w:spacing w:val="2"/>
        </w:rPr>
        <w:t xml:space="preserve">provide such </w:t>
      </w:r>
      <w:r w:rsidR="00AF41E4" w:rsidRPr="00B33BCC">
        <w:rPr>
          <w:spacing w:val="2"/>
        </w:rPr>
        <w:t>service</w:t>
      </w:r>
      <w:r w:rsidRPr="00B33BCC">
        <w:rPr>
          <w:spacing w:val="2"/>
        </w:rPr>
        <w:t xml:space="preserve">s </w:t>
      </w:r>
      <w:r w:rsidR="00AF41E4" w:rsidRPr="00B33BCC">
        <w:rPr>
          <w:spacing w:val="2"/>
        </w:rPr>
        <w:t xml:space="preserve">through </w:t>
      </w:r>
      <w:r w:rsidR="00661EB7" w:rsidRPr="00B33BCC">
        <w:rPr>
          <w:spacing w:val="2"/>
        </w:rPr>
        <w:t>customer-</w:t>
      </w:r>
      <w:r w:rsidR="00AF41E4" w:rsidRPr="00B33BCC">
        <w:rPr>
          <w:spacing w:val="2"/>
        </w:rPr>
        <w:t xml:space="preserve">centered design. </w:t>
      </w:r>
      <w:r w:rsidRPr="00B33BCC">
        <w:rPr>
          <w:spacing w:val="2"/>
        </w:rPr>
        <w:t xml:space="preserve">To </w:t>
      </w:r>
      <w:r w:rsidR="00AF41E4" w:rsidRPr="00B33BCC">
        <w:rPr>
          <w:spacing w:val="2"/>
        </w:rPr>
        <w:t xml:space="preserve">date, ETA has sponsored four rounds of a free </w:t>
      </w:r>
      <w:r w:rsidR="00661EB7" w:rsidRPr="00B33BCC">
        <w:rPr>
          <w:spacing w:val="2"/>
        </w:rPr>
        <w:t xml:space="preserve">online, </w:t>
      </w:r>
      <w:r w:rsidR="00AF41E4" w:rsidRPr="00B33BCC">
        <w:rPr>
          <w:spacing w:val="2"/>
        </w:rPr>
        <w:t>seven-week</w:t>
      </w:r>
      <w:r w:rsidR="00661EB7" w:rsidRPr="00B33BCC">
        <w:rPr>
          <w:spacing w:val="2"/>
        </w:rPr>
        <w:t>-long</w:t>
      </w:r>
      <w:r w:rsidR="00A70444" w:rsidRPr="00B33BCC">
        <w:rPr>
          <w:spacing w:val="2"/>
        </w:rPr>
        <w:t>,</w:t>
      </w:r>
      <w:r w:rsidR="00AF41E4" w:rsidRPr="00B33BCC">
        <w:rPr>
          <w:spacing w:val="2"/>
        </w:rPr>
        <w:t xml:space="preserve"> customer-centered design class</w:t>
      </w:r>
      <w:r w:rsidRPr="00B33BCC">
        <w:rPr>
          <w:spacing w:val="2"/>
        </w:rPr>
        <w:t xml:space="preserve"> in which ETA challenges teams to design</w:t>
      </w:r>
      <w:r w:rsidR="00AF41E4" w:rsidRPr="00B33BCC">
        <w:rPr>
          <w:spacing w:val="2"/>
        </w:rPr>
        <w:t xml:space="preserve"> new ways to be customer</w:t>
      </w:r>
      <w:r w:rsidR="00F44777" w:rsidRPr="00B33BCC">
        <w:rPr>
          <w:spacing w:val="2"/>
        </w:rPr>
        <w:t xml:space="preserve"> </w:t>
      </w:r>
      <w:r w:rsidR="00AF41E4" w:rsidRPr="00B33BCC">
        <w:rPr>
          <w:spacing w:val="2"/>
        </w:rPr>
        <w:t xml:space="preserve">focused. </w:t>
      </w:r>
      <w:r w:rsidR="00135AA9" w:rsidRPr="00B33BCC">
        <w:rPr>
          <w:spacing w:val="2"/>
        </w:rPr>
        <w:t>More</w:t>
      </w:r>
      <w:r w:rsidR="00AF41E4" w:rsidRPr="00B33BCC">
        <w:rPr>
          <w:spacing w:val="2"/>
        </w:rPr>
        <w:t xml:space="preserve"> recent design challenges</w:t>
      </w:r>
      <w:r w:rsidR="006A19D0" w:rsidRPr="00B33BCC">
        <w:rPr>
          <w:spacing w:val="2"/>
        </w:rPr>
        <w:t>,</w:t>
      </w:r>
      <w:r w:rsidR="00135AA9" w:rsidRPr="00B33BCC">
        <w:rPr>
          <w:spacing w:val="2"/>
        </w:rPr>
        <w:t xml:space="preserve"> </w:t>
      </w:r>
      <w:r w:rsidR="006A19D0" w:rsidRPr="00B33BCC">
        <w:rPr>
          <w:spacing w:val="2"/>
        </w:rPr>
        <w:t xml:space="preserve">according to ETA, </w:t>
      </w:r>
      <w:r w:rsidR="00F44777" w:rsidRPr="00B33BCC">
        <w:rPr>
          <w:spacing w:val="2"/>
        </w:rPr>
        <w:t xml:space="preserve">that </w:t>
      </w:r>
      <w:r w:rsidR="00135AA9" w:rsidRPr="00B33BCC">
        <w:rPr>
          <w:spacing w:val="2"/>
        </w:rPr>
        <w:t>concerned</w:t>
      </w:r>
      <w:r w:rsidRPr="00B33BCC">
        <w:rPr>
          <w:spacing w:val="2"/>
        </w:rPr>
        <w:t xml:space="preserve"> customers with disabilities </w:t>
      </w:r>
      <w:r w:rsidR="00AF41E4" w:rsidRPr="00B33BCC">
        <w:rPr>
          <w:spacing w:val="2"/>
        </w:rPr>
        <w:t>focused on examining universal design principles to maximize</w:t>
      </w:r>
      <w:r w:rsidR="00135AA9" w:rsidRPr="00B33BCC">
        <w:rPr>
          <w:spacing w:val="2"/>
        </w:rPr>
        <w:t xml:space="preserve"> </w:t>
      </w:r>
      <w:r w:rsidR="00AF41E4" w:rsidRPr="00B33BCC">
        <w:rPr>
          <w:spacing w:val="2"/>
        </w:rPr>
        <w:t>inclus</w:t>
      </w:r>
      <w:r w:rsidR="00135AA9" w:rsidRPr="00B33BCC">
        <w:rPr>
          <w:spacing w:val="2"/>
        </w:rPr>
        <w:t>ive</w:t>
      </w:r>
      <w:r w:rsidR="00AF41E4" w:rsidRPr="00B33BCC">
        <w:rPr>
          <w:spacing w:val="2"/>
        </w:rPr>
        <w:t xml:space="preserve"> service delivery</w:t>
      </w:r>
      <w:r w:rsidRPr="00B33BCC">
        <w:rPr>
          <w:spacing w:val="2"/>
        </w:rPr>
        <w:t xml:space="preserve"> </w:t>
      </w:r>
      <w:r w:rsidR="00135AA9" w:rsidRPr="00B33BCC">
        <w:rPr>
          <w:spacing w:val="2"/>
        </w:rPr>
        <w:t xml:space="preserve">by the </w:t>
      </w:r>
      <w:r w:rsidRPr="00B33BCC">
        <w:rPr>
          <w:spacing w:val="2"/>
        </w:rPr>
        <w:t>AJC</w:t>
      </w:r>
      <w:r w:rsidR="00135AA9" w:rsidRPr="00B33BCC">
        <w:rPr>
          <w:spacing w:val="2"/>
        </w:rPr>
        <w:t>s</w:t>
      </w:r>
      <w:r w:rsidR="00AF41E4" w:rsidRPr="00B33BCC">
        <w:rPr>
          <w:spacing w:val="2"/>
        </w:rPr>
        <w:t>.</w:t>
      </w:r>
      <w:r w:rsidRPr="00B33BCC">
        <w:rPr>
          <w:spacing w:val="2"/>
        </w:rPr>
        <w:t xml:space="preserve"> ETA, however, did not report the number of A</w:t>
      </w:r>
      <w:r w:rsidR="00711ED5" w:rsidRPr="00B33BCC">
        <w:rPr>
          <w:spacing w:val="2"/>
        </w:rPr>
        <w:t>JC</w:t>
      </w:r>
      <w:r w:rsidRPr="00B33BCC">
        <w:rPr>
          <w:spacing w:val="2"/>
        </w:rPr>
        <w:t xml:space="preserve">s </w:t>
      </w:r>
      <w:r w:rsidR="00695762" w:rsidRPr="00B33BCC">
        <w:rPr>
          <w:spacing w:val="2"/>
        </w:rPr>
        <w:t>that</w:t>
      </w:r>
      <w:r w:rsidRPr="00B33BCC">
        <w:rPr>
          <w:spacing w:val="2"/>
        </w:rPr>
        <w:t xml:space="preserve"> have participated in these design challenges, and as recently as January 2017 DOL found that</w:t>
      </w:r>
      <w:r w:rsidR="00AF41E4" w:rsidRPr="00B33BCC">
        <w:rPr>
          <w:spacing w:val="2"/>
        </w:rPr>
        <w:t xml:space="preserve"> </w:t>
      </w:r>
      <w:r w:rsidR="006474CA" w:rsidRPr="00B33BCC">
        <w:rPr>
          <w:spacing w:val="2"/>
        </w:rPr>
        <w:t>“</w:t>
      </w:r>
      <w:r w:rsidR="00AF41E4" w:rsidRPr="00B33BCC">
        <w:rPr>
          <w:spacing w:val="2"/>
        </w:rPr>
        <w:t>[a]</w:t>
      </w:r>
      <w:proofErr w:type="spellStart"/>
      <w:r w:rsidR="00AF41E4" w:rsidRPr="00B33BCC">
        <w:rPr>
          <w:spacing w:val="2"/>
        </w:rPr>
        <w:t>lmost</w:t>
      </w:r>
      <w:proofErr w:type="spellEnd"/>
      <w:r w:rsidR="00AF41E4" w:rsidRPr="00B33BCC">
        <w:rPr>
          <w:spacing w:val="2"/>
        </w:rPr>
        <w:t xml:space="preserve"> two-thirds </w:t>
      </w:r>
      <w:r w:rsidR="00711ED5" w:rsidRPr="00B33BCC">
        <w:rPr>
          <w:spacing w:val="2"/>
        </w:rPr>
        <w:t>(63 percent</w:t>
      </w:r>
      <w:r w:rsidR="00AF41E4" w:rsidRPr="00B33BCC">
        <w:rPr>
          <w:spacing w:val="2"/>
        </w:rPr>
        <w:t xml:space="preserve">) of AJCs were </w:t>
      </w:r>
      <w:r w:rsidR="006474CA" w:rsidRPr="00B33BCC">
        <w:rPr>
          <w:spacing w:val="2"/>
        </w:rPr>
        <w:t>‘</w:t>
      </w:r>
      <w:r w:rsidR="00AF41E4" w:rsidRPr="00B33BCC">
        <w:rPr>
          <w:spacing w:val="2"/>
        </w:rPr>
        <w:t>not fully accessible</w:t>
      </w:r>
      <w:r w:rsidR="006474CA" w:rsidRPr="00B33BCC">
        <w:rPr>
          <w:spacing w:val="2"/>
        </w:rPr>
        <w:t>’</w:t>
      </w:r>
      <w:r w:rsidR="00AF41E4" w:rsidRPr="00B33BCC">
        <w:rPr>
          <w:spacing w:val="2"/>
        </w:rPr>
        <w:t xml:space="preserve"> to people with disabilities.</w:t>
      </w:r>
      <w:r w:rsidR="006474CA" w:rsidRPr="00B33BCC">
        <w:rPr>
          <w:spacing w:val="2"/>
        </w:rPr>
        <w:t>”</w:t>
      </w:r>
      <w:r w:rsidR="00AF41E4" w:rsidRPr="00B33BCC">
        <w:rPr>
          <w:rStyle w:val="EndnoteReference"/>
          <w:spacing w:val="2"/>
        </w:rPr>
        <w:endnoteReference w:id="127"/>
      </w:r>
      <w:r w:rsidR="00711ED5" w:rsidRPr="00B33BCC">
        <w:rPr>
          <w:spacing w:val="2"/>
        </w:rPr>
        <w:t xml:space="preserve"> </w:t>
      </w:r>
      <w:r w:rsidR="00584DE5" w:rsidRPr="00B33BCC">
        <w:rPr>
          <w:b/>
          <w:spacing w:val="2"/>
        </w:rPr>
        <w:t xml:space="preserve">NCD recommends that ETA provide guidance and technical assistance to </w:t>
      </w:r>
      <w:r w:rsidR="00A11688" w:rsidRPr="00B33BCC">
        <w:rPr>
          <w:b/>
          <w:spacing w:val="2"/>
        </w:rPr>
        <w:t xml:space="preserve">help </w:t>
      </w:r>
      <w:r w:rsidR="00584DE5" w:rsidRPr="00B33BCC">
        <w:rPr>
          <w:b/>
          <w:spacing w:val="2"/>
        </w:rPr>
        <w:t xml:space="preserve">American Job Centers </w:t>
      </w:r>
      <w:r w:rsidR="001F51A2" w:rsidRPr="00B33BCC">
        <w:rPr>
          <w:b/>
          <w:spacing w:val="2"/>
        </w:rPr>
        <w:t xml:space="preserve">in achieving </w:t>
      </w:r>
      <w:r w:rsidR="00584DE5" w:rsidRPr="00B33BCC">
        <w:rPr>
          <w:b/>
          <w:spacing w:val="2"/>
        </w:rPr>
        <w:t xml:space="preserve">better </w:t>
      </w:r>
      <w:r w:rsidR="00584DE5" w:rsidRPr="00B33BCC">
        <w:rPr>
          <w:b/>
          <w:spacing w:val="2"/>
        </w:rPr>
        <w:lastRenderedPageBreak/>
        <w:t>accessibility, including guidance on serving individuals with communication disabilities (sign language interpreters, etc.).</w:t>
      </w:r>
    </w:p>
    <w:p w14:paraId="3E5CFE0A" w14:textId="06A58A0A" w:rsidR="00AF41E4" w:rsidRPr="006E37D6" w:rsidRDefault="00135AA9" w:rsidP="006E37D6">
      <w:pPr>
        <w:pStyle w:val="Heading3"/>
      </w:pPr>
      <w:bookmarkStart w:id="41" w:name="_Toc526182091"/>
      <w:r w:rsidRPr="006E37D6">
        <w:t>Interagency Collaboration and Coordination</w:t>
      </w:r>
      <w:bookmarkEnd w:id="41"/>
    </w:p>
    <w:p w14:paraId="6EFD6201" w14:textId="77777777" w:rsidR="00296DA5" w:rsidRDefault="00AF41E4" w:rsidP="006E37D6">
      <w:pPr>
        <w:pStyle w:val="NCDBodyText"/>
      </w:pPr>
      <w:r>
        <w:t>ETA partners with the Civil Rights Center (CRC) to develop, administer</w:t>
      </w:r>
      <w:r w:rsidR="00D43591">
        <w:t>,</w:t>
      </w:r>
      <w:r>
        <w:t xml:space="preserve"> and enforce DOL civil rights </w:t>
      </w:r>
      <w:r w:rsidR="00006306">
        <w:t>requi</w:t>
      </w:r>
      <w:r w:rsidR="00DA2E61">
        <w:t>r</w:t>
      </w:r>
      <w:r w:rsidR="00006306">
        <w:t>ements</w:t>
      </w:r>
      <w:r>
        <w:t xml:space="preserve">. ETA, CRC, and ODEP have jointly developed a set of best practices </w:t>
      </w:r>
      <w:r w:rsidR="00135AA9">
        <w:t>to implement Section 188 of WIOA</w:t>
      </w:r>
      <w:r w:rsidR="00695762">
        <w:t>,</w:t>
      </w:r>
      <w:r w:rsidR="00135AA9">
        <w:t xml:space="preserve"> which prohibits </w:t>
      </w:r>
      <w:r>
        <w:t>discrimination</w:t>
      </w:r>
      <w:r w:rsidR="00135AA9">
        <w:t xml:space="preserve"> in the provision of services to </w:t>
      </w:r>
      <w:r w:rsidR="00703EB9">
        <w:t xml:space="preserve">people </w:t>
      </w:r>
      <w:r>
        <w:t>with disabilities.</w:t>
      </w:r>
    </w:p>
    <w:p w14:paraId="74FCCFF0" w14:textId="6DC9BA4F" w:rsidR="00396A3D" w:rsidRDefault="00AF41E4" w:rsidP="006E37D6">
      <w:pPr>
        <w:pStyle w:val="NCDBodyText"/>
      </w:pPr>
      <w:r>
        <w:t xml:space="preserve">ETA </w:t>
      </w:r>
      <w:r w:rsidR="00EB19F9">
        <w:t xml:space="preserve">uses a common set of performance measures for </w:t>
      </w:r>
      <w:r>
        <w:t>all employment and training programs focused on employment outcomes, also used by the Department of Education.</w:t>
      </w:r>
      <w:r w:rsidR="004D5E12">
        <w:rPr>
          <w:rStyle w:val="EndnoteReference"/>
        </w:rPr>
        <w:endnoteReference w:id="128"/>
      </w:r>
      <w:r w:rsidR="004D5E12">
        <w:t xml:space="preserve"> E</w:t>
      </w:r>
      <w:r>
        <w:t xml:space="preserve">TA </w:t>
      </w:r>
      <w:r w:rsidR="00EB19F9">
        <w:t>requires that grantees report on</w:t>
      </w:r>
      <w:r>
        <w:t xml:space="preserve"> individual characteristics of program participants</w:t>
      </w:r>
      <w:r w:rsidR="00757531">
        <w:t>,</w:t>
      </w:r>
      <w:r w:rsidR="00EB19F9">
        <w:t xml:space="preserve"> includi</w:t>
      </w:r>
      <w:r w:rsidR="00703EB9">
        <w:t>ng eight disability categories to</w:t>
      </w:r>
      <w:r w:rsidR="00EB19F9">
        <w:t xml:space="preserve"> be used by all program partners.</w:t>
      </w:r>
      <w:r w:rsidR="004D5E12">
        <w:rPr>
          <w:rStyle w:val="EndnoteReference"/>
        </w:rPr>
        <w:endnoteReference w:id="129"/>
      </w:r>
      <w:r w:rsidR="004D5E12">
        <w:rPr>
          <w:vertAlign w:val="superscript"/>
        </w:rPr>
        <w:t xml:space="preserve"> </w:t>
      </w:r>
      <w:r w:rsidR="008A7EF4">
        <w:t>S</w:t>
      </w:r>
      <w:r>
        <w:t xml:space="preserve">tates </w:t>
      </w:r>
      <w:r w:rsidR="008A7EF4">
        <w:t>are still transitioning to the new reporting requirement</w:t>
      </w:r>
      <w:r w:rsidR="002848F9">
        <w:t>,</w:t>
      </w:r>
      <w:r w:rsidR="008A7EF4">
        <w:t xml:space="preserve"> so results</w:t>
      </w:r>
      <w:r w:rsidR="007948D8">
        <w:t xml:space="preserve"> for the disability cat</w:t>
      </w:r>
      <w:r w:rsidR="00703EB9">
        <w:t>egories are not yet available. C</w:t>
      </w:r>
      <w:r>
        <w:t>ommon disability categories</w:t>
      </w:r>
      <w:r w:rsidR="008A7EF4">
        <w:t xml:space="preserve"> </w:t>
      </w:r>
      <w:r w:rsidR="00CA0FBD">
        <w:t>across t</w:t>
      </w:r>
      <w:r w:rsidR="007948D8">
        <w:t xml:space="preserve">he program partners, however, will enable </w:t>
      </w:r>
      <w:r w:rsidR="00CA0FBD">
        <w:t xml:space="preserve">DOL agencies </w:t>
      </w:r>
      <w:r w:rsidR="007948D8">
        <w:t xml:space="preserve">to </w:t>
      </w:r>
      <w:r w:rsidR="00CA0FBD">
        <w:t xml:space="preserve">evaluate the impact </w:t>
      </w:r>
      <w:r w:rsidR="007948D8">
        <w:t>of employment and training programs on</w:t>
      </w:r>
      <w:r w:rsidR="00CA0FBD">
        <w:t xml:space="preserve"> different p</w:t>
      </w:r>
      <w:r>
        <w:t>opulation</w:t>
      </w:r>
      <w:r w:rsidR="00CA0FBD">
        <w:t xml:space="preserve">s of </w:t>
      </w:r>
      <w:r w:rsidR="00711ED5">
        <w:t>people</w:t>
      </w:r>
      <w:r w:rsidR="00CA0FBD">
        <w:t xml:space="preserve"> with disabilities.</w:t>
      </w:r>
    </w:p>
    <w:p w14:paraId="2F427AE2" w14:textId="0B5FCB09" w:rsidR="00690FA7" w:rsidRPr="00DA2E61" w:rsidRDefault="006A60FA" w:rsidP="006E37D6">
      <w:pPr>
        <w:pStyle w:val="Heading2"/>
      </w:pPr>
      <w:bookmarkStart w:id="42" w:name="_Toc520979978"/>
      <w:bookmarkStart w:id="43" w:name="_Toc526182092"/>
      <w:r>
        <w:t>Office of Disabili</w:t>
      </w:r>
      <w:r w:rsidR="009716D6">
        <w:t>ty Employment Policy (ODEP)</w:t>
      </w:r>
      <w:bookmarkEnd w:id="42"/>
      <w:bookmarkEnd w:id="43"/>
    </w:p>
    <w:p w14:paraId="2470F26A" w14:textId="77777777" w:rsidR="00690FA7" w:rsidRPr="00167B8A" w:rsidRDefault="001A6906" w:rsidP="006E37D6">
      <w:pPr>
        <w:pStyle w:val="Heading3"/>
      </w:pPr>
      <w:bookmarkStart w:id="44" w:name="_Toc526182093"/>
      <w:r>
        <w:t>Overview of ODEP</w:t>
      </w:r>
      <w:bookmarkEnd w:id="44"/>
    </w:p>
    <w:p w14:paraId="374C4740" w14:textId="4018E01A" w:rsidR="00296DA5" w:rsidRDefault="00690FA7" w:rsidP="006E37D6">
      <w:pPr>
        <w:pStyle w:val="NCDBodyText"/>
      </w:pPr>
      <w:r w:rsidRPr="00167B8A">
        <w:t xml:space="preserve">The Office of Disability </w:t>
      </w:r>
      <w:r w:rsidR="00D959DF">
        <w:t>Employment Policy</w:t>
      </w:r>
      <w:r w:rsidRPr="001A6906">
        <w:t xml:space="preserve"> </w:t>
      </w:r>
      <w:r w:rsidRPr="00167B8A">
        <w:t>is the successor to the President</w:t>
      </w:r>
      <w:r w:rsidR="006474CA">
        <w:t>’</w:t>
      </w:r>
      <w:r w:rsidRPr="00167B8A">
        <w:t>s Committee on</w:t>
      </w:r>
      <w:r w:rsidR="00D959DF">
        <w:t xml:space="preserve"> the</w:t>
      </w:r>
      <w:r w:rsidRPr="00167B8A">
        <w:t xml:space="preserve"> Employment of People with Disabilities (PCEPD</w:t>
      </w:r>
      <w:r w:rsidR="00FD032F">
        <w:t>)</w:t>
      </w:r>
      <w:r w:rsidR="000A6577" w:rsidRPr="000A6577">
        <w:t xml:space="preserve"> and the Presidential Task Force on the Employme</w:t>
      </w:r>
      <w:r w:rsidR="00AA438F">
        <w:t xml:space="preserve">nt of Adults with Disabilities </w:t>
      </w:r>
      <w:r w:rsidR="000A6577" w:rsidRPr="000A6577">
        <w:t>(PTFEAD).</w:t>
      </w:r>
      <w:r w:rsidR="00757531" w:rsidRPr="001A6906">
        <w:rPr>
          <w:rStyle w:val="EndnoteReference"/>
          <w:rFonts w:cs="Arial"/>
        </w:rPr>
        <w:endnoteReference w:id="130"/>
      </w:r>
      <w:r w:rsidR="00FD032F">
        <w:t xml:space="preserve"> </w:t>
      </w:r>
      <w:r w:rsidR="00341E51" w:rsidRPr="00FD6D84">
        <w:t>PCEPD educated small businesses about ADA requirements, the benefits of hiring people with disabilities,</w:t>
      </w:r>
      <w:r w:rsidR="00271387">
        <w:t xml:space="preserve"> and</w:t>
      </w:r>
      <w:r w:rsidR="00341E51" w:rsidRPr="00FD6D84">
        <w:t xml:space="preserve"> resources to help them employ workers with disabilities and included an initiative to improve employment opportunities for people with disabilities from diverse cultural backgrounds. PCEPD established the Job Accommodation Network (JAN) to provide technical assistance to employers. </w:t>
      </w:r>
      <w:r w:rsidR="00631E24" w:rsidRPr="00631E24">
        <w:rPr>
          <w:i/>
        </w:rPr>
        <w:t>Promises to Keep</w:t>
      </w:r>
      <w:r w:rsidR="00341E51" w:rsidRPr="00FD6D84">
        <w:t xml:space="preserve"> found JAN was </w:t>
      </w:r>
      <w:r w:rsidR="006474CA">
        <w:t>“</w:t>
      </w:r>
      <w:r w:rsidR="00341E51" w:rsidRPr="00FD6D84">
        <w:t xml:space="preserve">an especially important source of technical assistance for implementation of Title I of </w:t>
      </w:r>
      <w:r w:rsidR="007F4036">
        <w:t>th</w:t>
      </w:r>
      <w:r w:rsidR="008B09E3">
        <w:t>e</w:t>
      </w:r>
      <w:r w:rsidR="007F4036">
        <w:t xml:space="preserve"> </w:t>
      </w:r>
      <w:r w:rsidR="00341E51" w:rsidRPr="00FD6D84">
        <w:t>ADA.</w:t>
      </w:r>
      <w:r w:rsidR="006474CA">
        <w:t>”</w:t>
      </w:r>
      <w:r w:rsidR="00341E51" w:rsidRPr="00922053">
        <w:rPr>
          <w:rStyle w:val="EndnoteReference"/>
          <w:rFonts w:eastAsia="Times New Roman" w:cs="Arial"/>
        </w:rPr>
        <w:endnoteReference w:id="131"/>
      </w:r>
      <w:r w:rsidR="008B1F98">
        <w:t xml:space="preserve"> </w:t>
      </w:r>
      <w:r w:rsidR="00341E51" w:rsidRPr="009A5EA2">
        <w:t xml:space="preserve">PTFEAD was established by </w:t>
      </w:r>
      <w:r w:rsidR="00341E51" w:rsidRPr="00341E51">
        <w:rPr>
          <w:rStyle w:val="Hyperlink"/>
          <w:rFonts w:cs="Arial"/>
          <w:color w:val="auto"/>
          <w:u w:val="none"/>
        </w:rPr>
        <w:t>Executive Order</w:t>
      </w:r>
      <w:r w:rsidR="00341E51" w:rsidRPr="009A5EA2">
        <w:t xml:space="preserve"> in </w:t>
      </w:r>
      <w:r w:rsidR="00341E51" w:rsidRPr="007F4036">
        <w:t xml:space="preserve">1998. </w:t>
      </w:r>
      <w:r w:rsidR="00341E51" w:rsidRPr="009A5EA2">
        <w:t xml:space="preserve">PTFEAD, which met and worked over the course of several years, produced a number of recommendations, </w:t>
      </w:r>
      <w:r w:rsidR="00341E51" w:rsidRPr="009A5EA2">
        <w:lastRenderedPageBreak/>
        <w:t xml:space="preserve">including the creation of a new Office of Disability </w:t>
      </w:r>
      <w:r w:rsidR="00341E51">
        <w:t xml:space="preserve">Employment </w:t>
      </w:r>
      <w:r w:rsidR="00341E51" w:rsidRPr="009A5EA2">
        <w:t>Policy led by</w:t>
      </w:r>
      <w:r w:rsidR="00AA438F">
        <w:t xml:space="preserve"> an Assistant Secretary</w:t>
      </w:r>
      <w:r w:rsidR="00341E51" w:rsidRPr="009A5EA2">
        <w:t>.</w:t>
      </w:r>
      <w:r w:rsidR="00341E51">
        <w:t xml:space="preserve"> O</w:t>
      </w:r>
      <w:r w:rsidR="003232B9">
        <w:t>DEP was established in 2001.</w:t>
      </w:r>
    </w:p>
    <w:p w14:paraId="7A91386E" w14:textId="77777777" w:rsidR="00296DA5" w:rsidRDefault="00690FA7" w:rsidP="006E37D6">
      <w:pPr>
        <w:pStyle w:val="NCDBodyText"/>
      </w:pPr>
      <w:r w:rsidRPr="00167B8A">
        <w:t xml:space="preserve">ODEP is the only </w:t>
      </w:r>
      <w:r w:rsidR="00444926">
        <w:t>non</w:t>
      </w:r>
      <w:r w:rsidRPr="00167B8A">
        <w:t>regulatory federal agency that promotes policies and coordinates with employers and all levels of government to increase</w:t>
      </w:r>
      <w:r w:rsidR="00584DE5">
        <w:t xml:space="preserve"> the</w:t>
      </w:r>
      <w:r w:rsidRPr="00167B8A">
        <w:t xml:space="preserve"> workplace success for people with disabilities.</w:t>
      </w:r>
      <w:r w:rsidRPr="00167B8A">
        <w:rPr>
          <w:vertAlign w:val="superscript"/>
        </w:rPr>
        <w:endnoteReference w:id="132"/>
      </w:r>
      <w:r w:rsidRPr="00167B8A">
        <w:t xml:space="preserve"> </w:t>
      </w:r>
      <w:r w:rsidR="00341E51" w:rsidRPr="00341E51">
        <w:t>ODEP is a sub-</w:t>
      </w:r>
      <w:r w:rsidR="00B55E5B" w:rsidRPr="00341E51">
        <w:t>cabinet</w:t>
      </w:r>
      <w:r w:rsidR="00B55E5B">
        <w:t>–</w:t>
      </w:r>
      <w:r w:rsidR="00341E51" w:rsidRPr="00341E51">
        <w:t>level agency,</w:t>
      </w:r>
      <w:r w:rsidR="00341E51" w:rsidRPr="00341E51">
        <w:rPr>
          <w:vertAlign w:val="superscript"/>
        </w:rPr>
        <w:endnoteReference w:id="133"/>
      </w:r>
      <w:r w:rsidR="00341E51" w:rsidRPr="00341E51">
        <w:t xml:space="preserve"> and works to develop and influence policies and practices to increase the number and quality of employment opportunities for people with disabilities. To fulfill this mission, ODEP promotes the adoption and implementation of policy strategies and effective practices to impact employment of people with all disabilities. </w:t>
      </w:r>
      <w:r w:rsidR="00A60054">
        <w:t>ODEP</w:t>
      </w:r>
      <w:r w:rsidR="00341E51" w:rsidRPr="00341E51">
        <w:t xml:space="preserve"> disseminates policy strategies and effective practices, shares information, and provides technical assistance to government agencies, service providers, </w:t>
      </w:r>
      <w:r w:rsidR="00444926">
        <w:t>non</w:t>
      </w:r>
      <w:r w:rsidR="00341E51" w:rsidRPr="00341E51">
        <w:t>governmental entities, and employers.</w:t>
      </w:r>
      <w:r w:rsidR="00341E51" w:rsidRPr="00341E51">
        <w:rPr>
          <w:vertAlign w:val="superscript"/>
        </w:rPr>
        <w:endnoteReference w:id="134"/>
      </w:r>
    </w:p>
    <w:p w14:paraId="0F6302DF" w14:textId="77777777" w:rsidR="00296DA5" w:rsidRDefault="00690FA7" w:rsidP="006E37D6">
      <w:pPr>
        <w:pStyle w:val="NCDBodyText"/>
      </w:pPr>
      <w:r w:rsidRPr="00EE1131">
        <w:t>ODEP has four</w:t>
      </w:r>
      <w:r w:rsidR="00341E51">
        <w:t xml:space="preserve"> Divisions: Policy Development with</w:t>
      </w:r>
      <w:r w:rsidR="001C5C2B">
        <w:t xml:space="preserve"> the</w:t>
      </w:r>
      <w:r w:rsidR="00341E51">
        <w:t xml:space="preserve"> four focus areas of</w:t>
      </w:r>
      <w:r w:rsidRPr="00EE1131">
        <w:t xml:space="preserve"> Workforce Systems, Youth, Employment-R</w:t>
      </w:r>
      <w:r w:rsidR="00341E51">
        <w:t>elated Supports, and Employers;</w:t>
      </w:r>
      <w:r w:rsidRPr="00EE1131">
        <w:t xml:space="preserve"> Po</w:t>
      </w:r>
      <w:r w:rsidR="00341E51">
        <w:t>licy Communication and Outreach;</w:t>
      </w:r>
      <w:r w:rsidRPr="00EE1131">
        <w:t xml:space="preserve"> Administrative Systems and Financial Services</w:t>
      </w:r>
      <w:r w:rsidR="00695762">
        <w:t>,</w:t>
      </w:r>
      <w:r w:rsidR="00341E51">
        <w:t xml:space="preserve"> which includes Program Management; </w:t>
      </w:r>
      <w:r w:rsidRPr="00EE1131">
        <w:t>an</w:t>
      </w:r>
      <w:r w:rsidR="00341E51">
        <w:t>d Policy Planning and Research</w:t>
      </w:r>
      <w:r w:rsidR="00B55E5B">
        <w:t>,</w:t>
      </w:r>
      <w:r w:rsidR="00341E51">
        <w:t xml:space="preserve"> with </w:t>
      </w:r>
      <w:r w:rsidR="001C5C2B">
        <w:t xml:space="preserve">the </w:t>
      </w:r>
      <w:r w:rsidR="00341E51">
        <w:t>focus areas of</w:t>
      </w:r>
      <w:r w:rsidRPr="00EE1131">
        <w:t xml:space="preserve"> Program Managem</w:t>
      </w:r>
      <w:r w:rsidR="00341E51">
        <w:t>ent and Research and Evaluation</w:t>
      </w:r>
      <w:r w:rsidRPr="00EE1131">
        <w:t>.</w:t>
      </w:r>
      <w:r w:rsidR="00711ED5" w:rsidRPr="00167B8A">
        <w:rPr>
          <w:vertAlign w:val="superscript"/>
        </w:rPr>
        <w:endnoteReference w:id="135"/>
      </w:r>
    </w:p>
    <w:p w14:paraId="78D3268B" w14:textId="302ED30A" w:rsidR="00396A3D" w:rsidRDefault="001849F2" w:rsidP="006E37D6">
      <w:pPr>
        <w:pStyle w:val="Heading3"/>
      </w:pPr>
      <w:bookmarkStart w:id="45" w:name="_Toc526182094"/>
      <w:r>
        <w:t xml:space="preserve">Regulatory, </w:t>
      </w:r>
      <w:r w:rsidR="00E521B0" w:rsidRPr="00423854">
        <w:t>Sub-Regulatory</w:t>
      </w:r>
      <w:r w:rsidR="008B1F98">
        <w:t>,</w:t>
      </w:r>
      <w:r>
        <w:t xml:space="preserve"> and Policy</w:t>
      </w:r>
      <w:r w:rsidR="00E521B0" w:rsidRPr="00423854">
        <w:t xml:space="preserve"> Guidance</w:t>
      </w:r>
      <w:bookmarkEnd w:id="45"/>
    </w:p>
    <w:p w14:paraId="01FD7D62" w14:textId="53EA36A7" w:rsidR="00296DA5" w:rsidRDefault="00E521B0" w:rsidP="00A0214F">
      <w:pPr>
        <w:pStyle w:val="NCDBodyText"/>
        <w:rPr>
          <w:rFonts w:eastAsia="Times New Roman"/>
        </w:rPr>
      </w:pPr>
      <w:r w:rsidRPr="00423854">
        <w:t xml:space="preserve">ODEP </w:t>
      </w:r>
      <w:r w:rsidR="008441E0">
        <w:t xml:space="preserve">provides </w:t>
      </w:r>
      <w:r w:rsidRPr="00423854">
        <w:t xml:space="preserve">important practical and policy support for </w:t>
      </w:r>
      <w:r w:rsidR="001A6906">
        <w:t>the implementation of o</w:t>
      </w:r>
      <w:r w:rsidR="009F01F0">
        <w:t>ther</w:t>
      </w:r>
      <w:r w:rsidR="009F01F0" w:rsidRPr="00423854">
        <w:t xml:space="preserve"> </w:t>
      </w:r>
      <w:r w:rsidRPr="00423854">
        <w:t xml:space="preserve">federal laws </w:t>
      </w:r>
      <w:r w:rsidR="007C77E4">
        <w:t xml:space="preserve">that </w:t>
      </w:r>
      <w:r w:rsidRPr="00423854">
        <w:t xml:space="preserve">support </w:t>
      </w:r>
      <w:r w:rsidR="009F01F0">
        <w:t xml:space="preserve">the </w:t>
      </w:r>
      <w:r w:rsidRPr="00423854">
        <w:t>employm</w:t>
      </w:r>
      <w:r w:rsidR="008441E0">
        <w:t>ent of people with disabilities</w:t>
      </w:r>
      <w:r w:rsidRPr="00423854">
        <w:t>.</w:t>
      </w:r>
      <w:r w:rsidRPr="00423854">
        <w:rPr>
          <w:rFonts w:eastAsia="Times New Roman"/>
        </w:rPr>
        <w:t xml:space="preserve"> </w:t>
      </w:r>
      <w:r w:rsidR="00FD032F">
        <w:rPr>
          <w:rFonts w:eastAsia="Times New Roman"/>
        </w:rPr>
        <w:t>ODEP</w:t>
      </w:r>
      <w:r w:rsidR="006474CA">
        <w:rPr>
          <w:rFonts w:eastAsia="Times New Roman"/>
        </w:rPr>
        <w:t>’</w:t>
      </w:r>
      <w:r w:rsidR="00FD032F">
        <w:rPr>
          <w:rFonts w:eastAsia="Times New Roman"/>
        </w:rPr>
        <w:t>s</w:t>
      </w:r>
      <w:r w:rsidR="00205485">
        <w:rPr>
          <w:rFonts w:eastAsia="Times New Roman"/>
        </w:rPr>
        <w:t xml:space="preserve"> strategic plan includes an</w:t>
      </w:r>
      <w:r w:rsidR="00772F82">
        <w:rPr>
          <w:rFonts w:eastAsia="Times New Roman"/>
        </w:rPr>
        <w:t xml:space="preserve"> </w:t>
      </w:r>
      <w:r w:rsidR="00205485">
        <w:rPr>
          <w:rFonts w:eastAsia="Times New Roman"/>
        </w:rPr>
        <w:t>objective</w:t>
      </w:r>
      <w:r w:rsidRPr="00423854">
        <w:rPr>
          <w:rFonts w:eastAsia="Times New Roman"/>
        </w:rPr>
        <w:t xml:space="preserve"> to develop evidence-based policies, practices, and tools to foster a more inclusive workforce to increase quality employment opportunities for </w:t>
      </w:r>
      <w:r w:rsidR="00711ED5">
        <w:rPr>
          <w:rFonts w:eastAsia="Times New Roman"/>
        </w:rPr>
        <w:t>people</w:t>
      </w:r>
      <w:r w:rsidRPr="00423854">
        <w:rPr>
          <w:rFonts w:eastAsia="Times New Roman"/>
        </w:rPr>
        <w:t xml:space="preserve"> with disabilities.</w:t>
      </w:r>
      <w:r w:rsidRPr="00423854">
        <w:rPr>
          <w:rStyle w:val="EndnoteReference"/>
          <w:rFonts w:eastAsia="Times New Roman" w:cs="Arial"/>
        </w:rPr>
        <w:endnoteReference w:id="136"/>
      </w:r>
      <w:r w:rsidR="00205485">
        <w:rPr>
          <w:rFonts w:eastAsia="Times New Roman"/>
        </w:rPr>
        <w:t xml:space="preserve"> Pursuant to this </w:t>
      </w:r>
      <w:r w:rsidRPr="00423854">
        <w:rPr>
          <w:rFonts w:eastAsia="Times New Roman"/>
        </w:rPr>
        <w:t xml:space="preserve">objective, ODEP will </w:t>
      </w:r>
      <w:r w:rsidR="00695762">
        <w:rPr>
          <w:rFonts w:eastAsia="Times New Roman"/>
        </w:rPr>
        <w:t>(</w:t>
      </w:r>
      <w:r w:rsidRPr="00423854">
        <w:rPr>
          <w:rFonts w:eastAsia="Times New Roman"/>
        </w:rPr>
        <w:t xml:space="preserve">1) </w:t>
      </w:r>
      <w:r w:rsidR="00357B39">
        <w:rPr>
          <w:rFonts w:eastAsia="Times New Roman"/>
        </w:rPr>
        <w:t>c</w:t>
      </w:r>
      <w:r w:rsidRPr="00423854">
        <w:rPr>
          <w:rFonts w:eastAsia="Times New Roman"/>
        </w:rPr>
        <w:t xml:space="preserve">onduct </w:t>
      </w:r>
      <w:r w:rsidR="00357B39">
        <w:rPr>
          <w:rFonts w:eastAsia="Times New Roman"/>
        </w:rPr>
        <w:t>a</w:t>
      </w:r>
      <w:r w:rsidRPr="00423854">
        <w:rPr>
          <w:rFonts w:eastAsia="Times New Roman"/>
        </w:rPr>
        <w:t xml:space="preserve">nalyses, </w:t>
      </w:r>
      <w:r w:rsidR="00357B39">
        <w:rPr>
          <w:rFonts w:eastAsia="Times New Roman"/>
        </w:rPr>
        <w:t>r</w:t>
      </w:r>
      <w:r w:rsidRPr="00423854">
        <w:rPr>
          <w:rFonts w:eastAsia="Times New Roman"/>
        </w:rPr>
        <w:t xml:space="preserve">esearch, and </w:t>
      </w:r>
      <w:r w:rsidR="00357B39">
        <w:rPr>
          <w:rFonts w:eastAsia="Times New Roman"/>
        </w:rPr>
        <w:t>e</w:t>
      </w:r>
      <w:r w:rsidRPr="00423854">
        <w:rPr>
          <w:rFonts w:eastAsia="Times New Roman"/>
        </w:rPr>
        <w:t xml:space="preserve">valuation of the </w:t>
      </w:r>
      <w:r w:rsidR="00357B39">
        <w:rPr>
          <w:rFonts w:eastAsia="Times New Roman"/>
        </w:rPr>
        <w:t>m</w:t>
      </w:r>
      <w:r w:rsidRPr="00423854">
        <w:rPr>
          <w:rFonts w:eastAsia="Times New Roman"/>
        </w:rPr>
        <w:t xml:space="preserve">ost </w:t>
      </w:r>
      <w:r w:rsidR="00357B39">
        <w:rPr>
          <w:rFonts w:eastAsia="Times New Roman"/>
        </w:rPr>
        <w:t>s</w:t>
      </w:r>
      <w:r w:rsidRPr="00423854">
        <w:rPr>
          <w:rFonts w:eastAsia="Times New Roman"/>
        </w:rPr>
        <w:t xml:space="preserve">uccessful </w:t>
      </w:r>
      <w:r w:rsidR="00357B39">
        <w:rPr>
          <w:rFonts w:eastAsia="Times New Roman"/>
        </w:rPr>
        <w:t>d</w:t>
      </w:r>
      <w:r w:rsidRPr="00423854">
        <w:rPr>
          <w:rFonts w:eastAsia="Times New Roman"/>
        </w:rPr>
        <w:t xml:space="preserve">isability </w:t>
      </w:r>
      <w:r w:rsidR="00357B39">
        <w:rPr>
          <w:rFonts w:eastAsia="Times New Roman"/>
        </w:rPr>
        <w:t>e</w:t>
      </w:r>
      <w:r w:rsidRPr="00423854">
        <w:rPr>
          <w:rFonts w:eastAsia="Times New Roman"/>
        </w:rPr>
        <w:t xml:space="preserve">mployment </w:t>
      </w:r>
      <w:r w:rsidR="00357B39">
        <w:rPr>
          <w:rFonts w:eastAsia="Times New Roman"/>
        </w:rPr>
        <w:t>p</w:t>
      </w:r>
      <w:r w:rsidRPr="00423854">
        <w:rPr>
          <w:rFonts w:eastAsia="Times New Roman"/>
        </w:rPr>
        <w:t xml:space="preserve">olicies and </w:t>
      </w:r>
      <w:r w:rsidR="00357B39">
        <w:rPr>
          <w:rFonts w:eastAsia="Times New Roman"/>
        </w:rPr>
        <w:t>p</w:t>
      </w:r>
      <w:r w:rsidRPr="00423854">
        <w:rPr>
          <w:rFonts w:eastAsia="Times New Roman"/>
        </w:rPr>
        <w:t>ractices</w:t>
      </w:r>
      <w:r w:rsidR="00357B39">
        <w:rPr>
          <w:rFonts w:eastAsia="Times New Roman"/>
        </w:rPr>
        <w:t>,</w:t>
      </w:r>
      <w:r w:rsidR="006D236D" w:rsidRPr="00423854">
        <w:rPr>
          <w:rFonts w:eastAsia="Times New Roman"/>
        </w:rPr>
        <w:t xml:space="preserve"> </w:t>
      </w:r>
      <w:r w:rsidRPr="00423854">
        <w:rPr>
          <w:rFonts w:eastAsia="Times New Roman"/>
        </w:rPr>
        <w:t xml:space="preserve">and </w:t>
      </w:r>
      <w:r w:rsidR="00695762">
        <w:rPr>
          <w:rFonts w:eastAsia="Times New Roman"/>
        </w:rPr>
        <w:t>(</w:t>
      </w:r>
      <w:r w:rsidRPr="00423854">
        <w:rPr>
          <w:rFonts w:eastAsia="Times New Roman"/>
        </w:rPr>
        <w:t xml:space="preserve">2) </w:t>
      </w:r>
      <w:r w:rsidR="00357B39">
        <w:rPr>
          <w:rFonts w:eastAsia="Times New Roman"/>
        </w:rPr>
        <w:t>l</w:t>
      </w:r>
      <w:r w:rsidRPr="00423854">
        <w:rPr>
          <w:rFonts w:eastAsia="Times New Roman"/>
        </w:rPr>
        <w:t xml:space="preserve">everage </w:t>
      </w:r>
      <w:r w:rsidR="00357B39">
        <w:rPr>
          <w:rFonts w:eastAsia="Times New Roman"/>
        </w:rPr>
        <w:t>p</w:t>
      </w:r>
      <w:r w:rsidRPr="00423854">
        <w:rPr>
          <w:rFonts w:eastAsia="Times New Roman"/>
        </w:rPr>
        <w:t xml:space="preserve">artnerships to </w:t>
      </w:r>
      <w:r w:rsidR="00357B39">
        <w:rPr>
          <w:rFonts w:eastAsia="Times New Roman"/>
        </w:rPr>
        <w:t>d</w:t>
      </w:r>
      <w:r w:rsidRPr="00423854">
        <w:rPr>
          <w:rFonts w:eastAsia="Times New Roman"/>
        </w:rPr>
        <w:t xml:space="preserve">rive </w:t>
      </w:r>
      <w:r w:rsidR="00357B39">
        <w:rPr>
          <w:rFonts w:eastAsia="Times New Roman"/>
        </w:rPr>
        <w:t>p</w:t>
      </w:r>
      <w:r w:rsidRPr="00423854">
        <w:rPr>
          <w:rFonts w:eastAsia="Times New Roman"/>
        </w:rPr>
        <w:t xml:space="preserve">olicy </w:t>
      </w:r>
      <w:r w:rsidR="00357B39">
        <w:rPr>
          <w:rFonts w:eastAsia="Times New Roman"/>
        </w:rPr>
        <w:t>c</w:t>
      </w:r>
      <w:r w:rsidRPr="00423854">
        <w:rPr>
          <w:rFonts w:eastAsia="Times New Roman"/>
        </w:rPr>
        <w:t>hange</w:t>
      </w:r>
      <w:r w:rsidR="001A6906">
        <w:rPr>
          <w:rFonts w:eastAsia="Times New Roman"/>
        </w:rPr>
        <w:t>.</w:t>
      </w:r>
      <w:r w:rsidRPr="00423854">
        <w:rPr>
          <w:rStyle w:val="EndnoteReference"/>
          <w:rFonts w:eastAsia="Times New Roman" w:cs="Arial"/>
        </w:rPr>
        <w:endnoteReference w:id="137"/>
      </w:r>
      <w:r w:rsidR="001A6906">
        <w:rPr>
          <w:rFonts w:eastAsia="Times New Roman"/>
        </w:rPr>
        <w:t xml:space="preserve"> Since the</w:t>
      </w:r>
      <w:r w:rsidR="00711ED5">
        <w:rPr>
          <w:rFonts w:eastAsia="Times New Roman"/>
        </w:rPr>
        <w:t xml:space="preserve"> passage of the</w:t>
      </w:r>
      <w:r w:rsidR="001A6906">
        <w:rPr>
          <w:rFonts w:eastAsia="Times New Roman"/>
        </w:rPr>
        <w:t xml:space="preserve"> </w:t>
      </w:r>
      <w:r w:rsidR="00BA7CDD">
        <w:rPr>
          <w:rFonts w:eastAsia="Times New Roman"/>
        </w:rPr>
        <w:t>ADAAA, ODEP</w:t>
      </w:r>
      <w:r w:rsidR="005E5CEF">
        <w:rPr>
          <w:rFonts w:eastAsia="Times New Roman"/>
        </w:rPr>
        <w:t xml:space="preserve"> has</w:t>
      </w:r>
      <w:r w:rsidR="00BA7CDD">
        <w:rPr>
          <w:rFonts w:eastAsia="Times New Roman"/>
        </w:rPr>
        <w:t xml:space="preserve"> instituted a number of programs, initiatives, and research.</w:t>
      </w:r>
      <w:r w:rsidR="003232B9">
        <w:rPr>
          <w:rFonts w:eastAsia="Times New Roman"/>
        </w:rPr>
        <w:t xml:space="preserve"> </w:t>
      </w:r>
      <w:r w:rsidR="007F4036">
        <w:rPr>
          <w:rFonts w:eastAsia="Times New Roman"/>
        </w:rPr>
        <w:t>The following paragraphs discuss some of ODEP</w:t>
      </w:r>
      <w:r w:rsidR="006474CA">
        <w:rPr>
          <w:rFonts w:eastAsia="Times New Roman"/>
        </w:rPr>
        <w:t>’</w:t>
      </w:r>
      <w:r w:rsidR="007F4036">
        <w:rPr>
          <w:rFonts w:eastAsia="Times New Roman"/>
        </w:rPr>
        <w:t>s programs, initiatives, and research. For a complete list</w:t>
      </w:r>
      <w:r w:rsidR="00A60054">
        <w:rPr>
          <w:rFonts w:eastAsia="Times New Roman"/>
        </w:rPr>
        <w:t>,</w:t>
      </w:r>
      <w:r w:rsidR="007F4036">
        <w:rPr>
          <w:rFonts w:eastAsia="Times New Roman"/>
        </w:rPr>
        <w:t xml:space="preserve"> visit </w:t>
      </w:r>
      <w:r w:rsidR="004D2FE2">
        <w:rPr>
          <w:rFonts w:eastAsia="Times New Roman"/>
        </w:rPr>
        <w:t xml:space="preserve">the ODEP </w:t>
      </w:r>
      <w:r w:rsidR="007F4036">
        <w:rPr>
          <w:rFonts w:eastAsia="Times New Roman"/>
        </w:rPr>
        <w:t xml:space="preserve">website at </w:t>
      </w:r>
      <w:hyperlink r:id="rId14" w:tooltip="https://www.dol.gov/odep/" w:history="1">
        <w:r w:rsidR="003232B9" w:rsidRPr="0021142D">
          <w:rPr>
            <w:rStyle w:val="Hyperlink"/>
            <w:rFonts w:eastAsia="Times New Roman"/>
          </w:rPr>
          <w:t>https://www.dol.gov/odep/</w:t>
        </w:r>
      </w:hyperlink>
      <w:r w:rsidR="003232B9">
        <w:rPr>
          <w:rFonts w:eastAsia="Times New Roman"/>
        </w:rPr>
        <w:t>.</w:t>
      </w:r>
    </w:p>
    <w:p w14:paraId="7D134C4A" w14:textId="06C028C2" w:rsidR="00296DA5" w:rsidRDefault="00E521B0" w:rsidP="00A0214F">
      <w:pPr>
        <w:pStyle w:val="NCDBodyText"/>
      </w:pPr>
      <w:r w:rsidRPr="00423854">
        <w:t xml:space="preserve">In 2009, ODEP launched the </w:t>
      </w:r>
      <w:hyperlink r:id="rId15" w:history="1">
        <w:r w:rsidRPr="00E579E2">
          <w:rPr>
            <w:rStyle w:val="Hyperlink"/>
          </w:rPr>
          <w:t>Disability.gov</w:t>
        </w:r>
      </w:hyperlink>
      <w:r w:rsidRPr="00423854">
        <w:t xml:space="preserve"> website to provide a clearinghouse for di</w:t>
      </w:r>
      <w:r w:rsidR="008441E0">
        <w:t>sability employment information</w:t>
      </w:r>
      <w:r w:rsidRPr="00423854">
        <w:t xml:space="preserve"> </w:t>
      </w:r>
      <w:r w:rsidR="008441E0">
        <w:t>and</w:t>
      </w:r>
      <w:r w:rsidR="00F26D3A">
        <w:t xml:space="preserve"> instituted</w:t>
      </w:r>
      <w:r w:rsidR="008441E0">
        <w:t xml:space="preserve"> </w:t>
      </w:r>
      <w:r w:rsidRPr="00423854">
        <w:t xml:space="preserve">the Emerging Technologies Initiative to </w:t>
      </w:r>
      <w:r w:rsidRPr="00423854">
        <w:lastRenderedPageBreak/>
        <w:t>analyze employment practi</w:t>
      </w:r>
      <w:r w:rsidR="008441E0">
        <w:t>ces using accessible technology.</w:t>
      </w:r>
      <w:r w:rsidR="006D236D" w:rsidRPr="00423854">
        <w:rPr>
          <w:rStyle w:val="EndnoteReference"/>
          <w:rFonts w:cs="Arial"/>
        </w:rPr>
        <w:endnoteReference w:id="138"/>
      </w:r>
      <w:r w:rsidR="008441E0">
        <w:t xml:space="preserve"> </w:t>
      </w:r>
      <w:r w:rsidR="00341E51">
        <w:t>Other</w:t>
      </w:r>
      <w:r w:rsidR="008441E0" w:rsidRPr="00795DCE">
        <w:t xml:space="preserve"> 2009</w:t>
      </w:r>
      <w:r w:rsidR="00341E51">
        <w:t xml:space="preserve"> </w:t>
      </w:r>
      <w:r w:rsidR="00357B39" w:rsidRPr="00795DCE">
        <w:t xml:space="preserve">ODEP </w:t>
      </w:r>
      <w:r w:rsidR="005C06D0" w:rsidRPr="00795DCE">
        <w:t xml:space="preserve">efforts included </w:t>
      </w:r>
      <w:r w:rsidRPr="00795DCE">
        <w:t xml:space="preserve">the </w:t>
      </w:r>
      <w:proofErr w:type="spellStart"/>
      <w:r w:rsidRPr="00795DCE">
        <w:t>ePolicy</w:t>
      </w:r>
      <w:proofErr w:type="spellEnd"/>
      <w:r w:rsidR="005A49BC" w:rsidRPr="00795DCE">
        <w:t xml:space="preserve"> </w:t>
      </w:r>
      <w:r w:rsidRPr="00795DCE">
        <w:t xml:space="preserve">Works collaborative platform to help agencies and stakeholders explore disability employment policy, </w:t>
      </w:r>
      <w:r w:rsidR="00341E51">
        <w:t xml:space="preserve">the </w:t>
      </w:r>
      <w:r w:rsidRPr="00795DCE">
        <w:t>examin</w:t>
      </w:r>
      <w:r w:rsidR="00341E51">
        <w:t xml:space="preserve">ation of </w:t>
      </w:r>
      <w:r w:rsidRPr="00795DCE">
        <w:t>mechanisms to support Personal Assistance Services for employees,</w:t>
      </w:r>
      <w:r w:rsidR="00357B39" w:rsidRPr="00795DCE">
        <w:t xml:space="preserve"> and research on customized em</w:t>
      </w:r>
      <w:r w:rsidR="005C06D0" w:rsidRPr="00795DCE">
        <w:t>ployment</w:t>
      </w:r>
      <w:r w:rsidR="006D236D" w:rsidRPr="00795DCE">
        <w:t xml:space="preserve"> </w:t>
      </w:r>
      <w:r w:rsidR="00357B39" w:rsidRPr="00795DCE">
        <w:t>and</w:t>
      </w:r>
      <w:r w:rsidRPr="00795DCE">
        <w:t xml:space="preserve"> telework.</w:t>
      </w:r>
      <w:r w:rsidRPr="00795DCE">
        <w:rPr>
          <w:rStyle w:val="EndnoteReference"/>
          <w:rFonts w:cs="Arial"/>
        </w:rPr>
        <w:endnoteReference w:id="139"/>
      </w:r>
      <w:r w:rsidRPr="00795DCE">
        <w:t xml:space="preserve"> In 2010, ODEP launched the</w:t>
      </w:r>
      <w:r w:rsidRPr="00423854">
        <w:t xml:space="preserve"> Disability Employment Initiative</w:t>
      </w:r>
      <w:r w:rsidR="001C5C2B">
        <w:t xml:space="preserve"> (DEI)</w:t>
      </w:r>
      <w:r w:rsidRPr="00423854">
        <w:t>,</w:t>
      </w:r>
      <w:r w:rsidR="001C5C2B">
        <w:t xml:space="preserve"> </w:t>
      </w:r>
      <w:r w:rsidR="00F370C7">
        <w:t>mentioned</w:t>
      </w:r>
      <w:r w:rsidR="00F370C7" w:rsidRPr="003232B9">
        <w:t xml:space="preserve"> </w:t>
      </w:r>
      <w:r w:rsidR="001C5C2B" w:rsidRPr="003232B9">
        <w:t xml:space="preserve">under the ETA </w:t>
      </w:r>
      <w:r w:rsidR="00F370C7">
        <w:t>discussed previously</w:t>
      </w:r>
      <w:r w:rsidR="001C5C2B" w:rsidRPr="003232B9">
        <w:t>,</w:t>
      </w:r>
      <w:r w:rsidR="00C9313D" w:rsidRPr="003232B9">
        <w:t xml:space="preserve"> </w:t>
      </w:r>
      <w:r w:rsidRPr="003232B9">
        <w:t>and piloted</w:t>
      </w:r>
      <w:r w:rsidRPr="00423854">
        <w:t xml:space="preserve"> </w:t>
      </w:r>
      <w:r w:rsidR="008441E0">
        <w:t>a</w:t>
      </w:r>
      <w:r w:rsidRPr="00423854">
        <w:t xml:space="preserve"> model of Project SEARCH</w:t>
      </w:r>
      <w:r w:rsidR="008441E0">
        <w:t xml:space="preserve"> </w:t>
      </w:r>
      <w:r w:rsidR="00772F82" w:rsidRPr="00772F82">
        <w:t>to help individuals with intellectual and developmental disabilities tr</w:t>
      </w:r>
      <w:r w:rsidR="00DE2E14">
        <w:t>ansition from school to work.</w:t>
      </w:r>
      <w:r w:rsidR="006D236D" w:rsidRPr="00423854">
        <w:rPr>
          <w:rStyle w:val="EndnoteReference"/>
          <w:rFonts w:cs="Arial"/>
        </w:rPr>
        <w:endnoteReference w:id="140"/>
      </w:r>
      <w:r w:rsidR="00C9313D">
        <w:t xml:space="preserve"> </w:t>
      </w:r>
      <w:r w:rsidR="00DE2E14">
        <w:t xml:space="preserve">This was </w:t>
      </w:r>
      <w:r w:rsidR="00205485">
        <w:t>followed in 2011 by the</w:t>
      </w:r>
      <w:r w:rsidR="00DE2E14">
        <w:t xml:space="preserve"> launch of the</w:t>
      </w:r>
      <w:r w:rsidR="00205485">
        <w:t xml:space="preserve"> </w:t>
      </w:r>
      <w:r w:rsidRPr="00423854">
        <w:t>Integrated Employment Initiative to promote competitive integrated employment for people with significant disabilities.</w:t>
      </w:r>
      <w:r w:rsidRPr="00423854">
        <w:rPr>
          <w:rStyle w:val="EndnoteReference"/>
          <w:rFonts w:cs="Arial"/>
        </w:rPr>
        <w:endnoteReference w:id="141"/>
      </w:r>
    </w:p>
    <w:p w14:paraId="2DC7E161" w14:textId="77777777" w:rsidR="00296DA5" w:rsidRDefault="00205485" w:rsidP="00A0214F">
      <w:pPr>
        <w:pStyle w:val="NCDBodyText"/>
      </w:pPr>
      <w:r>
        <w:t xml:space="preserve">ODEP funded </w:t>
      </w:r>
      <w:r w:rsidR="00357B39">
        <w:t>the</w:t>
      </w:r>
      <w:r w:rsidR="00DE2E14">
        <w:t xml:space="preserve"> Partnership on Employment and Accessible Technology</w:t>
      </w:r>
      <w:r w:rsidR="00357B39">
        <w:t xml:space="preserve"> </w:t>
      </w:r>
      <w:r w:rsidR="00DE2E14">
        <w:t xml:space="preserve">in 2012 (originally launched as the </w:t>
      </w:r>
      <w:r w:rsidR="00E521B0" w:rsidRPr="00423854">
        <w:t>Accessible Technology Action Center</w:t>
      </w:r>
      <w:r w:rsidR="00DE2E14">
        <w:t>)</w:t>
      </w:r>
      <w:r w:rsidR="003232B9">
        <w:t>.</w:t>
      </w:r>
      <w:r w:rsidR="00DE2E14" w:rsidRPr="006949A7">
        <w:rPr>
          <w:vertAlign w:val="superscript"/>
        </w:rPr>
        <w:endnoteReference w:id="142"/>
      </w:r>
      <w:r w:rsidR="00DE2E14" w:rsidRPr="006949A7">
        <w:t xml:space="preserve"> </w:t>
      </w:r>
      <w:r w:rsidR="00DE2E14">
        <w:t xml:space="preserve">ODEP </w:t>
      </w:r>
      <w:r w:rsidR="00DE2E14" w:rsidRPr="00423854">
        <w:t>also established the National Center on Leadership for the Employment and Advancement of People with Disabilities</w:t>
      </w:r>
      <w:r w:rsidR="00DE2E14">
        <w:t xml:space="preserve"> (LEAD)</w:t>
      </w:r>
      <w:r w:rsidR="00DE2E14" w:rsidRPr="00423854">
        <w:t xml:space="preserve">, and </w:t>
      </w:r>
      <w:r w:rsidR="00DE2E14">
        <w:t xml:space="preserve">funded </w:t>
      </w:r>
      <w:r w:rsidR="00DE2E14" w:rsidRPr="00423854">
        <w:t>the National Technical Assistance and Demonstration Center on Preparing Youth with Disabilities for Employment</w:t>
      </w:r>
      <w:r w:rsidR="00DE2E14">
        <w:t xml:space="preserve"> (NCWD/Youth)</w:t>
      </w:r>
      <w:r w:rsidR="00DE2E14" w:rsidRPr="00423854">
        <w:t>.</w:t>
      </w:r>
      <w:r w:rsidR="00DE2E14" w:rsidRPr="00423854">
        <w:rPr>
          <w:rStyle w:val="EndnoteReference"/>
          <w:rFonts w:cs="Arial"/>
        </w:rPr>
        <w:endnoteReference w:id="143"/>
      </w:r>
      <w:r w:rsidR="00DE2E14" w:rsidRPr="00423854">
        <w:t xml:space="preserve"> </w:t>
      </w:r>
      <w:r w:rsidR="00E521B0" w:rsidRPr="00423854">
        <w:t>In 2013, ODEP hosted national dialog</w:t>
      </w:r>
      <w:r w:rsidR="00FB45D7">
        <w:t>ue</w:t>
      </w:r>
      <w:r w:rsidR="00E521B0" w:rsidRPr="00423854">
        <w:t>s on employment, assistive technology, and youth in transition.</w:t>
      </w:r>
      <w:r w:rsidR="00E521B0" w:rsidRPr="00423854">
        <w:rPr>
          <w:rStyle w:val="EndnoteReference"/>
          <w:rFonts w:cs="Arial"/>
        </w:rPr>
        <w:endnoteReference w:id="144"/>
      </w:r>
    </w:p>
    <w:p w14:paraId="632C7A31" w14:textId="083587DB" w:rsidR="00296DA5" w:rsidRDefault="005C06D0" w:rsidP="00A0214F">
      <w:pPr>
        <w:pStyle w:val="NCDBodyText"/>
      </w:pPr>
      <w:r>
        <w:t>In 2014</w:t>
      </w:r>
      <w:r w:rsidR="00795DCE">
        <w:t>,</w:t>
      </w:r>
      <w:r w:rsidRPr="00423854">
        <w:t xml:space="preserve"> </w:t>
      </w:r>
      <w:r w:rsidR="00E521B0" w:rsidRPr="00423854">
        <w:t xml:space="preserve">ODEP launched the National Employer Policy, Research and Technical Assistance Center on the Employment of People </w:t>
      </w:r>
      <w:r w:rsidR="00E521B0" w:rsidRPr="003232B9">
        <w:t xml:space="preserve">with Disabilities, </w:t>
      </w:r>
      <w:r w:rsidR="00205485" w:rsidRPr="003232B9">
        <w:t xml:space="preserve">and </w:t>
      </w:r>
      <w:hyperlink r:id="rId16" w:history="1">
        <w:r w:rsidR="00E521B0" w:rsidRPr="00E579E2">
          <w:rPr>
            <w:rStyle w:val="Hyperlink"/>
          </w:rPr>
          <w:t>PEATworks.org</w:t>
        </w:r>
      </w:hyperlink>
      <w:r w:rsidR="00E521B0" w:rsidRPr="003232B9">
        <w:t>, a portal to help employers and the technology industry adopt accessible technology,</w:t>
      </w:r>
      <w:r w:rsidR="006D236D" w:rsidRPr="003232B9">
        <w:t xml:space="preserve"> </w:t>
      </w:r>
      <w:r w:rsidR="00E521B0" w:rsidRPr="005D66FE">
        <w:t>and e</w:t>
      </w:r>
      <w:r w:rsidR="00E521B0" w:rsidRPr="00423854">
        <w:t>xpanded the Workforce Recruitment Program (WRP) to private employers.</w:t>
      </w:r>
      <w:r w:rsidR="006D236D" w:rsidRPr="00423854">
        <w:rPr>
          <w:rStyle w:val="EndnoteReference"/>
          <w:rFonts w:cs="Arial"/>
        </w:rPr>
        <w:endnoteReference w:id="145"/>
      </w:r>
      <w:r w:rsidR="00E521B0" w:rsidRPr="00423854">
        <w:t xml:space="preserve"> In 2015, ODEP </w:t>
      </w:r>
      <w:r w:rsidR="00DE2E14">
        <w:t xml:space="preserve">rebranded and continued to fund </w:t>
      </w:r>
      <w:r w:rsidR="00E521B0" w:rsidRPr="00423854">
        <w:t>the Employer Assistance and Resource Network on Disability Inclusion (EARN) to help employers foster disability-inclusive workplaces</w:t>
      </w:r>
      <w:r w:rsidR="007D5059">
        <w:t>,</w:t>
      </w:r>
      <w:r w:rsidR="00E521B0" w:rsidRPr="00423854">
        <w:t xml:space="preserve"> and </w:t>
      </w:r>
      <w:r w:rsidR="00DE2E14">
        <w:t xml:space="preserve">provided funding to </w:t>
      </w:r>
      <w:r w:rsidR="00E521B0" w:rsidRPr="00423854">
        <w:t xml:space="preserve">the National Collaborative on Workforce and </w:t>
      </w:r>
      <w:r w:rsidR="00DE2E14">
        <w:t xml:space="preserve">Disability for Youth </w:t>
      </w:r>
      <w:r w:rsidR="00DE2E14" w:rsidRPr="00DE2E14">
        <w:t>to promote positive transition outcomes for youth with disabilities.</w:t>
      </w:r>
      <w:r w:rsidR="007D5059">
        <w:rPr>
          <w:rStyle w:val="EndnoteReference"/>
          <w:rFonts w:cs="Arial"/>
        </w:rPr>
        <w:endnoteReference w:id="146"/>
      </w:r>
      <w:r w:rsidR="007D5059">
        <w:t xml:space="preserve"> </w:t>
      </w:r>
      <w:r w:rsidR="00DE2E14">
        <w:t>In addition</w:t>
      </w:r>
      <w:r w:rsidR="005D66FE">
        <w:t>,</w:t>
      </w:r>
      <w:r w:rsidR="007D5059">
        <w:t xml:space="preserve"> </w:t>
      </w:r>
      <w:r w:rsidR="00DE2E14">
        <w:t xml:space="preserve">ODEP </w:t>
      </w:r>
      <w:r w:rsidR="00E521B0" w:rsidRPr="00423854">
        <w:t>launched the State Exchange on Employment and Disability (SEED)</w:t>
      </w:r>
      <w:r w:rsidR="00412A3B">
        <w:t xml:space="preserve"> in 2015</w:t>
      </w:r>
      <w:r w:rsidR="00E521B0" w:rsidRPr="00423854">
        <w:t>,</w:t>
      </w:r>
      <w:r w:rsidR="006D236D">
        <w:t xml:space="preserve"> </w:t>
      </w:r>
      <w:r w:rsidR="00E521B0" w:rsidRPr="00423854">
        <w:t>and led the Advisory Committee on Increasing Competitive Integrated Employment for Individuals with Disabilities.</w:t>
      </w:r>
      <w:r w:rsidR="006D236D" w:rsidRPr="00423854">
        <w:rPr>
          <w:rStyle w:val="EndnoteReference"/>
          <w:rFonts w:cs="Arial"/>
        </w:rPr>
        <w:endnoteReference w:id="147"/>
      </w:r>
    </w:p>
    <w:p w14:paraId="2C378B4F" w14:textId="77777777" w:rsidR="00296DA5" w:rsidRDefault="00E521B0" w:rsidP="00A0214F">
      <w:pPr>
        <w:pStyle w:val="NCDBodyText"/>
      </w:pPr>
      <w:r w:rsidRPr="00423854">
        <w:t>Throughout</w:t>
      </w:r>
      <w:r w:rsidR="00BA7CDD">
        <w:t xml:space="preserve"> this period</w:t>
      </w:r>
      <w:r w:rsidRPr="00423854">
        <w:t>, ODEP supported the U.S. Business Leadership Network</w:t>
      </w:r>
      <w:r w:rsidR="00A60054">
        <w:t>,</w:t>
      </w:r>
      <w:r w:rsidRPr="00423854">
        <w:t xml:space="preserve"> providing business-to-business support for </w:t>
      </w:r>
      <w:r w:rsidR="00357B39">
        <w:t xml:space="preserve">the </w:t>
      </w:r>
      <w:r w:rsidRPr="00423854">
        <w:t xml:space="preserve">employment of people with disabilities, </w:t>
      </w:r>
      <w:r w:rsidRPr="00423854">
        <w:lastRenderedPageBreak/>
        <w:t xml:space="preserve">worked with employers to develop alliances and replicable model programs to employ people with disabilities, </w:t>
      </w:r>
      <w:r w:rsidR="00357B39">
        <w:t xml:space="preserve">and </w:t>
      </w:r>
      <w:r w:rsidRPr="00423854">
        <w:t>conducted research on assistive workplace technology</w:t>
      </w:r>
      <w:r w:rsidR="0021255D">
        <w:t>.</w:t>
      </w:r>
      <w:r w:rsidR="007D5059" w:rsidRPr="007D5059">
        <w:t xml:space="preserve"> </w:t>
      </w:r>
      <w:r w:rsidR="007D5059" w:rsidRPr="003232B9">
        <w:t xml:space="preserve">ODEP continues to fund </w:t>
      </w:r>
      <w:r w:rsidR="00BE38C7" w:rsidRPr="003232B9">
        <w:t>JAN</w:t>
      </w:r>
      <w:r w:rsidR="007D5059" w:rsidRPr="003232B9">
        <w:t xml:space="preserve"> and EARN to provide practical technical assistance to employers to help them employ workers with disabilities, and the LEAD Center to promote systems-level change to increase disability employment.</w:t>
      </w:r>
      <w:r w:rsidR="007D5059" w:rsidRPr="003232B9">
        <w:rPr>
          <w:vertAlign w:val="superscript"/>
        </w:rPr>
        <w:endnoteReference w:id="148"/>
      </w:r>
    </w:p>
    <w:p w14:paraId="16386839" w14:textId="3C588D75" w:rsidR="001849F2" w:rsidRPr="00A0214F" w:rsidRDefault="001849F2" w:rsidP="00A0214F">
      <w:pPr>
        <w:pStyle w:val="Heading3"/>
      </w:pPr>
      <w:bookmarkStart w:id="46" w:name="_Toc526182095"/>
      <w:r w:rsidRPr="00A0214F">
        <w:t>Proactive and Reactive Strategies</w:t>
      </w:r>
      <w:bookmarkEnd w:id="46"/>
    </w:p>
    <w:p w14:paraId="0AF8F85F" w14:textId="77777777" w:rsidR="00296DA5" w:rsidRDefault="001849F2" w:rsidP="00A0214F">
      <w:pPr>
        <w:pStyle w:val="NCDBodyText"/>
      </w:pPr>
      <w:r w:rsidRPr="00423854">
        <w:t>ODEP</w:t>
      </w:r>
      <w:r w:rsidR="006474CA">
        <w:t>’</w:t>
      </w:r>
      <w:r w:rsidRPr="00423854">
        <w:t>s stra</w:t>
      </w:r>
      <w:r>
        <w:t xml:space="preserve">tegies are primarily proactive, and its </w:t>
      </w:r>
      <w:r w:rsidRPr="00423854">
        <w:t>most proact</w:t>
      </w:r>
      <w:r>
        <w:t>ive effort is its research work. ODEP</w:t>
      </w:r>
      <w:r w:rsidR="006474CA">
        <w:t>’</w:t>
      </w:r>
      <w:r w:rsidR="00711ED5">
        <w:t>s</w:t>
      </w:r>
      <w:r>
        <w:t xml:space="preserve"> research</w:t>
      </w:r>
      <w:r w:rsidRPr="00423854">
        <w:t xml:space="preserve"> tests and develops policies to improve access to training, transition services, and employment support and accommodations for </w:t>
      </w:r>
      <w:r w:rsidR="00F13B4D">
        <w:t>job seek</w:t>
      </w:r>
      <w:r w:rsidRPr="00423854">
        <w:t>ers and workers with disabilities to ensure they have the skills businesses demand. ODEP</w:t>
      </w:r>
      <w:r w:rsidR="006474CA">
        <w:t>’</w:t>
      </w:r>
      <w:r w:rsidRPr="00423854">
        <w:t xml:space="preserve">s research </w:t>
      </w:r>
      <w:r>
        <w:t xml:space="preserve">also </w:t>
      </w:r>
      <w:r w:rsidRPr="00423854">
        <w:t>identifies and validates promising practices to help shape employment services for people with disabilities.</w:t>
      </w:r>
      <w:r w:rsidRPr="00423854">
        <w:rPr>
          <w:rStyle w:val="EndnoteReference"/>
          <w:rFonts w:cs="Arial"/>
        </w:rPr>
        <w:endnoteReference w:id="149"/>
      </w:r>
    </w:p>
    <w:p w14:paraId="65C68093" w14:textId="77777777" w:rsidR="00296DA5" w:rsidRDefault="001849F2" w:rsidP="00A0214F">
      <w:pPr>
        <w:pStyle w:val="NCDBodyText"/>
      </w:pPr>
      <w:r w:rsidRPr="00423854">
        <w:t xml:space="preserve">Current ODEP research projects focus on youth </w:t>
      </w:r>
      <w:r w:rsidR="009E4C4C">
        <w:t>Supplemental</w:t>
      </w:r>
      <w:r w:rsidR="007D5059">
        <w:t xml:space="preserve"> Security Income recipients </w:t>
      </w:r>
      <w:r w:rsidRPr="00423854">
        <w:t xml:space="preserve">transitioning to employment, community college interventions for youth with disabilities, </w:t>
      </w:r>
      <w:r>
        <w:t xml:space="preserve">and </w:t>
      </w:r>
      <w:r w:rsidRPr="00423854">
        <w:t xml:space="preserve">employer policies on disability employment and return-to-work strategies. ODEP has sponsored other research projects to evaluate </w:t>
      </w:r>
      <w:r w:rsidR="00357B39">
        <w:t>AJ</w:t>
      </w:r>
      <w:r w:rsidR="00711ED5">
        <w:t>C</w:t>
      </w:r>
      <w:r w:rsidRPr="00423854">
        <w:t xml:space="preserve"> accessibility, assess employer perspectives on employment of people with disabilities, increase knowledge of customized e</w:t>
      </w:r>
      <w:r w:rsidR="005D66FE">
        <w:t>mployment, explore funding for P</w:t>
      </w:r>
      <w:r w:rsidRPr="00423854">
        <w:t xml:space="preserve">ersonal </w:t>
      </w:r>
      <w:r w:rsidR="005D66FE">
        <w:t>A</w:t>
      </w:r>
      <w:r w:rsidRPr="00423854">
        <w:t>s</w:t>
      </w:r>
      <w:r w:rsidR="005D66FE">
        <w:t>s</w:t>
      </w:r>
      <w:r w:rsidRPr="00423854">
        <w:t xml:space="preserve">istance </w:t>
      </w:r>
      <w:r w:rsidR="005D66FE">
        <w:t>S</w:t>
      </w:r>
      <w:r w:rsidRPr="00423854">
        <w:t>ervices at work, evaluate the effectiveness of Individualized Learning Plans, examine the effects of corporate wellness programs for people with disabilities, and analyze financial education for youth with disabilities.</w:t>
      </w:r>
    </w:p>
    <w:p w14:paraId="1CD812CA" w14:textId="77777777" w:rsidR="00296DA5" w:rsidRDefault="001849F2" w:rsidP="00A0214F">
      <w:pPr>
        <w:pStyle w:val="NCDBodyText"/>
      </w:pPr>
      <w:r w:rsidRPr="00423854">
        <w:t xml:space="preserve">ODEP </w:t>
      </w:r>
      <w:r w:rsidR="00757531">
        <w:t xml:space="preserve">now </w:t>
      </w:r>
      <w:r w:rsidRPr="00423854">
        <w:t>plans to shift</w:t>
      </w:r>
      <w:r w:rsidR="00357B39">
        <w:t xml:space="preserve"> its</w:t>
      </w:r>
      <w:r w:rsidRPr="00423854">
        <w:t xml:space="preserve"> focus to return-to-work strategies.</w:t>
      </w:r>
      <w:r w:rsidR="00362BAA">
        <w:t xml:space="preserve"> </w:t>
      </w:r>
      <w:r w:rsidR="007F041B">
        <w:t>Previously</w:t>
      </w:r>
      <w:r w:rsidR="00357B39">
        <w:t>, ODEP has focused on</w:t>
      </w:r>
      <w:r w:rsidRPr="00423854">
        <w:t xml:space="preserve"> </w:t>
      </w:r>
      <w:r w:rsidR="00357B39">
        <w:t xml:space="preserve">employment of people with </w:t>
      </w:r>
      <w:r w:rsidRPr="00423854">
        <w:t>long</w:t>
      </w:r>
      <w:r w:rsidR="00F13B4D">
        <w:t>-</w:t>
      </w:r>
      <w:r w:rsidRPr="00423854">
        <w:t>standing, often visible disabilities</w:t>
      </w:r>
      <w:r w:rsidR="00357B39">
        <w:t xml:space="preserve"> who mainly consider themselves as members of the disability community</w:t>
      </w:r>
      <w:r w:rsidR="001A6906">
        <w:t>. P</w:t>
      </w:r>
      <w:r w:rsidRPr="00423854">
        <w:t xml:space="preserve">eople who develop </w:t>
      </w:r>
      <w:r w:rsidR="00357B39">
        <w:t xml:space="preserve">a </w:t>
      </w:r>
      <w:r w:rsidRPr="00423854">
        <w:t>disabilit</w:t>
      </w:r>
      <w:r w:rsidR="00357B39">
        <w:t>y</w:t>
      </w:r>
      <w:r w:rsidRPr="00423854">
        <w:t xml:space="preserve"> or health condition as they age frequently do not view themselves as having</w:t>
      </w:r>
      <w:r w:rsidR="00357B39">
        <w:t xml:space="preserve"> a</w:t>
      </w:r>
      <w:r w:rsidRPr="00423854">
        <w:t xml:space="preserve"> disabilit</w:t>
      </w:r>
      <w:r w:rsidR="00357B39">
        <w:t xml:space="preserve">y </w:t>
      </w:r>
      <w:r w:rsidRPr="00423854">
        <w:t xml:space="preserve">or facing discrimination based on disability. </w:t>
      </w:r>
      <w:r w:rsidR="00370F6C">
        <w:t>E</w:t>
      </w:r>
      <w:r w:rsidRPr="00423854">
        <w:t xml:space="preserve">mployment strategies </w:t>
      </w:r>
      <w:r w:rsidR="00370F6C">
        <w:t xml:space="preserve">aimed at people who develop a disability later in life </w:t>
      </w:r>
      <w:r w:rsidRPr="00423854">
        <w:t>tend</w:t>
      </w:r>
      <w:r w:rsidR="00370F6C">
        <w:t xml:space="preserve"> to depend less on </w:t>
      </w:r>
      <w:r w:rsidRPr="00423854">
        <w:t>disa</w:t>
      </w:r>
      <w:r w:rsidR="00370F6C">
        <w:t xml:space="preserve">bility rights laws </w:t>
      </w:r>
      <w:r w:rsidR="00A57BCF">
        <w:t>that</w:t>
      </w:r>
      <w:r w:rsidR="00370F6C">
        <w:t xml:space="preserve"> address</w:t>
      </w:r>
      <w:r w:rsidRPr="00423854">
        <w:t xml:space="preserve"> </w:t>
      </w:r>
      <w:r w:rsidR="00370F6C">
        <w:t xml:space="preserve">employer </w:t>
      </w:r>
      <w:r w:rsidRPr="00423854">
        <w:t>bias, stigma</w:t>
      </w:r>
      <w:r w:rsidR="00370F6C">
        <w:t>,</w:t>
      </w:r>
      <w:r w:rsidRPr="00423854">
        <w:t xml:space="preserve"> and discriminatory practices</w:t>
      </w:r>
      <w:r w:rsidR="00711ED5">
        <w:t>,</w:t>
      </w:r>
      <w:r w:rsidRPr="00423854">
        <w:t xml:space="preserve"> and more on treatm</w:t>
      </w:r>
      <w:r w:rsidR="00370F6C">
        <w:t>ent, retraining, and finding jobs</w:t>
      </w:r>
      <w:r w:rsidRPr="00423854">
        <w:t>. Specifically,</w:t>
      </w:r>
      <w:r>
        <w:t xml:space="preserve"> the </w:t>
      </w:r>
      <w:r w:rsidR="00F13B4D">
        <w:t>ODEP-</w:t>
      </w:r>
      <w:r>
        <w:t>funded</w:t>
      </w:r>
      <w:r w:rsidRPr="00423854">
        <w:t xml:space="preserve"> </w:t>
      </w:r>
      <w:r w:rsidR="00AF5BF1" w:rsidRPr="00AF5BF1">
        <w:t xml:space="preserve">Retaining </w:t>
      </w:r>
      <w:r w:rsidR="00AF5BF1" w:rsidRPr="00AF5BF1">
        <w:lastRenderedPageBreak/>
        <w:t xml:space="preserve">Employment and Talent after Injury/Illness Network </w:t>
      </w:r>
      <w:r w:rsidR="00AF5BF1">
        <w:t>(</w:t>
      </w:r>
      <w:r w:rsidRPr="00423854">
        <w:t>RETAIN</w:t>
      </w:r>
      <w:r w:rsidR="00AF5BF1">
        <w:t>)</w:t>
      </w:r>
      <w:r w:rsidRPr="00423854">
        <w:t xml:space="preserve"> focuses on </w:t>
      </w:r>
      <w:r w:rsidR="006474CA">
        <w:t>“</w:t>
      </w:r>
      <w:r w:rsidRPr="00423854">
        <w:t>a strategy to return recently ill, injured, or disabled employees to work</w:t>
      </w:r>
      <w:r w:rsidR="006474CA">
        <w:t>”</w:t>
      </w:r>
      <w:r w:rsidRPr="00423854">
        <w:t xml:space="preserve"> by implementing early interventions for workers who </w:t>
      </w:r>
      <w:r w:rsidR="006474CA">
        <w:t>“</w:t>
      </w:r>
      <w:r w:rsidRPr="00423854">
        <w:t xml:space="preserve">recently began experiencing difficulties at </w:t>
      </w:r>
      <w:r w:rsidR="00370F6C">
        <w:t>work due to injury or illness.</w:t>
      </w:r>
      <w:r w:rsidR="006474CA">
        <w:t>”</w:t>
      </w:r>
      <w:r w:rsidR="00370F6C" w:rsidRPr="00423854">
        <w:rPr>
          <w:rStyle w:val="EndnoteReference"/>
          <w:rFonts w:cs="Arial"/>
        </w:rPr>
        <w:endnoteReference w:id="150"/>
      </w:r>
    </w:p>
    <w:p w14:paraId="74059E08" w14:textId="77777777" w:rsidR="00296DA5" w:rsidRDefault="001849F2" w:rsidP="00A0214F">
      <w:pPr>
        <w:pStyle w:val="NCDBodyText"/>
        <w:rPr>
          <w:rFonts w:eastAsia="Times New Roman"/>
        </w:rPr>
      </w:pPr>
      <w:r>
        <w:t xml:space="preserve">Serving people who acquire a disability or health condition during their working years and are at risk of exiting the </w:t>
      </w:r>
      <w:r w:rsidR="00F13B4D">
        <w:t>workforce</w:t>
      </w:r>
      <w:r>
        <w:t xml:space="preserve"> is impor</w:t>
      </w:r>
      <w:r w:rsidR="001A6906">
        <w:t xml:space="preserve">tant. People </w:t>
      </w:r>
      <w:r>
        <w:t>born with a disability or develop a disability as a youth</w:t>
      </w:r>
      <w:r w:rsidR="001A6906">
        <w:t>, however,</w:t>
      </w:r>
      <w:r>
        <w:t xml:space="preserve"> have long been denied entry to the workforce and are not traditionally serv</w:t>
      </w:r>
      <w:r w:rsidR="00711ED5">
        <w:t>ed</w:t>
      </w:r>
      <w:r>
        <w:t xml:space="preserve"> by programs designed for people who seek to return to work after acquiring a disability. Serving these populations is of fundamental importance to the effectiveness of the ADA, which was intended to address the discrimination that has traditionally kept </w:t>
      </w:r>
      <w:r w:rsidRPr="003232B9">
        <w:t>people with disabili</w:t>
      </w:r>
      <w:r w:rsidR="00757531" w:rsidRPr="003232B9">
        <w:t>t</w:t>
      </w:r>
      <w:r w:rsidR="00711ED5" w:rsidRPr="003232B9">
        <w:t>ies</w:t>
      </w:r>
      <w:r w:rsidR="00757531" w:rsidRPr="003232B9">
        <w:t xml:space="preserve"> from entering the workforce. </w:t>
      </w:r>
      <w:r w:rsidR="00584DE5" w:rsidRPr="003232B9">
        <w:rPr>
          <w:b/>
        </w:rPr>
        <w:t>NCD recommends ODEP continue its focus on strategies t</w:t>
      </w:r>
      <w:r w:rsidR="00AA438F" w:rsidRPr="003232B9">
        <w:rPr>
          <w:b/>
        </w:rPr>
        <w:t>hat support changing workplaces</w:t>
      </w:r>
      <w:r w:rsidR="005D66FE" w:rsidRPr="003232B9">
        <w:rPr>
          <w:b/>
        </w:rPr>
        <w:t xml:space="preserve"> to allow people with disabilities</w:t>
      </w:r>
      <w:r w:rsidR="00AA438F" w:rsidRPr="003232B9">
        <w:rPr>
          <w:b/>
        </w:rPr>
        <w:t xml:space="preserve">, including those with </w:t>
      </w:r>
      <w:r w:rsidR="00584DE5" w:rsidRPr="003232B9">
        <w:rPr>
          <w:b/>
        </w:rPr>
        <w:t>significant l</w:t>
      </w:r>
      <w:r w:rsidR="00AA438F" w:rsidRPr="003232B9">
        <w:rPr>
          <w:b/>
        </w:rPr>
        <w:t xml:space="preserve">ong-term disabilities to enter or remain in the </w:t>
      </w:r>
      <w:r w:rsidR="00584DE5" w:rsidRPr="003232B9">
        <w:rPr>
          <w:b/>
        </w:rPr>
        <w:t xml:space="preserve">workforce, </w:t>
      </w:r>
      <w:r w:rsidR="00AA438F" w:rsidRPr="003232B9">
        <w:rPr>
          <w:b/>
        </w:rPr>
        <w:t>which includes the</w:t>
      </w:r>
      <w:r w:rsidR="00584DE5" w:rsidRPr="003232B9">
        <w:rPr>
          <w:b/>
        </w:rPr>
        <w:t xml:space="preserve"> improvement of return-to-work/stay-at-work programs.</w:t>
      </w:r>
    </w:p>
    <w:p w14:paraId="1FC8B1A1" w14:textId="28558615" w:rsidR="00E521B0" w:rsidRPr="00A0214F" w:rsidRDefault="00E521B0" w:rsidP="00A0214F">
      <w:pPr>
        <w:pStyle w:val="Heading3"/>
      </w:pPr>
      <w:bookmarkStart w:id="47" w:name="_Toc526182096"/>
      <w:r w:rsidRPr="00A0214F">
        <w:t>Interagency Collaboration and Coordination</w:t>
      </w:r>
      <w:bookmarkEnd w:id="47"/>
    </w:p>
    <w:p w14:paraId="273A229E" w14:textId="77777777" w:rsidR="00296DA5" w:rsidRDefault="00E521B0" w:rsidP="00A0214F">
      <w:pPr>
        <w:pStyle w:val="NCDBodyText"/>
      </w:pPr>
      <w:r w:rsidRPr="00423854">
        <w:t xml:space="preserve">ODEP </w:t>
      </w:r>
      <w:r w:rsidR="00205485">
        <w:t>plays an</w:t>
      </w:r>
      <w:r w:rsidRPr="00423854">
        <w:t xml:space="preserve"> edu</w:t>
      </w:r>
      <w:r w:rsidR="00205485">
        <w:t xml:space="preserve">cational and advisory role for </w:t>
      </w:r>
      <w:r w:rsidR="00BA7CDD">
        <w:t xml:space="preserve">federal </w:t>
      </w:r>
      <w:r w:rsidRPr="00423854">
        <w:t>regula</w:t>
      </w:r>
      <w:r w:rsidR="00205485">
        <w:t>tory and enforcement agencies by informing</w:t>
      </w:r>
      <w:r w:rsidRPr="00423854">
        <w:t xml:space="preserve"> </w:t>
      </w:r>
      <w:r w:rsidR="00874555">
        <w:t>efforts</w:t>
      </w:r>
      <w:r w:rsidR="00205485">
        <w:t xml:space="preserve"> </w:t>
      </w:r>
      <w:r w:rsidRPr="00423854">
        <w:t xml:space="preserve">and the solutions </w:t>
      </w:r>
      <w:r w:rsidR="00370F6C">
        <w:t xml:space="preserve">these agencies </w:t>
      </w:r>
      <w:r w:rsidRPr="00423854">
        <w:t>incorporate into resolution agreements, regulations, and guidance</w:t>
      </w:r>
      <w:r w:rsidR="00BA7CDD">
        <w:t xml:space="preserve"> on the employment of people with disabilities</w:t>
      </w:r>
      <w:r w:rsidRPr="00423854">
        <w:t>. ODEP works to increase employment opportunities for people with disabilities by collaborating with agencies within</w:t>
      </w:r>
      <w:r w:rsidRPr="00423854">
        <w:rPr>
          <w:rStyle w:val="EndnoteReference"/>
          <w:rFonts w:cs="Arial"/>
        </w:rPr>
        <w:endnoteReference w:id="151"/>
      </w:r>
      <w:r w:rsidR="00874555">
        <w:t xml:space="preserve"> and outside DOL.</w:t>
      </w:r>
      <w:r w:rsidRPr="00423854">
        <w:rPr>
          <w:rStyle w:val="EndnoteReference"/>
          <w:rFonts w:cs="Arial"/>
        </w:rPr>
        <w:endnoteReference w:id="152"/>
      </w:r>
    </w:p>
    <w:p w14:paraId="7754E7A7" w14:textId="77777777" w:rsidR="00296DA5" w:rsidRDefault="00E521B0" w:rsidP="00A0214F">
      <w:pPr>
        <w:pStyle w:val="NCDBodyText"/>
      </w:pPr>
      <w:r w:rsidRPr="00423854">
        <w:t>ODEP</w:t>
      </w:r>
      <w:r w:rsidR="006474CA">
        <w:t>’</w:t>
      </w:r>
      <w:r w:rsidRPr="00423854">
        <w:t>s greatest impact occurs</w:t>
      </w:r>
      <w:r w:rsidR="002D27D8">
        <w:t xml:space="preserve"> </w:t>
      </w:r>
      <w:r w:rsidRPr="00423854">
        <w:t>when it infuses disability principles and practices into the programs of other federal agency progr</w:t>
      </w:r>
      <w:r w:rsidR="00370F6C">
        <w:t>ams. ODEP</w:t>
      </w:r>
      <w:r w:rsidRPr="00423854">
        <w:t xml:space="preserve"> provided </w:t>
      </w:r>
      <w:r w:rsidR="00205485">
        <w:t xml:space="preserve">the foundations for WIOA and </w:t>
      </w:r>
      <w:r w:rsidR="00370F6C">
        <w:t>the i</w:t>
      </w:r>
      <w:r w:rsidR="00205485">
        <w:t>mplementing regulations</w:t>
      </w:r>
      <w:r w:rsidR="000D31E9">
        <w:t xml:space="preserve"> and</w:t>
      </w:r>
      <w:r w:rsidR="00F13B4D">
        <w:t xml:space="preserve"> </w:t>
      </w:r>
      <w:r w:rsidR="00205485">
        <w:t>has given a</w:t>
      </w:r>
      <w:r w:rsidRPr="00423854">
        <w:t xml:space="preserve"> road</w:t>
      </w:r>
      <w:r w:rsidR="00205485">
        <w:t xml:space="preserve">map for the transformation of state </w:t>
      </w:r>
      <w:r w:rsidR="00D55A28">
        <w:t xml:space="preserve">workforce development </w:t>
      </w:r>
      <w:r w:rsidR="00B478BA">
        <w:t xml:space="preserve">systems. </w:t>
      </w:r>
      <w:r w:rsidR="002D27D8">
        <w:t>Because</w:t>
      </w:r>
      <w:r w:rsidRPr="00423854">
        <w:t xml:space="preserve"> ODEP</w:t>
      </w:r>
      <w:r w:rsidR="006474CA">
        <w:t>’</w:t>
      </w:r>
      <w:r w:rsidRPr="00423854">
        <w:t>s expertise and responsi</w:t>
      </w:r>
      <w:r w:rsidR="00217FF8">
        <w:t>bility is not limited to a single</w:t>
      </w:r>
      <w:r w:rsidRPr="00423854">
        <w:t xml:space="preserve"> disability r</w:t>
      </w:r>
      <w:r w:rsidR="00217FF8">
        <w:t>ights law or program, it assists</w:t>
      </w:r>
      <w:r w:rsidRPr="00423854">
        <w:t xml:space="preserve"> enforcement agencies </w:t>
      </w:r>
      <w:r w:rsidR="00217FF8">
        <w:t xml:space="preserve">understand the </w:t>
      </w:r>
      <w:r w:rsidRPr="00423854">
        <w:t>overlapping laws, policies, and practices in the disability area</w:t>
      </w:r>
      <w:r w:rsidR="00217FF8">
        <w:t xml:space="preserve">. </w:t>
      </w:r>
      <w:r w:rsidRPr="00423854">
        <w:t xml:space="preserve">Such cross-program insight can be particularly helpful to policymaking and enforcement agencies </w:t>
      </w:r>
      <w:r w:rsidR="00217FF8">
        <w:t xml:space="preserve">in the recognition of </w:t>
      </w:r>
      <w:r w:rsidRPr="00423854">
        <w:t xml:space="preserve">gaps </w:t>
      </w:r>
      <w:r w:rsidR="00217FF8">
        <w:t xml:space="preserve">and </w:t>
      </w:r>
      <w:r w:rsidR="00370F6C">
        <w:t xml:space="preserve">to avoid re-inventing the </w:t>
      </w:r>
      <w:r w:rsidR="00370F6C">
        <w:lastRenderedPageBreak/>
        <w:t>wheel.</w:t>
      </w:r>
      <w:r w:rsidR="002D27D8" w:rsidRPr="002D27D8">
        <w:t xml:space="preserve"> </w:t>
      </w:r>
      <w:r w:rsidR="002D27D8">
        <w:t>S</w:t>
      </w:r>
      <w:r w:rsidR="002D27D8" w:rsidRPr="00244B67">
        <w:t>ome of ODEP</w:t>
      </w:r>
      <w:r w:rsidR="006474CA">
        <w:t>’</w:t>
      </w:r>
      <w:r w:rsidR="002D27D8" w:rsidRPr="00244B67">
        <w:t>s greatest impact is on programs overs</w:t>
      </w:r>
      <w:r w:rsidR="002D27D8">
        <w:t>een, funded, or operated by othe</w:t>
      </w:r>
      <w:r w:rsidR="002D27D8" w:rsidRPr="00244B67">
        <w:t>r federal or state agencies.</w:t>
      </w:r>
    </w:p>
    <w:p w14:paraId="51FAB917" w14:textId="77777777" w:rsidR="00296DA5" w:rsidRDefault="00217FF8" w:rsidP="00A0214F">
      <w:pPr>
        <w:pStyle w:val="NCDBodyText"/>
      </w:pPr>
      <w:r>
        <w:t xml:space="preserve">ODEP has limited official authority, so </w:t>
      </w:r>
      <w:r w:rsidR="00A573F4">
        <w:t xml:space="preserve">it </w:t>
      </w:r>
      <w:r>
        <w:t xml:space="preserve">must obtain the cooperation of other federal agencies and interested </w:t>
      </w:r>
      <w:r w:rsidR="00370F6C">
        <w:t xml:space="preserve">partners in </w:t>
      </w:r>
      <w:r>
        <w:t>order to infuse its tool</w:t>
      </w:r>
      <w:r w:rsidR="00370F6C">
        <w:t>s</w:t>
      </w:r>
      <w:r>
        <w:t xml:space="preserve"> and insights into programs controlled by others. ODEP </w:t>
      </w:r>
      <w:r w:rsidR="002D27D8">
        <w:t xml:space="preserve">currently relies on </w:t>
      </w:r>
      <w:r>
        <w:t xml:space="preserve">informal </w:t>
      </w:r>
      <w:r w:rsidRPr="00423854">
        <w:t>means to establish relatio</w:t>
      </w:r>
      <w:r>
        <w:t xml:space="preserve">nships to gain that cooperation. </w:t>
      </w:r>
      <w:r w:rsidRPr="00217FF8">
        <w:rPr>
          <w:b/>
        </w:rPr>
        <w:t>NCD recommends that ODEP create and oversee a working group of federal agencies to infuse promising practices into all federal employment programs in order to increase disability employment.</w:t>
      </w:r>
      <w:r w:rsidRPr="008C340C">
        <w:rPr>
          <w:rStyle w:val="EndnoteReference"/>
          <w:rFonts w:cs="Arial"/>
        </w:rPr>
        <w:endnoteReference w:id="153"/>
      </w:r>
    </w:p>
    <w:p w14:paraId="63989A35" w14:textId="0F47D673" w:rsidR="001849F2" w:rsidRPr="00A0214F" w:rsidRDefault="00C54638" w:rsidP="00A0214F">
      <w:pPr>
        <w:pStyle w:val="NCDBodyText"/>
        <w:rPr>
          <w:b/>
        </w:rPr>
      </w:pPr>
      <w:r w:rsidRPr="00A0214F">
        <w:rPr>
          <w:b/>
        </w:rPr>
        <w:t xml:space="preserve">NCD recommends that Congress and the President require federal agencies responsible for oversight of federal employment programs </w:t>
      </w:r>
      <w:r w:rsidR="002E1766" w:rsidRPr="00A0214F">
        <w:rPr>
          <w:b/>
        </w:rPr>
        <w:t xml:space="preserve">to </w:t>
      </w:r>
      <w:r w:rsidRPr="00A0214F">
        <w:rPr>
          <w:b/>
        </w:rPr>
        <w:t>consult with ODEP to incorporate promising disab</w:t>
      </w:r>
      <w:r w:rsidR="00370F6C" w:rsidRPr="00A0214F">
        <w:rPr>
          <w:b/>
        </w:rPr>
        <w:t>ility practices and</w:t>
      </w:r>
      <w:r w:rsidR="00FE26ED" w:rsidRPr="00A0214F">
        <w:rPr>
          <w:b/>
        </w:rPr>
        <w:t>,</w:t>
      </w:r>
      <w:r w:rsidR="00370F6C" w:rsidRPr="00A0214F">
        <w:rPr>
          <w:b/>
        </w:rPr>
        <w:t xml:space="preserve"> by doing so</w:t>
      </w:r>
      <w:r w:rsidR="00FE26ED" w:rsidRPr="00A0214F">
        <w:rPr>
          <w:b/>
        </w:rPr>
        <w:t>,</w:t>
      </w:r>
      <w:r w:rsidRPr="00A0214F">
        <w:rPr>
          <w:b/>
        </w:rPr>
        <w:t xml:space="preserve"> break down silos that exist between federal agencies.</w:t>
      </w:r>
    </w:p>
    <w:p w14:paraId="7060CE66" w14:textId="0BE263C0" w:rsidR="001849F2" w:rsidRPr="00A0214F" w:rsidRDefault="001849F2" w:rsidP="00A0214F">
      <w:pPr>
        <w:pStyle w:val="Heading3"/>
      </w:pPr>
      <w:bookmarkStart w:id="48" w:name="_Toc526182097"/>
      <w:r w:rsidRPr="00A0214F">
        <w:t xml:space="preserve">Communication with Complainants </w:t>
      </w:r>
      <w:r w:rsidR="00874555" w:rsidRPr="00A0214F">
        <w:t>and</w:t>
      </w:r>
      <w:r w:rsidRPr="00A0214F">
        <w:t xml:space="preserve"> the Community</w:t>
      </w:r>
      <w:bookmarkEnd w:id="48"/>
    </w:p>
    <w:p w14:paraId="130C4306" w14:textId="77777777" w:rsidR="00396A3D" w:rsidRDefault="001849F2" w:rsidP="00A0214F">
      <w:pPr>
        <w:pStyle w:val="NCDBodyText"/>
      </w:pPr>
      <w:r>
        <w:t xml:space="preserve">ODEP </w:t>
      </w:r>
      <w:r w:rsidRPr="00423854">
        <w:t>manages the Campaign for Disability Employment, a nationwide media campaign to increase disability employment by promoting positive perceptions and high expectations of people with disabilities. National Disability Employment Awareness Month (NDEAM) each October celebrates the contributions of workers with disabilities and educates about the value of a diverse workforce. To support NDEAM activities, ODEP provides resources, including an online toolkit and posters. In 2017,</w:t>
      </w:r>
      <w:r w:rsidR="0057251B">
        <w:t xml:space="preserve"> according to ODEP,</w:t>
      </w:r>
      <w:r w:rsidRPr="00423854">
        <w:t xml:space="preserve"> </w:t>
      </w:r>
      <w:r w:rsidR="003C6E30">
        <w:t>more than</w:t>
      </w:r>
      <w:r w:rsidRPr="00423854">
        <w:t xml:space="preserve"> 16,000 NDEAM posters in English and Spanish were distributed and </w:t>
      </w:r>
      <w:r w:rsidR="003C6E30">
        <w:t>more than</w:t>
      </w:r>
      <w:r w:rsidRPr="00423854">
        <w:t xml:space="preserve"> 40,000 people visited </w:t>
      </w:r>
      <w:r w:rsidR="00370F6C">
        <w:t xml:space="preserve">the </w:t>
      </w:r>
      <w:r w:rsidRPr="00423854">
        <w:t>NDEAM website.</w:t>
      </w:r>
    </w:p>
    <w:p w14:paraId="5D83ECA2" w14:textId="5E5A9B4A" w:rsidR="00296DA5" w:rsidRDefault="001849F2" w:rsidP="00A0214F">
      <w:pPr>
        <w:pStyle w:val="NCDBodyText"/>
      </w:pPr>
      <w:r w:rsidRPr="00423854">
        <w:t xml:space="preserve">While ODEP considers its customer base to be the general public, it often tailors </w:t>
      </w:r>
      <w:r>
        <w:t>messa</w:t>
      </w:r>
      <w:r w:rsidRPr="00423854">
        <w:t>ges and information to specific audience</w:t>
      </w:r>
      <w:r w:rsidR="00370F6C">
        <w:t>s</w:t>
      </w:r>
      <w:r w:rsidRPr="00423854">
        <w:t>, including public</w:t>
      </w:r>
      <w:r w:rsidR="001217ED">
        <w:t xml:space="preserve"> </w:t>
      </w:r>
      <w:r w:rsidRPr="00423854">
        <w:t>policymakers, public and private</w:t>
      </w:r>
      <w:r w:rsidR="00C470A5">
        <w:t xml:space="preserve"> </w:t>
      </w:r>
      <w:r w:rsidRPr="00423854">
        <w:t xml:space="preserve">sector employers, disability service providers and students, job seekers, and workers with disabilities. </w:t>
      </w:r>
      <w:r w:rsidR="00671FB1">
        <w:t>Engagement a</w:t>
      </w:r>
      <w:r w:rsidRPr="00423854">
        <w:t xml:space="preserve">ctivities include national outreach and awareness campaigns, </w:t>
      </w:r>
      <w:r w:rsidR="00F454B0">
        <w:t xml:space="preserve">the use of </w:t>
      </w:r>
      <w:r w:rsidRPr="00423854">
        <w:t xml:space="preserve">social media, online and in-person </w:t>
      </w:r>
      <w:r w:rsidR="00F454B0">
        <w:t>technical assistance</w:t>
      </w:r>
      <w:r w:rsidRPr="00423854">
        <w:t>, national and local conferences, electronic customer service, and online dialogues. ODEP</w:t>
      </w:r>
      <w:r w:rsidR="006474CA">
        <w:t>’</w:t>
      </w:r>
      <w:r w:rsidRPr="00423854">
        <w:t xml:space="preserve">s status as a trusted source of information for employers and government agencies gives it an important role in disseminating information about </w:t>
      </w:r>
      <w:r w:rsidRPr="00423854">
        <w:lastRenderedPageBreak/>
        <w:t xml:space="preserve">enforcement activities, the meaning and purpose of disability rights policies, and practical means </w:t>
      </w:r>
      <w:r w:rsidR="00F454B0">
        <w:t xml:space="preserve">to implement </w:t>
      </w:r>
      <w:r w:rsidRPr="00423854">
        <w:t xml:space="preserve">disability </w:t>
      </w:r>
      <w:r w:rsidR="00F454B0">
        <w:t>employment</w:t>
      </w:r>
      <w:r w:rsidR="00F454B0" w:rsidRPr="00423854">
        <w:t xml:space="preserve"> </w:t>
      </w:r>
      <w:r w:rsidR="00F454B0">
        <w:t>rights</w:t>
      </w:r>
      <w:r w:rsidRPr="00423854">
        <w:t>.</w:t>
      </w:r>
    </w:p>
    <w:p w14:paraId="6195D410" w14:textId="77777777" w:rsidR="00296DA5" w:rsidRDefault="001849F2" w:rsidP="00A0214F">
      <w:pPr>
        <w:pStyle w:val="NCDBodyText"/>
      </w:pPr>
      <w:r w:rsidRPr="00423854">
        <w:t>Much of the impactful work ODEP accomplishes is not obvious to the public. In part, this is a virtue of ODEP</w:t>
      </w:r>
      <w:r w:rsidR="006474CA">
        <w:t>’</w:t>
      </w:r>
      <w:r w:rsidRPr="00423854">
        <w:t>s role as an expert advisor, re</w:t>
      </w:r>
      <w:r w:rsidR="00F454B0">
        <w:t>searcher, and trusted messenger</w:t>
      </w:r>
      <w:r w:rsidRPr="00423854">
        <w:t xml:space="preserve">. ODEP does not have the resources to systemically collect and report information on the </w:t>
      </w:r>
      <w:r>
        <w:t>impact of its</w:t>
      </w:r>
      <w:r w:rsidRPr="00423854">
        <w:t xml:space="preserve"> recommendations.</w:t>
      </w:r>
      <w:r w:rsidR="00F454B0">
        <w:t xml:space="preserve"> </w:t>
      </w:r>
      <w:r w:rsidRPr="00423854">
        <w:rPr>
          <w:rFonts w:eastAsia="Times New Roman"/>
        </w:rPr>
        <w:t>ODEP evaluates its policy performance by measuring the number of Policy Outputs and Implementation Tools it pr</w:t>
      </w:r>
      <w:r w:rsidR="005D66FE">
        <w:rPr>
          <w:rFonts w:eastAsia="Times New Roman"/>
        </w:rPr>
        <w:t xml:space="preserve">oduces. Policy Outputs include </w:t>
      </w:r>
      <w:r w:rsidRPr="00423854">
        <w:rPr>
          <w:rFonts w:eastAsia="Times New Roman"/>
        </w:rPr>
        <w:t>adoptions at the federal, state, or local level of legislative proposals, model legislation, or amendments recommended by ODEP; adoption of rules recommended by ODEP; formal policy guidance by federal agencies; and executive orders at the federal, state, or local level. Implementation Tools provide educational or explanatory information to support adop</w:t>
      </w:r>
      <w:r>
        <w:rPr>
          <w:rFonts w:eastAsia="Times New Roman"/>
        </w:rPr>
        <w:t xml:space="preserve">tion and implementation of ODEP developed or </w:t>
      </w:r>
      <w:r w:rsidRPr="00423854">
        <w:rPr>
          <w:rFonts w:eastAsia="Times New Roman"/>
        </w:rPr>
        <w:t>recommended practices, policies, strategies, models, or theories, including toolkits, curricula, learning guides, model practice plans, primers, briefs, implementation gu</w:t>
      </w:r>
      <w:r>
        <w:rPr>
          <w:rFonts w:eastAsia="Times New Roman"/>
        </w:rPr>
        <w:t xml:space="preserve">ides, and policy templates. </w:t>
      </w:r>
      <w:r w:rsidRPr="00A65671">
        <w:rPr>
          <w:rFonts w:eastAsia="Times New Roman"/>
        </w:rPr>
        <w:t xml:space="preserve">The </w:t>
      </w:r>
      <w:r w:rsidR="0057251B">
        <w:rPr>
          <w:rFonts w:eastAsia="Times New Roman"/>
        </w:rPr>
        <w:t xml:space="preserve">FY </w:t>
      </w:r>
      <w:r w:rsidRPr="00A65671">
        <w:rPr>
          <w:rFonts w:eastAsia="Times New Roman"/>
        </w:rPr>
        <w:t>2017 Budget Justification and 2018</w:t>
      </w:r>
      <w:r w:rsidR="00C470A5">
        <w:rPr>
          <w:rFonts w:eastAsia="Times New Roman"/>
        </w:rPr>
        <w:t>–</w:t>
      </w:r>
      <w:r w:rsidRPr="00A65671">
        <w:rPr>
          <w:rFonts w:eastAsia="Times New Roman"/>
        </w:rPr>
        <w:t>22 Strategic Plan</w:t>
      </w:r>
      <w:r w:rsidRPr="00A65671">
        <w:rPr>
          <w:rStyle w:val="EndnoteReference"/>
          <w:rFonts w:eastAsia="Times New Roman" w:cs="Arial"/>
        </w:rPr>
        <w:endnoteReference w:id="154"/>
      </w:r>
      <w:r w:rsidR="00B83FF7" w:rsidRPr="00A65671">
        <w:rPr>
          <w:rFonts w:eastAsia="Times New Roman"/>
        </w:rPr>
        <w:t xml:space="preserve"> </w:t>
      </w:r>
      <w:r w:rsidRPr="00A65671">
        <w:t>performance measures predict a significant (50 percent) reduction in the development and dissemination of implementation tools by ODEP over the next five years. DOL</w:t>
      </w:r>
      <w:r w:rsidR="006474CA">
        <w:t>’</w:t>
      </w:r>
      <w:r w:rsidRPr="00A65671">
        <w:t xml:space="preserve">s FY18 Congressional Budget Justification forecasts only </w:t>
      </w:r>
      <w:r w:rsidR="003C6E30">
        <w:t>eight</w:t>
      </w:r>
      <w:r w:rsidR="003C6E30" w:rsidRPr="00A65671">
        <w:t xml:space="preserve"> </w:t>
      </w:r>
      <w:r w:rsidRPr="00A65671">
        <w:t>Policy Outputs in 2018 and only 41 I</w:t>
      </w:r>
      <w:r w:rsidR="00FD032F">
        <w:t>mplementation Tools</w:t>
      </w:r>
      <w:r w:rsidRPr="00A65671">
        <w:t>.</w:t>
      </w:r>
      <w:r w:rsidRPr="00A65671">
        <w:rPr>
          <w:rStyle w:val="EndnoteReference"/>
          <w:rFonts w:cs="Arial"/>
        </w:rPr>
        <w:endnoteReference w:id="155"/>
      </w:r>
    </w:p>
    <w:p w14:paraId="53C56484" w14:textId="2919E5E9" w:rsidR="001849F2" w:rsidRPr="00F355EF" w:rsidRDefault="001849F2" w:rsidP="00A0214F">
      <w:pPr>
        <w:pStyle w:val="Heading3"/>
      </w:pPr>
      <w:bookmarkStart w:id="49" w:name="_Toc526182098"/>
      <w:r>
        <w:t>Training and Technical Assistance</w:t>
      </w:r>
      <w:bookmarkEnd w:id="49"/>
    </w:p>
    <w:p w14:paraId="1FA65C00" w14:textId="77777777" w:rsidR="00296DA5" w:rsidRDefault="002D27D8" w:rsidP="00A0214F">
      <w:pPr>
        <w:pStyle w:val="NCDBodyText"/>
      </w:pPr>
      <w:r>
        <w:t>In part because ODEP lacks</w:t>
      </w:r>
      <w:r w:rsidR="001849F2">
        <w:t xml:space="preserve"> an </w:t>
      </w:r>
      <w:r w:rsidR="001849F2" w:rsidRPr="00423854">
        <w:t>enforcement role, employers and federal, state</w:t>
      </w:r>
      <w:r w:rsidR="00A66EF3">
        <w:t>,</w:t>
      </w:r>
      <w:r w:rsidR="001849F2" w:rsidRPr="00423854">
        <w:t xml:space="preserve"> and local government agencies seek solutions from ODEP and share strategies and lessons learned</w:t>
      </w:r>
      <w:r w:rsidR="001849F2">
        <w:t xml:space="preserve"> with </w:t>
      </w:r>
      <w:r w:rsidR="00A66EF3">
        <w:t>ODEP</w:t>
      </w:r>
      <w:r w:rsidR="001849F2" w:rsidRPr="00423854">
        <w:t>. ODEP partners with employers to implement inclusive practices and policies that align with their business needs.</w:t>
      </w:r>
      <w:r w:rsidR="001849F2">
        <w:t xml:space="preserve"> </w:t>
      </w:r>
      <w:r w:rsidR="001849F2" w:rsidRPr="00423854">
        <w:t xml:space="preserve">Consequently, ODEP has been able to provide significant support to </w:t>
      </w:r>
      <w:r w:rsidR="00791726">
        <w:t>Federal Government</w:t>
      </w:r>
      <w:r w:rsidR="001849F2" w:rsidRPr="00423854">
        <w:t xml:space="preserve"> efforts to implement Section 501 of the Rehabilitation Act and to develop and implement regulations under Section 503</w:t>
      </w:r>
      <w:r w:rsidR="001849F2">
        <w:t xml:space="preserve"> </w:t>
      </w:r>
      <w:r w:rsidR="00A57BCF">
        <w:t>that</w:t>
      </w:r>
      <w:r w:rsidR="001849F2">
        <w:t xml:space="preserve"> impact federal contractors</w:t>
      </w:r>
      <w:r w:rsidR="001849F2" w:rsidRPr="00423854">
        <w:t xml:space="preserve">. </w:t>
      </w:r>
      <w:r w:rsidR="001849F2">
        <w:t xml:space="preserve">ODEP has developed </w:t>
      </w:r>
      <w:r w:rsidR="001849F2" w:rsidRPr="00423854">
        <w:t xml:space="preserve">a number of </w:t>
      </w:r>
      <w:r w:rsidR="00F454B0">
        <w:t xml:space="preserve">resources </w:t>
      </w:r>
      <w:r w:rsidR="003945A2">
        <w:t xml:space="preserve">and toolkits </w:t>
      </w:r>
      <w:r w:rsidR="00A57BCF">
        <w:t>that</w:t>
      </w:r>
      <w:r w:rsidR="00F454B0">
        <w:t xml:space="preserve"> identify</w:t>
      </w:r>
      <w:r w:rsidR="001849F2" w:rsidRPr="00423854">
        <w:t xml:space="preserve"> promising employment practices and strategies for recruiting, hiring, advancing</w:t>
      </w:r>
      <w:r w:rsidR="00A66EF3">
        <w:t>,</w:t>
      </w:r>
      <w:r w:rsidR="001849F2" w:rsidRPr="00423854">
        <w:t xml:space="preserve"> and retaining people with disabilities.</w:t>
      </w:r>
    </w:p>
    <w:p w14:paraId="22CF665D" w14:textId="77777777" w:rsidR="00296DA5" w:rsidRDefault="001849F2" w:rsidP="00A0214F">
      <w:pPr>
        <w:pStyle w:val="NCDBodyText"/>
      </w:pPr>
      <w:r w:rsidRPr="00423854">
        <w:lastRenderedPageBreak/>
        <w:t xml:space="preserve">ODEP has supported state efforts to increase disability employment. </w:t>
      </w:r>
      <w:r w:rsidR="00A66EF3">
        <w:t>ODEP</w:t>
      </w:r>
      <w:r w:rsidRPr="00423854">
        <w:t xml:space="preserve"> conducted a self-employment demonstration project with three states and a national </w:t>
      </w:r>
      <w:r>
        <w:t xml:space="preserve">technical assistance (TA) </w:t>
      </w:r>
      <w:r w:rsidRPr="00423854">
        <w:t>cent</w:t>
      </w:r>
      <w:r>
        <w:t>er to highlight</w:t>
      </w:r>
      <w:r w:rsidRPr="00423854">
        <w:t xml:space="preserve"> innovative models of self-employment service delivery.</w:t>
      </w:r>
      <w:r w:rsidR="00050306">
        <w:t xml:space="preserve"> </w:t>
      </w:r>
      <w:r w:rsidRPr="00423854">
        <w:t xml:space="preserve">In addition, since 2012, ODEP has provided TA to states through its Employment First State Leadership Mentoring Program to help align </w:t>
      </w:r>
      <w:r>
        <w:t>state</w:t>
      </w:r>
      <w:r w:rsidRPr="00423854">
        <w:t xml:space="preserve"> policies to support competitive integrated employment for people with significant disabilities.</w:t>
      </w:r>
    </w:p>
    <w:p w14:paraId="7631FC77" w14:textId="77777777" w:rsidR="00296DA5" w:rsidRDefault="001849F2" w:rsidP="00A0214F">
      <w:pPr>
        <w:pStyle w:val="NCDBodyText"/>
      </w:pPr>
      <w:r w:rsidRPr="00423854">
        <w:t>ODEP</w:t>
      </w:r>
      <w:r w:rsidR="006474CA">
        <w:t>’</w:t>
      </w:r>
      <w:r w:rsidRPr="00423854">
        <w:t xml:space="preserve">s </w:t>
      </w:r>
      <w:r w:rsidRPr="00423854">
        <w:rPr>
          <w:iCs/>
        </w:rPr>
        <w:t>EARN Network helps employers tap the benefits of dis</w:t>
      </w:r>
      <w:r w:rsidR="00050306">
        <w:rPr>
          <w:iCs/>
        </w:rPr>
        <w:t>ability diversity and inclusion.</w:t>
      </w:r>
      <w:r w:rsidRPr="00423854">
        <w:rPr>
          <w:iCs/>
        </w:rPr>
        <w:t xml:space="preserve"> </w:t>
      </w:r>
      <w:r>
        <w:t>JAN offers</w:t>
      </w:r>
      <w:r w:rsidRPr="00423854">
        <w:t xml:space="preserve"> free, expert</w:t>
      </w:r>
      <w:r w:rsidR="00613C97">
        <w:t>,</w:t>
      </w:r>
      <w:r w:rsidRPr="00423854">
        <w:t xml:space="preserve"> and confidential guidance on workplace accommodations and disability employment </w:t>
      </w:r>
      <w:r w:rsidR="003D00C5" w:rsidRPr="00423854">
        <w:t>issu</w:t>
      </w:r>
      <w:r w:rsidR="003D00C5">
        <w:t>es and</w:t>
      </w:r>
      <w:r w:rsidR="00AF5BF1">
        <w:t xml:space="preserve"> </w:t>
      </w:r>
      <w:r w:rsidRPr="00423854">
        <w:t>facilitate</w:t>
      </w:r>
      <w:r w:rsidR="0057251B">
        <w:t>s</w:t>
      </w:r>
      <w:r w:rsidRPr="00423854">
        <w:t xml:space="preserve"> employment and retention of workers with disabilities by providing TA, training, and other resources on job accommodations and</w:t>
      </w:r>
      <w:r w:rsidR="00613C97">
        <w:t xml:space="preserve"> by</w:t>
      </w:r>
      <w:r w:rsidRPr="00423854">
        <w:t xml:space="preserve"> disseminating </w:t>
      </w:r>
      <w:r>
        <w:t xml:space="preserve">information </w:t>
      </w:r>
      <w:r w:rsidRPr="00423854">
        <w:t>and promoting best practices.</w:t>
      </w:r>
      <w:r w:rsidRPr="00423854">
        <w:rPr>
          <w:rStyle w:val="EndnoteReference"/>
          <w:rFonts w:cs="Arial"/>
        </w:rPr>
        <w:endnoteReference w:id="156"/>
      </w:r>
    </w:p>
    <w:p w14:paraId="3EBE6D94" w14:textId="6EDE3860" w:rsidR="00296DA5" w:rsidRDefault="00AF5BF1" w:rsidP="00A0214F">
      <w:pPr>
        <w:pStyle w:val="NCDBodyText"/>
      </w:pPr>
      <w:r w:rsidRPr="00423854">
        <w:t>ODEP</w:t>
      </w:r>
      <w:r w:rsidR="006474CA">
        <w:t>’</w:t>
      </w:r>
      <w:r w:rsidRPr="00423854">
        <w:t>s LEAD Center educate</w:t>
      </w:r>
      <w:r>
        <w:t>s</w:t>
      </w:r>
      <w:r w:rsidRPr="00423854">
        <w:t xml:space="preserve"> employers on best practices for hiring people with significant disabilities through job customization and discovery. The LEAD Center also implement</w:t>
      </w:r>
      <w:r>
        <w:t>s</w:t>
      </w:r>
      <w:r w:rsidRPr="00423854">
        <w:t xml:space="preserve"> an initiative </w:t>
      </w:r>
      <w:r>
        <w:t xml:space="preserve">to educate </w:t>
      </w:r>
      <w:r w:rsidRPr="00423854">
        <w:t>state Equal Opportunity Officers about WIOA nondiscrimination provisions.</w:t>
      </w:r>
      <w:r w:rsidR="00050306" w:rsidRPr="00423854">
        <w:t xml:space="preserve"> </w:t>
      </w:r>
      <w:r w:rsidR="001849F2" w:rsidRPr="00423854">
        <w:t xml:space="preserve">Through its Partnership on Employment and Accessible Technology (PEAT), ODEP established the </w:t>
      </w:r>
      <w:r w:rsidR="00631E24" w:rsidRPr="00631E24">
        <w:rPr>
          <w:i/>
        </w:rPr>
        <w:t>Policy Matters</w:t>
      </w:r>
      <w:r w:rsidR="001849F2" w:rsidRPr="00423854">
        <w:t xml:space="preserve"> webpage</w:t>
      </w:r>
      <w:r w:rsidR="001849F2" w:rsidRPr="00423854">
        <w:rPr>
          <w:rStyle w:val="EndnoteReference"/>
          <w:rFonts w:cs="Arial"/>
        </w:rPr>
        <w:endnoteReference w:id="157"/>
      </w:r>
      <w:r w:rsidR="001849F2" w:rsidRPr="00423854">
        <w:t xml:space="preserve"> to </w:t>
      </w:r>
      <w:r w:rsidR="001849F2" w:rsidRPr="00423854">
        <w:rPr>
          <w:shd w:val="clear" w:color="auto" w:fill="FFFFFF"/>
        </w:rPr>
        <w:t xml:space="preserve">help employers, technology users, and technology providers understand federal regulatory developments. </w:t>
      </w:r>
      <w:r w:rsidR="001849F2">
        <w:t xml:space="preserve">To increase the </w:t>
      </w:r>
      <w:r w:rsidR="001849F2" w:rsidRPr="00423854">
        <w:t>participation of people with disabilities</w:t>
      </w:r>
      <w:r w:rsidR="001849F2">
        <w:t xml:space="preserve"> in the labor force</w:t>
      </w:r>
      <w:r w:rsidR="001849F2" w:rsidRPr="00423854">
        <w:t>, ODEP administers the Workfor</w:t>
      </w:r>
      <w:r w:rsidR="001849F2">
        <w:t xml:space="preserve">ce Recruitment Program (WRP), which connects employers </w:t>
      </w:r>
      <w:r w:rsidR="001849F2" w:rsidRPr="00423854">
        <w:t>with p</w:t>
      </w:r>
      <w:r w:rsidR="00382ABA">
        <w:t>re</w:t>
      </w:r>
      <w:r w:rsidR="001849F2" w:rsidRPr="00423854">
        <w:t>screened college students and recent graduates with d</w:t>
      </w:r>
      <w:r w:rsidR="001849F2">
        <w:t>isabilities</w:t>
      </w:r>
      <w:r w:rsidR="001849F2" w:rsidRPr="00423854">
        <w:t>. Since 1995, the WRP has placed thousand</w:t>
      </w:r>
      <w:r w:rsidR="001849F2">
        <w:t>s of persons with disabilities into federal and private employment</w:t>
      </w:r>
      <w:r w:rsidR="001849F2" w:rsidRPr="00423854">
        <w:t>.</w:t>
      </w:r>
    </w:p>
    <w:p w14:paraId="55577DD4" w14:textId="77777777" w:rsidR="00296DA5" w:rsidRDefault="001849F2" w:rsidP="00A0214F">
      <w:pPr>
        <w:pStyle w:val="NCDBodyText"/>
      </w:pPr>
      <w:r>
        <w:t xml:space="preserve">ODEP measures the effectiveness of its TA through several means. The </w:t>
      </w:r>
      <w:r w:rsidR="006474CA">
        <w:t>“</w:t>
      </w:r>
      <w:r>
        <w:t>pulse</w:t>
      </w:r>
      <w:r w:rsidR="006474CA">
        <w:t>”</w:t>
      </w:r>
      <w:r>
        <w:t xml:space="preserve"> survey measures the immediate impact of TA. ODEP generally receives scores of 85 percent or higher on these surveys. ODEP also measures effectiveness through requests for additional TA after an event. ODEP typically doubles the number of planned TA requests each year through such </w:t>
      </w:r>
      <w:r w:rsidR="006474CA">
        <w:t>“</w:t>
      </w:r>
      <w:r>
        <w:t>demand-driven</w:t>
      </w:r>
      <w:r w:rsidR="006474CA">
        <w:t>”</w:t>
      </w:r>
      <w:r>
        <w:t xml:space="preserve"> events.</w:t>
      </w:r>
      <w:r w:rsidR="00AF5BF1">
        <w:t xml:space="preserve"> This</w:t>
      </w:r>
      <w:r>
        <w:t xml:space="preserve"> data almost certainly underestimate</w:t>
      </w:r>
      <w:r w:rsidR="00795DCE">
        <w:t>s</w:t>
      </w:r>
      <w:r>
        <w:t xml:space="preserve"> the impact of ODEP</w:t>
      </w:r>
      <w:r w:rsidR="006474CA">
        <w:t>’</w:t>
      </w:r>
      <w:r>
        <w:t xml:space="preserve">s work. </w:t>
      </w:r>
      <w:r w:rsidR="002D27D8">
        <w:t>An important</w:t>
      </w:r>
      <w:r>
        <w:t xml:space="preserve"> measure of ODEP</w:t>
      </w:r>
      <w:r w:rsidR="006474CA">
        <w:t>’</w:t>
      </w:r>
      <w:r>
        <w:t>s work would be to count the number of entities that adopt policies and pra</w:t>
      </w:r>
      <w:r w:rsidR="00412A3B">
        <w:t>ctices as a result of ODEP</w:t>
      </w:r>
      <w:r w:rsidR="006474CA">
        <w:t>’</w:t>
      </w:r>
      <w:r w:rsidR="00412A3B">
        <w:t>s TA</w:t>
      </w:r>
      <w:r w:rsidR="00EA198E">
        <w:t>.</w:t>
      </w:r>
    </w:p>
    <w:p w14:paraId="74BD3AA5" w14:textId="77777777" w:rsidR="00296DA5" w:rsidRDefault="00C41CBC" w:rsidP="00A0214F">
      <w:pPr>
        <w:pStyle w:val="NCDBodyText"/>
      </w:pPr>
      <w:r>
        <w:lastRenderedPageBreak/>
        <w:t>ODEP</w:t>
      </w:r>
      <w:r w:rsidR="00412A3B">
        <w:t xml:space="preserve"> has taken a proactive approach to attempt to measure it</w:t>
      </w:r>
      <w:r w:rsidR="00EA198E">
        <w:t>s</w:t>
      </w:r>
      <w:r w:rsidR="00412A3B">
        <w:t xml:space="preserve"> impact</w:t>
      </w:r>
      <w:r w:rsidR="001849F2">
        <w:t>.</w:t>
      </w:r>
      <w:r w:rsidR="00412A3B">
        <w:t xml:space="preserve"> For example, ODEP</w:t>
      </w:r>
      <w:r w:rsidR="006474CA">
        <w:t>’</w:t>
      </w:r>
      <w:r w:rsidR="00412A3B">
        <w:t xml:space="preserve">s Guideposts for Transition Success have been adopted by </w:t>
      </w:r>
      <w:r w:rsidR="00CF4F03">
        <w:t>several</w:t>
      </w:r>
      <w:r w:rsidR="00412A3B">
        <w:t xml:space="preserve"> states</w:t>
      </w:r>
      <w:r w:rsidR="00CF4F03">
        <w:t>,</w:t>
      </w:r>
      <w:r w:rsidR="00412A3B">
        <w:t xml:space="preserve"> </w:t>
      </w:r>
      <w:r w:rsidR="00CF4F03">
        <w:t>including</w:t>
      </w:r>
      <w:r w:rsidR="00412A3B">
        <w:t xml:space="preserve"> Alaska, California, Connecticut, Georgia, Minnesota, Missouri, and South Carolina</w:t>
      </w:r>
      <w:r w:rsidR="00412A3B" w:rsidRPr="00EA198E">
        <w:t xml:space="preserve">. </w:t>
      </w:r>
      <w:r w:rsidR="001849F2" w:rsidRPr="00EA198E">
        <w:t>The SEED Initiative carefully</w:t>
      </w:r>
      <w:r w:rsidR="001849F2">
        <w:t xml:space="preserve"> tracks its policy and practice reach using a </w:t>
      </w:r>
      <w:r w:rsidR="006474CA">
        <w:t>“</w:t>
      </w:r>
      <w:r w:rsidR="001849F2">
        <w:t>policy tracker.</w:t>
      </w:r>
      <w:r w:rsidR="006474CA">
        <w:t>”</w:t>
      </w:r>
      <w:r w:rsidR="001849F2">
        <w:t xml:space="preserve"> In FY17, SEED helped produce 36 policy outputs. Enacted legislation has ranged from </w:t>
      </w:r>
      <w:r w:rsidR="00C20556">
        <w:t xml:space="preserve">the </w:t>
      </w:r>
      <w:r w:rsidR="001849F2">
        <w:t xml:space="preserve">development of new state hiring programs to </w:t>
      </w:r>
      <w:r w:rsidR="00C20556">
        <w:t xml:space="preserve">the </w:t>
      </w:r>
      <w:r w:rsidR="001849F2">
        <w:t>creation of employer tax credits for hiring people with disabilities</w:t>
      </w:r>
      <w:r w:rsidR="00D6751E">
        <w:t xml:space="preserve"> and</w:t>
      </w:r>
      <w:r w:rsidR="001849F2">
        <w:t xml:space="preserve"> improving access to transportation.</w:t>
      </w:r>
    </w:p>
    <w:p w14:paraId="2FC2677D" w14:textId="77777777" w:rsidR="00296DA5" w:rsidRDefault="001849F2" w:rsidP="00A0214F">
      <w:pPr>
        <w:pStyle w:val="NCDBodyText"/>
        <w:rPr>
          <w:b/>
        </w:rPr>
      </w:pPr>
      <w:r w:rsidRPr="004128BC">
        <w:t xml:space="preserve">The impact of the work of </w:t>
      </w:r>
      <w:r w:rsidRPr="00244B67">
        <w:t>ODEP</w:t>
      </w:r>
      <w:r>
        <w:t xml:space="preserve"> on policies and practices for </w:t>
      </w:r>
      <w:r w:rsidR="002D27D8">
        <w:t>disability</w:t>
      </w:r>
      <w:r>
        <w:t xml:space="preserve"> employment tends to be over the long</w:t>
      </w:r>
      <w:r w:rsidR="00B45F5D">
        <w:t xml:space="preserve"> </w:t>
      </w:r>
      <w:r>
        <w:t>term, and as a result ODEP</w:t>
      </w:r>
      <w:r w:rsidRPr="00244B67">
        <w:t xml:space="preserve"> is hindered in</w:t>
      </w:r>
      <w:r>
        <w:t xml:space="preserve"> the ability to</w:t>
      </w:r>
      <w:r w:rsidRPr="00244B67">
        <w:t xml:space="preserve"> assess and communicat</w:t>
      </w:r>
      <w:r>
        <w:t xml:space="preserve">e </w:t>
      </w:r>
      <w:r w:rsidRPr="00244B67">
        <w:t>the impact of its work to the public</w:t>
      </w:r>
      <w:r>
        <w:t>.</w:t>
      </w:r>
      <w:r w:rsidRPr="00423854">
        <w:t xml:space="preserve"> </w:t>
      </w:r>
      <w:r w:rsidRPr="00217FF8">
        <w:rPr>
          <w:b/>
        </w:rPr>
        <w:t xml:space="preserve">NCD recommends that ODEP revisit its prior recommendations to governments, enforcement agencies, employers, and service providers to evaluate the extent to which the recommendations were adopted. ODEP should follow up with the respective entities to discuss </w:t>
      </w:r>
      <w:proofErr w:type="spellStart"/>
      <w:r w:rsidR="00444926">
        <w:rPr>
          <w:b/>
        </w:rPr>
        <w:t>non</w:t>
      </w:r>
      <w:r w:rsidRPr="00217FF8">
        <w:rPr>
          <w:b/>
        </w:rPr>
        <w:t>implemented</w:t>
      </w:r>
      <w:proofErr w:type="spellEnd"/>
      <w:r w:rsidRPr="00217FF8">
        <w:rPr>
          <w:b/>
        </w:rPr>
        <w:t xml:space="preserve"> recommendations and provide assistance for implementation.</w:t>
      </w:r>
    </w:p>
    <w:p w14:paraId="023661A1" w14:textId="77777777" w:rsidR="00296DA5" w:rsidRDefault="0057251B" w:rsidP="00A0214F">
      <w:pPr>
        <w:pStyle w:val="NCDBodyText"/>
      </w:pPr>
      <w:r>
        <w:t>ODEP conducted 1,066 outreach events in FY16, planned to conduct 521 in FY17, and plans 250 in 2018, a 50 percent reduction each year.</w:t>
      </w:r>
      <w:r>
        <w:rPr>
          <w:rStyle w:val="EndnoteReference"/>
          <w:rFonts w:cs="Arial"/>
        </w:rPr>
        <w:endnoteReference w:id="158"/>
      </w:r>
      <w:r>
        <w:t xml:space="preserve"> Similarly, ODEP conducted 1,185 TA events in 2016, 803 in 2017, and proposed 500 in 2018, substantial reductions each year.</w:t>
      </w:r>
      <w:r>
        <w:rPr>
          <w:rStyle w:val="EndnoteReference"/>
          <w:rFonts w:cs="Arial"/>
        </w:rPr>
        <w:endnoteReference w:id="159"/>
      </w:r>
      <w:r>
        <w:t xml:space="preserve"> ODEP reports that it actually conducted 1,730 TA events in FY17, plus 604 events conducted by EARN and JAN.</w:t>
      </w:r>
      <w:r>
        <w:rPr>
          <w:rStyle w:val="EndnoteReference"/>
          <w:rFonts w:cs="Arial"/>
        </w:rPr>
        <w:endnoteReference w:id="160"/>
      </w:r>
      <w:r>
        <w:t xml:space="preserve"> In FY18 Quarter 1, </w:t>
      </w:r>
      <w:r w:rsidR="00B4550E">
        <w:t>according t</w:t>
      </w:r>
      <w:r w:rsidR="003945A2">
        <w:t>o</w:t>
      </w:r>
      <w:r w:rsidR="00B4550E">
        <w:t xml:space="preserve"> staff</w:t>
      </w:r>
      <w:r w:rsidR="003945A2">
        <w:t>,</w:t>
      </w:r>
      <w:r w:rsidR="00B4550E">
        <w:t xml:space="preserve"> </w:t>
      </w:r>
      <w:r>
        <w:t xml:space="preserve">ODEP completed 42 planned and 146 additional </w:t>
      </w:r>
      <w:r w:rsidR="006474CA">
        <w:t>“</w:t>
      </w:r>
      <w:r>
        <w:t>demand-driven</w:t>
      </w:r>
      <w:r w:rsidR="006474CA">
        <w:t>”</w:t>
      </w:r>
      <w:r>
        <w:t xml:space="preserve"> events. Collaborations were proposed to decrease from 35 to 30 from 2017 to 2018, and research projects</w:t>
      </w:r>
      <w:r w:rsidR="00B45F5D">
        <w:t xml:space="preserve"> </w:t>
      </w:r>
      <w:r>
        <w:t>to decrease from 38 to 30.</w:t>
      </w:r>
      <w:r>
        <w:rPr>
          <w:rStyle w:val="EndnoteReference"/>
          <w:rFonts w:cs="Arial"/>
        </w:rPr>
        <w:endnoteReference w:id="161"/>
      </w:r>
      <w:r>
        <w:t xml:space="preserve"> In 2017, JAN provided 94,093 TA responses through phone, email, chat, and Skype</w:t>
      </w:r>
      <w:r w:rsidR="00C1073E">
        <w:t>,</w:t>
      </w:r>
      <w:r>
        <w:t xml:space="preserve"> and its website received nearly 15 million requests from nearly 2 million visitors.</w:t>
      </w:r>
    </w:p>
    <w:p w14:paraId="4C64850B" w14:textId="5008F1F0" w:rsidR="00E521B0" w:rsidRPr="00A0214F" w:rsidRDefault="00E521B0" w:rsidP="00A0214F">
      <w:pPr>
        <w:pStyle w:val="Heading3"/>
      </w:pPr>
      <w:bookmarkStart w:id="50" w:name="_Toc526182099"/>
      <w:r w:rsidRPr="00A0214F">
        <w:t>Adequacy of Agency Resources</w:t>
      </w:r>
      <w:bookmarkEnd w:id="50"/>
    </w:p>
    <w:p w14:paraId="2D5C6620" w14:textId="77777777" w:rsidR="00296DA5" w:rsidRDefault="00E521B0" w:rsidP="00A0214F">
      <w:pPr>
        <w:pStyle w:val="NCDBodyText"/>
      </w:pPr>
      <w:r w:rsidRPr="00423854">
        <w:t>ODEP</w:t>
      </w:r>
      <w:r w:rsidR="006474CA">
        <w:t>’</w:t>
      </w:r>
      <w:r w:rsidRPr="00423854">
        <w:t>s FY18 budget</w:t>
      </w:r>
      <w:r w:rsidR="00510393">
        <w:t xml:space="preserve"> </w:t>
      </w:r>
      <w:r w:rsidRPr="00423854">
        <w:t>is $38.2 million,</w:t>
      </w:r>
      <w:r w:rsidRPr="00423854">
        <w:rPr>
          <w:rStyle w:val="EndnoteReference"/>
          <w:rFonts w:cs="Arial"/>
        </w:rPr>
        <w:endnoteReference w:id="162"/>
      </w:r>
      <w:r w:rsidRPr="00423854">
        <w:t xml:space="preserve"> which is consistent with its budgets since FY</w:t>
      </w:r>
      <w:r w:rsidR="0057251B">
        <w:t xml:space="preserve"> 20</w:t>
      </w:r>
      <w:r w:rsidRPr="00423854">
        <w:t>10.</w:t>
      </w:r>
      <w:r w:rsidR="00510393">
        <w:t xml:space="preserve"> ODEP</w:t>
      </w:r>
      <w:r w:rsidR="006474CA">
        <w:t>’</w:t>
      </w:r>
      <w:r w:rsidR="00510393">
        <w:t xml:space="preserve">s annual budget averaged around $33.7 million in constant dollars since </w:t>
      </w:r>
      <w:r w:rsidR="00510393">
        <w:lastRenderedPageBreak/>
        <w:t>2008 (</w:t>
      </w:r>
      <w:r w:rsidR="00C1073E">
        <w:t xml:space="preserve">see </w:t>
      </w:r>
      <w:r w:rsidR="00510393">
        <w:t xml:space="preserve">Table </w:t>
      </w:r>
      <w:r w:rsidR="00514672">
        <w:t>C</w:t>
      </w:r>
      <w:r w:rsidR="00874555">
        <w:t xml:space="preserve"> in Appendix</w:t>
      </w:r>
      <w:r w:rsidR="00193809">
        <w:t xml:space="preserve"> </w:t>
      </w:r>
      <w:r w:rsidR="00EF0CAF">
        <w:t>A</w:t>
      </w:r>
      <w:r w:rsidR="00510393">
        <w:t>).</w:t>
      </w:r>
      <w:r w:rsidR="00AF5BF1">
        <w:t xml:space="preserve"> </w:t>
      </w:r>
      <w:r w:rsidRPr="00423854">
        <w:t>Budget requests for FY</w:t>
      </w:r>
      <w:r w:rsidR="0057251B">
        <w:t xml:space="preserve"> 20</w:t>
      </w:r>
      <w:r w:rsidRPr="00423854">
        <w:t>18</w:t>
      </w:r>
      <w:r w:rsidRPr="00423854">
        <w:rPr>
          <w:rStyle w:val="EndnoteReference"/>
          <w:rFonts w:cs="Arial"/>
        </w:rPr>
        <w:endnoteReference w:id="163"/>
      </w:r>
      <w:r w:rsidRPr="00423854">
        <w:t xml:space="preserve"> and FY</w:t>
      </w:r>
      <w:r w:rsidR="0057251B">
        <w:t xml:space="preserve"> 20</w:t>
      </w:r>
      <w:r w:rsidRPr="00423854">
        <w:t>19</w:t>
      </w:r>
      <w:r w:rsidRPr="00423854">
        <w:rPr>
          <w:rStyle w:val="EndnoteReference"/>
          <w:rFonts w:cs="Arial"/>
        </w:rPr>
        <w:endnoteReference w:id="164"/>
      </w:r>
      <w:r w:rsidRPr="00423854">
        <w:t xml:space="preserve"> were $27 million, maintaining 49 FTEs and reducing ODEP contracts and grants by approximately $11 million.</w:t>
      </w:r>
      <w:r w:rsidRPr="00423854">
        <w:rPr>
          <w:rStyle w:val="EndnoteReference"/>
          <w:rFonts w:cs="Arial"/>
        </w:rPr>
        <w:endnoteReference w:id="165"/>
      </w:r>
      <w:r w:rsidRPr="00423854">
        <w:t xml:space="preserve"> In recent years, ODEP allocated $26</w:t>
      </w:r>
      <w:r w:rsidR="00CC064C">
        <w:t>–</w:t>
      </w:r>
      <w:r w:rsidRPr="00423854">
        <w:t>$27 million (approximately 70 percent of its total budget) to advisory assistance services and grants.</w:t>
      </w:r>
      <w:r w:rsidRPr="00423854">
        <w:rPr>
          <w:rStyle w:val="EndnoteReference"/>
          <w:rFonts w:cs="Arial"/>
        </w:rPr>
        <w:endnoteReference w:id="166"/>
      </w:r>
      <w:r w:rsidRPr="00423854">
        <w:t xml:space="preserve"> The FY19 budget proposal reduces those expenditures by 42 percent,</w:t>
      </w:r>
      <w:r w:rsidRPr="00423854">
        <w:rPr>
          <w:rStyle w:val="EndnoteReference"/>
          <w:rFonts w:cs="Arial"/>
        </w:rPr>
        <w:endnoteReference w:id="167"/>
      </w:r>
      <w:r w:rsidRPr="00423854">
        <w:t xml:space="preserve"> and if adopted, ODEP would spend $4.7 million on contracts (down from $13.3 million) and $10.8 million on grants (down from $13 million).</w:t>
      </w:r>
      <w:r w:rsidRPr="00423854">
        <w:rPr>
          <w:rStyle w:val="EndnoteReference"/>
          <w:rFonts w:cs="Arial"/>
        </w:rPr>
        <w:endnoteReference w:id="168"/>
      </w:r>
    </w:p>
    <w:p w14:paraId="7C86BD6B" w14:textId="5DDAA938" w:rsidR="00296DA5" w:rsidRDefault="00E521B0" w:rsidP="00A0214F">
      <w:pPr>
        <w:pStyle w:val="NCDBodyText"/>
      </w:pPr>
      <w:r w:rsidRPr="00423854">
        <w:t>ODEP has traditionally performed much of its work through contracts with, or grants to, experts in the wide variety of areas that impact the employm</w:t>
      </w:r>
      <w:r w:rsidR="001C30D9">
        <w:t>ent of people with disabilities. T</w:t>
      </w:r>
      <w:r w:rsidRPr="00423854">
        <w:t>he continual delays in the budget process and repeated short-term continuing resolutions, combined with substantially reduced budget requests, creates uncertainty</w:t>
      </w:r>
      <w:r w:rsidR="002F5F07">
        <w:t xml:space="preserve"> that hinders ODEP</w:t>
      </w:r>
      <w:r w:rsidR="006474CA">
        <w:t>’</w:t>
      </w:r>
      <w:r w:rsidR="002F5F07">
        <w:t xml:space="preserve">s progress. </w:t>
      </w:r>
      <w:r w:rsidR="001C30D9">
        <w:t>ODEP</w:t>
      </w:r>
      <w:r w:rsidRPr="00423854">
        <w:t xml:space="preserve"> </w:t>
      </w:r>
      <w:r w:rsidR="001C30D9" w:rsidRPr="00423854">
        <w:t xml:space="preserve">is effective </w:t>
      </w:r>
      <w:r w:rsidR="001C30D9">
        <w:t>by having</w:t>
      </w:r>
      <w:r w:rsidRPr="00423854">
        <w:t xml:space="preserve"> a small staff with </w:t>
      </w:r>
      <w:r w:rsidR="001C30D9">
        <w:t xml:space="preserve">a </w:t>
      </w:r>
      <w:r w:rsidRPr="00423854">
        <w:t xml:space="preserve">deep interest, expertise, and understanding of cross-disability issues, rights, and principles, </w:t>
      </w:r>
      <w:r w:rsidR="001C30D9">
        <w:t xml:space="preserve">while using </w:t>
      </w:r>
      <w:r w:rsidRPr="00423854">
        <w:t>an array of experts, researchers, and pract</w:t>
      </w:r>
      <w:r w:rsidR="001C30D9">
        <w:t>itioners in subject matter</w:t>
      </w:r>
      <w:r w:rsidRPr="00423854">
        <w:t xml:space="preserve">s </w:t>
      </w:r>
      <w:r w:rsidR="001C30D9">
        <w:t>affecting disability employment</w:t>
      </w:r>
      <w:r w:rsidRPr="00423854">
        <w:t xml:space="preserve">. Contracts and grants </w:t>
      </w:r>
      <w:r w:rsidR="002F5F07">
        <w:t xml:space="preserve">with </w:t>
      </w:r>
      <w:r w:rsidR="002F5F07" w:rsidRPr="00244B67">
        <w:t xml:space="preserve">subject matter experts, researchers, and practitioners </w:t>
      </w:r>
      <w:r w:rsidRPr="00423854">
        <w:t>allow</w:t>
      </w:r>
      <w:r w:rsidR="002F5F07">
        <w:t xml:space="preserve">s </w:t>
      </w:r>
      <w:r w:rsidRPr="00423854">
        <w:t>access to particular expertise needed for a projec</w:t>
      </w:r>
      <w:r w:rsidR="002F5F07">
        <w:t>t, wit</w:t>
      </w:r>
      <w:r w:rsidR="001C30D9">
        <w:t>hout the need for ODEP to hire permanent</w:t>
      </w:r>
      <w:r w:rsidR="002F5F07">
        <w:t xml:space="preserve"> staff</w:t>
      </w:r>
      <w:r w:rsidRPr="00423854">
        <w:t xml:space="preserve"> or develop infrastructure.</w:t>
      </w:r>
      <w:r w:rsidR="00AB5BB1">
        <w:br/>
      </w:r>
      <w:r w:rsidRPr="00423854">
        <w:t>A staff of 49 cannot have the necessary expertise in all the areas that ODEP needs to understand, influence, and educate.</w:t>
      </w:r>
      <w:r w:rsidR="002F5F07">
        <w:t xml:space="preserve"> </w:t>
      </w:r>
      <w:r w:rsidR="002F5F07" w:rsidRPr="002F5F07">
        <w:rPr>
          <w:b/>
        </w:rPr>
        <w:t>NCD recommends that Congress and the President ensure ODEP funding is flexible and focused on contracts with, and grants to, experts in the various fields affecting disability employment.</w:t>
      </w:r>
    </w:p>
    <w:p w14:paraId="294A1B03" w14:textId="4CC6AA79" w:rsidR="00496676" w:rsidRPr="00733874" w:rsidRDefault="009716D6" w:rsidP="00A0214F">
      <w:pPr>
        <w:pStyle w:val="Heading2"/>
      </w:pPr>
      <w:bookmarkStart w:id="51" w:name="_Toc520979979"/>
      <w:bookmarkStart w:id="52" w:name="_Toc526182100"/>
      <w:r>
        <w:t>Office of Federal Contract Compliance Programs</w:t>
      </w:r>
      <w:r w:rsidR="00401FB3">
        <w:t xml:space="preserve"> </w:t>
      </w:r>
      <w:r w:rsidR="00756EF4">
        <w:t>(OFCCP)</w:t>
      </w:r>
      <w:bookmarkEnd w:id="51"/>
      <w:bookmarkEnd w:id="52"/>
    </w:p>
    <w:p w14:paraId="05931CAC" w14:textId="18ABB118" w:rsidR="00296DA5" w:rsidRDefault="001C30D9" w:rsidP="00A0214F">
      <w:pPr>
        <w:pStyle w:val="NCDBodyText"/>
        <w:rPr>
          <w:b/>
        </w:rPr>
      </w:pPr>
      <w:bookmarkStart w:id="53" w:name="CH4OFCCP"/>
      <w:bookmarkEnd w:id="53"/>
      <w:r>
        <w:t>T</w:t>
      </w:r>
      <w:r w:rsidR="002473D4">
        <w:t>he</w:t>
      </w:r>
      <w:r w:rsidR="001849F2" w:rsidRPr="004B3FF5">
        <w:t xml:space="preserve"> Office of Federal Contract Compliance </w:t>
      </w:r>
      <w:r w:rsidR="001849F2">
        <w:t>P</w:t>
      </w:r>
      <w:r w:rsidR="001849F2" w:rsidRPr="004B3FF5">
        <w:t>rogram</w:t>
      </w:r>
      <w:r w:rsidR="001849F2">
        <w:t>s</w:t>
      </w:r>
      <w:r w:rsidR="00795DCE">
        <w:rPr>
          <w:b/>
          <w:vertAlign w:val="superscript"/>
        </w:rPr>
        <w:t xml:space="preserve"> </w:t>
      </w:r>
      <w:r w:rsidR="001849F2" w:rsidRPr="004B3FF5">
        <w:t xml:space="preserve">was not </w:t>
      </w:r>
      <w:r w:rsidR="001849F2">
        <w:t>evaluated</w:t>
      </w:r>
      <w:r w:rsidR="001849F2" w:rsidRPr="004B3FF5">
        <w:t xml:space="preserve"> in </w:t>
      </w:r>
      <w:r w:rsidR="00631E24" w:rsidRPr="00631E24">
        <w:rPr>
          <w:i/>
        </w:rPr>
        <w:t>Promises to Keep</w:t>
      </w:r>
      <w:r w:rsidR="001849F2">
        <w:t>,</w:t>
      </w:r>
      <w:r>
        <w:t xml:space="preserve"> but</w:t>
      </w:r>
      <w:r w:rsidR="001849F2">
        <w:t xml:space="preserve"> </w:t>
      </w:r>
      <w:r w:rsidR="002473D4">
        <w:t>the report</w:t>
      </w:r>
      <w:r w:rsidR="001849F2">
        <w:t xml:space="preserve"> </w:t>
      </w:r>
      <w:r w:rsidR="001849F2" w:rsidRPr="004B3FF5">
        <w:t>recommended that OFCCP strengthen collaboration with the EEOC.</w:t>
      </w:r>
      <w:r w:rsidR="001849F2" w:rsidRPr="004B3FF5">
        <w:rPr>
          <w:rStyle w:val="EndnoteReference"/>
          <w:rFonts w:cs="Arial"/>
        </w:rPr>
        <w:endnoteReference w:id="169"/>
      </w:r>
    </w:p>
    <w:p w14:paraId="10D87EC1" w14:textId="581DAD6D" w:rsidR="001849F2" w:rsidRPr="001849F2" w:rsidRDefault="004859EC" w:rsidP="00A0214F">
      <w:pPr>
        <w:pStyle w:val="Heading3"/>
      </w:pPr>
      <w:bookmarkStart w:id="54" w:name="_Toc526182101"/>
      <w:r w:rsidRPr="001849F2">
        <w:t xml:space="preserve">Overview </w:t>
      </w:r>
      <w:r w:rsidR="001849F2" w:rsidRPr="001849F2">
        <w:t>of OFCCP</w:t>
      </w:r>
      <w:bookmarkEnd w:id="54"/>
    </w:p>
    <w:p w14:paraId="0D548B4B" w14:textId="77777777" w:rsidR="00296DA5" w:rsidRDefault="004859EC" w:rsidP="00A0214F">
      <w:pPr>
        <w:pStyle w:val="NCDBodyText"/>
      </w:pPr>
      <w:r w:rsidRPr="004859EC">
        <w:t>OFCCP administers and enforces federal law</w:t>
      </w:r>
      <w:r w:rsidR="00904F35">
        <w:t xml:space="preserve">s </w:t>
      </w:r>
      <w:r w:rsidR="001C30D9">
        <w:t xml:space="preserve">applicable to federal contractors and subcontractors </w:t>
      </w:r>
      <w:r w:rsidR="00A57BCF">
        <w:t>that</w:t>
      </w:r>
      <w:r w:rsidR="00904F35">
        <w:t xml:space="preserve"> prohibit discrimination</w:t>
      </w:r>
      <w:r w:rsidR="001C30D9">
        <w:t xml:space="preserve"> and </w:t>
      </w:r>
      <w:r w:rsidR="00C54638">
        <w:t>promote</w:t>
      </w:r>
      <w:r w:rsidRPr="004859EC">
        <w:t xml:space="preserve"> equal employment opportunity </w:t>
      </w:r>
      <w:r w:rsidR="00904F35">
        <w:t>of p</w:t>
      </w:r>
      <w:r w:rsidR="001C30D9">
        <w:t>eople</w:t>
      </w:r>
      <w:r w:rsidR="00904F35">
        <w:t xml:space="preserve"> with disabilities </w:t>
      </w:r>
      <w:r w:rsidR="00584E99">
        <w:t xml:space="preserve">under Section 503 of the Rehabilitation Act </w:t>
      </w:r>
      <w:r w:rsidR="00904F35">
        <w:t xml:space="preserve">and qualified </w:t>
      </w:r>
      <w:r w:rsidR="00904F35">
        <w:lastRenderedPageBreak/>
        <w:t>veterans</w:t>
      </w:r>
      <w:r w:rsidR="00584E99">
        <w:t xml:space="preserve"> under</w:t>
      </w:r>
      <w:r w:rsidR="00584E99" w:rsidRPr="00584E99">
        <w:t xml:space="preserve"> </w:t>
      </w:r>
      <w:r w:rsidR="00584E99">
        <w:t>the Vietnam Era Veterans</w:t>
      </w:r>
      <w:r w:rsidR="006474CA">
        <w:t>’</w:t>
      </w:r>
      <w:r w:rsidR="00584E99">
        <w:t xml:space="preserve"> Readjustment Assistance </w:t>
      </w:r>
      <w:r w:rsidR="00584E99" w:rsidRPr="00721317">
        <w:t>Act</w:t>
      </w:r>
      <w:r w:rsidR="00C36AEC" w:rsidRPr="00721317">
        <w:t xml:space="preserve"> (VEVR</w:t>
      </w:r>
      <w:r w:rsidR="00C66C8A">
        <w:t>A</w:t>
      </w:r>
      <w:r w:rsidR="00C36AEC" w:rsidRPr="00721317">
        <w:t>A)</w:t>
      </w:r>
      <w:r w:rsidR="00584E99" w:rsidRPr="00721317">
        <w:t>.</w:t>
      </w:r>
      <w:r w:rsidR="00721317">
        <w:rPr>
          <w:rStyle w:val="EndnoteReference"/>
          <w:rFonts w:cs="Arial"/>
        </w:rPr>
        <w:endnoteReference w:id="170"/>
      </w:r>
      <w:r w:rsidR="00584E99">
        <w:t xml:space="preserve"> </w:t>
      </w:r>
      <w:r w:rsidR="007F41FE">
        <w:t>Section 503</w:t>
      </w:r>
      <w:r w:rsidR="00584E99">
        <w:t xml:space="preserve"> </w:t>
      </w:r>
      <w:r w:rsidR="007F41FE">
        <w:t xml:space="preserve">also </w:t>
      </w:r>
      <w:r w:rsidRPr="004859EC">
        <w:t>authorize</w:t>
      </w:r>
      <w:r w:rsidR="00C54638">
        <w:t>s</w:t>
      </w:r>
      <w:r w:rsidRPr="004859EC">
        <w:t xml:space="preserve"> OFCCP to investigate complaints of disability discrimination.</w:t>
      </w:r>
      <w:r w:rsidRPr="004859EC">
        <w:rPr>
          <w:vertAlign w:val="superscript"/>
        </w:rPr>
        <w:endnoteReference w:id="171"/>
      </w:r>
      <w:r w:rsidRPr="004859EC">
        <w:t xml:space="preserve"> </w:t>
      </w:r>
      <w:r w:rsidR="00C54638" w:rsidRPr="004859EC">
        <w:t xml:space="preserve">OFCCP is led by a director and is geographically </w:t>
      </w:r>
      <w:r w:rsidR="00C1073E" w:rsidRPr="004859EC">
        <w:t>comp</w:t>
      </w:r>
      <w:r w:rsidR="00C1073E">
        <w:t>o</w:t>
      </w:r>
      <w:r w:rsidR="00C1073E" w:rsidRPr="004859EC">
        <w:t xml:space="preserve">sed </w:t>
      </w:r>
      <w:r w:rsidR="00C54638" w:rsidRPr="004859EC">
        <w:t>of six regions with 48 area and district offices.</w:t>
      </w:r>
      <w:r w:rsidR="004D5E12">
        <w:rPr>
          <w:rStyle w:val="EndnoteReference"/>
          <w:rFonts w:cs="Arial"/>
        </w:rPr>
        <w:endnoteReference w:id="172"/>
      </w:r>
    </w:p>
    <w:p w14:paraId="196947A3" w14:textId="77777777" w:rsidR="00296DA5" w:rsidRDefault="007F41FE" w:rsidP="00A0214F">
      <w:pPr>
        <w:pStyle w:val="NCDBodyText"/>
      </w:pPr>
      <w:r w:rsidRPr="004B3FF5">
        <w:t xml:space="preserve">Section 503 </w:t>
      </w:r>
      <w:r w:rsidR="001C30D9">
        <w:t xml:space="preserve">is currently </w:t>
      </w:r>
      <w:r w:rsidRPr="004B3FF5">
        <w:t xml:space="preserve">applicable to any entity with a federal contract or subcontract of </w:t>
      </w:r>
      <w:r w:rsidR="001C30D9">
        <w:t>more</w:t>
      </w:r>
      <w:r w:rsidR="00C45D70">
        <w:t xml:space="preserve"> than $15,000.</w:t>
      </w:r>
      <w:r w:rsidR="004D5E12">
        <w:rPr>
          <w:rStyle w:val="EndnoteReference"/>
          <w:rFonts w:cs="Arial"/>
        </w:rPr>
        <w:endnoteReference w:id="173"/>
      </w:r>
      <w:r w:rsidR="004D5E12">
        <w:t xml:space="preserve"> T</w:t>
      </w:r>
      <w:r w:rsidR="0057251B">
        <w:t xml:space="preserve">he threshold </w:t>
      </w:r>
      <w:r w:rsidR="00C54638" w:rsidRPr="00C54638">
        <w:t xml:space="preserve">to create an affirmative action </w:t>
      </w:r>
      <w:r w:rsidR="00E04669">
        <w:t>program</w:t>
      </w:r>
      <w:r w:rsidR="00C54638" w:rsidRPr="00C54638">
        <w:t xml:space="preserve"> (AAP) under the Section 503 regulations is higher, applying to contractors with 50 or more employees and at least one single federal contract or s</w:t>
      </w:r>
      <w:r w:rsidR="00C45D70">
        <w:t>ubcontract of $50,000 or more</w:t>
      </w:r>
      <w:r w:rsidR="004D5E12">
        <w:t>.</w:t>
      </w:r>
      <w:r w:rsidR="004D5E12">
        <w:rPr>
          <w:rStyle w:val="EndnoteReference"/>
          <w:rFonts w:cs="Arial"/>
        </w:rPr>
        <w:endnoteReference w:id="174"/>
      </w:r>
      <w:r w:rsidR="001C30D9">
        <w:t xml:space="preserve"> </w:t>
      </w:r>
      <w:r w:rsidRPr="004B3FF5">
        <w:t>In September 2016</w:t>
      </w:r>
      <w:r w:rsidR="00037AA7">
        <w:t>,</w:t>
      </w:r>
      <w:r w:rsidRPr="004B3FF5">
        <w:t xml:space="preserve"> the Government Accountability Office (GAO)</w:t>
      </w:r>
      <w:r w:rsidRPr="007F41FE">
        <w:t xml:space="preserve"> </w:t>
      </w:r>
      <w:r w:rsidRPr="004B3FF5">
        <w:t>estimated that approximately 200,000 contractor establishments</w:t>
      </w:r>
      <w:r>
        <w:t xml:space="preserve"> </w:t>
      </w:r>
      <w:r w:rsidR="001C30D9">
        <w:t>are</w:t>
      </w:r>
      <w:r w:rsidRPr="004B3FF5">
        <w:t xml:space="preserve"> subject to OFCCP oversight every year.</w:t>
      </w:r>
      <w:r w:rsidR="00C40209" w:rsidRPr="004B3FF5">
        <w:rPr>
          <w:rStyle w:val="EndnoteReference"/>
          <w:rFonts w:cs="Arial"/>
        </w:rPr>
        <w:endnoteReference w:id="175"/>
      </w:r>
    </w:p>
    <w:p w14:paraId="7AF34D00" w14:textId="7F707C9B" w:rsidR="001849F2" w:rsidRPr="004B3FF5" w:rsidRDefault="001849F2" w:rsidP="00A0214F">
      <w:pPr>
        <w:pStyle w:val="Heading3"/>
      </w:pPr>
      <w:bookmarkStart w:id="55" w:name="_Toc526182102"/>
      <w:r>
        <w:t>Regulatory,</w:t>
      </w:r>
      <w:r w:rsidRPr="004B3FF5">
        <w:t xml:space="preserve"> Sub-</w:t>
      </w:r>
      <w:r w:rsidR="00B55E5B">
        <w:t xml:space="preserve">Regulatory, </w:t>
      </w:r>
      <w:r>
        <w:t>and Policy</w:t>
      </w:r>
      <w:r w:rsidRPr="004B3FF5">
        <w:t xml:space="preserve"> Guidance</w:t>
      </w:r>
      <w:bookmarkEnd w:id="55"/>
    </w:p>
    <w:p w14:paraId="2368D517" w14:textId="77777777" w:rsidR="00296DA5" w:rsidRDefault="001849F2" w:rsidP="00A0214F">
      <w:pPr>
        <w:pStyle w:val="NCDBodyText"/>
      </w:pPr>
      <w:r>
        <w:t xml:space="preserve">In July </w:t>
      </w:r>
      <w:r w:rsidRPr="004B3FF5">
        <w:t>2010</w:t>
      </w:r>
      <w:r w:rsidR="00A223F1">
        <w:t>,</w:t>
      </w:r>
      <w:r w:rsidRPr="004B3FF5">
        <w:t xml:space="preserve"> OFCCP </w:t>
      </w:r>
      <w:r>
        <w:t xml:space="preserve">requested </w:t>
      </w:r>
      <w:r w:rsidRPr="004B3FF5">
        <w:t xml:space="preserve">public comment on potential ways to strengthen the </w:t>
      </w:r>
      <w:r>
        <w:t>Section</w:t>
      </w:r>
      <w:r w:rsidRPr="004B3FF5">
        <w:t xml:space="preserve"> 503 </w:t>
      </w:r>
      <w:r w:rsidR="007F41FE">
        <w:t>regulations</w:t>
      </w:r>
      <w:r w:rsidR="00C22CAE">
        <w:t>.</w:t>
      </w:r>
      <w:r w:rsidR="00C22CAE">
        <w:rPr>
          <w:rStyle w:val="EndnoteReference"/>
          <w:rFonts w:cs="Arial"/>
        </w:rPr>
        <w:endnoteReference w:id="176"/>
      </w:r>
      <w:r w:rsidR="007F41FE">
        <w:t xml:space="preserve"> </w:t>
      </w:r>
      <w:r w:rsidRPr="004B3FF5">
        <w:t>In 2010 and 2011</w:t>
      </w:r>
      <w:r>
        <w:t>,</w:t>
      </w:r>
      <w:r w:rsidRPr="004B3FF5">
        <w:t xml:space="preserve"> </w:t>
      </w:r>
      <w:r w:rsidR="001A1BC9">
        <w:t xml:space="preserve">the </w:t>
      </w:r>
      <w:r w:rsidR="00F522AC">
        <w:t>OFCCP</w:t>
      </w:r>
      <w:r w:rsidR="00F522AC" w:rsidRPr="004B3FF5">
        <w:t xml:space="preserve"> </w:t>
      </w:r>
      <w:r w:rsidRPr="004B3FF5">
        <w:t>conducted multiple town hall meetings, webinars</w:t>
      </w:r>
      <w:r w:rsidR="00A93D53">
        <w:t>,</w:t>
      </w:r>
      <w:r w:rsidRPr="004B3FF5">
        <w:t xml:space="preserve"> and listening sessions with the contractor community, disability advocates</w:t>
      </w:r>
      <w:r w:rsidR="00A93D53">
        <w:t>,</w:t>
      </w:r>
      <w:r w:rsidRPr="004B3FF5">
        <w:t xml:space="preserve"> and other interested parties.</w:t>
      </w:r>
      <w:r w:rsidRPr="004B3FF5">
        <w:rPr>
          <w:rStyle w:val="EndnoteReference"/>
          <w:rFonts w:cs="Arial"/>
        </w:rPr>
        <w:endnoteReference w:id="177"/>
      </w:r>
      <w:r>
        <w:t xml:space="preserve"> In December </w:t>
      </w:r>
      <w:r w:rsidRPr="004B3FF5">
        <w:t xml:space="preserve">2011, OFCCP published a </w:t>
      </w:r>
      <w:r>
        <w:t xml:space="preserve">proposed regulation </w:t>
      </w:r>
      <w:r w:rsidRPr="004B3FF5">
        <w:t>seeking comment on specific actions contractors and subcontractors would have to take to meet the affirmative action obligations.</w:t>
      </w:r>
      <w:r w:rsidRPr="004B3FF5">
        <w:rPr>
          <w:rStyle w:val="EndnoteReference"/>
          <w:rFonts w:cs="Arial"/>
        </w:rPr>
        <w:endnoteReference w:id="178"/>
      </w:r>
      <w:r w:rsidRPr="004B3FF5">
        <w:t xml:space="preserve"> The proposed regulations included increase</w:t>
      </w:r>
      <w:r>
        <w:t>d</w:t>
      </w:r>
      <w:r w:rsidRPr="004B3FF5">
        <w:t xml:space="preserve"> data collection requirements and the establishment of a utilization goal for the employme</w:t>
      </w:r>
      <w:r w:rsidR="00C22CAE">
        <w:t>nt of people with disabilities</w:t>
      </w:r>
      <w:r>
        <w:t>.</w:t>
      </w:r>
      <w:r w:rsidR="00C22CAE">
        <w:t xml:space="preserve"> The final regulations became </w:t>
      </w:r>
      <w:r>
        <w:t>effective as of March 24, 2014,</w:t>
      </w:r>
      <w:r w:rsidR="00C22CAE">
        <w:t xml:space="preserve"> with </w:t>
      </w:r>
      <w:r>
        <w:t>f</w:t>
      </w:r>
      <w:r w:rsidRPr="004B3FF5">
        <w:t>ull complia</w:t>
      </w:r>
      <w:r w:rsidR="00C22CAE">
        <w:t xml:space="preserve">nce by contractor establishments required over a </w:t>
      </w:r>
      <w:r w:rsidR="00A93D53">
        <w:t>phase-</w:t>
      </w:r>
      <w:r w:rsidR="00C22CAE">
        <w:t>in period.</w:t>
      </w:r>
      <w:r w:rsidR="00C22CAE">
        <w:rPr>
          <w:rStyle w:val="EndnoteReference"/>
          <w:rFonts w:cs="Arial"/>
        </w:rPr>
        <w:endnoteReference w:id="179"/>
      </w:r>
    </w:p>
    <w:p w14:paraId="77F2332E" w14:textId="77777777" w:rsidR="00296DA5" w:rsidRDefault="001849F2" w:rsidP="00A0214F">
      <w:pPr>
        <w:pStyle w:val="NCDBodyText"/>
      </w:pPr>
      <w:r w:rsidRPr="004B3FF5">
        <w:t xml:space="preserve">In response to comments from the contractor community citing increased costs and burdens, the final regulations eliminated or made flexible many of the data collection requirements in the proposed </w:t>
      </w:r>
      <w:r w:rsidR="007F41FE">
        <w:t>regulation</w:t>
      </w:r>
      <w:r w:rsidR="001A1BC9">
        <w:t xml:space="preserve">. OFCCP also did not adopt </w:t>
      </w:r>
      <w:r w:rsidRPr="004B3FF5">
        <w:t xml:space="preserve">a number of </w:t>
      </w:r>
      <w:r>
        <w:t>regulations</w:t>
      </w:r>
      <w:r w:rsidR="00A93D53">
        <w:t>,</w:t>
      </w:r>
      <w:r>
        <w:t xml:space="preserve"> </w:t>
      </w:r>
      <w:r w:rsidR="001A1BC9">
        <w:t>including</w:t>
      </w:r>
      <w:r w:rsidR="00A93D53">
        <w:t xml:space="preserve"> those requiring</w:t>
      </w:r>
      <w:r w:rsidRPr="004B3FF5">
        <w:t xml:space="preserve"> contractors </w:t>
      </w:r>
      <w:r w:rsidR="00A93D53">
        <w:t xml:space="preserve">to </w:t>
      </w:r>
      <w:r w:rsidRPr="004B3FF5">
        <w:t xml:space="preserve">develop written reasonable accommodation policies, annually evaluate job descriptions and qualification standards, and ensure </w:t>
      </w:r>
      <w:r w:rsidR="001A1BC9">
        <w:t xml:space="preserve">that </w:t>
      </w:r>
      <w:r w:rsidR="00CD4C81">
        <w:t>online</w:t>
      </w:r>
      <w:r w:rsidRPr="004B3FF5">
        <w:t xml:space="preserve"> job application portals are accessible to blind and visually impaired applicants.</w:t>
      </w:r>
      <w:r w:rsidR="001A1BC9">
        <w:rPr>
          <w:rStyle w:val="EndnoteReference"/>
          <w:rFonts w:cs="Arial"/>
        </w:rPr>
        <w:endnoteReference w:id="180"/>
      </w:r>
    </w:p>
    <w:p w14:paraId="6CAB9D6E" w14:textId="77777777" w:rsidR="00296DA5" w:rsidRDefault="001A1BC9" w:rsidP="00A0214F">
      <w:pPr>
        <w:pStyle w:val="NCDBodyText"/>
      </w:pPr>
      <w:r>
        <w:lastRenderedPageBreak/>
        <w:t>The</w:t>
      </w:r>
      <w:r w:rsidR="001849F2" w:rsidRPr="004B3FF5">
        <w:t xml:space="preserve"> final </w:t>
      </w:r>
      <w:r>
        <w:t xml:space="preserve">Section 503 </w:t>
      </w:r>
      <w:r w:rsidR="001849F2" w:rsidRPr="004B3FF5">
        <w:t xml:space="preserve">regulations did establish, for the first time, a </w:t>
      </w:r>
      <w:r w:rsidR="00560729">
        <w:t>7</w:t>
      </w:r>
      <w:r w:rsidR="00560729" w:rsidRPr="004B3FF5">
        <w:t xml:space="preserve"> </w:t>
      </w:r>
      <w:r w:rsidR="001849F2" w:rsidRPr="004B3FF5">
        <w:t xml:space="preserve">percent workforce utilization goal for </w:t>
      </w:r>
      <w:r w:rsidR="001849F2">
        <w:t>people</w:t>
      </w:r>
      <w:r w:rsidR="001849F2" w:rsidRPr="004B3FF5">
        <w:t xml:space="preserve"> with disabilities</w:t>
      </w:r>
      <w:r w:rsidR="001849F2">
        <w:t xml:space="preserve"> by federal contractors</w:t>
      </w:r>
      <w:r w:rsidR="001849F2" w:rsidRPr="004B3FF5">
        <w:t>.</w:t>
      </w:r>
      <w:r w:rsidR="001849F2" w:rsidRPr="004B3FF5">
        <w:rPr>
          <w:rStyle w:val="EndnoteReference"/>
          <w:rFonts w:cs="Arial"/>
        </w:rPr>
        <w:endnoteReference w:id="181"/>
      </w:r>
      <w:r w:rsidR="001849F2" w:rsidRPr="004B3FF5">
        <w:t xml:space="preserve"> OFCCP made it clear this goal was not a quota or ceiling, but </w:t>
      </w:r>
      <w:r w:rsidR="001849F2">
        <w:t xml:space="preserve">a </w:t>
      </w:r>
      <w:r w:rsidR="001849F2" w:rsidRPr="004B3FF5">
        <w:t>management tool to inform decision</w:t>
      </w:r>
      <w:r w:rsidR="00560729">
        <w:t xml:space="preserve"> </w:t>
      </w:r>
      <w:r w:rsidR="001849F2" w:rsidRPr="004B3FF5">
        <w:t xml:space="preserve">making </w:t>
      </w:r>
      <w:r w:rsidR="00133E8B">
        <w:t>and provide accountability.</w:t>
      </w:r>
      <w:r>
        <w:rPr>
          <w:rStyle w:val="EndnoteReference"/>
          <w:rFonts w:cs="Arial"/>
        </w:rPr>
        <w:endnoteReference w:id="182"/>
      </w:r>
      <w:r w:rsidR="00133E8B">
        <w:t xml:space="preserve"> OFCCP also stated the </w:t>
      </w:r>
      <w:r w:rsidR="00560729">
        <w:t xml:space="preserve">7 </w:t>
      </w:r>
      <w:r w:rsidR="00133E8B">
        <w:t xml:space="preserve">percent utilization standard </w:t>
      </w:r>
      <w:r w:rsidR="001849F2" w:rsidRPr="004B3FF5">
        <w:t>was an aspirational target.</w:t>
      </w:r>
      <w:r w:rsidR="001849F2" w:rsidRPr="004B3FF5">
        <w:rPr>
          <w:rStyle w:val="EndnoteReference"/>
          <w:rFonts w:cs="Arial"/>
        </w:rPr>
        <w:endnoteReference w:id="183"/>
      </w:r>
      <w:r w:rsidR="001849F2" w:rsidRPr="004B3FF5">
        <w:t xml:space="preserve"> The final </w:t>
      </w:r>
      <w:r>
        <w:t>regulations require</w:t>
      </w:r>
      <w:r w:rsidR="001849F2" w:rsidRPr="004B3FF5">
        <w:t xml:space="preserve"> contractors to invite applicants to</w:t>
      </w:r>
      <w:r w:rsidR="00C45D70">
        <w:t xml:space="preserve"> voluntarily self-identify as a</w:t>
      </w:r>
      <w:r w:rsidR="001849F2" w:rsidRPr="004B3FF5">
        <w:t xml:space="preserve"> </w:t>
      </w:r>
      <w:r w:rsidR="001849F2">
        <w:t xml:space="preserve">person </w:t>
      </w:r>
      <w:r w:rsidR="001849F2" w:rsidRPr="004B3FF5">
        <w:t>with a disability at the pre-offer s</w:t>
      </w:r>
      <w:r>
        <w:t>tage of the hiring process. The</w:t>
      </w:r>
      <w:r w:rsidR="001849F2">
        <w:t xml:space="preserve"> regulation</w:t>
      </w:r>
      <w:r>
        <w:t xml:space="preserve">s also require </w:t>
      </w:r>
      <w:r w:rsidR="001849F2" w:rsidRPr="004B3FF5">
        <w:t xml:space="preserve">contractors to invite current employees to voluntarily self-disclose on a regular basis, but </w:t>
      </w:r>
      <w:r>
        <w:t xml:space="preserve">OFCCP </w:t>
      </w:r>
      <w:r w:rsidR="001849F2" w:rsidRPr="004B3FF5">
        <w:t xml:space="preserve">did not adopt </w:t>
      </w:r>
      <w:r>
        <w:t xml:space="preserve">a </w:t>
      </w:r>
      <w:r w:rsidR="001849F2" w:rsidRPr="004B3FF5">
        <w:t xml:space="preserve">proposal </w:t>
      </w:r>
      <w:r>
        <w:t>that</w:t>
      </w:r>
      <w:r w:rsidR="001849F2" w:rsidRPr="004B3FF5">
        <w:t xml:space="preserve"> </w:t>
      </w:r>
      <w:r>
        <w:t>contractors</w:t>
      </w:r>
      <w:r w:rsidR="001849F2" w:rsidRPr="004B3FF5">
        <w:t xml:space="preserve"> </w:t>
      </w:r>
      <w:r w:rsidRPr="004B3FF5">
        <w:t xml:space="preserve">annually </w:t>
      </w:r>
      <w:r w:rsidR="001849F2" w:rsidRPr="004B3FF5">
        <w:t>offer the invitation to self-disclose.</w:t>
      </w:r>
      <w:r w:rsidR="001849F2">
        <w:t xml:space="preserve"> OFCCP views the new regulations as a basic requirement for contractors to collect data </w:t>
      </w:r>
      <w:r>
        <w:t xml:space="preserve">in order </w:t>
      </w:r>
      <w:r w:rsidR="001849F2">
        <w:t xml:space="preserve">to assess the impact of the affirmative action plan </w:t>
      </w:r>
      <w:r>
        <w:t>for</w:t>
      </w:r>
      <w:r w:rsidR="001849F2">
        <w:t xml:space="preserve"> </w:t>
      </w:r>
      <w:r>
        <w:t>people</w:t>
      </w:r>
      <w:r w:rsidR="001849F2">
        <w:t xml:space="preserve"> with disabilities.</w:t>
      </w:r>
    </w:p>
    <w:p w14:paraId="790185AA" w14:textId="77777777" w:rsidR="00296DA5" w:rsidRDefault="001A1BC9" w:rsidP="00A0214F">
      <w:pPr>
        <w:pStyle w:val="NCDBodyText"/>
      </w:pPr>
      <w:r>
        <w:t>Under t</w:t>
      </w:r>
      <w:r w:rsidR="001849F2" w:rsidRPr="004B3FF5">
        <w:t xml:space="preserve">he </w:t>
      </w:r>
      <w:r w:rsidR="00133E8B">
        <w:t xml:space="preserve">new </w:t>
      </w:r>
      <w:r w:rsidR="001849F2" w:rsidRPr="004B3FF5">
        <w:t>regulation</w:t>
      </w:r>
      <w:r w:rsidR="001849F2">
        <w:t>s</w:t>
      </w:r>
      <w:r w:rsidR="00560729">
        <w:t>,</w:t>
      </w:r>
      <w:r w:rsidR="001849F2" w:rsidRPr="004B3FF5">
        <w:t xml:space="preserve"> contractors</w:t>
      </w:r>
      <w:r>
        <w:t xml:space="preserve"> need to</w:t>
      </w:r>
      <w:r w:rsidR="001849F2" w:rsidRPr="004B3FF5">
        <w:t xml:space="preserve"> maintain quantitative measurements and comparisons </w:t>
      </w:r>
      <w:r w:rsidR="00133E8B">
        <w:t>of</w:t>
      </w:r>
      <w:r w:rsidR="001849F2" w:rsidRPr="004B3FF5">
        <w:t xml:space="preserve"> the number of </w:t>
      </w:r>
      <w:r w:rsidR="00133E8B">
        <w:t>p</w:t>
      </w:r>
      <w:r>
        <w:t>eople</w:t>
      </w:r>
      <w:r w:rsidR="001849F2" w:rsidRPr="004B3FF5">
        <w:t xml:space="preserve"> with disabilities who apply for jobs and the number of</w:t>
      </w:r>
      <w:r w:rsidR="00133E8B">
        <w:t xml:space="preserve"> p</w:t>
      </w:r>
      <w:r>
        <w:t>eople</w:t>
      </w:r>
      <w:r w:rsidR="001849F2">
        <w:t xml:space="preserve"> with disabilities</w:t>
      </w:r>
      <w:r w:rsidR="001849F2" w:rsidRPr="004B3FF5">
        <w:t xml:space="preserve"> hire</w:t>
      </w:r>
      <w:r w:rsidR="001849F2">
        <w:t>d</w:t>
      </w:r>
      <w:r w:rsidR="001849F2" w:rsidRPr="004B3FF5">
        <w:t xml:space="preserve"> (acknowledging the limits of voluntary self-identification) in order to create greater accountability for employment decisions and practices.</w:t>
      </w:r>
      <w:r w:rsidR="001849F2" w:rsidRPr="004B3FF5">
        <w:rPr>
          <w:rStyle w:val="EndnoteReference"/>
          <w:rFonts w:cs="Arial"/>
        </w:rPr>
        <w:endnoteReference w:id="184"/>
      </w:r>
      <w:r w:rsidR="001849F2" w:rsidRPr="004B3FF5">
        <w:t xml:space="preserve"> The final </w:t>
      </w:r>
      <w:r w:rsidR="001849F2">
        <w:t>regulation</w:t>
      </w:r>
      <w:r w:rsidR="00133E8B">
        <w:t>s</w:t>
      </w:r>
      <w:r w:rsidR="001849F2" w:rsidRPr="004B3FF5">
        <w:t xml:space="preserve"> </w:t>
      </w:r>
      <w:r w:rsidR="00133E8B">
        <w:t>further require</w:t>
      </w:r>
      <w:r w:rsidR="001849F2" w:rsidRPr="004B3FF5">
        <w:t xml:space="preserve"> prime contractors to include specific</w:t>
      </w:r>
      <w:r w:rsidR="001849F2">
        <w:t xml:space="preserve"> </w:t>
      </w:r>
      <w:r w:rsidR="001849F2" w:rsidRPr="004B3FF5">
        <w:t xml:space="preserve">language in subcontracts in order to </w:t>
      </w:r>
      <w:r w:rsidR="001849F2">
        <w:t>inform</w:t>
      </w:r>
      <w:r w:rsidR="001849F2" w:rsidRPr="004B3FF5">
        <w:t xml:space="preserve"> subcontractors </w:t>
      </w:r>
      <w:r w:rsidR="001849F2">
        <w:t>about</w:t>
      </w:r>
      <w:r w:rsidR="001849F2" w:rsidRPr="004B3FF5">
        <w:t xml:space="preserve"> their responsibilities </w:t>
      </w:r>
      <w:r w:rsidR="001849F2">
        <w:t>in an effort to increase compliance</w:t>
      </w:r>
      <w:r w:rsidR="001849F2" w:rsidRPr="004B3FF5">
        <w:t>.</w:t>
      </w:r>
      <w:r w:rsidR="001849F2" w:rsidRPr="004B3FF5">
        <w:rPr>
          <w:rStyle w:val="EndnoteReference"/>
          <w:rFonts w:cs="Arial"/>
        </w:rPr>
        <w:endnoteReference w:id="185"/>
      </w:r>
      <w:r w:rsidR="001849F2" w:rsidRPr="004B3FF5">
        <w:t xml:space="preserve"> The new regula</w:t>
      </w:r>
      <w:r w:rsidR="00133E8B">
        <w:t>tions</w:t>
      </w:r>
      <w:r w:rsidR="001849F2">
        <w:t xml:space="preserve"> seek to enhance</w:t>
      </w:r>
      <w:r w:rsidR="001849F2" w:rsidRPr="004B3FF5">
        <w:t xml:space="preserve"> information about the recruitment and employment of </w:t>
      </w:r>
      <w:r w:rsidR="001849F2">
        <w:t>people</w:t>
      </w:r>
      <w:r w:rsidR="001849F2" w:rsidRPr="004B3FF5">
        <w:t xml:space="preserve"> with disabilities to enable contractors to improve their affirmative</w:t>
      </w:r>
      <w:r w:rsidR="00560729">
        <w:t xml:space="preserve"> action</w:t>
      </w:r>
      <w:r w:rsidR="001849F2" w:rsidRPr="004B3FF5">
        <w:t xml:space="preserve"> hiring practices.</w:t>
      </w:r>
    </w:p>
    <w:p w14:paraId="0C2A9E08" w14:textId="77777777" w:rsidR="00296DA5" w:rsidRDefault="001849F2" w:rsidP="00A0214F">
      <w:pPr>
        <w:pStyle w:val="NCDBodyText"/>
      </w:pPr>
      <w:r w:rsidRPr="004B3FF5">
        <w:t>Though OFCCP is obligated to consider the burden imposed by a federal regulation on the contractors and subcontrac</w:t>
      </w:r>
      <w:r w:rsidR="00133E8B">
        <w:t xml:space="preserve">tors, several decisions made </w:t>
      </w:r>
      <w:r w:rsidR="003D69F9">
        <w:t xml:space="preserve">for </w:t>
      </w:r>
      <w:r w:rsidRPr="004B3FF5">
        <w:t>the final regulations to reduce asserted burdens weakened attempts to improve the affirmative action provisions. For example, the proposed rule included a requirement that each contractor annually invite employees to self-disclose a disability, which the OFCCP revised in the final regulation to every five years and one additional reminder within the five years.</w:t>
      </w:r>
      <w:r w:rsidRPr="004B3FF5">
        <w:rPr>
          <w:rStyle w:val="EndnoteReference"/>
          <w:rFonts w:cs="Arial"/>
        </w:rPr>
        <w:endnoteReference w:id="186"/>
      </w:r>
    </w:p>
    <w:p w14:paraId="668A7036" w14:textId="77777777" w:rsidR="00296DA5" w:rsidRDefault="001849F2" w:rsidP="00A0214F">
      <w:pPr>
        <w:pStyle w:val="NCDBodyText"/>
        <w:rPr>
          <w:b/>
        </w:rPr>
      </w:pPr>
      <w:r>
        <w:t>Given the rapid turnover in employment, especially among younger workers</w:t>
      </w:r>
      <w:r w:rsidR="003D69F9">
        <w:t>,</w:t>
      </w:r>
      <w:r w:rsidR="00133E8B">
        <w:t xml:space="preserve"> OFCCP</w:t>
      </w:r>
      <w:r w:rsidR="006474CA">
        <w:t>’</w:t>
      </w:r>
      <w:r w:rsidR="003D69F9">
        <w:t>s</w:t>
      </w:r>
      <w:r w:rsidR="00133E8B">
        <w:t xml:space="preserve"> decision to </w:t>
      </w:r>
      <w:r>
        <w:t>reduc</w:t>
      </w:r>
      <w:r w:rsidR="0057251B">
        <w:t>e</w:t>
      </w:r>
      <w:r>
        <w:t xml:space="preserve"> </w:t>
      </w:r>
      <w:r w:rsidR="00133E8B">
        <w:t xml:space="preserve">the </w:t>
      </w:r>
      <w:r>
        <w:t>voluntary disclosure opportunity</w:t>
      </w:r>
      <w:r w:rsidR="00133E8B">
        <w:t xml:space="preserve"> </w:t>
      </w:r>
      <w:r w:rsidR="0057251B">
        <w:t xml:space="preserve">required </w:t>
      </w:r>
      <w:r>
        <w:t xml:space="preserve">will produce less reliable data about the impact of affirmative action plans. </w:t>
      </w:r>
      <w:r w:rsidRPr="004B3FF5">
        <w:t>Similarly, OFCCP did not adopt the requirement to maintain a written reasonable accommodation plan</w:t>
      </w:r>
      <w:r w:rsidR="00C0635D">
        <w:t xml:space="preserve"> </w:t>
      </w:r>
      <w:r w:rsidRPr="004B3FF5">
        <w:t xml:space="preserve">or the </w:t>
      </w:r>
      <w:r w:rsidRPr="004B3FF5">
        <w:lastRenderedPageBreak/>
        <w:t xml:space="preserve">proposed changes that would have required </w:t>
      </w:r>
      <w:r w:rsidR="00133E8B">
        <w:t xml:space="preserve">federal </w:t>
      </w:r>
      <w:r w:rsidRPr="004B3FF5">
        <w:t>contractor</w:t>
      </w:r>
      <w:r w:rsidR="00133E8B">
        <w:t>s</w:t>
      </w:r>
      <w:r w:rsidRPr="004B3FF5">
        <w:t xml:space="preserve"> </w:t>
      </w:r>
      <w:r>
        <w:t xml:space="preserve">to </w:t>
      </w:r>
      <w:r w:rsidRPr="004B3FF5">
        <w:t xml:space="preserve">review personnel policies on an annual basis as opposed to an undefined </w:t>
      </w:r>
      <w:r w:rsidR="006474CA">
        <w:t>“</w:t>
      </w:r>
      <w:r w:rsidRPr="004B3FF5">
        <w:t>periodic</w:t>
      </w:r>
      <w:r w:rsidR="006474CA">
        <w:t>”</w:t>
      </w:r>
      <w:r w:rsidRPr="004B3FF5">
        <w:t xml:space="preserve"> review requirement.</w:t>
      </w:r>
      <w:r w:rsidRPr="004B3FF5">
        <w:rPr>
          <w:rStyle w:val="EndnoteReference"/>
          <w:rFonts w:cs="Arial"/>
        </w:rPr>
        <w:endnoteReference w:id="187"/>
      </w:r>
      <w:r w:rsidRPr="004B3FF5">
        <w:t xml:space="preserve"> In rejecting several of the proposed changes, OFCCP noted the </w:t>
      </w:r>
      <w:r w:rsidR="006474CA">
        <w:t>“</w:t>
      </w:r>
      <w:r w:rsidRPr="004B3FF5">
        <w:t>general affirmative action obligations</w:t>
      </w:r>
      <w:r w:rsidR="006474CA">
        <w:t>”</w:t>
      </w:r>
      <w:r w:rsidRPr="004B3FF5">
        <w:t xml:space="preserve"> of the contractors and stated the general obligations could be maintained through the flexible and less burdensome requirement of the already existing regulations.</w:t>
      </w:r>
      <w:r w:rsidRPr="004B3FF5">
        <w:rPr>
          <w:rStyle w:val="EndnoteReference"/>
          <w:rFonts w:cs="Arial"/>
        </w:rPr>
        <w:endnoteReference w:id="188"/>
      </w:r>
      <w:r w:rsidR="00584E99" w:rsidRPr="00584E99">
        <w:t xml:space="preserve"> </w:t>
      </w:r>
      <w:r w:rsidR="00584E99" w:rsidRPr="00D67BA5">
        <w:t xml:space="preserve">With the understanding that OFCCP is constrained by the requirements of Executive Orders 12866 and 13563 and subsequent guidance issued by </w:t>
      </w:r>
      <w:r w:rsidR="00C36AEC" w:rsidRPr="00D67BA5">
        <w:t>the Office of Management and Budget</w:t>
      </w:r>
      <w:r w:rsidR="00584E99" w:rsidRPr="00D67BA5">
        <w:t>, which generally require agencies to consider the cost of regulations and impose as little burden as is necessary and assess the costs and benefits of alternatives,</w:t>
      </w:r>
      <w:r w:rsidRPr="00D67BA5">
        <w:t xml:space="preserve"> </w:t>
      </w:r>
      <w:r w:rsidR="007F41FE" w:rsidRPr="00D67BA5">
        <w:rPr>
          <w:b/>
        </w:rPr>
        <w:t>NCD recommends that OFCCP</w:t>
      </w:r>
      <w:r w:rsidR="00737CCC" w:rsidRPr="00D67BA5">
        <w:rPr>
          <w:b/>
        </w:rPr>
        <w:t xml:space="preserve"> ensure the</w:t>
      </w:r>
      <w:r w:rsidR="00A5645B" w:rsidRPr="00D67BA5">
        <w:rPr>
          <w:b/>
        </w:rPr>
        <w:t xml:space="preserve"> </w:t>
      </w:r>
      <w:r w:rsidR="007F41FE" w:rsidRPr="00D67BA5">
        <w:rPr>
          <w:b/>
        </w:rPr>
        <w:t>primary focus in the devel</w:t>
      </w:r>
      <w:r w:rsidR="00133E8B" w:rsidRPr="00D67BA5">
        <w:rPr>
          <w:b/>
        </w:rPr>
        <w:t>opment of all regulations</w:t>
      </w:r>
      <w:r w:rsidR="00133E8B">
        <w:rPr>
          <w:b/>
        </w:rPr>
        <w:t>, sub-</w:t>
      </w:r>
      <w:r w:rsidR="007F41FE" w:rsidRPr="007F41FE">
        <w:rPr>
          <w:b/>
        </w:rPr>
        <w:t>regulatory guidance, and other policy materials</w:t>
      </w:r>
      <w:r w:rsidR="00C36AEC">
        <w:rPr>
          <w:b/>
        </w:rPr>
        <w:t xml:space="preserve"> pertaining to Section 503, and the portions of VEVRA </w:t>
      </w:r>
      <w:r w:rsidR="00A57BCF">
        <w:rPr>
          <w:b/>
        </w:rPr>
        <w:t>that</w:t>
      </w:r>
      <w:r w:rsidR="00C36AEC">
        <w:rPr>
          <w:b/>
        </w:rPr>
        <w:t xml:space="preserve"> address disabled veterans, </w:t>
      </w:r>
      <w:r w:rsidR="007F41FE" w:rsidRPr="007F41FE">
        <w:rPr>
          <w:b/>
        </w:rPr>
        <w:t>is the advancement of the employment opportunities for people with disabilities and not the federal contractor.</w:t>
      </w:r>
    </w:p>
    <w:p w14:paraId="41F8887F" w14:textId="59FD53F3" w:rsidR="009716D6" w:rsidRPr="004B3FF5" w:rsidRDefault="009716D6" w:rsidP="00A0214F">
      <w:pPr>
        <w:pStyle w:val="Heading3"/>
      </w:pPr>
      <w:bookmarkStart w:id="56" w:name="_Toc526182103"/>
      <w:r w:rsidRPr="004B3FF5">
        <w:t>Competent and Credible Investigative Process</w:t>
      </w:r>
      <w:r w:rsidR="001849F2">
        <w:t xml:space="preserve"> and Enforcement Action</w:t>
      </w:r>
      <w:bookmarkEnd w:id="56"/>
    </w:p>
    <w:p w14:paraId="55ADEDFE" w14:textId="77777777" w:rsidR="00296DA5" w:rsidRDefault="00221354" w:rsidP="00A0214F">
      <w:pPr>
        <w:pStyle w:val="NCDBodyText"/>
      </w:pPr>
      <w:r w:rsidRPr="004B3FF5">
        <w:t xml:space="preserve">To enforce </w:t>
      </w:r>
      <w:r w:rsidR="00D41EDD">
        <w:t>Section</w:t>
      </w:r>
      <w:r w:rsidRPr="004B3FF5">
        <w:t xml:space="preserve"> 503, OFCCP conducts </w:t>
      </w:r>
      <w:r w:rsidR="003F5A39">
        <w:t>(</w:t>
      </w:r>
      <w:r w:rsidRPr="004B3FF5">
        <w:t>1)</w:t>
      </w:r>
      <w:r w:rsidR="009716D6" w:rsidRPr="004B3FF5">
        <w:t xml:space="preserve"> </w:t>
      </w:r>
      <w:r w:rsidRPr="004B3FF5">
        <w:t>c</w:t>
      </w:r>
      <w:r w:rsidR="009716D6" w:rsidRPr="004B3FF5">
        <w:t xml:space="preserve">ompliance evaluations of selected establishments and </w:t>
      </w:r>
      <w:r w:rsidR="003F5A39">
        <w:t>(</w:t>
      </w:r>
      <w:r w:rsidR="009716D6" w:rsidRPr="004B3FF5">
        <w:t xml:space="preserve">2) </w:t>
      </w:r>
      <w:r w:rsidRPr="004B3FF5">
        <w:t>investiga</w:t>
      </w:r>
      <w:r w:rsidR="003E29D6" w:rsidRPr="004B3FF5">
        <w:t>tions of</w:t>
      </w:r>
      <w:r w:rsidRPr="004B3FF5">
        <w:t xml:space="preserve"> individual complaints</w:t>
      </w:r>
      <w:r w:rsidR="009716D6" w:rsidRPr="004B3FF5">
        <w:t xml:space="preserve"> of disability discrimination. </w:t>
      </w:r>
      <w:r w:rsidR="0076669A" w:rsidRPr="004B3FF5">
        <w:t xml:space="preserve">Every year OFCCP generates a scheduling list of contractor establishments </w:t>
      </w:r>
      <w:r w:rsidR="007268F8">
        <w:t>that</w:t>
      </w:r>
      <w:r w:rsidR="0076669A" w:rsidRPr="004B3FF5">
        <w:t xml:space="preserve"> will be subject to a review</w:t>
      </w:r>
      <w:r w:rsidR="000C1248">
        <w:t xml:space="preserve"> using data maintained by various federal agencies </w:t>
      </w:r>
      <w:r w:rsidR="003D00C5">
        <w:t>and neutral</w:t>
      </w:r>
      <w:r w:rsidR="000C1248">
        <w:t xml:space="preserve"> selection criteria</w:t>
      </w:r>
      <w:r w:rsidR="0076669A" w:rsidRPr="004B3FF5">
        <w:t xml:space="preserve">. </w:t>
      </w:r>
      <w:r w:rsidR="000C1248">
        <w:t xml:space="preserve">Mini-pools </w:t>
      </w:r>
      <w:r w:rsidR="003D69F9">
        <w:t xml:space="preserve">of selected establishments </w:t>
      </w:r>
      <w:r w:rsidR="000C1248">
        <w:t>are th</w:t>
      </w:r>
      <w:r w:rsidR="00D2576A">
        <w:t>e</w:t>
      </w:r>
      <w:r w:rsidR="000C1248">
        <w:t>n created for each of the OFCCP offices</w:t>
      </w:r>
      <w:r w:rsidR="003D69F9">
        <w:t xml:space="preserve"> to review</w:t>
      </w:r>
      <w:r w:rsidR="000C1248">
        <w:t xml:space="preserve">. </w:t>
      </w:r>
      <w:r w:rsidR="003E29D6" w:rsidRPr="004B3FF5">
        <w:t xml:space="preserve">A compliance review will typically begin with a desk </w:t>
      </w:r>
      <w:r w:rsidR="003D00C5" w:rsidRPr="004B3FF5">
        <w:t>audit and</w:t>
      </w:r>
      <w:r w:rsidR="009B7774" w:rsidRPr="004B3FF5">
        <w:t xml:space="preserve"> may </w:t>
      </w:r>
      <w:r w:rsidR="00374B19" w:rsidRPr="004B3FF5">
        <w:t>proceed to an onsite review and offsi</w:t>
      </w:r>
      <w:r w:rsidR="009B7774" w:rsidRPr="004B3FF5">
        <w:t>t</w:t>
      </w:r>
      <w:r w:rsidR="00374B19" w:rsidRPr="004B3FF5">
        <w:t>e analysis.</w:t>
      </w:r>
      <w:r w:rsidR="00374B19" w:rsidRPr="004B3FF5">
        <w:rPr>
          <w:rStyle w:val="EndnoteReference"/>
          <w:rFonts w:cs="Arial"/>
        </w:rPr>
        <w:endnoteReference w:id="189"/>
      </w:r>
      <w:r w:rsidR="003E29D6" w:rsidRPr="004B3FF5">
        <w:t xml:space="preserve"> </w:t>
      </w:r>
      <w:r w:rsidR="00133E8B">
        <w:t xml:space="preserve">As part of the review, </w:t>
      </w:r>
      <w:r w:rsidR="000C1248">
        <w:t xml:space="preserve">OFCCP asks for a comprehensive list of information from the </w:t>
      </w:r>
      <w:r w:rsidR="007268F8">
        <w:t xml:space="preserve">contractor </w:t>
      </w:r>
      <w:r w:rsidR="000C1248">
        <w:t xml:space="preserve">establishment </w:t>
      </w:r>
      <w:r w:rsidR="00A57BCF">
        <w:t>that</w:t>
      </w:r>
      <w:r w:rsidR="000C1248">
        <w:t xml:space="preserve"> covers all the laws enforced by </w:t>
      </w:r>
      <w:r w:rsidR="00133E8B">
        <w:t xml:space="preserve">the </w:t>
      </w:r>
      <w:r w:rsidR="00E42ED0">
        <w:t>OFCCP</w:t>
      </w:r>
      <w:r w:rsidR="000C1248">
        <w:t>.</w:t>
      </w:r>
    </w:p>
    <w:p w14:paraId="0DE80949" w14:textId="77777777" w:rsidR="00296DA5" w:rsidRDefault="0076669A" w:rsidP="00A0214F">
      <w:pPr>
        <w:pStyle w:val="NCDBodyText"/>
      </w:pPr>
      <w:r w:rsidRPr="004B3FF5">
        <w:t xml:space="preserve">OFCCP </w:t>
      </w:r>
      <w:r w:rsidR="00AE136D">
        <w:t xml:space="preserve">complaint </w:t>
      </w:r>
      <w:r w:rsidRPr="004B3FF5">
        <w:t>investigations</w:t>
      </w:r>
      <w:r w:rsidR="00D04415">
        <w:t xml:space="preserve"> </w:t>
      </w:r>
      <w:r w:rsidRPr="004B3FF5">
        <w:t>are conducted upon receipt of a complaint by an individual, group, or third party.</w:t>
      </w:r>
      <w:r w:rsidRPr="004B3FF5">
        <w:rPr>
          <w:rStyle w:val="EndnoteReference"/>
          <w:rFonts w:cs="Arial"/>
        </w:rPr>
        <w:endnoteReference w:id="190"/>
      </w:r>
      <w:r w:rsidR="00AE136D">
        <w:t xml:space="preserve"> </w:t>
      </w:r>
      <w:r w:rsidR="00365D86">
        <w:t xml:space="preserve">Outside of </w:t>
      </w:r>
      <w:r w:rsidR="004D784A">
        <w:t xml:space="preserve">compliance reviews and complaint investigations, there is no </w:t>
      </w:r>
      <w:r w:rsidR="0093162D">
        <w:t>additional</w:t>
      </w:r>
      <w:r w:rsidR="004D784A">
        <w:t xml:space="preserve"> oversight of Section 503 compliance efforts</w:t>
      </w:r>
      <w:r w:rsidR="00365D86">
        <w:t xml:space="preserve"> by a</w:t>
      </w:r>
      <w:r w:rsidR="00133E8B">
        <w:t xml:space="preserve"> federal</w:t>
      </w:r>
      <w:r w:rsidR="00365D86">
        <w:t xml:space="preserve"> contractor. </w:t>
      </w:r>
      <w:r w:rsidR="00FB23A9">
        <w:t>OFCCP</w:t>
      </w:r>
      <w:r w:rsidR="00365D86">
        <w:t xml:space="preserve"> emphasizes</w:t>
      </w:r>
      <w:r w:rsidR="004D784A">
        <w:t xml:space="preserve"> training and technical assistance for entities not subject to a review or investigation. </w:t>
      </w:r>
      <w:r w:rsidR="00AE136D">
        <w:t xml:space="preserve">As OFCCP is responsible for other affirmative </w:t>
      </w:r>
      <w:r w:rsidR="00AE136D">
        <w:lastRenderedPageBreak/>
        <w:t>action and equal employment opportunity laws, OFCCP compliance officers are cross trained on all laws covered by the office.</w:t>
      </w:r>
    </w:p>
    <w:p w14:paraId="6678E8AD" w14:textId="77777777" w:rsidR="00296DA5" w:rsidRDefault="00DB79F4" w:rsidP="00A0214F">
      <w:pPr>
        <w:pStyle w:val="NCDBodyText"/>
      </w:pPr>
      <w:r w:rsidRPr="004B3FF5">
        <w:t xml:space="preserve">The number of OFCCP </w:t>
      </w:r>
      <w:r w:rsidR="0076669A" w:rsidRPr="004B3FF5">
        <w:t>c</w:t>
      </w:r>
      <w:r w:rsidR="009716D6" w:rsidRPr="004B3FF5">
        <w:t xml:space="preserve">ompliance evaluations </w:t>
      </w:r>
      <w:r w:rsidR="006D1DB8">
        <w:t xml:space="preserve">have </w:t>
      </w:r>
      <w:r w:rsidR="009716D6" w:rsidRPr="004B3FF5">
        <w:t xml:space="preserve">declined significantly in the past four fiscal years. OFCCP completed 3,839 compliance evaluations in FY 2014 </w:t>
      </w:r>
      <w:r w:rsidR="00D2576A">
        <w:t>but</w:t>
      </w:r>
      <w:r w:rsidR="009716D6" w:rsidRPr="004B3FF5">
        <w:t xml:space="preserve"> only 1,142 in FY 2017.</w:t>
      </w:r>
      <w:r w:rsidR="00842409">
        <w:rPr>
          <w:rStyle w:val="EndnoteReference"/>
          <w:rFonts w:cs="Arial"/>
        </w:rPr>
        <w:endnoteReference w:id="191"/>
      </w:r>
      <w:r w:rsidR="009716D6" w:rsidRPr="004B3FF5">
        <w:t xml:space="preserve"> </w:t>
      </w:r>
      <w:r w:rsidR="00D4071B" w:rsidRPr="004B3FF5">
        <w:t xml:space="preserve">Based on </w:t>
      </w:r>
      <w:r w:rsidR="00C136BB" w:rsidRPr="004B3FF5">
        <w:t>the GAO estimate that</w:t>
      </w:r>
      <w:r w:rsidR="009716D6" w:rsidRPr="004B3FF5">
        <w:t xml:space="preserve"> 200,000 </w:t>
      </w:r>
      <w:r w:rsidR="00AE136D">
        <w:t xml:space="preserve">contractor </w:t>
      </w:r>
      <w:r w:rsidR="009716D6" w:rsidRPr="004B3FF5">
        <w:t xml:space="preserve">establishments </w:t>
      </w:r>
      <w:r w:rsidR="00C136BB" w:rsidRPr="004B3FF5">
        <w:t xml:space="preserve">are </w:t>
      </w:r>
      <w:r w:rsidR="009B7774" w:rsidRPr="004B3FF5">
        <w:t>r</w:t>
      </w:r>
      <w:r w:rsidR="00C136BB" w:rsidRPr="004B3FF5">
        <w:t xml:space="preserve">equired to comply with </w:t>
      </w:r>
      <w:r w:rsidR="00D41EDD">
        <w:t>Section</w:t>
      </w:r>
      <w:r w:rsidR="009B7774" w:rsidRPr="004B3FF5">
        <w:t xml:space="preserve"> 503</w:t>
      </w:r>
      <w:r w:rsidR="009716D6" w:rsidRPr="004B3FF5">
        <w:t xml:space="preserve">, </w:t>
      </w:r>
      <w:r w:rsidR="00C136BB" w:rsidRPr="004B3FF5">
        <w:t xml:space="preserve">the number </w:t>
      </w:r>
      <w:r w:rsidR="00D04415">
        <w:t>o</w:t>
      </w:r>
      <w:r w:rsidR="00D04415" w:rsidRPr="004B3FF5">
        <w:t xml:space="preserve">f </w:t>
      </w:r>
      <w:r w:rsidR="00C136BB" w:rsidRPr="004B3FF5">
        <w:t>compliance</w:t>
      </w:r>
      <w:r w:rsidR="009B7774" w:rsidRPr="004B3FF5">
        <w:t xml:space="preserve"> reviews </w:t>
      </w:r>
      <w:r w:rsidR="00C136BB" w:rsidRPr="004B3FF5">
        <w:t xml:space="preserve">completed in FY 2017 </w:t>
      </w:r>
      <w:r w:rsidR="009B7774" w:rsidRPr="004B3FF5">
        <w:t xml:space="preserve">represented about </w:t>
      </w:r>
      <w:r w:rsidR="00852FA8" w:rsidRPr="004B3FF5">
        <w:t>0</w:t>
      </w:r>
      <w:r w:rsidR="009716D6" w:rsidRPr="004B3FF5">
        <w:t>.</w:t>
      </w:r>
      <w:r w:rsidR="00852FA8" w:rsidRPr="004B3FF5">
        <w:t>6</w:t>
      </w:r>
      <w:r w:rsidR="002013A0" w:rsidRPr="004B3FF5">
        <w:t xml:space="preserve"> percent</w:t>
      </w:r>
      <w:r w:rsidR="00C136BB" w:rsidRPr="004B3FF5">
        <w:t xml:space="preserve"> of the total number of contractor establishment</w:t>
      </w:r>
      <w:r w:rsidR="007268F8">
        <w:t>s</w:t>
      </w:r>
      <w:r w:rsidR="009716D6" w:rsidRPr="004B3FF5">
        <w:t>.</w:t>
      </w:r>
      <w:r w:rsidR="00D2576A">
        <w:t xml:space="preserve"> I</w:t>
      </w:r>
      <w:r w:rsidR="00852FA8" w:rsidRPr="004B3FF5">
        <w:t xml:space="preserve">n </w:t>
      </w:r>
      <w:r w:rsidR="009466D7" w:rsidRPr="004B3FF5">
        <w:t xml:space="preserve">FY </w:t>
      </w:r>
      <w:r w:rsidR="00D2576A">
        <w:t>2014, OFCCP discovered</w:t>
      </w:r>
      <w:r w:rsidR="009466D7" w:rsidRPr="004B3FF5">
        <w:t xml:space="preserve"> </w:t>
      </w:r>
      <w:r w:rsidR="00D2576A">
        <w:t>Section</w:t>
      </w:r>
      <w:r w:rsidR="00D2576A" w:rsidRPr="004B3FF5">
        <w:t xml:space="preserve"> 503 </w:t>
      </w:r>
      <w:r w:rsidR="009466D7" w:rsidRPr="004B3FF5">
        <w:t>violation</w:t>
      </w:r>
      <w:r w:rsidR="00D2576A">
        <w:t>s</w:t>
      </w:r>
      <w:r w:rsidR="009466D7" w:rsidRPr="004B3FF5">
        <w:t xml:space="preserve"> </w:t>
      </w:r>
      <w:r w:rsidR="00C136BB" w:rsidRPr="004B3FF5">
        <w:t>in about 13 percent</w:t>
      </w:r>
      <w:r w:rsidR="009466D7" w:rsidRPr="004B3FF5">
        <w:t xml:space="preserve"> of the revi</w:t>
      </w:r>
      <w:r w:rsidR="001F7AF8" w:rsidRPr="004B3FF5">
        <w:t>ews.</w:t>
      </w:r>
      <w:r w:rsidR="00CA4465">
        <w:t xml:space="preserve"> Between FY 2015 and 2017 the violation rate declined to about </w:t>
      </w:r>
      <w:r w:rsidR="00C136BB" w:rsidRPr="004B3FF5">
        <w:t>5 percent</w:t>
      </w:r>
      <w:r w:rsidR="009466D7" w:rsidRPr="004B3FF5">
        <w:t xml:space="preserve"> </w:t>
      </w:r>
      <w:r w:rsidR="00CA4465">
        <w:t>of the reviews</w:t>
      </w:r>
      <w:r w:rsidR="009466D7" w:rsidRPr="004B3FF5">
        <w:t>.</w:t>
      </w:r>
    </w:p>
    <w:p w14:paraId="0D947C8C" w14:textId="77777777" w:rsidR="00296DA5" w:rsidRDefault="00AE136D" w:rsidP="00A0214F">
      <w:pPr>
        <w:pStyle w:val="NCDBodyText"/>
      </w:pPr>
      <w:r>
        <w:t xml:space="preserve">OFCCP data on </w:t>
      </w:r>
      <w:r w:rsidRPr="004B3FF5">
        <w:t>closed</w:t>
      </w:r>
      <w:r>
        <w:t xml:space="preserve"> </w:t>
      </w:r>
      <w:r w:rsidR="00D41EDD">
        <w:t>Section</w:t>
      </w:r>
      <w:r>
        <w:t xml:space="preserve"> 503 </w:t>
      </w:r>
      <w:r w:rsidR="00C136BB" w:rsidRPr="004B3FF5">
        <w:t>compliance reviews during FY 2008 to 2017</w:t>
      </w:r>
      <w:r>
        <w:t xml:space="preserve"> indicate that</w:t>
      </w:r>
      <w:r w:rsidR="00365D86">
        <w:t xml:space="preserve"> </w:t>
      </w:r>
      <w:r w:rsidR="00C136BB" w:rsidRPr="004B3FF5">
        <w:t>188 establishments we</w:t>
      </w:r>
      <w:r>
        <w:t xml:space="preserve">re found to have violated </w:t>
      </w:r>
      <w:r w:rsidR="00D41EDD">
        <w:t>Section</w:t>
      </w:r>
      <w:r w:rsidR="00C136BB" w:rsidRPr="004B3FF5">
        <w:t xml:space="preserve"> 503.</w:t>
      </w:r>
      <w:r w:rsidR="003D69F9">
        <w:rPr>
          <w:rStyle w:val="EndnoteReference"/>
          <w:rFonts w:cs="Arial"/>
        </w:rPr>
        <w:endnoteReference w:id="192"/>
      </w:r>
      <w:r w:rsidR="00C136BB" w:rsidRPr="004B3FF5">
        <w:t xml:space="preserve"> Of these establishments, OFCCP found 45 establishments violated the requirement to provide a reasonable accommodation, </w:t>
      </w:r>
      <w:r w:rsidR="00DB79F4" w:rsidRPr="004B3FF5">
        <w:t>34 establishment</w:t>
      </w:r>
      <w:r w:rsidR="00CA4465">
        <w:t>s</w:t>
      </w:r>
      <w:r w:rsidR="00DB79F4" w:rsidRPr="004B3FF5">
        <w:t xml:space="preserve"> violated the recruitment requirements, and </w:t>
      </w:r>
      <w:r w:rsidR="00C136BB" w:rsidRPr="004B3FF5">
        <w:t>29 establishments</w:t>
      </w:r>
      <w:r w:rsidR="00DB79F4" w:rsidRPr="004B3FF5">
        <w:t xml:space="preserve"> </w:t>
      </w:r>
      <w:r w:rsidR="00C136BB" w:rsidRPr="004B3FF5">
        <w:t>violated the affirmative action program re</w:t>
      </w:r>
      <w:r w:rsidR="00DB79F4" w:rsidRPr="004B3FF5">
        <w:t>quirements</w:t>
      </w:r>
      <w:r w:rsidR="00C136BB" w:rsidRPr="004B3FF5">
        <w:t>.</w:t>
      </w:r>
      <w:r w:rsidR="00DB79F4" w:rsidRPr="004B3FF5">
        <w:t xml:space="preserve"> OFCCP conducted such a small p</w:t>
      </w:r>
      <w:r w:rsidR="00A223F1">
        <w:t xml:space="preserve">ercentage of compliance reviews </w:t>
      </w:r>
      <w:r w:rsidR="0057251B">
        <w:t>that</w:t>
      </w:r>
      <w:r w:rsidR="00DB79F4" w:rsidRPr="004B3FF5">
        <w:t xml:space="preserve"> it </w:t>
      </w:r>
      <w:r w:rsidR="00365B63" w:rsidRPr="004B3FF5">
        <w:t>is</w:t>
      </w:r>
      <w:r w:rsidR="0057251B">
        <w:t xml:space="preserve"> </w:t>
      </w:r>
      <w:r w:rsidR="00DB79F4" w:rsidRPr="004B3FF5">
        <w:t xml:space="preserve">difficult to assess any systemic patterns in </w:t>
      </w:r>
      <w:r w:rsidR="00CA4465">
        <w:t xml:space="preserve">Section </w:t>
      </w:r>
      <w:r w:rsidR="00DB79F4" w:rsidRPr="004B3FF5">
        <w:t xml:space="preserve">503 </w:t>
      </w:r>
      <w:r w:rsidR="0093162D">
        <w:t xml:space="preserve">violations based on the </w:t>
      </w:r>
      <w:r w:rsidR="00DB79F4" w:rsidRPr="004B3FF5">
        <w:t>data.</w:t>
      </w:r>
    </w:p>
    <w:p w14:paraId="448A588F" w14:textId="77777777" w:rsidR="00296DA5" w:rsidRDefault="00E241CD" w:rsidP="00A0214F">
      <w:pPr>
        <w:pStyle w:val="NCDBodyText"/>
      </w:pPr>
      <w:r w:rsidRPr="004B3FF5">
        <w:t>According to the</w:t>
      </w:r>
      <w:r w:rsidR="00A92095">
        <w:t xml:space="preserve"> </w:t>
      </w:r>
      <w:r w:rsidR="00556439">
        <w:t>2016</w:t>
      </w:r>
      <w:r w:rsidR="00352BE2">
        <w:t xml:space="preserve"> </w:t>
      </w:r>
      <w:r w:rsidRPr="004B3FF5">
        <w:t>G</w:t>
      </w:r>
      <w:r w:rsidR="003D69F9">
        <w:t xml:space="preserve">AO report, the manner in which </w:t>
      </w:r>
      <w:r w:rsidRPr="004B3FF5">
        <w:t>OFCCP select</w:t>
      </w:r>
      <w:r w:rsidR="003D69F9">
        <w:t>s</w:t>
      </w:r>
      <w:r w:rsidRPr="004B3FF5">
        <w:t xml:space="preserve"> contractors for compliance review</w:t>
      </w:r>
      <w:r w:rsidR="00365D86">
        <w:t>s</w:t>
      </w:r>
      <w:r w:rsidRPr="004B3FF5">
        <w:t xml:space="preserve"> fails to ensure tho</w:t>
      </w:r>
      <w:r w:rsidR="006D1DB8">
        <w:t xml:space="preserve">se at highest risk of </w:t>
      </w:r>
      <w:r w:rsidR="0057251B">
        <w:t>violations</w:t>
      </w:r>
      <w:r w:rsidRPr="004B3FF5">
        <w:t xml:space="preserve"> are reviewed.</w:t>
      </w:r>
      <w:r w:rsidRPr="004B3FF5">
        <w:rPr>
          <w:rStyle w:val="EndnoteReference"/>
          <w:rFonts w:cs="Arial"/>
        </w:rPr>
        <w:endnoteReference w:id="193"/>
      </w:r>
      <w:r w:rsidRPr="004B3FF5">
        <w:t xml:space="preserve"> </w:t>
      </w:r>
      <w:r w:rsidR="00AE136D">
        <w:t>While noting OFCCP</w:t>
      </w:r>
      <w:r w:rsidR="006474CA">
        <w:t>’</w:t>
      </w:r>
      <w:r w:rsidR="00175E12">
        <w:t>s position that a neutral selection process require</w:t>
      </w:r>
      <w:r w:rsidR="0093162D">
        <w:t>d</w:t>
      </w:r>
      <w:r w:rsidR="00175E12">
        <w:t xml:space="preserve"> under the Fourth</w:t>
      </w:r>
      <w:r w:rsidR="00AE136D">
        <w:t xml:space="preserve"> Amendment </w:t>
      </w:r>
      <w:r w:rsidR="00175E12">
        <w:t xml:space="preserve">of the U.S. Constitution is not necessarily random, </w:t>
      </w:r>
      <w:r w:rsidR="00AE136D">
        <w:t>t</w:t>
      </w:r>
      <w:r w:rsidRPr="004B3FF5">
        <w:t xml:space="preserve">he GAO reported the sample </w:t>
      </w:r>
      <w:r w:rsidR="00CA4465">
        <w:t xml:space="preserve">of contractor establishments </w:t>
      </w:r>
      <w:r w:rsidRPr="004B3FF5">
        <w:t xml:space="preserve">drawn for selection </w:t>
      </w:r>
      <w:r w:rsidR="00CA4465">
        <w:t>for</w:t>
      </w:r>
      <w:r w:rsidRPr="004B3FF5">
        <w:t xml:space="preserve"> reviews is </w:t>
      </w:r>
      <w:r w:rsidR="00F860BB" w:rsidRPr="004B3FF5">
        <w:t>not generalizable</w:t>
      </w:r>
      <w:r w:rsidR="006102F2">
        <w:t>,</w:t>
      </w:r>
      <w:r w:rsidR="00F860BB" w:rsidRPr="004B3FF5">
        <w:t xml:space="preserve"> so no </w:t>
      </w:r>
      <w:r w:rsidRPr="004B3FF5">
        <w:t xml:space="preserve">conclusions about </w:t>
      </w:r>
      <w:r w:rsidR="00444926">
        <w:t>non</w:t>
      </w:r>
      <w:r w:rsidRPr="004B3FF5">
        <w:t>compliance can be drawn from the sample.</w:t>
      </w:r>
      <w:r w:rsidRPr="004B3FF5">
        <w:rPr>
          <w:rStyle w:val="EndnoteReference"/>
          <w:rFonts w:cs="Arial"/>
        </w:rPr>
        <w:endnoteReference w:id="194"/>
      </w:r>
      <w:r w:rsidR="005F15DB" w:rsidRPr="004B3FF5">
        <w:t xml:space="preserve"> In addition, the GAO expressed concern with imbalances in how compliance reviews were allocated across the OFCCP </w:t>
      </w:r>
      <w:r w:rsidR="000000A7" w:rsidRPr="004B3FF5">
        <w:t>offices</w:t>
      </w:r>
      <w:r w:rsidR="00887A2B">
        <w:t>, not</w:t>
      </w:r>
      <w:r w:rsidR="004D784A">
        <w:t>ing that OFCCP staffing levels in the district offices</w:t>
      </w:r>
      <w:r w:rsidR="00CA4465">
        <w:t xml:space="preserve"> do not g</w:t>
      </w:r>
      <w:r w:rsidR="004D784A">
        <w:t>eographically correspond to the distribution of federal contractors.</w:t>
      </w:r>
      <w:r w:rsidR="005F15DB" w:rsidRPr="004B3FF5">
        <w:rPr>
          <w:rStyle w:val="EndnoteReference"/>
          <w:rFonts w:cs="Arial"/>
        </w:rPr>
        <w:endnoteReference w:id="195"/>
      </w:r>
      <w:r w:rsidR="00A83D3D">
        <w:t xml:space="preserve"> OFCCP indicated the selection process is no</w:t>
      </w:r>
      <w:r w:rsidR="00AD68DB">
        <w:t>t randomized, in part to ensure</w:t>
      </w:r>
      <w:r w:rsidR="00A83D3D">
        <w:t xml:space="preserve"> </w:t>
      </w:r>
      <w:r w:rsidR="00AD68DB">
        <w:t xml:space="preserve">contractor </w:t>
      </w:r>
      <w:r w:rsidR="00A83D3D">
        <w:t>establishments</w:t>
      </w:r>
      <w:r w:rsidR="00AD68DB">
        <w:t xml:space="preserve"> of sufficient size</w:t>
      </w:r>
      <w:r w:rsidR="00A83D3D">
        <w:t xml:space="preserve"> are selected to identify systemic problems.</w:t>
      </w:r>
      <w:r w:rsidR="00AD68DB">
        <w:t xml:space="preserve"> </w:t>
      </w:r>
      <w:r w:rsidR="006102F2">
        <w:t>OFCCP</w:t>
      </w:r>
      <w:r w:rsidR="00AD68DB">
        <w:t xml:space="preserve"> </w:t>
      </w:r>
      <w:r w:rsidR="00C9313D">
        <w:t xml:space="preserve">also seeks to </w:t>
      </w:r>
      <w:r w:rsidR="00D2576A">
        <w:t>complete</w:t>
      </w:r>
      <w:r w:rsidR="003D69F9">
        <w:t xml:space="preserve"> a</w:t>
      </w:r>
      <w:r w:rsidR="00C9313D">
        <w:t xml:space="preserve"> smaller number of quality reviews </w:t>
      </w:r>
      <w:r w:rsidR="00D2576A">
        <w:t>rather than</w:t>
      </w:r>
      <w:r w:rsidR="00C9313D">
        <w:t xml:space="preserve"> a larger number of more superficial reviews.</w:t>
      </w:r>
      <w:r w:rsidR="003D69F9">
        <w:t xml:space="preserve"> </w:t>
      </w:r>
      <w:r w:rsidRPr="004B3FF5">
        <w:t xml:space="preserve">OFCCP is seeking ways to increase </w:t>
      </w:r>
      <w:r w:rsidRPr="004B3FF5">
        <w:lastRenderedPageBreak/>
        <w:t xml:space="preserve">the number of compliance reviews through </w:t>
      </w:r>
      <w:r w:rsidR="00D37B93">
        <w:t>re</w:t>
      </w:r>
      <w:r w:rsidRPr="004B3FF5">
        <w:t>assignment of establishments selected for a review in response to the GAO report.</w:t>
      </w:r>
    </w:p>
    <w:p w14:paraId="291ED5CA" w14:textId="77777777" w:rsidR="00296DA5" w:rsidRDefault="00316ACA" w:rsidP="00A0214F">
      <w:pPr>
        <w:pStyle w:val="NCDBodyText"/>
        <w:rPr>
          <w:b/>
        </w:rPr>
      </w:pPr>
      <w:r w:rsidRPr="004B3FF5">
        <w:t xml:space="preserve">OFCCP only reviews contractor written affirmative action plans and voluntary self-disclosure procedures required under </w:t>
      </w:r>
      <w:r w:rsidR="00D41EDD">
        <w:t>Section</w:t>
      </w:r>
      <w:r w:rsidRPr="004B3FF5">
        <w:t xml:space="preserve"> 503 upon conducting a compliance review or an investigation. Federal contractors who </w:t>
      </w:r>
      <w:r w:rsidR="0018299E">
        <w:t>me</w:t>
      </w:r>
      <w:r w:rsidR="00CA4465">
        <w:t>e</w:t>
      </w:r>
      <w:r w:rsidR="0018299E">
        <w:t>t the 50 employee and $50,000 amount thresholds</w:t>
      </w:r>
      <w:r w:rsidR="00DB1A99" w:rsidRPr="004B3FF5">
        <w:t>, however,</w:t>
      </w:r>
      <w:r w:rsidRPr="004B3FF5">
        <w:t xml:space="preserve"> are required to develop such plans within 120 days of receipt of a federal contract.</w:t>
      </w:r>
      <w:r w:rsidR="003909E6" w:rsidRPr="003909E6">
        <w:t xml:space="preserve"> </w:t>
      </w:r>
      <w:r w:rsidR="003909E6" w:rsidRPr="003909E6">
        <w:rPr>
          <w:b/>
        </w:rPr>
        <w:t>NCD recommends that OFCCP develop new procedures outside of the compliance review process, such as a random request for affirmative action plans of contractor establishments, to better ensure compliance with the Section 503 written affirmative action requirements.</w:t>
      </w:r>
    </w:p>
    <w:p w14:paraId="549CA13C" w14:textId="77777777" w:rsidR="00296DA5" w:rsidRDefault="000000A7" w:rsidP="00A0214F">
      <w:pPr>
        <w:pStyle w:val="NCDBodyText"/>
      </w:pPr>
      <w:r w:rsidRPr="004B3FF5">
        <w:t xml:space="preserve">According to OFCCP investigations data, between FY 2008 and 2017 the agency completed 1,428 investigations of </w:t>
      </w:r>
      <w:r w:rsidR="00C9313D">
        <w:t xml:space="preserve">complaints filed against </w:t>
      </w:r>
      <w:r w:rsidR="00CA4465">
        <w:t>federal</w:t>
      </w:r>
      <w:r w:rsidRPr="004B3FF5">
        <w:t xml:space="preserve"> contractor</w:t>
      </w:r>
      <w:r w:rsidR="00C9313D">
        <w:t>s</w:t>
      </w:r>
      <w:r w:rsidRPr="004B3FF5">
        <w:t>. Of these inve</w:t>
      </w:r>
      <w:r w:rsidR="00DB1A99" w:rsidRPr="004B3FF5">
        <w:t>stigations, 44 percent</w:t>
      </w:r>
      <w:r w:rsidRPr="004B3FF5">
        <w:t>, or 627 investigations</w:t>
      </w:r>
      <w:r w:rsidR="00DB1A99" w:rsidRPr="004B3FF5">
        <w:t>,</w:t>
      </w:r>
      <w:r w:rsidRPr="004B3FF5">
        <w:t xml:space="preserve"> involved a disability complaint</w:t>
      </w:r>
      <w:r w:rsidR="00365B63" w:rsidRPr="004B3FF5">
        <w:t xml:space="preserve"> with 24 </w:t>
      </w:r>
      <w:r w:rsidR="00DB1A99" w:rsidRPr="004B3FF5">
        <w:t xml:space="preserve">of these </w:t>
      </w:r>
      <w:r w:rsidR="00365B63" w:rsidRPr="004B3FF5">
        <w:t>investigations classified as class action. OFCCP found a violation i</w:t>
      </w:r>
      <w:r w:rsidRPr="004B3FF5">
        <w:t>n 72 of the</w:t>
      </w:r>
      <w:r w:rsidR="00365B63" w:rsidRPr="004B3FF5">
        <w:t>se</w:t>
      </w:r>
      <w:r w:rsidRPr="004B3FF5">
        <w:t xml:space="preserve"> disability investigations</w:t>
      </w:r>
      <w:r w:rsidR="00365B63" w:rsidRPr="004B3FF5">
        <w:t xml:space="preserve">, </w:t>
      </w:r>
      <w:r w:rsidR="00DB1A99" w:rsidRPr="004B3FF5">
        <w:t>four</w:t>
      </w:r>
      <w:r w:rsidR="00365B63" w:rsidRPr="004B3FF5">
        <w:t xml:space="preserve"> of which involved class action investigations.</w:t>
      </w:r>
    </w:p>
    <w:p w14:paraId="644DFAEC" w14:textId="77777777" w:rsidR="00296DA5" w:rsidRDefault="009466D7" w:rsidP="00A0214F">
      <w:pPr>
        <w:pStyle w:val="NCDBodyText"/>
      </w:pPr>
      <w:r w:rsidRPr="004B3FF5">
        <w:t>OFCCP resolve</w:t>
      </w:r>
      <w:r w:rsidR="006D1DB8">
        <w:t>s</w:t>
      </w:r>
      <w:r w:rsidR="003D69F9">
        <w:t xml:space="preserve"> almost all </w:t>
      </w:r>
      <w:r w:rsidR="00053876" w:rsidRPr="004B3FF5">
        <w:t xml:space="preserve">violations </w:t>
      </w:r>
      <w:r w:rsidR="00D2576A" w:rsidRPr="004B3FF5">
        <w:t>discovered</w:t>
      </w:r>
      <w:r w:rsidR="00D2576A">
        <w:t xml:space="preserve"> </w:t>
      </w:r>
      <w:r w:rsidR="00C9027B">
        <w:t xml:space="preserve">through </w:t>
      </w:r>
      <w:r w:rsidR="00053876" w:rsidRPr="004B3FF5">
        <w:t>conciliation</w:t>
      </w:r>
      <w:r w:rsidRPr="004B3FF5">
        <w:t xml:space="preserve"> agreements.</w:t>
      </w:r>
      <w:r w:rsidRPr="004B3FF5">
        <w:rPr>
          <w:rStyle w:val="EndnoteReference"/>
          <w:rFonts w:cs="Arial"/>
        </w:rPr>
        <w:endnoteReference w:id="196"/>
      </w:r>
      <w:r w:rsidRPr="004B3FF5">
        <w:t xml:space="preserve"> A very small number of cases not resolved through conciliation </w:t>
      </w:r>
      <w:r w:rsidR="006D1DB8">
        <w:t xml:space="preserve">are </w:t>
      </w:r>
      <w:r w:rsidRPr="004B3FF5">
        <w:t xml:space="preserve">referred to the Office of the Solicitor. According </w:t>
      </w:r>
      <w:r w:rsidR="00122FC3" w:rsidRPr="004B3FF5">
        <w:t>the</w:t>
      </w:r>
      <w:r w:rsidRPr="004B3FF5">
        <w:t xml:space="preserve"> 2016 </w:t>
      </w:r>
      <w:r w:rsidR="001F7AF8" w:rsidRPr="004B3FF5">
        <w:t xml:space="preserve">GAO </w:t>
      </w:r>
      <w:r w:rsidRPr="004B3FF5">
        <w:t>report,</w:t>
      </w:r>
      <w:r w:rsidR="003D69F9">
        <w:rPr>
          <w:rStyle w:val="EndnoteReference"/>
          <w:rFonts w:cs="Arial"/>
        </w:rPr>
        <w:endnoteReference w:id="197"/>
      </w:r>
      <w:r w:rsidRPr="004B3FF5">
        <w:t xml:space="preserve"> and confirmed by OFCCP, deba</w:t>
      </w:r>
      <w:r w:rsidR="00122FC3" w:rsidRPr="004B3FF5">
        <w:t>rments are rare</w:t>
      </w:r>
      <w:r w:rsidR="00D2576A">
        <w:t>ly, if ever</w:t>
      </w:r>
      <w:r w:rsidR="00122FC3" w:rsidRPr="004B3FF5">
        <w:t xml:space="preserve"> used. </w:t>
      </w:r>
      <w:r w:rsidRPr="004B3FF5">
        <w:t xml:space="preserve">The GAO reported </w:t>
      </w:r>
      <w:r w:rsidR="006474CA">
        <w:t>“</w:t>
      </w:r>
      <w:r w:rsidRPr="004B3FF5">
        <w:t>OFCCP officials told [the GAO] they prefer to obtain compliance through conciliation agreements over debarment because contractor</w:t>
      </w:r>
      <w:r w:rsidR="0057251B">
        <w:t>s</w:t>
      </w:r>
      <w:r w:rsidRPr="004B3FF5">
        <w:t xml:space="preserve"> who are debarred are no longer under OFCCP</w:t>
      </w:r>
      <w:r w:rsidR="006474CA">
        <w:t>’</w:t>
      </w:r>
      <w:r w:rsidRPr="004B3FF5">
        <w:t>s jurisdiction and not subject to the worker protection requirements the agency oversees.</w:t>
      </w:r>
      <w:r w:rsidR="006474CA">
        <w:t>”</w:t>
      </w:r>
      <w:r w:rsidRPr="004B3FF5">
        <w:rPr>
          <w:rStyle w:val="EndnoteReference"/>
          <w:rFonts w:cs="Arial"/>
        </w:rPr>
        <w:endnoteReference w:id="198"/>
      </w:r>
      <w:r w:rsidR="00AB071A">
        <w:t xml:space="preserve"> </w:t>
      </w:r>
      <w:r w:rsidR="0057251B">
        <w:t>Despite</w:t>
      </w:r>
      <w:r w:rsidR="00AB071A">
        <w:t xml:space="preserve"> th</w:t>
      </w:r>
      <w:r w:rsidR="0057251B">
        <w:t>e preference against debarment</w:t>
      </w:r>
      <w:r w:rsidR="00AB071A">
        <w:t xml:space="preserve"> reported by the GAO,</w:t>
      </w:r>
      <w:r w:rsidR="00C36AEC">
        <w:t xml:space="preserve"> the Office of the Solicitor indicates that debarment is used as a strategic incentive to move contractors to compliance. OFCCP cannot impose monetary penalties. Relief is limited to </w:t>
      </w:r>
      <w:r w:rsidR="006474CA">
        <w:t>“</w:t>
      </w:r>
      <w:r w:rsidR="00C36AEC">
        <w:t>make whole relief</w:t>
      </w:r>
      <w:r w:rsidR="00A57BCF">
        <w:t>,</w:t>
      </w:r>
      <w:r w:rsidR="006474CA">
        <w:t>”</w:t>
      </w:r>
      <w:r w:rsidR="00C36AEC">
        <w:t xml:space="preserve"> which returns the employee to the position they would be in had they not been a victim of discrimination, such as reinstatement and award of back pay. At the conclusion of litigation, if the contractor does not prevail</w:t>
      </w:r>
      <w:r w:rsidR="00651052">
        <w:t>,</w:t>
      </w:r>
      <w:r w:rsidR="00C36AEC">
        <w:t xml:space="preserve"> the final decision gives the contractor the choice </w:t>
      </w:r>
      <w:r w:rsidR="00651052">
        <w:t xml:space="preserve">either </w:t>
      </w:r>
      <w:r w:rsidR="00C36AEC">
        <w:t xml:space="preserve">to remedy the violation within 60 days of the decision or be debarred. </w:t>
      </w:r>
      <w:r w:rsidR="00C36AEC">
        <w:lastRenderedPageBreak/>
        <w:t>Facing this choice, debarment is rarely necessary because the contractor makes the decision to comply.</w:t>
      </w:r>
    </w:p>
    <w:p w14:paraId="012E0971" w14:textId="77777777" w:rsidR="00296DA5" w:rsidRDefault="003D69F9" w:rsidP="00A0214F">
      <w:pPr>
        <w:pStyle w:val="NCDBodyText"/>
      </w:pPr>
      <w:r w:rsidRPr="004B3FF5">
        <w:t xml:space="preserve">Even with </w:t>
      </w:r>
      <w:r>
        <w:t>a</w:t>
      </w:r>
      <w:r w:rsidRPr="004B3FF5">
        <w:t xml:space="preserve"> small number</w:t>
      </w:r>
      <w:r>
        <w:t xml:space="preserve"> of compliance reviews conducted each year</w:t>
      </w:r>
      <w:r w:rsidRPr="004B3FF5">
        <w:t xml:space="preserve">, </w:t>
      </w:r>
      <w:r w:rsidR="00C36AEC">
        <w:t xml:space="preserve">OFCCP gives the contractor 45 days prior notice to the commencement of a compliance review and additionally gives the contractor 30 days to provide its Affirmative Action </w:t>
      </w:r>
      <w:r w:rsidR="00C36AEC" w:rsidRPr="00412A3B">
        <w:t>Program</w:t>
      </w:r>
      <w:r w:rsidR="0020003D" w:rsidRPr="00412A3B">
        <w:t xml:space="preserve"> to</w:t>
      </w:r>
      <w:r w:rsidR="0020003D">
        <w:t xml:space="preserve"> OFCCP for review. </w:t>
      </w:r>
      <w:r w:rsidR="0020003D" w:rsidRPr="0020003D">
        <w:t>Since there is a minimal chance OFCCP will select an individual establishment for a review in a given year, and the advance notice enables the contractor to correct deficiencies, a federal contractor has little incentive to rigorously comply based on OFCCP current enforcement policies. Given the small number of OFCCP compliance reviews</w:t>
      </w:r>
      <w:r w:rsidR="005954E8">
        <w:t>,</w:t>
      </w:r>
      <w:r w:rsidR="0020003D" w:rsidRPr="0020003D">
        <w:t xml:space="preserve"> this practice dilutes the overall impact of the OFCCP compliance evaluations on all covered federal contractors</w:t>
      </w:r>
      <w:r w:rsidRPr="004B3FF5">
        <w:t>.</w:t>
      </w:r>
      <w:r>
        <w:t xml:space="preserve"> </w:t>
      </w:r>
      <w:r w:rsidR="003909E6" w:rsidRPr="003909E6">
        <w:rPr>
          <w:b/>
        </w:rPr>
        <w:t>NCD recommends that OFCCP modify its procedure</w:t>
      </w:r>
      <w:r>
        <w:rPr>
          <w:b/>
        </w:rPr>
        <w:t>s</w:t>
      </w:r>
      <w:r w:rsidR="003909E6" w:rsidRPr="003909E6">
        <w:rPr>
          <w:b/>
        </w:rPr>
        <w:t xml:space="preserve"> pert</w:t>
      </w:r>
      <w:r w:rsidR="003C232E">
        <w:rPr>
          <w:b/>
        </w:rPr>
        <w:t xml:space="preserve">aining to compliance reviews by </w:t>
      </w:r>
      <w:r w:rsidR="00A57BCF">
        <w:rPr>
          <w:b/>
        </w:rPr>
        <w:t>(</w:t>
      </w:r>
      <w:r w:rsidR="005954E8">
        <w:rPr>
          <w:b/>
        </w:rPr>
        <w:t>1</w:t>
      </w:r>
      <w:r w:rsidR="003C232E">
        <w:rPr>
          <w:b/>
        </w:rPr>
        <w:t>) e</w:t>
      </w:r>
      <w:r w:rsidR="003909E6" w:rsidRPr="003909E6">
        <w:rPr>
          <w:b/>
        </w:rPr>
        <w:t xml:space="preserve">liminating </w:t>
      </w:r>
      <w:r w:rsidR="00C36AEC">
        <w:rPr>
          <w:b/>
        </w:rPr>
        <w:t xml:space="preserve">advance notice to contractors that have been chosen for compliance reviews </w:t>
      </w:r>
      <w:r w:rsidR="003909E6" w:rsidRPr="003909E6">
        <w:rPr>
          <w:b/>
        </w:rPr>
        <w:t>to increase the deterrent i</w:t>
      </w:r>
      <w:r w:rsidR="003C232E">
        <w:rPr>
          <w:b/>
        </w:rPr>
        <w:t xml:space="preserve">mpact of reviews; </w:t>
      </w:r>
      <w:r w:rsidR="00A57BCF">
        <w:rPr>
          <w:b/>
        </w:rPr>
        <w:t>(</w:t>
      </w:r>
      <w:r w:rsidR="005954E8">
        <w:rPr>
          <w:b/>
        </w:rPr>
        <w:t>2</w:t>
      </w:r>
      <w:r w:rsidR="003C232E">
        <w:rPr>
          <w:b/>
        </w:rPr>
        <w:t>) c</w:t>
      </w:r>
      <w:r w:rsidR="003909E6" w:rsidRPr="003909E6">
        <w:rPr>
          <w:b/>
        </w:rPr>
        <w:t>onduct</w:t>
      </w:r>
      <w:r w:rsidR="003909E6">
        <w:rPr>
          <w:b/>
        </w:rPr>
        <w:t>ing</w:t>
      </w:r>
      <w:r w:rsidR="003909E6" w:rsidRPr="003909E6">
        <w:rPr>
          <w:b/>
        </w:rPr>
        <w:t xml:space="preserve"> a larger number of compliance r</w:t>
      </w:r>
      <w:r>
        <w:rPr>
          <w:b/>
        </w:rPr>
        <w:t xml:space="preserve">eviews </w:t>
      </w:r>
      <w:r w:rsidR="003343E6">
        <w:rPr>
          <w:b/>
        </w:rPr>
        <w:t xml:space="preserve">that </w:t>
      </w:r>
      <w:r>
        <w:rPr>
          <w:b/>
        </w:rPr>
        <w:t>are less in</w:t>
      </w:r>
      <w:r w:rsidR="003343E6">
        <w:rPr>
          <w:b/>
        </w:rPr>
        <w:t xml:space="preserve"> </w:t>
      </w:r>
      <w:r>
        <w:rPr>
          <w:b/>
        </w:rPr>
        <w:t>depth and focused</w:t>
      </w:r>
      <w:r w:rsidR="003909E6" w:rsidRPr="003909E6">
        <w:rPr>
          <w:b/>
        </w:rPr>
        <w:t xml:space="preserve"> on common infractions, </w:t>
      </w:r>
      <w:r>
        <w:rPr>
          <w:b/>
        </w:rPr>
        <w:t xml:space="preserve">and </w:t>
      </w:r>
      <w:r w:rsidR="003909E6" w:rsidRPr="003909E6">
        <w:rPr>
          <w:b/>
        </w:rPr>
        <w:t xml:space="preserve">if </w:t>
      </w:r>
      <w:r>
        <w:rPr>
          <w:b/>
        </w:rPr>
        <w:t xml:space="preserve">an </w:t>
      </w:r>
      <w:r w:rsidR="003909E6" w:rsidRPr="003909E6">
        <w:rPr>
          <w:b/>
        </w:rPr>
        <w:t xml:space="preserve">infraction </w:t>
      </w:r>
      <w:r>
        <w:rPr>
          <w:b/>
        </w:rPr>
        <w:t xml:space="preserve">is found, expanding the scope of the </w:t>
      </w:r>
      <w:r w:rsidR="003C232E">
        <w:rPr>
          <w:b/>
        </w:rPr>
        <w:t xml:space="preserve">review; </w:t>
      </w:r>
      <w:r w:rsidR="00A57BCF">
        <w:rPr>
          <w:b/>
        </w:rPr>
        <w:t>(</w:t>
      </w:r>
      <w:r w:rsidR="005954E8">
        <w:rPr>
          <w:b/>
        </w:rPr>
        <w:t>3</w:t>
      </w:r>
      <w:r w:rsidR="003C232E">
        <w:rPr>
          <w:b/>
        </w:rPr>
        <w:t xml:space="preserve">) </w:t>
      </w:r>
      <w:r>
        <w:rPr>
          <w:b/>
        </w:rPr>
        <w:t>c</w:t>
      </w:r>
      <w:r w:rsidR="00133E8B">
        <w:rPr>
          <w:b/>
        </w:rPr>
        <w:t>hoosing</w:t>
      </w:r>
      <w:r w:rsidR="003909E6">
        <w:rPr>
          <w:b/>
        </w:rPr>
        <w:t xml:space="preserve"> contractor establishments</w:t>
      </w:r>
      <w:r w:rsidR="003909E6" w:rsidRPr="003909E6">
        <w:rPr>
          <w:b/>
        </w:rPr>
        <w:t xml:space="preserve"> for a review </w:t>
      </w:r>
      <w:r>
        <w:rPr>
          <w:b/>
        </w:rPr>
        <w:t>that</w:t>
      </w:r>
      <w:r w:rsidR="00556439">
        <w:rPr>
          <w:b/>
        </w:rPr>
        <w:t xml:space="preserve"> possess </w:t>
      </w:r>
      <w:r w:rsidR="003909E6" w:rsidRPr="003909E6">
        <w:rPr>
          <w:b/>
        </w:rPr>
        <w:t xml:space="preserve">risk </w:t>
      </w:r>
      <w:r>
        <w:rPr>
          <w:b/>
        </w:rPr>
        <w:t>factors for S</w:t>
      </w:r>
      <w:r w:rsidRPr="003909E6">
        <w:rPr>
          <w:b/>
        </w:rPr>
        <w:t>ection 503</w:t>
      </w:r>
      <w:r>
        <w:rPr>
          <w:b/>
        </w:rPr>
        <w:t xml:space="preserve"> noncompliance</w:t>
      </w:r>
      <w:r w:rsidR="003C232E">
        <w:rPr>
          <w:b/>
        </w:rPr>
        <w:t xml:space="preserve">; and </w:t>
      </w:r>
      <w:r w:rsidR="00154B58">
        <w:rPr>
          <w:b/>
        </w:rPr>
        <w:t>(</w:t>
      </w:r>
      <w:r w:rsidR="005954E8">
        <w:rPr>
          <w:b/>
        </w:rPr>
        <w:t>4</w:t>
      </w:r>
      <w:r w:rsidR="003C232E">
        <w:rPr>
          <w:b/>
        </w:rPr>
        <w:t xml:space="preserve">) </w:t>
      </w:r>
      <w:r>
        <w:rPr>
          <w:b/>
        </w:rPr>
        <w:t>c</w:t>
      </w:r>
      <w:r w:rsidR="00556439" w:rsidRPr="00556439">
        <w:rPr>
          <w:b/>
        </w:rPr>
        <w:t>onsidering all legal mechanism, up to and including deb</w:t>
      </w:r>
      <w:r w:rsidR="00556439">
        <w:rPr>
          <w:b/>
        </w:rPr>
        <w:t>ar</w:t>
      </w:r>
      <w:r w:rsidR="00556439" w:rsidRPr="00556439">
        <w:rPr>
          <w:b/>
        </w:rPr>
        <w:t>ment, when action is necessary against noncompliant contractors.</w:t>
      </w:r>
    </w:p>
    <w:p w14:paraId="7F18CAA2" w14:textId="1EA02812" w:rsidR="00B9699D" w:rsidRPr="00756EF4" w:rsidRDefault="00756EF4" w:rsidP="00A0214F">
      <w:pPr>
        <w:pStyle w:val="Heading3"/>
      </w:pPr>
      <w:bookmarkStart w:id="57" w:name="_Toc526182104"/>
      <w:r w:rsidRPr="00756EF4">
        <w:t>Interagency Collaboration and Coordination</w:t>
      </w:r>
      <w:bookmarkEnd w:id="57"/>
    </w:p>
    <w:p w14:paraId="7D44C5FF" w14:textId="77777777" w:rsidR="00296DA5" w:rsidRDefault="00133E8B" w:rsidP="00A0214F">
      <w:pPr>
        <w:pStyle w:val="NCDBodyText"/>
      </w:pPr>
      <w:r w:rsidRPr="00B9699D">
        <w:t xml:space="preserve">Under Section 503, OFCCP conducts compliance evaluations of federal contractor establishments, and upon receipt of a complaint of discrimination in employment based on disability, either directly investigates or refers the compliant to the EEOC. The collaboration between OFCCP and EEOC is discussed in </w:t>
      </w:r>
      <w:r w:rsidR="00A47477">
        <w:t>C</w:t>
      </w:r>
      <w:r w:rsidR="00A47477" w:rsidRPr="00B9699D">
        <w:t xml:space="preserve">hapter </w:t>
      </w:r>
      <w:r w:rsidR="00A47477">
        <w:t>1</w:t>
      </w:r>
      <w:r w:rsidRPr="00B9699D">
        <w:t>.</w:t>
      </w:r>
    </w:p>
    <w:p w14:paraId="46D90CD5" w14:textId="5E2CF1CA" w:rsidR="00422229" w:rsidRPr="004B3FF5" w:rsidRDefault="00422229" w:rsidP="00A0214F">
      <w:pPr>
        <w:pStyle w:val="Heading3"/>
      </w:pPr>
      <w:bookmarkStart w:id="58" w:name="_Toc526182105"/>
      <w:r>
        <w:t>Training and Technical Assistance</w:t>
      </w:r>
      <w:bookmarkEnd w:id="58"/>
    </w:p>
    <w:p w14:paraId="2FC2F14E" w14:textId="77777777" w:rsidR="00296DA5" w:rsidRDefault="00D2576A" w:rsidP="00A0214F">
      <w:pPr>
        <w:pStyle w:val="NCDBodyText"/>
      </w:pPr>
      <w:r w:rsidRPr="004B3FF5">
        <w:t xml:space="preserve">OFCCP seeks to achieve compliance with </w:t>
      </w:r>
      <w:r>
        <w:t>Section</w:t>
      </w:r>
      <w:r w:rsidRPr="004B3FF5">
        <w:t xml:space="preserve"> 503 in large part through the provision of training and technical assistance to all </w:t>
      </w:r>
      <w:r>
        <w:t xml:space="preserve">contractor </w:t>
      </w:r>
      <w:r w:rsidRPr="004B3FF5">
        <w:t xml:space="preserve">establishments. </w:t>
      </w:r>
      <w:r w:rsidR="0057251B">
        <w:t xml:space="preserve">According to the </w:t>
      </w:r>
      <w:r w:rsidR="00422229" w:rsidRPr="004B3FF5">
        <w:t xml:space="preserve">GAO report, beginning in 2012 OFCCP began to decrease the number of outreach events in order to refocus its outreach program </w:t>
      </w:r>
      <w:r w:rsidR="00422229">
        <w:t>to</w:t>
      </w:r>
      <w:r w:rsidR="00422229" w:rsidRPr="004B3FF5">
        <w:t xml:space="preserve"> support the enforcement </w:t>
      </w:r>
      <w:r w:rsidR="00422229" w:rsidRPr="004B3FF5">
        <w:lastRenderedPageBreak/>
        <w:t>role of the agency.</w:t>
      </w:r>
      <w:r w:rsidR="00422229" w:rsidRPr="004B3FF5">
        <w:rPr>
          <w:rStyle w:val="EndnoteReference"/>
          <w:rFonts w:cs="Arial"/>
        </w:rPr>
        <w:endnoteReference w:id="199"/>
      </w:r>
      <w:r w:rsidR="00422229">
        <w:t xml:space="preserve"> O</w:t>
      </w:r>
      <w:r w:rsidR="00422229" w:rsidRPr="004B3FF5">
        <w:t>utreach events declined 80 percent between 2012 and 2014.</w:t>
      </w:r>
      <w:r w:rsidR="00422229">
        <w:rPr>
          <w:rStyle w:val="EndnoteReference"/>
          <w:rFonts w:cs="Arial"/>
        </w:rPr>
        <w:endnoteReference w:id="200"/>
      </w:r>
      <w:r w:rsidR="00422229" w:rsidRPr="004B3FF5">
        <w:t xml:space="preserve"> The GAO reported that in addition to outreach event</w:t>
      </w:r>
      <w:r w:rsidR="00422229">
        <w:t>s</w:t>
      </w:r>
      <w:r w:rsidR="00422229" w:rsidRPr="004B3FF5">
        <w:t xml:space="preserve">, OFCCP conducts </w:t>
      </w:r>
      <w:r w:rsidR="006474CA">
        <w:t>“</w:t>
      </w:r>
      <w:r w:rsidR="00422229" w:rsidRPr="004B3FF5">
        <w:t>compliance assi</w:t>
      </w:r>
      <w:r w:rsidR="00422229">
        <w:t>stance events</w:t>
      </w:r>
      <w:r w:rsidR="006474CA">
        <w:t>”</w:t>
      </w:r>
      <w:r w:rsidR="00422229">
        <w:t xml:space="preserve"> with </w:t>
      </w:r>
      <w:r w:rsidR="00422229" w:rsidRPr="004B3FF5">
        <w:t>contractors.</w:t>
      </w:r>
      <w:r w:rsidR="00422229">
        <w:rPr>
          <w:rStyle w:val="EndnoteReference"/>
          <w:rFonts w:cs="Arial"/>
        </w:rPr>
        <w:endnoteReference w:id="201"/>
      </w:r>
      <w:r w:rsidR="00422229" w:rsidRPr="004B3FF5">
        <w:t xml:space="preserve"> As with outreach events, the number of contractor assistance events </w:t>
      </w:r>
      <w:r w:rsidR="00B2452C">
        <w:t xml:space="preserve">has </w:t>
      </w:r>
      <w:r w:rsidR="00422229" w:rsidRPr="004B3FF5">
        <w:t xml:space="preserve">declined 30 percent since 2012, and 20 out of </w:t>
      </w:r>
      <w:r w:rsidR="00422229">
        <w:t xml:space="preserve">the </w:t>
      </w:r>
      <w:r w:rsidR="00422229" w:rsidRPr="004B3FF5">
        <w:t>24 contractors the GAO interviewed stated they use third-party support to assist with compliance.</w:t>
      </w:r>
      <w:r w:rsidR="00422229">
        <w:rPr>
          <w:rStyle w:val="EndnoteReference"/>
          <w:rFonts w:cs="Arial"/>
        </w:rPr>
        <w:endnoteReference w:id="202"/>
      </w:r>
    </w:p>
    <w:p w14:paraId="51539815" w14:textId="77777777" w:rsidR="00296DA5" w:rsidRDefault="00422229" w:rsidP="00A0214F">
      <w:pPr>
        <w:pStyle w:val="NCDBodyText"/>
        <w:rPr>
          <w:b/>
        </w:rPr>
      </w:pPr>
      <w:r w:rsidRPr="004B3FF5">
        <w:t>OFCCP indicated that the agency is making improvement</w:t>
      </w:r>
      <w:r>
        <w:t>s to</w:t>
      </w:r>
      <w:r w:rsidRPr="004B3FF5">
        <w:t xml:space="preserve"> training materials available</w:t>
      </w:r>
      <w:r>
        <w:t xml:space="preserve"> to contractors</w:t>
      </w:r>
      <w:r w:rsidRPr="004B3FF5">
        <w:t xml:space="preserve">. </w:t>
      </w:r>
      <w:r>
        <w:t xml:space="preserve">The </w:t>
      </w:r>
      <w:r w:rsidR="00D2576A">
        <w:t xml:space="preserve">OFCCP </w:t>
      </w:r>
      <w:r w:rsidRPr="004B3FF5">
        <w:t>website offer</w:t>
      </w:r>
      <w:r w:rsidR="00D2576A">
        <w:t>s</w:t>
      </w:r>
      <w:r w:rsidRPr="004B3FF5">
        <w:t xml:space="preserve"> a compr</w:t>
      </w:r>
      <w:r w:rsidR="00887A2B">
        <w:t>ehensive list of webcasts, fact</w:t>
      </w:r>
      <w:r w:rsidRPr="004B3FF5">
        <w:t xml:space="preserve"> sheets, and approved and recommended forms to assist contractors and subcontractors comply with the regulations. The OFCCP trainings and guidance documents generally appear complete and well thought</w:t>
      </w:r>
      <w:r w:rsidR="00160741">
        <w:t xml:space="preserve"> </w:t>
      </w:r>
      <w:r w:rsidRPr="004B3FF5">
        <w:t>out. OFCCP also reported employing adult education techniques to create more quality trainings for contractor staff.</w:t>
      </w:r>
      <w:r>
        <w:t xml:space="preserve"> </w:t>
      </w:r>
      <w:r w:rsidR="00160741">
        <w:t>OFCCP</w:t>
      </w:r>
      <w:r>
        <w:t xml:space="preserve"> is further improving and creating a more rigorous training for</w:t>
      </w:r>
      <w:r w:rsidRPr="004B3FF5">
        <w:t xml:space="preserve"> </w:t>
      </w:r>
      <w:r>
        <w:t xml:space="preserve">compliance officers. </w:t>
      </w:r>
      <w:r w:rsidRPr="004B3FF5">
        <w:t xml:space="preserve">The GAO reported that OFCCP compliance materials varied </w:t>
      </w:r>
      <w:r w:rsidR="00D2576A">
        <w:t>in</w:t>
      </w:r>
      <w:r w:rsidRPr="004B3FF5">
        <w:t xml:space="preserve"> the degree to which simple language is used, ranging from a 12th grade to postgraduate </w:t>
      </w:r>
      <w:r>
        <w:t>reading level</w:t>
      </w:r>
      <w:r w:rsidRPr="004B3FF5">
        <w:t>.</w:t>
      </w:r>
      <w:r w:rsidRPr="004B3FF5">
        <w:rPr>
          <w:rStyle w:val="EndnoteReference"/>
          <w:rFonts w:cs="Arial"/>
        </w:rPr>
        <w:endnoteReference w:id="203"/>
      </w:r>
      <w:r w:rsidRPr="004B3FF5">
        <w:t xml:space="preserve"> A test of several OFCCP materials for </w:t>
      </w:r>
      <w:r>
        <w:t xml:space="preserve">language simplicity for </w:t>
      </w:r>
      <w:r w:rsidRPr="004B3FF5">
        <w:t>this study confirmed the GAO</w:t>
      </w:r>
      <w:r w:rsidR="006474CA">
        <w:t>’</w:t>
      </w:r>
      <w:r w:rsidRPr="004B3FF5">
        <w:t>s analysis</w:t>
      </w:r>
      <w:r w:rsidRPr="00A223F1">
        <w:t>.</w:t>
      </w:r>
      <w:r w:rsidR="003909E6" w:rsidRPr="003909E6">
        <w:rPr>
          <w:b/>
        </w:rPr>
        <w:t xml:space="preserve"> NCD recommends that OFCCP better ensure </w:t>
      </w:r>
      <w:r w:rsidR="006E46EB">
        <w:rPr>
          <w:b/>
        </w:rPr>
        <w:t xml:space="preserve">that </w:t>
      </w:r>
      <w:r w:rsidR="003909E6" w:rsidRPr="003909E6">
        <w:rPr>
          <w:b/>
        </w:rPr>
        <w:t>materials and documents are written in simple language according to the Plain Writing Act.</w:t>
      </w:r>
    </w:p>
    <w:p w14:paraId="67E15CBB" w14:textId="64B00F9B" w:rsidR="009716D6" w:rsidRPr="004B3FF5" w:rsidRDefault="00DD0549" w:rsidP="00A0214F">
      <w:pPr>
        <w:pStyle w:val="Heading3"/>
      </w:pPr>
      <w:bookmarkStart w:id="59" w:name="_Toc526182106"/>
      <w:r w:rsidRPr="00A0214F">
        <w:t>Adequacy</w:t>
      </w:r>
      <w:r w:rsidR="009716D6" w:rsidRPr="004B3FF5">
        <w:t xml:space="preserve"> </w:t>
      </w:r>
      <w:r w:rsidRPr="004B3FF5">
        <w:t xml:space="preserve">of </w:t>
      </w:r>
      <w:r w:rsidR="009716D6" w:rsidRPr="004B3FF5">
        <w:t>Agency Resources</w:t>
      </w:r>
      <w:bookmarkEnd w:id="59"/>
    </w:p>
    <w:p w14:paraId="48B43300" w14:textId="77777777" w:rsidR="00296DA5" w:rsidRDefault="009716D6" w:rsidP="00A0214F">
      <w:pPr>
        <w:pStyle w:val="NCDBodyText"/>
      </w:pPr>
      <w:r w:rsidRPr="004B3FF5">
        <w:t>Adjusted for inflation, OFCCP</w:t>
      </w:r>
      <w:r w:rsidR="006474CA">
        <w:t>’</w:t>
      </w:r>
      <w:r w:rsidRPr="004B3FF5">
        <w:t>s budget increased by 1.35</w:t>
      </w:r>
      <w:r w:rsidR="002013A0" w:rsidRPr="004B3FF5">
        <w:t xml:space="preserve"> percent</w:t>
      </w:r>
      <w:r w:rsidRPr="004B3FF5">
        <w:t xml:space="preserve"> since FY 2004, with a s</w:t>
      </w:r>
      <w:r w:rsidR="006D1DB8">
        <w:t>ignificant increase in FY 2010, but b</w:t>
      </w:r>
      <w:r w:rsidRPr="004B3FF5">
        <w:t>udget decreases occurred during the</w:t>
      </w:r>
      <w:r w:rsidR="003D69F9">
        <w:t xml:space="preserve"> past two fiscal years both in actual</w:t>
      </w:r>
      <w:r w:rsidRPr="004B3FF5">
        <w:t xml:space="preserve"> and </w:t>
      </w:r>
      <w:r w:rsidR="00DE2FFC" w:rsidRPr="004B3FF5">
        <w:t>inflation</w:t>
      </w:r>
      <w:r w:rsidR="00DE2FFC">
        <w:t>-</w:t>
      </w:r>
      <w:r w:rsidRPr="004B3FF5">
        <w:t xml:space="preserve">adjusted </w:t>
      </w:r>
      <w:r w:rsidR="00954B72" w:rsidRPr="004B3FF5">
        <w:t xml:space="preserve">dollars </w:t>
      </w:r>
      <w:r w:rsidR="00352BE2">
        <w:t xml:space="preserve">(see Table D in Appendix </w:t>
      </w:r>
      <w:r w:rsidR="00EF0CAF">
        <w:t>A</w:t>
      </w:r>
      <w:r w:rsidR="00352BE2">
        <w:t>)</w:t>
      </w:r>
      <w:r w:rsidRPr="004B3FF5">
        <w:t xml:space="preserve">. </w:t>
      </w:r>
      <w:r w:rsidR="005F15DB" w:rsidRPr="004B3FF5">
        <w:t xml:space="preserve">As with the EEOC, however, of greater concern </w:t>
      </w:r>
      <w:r w:rsidRPr="004B3FF5">
        <w:t xml:space="preserve">is the decline in staff. </w:t>
      </w:r>
      <w:r w:rsidR="003D69F9" w:rsidRPr="004B3FF5">
        <w:t xml:space="preserve">Despite budget increases in FY 2010 and a relatively flat budget since FY 2004 accounting for inflation, the number of </w:t>
      </w:r>
      <w:r w:rsidR="003D69F9">
        <w:t xml:space="preserve">OFCCP </w:t>
      </w:r>
      <w:r w:rsidR="003D69F9" w:rsidRPr="004B3FF5">
        <w:t>staff has declined at a steady pace</w:t>
      </w:r>
      <w:r w:rsidR="003D69F9">
        <w:t xml:space="preserve">. </w:t>
      </w:r>
      <w:r w:rsidRPr="004B3FF5">
        <w:t>Since FY 2004</w:t>
      </w:r>
      <w:r w:rsidR="005F25DB">
        <w:t>,</w:t>
      </w:r>
      <w:r w:rsidRPr="004B3FF5">
        <w:t xml:space="preserve"> OFCCP shed a quarter of its FTEs</w:t>
      </w:r>
      <w:r w:rsidR="00352BE2">
        <w:t xml:space="preserve"> (see Table E in Appendix </w:t>
      </w:r>
      <w:r w:rsidR="00EF0CAF">
        <w:t>A</w:t>
      </w:r>
      <w:r w:rsidR="00352BE2">
        <w:t>)</w:t>
      </w:r>
      <w:r w:rsidR="005F15DB" w:rsidRPr="004B3FF5">
        <w:t>.</w:t>
      </w:r>
      <w:r w:rsidRPr="004B3FF5">
        <w:t xml:space="preserve"> OFCCP reports that it seeks to better balance enforcement </w:t>
      </w:r>
      <w:r w:rsidR="00E63F73" w:rsidRPr="004B3FF5">
        <w:t>method</w:t>
      </w:r>
      <w:r w:rsidR="00E63F73">
        <w:t xml:space="preserve">s </w:t>
      </w:r>
      <w:r w:rsidR="00942BF3">
        <w:t xml:space="preserve">in part </w:t>
      </w:r>
      <w:r w:rsidRPr="004B3FF5">
        <w:t xml:space="preserve">through staff attrition in response to </w:t>
      </w:r>
      <w:r w:rsidR="005F15DB" w:rsidRPr="004B3FF5">
        <w:t>the GAO</w:t>
      </w:r>
      <w:r w:rsidR="006474CA">
        <w:t>’</w:t>
      </w:r>
      <w:r w:rsidR="00E63F73">
        <w:t>s concern</w:t>
      </w:r>
      <w:r w:rsidR="00E653CF">
        <w:t xml:space="preserve"> </w:t>
      </w:r>
      <w:r w:rsidR="00E63F73">
        <w:t>of the</w:t>
      </w:r>
      <w:r w:rsidR="00C9027B">
        <w:t xml:space="preserve"> </w:t>
      </w:r>
      <w:r w:rsidR="00E653CF">
        <w:t>lack</w:t>
      </w:r>
      <w:r w:rsidR="00A83D3D">
        <w:t xml:space="preserve"> of congruence between office staffing and contractor locations</w:t>
      </w:r>
      <w:r w:rsidR="00E653CF">
        <w:t xml:space="preserve">. </w:t>
      </w:r>
      <w:r w:rsidR="00A83D3D">
        <w:t>I</w:t>
      </w:r>
      <w:r w:rsidR="005F15DB" w:rsidRPr="004B3FF5">
        <w:t>n FY 2014 and 2015</w:t>
      </w:r>
      <w:r w:rsidR="00E63F73">
        <w:t>,</w:t>
      </w:r>
      <w:r w:rsidR="005F15DB" w:rsidRPr="004B3FF5">
        <w:t xml:space="preserve"> </w:t>
      </w:r>
      <w:r w:rsidR="00A83D3D">
        <w:t xml:space="preserve">OFCCP </w:t>
      </w:r>
      <w:r w:rsidR="005F15DB" w:rsidRPr="004B3FF5">
        <w:t>sought to reduce staff levels</w:t>
      </w:r>
      <w:r w:rsidR="00A83D3D">
        <w:t xml:space="preserve"> through various </w:t>
      </w:r>
      <w:r w:rsidR="00A83D3D">
        <w:lastRenderedPageBreak/>
        <w:t>incentives</w:t>
      </w:r>
      <w:r w:rsidR="005F15DB" w:rsidRPr="004B3FF5">
        <w:t xml:space="preserve"> in </w:t>
      </w:r>
      <w:r w:rsidR="00CA4465" w:rsidRPr="004B3FF5">
        <w:t>respon</w:t>
      </w:r>
      <w:r w:rsidR="00CA4465">
        <w:t>se</w:t>
      </w:r>
      <w:r w:rsidR="00CA4465" w:rsidRPr="004B3FF5">
        <w:t xml:space="preserve"> </w:t>
      </w:r>
      <w:r w:rsidR="005F15DB" w:rsidRPr="004B3FF5">
        <w:t>to budget pressures.</w:t>
      </w:r>
      <w:r w:rsidR="005F15DB" w:rsidRPr="004B3FF5">
        <w:rPr>
          <w:rStyle w:val="EndnoteReference"/>
          <w:rFonts w:cs="Arial"/>
        </w:rPr>
        <w:endnoteReference w:id="204"/>
      </w:r>
      <w:r w:rsidRPr="004B3FF5">
        <w:t xml:space="preserve"> </w:t>
      </w:r>
      <w:r w:rsidR="00DB79F4" w:rsidRPr="004B3FF5">
        <w:t>When OFCCP will bottom out in staffing numbers and again experience staff incr</w:t>
      </w:r>
      <w:r w:rsidR="00230B8F" w:rsidRPr="004B3FF5">
        <w:t>eases is an open question.</w:t>
      </w:r>
      <w:r w:rsidR="00DB79F4" w:rsidRPr="004B3FF5">
        <w:t xml:space="preserve"> </w:t>
      </w:r>
      <w:r w:rsidR="003909E6" w:rsidRPr="003909E6">
        <w:rPr>
          <w:b/>
        </w:rPr>
        <w:t>NCD recommends that OFCCP hire and train a sufficient number of compliance officers in areas where federal contractors are concentrated in order to increase the number of compliance reviews.</w:t>
      </w:r>
    </w:p>
    <w:p w14:paraId="0BACDD56" w14:textId="0EFE3141" w:rsidR="00193809" w:rsidRDefault="00422229" w:rsidP="00A0214F">
      <w:pPr>
        <w:pStyle w:val="Heading2"/>
      </w:pPr>
      <w:bookmarkStart w:id="60" w:name="_Toc520979980"/>
      <w:bookmarkStart w:id="61" w:name="_Toc526182107"/>
      <w:r>
        <w:t xml:space="preserve">Office of the Solicitor </w:t>
      </w:r>
      <w:r w:rsidR="002473D4">
        <w:t>(SOL)</w:t>
      </w:r>
      <w:bookmarkEnd w:id="60"/>
      <w:bookmarkEnd w:id="61"/>
    </w:p>
    <w:p w14:paraId="02A4101E" w14:textId="77777777" w:rsidR="00296DA5" w:rsidRDefault="00C0599D" w:rsidP="00A0214F">
      <w:pPr>
        <w:pStyle w:val="NCDBodyText"/>
      </w:pPr>
      <w:r>
        <w:t>The Office of the Solici</w:t>
      </w:r>
      <w:r w:rsidR="002473D4">
        <w:t>tor</w:t>
      </w:r>
      <w:r w:rsidR="00327498">
        <w:t xml:space="preserve"> (SOL)</w:t>
      </w:r>
      <w:r w:rsidR="002473D4">
        <w:t xml:space="preserve"> </w:t>
      </w:r>
      <w:r>
        <w:t>provides legal counsel to</w:t>
      </w:r>
      <w:r w:rsidR="00193809">
        <w:t>,</w:t>
      </w:r>
      <w:r>
        <w:t xml:space="preserve"> and representation o</w:t>
      </w:r>
      <w:r w:rsidR="00C44051">
        <w:t>f, the various DOL divisions</w:t>
      </w:r>
      <w:r w:rsidR="002A153D">
        <w:t xml:space="preserve">. </w:t>
      </w:r>
      <w:r w:rsidR="00C44051">
        <w:t xml:space="preserve">The </w:t>
      </w:r>
      <w:r w:rsidR="00327498">
        <w:t xml:space="preserve">SOL </w:t>
      </w:r>
      <w:r w:rsidR="00C44051">
        <w:t xml:space="preserve">also assists with </w:t>
      </w:r>
      <w:r>
        <w:t xml:space="preserve">compliance review, enforcement, and policy development activities. </w:t>
      </w:r>
      <w:r w:rsidR="00C44051">
        <w:t xml:space="preserve">Solicitor staff </w:t>
      </w:r>
      <w:r w:rsidR="00193809">
        <w:t xml:space="preserve">described </w:t>
      </w:r>
      <w:r w:rsidR="00C44051">
        <w:t>during interviews the</w:t>
      </w:r>
      <w:r w:rsidR="00193809">
        <w:t xml:space="preserve"> multifaceted </w:t>
      </w:r>
      <w:r w:rsidR="00C44051">
        <w:t xml:space="preserve">role of the </w:t>
      </w:r>
      <w:r w:rsidR="00C152F4">
        <w:t xml:space="preserve">SOL </w:t>
      </w:r>
      <w:r w:rsidR="00193809">
        <w:t>in working clos</w:t>
      </w:r>
      <w:r w:rsidR="00C44051">
        <w:t>ely with DOL entities to</w:t>
      </w:r>
      <w:r w:rsidR="00193809">
        <w:t xml:space="preserve"> develo</w:t>
      </w:r>
      <w:r w:rsidR="00C44051">
        <w:t>p and roll-out</w:t>
      </w:r>
      <w:r w:rsidR="00193809">
        <w:t xml:space="preserve"> regu</w:t>
      </w:r>
      <w:r w:rsidR="00C44051">
        <w:t>lations, train DOL staff, respond</w:t>
      </w:r>
      <w:r w:rsidR="00193809">
        <w:t xml:space="preserve"> to questions</w:t>
      </w:r>
      <w:r w:rsidR="00C44051">
        <w:t>, and develop</w:t>
      </w:r>
      <w:r w:rsidR="00193809">
        <w:t xml:space="preserve"> frequently asked que</w:t>
      </w:r>
      <w:r w:rsidR="00C44051">
        <w:t xml:space="preserve">stions (FAQ). </w:t>
      </w:r>
      <w:r w:rsidR="002A153D">
        <w:t>For</w:t>
      </w:r>
      <w:r w:rsidR="00193809">
        <w:t xml:space="preserve"> example</w:t>
      </w:r>
      <w:r w:rsidR="00A223F1">
        <w:t>,</w:t>
      </w:r>
      <w:r w:rsidR="00193809">
        <w:t xml:space="preserve"> </w:t>
      </w:r>
      <w:r w:rsidR="002A153D">
        <w:t>SOL worked with OFCCP in</w:t>
      </w:r>
      <w:r w:rsidR="00193809">
        <w:t xml:space="preserve"> 2014 </w:t>
      </w:r>
      <w:r w:rsidR="002A153D">
        <w:t>to revise</w:t>
      </w:r>
      <w:r w:rsidR="00193809">
        <w:t xml:space="preserve"> </w:t>
      </w:r>
      <w:r w:rsidR="002A153D">
        <w:rPr>
          <w:color w:val="333333"/>
          <w:lang w:val="en"/>
        </w:rPr>
        <w:t>the</w:t>
      </w:r>
      <w:r w:rsidR="00193809" w:rsidRPr="00267610">
        <w:rPr>
          <w:color w:val="333333"/>
          <w:lang w:val="en"/>
        </w:rPr>
        <w:t xml:space="preserve"> Section 50</w:t>
      </w:r>
      <w:r w:rsidR="002A153D">
        <w:rPr>
          <w:color w:val="333333"/>
          <w:lang w:val="en"/>
        </w:rPr>
        <w:t>3 regulations</w:t>
      </w:r>
      <w:r w:rsidR="00193809">
        <w:rPr>
          <w:color w:val="333333"/>
          <w:lang w:val="en"/>
        </w:rPr>
        <w:t xml:space="preserve">. </w:t>
      </w:r>
      <w:r w:rsidR="0020003D">
        <w:t>On matters requiring a centralized perspective the SOL Civil Rights and Labor Management Division serves as a liaison between the regional SOL offices and the OFCCP headquarters office in Washington, DC.</w:t>
      </w:r>
    </w:p>
    <w:p w14:paraId="21D9BDDE" w14:textId="77777777" w:rsidR="00296DA5" w:rsidRDefault="002A153D" w:rsidP="00A0214F">
      <w:pPr>
        <w:pStyle w:val="NCDBodyText"/>
      </w:pPr>
      <w:r>
        <w:t>OFCCP</w:t>
      </w:r>
      <w:r w:rsidRPr="002A153D">
        <w:t xml:space="preserve"> </w:t>
      </w:r>
      <w:r>
        <w:t>places an emphasis on voluntary compliance and litigates very few cases, and the SOL</w:t>
      </w:r>
      <w:r w:rsidR="006474CA">
        <w:t>’</w:t>
      </w:r>
      <w:r>
        <w:t xml:space="preserve">s primary enforcement role with OFCCP occurs when conciliation </w:t>
      </w:r>
      <w:r w:rsidR="00063CCD">
        <w:t>fails,</w:t>
      </w:r>
      <w:r>
        <w:t xml:space="preserve"> and a federal contractor seeks a hearing</w:t>
      </w:r>
      <w:r w:rsidRPr="002A153D">
        <w:t xml:space="preserve"> </w:t>
      </w:r>
      <w:r>
        <w:t>before a DOL Administrative Law Judge.</w:t>
      </w:r>
      <w:r w:rsidR="00716D6A">
        <w:t xml:space="preserve"> </w:t>
      </w:r>
      <w:r>
        <w:t>The contractor can also appeal to the DOL Administrative Review Board and</w:t>
      </w:r>
      <w:r w:rsidR="003F3A7E">
        <w:t>,</w:t>
      </w:r>
      <w:r>
        <w:t xml:space="preserve"> if still dissatisfied</w:t>
      </w:r>
      <w:r w:rsidR="003F3A7E">
        <w:t>,</w:t>
      </w:r>
      <w:r>
        <w:t xml:space="preserve"> to a U.S. district court. The SOL represents OFCCP in the administrative process and in the rare case the contractor appeals to a U.S. district court. In May 2018, there were approximately 11 cases pending at the administrative level (including one at the Administrative Review Board) and one case in federal court.</w:t>
      </w:r>
    </w:p>
    <w:p w14:paraId="294629EE" w14:textId="77777777" w:rsidR="00296DA5" w:rsidRDefault="002A153D" w:rsidP="00A0214F">
      <w:pPr>
        <w:pStyle w:val="NCDBodyText"/>
      </w:pPr>
      <w:r>
        <w:t xml:space="preserve">As legal counsel for WHD, the SOL has a critical role in enforcing all provisions of the Fair Labor Standards Act (FLSA) and the Family and Medical Leave Act (FMLA). </w:t>
      </w:r>
      <w:r w:rsidR="001D3AA3">
        <w:t>The Solicitor has been involved in de</w:t>
      </w:r>
      <w:r w:rsidR="00A223F1">
        <w:t>f</w:t>
      </w:r>
      <w:r w:rsidR="001D3AA3">
        <w:t xml:space="preserve">ending a DOL decision in the case of three employees </w:t>
      </w:r>
      <w:r w:rsidR="004446C4">
        <w:t xml:space="preserve">with disabilities </w:t>
      </w:r>
      <w:r w:rsidR="001D3AA3">
        <w:t>who petitioned for an administrative review of the payment of a subminimum wage under Section 14(c). A</w:t>
      </w:r>
      <w:r w:rsidR="004446C4">
        <w:t xml:space="preserve">s discussed in more detail in the next section, a DOL Administrative Law Judge and the DOL Administrative Review Board found in </w:t>
      </w:r>
      <w:r w:rsidR="004446C4">
        <w:lastRenderedPageBreak/>
        <w:t xml:space="preserve">favor of the three employees. </w:t>
      </w:r>
      <w:r w:rsidR="004446C4" w:rsidRPr="004446C4">
        <w:t xml:space="preserve">The </w:t>
      </w:r>
      <w:r w:rsidR="004446C4">
        <w:t xml:space="preserve">SOL submitted a brief in support of most of the positions of the employees during the Administrative Review Board process, and after the employer appealed, SOL </w:t>
      </w:r>
      <w:r w:rsidR="004446C4" w:rsidRPr="004446C4">
        <w:t xml:space="preserve">has defended the </w:t>
      </w:r>
      <w:r w:rsidR="004446C4">
        <w:t>Board</w:t>
      </w:r>
      <w:r w:rsidR="006474CA">
        <w:t>’</w:t>
      </w:r>
      <w:r w:rsidR="004446C4">
        <w:t xml:space="preserve">s </w:t>
      </w:r>
      <w:r w:rsidR="004446C4" w:rsidRPr="004446C4">
        <w:t xml:space="preserve">ruling in </w:t>
      </w:r>
      <w:r w:rsidR="004446C4">
        <w:t xml:space="preserve">U.S. </w:t>
      </w:r>
      <w:r w:rsidR="004446C4" w:rsidRPr="004446C4">
        <w:t>district court, agreeing with the employees</w:t>
      </w:r>
      <w:r w:rsidR="006474CA">
        <w:t>’</w:t>
      </w:r>
      <w:r w:rsidR="004446C4" w:rsidRPr="004446C4">
        <w:t xml:space="preserve"> interpretation of Section 14(c).</w:t>
      </w:r>
      <w:r w:rsidR="004446C4">
        <w:t xml:space="preserve"> </w:t>
      </w:r>
      <w:r w:rsidR="00C0599D">
        <w:t xml:space="preserve">The SOL anticipates that </w:t>
      </w:r>
      <w:r w:rsidR="004446C4">
        <w:t>it will be involved as other employees request</w:t>
      </w:r>
      <w:r w:rsidR="00C0599D">
        <w:t xml:space="preserve"> </w:t>
      </w:r>
      <w:r w:rsidR="004446C4">
        <w:t>a hearing on the payment of subminimum wages under Section 14(c).</w:t>
      </w:r>
    </w:p>
    <w:p w14:paraId="683F7A88" w14:textId="3955BD26" w:rsidR="00C40209" w:rsidRPr="001849F2" w:rsidRDefault="00C40209" w:rsidP="00A0214F">
      <w:pPr>
        <w:pStyle w:val="Heading2"/>
      </w:pPr>
      <w:bookmarkStart w:id="62" w:name="_Toc520979981"/>
      <w:bookmarkStart w:id="63" w:name="_Toc526182108"/>
      <w:r w:rsidRPr="00934DB5">
        <w:t>Wage and Hour Division</w:t>
      </w:r>
      <w:r>
        <w:t xml:space="preserve"> </w:t>
      </w:r>
      <w:r w:rsidR="000760A2">
        <w:t>(WHD)</w:t>
      </w:r>
      <w:bookmarkEnd w:id="62"/>
      <w:bookmarkEnd w:id="63"/>
    </w:p>
    <w:p w14:paraId="258895C2" w14:textId="77777777" w:rsidR="00396A3D" w:rsidRDefault="00690FA7" w:rsidP="00A0214F">
      <w:pPr>
        <w:pStyle w:val="Heading3"/>
      </w:pPr>
      <w:bookmarkStart w:id="64" w:name="_Toc526182109"/>
      <w:r w:rsidRPr="001849F2">
        <w:t>Overview</w:t>
      </w:r>
      <w:bookmarkEnd w:id="64"/>
    </w:p>
    <w:p w14:paraId="79978D0E" w14:textId="77777777" w:rsidR="00296DA5" w:rsidRDefault="00690FA7" w:rsidP="00A0214F">
      <w:pPr>
        <w:pStyle w:val="NCDBodyText"/>
      </w:pPr>
      <w:r>
        <w:t>T</w:t>
      </w:r>
      <w:r w:rsidRPr="00167B8A">
        <w:t>he Wage and Hour Division</w:t>
      </w:r>
      <w:r>
        <w:t>,</w:t>
      </w:r>
      <w:r w:rsidR="00874555" w:rsidRPr="00FD08DC">
        <w:rPr>
          <w:rStyle w:val="EndnoteReference"/>
          <w:rFonts w:eastAsia="Times New Roman" w:cs="Arial"/>
        </w:rPr>
        <w:endnoteReference w:id="205"/>
      </w:r>
      <w:r>
        <w:t xml:space="preserve"> </w:t>
      </w:r>
      <w:r w:rsidRPr="00167B8A">
        <w:t xml:space="preserve">created </w:t>
      </w:r>
      <w:r>
        <w:t xml:space="preserve">through </w:t>
      </w:r>
      <w:r w:rsidRPr="00167B8A">
        <w:t xml:space="preserve">the </w:t>
      </w:r>
      <w:r w:rsidR="00954B72">
        <w:t>FLSA</w:t>
      </w:r>
      <w:r w:rsidR="00C44051">
        <w:t xml:space="preserve"> in 1938</w:t>
      </w:r>
      <w:r>
        <w:t xml:space="preserve">, </w:t>
      </w:r>
      <w:r w:rsidRPr="00167B8A">
        <w:t xml:space="preserve">is responsible for the administration and enforcement of a wide range of laws </w:t>
      </w:r>
      <w:r w:rsidR="004975AC">
        <w:t>that</w:t>
      </w:r>
      <w:r>
        <w:t xml:space="preserve"> cover virtually all private, s</w:t>
      </w:r>
      <w:r w:rsidRPr="00167B8A">
        <w:t>tate</w:t>
      </w:r>
      <w:r>
        <w:t>,</w:t>
      </w:r>
      <w:r w:rsidRPr="00167B8A">
        <w:t xml:space="preserve"> and local government employment. The</w:t>
      </w:r>
      <w:r>
        <w:t xml:space="preserve"> mission of WHD</w:t>
      </w:r>
      <w:r w:rsidRPr="00167B8A">
        <w:t xml:space="preserve"> </w:t>
      </w:r>
      <w:r w:rsidR="006474CA">
        <w:t>“</w:t>
      </w:r>
      <w:r w:rsidRPr="00167B8A">
        <w:t>is to</w:t>
      </w:r>
      <w:r w:rsidRPr="00167B8A">
        <w:rPr>
          <w:bCs/>
        </w:rPr>
        <w:t xml:space="preserve"> promote and achieve compliance with labor standards to protect and enhance the welfare of the Nation</w:t>
      </w:r>
      <w:r w:rsidR="006474CA">
        <w:rPr>
          <w:bCs/>
        </w:rPr>
        <w:t>’</w:t>
      </w:r>
      <w:r w:rsidRPr="00167B8A">
        <w:rPr>
          <w:bCs/>
        </w:rPr>
        <w:t>s workforce</w:t>
      </w:r>
      <w:r w:rsidR="006474CA">
        <w:rPr>
          <w:bCs/>
        </w:rPr>
        <w:t>”</w:t>
      </w:r>
      <w:r w:rsidRPr="00167B8A">
        <w:t xml:space="preserve"> through the enforcement of federal minimum wage, overtime pay, recordkeeping, and child labor requirements of</w:t>
      </w:r>
      <w:r w:rsidR="00A223F1">
        <w:t xml:space="preserve"> the FLSA.</w:t>
      </w:r>
      <w:r w:rsidR="00954B72">
        <w:rPr>
          <w:rStyle w:val="EndnoteReference"/>
          <w:rFonts w:eastAsia="Times New Roman" w:cs="Arial"/>
        </w:rPr>
        <w:endnoteReference w:id="206"/>
      </w:r>
      <w:r w:rsidR="00716D6A">
        <w:t xml:space="preserve"> </w:t>
      </w:r>
      <w:r w:rsidR="006D6DC2">
        <w:t>A</w:t>
      </w:r>
      <w:r>
        <w:t>mong the other laws enforced</w:t>
      </w:r>
      <w:r w:rsidRPr="00167B8A">
        <w:t xml:space="preserve"> </w:t>
      </w:r>
      <w:r>
        <w:t>by WHD are the</w:t>
      </w:r>
      <w:r w:rsidR="00C44051">
        <w:t xml:space="preserve"> FMLA</w:t>
      </w:r>
      <w:r>
        <w:t xml:space="preserve">, </w:t>
      </w:r>
      <w:r w:rsidRPr="00167B8A">
        <w:t>the prevailing wage requirements of the Davis Bacon Act and the Service Contract Act</w:t>
      </w:r>
      <w:r>
        <w:t xml:space="preserve">, and </w:t>
      </w:r>
      <w:r w:rsidR="004A71F7">
        <w:t>t</w:t>
      </w:r>
      <w:r>
        <w:t>he subminimum wage provision of Section 14(c) of the FLSA.</w:t>
      </w:r>
      <w:r w:rsidR="004A71F7">
        <w:t xml:space="preserve"> </w:t>
      </w:r>
      <w:r w:rsidR="000479DD" w:rsidRPr="000479DD">
        <w:t xml:space="preserve">WHD is currently led by an </w:t>
      </w:r>
      <w:r w:rsidR="00041BE1">
        <w:t>a</w:t>
      </w:r>
      <w:r w:rsidR="00041BE1" w:rsidRPr="000479DD">
        <w:t xml:space="preserve">dministrator </w:t>
      </w:r>
      <w:r w:rsidR="00063CCD" w:rsidRPr="000479DD">
        <w:t>and</w:t>
      </w:r>
      <w:r w:rsidR="000479DD" w:rsidRPr="000479DD">
        <w:t xml:space="preserve"> contains Offices for Government Contracts; Policy; Planning; and Performance, Eval</w:t>
      </w:r>
      <w:r w:rsidR="00954B72">
        <w:t xml:space="preserve">uation, and Training. WHD also </w:t>
      </w:r>
      <w:r w:rsidR="000479DD" w:rsidRPr="000479DD">
        <w:t>works through five geographic administrative regions.</w:t>
      </w:r>
    </w:p>
    <w:p w14:paraId="3D1B5EB7" w14:textId="77777777" w:rsidR="00296DA5" w:rsidRDefault="004A71F7" w:rsidP="00A0214F">
      <w:pPr>
        <w:pStyle w:val="NCDBodyText"/>
      </w:pPr>
      <w:r>
        <w:t>This section focuses upon WHD</w:t>
      </w:r>
      <w:r w:rsidR="006474CA">
        <w:t>’</w:t>
      </w:r>
      <w:r>
        <w:t>s enforcement of Section 14(c)</w:t>
      </w:r>
      <w:r w:rsidR="006D6DC2">
        <w:t xml:space="preserve"> along with </w:t>
      </w:r>
      <w:r>
        <w:t xml:space="preserve">some consideration of </w:t>
      </w:r>
      <w:r w:rsidR="00041BE1">
        <w:t xml:space="preserve">WHD’s </w:t>
      </w:r>
      <w:r>
        <w:t>enforcements of the FLMA.</w:t>
      </w:r>
    </w:p>
    <w:p w14:paraId="276F3E14" w14:textId="460B5DD4" w:rsidR="00396A3D" w:rsidRDefault="00030D8D" w:rsidP="00A0214F">
      <w:pPr>
        <w:pStyle w:val="Heading3"/>
      </w:pPr>
      <w:bookmarkStart w:id="65" w:name="_Toc526182110"/>
      <w:r>
        <w:t xml:space="preserve">Overview of </w:t>
      </w:r>
      <w:r w:rsidRPr="00030D8D">
        <w:t>Section 14(c)</w:t>
      </w:r>
      <w:bookmarkEnd w:id="65"/>
    </w:p>
    <w:p w14:paraId="41DC502A" w14:textId="77777777" w:rsidR="00296DA5" w:rsidRDefault="00030D8D" w:rsidP="00A0214F">
      <w:pPr>
        <w:pStyle w:val="NCDBodyText"/>
      </w:pPr>
      <w:r>
        <w:t xml:space="preserve">Section 14(c), known as the special or subminimum wage program, allows WHD to </w:t>
      </w:r>
      <w:r w:rsidRPr="00423854">
        <w:t xml:space="preserve">issue certificates </w:t>
      </w:r>
      <w:r w:rsidR="006474CA">
        <w:t>“</w:t>
      </w:r>
      <w:r w:rsidR="007948D8" w:rsidRPr="00423854">
        <w:t>to the</w:t>
      </w:r>
      <w:r w:rsidR="007948D8">
        <w:t xml:space="preserve"> </w:t>
      </w:r>
      <w:r w:rsidR="007948D8" w:rsidRPr="00423854">
        <w:t>extent necessary to prevent the curtailment of</w:t>
      </w:r>
      <w:r w:rsidR="007948D8">
        <w:t xml:space="preserve"> opportunities for employment,</w:t>
      </w:r>
      <w:r w:rsidR="006474CA">
        <w:t>”</w:t>
      </w:r>
      <w:r w:rsidR="007948D8">
        <w:t xml:space="preserve"> </w:t>
      </w:r>
      <w:r w:rsidRPr="00423854">
        <w:t xml:space="preserve">to permit </w:t>
      </w:r>
      <w:r>
        <w:t>employer</w:t>
      </w:r>
      <w:r w:rsidR="006D6DC2">
        <w:t>s</w:t>
      </w:r>
      <w:r>
        <w:t xml:space="preserve"> to pay a subminimum wage</w:t>
      </w:r>
      <w:r w:rsidRPr="00423854">
        <w:t xml:space="preserve"> to </w:t>
      </w:r>
      <w:r w:rsidR="006D6DC2">
        <w:t>people</w:t>
      </w:r>
      <w:r w:rsidRPr="00423854">
        <w:t xml:space="preserve"> with disabilities whose earning or productive capacities are impaired by their disability</w:t>
      </w:r>
      <w:r w:rsidR="00023527">
        <w:t>.</w:t>
      </w:r>
      <w:r w:rsidRPr="00423854">
        <w:rPr>
          <w:vertAlign w:val="superscript"/>
        </w:rPr>
        <w:endnoteReference w:id="207"/>
      </w:r>
      <w:r w:rsidRPr="00423854">
        <w:t xml:space="preserve"> </w:t>
      </w:r>
      <w:r w:rsidR="007948D8">
        <w:t>An employer must apply for</w:t>
      </w:r>
      <w:r w:rsidR="000479DD">
        <w:t>,</w:t>
      </w:r>
      <w:r w:rsidR="007948D8">
        <w:t xml:space="preserve"> and </w:t>
      </w:r>
      <w:r>
        <w:t>receive</w:t>
      </w:r>
      <w:r w:rsidR="007948D8">
        <w:t xml:space="preserve">, </w:t>
      </w:r>
      <w:r w:rsidR="006D6DC2">
        <w:t xml:space="preserve">a 14(c) </w:t>
      </w:r>
      <w:r>
        <w:t xml:space="preserve">certificate from WHD before it may pay </w:t>
      </w:r>
      <w:r w:rsidR="006D6DC2">
        <w:t xml:space="preserve">a </w:t>
      </w:r>
      <w:r w:rsidR="006D6DC2">
        <w:lastRenderedPageBreak/>
        <w:t>subminimum wage</w:t>
      </w:r>
      <w:r w:rsidR="00142D2A">
        <w:t>.</w:t>
      </w:r>
      <w:r w:rsidR="006D6DC2" w:rsidRPr="006D6DC2">
        <w:rPr>
          <w:rStyle w:val="EndnoteReference"/>
          <w:rFonts w:eastAsiaTheme="minorHAnsi" w:cs="Arial"/>
        </w:rPr>
        <w:t xml:space="preserve"> </w:t>
      </w:r>
      <w:r w:rsidR="006D6DC2" w:rsidRPr="00423854">
        <w:rPr>
          <w:rStyle w:val="EndnoteReference"/>
          <w:rFonts w:eastAsiaTheme="minorHAnsi" w:cs="Arial"/>
        </w:rPr>
        <w:endnoteReference w:id="208"/>
      </w:r>
      <w:r w:rsidR="007948D8">
        <w:t xml:space="preserve"> Most certificate holders are required to renew the certificate every two years.</w:t>
      </w:r>
    </w:p>
    <w:p w14:paraId="52B69279" w14:textId="77777777" w:rsidR="00296DA5" w:rsidRDefault="00030D8D" w:rsidP="00A0214F">
      <w:pPr>
        <w:pStyle w:val="NCDBodyText"/>
      </w:pPr>
      <w:r>
        <w:t xml:space="preserve">WHD classifies </w:t>
      </w:r>
      <w:r w:rsidR="006D6DC2">
        <w:t xml:space="preserve">a </w:t>
      </w:r>
      <w:r>
        <w:t xml:space="preserve">14(c) certificate as </w:t>
      </w:r>
      <w:r w:rsidR="000479DD">
        <w:t xml:space="preserve">either </w:t>
      </w:r>
      <w:r w:rsidR="006D6DC2">
        <w:t>a business establishment</w:t>
      </w:r>
      <w:r>
        <w:t xml:space="preserve">, </w:t>
      </w:r>
      <w:r w:rsidRPr="00423854">
        <w:t>work center</w:t>
      </w:r>
      <w:r w:rsidR="007C0767">
        <w:t>,</w:t>
      </w:r>
      <w:r>
        <w:t xml:space="preserve"> </w:t>
      </w:r>
      <w:r w:rsidR="00954B72">
        <w:t>known a</w:t>
      </w:r>
      <w:r w:rsidR="00FD3DED">
        <w:t>lso a</w:t>
      </w:r>
      <w:r w:rsidR="00954B72">
        <w:t xml:space="preserve">s </w:t>
      </w:r>
      <w:r w:rsidR="007948D8">
        <w:t>c</w:t>
      </w:r>
      <w:r w:rsidRPr="00423854">
        <w:t xml:space="preserve">ommunity </w:t>
      </w:r>
      <w:r w:rsidR="007948D8">
        <w:t>r</w:t>
      </w:r>
      <w:r w:rsidRPr="00423854">
        <w:t xml:space="preserve">ehabilitation </w:t>
      </w:r>
      <w:r w:rsidR="007948D8">
        <w:t>p</w:t>
      </w:r>
      <w:r w:rsidRPr="00423854">
        <w:t>rogram</w:t>
      </w:r>
      <w:r w:rsidR="00954B72">
        <w:t>s</w:t>
      </w:r>
      <w:r w:rsidR="007948D8">
        <w:t xml:space="preserve"> (CRP</w:t>
      </w:r>
      <w:r w:rsidR="001E6D61">
        <w:t>s</w:t>
      </w:r>
      <w:r>
        <w:t>)</w:t>
      </w:r>
      <w:r w:rsidRPr="00423854">
        <w:t xml:space="preserve">, </w:t>
      </w:r>
      <w:r>
        <w:t>or a</w:t>
      </w:r>
      <w:r w:rsidRPr="00423854">
        <w:t xml:space="preserve"> </w:t>
      </w:r>
      <w:r>
        <w:t>hospital or institution</w:t>
      </w:r>
      <w:r w:rsidRPr="00423854">
        <w:t>.</w:t>
      </w:r>
      <w:r w:rsidR="00C22CAE">
        <w:rPr>
          <w:rStyle w:val="EndnoteReference"/>
          <w:rFonts w:eastAsiaTheme="minorHAnsi" w:cs="Arial"/>
        </w:rPr>
        <w:endnoteReference w:id="209"/>
      </w:r>
      <w:r w:rsidR="00A223F1">
        <w:t xml:space="preserve"> </w:t>
      </w:r>
      <w:r>
        <w:t>S</w:t>
      </w:r>
      <w:r w:rsidRPr="00423854">
        <w:t>chool officials may also request authorization for students with disabilities to participate in school work experience programs (SWEPs) in exchange for subminimum wages</w:t>
      </w:r>
      <w:r>
        <w:t>,</w:t>
      </w:r>
      <w:r w:rsidRPr="00423854">
        <w:t xml:space="preserve"> and State vocational rehabilitation counselors and Department of Veterans Affairs officials may seek permission to grant or extend temporary authorization to employ workers with disabilities at subminimum wage rates.</w:t>
      </w:r>
    </w:p>
    <w:p w14:paraId="38C589CA" w14:textId="77777777" w:rsidR="00296DA5" w:rsidRDefault="001E6D61" w:rsidP="00A0214F">
      <w:pPr>
        <w:pStyle w:val="NCDBodyText"/>
      </w:pPr>
      <w:r>
        <w:rPr>
          <w:rFonts w:eastAsiaTheme="minorHAnsi"/>
        </w:rPr>
        <w:t xml:space="preserve">WHD </w:t>
      </w:r>
      <w:r w:rsidR="00030D8D">
        <w:rPr>
          <w:rFonts w:eastAsiaTheme="minorHAnsi"/>
        </w:rPr>
        <w:t xml:space="preserve">has </w:t>
      </w:r>
      <w:r w:rsidR="001F14D5" w:rsidRPr="00423854">
        <w:rPr>
          <w:rFonts w:eastAsiaTheme="minorHAnsi"/>
        </w:rPr>
        <w:t xml:space="preserve">broad authority to </w:t>
      </w:r>
      <w:r w:rsidR="00030D8D">
        <w:rPr>
          <w:rFonts w:eastAsiaTheme="minorHAnsi"/>
        </w:rPr>
        <w:t xml:space="preserve">administer and </w:t>
      </w:r>
      <w:r w:rsidR="001F14D5" w:rsidRPr="00423854">
        <w:rPr>
          <w:rFonts w:eastAsiaTheme="minorHAnsi"/>
        </w:rPr>
        <w:t xml:space="preserve">enforce </w:t>
      </w:r>
      <w:r w:rsidR="001F14D5">
        <w:rPr>
          <w:rFonts w:eastAsiaTheme="minorHAnsi"/>
        </w:rPr>
        <w:t>Section</w:t>
      </w:r>
      <w:r w:rsidR="001F14D5" w:rsidRPr="00423854">
        <w:rPr>
          <w:rFonts w:eastAsiaTheme="minorHAnsi"/>
        </w:rPr>
        <w:t xml:space="preserve"> 14(c).</w:t>
      </w:r>
      <w:r w:rsidR="001F14D5" w:rsidRPr="00423854">
        <w:rPr>
          <w:rFonts w:eastAsiaTheme="minorHAnsi"/>
          <w:vertAlign w:val="superscript"/>
        </w:rPr>
        <w:endnoteReference w:id="210"/>
      </w:r>
      <w:r w:rsidR="001F14D5">
        <w:rPr>
          <w:rFonts w:eastAsiaTheme="minorHAnsi"/>
        </w:rPr>
        <w:t xml:space="preserve"> </w:t>
      </w:r>
      <w:r w:rsidR="00CF511B">
        <w:t>WHD</w:t>
      </w:r>
      <w:r w:rsidR="006474CA">
        <w:t>’</w:t>
      </w:r>
      <w:r w:rsidR="00CF511B">
        <w:t xml:space="preserve">s responsibilities have expanded since 2008 to include </w:t>
      </w:r>
      <w:r w:rsidR="007948D8">
        <w:t>S</w:t>
      </w:r>
      <w:r w:rsidR="00CF511B">
        <w:t>ection 511 of</w:t>
      </w:r>
      <w:r w:rsidR="001849F2">
        <w:t xml:space="preserve"> WIOA</w:t>
      </w:r>
      <w:r w:rsidR="00CF511B">
        <w:t xml:space="preserve"> and the minimum wage provisions for certain federal contractors</w:t>
      </w:r>
      <w:r w:rsidR="00C24E46" w:rsidRPr="00C24E46">
        <w:t xml:space="preserve"> </w:t>
      </w:r>
      <w:r w:rsidR="006D6DC2">
        <w:t xml:space="preserve">under </w:t>
      </w:r>
      <w:r w:rsidR="00C24E46">
        <w:t xml:space="preserve">Executive Order </w:t>
      </w:r>
      <w:r w:rsidR="00C24E46" w:rsidRPr="00CF511B">
        <w:t>13658</w:t>
      </w:r>
      <w:r w:rsidR="004975AC">
        <w:t>,</w:t>
      </w:r>
      <w:r w:rsidR="00717234">
        <w:t xml:space="preserve"> </w:t>
      </w:r>
      <w:r w:rsidR="00C24E46">
        <w:t xml:space="preserve">which impacts employees </w:t>
      </w:r>
      <w:r w:rsidR="00717234">
        <w:t xml:space="preserve">paid </w:t>
      </w:r>
      <w:r w:rsidR="00C24E46">
        <w:t>under S</w:t>
      </w:r>
      <w:r w:rsidR="00CF511B">
        <w:t>ection 14(c)</w:t>
      </w:r>
      <w:r w:rsidR="00717234">
        <w:t>.</w:t>
      </w:r>
      <w:r w:rsidR="001F14D5">
        <w:t xml:space="preserve"> </w:t>
      </w:r>
      <w:r w:rsidR="00030D8D">
        <w:t xml:space="preserve">Table </w:t>
      </w:r>
      <w:r w:rsidR="00DB078C">
        <w:t>1</w:t>
      </w:r>
      <w:r w:rsidR="00030D8D">
        <w:t xml:space="preserve"> lists the requirements of Section 511 and </w:t>
      </w:r>
      <w:r w:rsidR="00954B72">
        <w:t>EO</w:t>
      </w:r>
      <w:r w:rsidR="00030D8D">
        <w:t xml:space="preserve"> 13658, along with</w:t>
      </w:r>
      <w:r w:rsidR="007948D8">
        <w:t xml:space="preserve"> the</w:t>
      </w:r>
      <w:r w:rsidR="00030D8D">
        <w:t xml:space="preserve"> </w:t>
      </w:r>
      <w:r w:rsidR="007948D8">
        <w:t>responsibilities of WHD.</w:t>
      </w:r>
    </w:p>
    <w:p w14:paraId="2F94C4D5" w14:textId="411E0C2A" w:rsidR="00742E48" w:rsidRPr="00EE033F" w:rsidRDefault="00742E48" w:rsidP="00A0214F">
      <w:pPr>
        <w:pStyle w:val="Heading3"/>
      </w:pPr>
      <w:bookmarkStart w:id="66" w:name="_Toc526182111"/>
      <w:r w:rsidRPr="00EE033F">
        <w:t>Regulatory, Sub-</w:t>
      </w:r>
      <w:r w:rsidR="00B55E5B">
        <w:t xml:space="preserve">Regulatory, </w:t>
      </w:r>
      <w:r w:rsidRPr="00EE033F">
        <w:t>and Policy Guidance</w:t>
      </w:r>
      <w:bookmarkEnd w:id="66"/>
    </w:p>
    <w:p w14:paraId="7FC559D1" w14:textId="77777777" w:rsidR="00296DA5" w:rsidRDefault="00742E48" w:rsidP="00A0214F">
      <w:pPr>
        <w:pStyle w:val="NCDBodyText"/>
      </w:pPr>
      <w:r>
        <w:t>While WHD has not issued new regulations for the 14(c) pro</w:t>
      </w:r>
      <w:r w:rsidR="007948D8">
        <w:t>gram, it has sought to increase c</w:t>
      </w:r>
      <w:r>
        <w:t xml:space="preserve">ommunications with certificate holders and </w:t>
      </w:r>
      <w:r w:rsidR="00953756">
        <w:t xml:space="preserve">has </w:t>
      </w:r>
      <w:r>
        <w:t>worked with the Department of Education to issue guidance related to the requirements of Section 511.</w:t>
      </w:r>
      <w:r>
        <w:rPr>
          <w:rStyle w:val="EndnoteReference"/>
          <w:rFonts w:eastAsiaTheme="minorHAnsi" w:cs="Arial"/>
        </w:rPr>
        <w:endnoteReference w:id="211"/>
      </w:r>
    </w:p>
    <w:p w14:paraId="612EAAB5" w14:textId="77777777" w:rsidR="00A0214F" w:rsidRDefault="00A0214F">
      <w:pPr>
        <w:spacing w:after="200"/>
        <w:rPr>
          <w:rFonts w:ascii="Arial" w:hAnsi="Arial" w:cs="Calibri"/>
          <w:color w:val="000000"/>
          <w:szCs w:val="24"/>
          <w:u w:color="000000"/>
          <w:bdr w:val="nil"/>
        </w:rPr>
      </w:pPr>
      <w:r>
        <w:br w:type="page"/>
      </w:r>
    </w:p>
    <w:p w14:paraId="60D68F8E" w14:textId="5DB0C2D1" w:rsidR="00030D8D" w:rsidRPr="00DC786B" w:rsidRDefault="00030D8D" w:rsidP="00DC786B">
      <w:pPr>
        <w:pStyle w:val="NCDTableHeader"/>
        <w:spacing w:after="200"/>
        <w:jc w:val="left"/>
      </w:pPr>
      <w:r w:rsidRPr="00DC786B">
        <w:lastRenderedPageBreak/>
        <w:t xml:space="preserve">Table </w:t>
      </w:r>
      <w:r w:rsidR="00DB078C" w:rsidRPr="00DC786B">
        <w:t>1</w:t>
      </w:r>
      <w:r w:rsidRPr="00DC786B">
        <w:t>:</w:t>
      </w:r>
      <w:r w:rsidR="00716D6A" w:rsidRPr="00DC786B">
        <w:t xml:space="preserve"> </w:t>
      </w:r>
      <w:r w:rsidRPr="00DC786B">
        <w:t xml:space="preserve">WHD Expansion of Enforcement Authority </w:t>
      </w:r>
    </w:p>
    <w:tbl>
      <w:tblPr>
        <w:tblW w:w="9270"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Caption w:val="Table 1: WHD Expansion of Enforcement Authority "/>
        <w:tblDescription w:val="Law Requirements WHD Responsibilities&#10;Section 511 of WIOA   Prohibits an employer from hiring a person with a disability who is age 24 or younger at a subminimum wage unless certain conditions are met (including applying for vocational rehabilitation services and receiving access to pre-employment transition services).&#10;Prohibits an employer from paying or continuing to pay a person with a disability, regardless of age, a subminimum wage unless he or she is provided with career counseling services and information about opportunities for competitive integrated employment every six months in the first year of employment and annually thereafter.&#10;Prohibits state and local educational agencies from contracting with Section 14(c) certificate holders to operate a program for individuals age 24 or younger under which work is compensated at a subminimum wage.  Under WIOA, employers with 14(c) certificates who have failed to meet the requirements of Section 511 are required to pay the minimum wage for each employee who would otherwise be eligible for the payment of a subminimum wage under the 14(c) program. WHD is authorized “to seek back pay at the full minimum wage rate for each individual for whom the mandatory services and/or documentation is not provided or does not meet the established criteria.”  &#10;EO 13658 Imposes a minimum wage rate requirement (e.g., originally $10.10 per hour) on Section 14(c) certificate holders that enter into new covered service and concessions contracts with the Federal Government. WHD is charged with enforcing the Executive Order’s minimum wage requirements.  &#10;"/>
      </w:tblPr>
      <w:tblGrid>
        <w:gridCol w:w="1717"/>
        <w:gridCol w:w="4272"/>
        <w:gridCol w:w="3281"/>
      </w:tblGrid>
      <w:tr w:rsidR="00030D8D" w:rsidRPr="00547481" w14:paraId="361645B1" w14:textId="77777777" w:rsidTr="00D820F9">
        <w:trPr>
          <w:trHeight w:val="432"/>
          <w:tblHeader/>
        </w:trPr>
        <w:tc>
          <w:tcPr>
            <w:tcW w:w="1717" w:type="dxa"/>
            <w:shd w:val="clear" w:color="auto" w:fill="auto"/>
            <w:vAlign w:val="center"/>
            <w:hideMark/>
          </w:tcPr>
          <w:p w14:paraId="224E18D9" w14:textId="77777777" w:rsidR="00030D8D" w:rsidRPr="00547481" w:rsidRDefault="00030D8D" w:rsidP="00DC786B">
            <w:pPr>
              <w:pStyle w:val="NCDTableHeader"/>
              <w:jc w:val="left"/>
            </w:pPr>
            <w:r w:rsidRPr="00547481">
              <w:t>Law</w:t>
            </w:r>
          </w:p>
        </w:tc>
        <w:tc>
          <w:tcPr>
            <w:tcW w:w="4272" w:type="dxa"/>
            <w:shd w:val="clear" w:color="auto" w:fill="auto"/>
            <w:vAlign w:val="center"/>
            <w:hideMark/>
          </w:tcPr>
          <w:p w14:paraId="291C03A4" w14:textId="77777777" w:rsidR="00030D8D" w:rsidRPr="00547481" w:rsidRDefault="00030D8D" w:rsidP="00A0214F">
            <w:pPr>
              <w:pStyle w:val="NCDTableHeader"/>
            </w:pPr>
            <w:r w:rsidRPr="00547481">
              <w:t>Requirements</w:t>
            </w:r>
          </w:p>
        </w:tc>
        <w:tc>
          <w:tcPr>
            <w:tcW w:w="3281" w:type="dxa"/>
            <w:shd w:val="clear" w:color="auto" w:fill="auto"/>
            <w:noWrap/>
            <w:vAlign w:val="center"/>
            <w:hideMark/>
          </w:tcPr>
          <w:p w14:paraId="32C47702" w14:textId="77777777" w:rsidR="00030D8D" w:rsidRPr="00547481" w:rsidRDefault="00030D8D" w:rsidP="00A0214F">
            <w:pPr>
              <w:pStyle w:val="NCDTableHeader"/>
            </w:pPr>
            <w:r w:rsidRPr="00547481">
              <w:t>WHD Responsibilities</w:t>
            </w:r>
          </w:p>
        </w:tc>
      </w:tr>
      <w:tr w:rsidR="00030D8D" w:rsidRPr="00547481" w14:paraId="67DB8BD2" w14:textId="77777777" w:rsidTr="00DC786B">
        <w:trPr>
          <w:trHeight w:val="4935"/>
        </w:trPr>
        <w:tc>
          <w:tcPr>
            <w:tcW w:w="1717" w:type="dxa"/>
            <w:shd w:val="clear" w:color="auto" w:fill="auto"/>
            <w:noWrap/>
            <w:vAlign w:val="center"/>
            <w:hideMark/>
          </w:tcPr>
          <w:p w14:paraId="0F7C7976" w14:textId="3A86BD54" w:rsidR="00030D8D" w:rsidRPr="00AB5BB1" w:rsidRDefault="00030D8D" w:rsidP="00A0214F">
            <w:pPr>
              <w:pStyle w:val="NCDTableText"/>
              <w:spacing w:after="200"/>
              <w:rPr>
                <w:b/>
              </w:rPr>
            </w:pPr>
            <w:r w:rsidRPr="00AB5BB1">
              <w:rPr>
                <w:b/>
              </w:rPr>
              <w:t>Section 511 of WIOA</w:t>
            </w:r>
            <w:r w:rsidRPr="00AB5BB1">
              <w:rPr>
                <w:rStyle w:val="EndnoteReference"/>
                <w:b/>
              </w:rPr>
              <w:endnoteReference w:id="212"/>
            </w:r>
            <w:r w:rsidR="00716D6A" w:rsidRPr="00AB5BB1">
              <w:rPr>
                <w:b/>
              </w:rPr>
              <w:t xml:space="preserve"> </w:t>
            </w:r>
          </w:p>
        </w:tc>
        <w:tc>
          <w:tcPr>
            <w:tcW w:w="4272" w:type="dxa"/>
            <w:shd w:val="clear" w:color="auto" w:fill="auto"/>
            <w:hideMark/>
          </w:tcPr>
          <w:p w14:paraId="790559E9" w14:textId="77777777" w:rsidR="00296DA5" w:rsidRPr="00A0214F" w:rsidRDefault="00030D8D" w:rsidP="00A0214F">
            <w:pPr>
              <w:pStyle w:val="NCDTableText"/>
              <w:spacing w:after="200"/>
            </w:pPr>
            <w:r w:rsidRPr="00A0214F">
              <w:t>Prohibits an employer from hiring a person with a disability who is age 24 or younger at a subminimum wage unless certain conditions are met (including applying for vocational rehabilitation services and receiving access to pre-employment transition services).</w:t>
            </w:r>
          </w:p>
          <w:p w14:paraId="7365059A" w14:textId="77777777" w:rsidR="00296DA5" w:rsidRPr="00A0214F" w:rsidRDefault="00030D8D" w:rsidP="00A0214F">
            <w:pPr>
              <w:pStyle w:val="NCDTableText"/>
              <w:spacing w:after="200"/>
            </w:pPr>
            <w:r w:rsidRPr="00A0214F">
              <w:t>Prohibits an employer from paying or continuing to pay a person with a disability, regardless of age, a subminimum wage unless he or she is provided with career counseling services and information about opportunities for competitive integrated employment every six months in the first year of employment and annually thereafter.</w:t>
            </w:r>
          </w:p>
          <w:p w14:paraId="057625F4" w14:textId="5D57264B" w:rsidR="00030D8D" w:rsidRPr="00A0214F" w:rsidRDefault="00030D8D" w:rsidP="00A0214F">
            <w:pPr>
              <w:pStyle w:val="NCDTableText"/>
              <w:spacing w:after="200"/>
            </w:pPr>
            <w:r w:rsidRPr="00A0214F">
              <w:t xml:space="preserve">Prohibits </w:t>
            </w:r>
            <w:r w:rsidR="007F5B42" w:rsidRPr="00A0214F">
              <w:t xml:space="preserve">state </w:t>
            </w:r>
            <w:r w:rsidRPr="00A0214F">
              <w:t>and local educational agencies from contracting with Section 14(c) certificate holders to operate a program for individuals age 24 or younger under which work is compensated at a subminimum wage.</w:t>
            </w:r>
            <w:r w:rsidR="00716D6A" w:rsidRPr="00A0214F">
              <w:t xml:space="preserve"> </w:t>
            </w:r>
          </w:p>
        </w:tc>
        <w:tc>
          <w:tcPr>
            <w:tcW w:w="3281" w:type="dxa"/>
            <w:shd w:val="clear" w:color="auto" w:fill="auto"/>
            <w:hideMark/>
          </w:tcPr>
          <w:p w14:paraId="209AA5E8" w14:textId="2092CE90" w:rsidR="00030D8D" w:rsidRPr="00A0214F" w:rsidRDefault="00030D8D" w:rsidP="00A0214F">
            <w:pPr>
              <w:pStyle w:val="NCDTableText"/>
              <w:spacing w:after="200"/>
            </w:pPr>
            <w:r w:rsidRPr="00A0214F">
              <w:t xml:space="preserve">Under WIOA, employers with 14(c) certificates who have failed to meet the requirements of Section 511 are required to pay the minimum wage for each employee who would otherwise be eligible for the payment of a </w:t>
            </w:r>
            <w:r w:rsidR="00D8658E" w:rsidRPr="00A0214F">
              <w:t>submini</w:t>
            </w:r>
            <w:r w:rsidRPr="00A0214F">
              <w:t xml:space="preserve">mum wage under the 14(c) program. WHD is authorized </w:t>
            </w:r>
            <w:r w:rsidR="006474CA" w:rsidRPr="00A0214F">
              <w:t>“</w:t>
            </w:r>
            <w:r w:rsidRPr="00A0214F">
              <w:t>to seek back pay at the full minimum wage rate for each individual for whom the mandatory services and/or documentation is not provided or does not meet the established criteria.</w:t>
            </w:r>
            <w:r w:rsidR="006474CA" w:rsidRPr="00A0214F">
              <w:t>”</w:t>
            </w:r>
            <w:r w:rsidRPr="00A0214F">
              <w:rPr>
                <w:rStyle w:val="EndnoteReference"/>
              </w:rPr>
              <w:endnoteReference w:id="213"/>
            </w:r>
            <w:r w:rsidRPr="00A0214F">
              <w:t xml:space="preserve"> </w:t>
            </w:r>
          </w:p>
        </w:tc>
      </w:tr>
      <w:tr w:rsidR="00030D8D" w:rsidRPr="00547481" w14:paraId="78E77BA3" w14:textId="77777777" w:rsidTr="00DC786B">
        <w:trPr>
          <w:trHeight w:val="1815"/>
        </w:trPr>
        <w:tc>
          <w:tcPr>
            <w:tcW w:w="1717" w:type="dxa"/>
            <w:shd w:val="clear" w:color="auto" w:fill="auto"/>
            <w:noWrap/>
            <w:vAlign w:val="center"/>
            <w:hideMark/>
          </w:tcPr>
          <w:p w14:paraId="6C8FEF9F" w14:textId="7C6946F4" w:rsidR="00030D8D" w:rsidRPr="00AB5BB1" w:rsidRDefault="00030D8D" w:rsidP="00A0214F">
            <w:pPr>
              <w:pStyle w:val="NCDTableText"/>
              <w:spacing w:after="200"/>
              <w:rPr>
                <w:b/>
              </w:rPr>
            </w:pPr>
            <w:r w:rsidRPr="00AB5BB1">
              <w:rPr>
                <w:b/>
              </w:rPr>
              <w:lastRenderedPageBreak/>
              <w:t>EO 13658</w:t>
            </w:r>
          </w:p>
        </w:tc>
        <w:tc>
          <w:tcPr>
            <w:tcW w:w="4272" w:type="dxa"/>
            <w:shd w:val="clear" w:color="auto" w:fill="auto"/>
            <w:vAlign w:val="center"/>
            <w:hideMark/>
          </w:tcPr>
          <w:p w14:paraId="68E89C06" w14:textId="26B5EFFD" w:rsidR="00030D8D" w:rsidRPr="00A0214F" w:rsidRDefault="00030D8D" w:rsidP="00A0214F">
            <w:pPr>
              <w:pStyle w:val="NCDTableText"/>
              <w:spacing w:after="200"/>
            </w:pPr>
            <w:r w:rsidRPr="00A0214F">
              <w:t>Imposes a</w:t>
            </w:r>
            <w:r w:rsidR="00A223F1" w:rsidRPr="00A0214F">
              <w:t xml:space="preserve"> minimum wage rate requirement </w:t>
            </w:r>
            <w:r w:rsidRPr="00A0214F">
              <w:t>(</w:t>
            </w:r>
            <w:r w:rsidRPr="00A0214F">
              <w:rPr>
                <w:iCs/>
              </w:rPr>
              <w:t>e.g.</w:t>
            </w:r>
            <w:r w:rsidR="007F5B42" w:rsidRPr="00A0214F">
              <w:t>,</w:t>
            </w:r>
            <w:r w:rsidRPr="00A0214F">
              <w:t xml:space="preserve"> originally $10.10 per hour) on Section 14(c) certificate holders that enter into new covered service and concessions contracts with the Federal Government.</w:t>
            </w:r>
          </w:p>
        </w:tc>
        <w:tc>
          <w:tcPr>
            <w:tcW w:w="3281" w:type="dxa"/>
            <w:shd w:val="clear" w:color="auto" w:fill="auto"/>
            <w:hideMark/>
          </w:tcPr>
          <w:p w14:paraId="3EB6765C" w14:textId="576E81C7" w:rsidR="00030D8D" w:rsidRPr="00A0214F" w:rsidRDefault="00030D8D" w:rsidP="00A0214F">
            <w:pPr>
              <w:pStyle w:val="NCDTableText"/>
              <w:spacing w:after="200"/>
            </w:pPr>
            <w:r w:rsidRPr="00A0214F">
              <w:t>WHD is charged with enforcing the Executive Order</w:t>
            </w:r>
            <w:r w:rsidR="006474CA" w:rsidRPr="00A0214F">
              <w:t>’</w:t>
            </w:r>
            <w:r w:rsidRPr="00A0214F">
              <w:t>s minimum wage requirements.</w:t>
            </w:r>
            <w:r w:rsidRPr="00A0214F">
              <w:rPr>
                <w:rStyle w:val="EndnoteReference"/>
              </w:rPr>
              <w:endnoteReference w:id="214"/>
            </w:r>
            <w:r w:rsidR="00716D6A" w:rsidRPr="00A0214F">
              <w:t xml:space="preserve"> </w:t>
            </w:r>
          </w:p>
        </w:tc>
      </w:tr>
    </w:tbl>
    <w:p w14:paraId="468F7A92" w14:textId="77777777" w:rsidR="00030D8D" w:rsidRPr="00030D8D" w:rsidRDefault="00030D8D" w:rsidP="00C36312">
      <w:pPr>
        <w:pStyle w:val="Heading3"/>
        <w:spacing w:before="200"/>
      </w:pPr>
      <w:bookmarkStart w:id="67" w:name="_Toc526182112"/>
      <w:r w:rsidRPr="00030D8D">
        <w:t>Proactive and Reactive Strategies</w:t>
      </w:r>
      <w:bookmarkEnd w:id="67"/>
    </w:p>
    <w:p w14:paraId="5AA0DD07" w14:textId="77777777" w:rsidR="00296DA5" w:rsidRDefault="00030D8D" w:rsidP="00817308">
      <w:pPr>
        <w:pStyle w:val="NCDBodyText"/>
        <w:spacing w:after="120"/>
      </w:pPr>
      <w:r w:rsidRPr="00030D8D">
        <w:t xml:space="preserve">WHD is responsible </w:t>
      </w:r>
      <w:r w:rsidR="00874555">
        <w:t>for the entire Section 14(c) certificate ap</w:t>
      </w:r>
      <w:r w:rsidR="006D6DC2">
        <w:t>plication process</w:t>
      </w:r>
      <w:r w:rsidR="004975AC">
        <w:t>,</w:t>
      </w:r>
      <w:r w:rsidR="006D6DC2">
        <w:t xml:space="preserve"> which includes both new and </w:t>
      </w:r>
      <w:r w:rsidRPr="00030D8D">
        <w:t>ren</w:t>
      </w:r>
      <w:r w:rsidR="006D6DC2">
        <w:t>ewal certificate applications</w:t>
      </w:r>
      <w:r w:rsidRPr="00030D8D">
        <w:t xml:space="preserve">. The application review process is conducted almost entirely </w:t>
      </w:r>
      <w:r w:rsidR="00874555">
        <w:t xml:space="preserve">by </w:t>
      </w:r>
      <w:r w:rsidR="00874555" w:rsidRPr="00030D8D">
        <w:t>WHD</w:t>
      </w:r>
      <w:r w:rsidR="006474CA">
        <w:t>’</w:t>
      </w:r>
      <w:r w:rsidR="00874555" w:rsidRPr="00030D8D">
        <w:t xml:space="preserve">s Mid-West Regional Office </w:t>
      </w:r>
      <w:r w:rsidRPr="00030D8D">
        <w:t>through paper applications.</w:t>
      </w:r>
      <w:r w:rsidR="006D6DC2">
        <w:t xml:space="preserve"> During the application review</w:t>
      </w:r>
      <w:r w:rsidR="007F5B42">
        <w:t>,</w:t>
      </w:r>
      <w:r w:rsidR="006D6DC2">
        <w:t xml:space="preserve"> </w:t>
      </w:r>
      <w:r w:rsidR="005414DC">
        <w:t>WHD staff,</w:t>
      </w:r>
      <w:r w:rsidRPr="00030D8D">
        <w:t xml:space="preserve"> among other things, ensure that the employer has provided appropriate documentation and certified that wages are and will be calculated correctly. Applications are typically rejected only if documentation is missing, though an employer is given the opportunity to submit required information. </w:t>
      </w:r>
      <w:r w:rsidR="005414DC" w:rsidRPr="00030D8D">
        <w:t>In almost all cases</w:t>
      </w:r>
      <w:r w:rsidR="007F5B42">
        <w:t>,</w:t>
      </w:r>
      <w:r w:rsidR="005414DC" w:rsidRPr="00030D8D">
        <w:t xml:space="preserve"> the application is approved</w:t>
      </w:r>
      <w:r w:rsidR="006D6DC2">
        <w:t>. T</w:t>
      </w:r>
      <w:r w:rsidRPr="00030D8D">
        <w:t>he 14(</w:t>
      </w:r>
      <w:r w:rsidR="002D72C0">
        <w:t>c) application process functions essentially a</w:t>
      </w:r>
      <w:r w:rsidR="006D6DC2">
        <w:t>s</w:t>
      </w:r>
      <w:r w:rsidRPr="00030D8D">
        <w:t xml:space="preserve"> a voluntary compliance system.</w:t>
      </w:r>
    </w:p>
    <w:p w14:paraId="52519FC4" w14:textId="77777777" w:rsidR="00296DA5" w:rsidRDefault="00030D8D" w:rsidP="00817308">
      <w:pPr>
        <w:pStyle w:val="NCDBodyText"/>
        <w:spacing w:after="120"/>
      </w:pPr>
      <w:r w:rsidRPr="00030D8D">
        <w:t xml:space="preserve">Few </w:t>
      </w:r>
      <w:r w:rsidR="006D6DC2">
        <w:t xml:space="preserve">WHD </w:t>
      </w:r>
      <w:r w:rsidRPr="00030D8D">
        <w:t xml:space="preserve">staff </w:t>
      </w:r>
      <w:proofErr w:type="gramStart"/>
      <w:r w:rsidRPr="00030D8D">
        <w:t xml:space="preserve">are dedicated to </w:t>
      </w:r>
      <w:r w:rsidR="007F5B42" w:rsidRPr="00030D8D">
        <w:t>provid</w:t>
      </w:r>
      <w:r w:rsidR="007F5B42">
        <w:t>ing</w:t>
      </w:r>
      <w:proofErr w:type="gramEnd"/>
      <w:r w:rsidR="007F5B42" w:rsidRPr="00030D8D">
        <w:t xml:space="preserve"> </w:t>
      </w:r>
      <w:r w:rsidRPr="00030D8D">
        <w:t xml:space="preserve">adequate oversight of the thousands of </w:t>
      </w:r>
      <w:r w:rsidR="006A0557">
        <w:t xml:space="preserve">14(c) </w:t>
      </w:r>
      <w:r w:rsidRPr="00030D8D">
        <w:t>paper applications received each year.</w:t>
      </w:r>
      <w:r w:rsidR="005414DC">
        <w:t xml:space="preserve"> </w:t>
      </w:r>
      <w:r w:rsidR="006A0557" w:rsidRPr="006A0557">
        <w:t xml:space="preserve">In 2001, the </w:t>
      </w:r>
      <w:r w:rsidR="000479DD">
        <w:t>GAO</w:t>
      </w:r>
      <w:r w:rsidR="006A0557" w:rsidRPr="006A0557">
        <w:t xml:space="preserve"> </w:t>
      </w:r>
      <w:r w:rsidR="006A0557">
        <w:t xml:space="preserve">raised concerns about WHD </w:t>
      </w:r>
      <w:r w:rsidR="006A0557" w:rsidRPr="006A0557">
        <w:t>mismanagement of the program because of, among other issues, an apparent lack of strategic enforcement, training, guidance, and data collection.</w:t>
      </w:r>
      <w:r w:rsidR="0086336F">
        <w:rPr>
          <w:rStyle w:val="EndnoteReference"/>
          <w:rFonts w:eastAsiaTheme="minorHAnsi" w:cs="Arial"/>
        </w:rPr>
        <w:endnoteReference w:id="215"/>
      </w:r>
      <w:r w:rsidR="0086336F">
        <w:t xml:space="preserve"> </w:t>
      </w:r>
      <w:r w:rsidRPr="00030D8D">
        <w:t xml:space="preserve">In response to </w:t>
      </w:r>
      <w:r w:rsidR="006A0557">
        <w:t>some of these problems, in January 2018</w:t>
      </w:r>
      <w:r w:rsidRPr="00030D8D">
        <w:t xml:space="preserve"> WHD submitted a request to the Office of Management and Budget (OMB) to transition the 14(c) certificate application proc</w:t>
      </w:r>
      <w:r w:rsidR="005414DC">
        <w:t xml:space="preserve">ess to an electronic platform. </w:t>
      </w:r>
      <w:r w:rsidRPr="00030D8D">
        <w:t>WHD justified the request in part to its expanded responsibility for enforcement, including under Section 511, and that w</w:t>
      </w:r>
      <w:r w:rsidR="006D6DC2">
        <w:t xml:space="preserve">ith electronic capabilities </w:t>
      </w:r>
      <w:r w:rsidR="005414DC">
        <w:t xml:space="preserve">WHD </w:t>
      </w:r>
      <w:r w:rsidRPr="00030D8D">
        <w:t>could</w:t>
      </w:r>
      <w:r w:rsidR="006A0557">
        <w:t xml:space="preserve"> better</w:t>
      </w:r>
      <w:r w:rsidRPr="00030D8D">
        <w:t xml:space="preserve"> target compliance efforts.</w:t>
      </w:r>
    </w:p>
    <w:p w14:paraId="457BEAD6" w14:textId="77777777" w:rsidR="00296DA5" w:rsidRPr="001175CA" w:rsidRDefault="005414DC" w:rsidP="00817308">
      <w:pPr>
        <w:pStyle w:val="NCDBodyText"/>
        <w:spacing w:after="120"/>
        <w:rPr>
          <w:spacing w:val="-2"/>
        </w:rPr>
      </w:pPr>
      <w:r w:rsidRPr="001175CA">
        <w:rPr>
          <w:spacing w:val="-2"/>
        </w:rPr>
        <w:t>The development of a</w:t>
      </w:r>
      <w:r w:rsidR="00030D8D" w:rsidRPr="001175CA">
        <w:rPr>
          <w:spacing w:val="-2"/>
        </w:rPr>
        <w:t xml:space="preserve"> 14(c) certificate electronic </w:t>
      </w:r>
      <w:r w:rsidRPr="001175CA">
        <w:rPr>
          <w:spacing w:val="-2"/>
        </w:rPr>
        <w:t xml:space="preserve">information system </w:t>
      </w:r>
      <w:r w:rsidR="00030D8D" w:rsidRPr="001175CA">
        <w:rPr>
          <w:spacing w:val="-2"/>
        </w:rPr>
        <w:t xml:space="preserve">is important for WHD to meet its statutory obligations. For example, </w:t>
      </w:r>
      <w:r w:rsidRPr="001175CA">
        <w:rPr>
          <w:spacing w:val="-2"/>
        </w:rPr>
        <w:t xml:space="preserve">to comply with Section 511, </w:t>
      </w:r>
      <w:r w:rsidR="00141572" w:rsidRPr="001175CA">
        <w:rPr>
          <w:spacing w:val="-2"/>
        </w:rPr>
        <w:t>a</w:t>
      </w:r>
      <w:r w:rsidR="00030D8D" w:rsidRPr="001175CA">
        <w:rPr>
          <w:spacing w:val="-2"/>
        </w:rPr>
        <w:t xml:space="preserve"> revised WHD </w:t>
      </w:r>
      <w:r w:rsidRPr="001175CA">
        <w:rPr>
          <w:spacing w:val="-2"/>
        </w:rPr>
        <w:t xml:space="preserve">certificate </w:t>
      </w:r>
      <w:r w:rsidR="00030D8D" w:rsidRPr="001175CA">
        <w:rPr>
          <w:spacing w:val="-2"/>
        </w:rPr>
        <w:t xml:space="preserve">application </w:t>
      </w:r>
      <w:r w:rsidR="00141572" w:rsidRPr="001175CA">
        <w:rPr>
          <w:spacing w:val="-2"/>
        </w:rPr>
        <w:t>form</w:t>
      </w:r>
      <w:r w:rsidRPr="001175CA">
        <w:rPr>
          <w:spacing w:val="-2"/>
        </w:rPr>
        <w:t xml:space="preserve"> now require</w:t>
      </w:r>
      <w:r w:rsidR="00141572" w:rsidRPr="001175CA">
        <w:rPr>
          <w:spacing w:val="-2"/>
        </w:rPr>
        <w:t>s</w:t>
      </w:r>
      <w:r w:rsidR="00030D8D" w:rsidRPr="001175CA">
        <w:rPr>
          <w:spacing w:val="-2"/>
        </w:rPr>
        <w:t xml:space="preserve"> employers to list every youth worker who is age </w:t>
      </w:r>
      <w:r w:rsidR="00030D8D" w:rsidRPr="001175CA">
        <w:rPr>
          <w:spacing w:val="-2"/>
        </w:rPr>
        <w:lastRenderedPageBreak/>
        <w:t xml:space="preserve">24 or younger and affirm </w:t>
      </w:r>
      <w:r w:rsidR="006A0557" w:rsidRPr="001175CA">
        <w:rPr>
          <w:spacing w:val="-2"/>
        </w:rPr>
        <w:t>that</w:t>
      </w:r>
      <w:r w:rsidR="00030D8D" w:rsidRPr="001175CA">
        <w:rPr>
          <w:spacing w:val="-2"/>
        </w:rPr>
        <w:t xml:space="preserve"> the worker has received required counsel</w:t>
      </w:r>
      <w:r w:rsidRPr="001175CA">
        <w:rPr>
          <w:spacing w:val="-2"/>
        </w:rPr>
        <w:t>ing, information, and referrals</w:t>
      </w:r>
      <w:r w:rsidR="00030D8D" w:rsidRPr="001175CA">
        <w:rPr>
          <w:spacing w:val="-2"/>
        </w:rPr>
        <w:t xml:space="preserve">. </w:t>
      </w:r>
      <w:r w:rsidR="000479DD" w:rsidRPr="001175CA">
        <w:rPr>
          <w:spacing w:val="-2"/>
        </w:rPr>
        <w:t>T</w:t>
      </w:r>
      <w:r w:rsidR="00141572" w:rsidRPr="001175CA">
        <w:rPr>
          <w:spacing w:val="-2"/>
        </w:rPr>
        <w:t>he current system of paper applications, lack of a centralized electronic</w:t>
      </w:r>
      <w:r w:rsidR="000479DD" w:rsidRPr="001175CA">
        <w:rPr>
          <w:spacing w:val="-2"/>
        </w:rPr>
        <w:t xml:space="preserve"> database, </w:t>
      </w:r>
      <w:r w:rsidR="00141572" w:rsidRPr="001175CA">
        <w:rPr>
          <w:spacing w:val="-2"/>
        </w:rPr>
        <w:t xml:space="preserve">the design of the 14(c) application, and the number of applications </w:t>
      </w:r>
      <w:r w:rsidR="000479DD" w:rsidRPr="001175CA">
        <w:rPr>
          <w:spacing w:val="-2"/>
        </w:rPr>
        <w:t xml:space="preserve">received </w:t>
      </w:r>
      <w:r w:rsidR="00141572" w:rsidRPr="001175CA">
        <w:rPr>
          <w:spacing w:val="-2"/>
        </w:rPr>
        <w:t xml:space="preserve">have made data-driven oversight </w:t>
      </w:r>
      <w:r w:rsidR="000479DD" w:rsidRPr="001175CA">
        <w:rPr>
          <w:spacing w:val="-2"/>
        </w:rPr>
        <w:t xml:space="preserve">by WHD </w:t>
      </w:r>
      <w:r w:rsidR="00141572" w:rsidRPr="001175CA">
        <w:rPr>
          <w:spacing w:val="-2"/>
        </w:rPr>
        <w:t>exceedingly difficult.</w:t>
      </w:r>
      <w:r w:rsidR="00FE083A" w:rsidRPr="001175CA">
        <w:rPr>
          <w:spacing w:val="-2"/>
        </w:rPr>
        <w:t xml:space="preserve"> According to WHD, they are developing an online application system with an expected launch date of late 2018</w:t>
      </w:r>
      <w:r w:rsidR="00272F64" w:rsidRPr="001175CA">
        <w:rPr>
          <w:spacing w:val="-2"/>
        </w:rPr>
        <w:t>.</w:t>
      </w:r>
      <w:r w:rsidR="00FE083A" w:rsidRPr="001175CA">
        <w:rPr>
          <w:spacing w:val="-2"/>
        </w:rPr>
        <w:t xml:space="preserve"> </w:t>
      </w:r>
      <w:r w:rsidR="0027537C" w:rsidRPr="001175CA">
        <w:rPr>
          <w:spacing w:val="-2"/>
        </w:rPr>
        <w:t xml:space="preserve">Time </w:t>
      </w:r>
      <w:r w:rsidR="00FE083A" w:rsidRPr="001175CA">
        <w:rPr>
          <w:spacing w:val="-2"/>
        </w:rPr>
        <w:t>will tell if the electronic application system will alleviate the current issues.</w:t>
      </w:r>
    </w:p>
    <w:p w14:paraId="7921904F" w14:textId="5B573367" w:rsidR="00A24C51" w:rsidRDefault="00A24C51" w:rsidP="00817308">
      <w:pPr>
        <w:pStyle w:val="NCDBodyText"/>
        <w:spacing w:after="120"/>
        <w:rPr>
          <w:rFonts w:eastAsiaTheme="minorHAnsi"/>
          <w:b/>
          <w:bCs/>
          <w:color w:val="1F497D"/>
          <w:sz w:val="22"/>
        </w:rPr>
      </w:pPr>
      <w:r w:rsidRPr="00A24C51">
        <w:t xml:space="preserve">WHD tracks the total number of employers holding a 14(c) certificate, but there is no </w:t>
      </w:r>
      <w:r w:rsidRPr="00ED4DB2">
        <w:t>accurate</w:t>
      </w:r>
      <w:r w:rsidRPr="00A24C51">
        <w:t xml:space="preserve"> count of the total number of workers with disabilities paid subminimum wages. </w:t>
      </w:r>
      <w:r w:rsidRPr="00ED4DB2">
        <w:t>Outside an estimate as part of the 14(c) certificate application</w:t>
      </w:r>
      <w:r w:rsidRPr="00A24C51">
        <w:t xml:space="preserve">, employers are not required to submit such information to WHD. </w:t>
      </w:r>
      <w:r w:rsidR="004F1394">
        <w:t>The Division, however cited in the same month wildly varied estimates of the number of workers employed by 14(c) certificate holders to the Council and Congress ranging from approximately 141,081 to 321,131 employees.</w:t>
      </w:r>
      <w:r w:rsidR="00EE7F98">
        <w:t xml:space="preserve"> </w:t>
      </w:r>
      <w:r w:rsidR="004F1394">
        <w:t>WHD has clarified that the 141,081 estimate represents only those workers employed at the certificate holder</w:t>
      </w:r>
      <w:r w:rsidR="00892AD8">
        <w:rPr>
          <w:rFonts w:cs="Arial"/>
        </w:rPr>
        <w:t>’</w:t>
      </w:r>
      <w:r w:rsidR="004F1394">
        <w:t>s main establishment, whereas 321,131 represents the estimated total of workers employed at all establishments associated with the certificate holder.</w:t>
      </w:r>
      <w:r w:rsidR="00EE7F98" w:rsidRPr="00EE7F98">
        <w:t xml:space="preserve"> </w:t>
      </w:r>
      <w:r w:rsidR="00EE7F98" w:rsidRPr="00A24C51">
        <w:t xml:space="preserve">Lacking </w:t>
      </w:r>
      <w:r w:rsidR="00EE7F98" w:rsidRPr="00ED4DB2">
        <w:t>concrete</w:t>
      </w:r>
      <w:r w:rsidR="00EE7F98" w:rsidRPr="00A24C51">
        <w:t xml:space="preserve"> information about the number employees paid under 14(c) certificates, WHD has historically been hamstrung in its ability to justify additional funding, oversight, or other resources. WHD did not include a request to count the total numbers of employees paid a 14(c) wage as part of the effort to obtain OMB approval for a new electronic information platform</w:t>
      </w:r>
      <w:r w:rsidR="00EE7F98" w:rsidRPr="00A24C51">
        <w:rPr>
          <w:b/>
          <w:bCs/>
        </w:rPr>
        <w:t>.</w:t>
      </w:r>
    </w:p>
    <w:p w14:paraId="4779E6BF" w14:textId="77777777" w:rsidR="00296DA5" w:rsidRPr="00AB5BB1" w:rsidRDefault="004D35AE" w:rsidP="00817308">
      <w:pPr>
        <w:pStyle w:val="NCDBodyText"/>
        <w:spacing w:after="120"/>
        <w:rPr>
          <w:b/>
        </w:rPr>
      </w:pPr>
      <w:r w:rsidRPr="00AB5BB1">
        <w:rPr>
          <w:b/>
        </w:rPr>
        <w:t xml:space="preserve">NCD recommends WHD amend the 14(c) certificate application form to collect information sufficient to determine the total number of employees </w:t>
      </w:r>
      <w:r w:rsidR="000479DD" w:rsidRPr="00AB5BB1">
        <w:rPr>
          <w:b/>
        </w:rPr>
        <w:t>paid a</w:t>
      </w:r>
      <w:r w:rsidR="00FD3DED" w:rsidRPr="00AB5BB1">
        <w:rPr>
          <w:b/>
        </w:rPr>
        <w:t xml:space="preserve"> subminimum wage</w:t>
      </w:r>
      <w:r w:rsidRPr="00AB5BB1">
        <w:rPr>
          <w:b/>
        </w:rPr>
        <w:t xml:space="preserve"> under Section 14(c).</w:t>
      </w:r>
    </w:p>
    <w:p w14:paraId="58AB8D39" w14:textId="0DC4AD57" w:rsidR="00296DA5" w:rsidRDefault="00A4653F" w:rsidP="00817308">
      <w:pPr>
        <w:pStyle w:val="NCDBodyText"/>
        <w:spacing w:after="120"/>
      </w:pPr>
      <w:r w:rsidRPr="00030D8D">
        <w:t>According to WHD</w:t>
      </w:r>
      <w:r>
        <w:t>,</w:t>
      </w:r>
      <w:r w:rsidRPr="00030D8D">
        <w:t xml:space="preserve"> the number of certificate applications per year has dropped considerably, de</w:t>
      </w:r>
      <w:r w:rsidR="00141572">
        <w:t xml:space="preserve">creasing by more than half </w:t>
      </w:r>
      <w:r w:rsidRPr="00030D8D">
        <w:t xml:space="preserve">from 2,540 in FY 2008 to 1,089 in </w:t>
      </w:r>
      <w:r w:rsidR="006A0557">
        <w:t xml:space="preserve">FY </w:t>
      </w:r>
      <w:r w:rsidRPr="00030D8D">
        <w:t xml:space="preserve">2017. </w:t>
      </w:r>
      <w:r w:rsidR="00A85E97">
        <w:t xml:space="preserve">Table 2 contains the number of 14(c) certificate applications received by WHD, the number of those applications received </w:t>
      </w:r>
      <w:r w:rsidR="0012682F">
        <w:t>that</w:t>
      </w:r>
      <w:r w:rsidR="00A85E97">
        <w:t xml:space="preserve"> seek to renew a certificate, and the number of certificates issued by WHD from FY 2008 to FY 2017. </w:t>
      </w:r>
      <w:r w:rsidR="00C928B3">
        <w:t>WHD staff</w:t>
      </w:r>
      <w:r w:rsidR="00C928B3" w:rsidRPr="00030D8D">
        <w:t xml:space="preserve"> do not follow up with </w:t>
      </w:r>
      <w:r w:rsidR="00C928B3">
        <w:t>employers who fail to renew a 14(c) certificate</w:t>
      </w:r>
      <w:r w:rsidR="00C928B3" w:rsidRPr="00030D8D">
        <w:t xml:space="preserve"> </w:t>
      </w:r>
      <w:r w:rsidR="00C928B3">
        <w:t xml:space="preserve">and thus </w:t>
      </w:r>
      <w:r w:rsidR="00D56C1A">
        <w:t>WHD</w:t>
      </w:r>
      <w:r w:rsidR="00D56C1A" w:rsidRPr="00030D8D">
        <w:t xml:space="preserve"> </w:t>
      </w:r>
      <w:r w:rsidR="001843C0" w:rsidRPr="00030D8D">
        <w:t xml:space="preserve">lacks </w:t>
      </w:r>
      <w:r w:rsidR="000479DD">
        <w:t>an</w:t>
      </w:r>
      <w:r w:rsidR="00C928B3">
        <w:t xml:space="preserve"> </w:t>
      </w:r>
      <w:r w:rsidR="001843C0" w:rsidRPr="00030D8D">
        <w:t xml:space="preserve">understanding </w:t>
      </w:r>
      <w:r w:rsidR="000E75CB">
        <w:t>of</w:t>
      </w:r>
      <w:r w:rsidR="005F4385">
        <w:t xml:space="preserve"> why</w:t>
      </w:r>
      <w:r w:rsidR="00C928B3">
        <w:t xml:space="preserve"> certificates are not renewed</w:t>
      </w:r>
      <w:r>
        <w:t xml:space="preserve">. Given the outcome of </w:t>
      </w:r>
      <w:r w:rsidR="006A0557">
        <w:t xml:space="preserve">a </w:t>
      </w:r>
      <w:r>
        <w:t xml:space="preserve">recent WHD </w:t>
      </w:r>
      <w:r>
        <w:lastRenderedPageBreak/>
        <w:t xml:space="preserve">investigation </w:t>
      </w:r>
      <w:r w:rsidRPr="00030D8D">
        <w:t>discussed below, there is a significant risk that em</w:t>
      </w:r>
      <w:r w:rsidR="00FD3DED">
        <w:t>ployers may continue to pay sub</w:t>
      </w:r>
      <w:r w:rsidRPr="00030D8D">
        <w:t>minimum wages without a ce</w:t>
      </w:r>
      <w:r w:rsidR="00C928B3">
        <w:t xml:space="preserve">rtificate. Seventeen years </w:t>
      </w:r>
      <w:r w:rsidR="00063CCD">
        <w:t>ago,</w:t>
      </w:r>
      <w:r w:rsidR="00C928B3">
        <w:t xml:space="preserve"> the GAO </w:t>
      </w:r>
      <w:r w:rsidRPr="00030D8D">
        <w:t xml:space="preserve">noted that WHD </w:t>
      </w:r>
      <w:r w:rsidR="006474CA">
        <w:t>“</w:t>
      </w:r>
      <w:r w:rsidRPr="00030D8D">
        <w:t>did little to ensure that empl</w:t>
      </w:r>
      <w:r w:rsidR="00FD3DED">
        <w:t>oyers whose 14(c) certificates</w:t>
      </w:r>
      <w:r w:rsidRPr="00030D8D">
        <w:t xml:space="preserve"> have expired do not continue to pay workers special minimum wages.</w:t>
      </w:r>
      <w:r w:rsidR="006474CA">
        <w:t>”</w:t>
      </w:r>
      <w:r w:rsidR="00C928B3">
        <w:rPr>
          <w:rStyle w:val="EndnoteReference"/>
          <w:rFonts w:eastAsiaTheme="minorHAnsi" w:cs="Arial"/>
        </w:rPr>
        <w:endnoteReference w:id="216"/>
      </w:r>
      <w:r w:rsidR="00716D6A">
        <w:t xml:space="preserve"> </w:t>
      </w:r>
      <w:r w:rsidR="00ED2A88" w:rsidRPr="004D35AE">
        <w:rPr>
          <w:b/>
        </w:rPr>
        <w:t xml:space="preserve">NCD recommends that WHD collect and systematically track how many 14(c) certificates have expired, </w:t>
      </w:r>
      <w:r w:rsidR="00ED2A88">
        <w:rPr>
          <w:b/>
        </w:rPr>
        <w:t xml:space="preserve">and </w:t>
      </w:r>
      <w:r w:rsidR="00ED2A88" w:rsidRPr="004D35AE">
        <w:rPr>
          <w:b/>
        </w:rPr>
        <w:t xml:space="preserve">the reasons for </w:t>
      </w:r>
      <w:r w:rsidR="00ED2A88">
        <w:rPr>
          <w:b/>
        </w:rPr>
        <w:t xml:space="preserve">the </w:t>
      </w:r>
      <w:r w:rsidR="00ED2A88" w:rsidRPr="004D35AE">
        <w:rPr>
          <w:b/>
        </w:rPr>
        <w:t xml:space="preserve">expiration and </w:t>
      </w:r>
      <w:r w:rsidR="00ED2A88">
        <w:rPr>
          <w:b/>
        </w:rPr>
        <w:t xml:space="preserve">the </w:t>
      </w:r>
      <w:r w:rsidR="00444926">
        <w:rPr>
          <w:b/>
        </w:rPr>
        <w:t>non</w:t>
      </w:r>
      <w:r w:rsidR="00ED2A88" w:rsidRPr="004D35AE">
        <w:rPr>
          <w:b/>
        </w:rPr>
        <w:t>renewal of the certificate</w:t>
      </w:r>
      <w:r w:rsidR="00ED2A88">
        <w:rPr>
          <w:b/>
        </w:rPr>
        <w:t>.</w:t>
      </w:r>
    </w:p>
    <w:p w14:paraId="1ABFF08C" w14:textId="77777777" w:rsidR="00296DA5" w:rsidRPr="00AB5BB1" w:rsidRDefault="004D35AE" w:rsidP="00817308">
      <w:pPr>
        <w:pStyle w:val="NCDBodyText"/>
        <w:spacing w:after="120"/>
        <w:rPr>
          <w:b/>
        </w:rPr>
      </w:pPr>
      <w:r w:rsidRPr="00AB5BB1">
        <w:rPr>
          <w:b/>
        </w:rPr>
        <w:t xml:space="preserve">NCD recommends that WHD use enforcement </w:t>
      </w:r>
      <w:r w:rsidR="00ED2A88" w:rsidRPr="00AB5BB1">
        <w:rPr>
          <w:b/>
        </w:rPr>
        <w:t xml:space="preserve">and regulatory </w:t>
      </w:r>
      <w:r w:rsidRPr="00AB5BB1">
        <w:rPr>
          <w:b/>
        </w:rPr>
        <w:t>authority available under the FLSA to determine the extent to which employers who do not renew a 14(c) certificate continue to pay employees with disabilities a subminimum wage.</w:t>
      </w:r>
    </w:p>
    <w:p w14:paraId="3C944954" w14:textId="77777777" w:rsidR="00296DA5" w:rsidRPr="00817308" w:rsidRDefault="001111B5" w:rsidP="00817308">
      <w:pPr>
        <w:pStyle w:val="NCDBodyText"/>
        <w:spacing w:after="120"/>
        <w:rPr>
          <w:spacing w:val="-3"/>
        </w:rPr>
      </w:pPr>
      <w:r w:rsidRPr="00817308">
        <w:rPr>
          <w:spacing w:val="-3"/>
        </w:rPr>
        <w:t xml:space="preserve">In December 2015, three employees at a sheltered workshop in Ohio filed </w:t>
      </w:r>
      <w:r w:rsidR="00C928B3" w:rsidRPr="00817308">
        <w:rPr>
          <w:spacing w:val="-3"/>
        </w:rPr>
        <w:t xml:space="preserve">a petition under a rarely, if ever used, </w:t>
      </w:r>
      <w:r w:rsidRPr="00817308">
        <w:rPr>
          <w:spacing w:val="-3"/>
        </w:rPr>
        <w:t xml:space="preserve">provision </w:t>
      </w:r>
      <w:r w:rsidR="006A0557" w:rsidRPr="00817308">
        <w:rPr>
          <w:spacing w:val="-3"/>
        </w:rPr>
        <w:t>under</w:t>
      </w:r>
      <w:r w:rsidR="00B73DBA" w:rsidRPr="00817308">
        <w:rPr>
          <w:spacing w:val="-3"/>
        </w:rPr>
        <w:t xml:space="preserve"> Section 14(c)</w:t>
      </w:r>
      <w:r w:rsidR="004975AC" w:rsidRPr="00817308">
        <w:rPr>
          <w:spacing w:val="-3"/>
        </w:rPr>
        <w:t>,</w:t>
      </w:r>
      <w:r w:rsidRPr="00817308">
        <w:rPr>
          <w:spacing w:val="-3"/>
        </w:rPr>
        <w:t xml:space="preserve"> </w:t>
      </w:r>
      <w:r w:rsidR="00141572" w:rsidRPr="00817308">
        <w:rPr>
          <w:spacing w:val="-3"/>
        </w:rPr>
        <w:t>which</w:t>
      </w:r>
      <w:r w:rsidRPr="00817308">
        <w:rPr>
          <w:spacing w:val="-3"/>
        </w:rPr>
        <w:t xml:space="preserve"> allow</w:t>
      </w:r>
      <w:r w:rsidR="00141572" w:rsidRPr="00817308">
        <w:rPr>
          <w:spacing w:val="-3"/>
        </w:rPr>
        <w:t xml:space="preserve">s </w:t>
      </w:r>
      <w:r w:rsidR="00C928B3" w:rsidRPr="00817308">
        <w:rPr>
          <w:spacing w:val="-3"/>
        </w:rPr>
        <w:t xml:space="preserve">for a </w:t>
      </w:r>
      <w:r w:rsidR="006A0557" w:rsidRPr="00817308">
        <w:rPr>
          <w:spacing w:val="-3"/>
        </w:rPr>
        <w:t xml:space="preserve">DOL </w:t>
      </w:r>
      <w:r w:rsidR="00C928B3" w:rsidRPr="00817308">
        <w:rPr>
          <w:spacing w:val="-3"/>
        </w:rPr>
        <w:t>A</w:t>
      </w:r>
      <w:r w:rsidR="006A0557" w:rsidRPr="00817308">
        <w:rPr>
          <w:spacing w:val="-3"/>
        </w:rPr>
        <w:t xml:space="preserve">dministrative </w:t>
      </w:r>
      <w:r w:rsidR="00C928B3" w:rsidRPr="00817308">
        <w:rPr>
          <w:spacing w:val="-3"/>
        </w:rPr>
        <w:t>L</w:t>
      </w:r>
      <w:r w:rsidR="006A0557" w:rsidRPr="00817308">
        <w:rPr>
          <w:spacing w:val="-3"/>
        </w:rPr>
        <w:t xml:space="preserve">aw </w:t>
      </w:r>
      <w:r w:rsidR="00C928B3" w:rsidRPr="00817308">
        <w:rPr>
          <w:spacing w:val="-3"/>
        </w:rPr>
        <w:t>J</w:t>
      </w:r>
      <w:r w:rsidR="006A0557" w:rsidRPr="00817308">
        <w:rPr>
          <w:spacing w:val="-3"/>
        </w:rPr>
        <w:t xml:space="preserve">udge (ALJ) </w:t>
      </w:r>
      <w:r w:rsidR="00C928B3" w:rsidRPr="00817308">
        <w:rPr>
          <w:spacing w:val="-3"/>
        </w:rPr>
        <w:t xml:space="preserve">to review </w:t>
      </w:r>
      <w:r w:rsidR="00141572" w:rsidRPr="00817308">
        <w:rPr>
          <w:spacing w:val="-3"/>
        </w:rPr>
        <w:t xml:space="preserve">the payment </w:t>
      </w:r>
      <w:r w:rsidR="006A0557" w:rsidRPr="00817308">
        <w:rPr>
          <w:spacing w:val="-3"/>
        </w:rPr>
        <w:t xml:space="preserve">a </w:t>
      </w:r>
      <w:r w:rsidR="00141572" w:rsidRPr="00817308">
        <w:rPr>
          <w:spacing w:val="-3"/>
        </w:rPr>
        <w:t>subminimum</w:t>
      </w:r>
      <w:r w:rsidRPr="00817308">
        <w:rPr>
          <w:spacing w:val="-3"/>
        </w:rPr>
        <w:t xml:space="preserve"> wage.</w:t>
      </w:r>
      <w:r w:rsidR="00C928B3" w:rsidRPr="00817308">
        <w:rPr>
          <w:rStyle w:val="EndnoteReference"/>
          <w:rFonts w:eastAsiaTheme="minorHAnsi" w:cs="Arial"/>
          <w:spacing w:val="-3"/>
        </w:rPr>
        <w:endnoteReference w:id="217"/>
      </w:r>
      <w:r w:rsidRPr="00817308">
        <w:rPr>
          <w:spacing w:val="-3"/>
        </w:rPr>
        <w:t xml:space="preserve"> In a precedent-setting opinion</w:t>
      </w:r>
      <w:r w:rsidR="00EB7564" w:rsidRPr="00817308">
        <w:rPr>
          <w:spacing w:val="-3"/>
        </w:rPr>
        <w:t>,</w:t>
      </w:r>
      <w:r w:rsidRPr="00817308">
        <w:rPr>
          <w:spacing w:val="-3"/>
        </w:rPr>
        <w:t xml:space="preserve"> the ALJ </w:t>
      </w:r>
      <w:r w:rsidR="00C928B3" w:rsidRPr="00817308">
        <w:rPr>
          <w:spacing w:val="-3"/>
        </w:rPr>
        <w:t>found,</w:t>
      </w:r>
      <w:r w:rsidR="00FD3DED" w:rsidRPr="00817308">
        <w:rPr>
          <w:spacing w:val="-3"/>
        </w:rPr>
        <w:t xml:space="preserve"> </w:t>
      </w:r>
      <w:r w:rsidRPr="00817308">
        <w:rPr>
          <w:spacing w:val="-3"/>
        </w:rPr>
        <w:t xml:space="preserve">among </w:t>
      </w:r>
      <w:r w:rsidR="00141572" w:rsidRPr="00817308">
        <w:rPr>
          <w:spacing w:val="-3"/>
        </w:rPr>
        <w:t>other things, that the workshop</w:t>
      </w:r>
      <w:r w:rsidRPr="00817308">
        <w:rPr>
          <w:spacing w:val="-3"/>
        </w:rPr>
        <w:t xml:space="preserve"> failed to establish that the </w:t>
      </w:r>
      <w:r w:rsidR="006A0557" w:rsidRPr="00817308">
        <w:rPr>
          <w:spacing w:val="-3"/>
        </w:rPr>
        <w:t xml:space="preserve">three </w:t>
      </w:r>
      <w:r w:rsidRPr="00817308">
        <w:rPr>
          <w:spacing w:val="-3"/>
        </w:rPr>
        <w:t xml:space="preserve">employees were </w:t>
      </w:r>
      <w:r w:rsidR="006474CA" w:rsidRPr="00817308">
        <w:rPr>
          <w:spacing w:val="-3"/>
        </w:rPr>
        <w:t>“</w:t>
      </w:r>
      <w:r w:rsidRPr="00817308">
        <w:rPr>
          <w:spacing w:val="-3"/>
        </w:rPr>
        <w:t>disabled for the work they performed,</w:t>
      </w:r>
      <w:r w:rsidR="006474CA" w:rsidRPr="00817308">
        <w:rPr>
          <w:spacing w:val="-3"/>
        </w:rPr>
        <w:t>”</w:t>
      </w:r>
      <w:r w:rsidRPr="00817308">
        <w:rPr>
          <w:spacing w:val="-3"/>
        </w:rPr>
        <w:t xml:space="preserve"> a requirement</w:t>
      </w:r>
      <w:r w:rsidR="00783040" w:rsidRPr="00817308">
        <w:rPr>
          <w:spacing w:val="-3"/>
        </w:rPr>
        <w:t xml:space="preserve"> that must be met</w:t>
      </w:r>
      <w:r w:rsidRPr="00817308">
        <w:rPr>
          <w:spacing w:val="-3"/>
        </w:rPr>
        <w:t xml:space="preserve"> before an employe</w:t>
      </w:r>
      <w:r w:rsidR="005C7A61" w:rsidRPr="00817308">
        <w:rPr>
          <w:spacing w:val="-3"/>
        </w:rPr>
        <w:t>r</w:t>
      </w:r>
      <w:r w:rsidRPr="00817308">
        <w:rPr>
          <w:spacing w:val="-3"/>
        </w:rPr>
        <w:t xml:space="preserve"> can pay </w:t>
      </w:r>
      <w:r w:rsidR="006A0557" w:rsidRPr="00817308">
        <w:rPr>
          <w:spacing w:val="-3"/>
        </w:rPr>
        <w:t xml:space="preserve">14(c) </w:t>
      </w:r>
      <w:r w:rsidRPr="00817308">
        <w:rPr>
          <w:spacing w:val="-3"/>
        </w:rPr>
        <w:t>subminimum wages.</w:t>
      </w:r>
      <w:r w:rsidRPr="00817308">
        <w:rPr>
          <w:rStyle w:val="EndnoteReference"/>
          <w:rFonts w:eastAsiaTheme="minorHAnsi" w:cs="Arial"/>
          <w:spacing w:val="-3"/>
        </w:rPr>
        <w:endnoteReference w:id="218"/>
      </w:r>
      <w:r w:rsidRPr="00817308">
        <w:rPr>
          <w:spacing w:val="-3"/>
        </w:rPr>
        <w:t xml:space="preserve"> The ALJ awarded the employees </w:t>
      </w:r>
      <w:r w:rsidR="00C928B3" w:rsidRPr="00817308">
        <w:rPr>
          <w:spacing w:val="-3"/>
        </w:rPr>
        <w:t xml:space="preserve">the regular </w:t>
      </w:r>
      <w:r w:rsidRPr="00817308">
        <w:rPr>
          <w:spacing w:val="-3"/>
        </w:rPr>
        <w:t>minimum wage going forward</w:t>
      </w:r>
      <w:r w:rsidR="005C7A61" w:rsidRPr="00817308">
        <w:rPr>
          <w:spacing w:val="-3"/>
        </w:rPr>
        <w:t>,</w:t>
      </w:r>
      <w:r w:rsidRPr="00817308">
        <w:rPr>
          <w:spacing w:val="-3"/>
        </w:rPr>
        <w:t xml:space="preserve"> as well as back pay.</w:t>
      </w:r>
      <w:r w:rsidRPr="00817308">
        <w:rPr>
          <w:rStyle w:val="EndnoteReference"/>
          <w:rFonts w:eastAsiaTheme="minorHAnsi" w:cs="Arial"/>
          <w:spacing w:val="-3"/>
        </w:rPr>
        <w:endnoteReference w:id="219"/>
      </w:r>
      <w:r w:rsidRPr="00817308">
        <w:rPr>
          <w:spacing w:val="-3"/>
        </w:rPr>
        <w:t xml:space="preserve"> </w:t>
      </w:r>
      <w:r w:rsidR="00142D2A" w:rsidRPr="00817308">
        <w:rPr>
          <w:spacing w:val="-3"/>
        </w:rPr>
        <w:t>The</w:t>
      </w:r>
      <w:r w:rsidRPr="00817308">
        <w:rPr>
          <w:spacing w:val="-3"/>
        </w:rPr>
        <w:t xml:space="preserve"> DOL Administrative Review Board (ARB) upheld the ALJ</w:t>
      </w:r>
      <w:r w:rsidR="005C7A61" w:rsidRPr="00817308">
        <w:rPr>
          <w:spacing w:val="-3"/>
        </w:rPr>
        <w:t>’</w:t>
      </w:r>
      <w:r w:rsidRPr="00817308">
        <w:rPr>
          <w:spacing w:val="-3"/>
        </w:rPr>
        <w:t>s decision and the employer</w:t>
      </w:r>
      <w:r w:rsidR="00141572" w:rsidRPr="00817308">
        <w:rPr>
          <w:spacing w:val="-3"/>
        </w:rPr>
        <w:t xml:space="preserve"> appealed</w:t>
      </w:r>
      <w:r w:rsidRPr="00817308">
        <w:rPr>
          <w:spacing w:val="-3"/>
        </w:rPr>
        <w:t xml:space="preserve"> to </w:t>
      </w:r>
      <w:r w:rsidR="00C928B3" w:rsidRPr="00817308">
        <w:rPr>
          <w:spacing w:val="-3"/>
        </w:rPr>
        <w:t xml:space="preserve">a </w:t>
      </w:r>
      <w:r w:rsidRPr="00817308">
        <w:rPr>
          <w:spacing w:val="-3"/>
        </w:rPr>
        <w:t>U.S. district court</w:t>
      </w:r>
      <w:r w:rsidR="005C7A61" w:rsidRPr="00817308">
        <w:rPr>
          <w:spacing w:val="-3"/>
        </w:rPr>
        <w:t>,</w:t>
      </w:r>
      <w:r w:rsidRPr="00817308">
        <w:rPr>
          <w:spacing w:val="-3"/>
        </w:rPr>
        <w:t xml:space="preserve"> where the matter remains at the time of this report.</w:t>
      </w:r>
      <w:r w:rsidRPr="00817308">
        <w:rPr>
          <w:rStyle w:val="EndnoteReference"/>
          <w:rFonts w:eastAsiaTheme="minorHAnsi" w:cs="Arial"/>
          <w:spacing w:val="-3"/>
        </w:rPr>
        <w:endnoteReference w:id="220"/>
      </w:r>
    </w:p>
    <w:p w14:paraId="37B85EDB" w14:textId="77777777" w:rsidR="00296DA5" w:rsidRDefault="0050335C" w:rsidP="00817308">
      <w:pPr>
        <w:pStyle w:val="NCDBodyText"/>
        <w:spacing w:after="120"/>
      </w:pPr>
      <w:r w:rsidRPr="00423854">
        <w:t>WHD</w:t>
      </w:r>
      <w:r>
        <w:t xml:space="preserve"> took steps to include </w:t>
      </w:r>
      <w:r w:rsidR="00141572">
        <w:t>the</w:t>
      </w:r>
      <w:r w:rsidR="001111B5">
        <w:t xml:space="preserve"> </w:t>
      </w:r>
      <w:r>
        <w:t>ALJ and ARB</w:t>
      </w:r>
      <w:r w:rsidR="001111B5">
        <w:t xml:space="preserve"> decisions</w:t>
      </w:r>
      <w:r>
        <w:t xml:space="preserve"> into the Division</w:t>
      </w:r>
      <w:r w:rsidR="006474CA">
        <w:t>’</w:t>
      </w:r>
      <w:r>
        <w:t xml:space="preserve">s </w:t>
      </w:r>
      <w:r w:rsidR="001111B5">
        <w:t>enforcement practice</w:t>
      </w:r>
      <w:r>
        <w:t>s</w:t>
      </w:r>
      <w:r w:rsidR="001111B5">
        <w:t>. WHD</w:t>
      </w:r>
      <w:r w:rsidR="001111B5" w:rsidRPr="00423854">
        <w:t xml:space="preserve"> revised </w:t>
      </w:r>
      <w:r w:rsidR="001111B5">
        <w:t xml:space="preserve">the </w:t>
      </w:r>
      <w:r w:rsidR="001111B5" w:rsidRPr="00423854">
        <w:t>14(c</w:t>
      </w:r>
      <w:r w:rsidR="001111B5">
        <w:t>) certificate application form to require th</w:t>
      </w:r>
      <w:r>
        <w:t>at an</w:t>
      </w:r>
      <w:r w:rsidR="001111B5">
        <w:t xml:space="preserve"> employer submit a </w:t>
      </w:r>
      <w:r w:rsidR="001111B5" w:rsidRPr="00423854">
        <w:t xml:space="preserve">signed representation that </w:t>
      </w:r>
      <w:r w:rsidR="006474CA">
        <w:t>“</w:t>
      </w:r>
      <w:r w:rsidR="001111B5" w:rsidRPr="00423854">
        <w:t>[w]</w:t>
      </w:r>
      <w:proofErr w:type="spellStart"/>
      <w:r w:rsidR="001111B5" w:rsidRPr="00423854">
        <w:t>orke</w:t>
      </w:r>
      <w:r>
        <w:t>rs</w:t>
      </w:r>
      <w:proofErr w:type="spellEnd"/>
      <w:r>
        <w:t xml:space="preserve"> employed under the [14(c) program] </w:t>
      </w:r>
      <w:r w:rsidR="001111B5" w:rsidRPr="00423854">
        <w:t>have disabilities for the work to be performed.</w:t>
      </w:r>
      <w:r w:rsidR="006474CA">
        <w:t>”</w:t>
      </w:r>
      <w:r w:rsidR="001111B5">
        <w:rPr>
          <w:rStyle w:val="EndnoteReference"/>
          <w:rFonts w:eastAsiaTheme="minorHAnsi" w:cs="Arial"/>
        </w:rPr>
        <w:endnoteReference w:id="221"/>
      </w:r>
      <w:r w:rsidR="001111B5" w:rsidRPr="00423854">
        <w:t xml:space="preserve"> WHD staff report that they have </w:t>
      </w:r>
      <w:r>
        <w:t>also</w:t>
      </w:r>
      <w:r w:rsidR="001111B5" w:rsidRPr="00423854">
        <w:t xml:space="preserve"> incorporated the </w:t>
      </w:r>
      <w:r w:rsidR="006474CA">
        <w:t>“</w:t>
      </w:r>
      <w:r w:rsidR="001111B5" w:rsidRPr="00423854">
        <w:t>disabled for the work</w:t>
      </w:r>
      <w:r w:rsidR="006474CA">
        <w:t>”</w:t>
      </w:r>
      <w:r w:rsidR="001111B5" w:rsidRPr="00423854">
        <w:t xml:space="preserve"> standard into existing directed investigations.</w:t>
      </w:r>
    </w:p>
    <w:p w14:paraId="42177DE6" w14:textId="77777777" w:rsidR="00296DA5" w:rsidRPr="00817308" w:rsidRDefault="001111B5" w:rsidP="00396A3D">
      <w:pPr>
        <w:pStyle w:val="NCDBodyText"/>
        <w:rPr>
          <w:b/>
        </w:rPr>
      </w:pPr>
      <w:r w:rsidRPr="00817308">
        <w:t>The 14(c) certificate application forms, however</w:t>
      </w:r>
      <w:r w:rsidR="00047954" w:rsidRPr="00817308">
        <w:t>,</w:t>
      </w:r>
      <w:r w:rsidRPr="00817308">
        <w:t xml:space="preserve"> do little to advise employers that employees with disabilities, even those paid a subminimum wage, are entitled to an individualized assessment and the provision of reasonable accommodations u</w:t>
      </w:r>
      <w:r w:rsidR="0050335C" w:rsidRPr="00817308">
        <w:t>nder t</w:t>
      </w:r>
      <w:r w:rsidR="003C1520" w:rsidRPr="00817308">
        <w:t xml:space="preserve">he ADA. This includes </w:t>
      </w:r>
      <w:r w:rsidR="0050335C" w:rsidRPr="00817308">
        <w:t xml:space="preserve">providing </w:t>
      </w:r>
      <w:r w:rsidRPr="00817308">
        <w:t>accommodations</w:t>
      </w:r>
      <w:r w:rsidR="0050335C" w:rsidRPr="00817308">
        <w:t xml:space="preserve"> </w:t>
      </w:r>
      <w:r w:rsidRPr="00817308">
        <w:t>during require</w:t>
      </w:r>
      <w:r w:rsidR="0050335C" w:rsidRPr="00817308">
        <w:t>d</w:t>
      </w:r>
      <w:r w:rsidRPr="00817308">
        <w:t xml:space="preserve"> time studies to assess productivity and when employers consider whether an employee is disabled for</w:t>
      </w:r>
      <w:r w:rsidR="00FD3DED" w:rsidRPr="00817308">
        <w:t xml:space="preserve"> the work performed</w:t>
      </w:r>
      <w:r w:rsidRPr="00817308">
        <w:t xml:space="preserve">. </w:t>
      </w:r>
      <w:r w:rsidR="004D35AE" w:rsidRPr="00817308">
        <w:rPr>
          <w:b/>
        </w:rPr>
        <w:t>NCD recommends that</w:t>
      </w:r>
      <w:r w:rsidR="00CC61B2" w:rsidRPr="00817308">
        <w:rPr>
          <w:b/>
        </w:rPr>
        <w:t xml:space="preserve"> WHD</w:t>
      </w:r>
      <w:r w:rsidR="00FE083A" w:rsidRPr="00817308">
        <w:rPr>
          <w:b/>
        </w:rPr>
        <w:t>, working with the EEOC as appropriate,</w:t>
      </w:r>
      <w:r w:rsidR="00C928B3" w:rsidRPr="00817308">
        <w:rPr>
          <w:b/>
        </w:rPr>
        <w:t xml:space="preserve"> create technical guidance for </w:t>
      </w:r>
      <w:r w:rsidR="004D35AE" w:rsidRPr="00817308">
        <w:rPr>
          <w:b/>
        </w:rPr>
        <w:t>14(c) certificate holders</w:t>
      </w:r>
      <w:r w:rsidR="004975AC" w:rsidRPr="00817308">
        <w:rPr>
          <w:b/>
        </w:rPr>
        <w:t>,</w:t>
      </w:r>
      <w:r w:rsidR="004D35AE" w:rsidRPr="00817308">
        <w:rPr>
          <w:b/>
        </w:rPr>
        <w:t xml:space="preserve"> </w:t>
      </w:r>
      <w:r w:rsidR="00C928B3" w:rsidRPr="00817308">
        <w:rPr>
          <w:b/>
        </w:rPr>
        <w:t xml:space="preserve">which explains that an </w:t>
      </w:r>
      <w:r w:rsidR="00C928B3" w:rsidRPr="00817308">
        <w:rPr>
          <w:b/>
        </w:rPr>
        <w:lastRenderedPageBreak/>
        <w:t xml:space="preserve">employee </w:t>
      </w:r>
      <w:r w:rsidR="006474CA" w:rsidRPr="00817308">
        <w:rPr>
          <w:b/>
        </w:rPr>
        <w:t>“</w:t>
      </w:r>
      <w:r w:rsidR="004D35AE" w:rsidRPr="00817308">
        <w:rPr>
          <w:b/>
        </w:rPr>
        <w:t>disabled for the w</w:t>
      </w:r>
      <w:r w:rsidR="00C928B3" w:rsidRPr="00817308">
        <w:rPr>
          <w:b/>
        </w:rPr>
        <w:t>ork</w:t>
      </w:r>
      <w:r w:rsidR="006474CA" w:rsidRPr="00817308">
        <w:rPr>
          <w:b/>
        </w:rPr>
        <w:t>”</w:t>
      </w:r>
      <w:r w:rsidR="00C928B3" w:rsidRPr="00817308">
        <w:rPr>
          <w:b/>
        </w:rPr>
        <w:t xml:space="preserve"> on one task does not establish that the employee is </w:t>
      </w:r>
      <w:r w:rsidR="006474CA" w:rsidRPr="00817308">
        <w:rPr>
          <w:b/>
        </w:rPr>
        <w:t>“</w:t>
      </w:r>
      <w:r w:rsidR="00C928B3" w:rsidRPr="00817308">
        <w:rPr>
          <w:b/>
        </w:rPr>
        <w:t>disabled for the work</w:t>
      </w:r>
      <w:r w:rsidR="006474CA" w:rsidRPr="00817308">
        <w:rPr>
          <w:b/>
        </w:rPr>
        <w:t>”</w:t>
      </w:r>
      <w:r w:rsidR="00C928B3" w:rsidRPr="00817308">
        <w:rPr>
          <w:b/>
        </w:rPr>
        <w:t xml:space="preserve"> on </w:t>
      </w:r>
      <w:r w:rsidR="004D35AE" w:rsidRPr="00817308">
        <w:rPr>
          <w:b/>
        </w:rPr>
        <w:t>other tasks</w:t>
      </w:r>
      <w:r w:rsidR="00CC61B2" w:rsidRPr="00817308">
        <w:rPr>
          <w:b/>
        </w:rPr>
        <w:t>,</w:t>
      </w:r>
      <w:r w:rsidR="00C928B3" w:rsidRPr="00817308">
        <w:rPr>
          <w:b/>
        </w:rPr>
        <w:t xml:space="preserve"> and state</w:t>
      </w:r>
      <w:r w:rsidR="00CC61B2" w:rsidRPr="00817308">
        <w:rPr>
          <w:b/>
        </w:rPr>
        <w:t xml:space="preserve"> clearly</w:t>
      </w:r>
      <w:r w:rsidR="00C928B3" w:rsidRPr="00817308">
        <w:rPr>
          <w:b/>
        </w:rPr>
        <w:t xml:space="preserve"> on the 14(c) </w:t>
      </w:r>
      <w:r w:rsidR="00CC61B2" w:rsidRPr="00817308">
        <w:rPr>
          <w:b/>
        </w:rPr>
        <w:t xml:space="preserve">application form, </w:t>
      </w:r>
      <w:r w:rsidR="004D35AE" w:rsidRPr="00817308">
        <w:rPr>
          <w:b/>
        </w:rPr>
        <w:t>cer</w:t>
      </w:r>
      <w:r w:rsidR="00C928B3" w:rsidRPr="00817308">
        <w:rPr>
          <w:b/>
        </w:rPr>
        <w:t>tificate</w:t>
      </w:r>
      <w:r w:rsidR="00CC61B2" w:rsidRPr="00817308">
        <w:rPr>
          <w:b/>
        </w:rPr>
        <w:t>s</w:t>
      </w:r>
      <w:r w:rsidR="005C7A61" w:rsidRPr="00817308">
        <w:rPr>
          <w:b/>
        </w:rPr>
        <w:t>,</w:t>
      </w:r>
      <w:r w:rsidR="00C928B3" w:rsidRPr="00817308">
        <w:rPr>
          <w:b/>
        </w:rPr>
        <w:t xml:space="preserve"> and on other documents</w:t>
      </w:r>
      <w:r w:rsidR="004D35AE" w:rsidRPr="00817308">
        <w:rPr>
          <w:b/>
        </w:rPr>
        <w:t xml:space="preserve"> that</w:t>
      </w:r>
      <w:r w:rsidR="00C928B3" w:rsidRPr="00817308">
        <w:rPr>
          <w:b/>
        </w:rPr>
        <w:t xml:space="preserve"> an employee paid a 14(c) </w:t>
      </w:r>
      <w:r w:rsidR="00CC61B2" w:rsidRPr="00817308">
        <w:rPr>
          <w:b/>
        </w:rPr>
        <w:t xml:space="preserve">subminimum </w:t>
      </w:r>
      <w:r w:rsidR="00C928B3" w:rsidRPr="00817308">
        <w:rPr>
          <w:b/>
        </w:rPr>
        <w:t>wage has r</w:t>
      </w:r>
      <w:r w:rsidR="004D35AE" w:rsidRPr="00817308">
        <w:rPr>
          <w:b/>
        </w:rPr>
        <w:t>ights under Title</w:t>
      </w:r>
      <w:r w:rsidR="00C928B3" w:rsidRPr="00817308">
        <w:rPr>
          <w:b/>
        </w:rPr>
        <w:t xml:space="preserve"> I of the ADA, including</w:t>
      </w:r>
      <w:r w:rsidR="00716D6A" w:rsidRPr="00817308">
        <w:rPr>
          <w:b/>
        </w:rPr>
        <w:t xml:space="preserve"> </w:t>
      </w:r>
      <w:r w:rsidR="004D35AE" w:rsidRPr="00817308">
        <w:rPr>
          <w:b/>
        </w:rPr>
        <w:t>reasonable accommodations.</w:t>
      </w:r>
    </w:p>
    <w:p w14:paraId="08748A61" w14:textId="371BD718" w:rsidR="007F29DE" w:rsidRPr="00356410" w:rsidRDefault="007F29DE" w:rsidP="00850AEA">
      <w:pPr>
        <w:pStyle w:val="NCDTableHeader"/>
        <w:spacing w:after="200"/>
        <w:jc w:val="left"/>
      </w:pPr>
      <w:r w:rsidRPr="00356410">
        <w:t>T</w:t>
      </w:r>
      <w:r w:rsidR="00031901">
        <w:t>able</w:t>
      </w:r>
      <w:r w:rsidRPr="00356410">
        <w:t xml:space="preserve"> </w:t>
      </w:r>
      <w:r w:rsidR="00DB078C">
        <w:t>2</w:t>
      </w:r>
      <w:r w:rsidRPr="00356410">
        <w:t xml:space="preserve">: Number of 14(c) Certificate Applications </w:t>
      </w:r>
      <w:r w:rsidR="008666C1">
        <w:t>p</w:t>
      </w:r>
      <w:r w:rsidR="008666C1" w:rsidRPr="00356410">
        <w:t xml:space="preserve">er </w:t>
      </w:r>
      <w:r w:rsidRPr="00356410">
        <w:t xml:space="preserve">Year; Renewal Applications </w:t>
      </w:r>
      <w:r w:rsidR="008666C1">
        <w:t>p</w:t>
      </w:r>
      <w:r w:rsidR="008666C1" w:rsidRPr="00356410">
        <w:t xml:space="preserve">er </w:t>
      </w:r>
      <w:r w:rsidRPr="00356410">
        <w:t xml:space="preserve">Year; and 14(c) Certificates </w:t>
      </w:r>
      <w:r w:rsidR="008666C1">
        <w:t>p</w:t>
      </w:r>
      <w:r w:rsidR="008666C1" w:rsidRPr="00356410">
        <w:t xml:space="preserve">er </w:t>
      </w:r>
      <w:r w:rsidRPr="00356410">
        <w:t xml:space="preserve">Year </w:t>
      </w:r>
    </w:p>
    <w:tbl>
      <w:tblPr>
        <w:tblW w:w="841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Caption w:val="Table 2: Number of 14(c) Certificate Applications per Year; Renewal Applications per Year; and 14(c) Certificates per Year "/>
        <w:tblDescription w:val="Fiscal Year Certificate Applications Renewal Applications Certificates Issued&#10;2008 2,540 2,354 2,534&#10;2009 2,506 2,299 2,496&#10;2010 2,295 2,164 2,281&#10;2011 2,221 2,074 2,214&#10;2012 2,235 2,076 2,196&#10;2013 2,190 1,918 2,154&#10;2014 1,919 1,700 1,867&#10;2015 1,529 1,453 1,493&#10;2016 1,360 1,285 1,303&#10;2017 1,089 1,051 866&#10;"/>
      </w:tblPr>
      <w:tblGrid>
        <w:gridCol w:w="1538"/>
        <w:gridCol w:w="2201"/>
        <w:gridCol w:w="2430"/>
        <w:gridCol w:w="2250"/>
      </w:tblGrid>
      <w:tr w:rsidR="007F29DE" w:rsidRPr="00934DB5" w14:paraId="53888DEC" w14:textId="77777777" w:rsidTr="00E15066">
        <w:trPr>
          <w:trHeight w:val="670"/>
          <w:tblHeader/>
          <w:jc w:val="center"/>
        </w:trPr>
        <w:tc>
          <w:tcPr>
            <w:tcW w:w="1538" w:type="dxa"/>
            <w:vAlign w:val="center"/>
            <w:hideMark/>
          </w:tcPr>
          <w:p w14:paraId="79ED72CB" w14:textId="77777777" w:rsidR="007F29DE" w:rsidRPr="00934DB5" w:rsidRDefault="007F29DE" w:rsidP="00850AEA">
            <w:pPr>
              <w:pStyle w:val="NCDTableHeader"/>
              <w:jc w:val="left"/>
            </w:pPr>
            <w:r w:rsidRPr="00934DB5">
              <w:t>Fiscal Year</w:t>
            </w:r>
          </w:p>
        </w:tc>
        <w:tc>
          <w:tcPr>
            <w:tcW w:w="2201" w:type="dxa"/>
            <w:vAlign w:val="center"/>
            <w:hideMark/>
          </w:tcPr>
          <w:p w14:paraId="2559C17F" w14:textId="77777777" w:rsidR="007F29DE" w:rsidRPr="00934DB5" w:rsidRDefault="007F29DE" w:rsidP="00850AEA">
            <w:pPr>
              <w:pStyle w:val="NCDTableHeader"/>
            </w:pPr>
            <w:r w:rsidRPr="00934DB5">
              <w:t>Certificate Applications</w:t>
            </w:r>
          </w:p>
        </w:tc>
        <w:tc>
          <w:tcPr>
            <w:tcW w:w="2430" w:type="dxa"/>
            <w:vAlign w:val="center"/>
            <w:hideMark/>
          </w:tcPr>
          <w:p w14:paraId="7F60E067" w14:textId="77777777" w:rsidR="007F29DE" w:rsidRPr="00934DB5" w:rsidRDefault="007F29DE" w:rsidP="00850AEA">
            <w:pPr>
              <w:pStyle w:val="NCDTableHeader"/>
            </w:pPr>
            <w:r w:rsidRPr="00934DB5">
              <w:t>Renewal Applications</w:t>
            </w:r>
          </w:p>
        </w:tc>
        <w:tc>
          <w:tcPr>
            <w:tcW w:w="2250" w:type="dxa"/>
            <w:vAlign w:val="center"/>
            <w:hideMark/>
          </w:tcPr>
          <w:p w14:paraId="428DC342" w14:textId="77777777" w:rsidR="007F29DE" w:rsidRPr="00934DB5" w:rsidRDefault="007F29DE" w:rsidP="00850AEA">
            <w:pPr>
              <w:pStyle w:val="NCDTableHeader"/>
            </w:pPr>
            <w:r w:rsidRPr="00934DB5">
              <w:t>Certificates Issued</w:t>
            </w:r>
          </w:p>
        </w:tc>
      </w:tr>
      <w:tr w:rsidR="007F29DE" w:rsidRPr="00934DB5" w14:paraId="32652B2D" w14:textId="77777777" w:rsidTr="00E15066">
        <w:trPr>
          <w:trHeight w:val="223"/>
          <w:jc w:val="center"/>
        </w:trPr>
        <w:tc>
          <w:tcPr>
            <w:tcW w:w="1538" w:type="dxa"/>
            <w:noWrap/>
            <w:vAlign w:val="bottom"/>
            <w:hideMark/>
          </w:tcPr>
          <w:p w14:paraId="38B9737F" w14:textId="77777777" w:rsidR="007F29DE" w:rsidRPr="00AB5BB1" w:rsidRDefault="007F29DE" w:rsidP="00850AEA">
            <w:pPr>
              <w:pStyle w:val="NCDTableText"/>
              <w:rPr>
                <w:b/>
              </w:rPr>
            </w:pPr>
            <w:r w:rsidRPr="00AB5BB1">
              <w:rPr>
                <w:b/>
              </w:rPr>
              <w:t>2008</w:t>
            </w:r>
          </w:p>
        </w:tc>
        <w:tc>
          <w:tcPr>
            <w:tcW w:w="2201" w:type="dxa"/>
            <w:noWrap/>
            <w:vAlign w:val="bottom"/>
            <w:hideMark/>
          </w:tcPr>
          <w:p w14:paraId="3D90A408" w14:textId="77777777" w:rsidR="007F29DE" w:rsidRPr="00934DB5" w:rsidRDefault="007F29DE" w:rsidP="00D820F9">
            <w:pPr>
              <w:pStyle w:val="NCDTableText"/>
              <w:jc w:val="center"/>
            </w:pPr>
            <w:r w:rsidRPr="00934DB5">
              <w:t>2,540</w:t>
            </w:r>
          </w:p>
        </w:tc>
        <w:tc>
          <w:tcPr>
            <w:tcW w:w="2430" w:type="dxa"/>
            <w:noWrap/>
            <w:vAlign w:val="bottom"/>
            <w:hideMark/>
          </w:tcPr>
          <w:p w14:paraId="70F19906" w14:textId="77777777" w:rsidR="007F29DE" w:rsidRPr="00934DB5" w:rsidRDefault="007F29DE" w:rsidP="00D820F9">
            <w:pPr>
              <w:pStyle w:val="NCDTableText"/>
              <w:jc w:val="center"/>
            </w:pPr>
            <w:r w:rsidRPr="00934DB5">
              <w:t>2,354</w:t>
            </w:r>
          </w:p>
        </w:tc>
        <w:tc>
          <w:tcPr>
            <w:tcW w:w="2250" w:type="dxa"/>
            <w:noWrap/>
            <w:vAlign w:val="bottom"/>
            <w:hideMark/>
          </w:tcPr>
          <w:p w14:paraId="7F887E60" w14:textId="77777777" w:rsidR="007F29DE" w:rsidRPr="00934DB5" w:rsidRDefault="007F29DE" w:rsidP="00D820F9">
            <w:pPr>
              <w:pStyle w:val="NCDTableText"/>
              <w:jc w:val="center"/>
            </w:pPr>
            <w:r w:rsidRPr="00934DB5">
              <w:t>2,534</w:t>
            </w:r>
          </w:p>
        </w:tc>
      </w:tr>
      <w:tr w:rsidR="007F29DE" w:rsidRPr="00934DB5" w14:paraId="1D22A934" w14:textId="77777777" w:rsidTr="00E15066">
        <w:trPr>
          <w:trHeight w:val="223"/>
          <w:jc w:val="center"/>
        </w:trPr>
        <w:tc>
          <w:tcPr>
            <w:tcW w:w="1538" w:type="dxa"/>
            <w:noWrap/>
            <w:vAlign w:val="bottom"/>
            <w:hideMark/>
          </w:tcPr>
          <w:p w14:paraId="6E363264" w14:textId="77777777" w:rsidR="007F29DE" w:rsidRPr="00AB5BB1" w:rsidRDefault="007F29DE" w:rsidP="00850AEA">
            <w:pPr>
              <w:pStyle w:val="NCDTableText"/>
              <w:rPr>
                <w:b/>
              </w:rPr>
            </w:pPr>
            <w:r w:rsidRPr="00AB5BB1">
              <w:rPr>
                <w:b/>
              </w:rPr>
              <w:t>2009</w:t>
            </w:r>
          </w:p>
        </w:tc>
        <w:tc>
          <w:tcPr>
            <w:tcW w:w="2201" w:type="dxa"/>
            <w:noWrap/>
            <w:vAlign w:val="bottom"/>
            <w:hideMark/>
          </w:tcPr>
          <w:p w14:paraId="30380663" w14:textId="77777777" w:rsidR="007F29DE" w:rsidRPr="00934DB5" w:rsidRDefault="007F29DE" w:rsidP="00D820F9">
            <w:pPr>
              <w:pStyle w:val="NCDTableText"/>
              <w:jc w:val="center"/>
            </w:pPr>
            <w:r w:rsidRPr="00934DB5">
              <w:t>2,506</w:t>
            </w:r>
          </w:p>
        </w:tc>
        <w:tc>
          <w:tcPr>
            <w:tcW w:w="2430" w:type="dxa"/>
            <w:noWrap/>
            <w:vAlign w:val="bottom"/>
            <w:hideMark/>
          </w:tcPr>
          <w:p w14:paraId="7059D8B5" w14:textId="77777777" w:rsidR="007F29DE" w:rsidRPr="00934DB5" w:rsidRDefault="007F29DE" w:rsidP="00D820F9">
            <w:pPr>
              <w:pStyle w:val="NCDTableText"/>
              <w:jc w:val="center"/>
            </w:pPr>
            <w:r w:rsidRPr="00934DB5">
              <w:t>2,299</w:t>
            </w:r>
          </w:p>
        </w:tc>
        <w:tc>
          <w:tcPr>
            <w:tcW w:w="2250" w:type="dxa"/>
            <w:noWrap/>
            <w:vAlign w:val="bottom"/>
            <w:hideMark/>
          </w:tcPr>
          <w:p w14:paraId="41DB824D" w14:textId="77777777" w:rsidR="007F29DE" w:rsidRPr="00934DB5" w:rsidRDefault="007F29DE" w:rsidP="00D820F9">
            <w:pPr>
              <w:pStyle w:val="NCDTableText"/>
              <w:jc w:val="center"/>
            </w:pPr>
            <w:r w:rsidRPr="00934DB5">
              <w:t>2,496</w:t>
            </w:r>
          </w:p>
        </w:tc>
      </w:tr>
      <w:tr w:rsidR="007F29DE" w:rsidRPr="00934DB5" w14:paraId="52648858" w14:textId="77777777" w:rsidTr="00E15066">
        <w:trPr>
          <w:trHeight w:val="223"/>
          <w:jc w:val="center"/>
        </w:trPr>
        <w:tc>
          <w:tcPr>
            <w:tcW w:w="1538" w:type="dxa"/>
            <w:noWrap/>
            <w:vAlign w:val="bottom"/>
            <w:hideMark/>
          </w:tcPr>
          <w:p w14:paraId="55C1F293" w14:textId="77777777" w:rsidR="007F29DE" w:rsidRPr="00AB5BB1" w:rsidRDefault="007F29DE" w:rsidP="00850AEA">
            <w:pPr>
              <w:pStyle w:val="NCDTableText"/>
              <w:rPr>
                <w:b/>
              </w:rPr>
            </w:pPr>
            <w:r w:rsidRPr="00AB5BB1">
              <w:rPr>
                <w:b/>
              </w:rPr>
              <w:t>2010</w:t>
            </w:r>
          </w:p>
        </w:tc>
        <w:tc>
          <w:tcPr>
            <w:tcW w:w="2201" w:type="dxa"/>
            <w:noWrap/>
            <w:vAlign w:val="bottom"/>
            <w:hideMark/>
          </w:tcPr>
          <w:p w14:paraId="0C83E492" w14:textId="77777777" w:rsidR="007F29DE" w:rsidRPr="00934DB5" w:rsidRDefault="007F29DE" w:rsidP="00D820F9">
            <w:pPr>
              <w:pStyle w:val="NCDTableText"/>
              <w:jc w:val="center"/>
            </w:pPr>
            <w:r w:rsidRPr="00934DB5">
              <w:t>2,295</w:t>
            </w:r>
          </w:p>
        </w:tc>
        <w:tc>
          <w:tcPr>
            <w:tcW w:w="2430" w:type="dxa"/>
            <w:noWrap/>
            <w:vAlign w:val="bottom"/>
            <w:hideMark/>
          </w:tcPr>
          <w:p w14:paraId="3AE46F7C" w14:textId="77777777" w:rsidR="007F29DE" w:rsidRPr="00934DB5" w:rsidRDefault="007F29DE" w:rsidP="00D820F9">
            <w:pPr>
              <w:pStyle w:val="NCDTableText"/>
              <w:jc w:val="center"/>
            </w:pPr>
            <w:r w:rsidRPr="00934DB5">
              <w:t>2,164</w:t>
            </w:r>
          </w:p>
        </w:tc>
        <w:tc>
          <w:tcPr>
            <w:tcW w:w="2250" w:type="dxa"/>
            <w:noWrap/>
            <w:vAlign w:val="bottom"/>
            <w:hideMark/>
          </w:tcPr>
          <w:p w14:paraId="6895B598" w14:textId="77777777" w:rsidR="007F29DE" w:rsidRPr="00934DB5" w:rsidRDefault="007F29DE" w:rsidP="00D820F9">
            <w:pPr>
              <w:pStyle w:val="NCDTableText"/>
              <w:jc w:val="center"/>
            </w:pPr>
            <w:r w:rsidRPr="00934DB5">
              <w:t>2,281</w:t>
            </w:r>
          </w:p>
        </w:tc>
      </w:tr>
      <w:tr w:rsidR="007F29DE" w:rsidRPr="00934DB5" w14:paraId="559F4E3B" w14:textId="77777777" w:rsidTr="00E15066">
        <w:trPr>
          <w:trHeight w:val="223"/>
          <w:jc w:val="center"/>
        </w:trPr>
        <w:tc>
          <w:tcPr>
            <w:tcW w:w="1538" w:type="dxa"/>
            <w:noWrap/>
            <w:vAlign w:val="bottom"/>
            <w:hideMark/>
          </w:tcPr>
          <w:p w14:paraId="75CF8908" w14:textId="77777777" w:rsidR="007F29DE" w:rsidRPr="00AB5BB1" w:rsidRDefault="007F29DE" w:rsidP="00850AEA">
            <w:pPr>
              <w:pStyle w:val="NCDTableText"/>
              <w:rPr>
                <w:b/>
              </w:rPr>
            </w:pPr>
            <w:r w:rsidRPr="00AB5BB1">
              <w:rPr>
                <w:b/>
              </w:rPr>
              <w:t>2011</w:t>
            </w:r>
          </w:p>
        </w:tc>
        <w:tc>
          <w:tcPr>
            <w:tcW w:w="2201" w:type="dxa"/>
            <w:noWrap/>
            <w:vAlign w:val="bottom"/>
            <w:hideMark/>
          </w:tcPr>
          <w:p w14:paraId="35C8FBC8" w14:textId="77777777" w:rsidR="007F29DE" w:rsidRPr="00934DB5" w:rsidRDefault="007F29DE" w:rsidP="00D820F9">
            <w:pPr>
              <w:pStyle w:val="NCDTableText"/>
              <w:jc w:val="center"/>
            </w:pPr>
            <w:r w:rsidRPr="00934DB5">
              <w:t>2,221</w:t>
            </w:r>
          </w:p>
        </w:tc>
        <w:tc>
          <w:tcPr>
            <w:tcW w:w="2430" w:type="dxa"/>
            <w:noWrap/>
            <w:vAlign w:val="bottom"/>
            <w:hideMark/>
          </w:tcPr>
          <w:p w14:paraId="7A6FF581" w14:textId="77777777" w:rsidR="007F29DE" w:rsidRPr="00934DB5" w:rsidRDefault="007F29DE" w:rsidP="00D820F9">
            <w:pPr>
              <w:pStyle w:val="NCDTableText"/>
              <w:jc w:val="center"/>
            </w:pPr>
            <w:r w:rsidRPr="00934DB5">
              <w:t>2,074</w:t>
            </w:r>
          </w:p>
        </w:tc>
        <w:tc>
          <w:tcPr>
            <w:tcW w:w="2250" w:type="dxa"/>
            <w:noWrap/>
            <w:vAlign w:val="bottom"/>
            <w:hideMark/>
          </w:tcPr>
          <w:p w14:paraId="342A4B80" w14:textId="77777777" w:rsidR="007F29DE" w:rsidRPr="00934DB5" w:rsidRDefault="007F29DE" w:rsidP="00D820F9">
            <w:pPr>
              <w:pStyle w:val="NCDTableText"/>
              <w:jc w:val="center"/>
            </w:pPr>
            <w:r w:rsidRPr="00934DB5">
              <w:t>2,214</w:t>
            </w:r>
          </w:p>
        </w:tc>
      </w:tr>
      <w:tr w:rsidR="007F29DE" w:rsidRPr="00934DB5" w14:paraId="3316EFF2" w14:textId="77777777" w:rsidTr="00E15066">
        <w:trPr>
          <w:trHeight w:val="223"/>
          <w:jc w:val="center"/>
        </w:trPr>
        <w:tc>
          <w:tcPr>
            <w:tcW w:w="1538" w:type="dxa"/>
            <w:noWrap/>
            <w:vAlign w:val="bottom"/>
            <w:hideMark/>
          </w:tcPr>
          <w:p w14:paraId="5B891A61" w14:textId="77777777" w:rsidR="007F29DE" w:rsidRPr="00AB5BB1" w:rsidRDefault="007F29DE" w:rsidP="00850AEA">
            <w:pPr>
              <w:pStyle w:val="NCDTableText"/>
              <w:rPr>
                <w:b/>
              </w:rPr>
            </w:pPr>
            <w:r w:rsidRPr="00AB5BB1">
              <w:rPr>
                <w:b/>
              </w:rPr>
              <w:t>2012</w:t>
            </w:r>
          </w:p>
        </w:tc>
        <w:tc>
          <w:tcPr>
            <w:tcW w:w="2201" w:type="dxa"/>
            <w:noWrap/>
            <w:vAlign w:val="bottom"/>
            <w:hideMark/>
          </w:tcPr>
          <w:p w14:paraId="35C5D920" w14:textId="77777777" w:rsidR="007F29DE" w:rsidRPr="00934DB5" w:rsidRDefault="007F29DE" w:rsidP="00D820F9">
            <w:pPr>
              <w:pStyle w:val="NCDTableText"/>
              <w:jc w:val="center"/>
            </w:pPr>
            <w:r w:rsidRPr="00934DB5">
              <w:t>2,235</w:t>
            </w:r>
          </w:p>
        </w:tc>
        <w:tc>
          <w:tcPr>
            <w:tcW w:w="2430" w:type="dxa"/>
            <w:noWrap/>
            <w:vAlign w:val="bottom"/>
            <w:hideMark/>
          </w:tcPr>
          <w:p w14:paraId="02276AF5" w14:textId="77777777" w:rsidR="007F29DE" w:rsidRPr="00934DB5" w:rsidRDefault="007F29DE" w:rsidP="00D820F9">
            <w:pPr>
              <w:pStyle w:val="NCDTableText"/>
              <w:jc w:val="center"/>
            </w:pPr>
            <w:r w:rsidRPr="00934DB5">
              <w:t>2,076</w:t>
            </w:r>
          </w:p>
        </w:tc>
        <w:tc>
          <w:tcPr>
            <w:tcW w:w="2250" w:type="dxa"/>
            <w:noWrap/>
            <w:vAlign w:val="bottom"/>
            <w:hideMark/>
          </w:tcPr>
          <w:p w14:paraId="3D3EF3AC" w14:textId="77777777" w:rsidR="007F29DE" w:rsidRPr="00934DB5" w:rsidRDefault="007F29DE" w:rsidP="00D820F9">
            <w:pPr>
              <w:pStyle w:val="NCDTableText"/>
              <w:jc w:val="center"/>
            </w:pPr>
            <w:r w:rsidRPr="00934DB5">
              <w:t>2,196</w:t>
            </w:r>
          </w:p>
        </w:tc>
      </w:tr>
      <w:tr w:rsidR="007F29DE" w:rsidRPr="00934DB5" w14:paraId="41AD655E" w14:textId="77777777" w:rsidTr="00E15066">
        <w:trPr>
          <w:trHeight w:val="223"/>
          <w:jc w:val="center"/>
        </w:trPr>
        <w:tc>
          <w:tcPr>
            <w:tcW w:w="1538" w:type="dxa"/>
            <w:noWrap/>
            <w:vAlign w:val="bottom"/>
            <w:hideMark/>
          </w:tcPr>
          <w:p w14:paraId="11FFD4F5" w14:textId="77777777" w:rsidR="007F29DE" w:rsidRPr="00AB5BB1" w:rsidRDefault="007F29DE" w:rsidP="00850AEA">
            <w:pPr>
              <w:pStyle w:val="NCDTableText"/>
              <w:rPr>
                <w:b/>
              </w:rPr>
            </w:pPr>
            <w:r w:rsidRPr="00AB5BB1">
              <w:rPr>
                <w:b/>
              </w:rPr>
              <w:t>2013</w:t>
            </w:r>
          </w:p>
        </w:tc>
        <w:tc>
          <w:tcPr>
            <w:tcW w:w="2201" w:type="dxa"/>
            <w:noWrap/>
            <w:vAlign w:val="bottom"/>
            <w:hideMark/>
          </w:tcPr>
          <w:p w14:paraId="1E997DC4" w14:textId="77777777" w:rsidR="007F29DE" w:rsidRPr="00934DB5" w:rsidRDefault="007F29DE" w:rsidP="00D820F9">
            <w:pPr>
              <w:pStyle w:val="NCDTableText"/>
              <w:jc w:val="center"/>
            </w:pPr>
            <w:r w:rsidRPr="00934DB5">
              <w:t>2,190</w:t>
            </w:r>
          </w:p>
        </w:tc>
        <w:tc>
          <w:tcPr>
            <w:tcW w:w="2430" w:type="dxa"/>
            <w:noWrap/>
            <w:vAlign w:val="bottom"/>
            <w:hideMark/>
          </w:tcPr>
          <w:p w14:paraId="017A9BFA" w14:textId="77777777" w:rsidR="007F29DE" w:rsidRPr="00934DB5" w:rsidRDefault="007F29DE" w:rsidP="00D820F9">
            <w:pPr>
              <w:pStyle w:val="NCDTableText"/>
              <w:jc w:val="center"/>
            </w:pPr>
            <w:r w:rsidRPr="00934DB5">
              <w:t>1,918</w:t>
            </w:r>
          </w:p>
        </w:tc>
        <w:tc>
          <w:tcPr>
            <w:tcW w:w="2250" w:type="dxa"/>
            <w:noWrap/>
            <w:vAlign w:val="bottom"/>
            <w:hideMark/>
          </w:tcPr>
          <w:p w14:paraId="57BE7C24" w14:textId="77777777" w:rsidR="007F29DE" w:rsidRPr="00934DB5" w:rsidRDefault="007F29DE" w:rsidP="00D820F9">
            <w:pPr>
              <w:pStyle w:val="NCDTableText"/>
              <w:jc w:val="center"/>
            </w:pPr>
            <w:r w:rsidRPr="00934DB5">
              <w:t>2,154</w:t>
            </w:r>
          </w:p>
        </w:tc>
      </w:tr>
      <w:tr w:rsidR="007F29DE" w:rsidRPr="00934DB5" w14:paraId="4FABDDFE" w14:textId="77777777" w:rsidTr="00E15066">
        <w:trPr>
          <w:trHeight w:val="223"/>
          <w:jc w:val="center"/>
        </w:trPr>
        <w:tc>
          <w:tcPr>
            <w:tcW w:w="1538" w:type="dxa"/>
            <w:noWrap/>
            <w:vAlign w:val="bottom"/>
            <w:hideMark/>
          </w:tcPr>
          <w:p w14:paraId="3416A8DB" w14:textId="77777777" w:rsidR="007F29DE" w:rsidRPr="00AB5BB1" w:rsidRDefault="007F29DE" w:rsidP="00850AEA">
            <w:pPr>
              <w:pStyle w:val="NCDTableText"/>
              <w:rPr>
                <w:b/>
              </w:rPr>
            </w:pPr>
            <w:r w:rsidRPr="00AB5BB1">
              <w:rPr>
                <w:b/>
              </w:rPr>
              <w:t>2014</w:t>
            </w:r>
          </w:p>
        </w:tc>
        <w:tc>
          <w:tcPr>
            <w:tcW w:w="2201" w:type="dxa"/>
            <w:noWrap/>
            <w:vAlign w:val="bottom"/>
            <w:hideMark/>
          </w:tcPr>
          <w:p w14:paraId="6458AE00" w14:textId="77777777" w:rsidR="007F29DE" w:rsidRPr="00934DB5" w:rsidRDefault="007F29DE" w:rsidP="00D820F9">
            <w:pPr>
              <w:pStyle w:val="NCDTableText"/>
              <w:jc w:val="center"/>
            </w:pPr>
            <w:r w:rsidRPr="00934DB5">
              <w:t>1,919</w:t>
            </w:r>
          </w:p>
        </w:tc>
        <w:tc>
          <w:tcPr>
            <w:tcW w:w="2430" w:type="dxa"/>
            <w:noWrap/>
            <w:vAlign w:val="bottom"/>
            <w:hideMark/>
          </w:tcPr>
          <w:p w14:paraId="39182B0A" w14:textId="77777777" w:rsidR="007F29DE" w:rsidRPr="00934DB5" w:rsidRDefault="007F29DE" w:rsidP="00D820F9">
            <w:pPr>
              <w:pStyle w:val="NCDTableText"/>
              <w:jc w:val="center"/>
            </w:pPr>
            <w:r w:rsidRPr="00934DB5">
              <w:t>1,700</w:t>
            </w:r>
          </w:p>
        </w:tc>
        <w:tc>
          <w:tcPr>
            <w:tcW w:w="2250" w:type="dxa"/>
            <w:noWrap/>
            <w:vAlign w:val="bottom"/>
            <w:hideMark/>
          </w:tcPr>
          <w:p w14:paraId="6F37EDD4" w14:textId="77777777" w:rsidR="007F29DE" w:rsidRPr="00934DB5" w:rsidRDefault="007F29DE" w:rsidP="00D820F9">
            <w:pPr>
              <w:pStyle w:val="NCDTableText"/>
              <w:jc w:val="center"/>
            </w:pPr>
            <w:r w:rsidRPr="00934DB5">
              <w:t>1,867</w:t>
            </w:r>
          </w:p>
        </w:tc>
      </w:tr>
      <w:tr w:rsidR="007F29DE" w:rsidRPr="00934DB5" w14:paraId="3F870621" w14:textId="77777777" w:rsidTr="00E15066">
        <w:trPr>
          <w:trHeight w:val="223"/>
          <w:jc w:val="center"/>
        </w:trPr>
        <w:tc>
          <w:tcPr>
            <w:tcW w:w="1538" w:type="dxa"/>
            <w:noWrap/>
            <w:vAlign w:val="bottom"/>
            <w:hideMark/>
          </w:tcPr>
          <w:p w14:paraId="0F703C68" w14:textId="77777777" w:rsidR="007F29DE" w:rsidRPr="00AB5BB1" w:rsidRDefault="007F29DE" w:rsidP="00850AEA">
            <w:pPr>
              <w:pStyle w:val="NCDTableText"/>
              <w:rPr>
                <w:b/>
              </w:rPr>
            </w:pPr>
            <w:r w:rsidRPr="00AB5BB1">
              <w:rPr>
                <w:b/>
              </w:rPr>
              <w:t>2015</w:t>
            </w:r>
          </w:p>
        </w:tc>
        <w:tc>
          <w:tcPr>
            <w:tcW w:w="2201" w:type="dxa"/>
            <w:noWrap/>
            <w:vAlign w:val="bottom"/>
            <w:hideMark/>
          </w:tcPr>
          <w:p w14:paraId="5FCA212B" w14:textId="77777777" w:rsidR="007F29DE" w:rsidRPr="00934DB5" w:rsidRDefault="007F29DE" w:rsidP="00D820F9">
            <w:pPr>
              <w:pStyle w:val="NCDTableText"/>
              <w:jc w:val="center"/>
            </w:pPr>
            <w:r w:rsidRPr="00934DB5">
              <w:t>1,529</w:t>
            </w:r>
          </w:p>
        </w:tc>
        <w:tc>
          <w:tcPr>
            <w:tcW w:w="2430" w:type="dxa"/>
            <w:noWrap/>
            <w:vAlign w:val="bottom"/>
            <w:hideMark/>
          </w:tcPr>
          <w:p w14:paraId="68676215" w14:textId="77777777" w:rsidR="007F29DE" w:rsidRPr="00934DB5" w:rsidRDefault="007F29DE" w:rsidP="00D820F9">
            <w:pPr>
              <w:pStyle w:val="NCDTableText"/>
              <w:jc w:val="center"/>
            </w:pPr>
            <w:r w:rsidRPr="00934DB5">
              <w:t>1,453</w:t>
            </w:r>
          </w:p>
        </w:tc>
        <w:tc>
          <w:tcPr>
            <w:tcW w:w="2250" w:type="dxa"/>
            <w:noWrap/>
            <w:vAlign w:val="bottom"/>
            <w:hideMark/>
          </w:tcPr>
          <w:p w14:paraId="612ABC4F" w14:textId="77777777" w:rsidR="007F29DE" w:rsidRPr="00934DB5" w:rsidRDefault="007F29DE" w:rsidP="00D820F9">
            <w:pPr>
              <w:pStyle w:val="NCDTableText"/>
              <w:jc w:val="center"/>
            </w:pPr>
            <w:r w:rsidRPr="00934DB5">
              <w:t>1,493</w:t>
            </w:r>
          </w:p>
        </w:tc>
      </w:tr>
      <w:tr w:rsidR="007F29DE" w:rsidRPr="00934DB5" w14:paraId="31B68CCA" w14:textId="77777777" w:rsidTr="00E15066">
        <w:trPr>
          <w:trHeight w:val="223"/>
          <w:jc w:val="center"/>
        </w:trPr>
        <w:tc>
          <w:tcPr>
            <w:tcW w:w="1538" w:type="dxa"/>
            <w:noWrap/>
            <w:vAlign w:val="bottom"/>
            <w:hideMark/>
          </w:tcPr>
          <w:p w14:paraId="3A02FB40" w14:textId="77777777" w:rsidR="007F29DE" w:rsidRPr="00AB5BB1" w:rsidRDefault="007F29DE" w:rsidP="00850AEA">
            <w:pPr>
              <w:pStyle w:val="NCDTableText"/>
              <w:rPr>
                <w:b/>
              </w:rPr>
            </w:pPr>
            <w:r w:rsidRPr="00AB5BB1">
              <w:rPr>
                <w:b/>
              </w:rPr>
              <w:t>2016</w:t>
            </w:r>
          </w:p>
        </w:tc>
        <w:tc>
          <w:tcPr>
            <w:tcW w:w="2201" w:type="dxa"/>
            <w:noWrap/>
            <w:vAlign w:val="bottom"/>
            <w:hideMark/>
          </w:tcPr>
          <w:p w14:paraId="1F6DA93C" w14:textId="77777777" w:rsidR="007F29DE" w:rsidRPr="00934DB5" w:rsidRDefault="007F29DE" w:rsidP="00D820F9">
            <w:pPr>
              <w:pStyle w:val="NCDTableText"/>
              <w:jc w:val="center"/>
            </w:pPr>
            <w:r w:rsidRPr="00934DB5">
              <w:t>1,360</w:t>
            </w:r>
          </w:p>
        </w:tc>
        <w:tc>
          <w:tcPr>
            <w:tcW w:w="2430" w:type="dxa"/>
            <w:noWrap/>
            <w:vAlign w:val="bottom"/>
            <w:hideMark/>
          </w:tcPr>
          <w:p w14:paraId="4D021440" w14:textId="77777777" w:rsidR="007F29DE" w:rsidRPr="00934DB5" w:rsidRDefault="007F29DE" w:rsidP="00D820F9">
            <w:pPr>
              <w:pStyle w:val="NCDTableText"/>
              <w:jc w:val="center"/>
            </w:pPr>
            <w:r w:rsidRPr="00934DB5">
              <w:t>1,285</w:t>
            </w:r>
          </w:p>
        </w:tc>
        <w:tc>
          <w:tcPr>
            <w:tcW w:w="2250" w:type="dxa"/>
            <w:noWrap/>
            <w:vAlign w:val="bottom"/>
            <w:hideMark/>
          </w:tcPr>
          <w:p w14:paraId="63CFB097" w14:textId="77777777" w:rsidR="007F29DE" w:rsidRPr="00934DB5" w:rsidRDefault="007F29DE" w:rsidP="00D820F9">
            <w:pPr>
              <w:pStyle w:val="NCDTableText"/>
              <w:jc w:val="center"/>
            </w:pPr>
            <w:r w:rsidRPr="00934DB5">
              <w:t>1,303</w:t>
            </w:r>
          </w:p>
        </w:tc>
      </w:tr>
      <w:tr w:rsidR="007F29DE" w:rsidRPr="00934DB5" w14:paraId="3E545E60" w14:textId="77777777" w:rsidTr="00E15066">
        <w:trPr>
          <w:trHeight w:val="223"/>
          <w:jc w:val="center"/>
        </w:trPr>
        <w:tc>
          <w:tcPr>
            <w:tcW w:w="1538" w:type="dxa"/>
            <w:noWrap/>
            <w:vAlign w:val="bottom"/>
            <w:hideMark/>
          </w:tcPr>
          <w:p w14:paraId="4343E57E" w14:textId="77777777" w:rsidR="007F29DE" w:rsidRPr="00AB5BB1" w:rsidRDefault="007F29DE" w:rsidP="00850AEA">
            <w:pPr>
              <w:pStyle w:val="NCDTableText"/>
              <w:rPr>
                <w:b/>
              </w:rPr>
            </w:pPr>
            <w:r w:rsidRPr="00AB5BB1">
              <w:rPr>
                <w:b/>
              </w:rPr>
              <w:t>2017</w:t>
            </w:r>
          </w:p>
        </w:tc>
        <w:tc>
          <w:tcPr>
            <w:tcW w:w="2201" w:type="dxa"/>
            <w:noWrap/>
            <w:vAlign w:val="bottom"/>
            <w:hideMark/>
          </w:tcPr>
          <w:p w14:paraId="1EC7F0E3" w14:textId="77777777" w:rsidR="007F29DE" w:rsidRPr="00934DB5" w:rsidRDefault="007F29DE" w:rsidP="00D820F9">
            <w:pPr>
              <w:pStyle w:val="NCDTableText"/>
              <w:jc w:val="center"/>
            </w:pPr>
            <w:r w:rsidRPr="00934DB5">
              <w:t>1,089</w:t>
            </w:r>
          </w:p>
        </w:tc>
        <w:tc>
          <w:tcPr>
            <w:tcW w:w="2430" w:type="dxa"/>
            <w:noWrap/>
            <w:vAlign w:val="bottom"/>
            <w:hideMark/>
          </w:tcPr>
          <w:p w14:paraId="7770ED55" w14:textId="77777777" w:rsidR="007F29DE" w:rsidRPr="00934DB5" w:rsidRDefault="007F29DE" w:rsidP="00D820F9">
            <w:pPr>
              <w:pStyle w:val="NCDTableText"/>
              <w:jc w:val="center"/>
            </w:pPr>
            <w:r w:rsidRPr="00934DB5">
              <w:t>1,051</w:t>
            </w:r>
          </w:p>
        </w:tc>
        <w:tc>
          <w:tcPr>
            <w:tcW w:w="2250" w:type="dxa"/>
            <w:noWrap/>
            <w:vAlign w:val="bottom"/>
            <w:hideMark/>
          </w:tcPr>
          <w:p w14:paraId="424DD0E9" w14:textId="289AB2D9" w:rsidR="007F29DE" w:rsidRPr="00934DB5" w:rsidRDefault="00AB5BB1" w:rsidP="00AB5BB1">
            <w:pPr>
              <w:pStyle w:val="NCDTableText"/>
              <w:tabs>
                <w:tab w:val="left" w:pos="1291"/>
              </w:tabs>
              <w:jc w:val="center"/>
            </w:pPr>
            <w:r>
              <w:t xml:space="preserve">   </w:t>
            </w:r>
            <w:r w:rsidR="007F29DE" w:rsidRPr="00934DB5">
              <w:t>866</w:t>
            </w:r>
          </w:p>
        </w:tc>
      </w:tr>
    </w:tbl>
    <w:p w14:paraId="7F09D200" w14:textId="77777777" w:rsidR="00296DA5" w:rsidRDefault="00A83D3D" w:rsidP="00850AEA">
      <w:pPr>
        <w:pStyle w:val="NCDTableSource"/>
      </w:pPr>
      <w:r>
        <w:t>Data Source: WHD</w:t>
      </w:r>
    </w:p>
    <w:p w14:paraId="15611CCA" w14:textId="1A45B3A7" w:rsidR="001843C0" w:rsidRPr="001843C0" w:rsidRDefault="001843C0" w:rsidP="00850AEA">
      <w:pPr>
        <w:pStyle w:val="Heading3"/>
      </w:pPr>
      <w:bookmarkStart w:id="68" w:name="_Toc526182113"/>
      <w:r w:rsidRPr="001843C0">
        <w:t>Competent and Credible Investigative Process and Enforcement Action</w:t>
      </w:r>
      <w:bookmarkEnd w:id="68"/>
    </w:p>
    <w:p w14:paraId="07939567" w14:textId="77777777" w:rsidR="00296DA5" w:rsidRDefault="001843C0" w:rsidP="00850AEA">
      <w:pPr>
        <w:pStyle w:val="NCDBodyText"/>
      </w:pPr>
      <w:r w:rsidRPr="001843C0">
        <w:t xml:space="preserve">WHD enforces 14(c) requirements predominately through </w:t>
      </w:r>
      <w:r w:rsidR="005C7A61">
        <w:t>(</w:t>
      </w:r>
      <w:r w:rsidRPr="001843C0">
        <w:t xml:space="preserve">1) a review of materials submitted </w:t>
      </w:r>
      <w:r w:rsidR="008F4850">
        <w:t>during the application process</w:t>
      </w:r>
      <w:r w:rsidR="00CC61B2">
        <w:t>,</w:t>
      </w:r>
      <w:r w:rsidR="008F4850">
        <w:t xml:space="preserve"> </w:t>
      </w:r>
      <w:r w:rsidRPr="001843C0">
        <w:t xml:space="preserve">and </w:t>
      </w:r>
      <w:r w:rsidR="00330B6C">
        <w:t>(</w:t>
      </w:r>
      <w:r w:rsidRPr="001843C0">
        <w:t xml:space="preserve">2) agency-initiated targeted investigations. </w:t>
      </w:r>
      <w:r w:rsidR="005C7A61">
        <w:t xml:space="preserve">WHD </w:t>
      </w:r>
      <w:r w:rsidR="00CC61B2" w:rsidRPr="00423854">
        <w:t xml:space="preserve">has </w:t>
      </w:r>
      <w:r w:rsidRPr="00423854">
        <w:t>historically p</w:t>
      </w:r>
      <w:r w:rsidR="008F4850">
        <w:t>laced a low priority</w:t>
      </w:r>
      <w:r w:rsidR="00CC61B2">
        <w:t xml:space="preserve"> on</w:t>
      </w:r>
      <w:r w:rsidR="008F4850">
        <w:t xml:space="preserve"> the</w:t>
      </w:r>
      <w:r w:rsidRPr="00423854">
        <w:t xml:space="preserve"> 14(c) program</w:t>
      </w:r>
      <w:r w:rsidRPr="004677EB">
        <w:t xml:space="preserve"> </w:t>
      </w:r>
      <w:r>
        <w:t xml:space="preserve">given its </w:t>
      </w:r>
      <w:r w:rsidRPr="00423854">
        <w:t>expansive enforcement mandate and proportionally limited resources</w:t>
      </w:r>
      <w:r>
        <w:t>.</w:t>
      </w:r>
    </w:p>
    <w:p w14:paraId="34C494D2" w14:textId="77777777" w:rsidR="00296DA5" w:rsidRDefault="001843C0" w:rsidP="00850AEA">
      <w:pPr>
        <w:pStyle w:val="NCDBodyText"/>
        <w:rPr>
          <w:rFonts w:eastAsiaTheme="minorHAnsi"/>
        </w:rPr>
      </w:pPr>
      <w:r>
        <w:lastRenderedPageBreak/>
        <w:t>WHD had</w:t>
      </w:r>
      <w:r w:rsidRPr="00423854">
        <w:t xml:space="preserve"> </w:t>
      </w:r>
      <w:r w:rsidR="008666C1">
        <w:t>re</w:t>
      </w:r>
      <w:r w:rsidRPr="00423854">
        <w:t>focused i</w:t>
      </w:r>
      <w:r w:rsidR="00CC61B2">
        <w:t>ts overall enforcement efforts to</w:t>
      </w:r>
      <w:r w:rsidRPr="00423854">
        <w:t xml:space="preserve"> areas where issues can be addressed systemically and </w:t>
      </w:r>
      <w:r w:rsidR="006474CA">
        <w:t>“</w:t>
      </w:r>
      <w:r w:rsidRPr="00423854">
        <w:t>where large numbers of vulnerable workers are found.</w:t>
      </w:r>
      <w:r w:rsidR="006474CA">
        <w:t>”</w:t>
      </w:r>
      <w:r w:rsidRPr="00423854">
        <w:rPr>
          <w:rStyle w:val="EndnoteReference"/>
          <w:rFonts w:cs="Arial"/>
        </w:rPr>
        <w:endnoteReference w:id="222"/>
      </w:r>
      <w:r w:rsidRPr="00423854">
        <w:t xml:space="preserve"> </w:t>
      </w:r>
      <w:r w:rsidR="002571B8" w:rsidRPr="00B474B0">
        <w:rPr>
          <w:rFonts w:eastAsiaTheme="minorHAnsi"/>
        </w:rPr>
        <w:t xml:space="preserve">The DOL 2018-2022 Strategic Plan states that WHD identifies </w:t>
      </w:r>
      <w:r w:rsidR="006474CA">
        <w:rPr>
          <w:rFonts w:eastAsiaTheme="minorHAnsi"/>
        </w:rPr>
        <w:t>“</w:t>
      </w:r>
      <w:r w:rsidR="002571B8" w:rsidRPr="00B474B0">
        <w:rPr>
          <w:rFonts w:eastAsiaTheme="minorHAnsi"/>
        </w:rPr>
        <w:t>where the data and the evidence indicate the problems are largest, emerging business models are more likely to lead to violations, and workers are least likely to exercise their rights.</w:t>
      </w:r>
      <w:r w:rsidR="006474CA">
        <w:rPr>
          <w:rFonts w:eastAsiaTheme="minorHAnsi"/>
        </w:rPr>
        <w:t>”</w:t>
      </w:r>
      <w:r w:rsidR="002571B8" w:rsidRPr="00B474B0">
        <w:rPr>
          <w:rStyle w:val="EndnoteReference"/>
          <w:rFonts w:eastAsiaTheme="minorHAnsi" w:cs="Arial"/>
        </w:rPr>
        <w:endnoteReference w:id="223"/>
      </w:r>
      <w:r w:rsidR="00716D6A">
        <w:rPr>
          <w:rFonts w:eastAsiaTheme="minorHAnsi"/>
        </w:rPr>
        <w:t xml:space="preserve"> </w:t>
      </w:r>
      <w:r w:rsidR="007F6E50" w:rsidRPr="00B474B0">
        <w:rPr>
          <w:rFonts w:eastAsiaTheme="minorHAnsi"/>
        </w:rPr>
        <w:t>In 2017 and 2018</w:t>
      </w:r>
      <w:r w:rsidRPr="00B474B0">
        <w:rPr>
          <w:rFonts w:eastAsiaTheme="minorHAnsi"/>
        </w:rPr>
        <w:t xml:space="preserve">, however, there appears to have been a </w:t>
      </w:r>
      <w:r w:rsidR="008666C1">
        <w:rPr>
          <w:rFonts w:eastAsiaTheme="minorHAnsi"/>
        </w:rPr>
        <w:t>re</w:t>
      </w:r>
      <w:r w:rsidRPr="00B474B0">
        <w:rPr>
          <w:rFonts w:eastAsiaTheme="minorHAnsi"/>
        </w:rPr>
        <w:t>prioritization of WHD resources from targeted strategic enforcement to</w:t>
      </w:r>
      <w:r w:rsidR="007E66DE">
        <w:rPr>
          <w:rFonts w:eastAsiaTheme="minorHAnsi"/>
        </w:rPr>
        <w:t>ward</w:t>
      </w:r>
      <w:r w:rsidRPr="00B474B0">
        <w:rPr>
          <w:rFonts w:eastAsiaTheme="minorHAnsi"/>
        </w:rPr>
        <w:t xml:space="preserve"> compliance assistance to employers</w:t>
      </w:r>
      <w:r w:rsidR="002571B8" w:rsidRPr="00B474B0">
        <w:rPr>
          <w:rFonts w:eastAsiaTheme="minorHAnsi"/>
        </w:rPr>
        <w:t xml:space="preserve">. </w:t>
      </w:r>
      <w:r w:rsidR="00C94130">
        <w:rPr>
          <w:rFonts w:eastAsiaTheme="minorHAnsi"/>
        </w:rPr>
        <w:t xml:space="preserve">The </w:t>
      </w:r>
      <w:r w:rsidRPr="00B474B0">
        <w:rPr>
          <w:rFonts w:eastAsiaTheme="minorHAnsi"/>
        </w:rPr>
        <w:t>FY 2018 budget request includes programmatic increases totaling $3 million and an additional 15 FTE</w:t>
      </w:r>
      <w:r w:rsidR="00CC61B2" w:rsidRPr="00B474B0">
        <w:rPr>
          <w:rFonts w:eastAsiaTheme="minorHAnsi"/>
        </w:rPr>
        <w:t>s,</w:t>
      </w:r>
      <w:r w:rsidRPr="00B474B0">
        <w:rPr>
          <w:rFonts w:eastAsiaTheme="minorHAnsi"/>
        </w:rPr>
        <w:t xml:space="preserve"> to be used </w:t>
      </w:r>
      <w:r w:rsidR="006474CA">
        <w:rPr>
          <w:rFonts w:eastAsiaTheme="minorHAnsi"/>
        </w:rPr>
        <w:t>“</w:t>
      </w:r>
      <w:r w:rsidRPr="00B474B0">
        <w:rPr>
          <w:rFonts w:eastAsiaTheme="minorHAnsi"/>
        </w:rPr>
        <w:t>to position the agency with staff and resources to modernize its approach to delivering useful and effective compliance tools that su</w:t>
      </w:r>
      <w:r w:rsidR="00CC61B2" w:rsidRPr="00B474B0">
        <w:rPr>
          <w:rFonts w:eastAsiaTheme="minorHAnsi"/>
        </w:rPr>
        <w:t>pport the employer community.</w:t>
      </w:r>
      <w:r w:rsidR="006474CA">
        <w:rPr>
          <w:rFonts w:eastAsiaTheme="minorHAnsi"/>
        </w:rPr>
        <w:t>”</w:t>
      </w:r>
      <w:r w:rsidR="00FD3DED" w:rsidRPr="00B474B0">
        <w:rPr>
          <w:rStyle w:val="EndnoteReference"/>
          <w:rFonts w:eastAsiaTheme="minorHAnsi" w:cs="Arial"/>
        </w:rPr>
        <w:endnoteReference w:id="224"/>
      </w:r>
      <w:r w:rsidR="00CC61B2" w:rsidRPr="00B474B0">
        <w:rPr>
          <w:rFonts w:eastAsiaTheme="minorHAnsi"/>
        </w:rPr>
        <w:t xml:space="preserve"> </w:t>
      </w:r>
      <w:r w:rsidRPr="00B474B0">
        <w:rPr>
          <w:rFonts w:eastAsiaTheme="minorHAnsi"/>
        </w:rPr>
        <w:t>By contrast, the agency</w:t>
      </w:r>
      <w:r w:rsidR="006474CA">
        <w:rPr>
          <w:rFonts w:eastAsiaTheme="minorHAnsi"/>
        </w:rPr>
        <w:t>’</w:t>
      </w:r>
      <w:r w:rsidRPr="00B474B0">
        <w:rPr>
          <w:rFonts w:eastAsiaTheme="minorHAnsi"/>
        </w:rPr>
        <w:t>s FY 2017 budget request</w:t>
      </w:r>
      <w:r w:rsidR="00CC61B2" w:rsidRPr="00B474B0">
        <w:rPr>
          <w:rFonts w:eastAsiaTheme="minorHAnsi"/>
        </w:rPr>
        <w:t xml:space="preserve"> sought </w:t>
      </w:r>
      <w:r w:rsidRPr="00B474B0">
        <w:rPr>
          <w:rFonts w:eastAsiaTheme="minorHAnsi"/>
        </w:rPr>
        <w:t xml:space="preserve">additional resources to conduct </w:t>
      </w:r>
      <w:r w:rsidR="006474CA">
        <w:rPr>
          <w:rFonts w:eastAsiaTheme="minorHAnsi"/>
        </w:rPr>
        <w:t>“</w:t>
      </w:r>
      <w:r w:rsidRPr="00B474B0">
        <w:rPr>
          <w:rFonts w:eastAsiaTheme="minorHAnsi"/>
        </w:rPr>
        <w:t>directed investigations</w:t>
      </w:r>
      <w:r w:rsidRPr="001843C0">
        <w:rPr>
          <w:rFonts w:eastAsiaTheme="minorHAnsi"/>
        </w:rPr>
        <w:t xml:space="preserve"> that are strategically selected and executed to solve the most important compliance challenges that include protecting workers in industries that employ business models that are at high risk of wage and hour violations.</w:t>
      </w:r>
      <w:r w:rsidR="006474CA">
        <w:rPr>
          <w:rFonts w:eastAsiaTheme="minorHAnsi"/>
        </w:rPr>
        <w:t>”</w:t>
      </w:r>
      <w:r w:rsidR="00716D6A">
        <w:rPr>
          <w:rFonts w:eastAsiaTheme="minorHAnsi"/>
        </w:rPr>
        <w:t xml:space="preserve"> </w:t>
      </w:r>
      <w:r w:rsidRPr="001843C0">
        <w:rPr>
          <w:rFonts w:eastAsiaTheme="minorHAnsi"/>
        </w:rPr>
        <w:t>It is unclear what impact this apparent reprioritization will have on enforce</w:t>
      </w:r>
      <w:r>
        <w:rPr>
          <w:rFonts w:eastAsiaTheme="minorHAnsi"/>
        </w:rPr>
        <w:t xml:space="preserve">ment of Section 14(c), or </w:t>
      </w:r>
      <w:r w:rsidRPr="001843C0">
        <w:rPr>
          <w:rFonts w:eastAsiaTheme="minorHAnsi"/>
        </w:rPr>
        <w:t>if WHD can continue to re</w:t>
      </w:r>
      <w:r w:rsidR="00FD3DED">
        <w:rPr>
          <w:rFonts w:eastAsiaTheme="minorHAnsi"/>
        </w:rPr>
        <w:t>verse the problems identified in</w:t>
      </w:r>
      <w:r w:rsidRPr="001843C0">
        <w:rPr>
          <w:rFonts w:eastAsiaTheme="minorHAnsi"/>
        </w:rPr>
        <w:t xml:space="preserve"> the </w:t>
      </w:r>
      <w:r w:rsidR="00CC61B2">
        <w:rPr>
          <w:rFonts w:eastAsiaTheme="minorHAnsi"/>
        </w:rPr>
        <w:t xml:space="preserve">2001 </w:t>
      </w:r>
      <w:r w:rsidR="00FD3DED" w:rsidRPr="001843C0">
        <w:rPr>
          <w:rFonts w:eastAsiaTheme="minorHAnsi"/>
        </w:rPr>
        <w:t>GAO</w:t>
      </w:r>
      <w:r w:rsidR="00FD3DED">
        <w:rPr>
          <w:rFonts w:eastAsiaTheme="minorHAnsi"/>
        </w:rPr>
        <w:t xml:space="preserve"> </w:t>
      </w:r>
      <w:r w:rsidR="00CC61B2">
        <w:rPr>
          <w:rFonts w:eastAsiaTheme="minorHAnsi"/>
        </w:rPr>
        <w:t>report</w:t>
      </w:r>
      <w:r w:rsidRPr="001843C0">
        <w:rPr>
          <w:rFonts w:eastAsiaTheme="minorHAnsi"/>
        </w:rPr>
        <w:t>.</w:t>
      </w:r>
    </w:p>
    <w:p w14:paraId="08CBAEFC" w14:textId="2ADD2A0A" w:rsidR="00296DA5" w:rsidRDefault="006E1438" w:rsidP="00396A3D">
      <w:pPr>
        <w:pStyle w:val="NCDBodyText"/>
        <w:rPr>
          <w:rFonts w:eastAsiaTheme="minorHAnsi"/>
        </w:rPr>
      </w:pPr>
      <w:r>
        <w:t>S</w:t>
      </w:r>
      <w:r w:rsidR="00E521B0" w:rsidRPr="00423854">
        <w:t xml:space="preserve">ince FY 2009, </w:t>
      </w:r>
      <w:r>
        <w:t xml:space="preserve">WHD maintains that </w:t>
      </w:r>
      <w:r w:rsidR="00E521B0" w:rsidRPr="00423854">
        <w:t xml:space="preserve">it had </w:t>
      </w:r>
      <w:r w:rsidR="006474CA">
        <w:t>“</w:t>
      </w:r>
      <w:r w:rsidR="00E521B0" w:rsidRPr="00423854">
        <w:t>undergone a significant change in how [it] carries out [its</w:t>
      </w:r>
      <w:r>
        <w:t xml:space="preserve"> overall</w:t>
      </w:r>
      <w:r w:rsidR="00E521B0" w:rsidRPr="00423854">
        <w:t>] mission,</w:t>
      </w:r>
      <w:r w:rsidR="006474CA">
        <w:t>”</w:t>
      </w:r>
      <w:r w:rsidR="00E521B0" w:rsidRPr="00423854">
        <w:t xml:space="preserve"> namely</w:t>
      </w:r>
      <w:r w:rsidR="00C94130">
        <w:t>,</w:t>
      </w:r>
      <w:r w:rsidR="00E521B0" w:rsidRPr="00423854">
        <w:t xml:space="preserve"> by adopting a strategic enforcement approach</w:t>
      </w:r>
      <w:r w:rsidR="008F4850">
        <w:t xml:space="preserve"> with three priorities</w:t>
      </w:r>
      <w:r w:rsidR="00E521B0" w:rsidRPr="00423854">
        <w:t>.</w:t>
      </w:r>
      <w:r w:rsidR="00E521B0" w:rsidRPr="00423854">
        <w:rPr>
          <w:rStyle w:val="EndnoteReference"/>
          <w:rFonts w:cs="Arial"/>
        </w:rPr>
        <w:endnoteReference w:id="225"/>
      </w:r>
      <w:r w:rsidR="00E521B0" w:rsidRPr="00423854">
        <w:t xml:space="preserve"> As a result of these efforts, WHD </w:t>
      </w:r>
      <w:r w:rsidR="00BB608E">
        <w:t>issued a 2010 report on</w:t>
      </w:r>
      <w:r w:rsidR="00E521B0" w:rsidRPr="00423854">
        <w:t xml:space="preserve"> </w:t>
      </w:r>
      <w:r w:rsidR="00631E24" w:rsidRPr="00631E24">
        <w:rPr>
          <w:i/>
        </w:rPr>
        <w:t>Improving Workplace Conditions Through Strategic Enforcement</w:t>
      </w:r>
      <w:r w:rsidR="00BB608E" w:rsidRPr="00F370C7">
        <w:t>,</w:t>
      </w:r>
      <w:r w:rsidR="00E521B0" w:rsidRPr="00423854">
        <w:rPr>
          <w:rStyle w:val="EndnoteReference"/>
          <w:rFonts w:cs="Arial"/>
        </w:rPr>
        <w:endnoteReference w:id="226"/>
      </w:r>
      <w:r w:rsidR="00E521B0" w:rsidRPr="00423854">
        <w:t xml:space="preserve"> showcasing evidence that proactive, agency-initiated, and strategically targeted investigations, known as </w:t>
      </w:r>
      <w:r w:rsidR="006474CA">
        <w:t>“</w:t>
      </w:r>
      <w:r w:rsidR="00E521B0" w:rsidRPr="00423854">
        <w:t>directed investigations,</w:t>
      </w:r>
      <w:r w:rsidR="006474CA">
        <w:t>”</w:t>
      </w:r>
      <w:r w:rsidR="00E521B0" w:rsidRPr="00423854">
        <w:t xml:space="preserve"> had a deterrent</w:t>
      </w:r>
      <w:r w:rsidR="008C568D">
        <w:t xml:space="preserve"> effect upon violators </w:t>
      </w:r>
      <w:r w:rsidR="00E521B0" w:rsidRPr="00423854">
        <w:t>not seen following complaint-based investigations.</w:t>
      </w:r>
      <w:r w:rsidR="008F4850">
        <w:rPr>
          <w:rFonts w:eastAsia="Times New Roman"/>
        </w:rPr>
        <w:t xml:space="preserve"> </w:t>
      </w:r>
      <w:r w:rsidR="004628DE">
        <w:t>A</w:t>
      </w:r>
      <w:r w:rsidR="008F4850" w:rsidRPr="00423854">
        <w:t>fter</w:t>
      </w:r>
      <w:r w:rsidR="008F4850">
        <w:t xml:space="preserve"> the report, WHD took </w:t>
      </w:r>
      <w:r w:rsidR="008F4850" w:rsidRPr="00423854">
        <w:t xml:space="preserve">steps </w:t>
      </w:r>
      <w:r w:rsidR="008F4850">
        <w:t xml:space="preserve">to </w:t>
      </w:r>
      <w:r w:rsidR="008F4850" w:rsidRPr="00423854">
        <w:t>refocus</w:t>
      </w:r>
      <w:r w:rsidR="008F4850">
        <w:t xml:space="preserve"> </w:t>
      </w:r>
      <w:r w:rsidR="00297A67">
        <w:t xml:space="preserve">Section </w:t>
      </w:r>
      <w:r w:rsidR="008F4850" w:rsidRPr="00423854">
        <w:t xml:space="preserve">14(c) </w:t>
      </w:r>
      <w:r w:rsidR="008F4850">
        <w:t xml:space="preserve">oversight through </w:t>
      </w:r>
      <w:r w:rsidR="008F4850" w:rsidRPr="00423854">
        <w:t xml:space="preserve">strategically targeted enforcement. </w:t>
      </w:r>
      <w:r w:rsidR="008F4850">
        <w:t>These</w:t>
      </w:r>
      <w:r w:rsidR="008F4850" w:rsidRPr="00423854">
        <w:t xml:space="preserve"> efforts resulted in a</w:t>
      </w:r>
      <w:r w:rsidR="008F4850">
        <w:t>n</w:t>
      </w:r>
      <w:r w:rsidR="008F4850" w:rsidRPr="00423854">
        <w:t xml:space="preserve"> increase in directed investigations, internal analysis, and evaluation of the program; formal resolution of agency investigations through settlement agreements</w:t>
      </w:r>
      <w:r w:rsidR="00C94130">
        <w:t>;</w:t>
      </w:r>
      <w:r w:rsidR="00C94130" w:rsidRPr="00423854">
        <w:t xml:space="preserve"> </w:t>
      </w:r>
      <w:r w:rsidR="008F4850" w:rsidRPr="001D3BBE">
        <w:t>and revocations of Section 14(c) certificates.</w:t>
      </w:r>
    </w:p>
    <w:p w14:paraId="13BF0D3C" w14:textId="77777777" w:rsidR="00296DA5" w:rsidRDefault="008F4850" w:rsidP="00396A3D">
      <w:pPr>
        <w:pStyle w:val="NCDBodyText"/>
        <w:rPr>
          <w:rFonts w:eastAsia="Times New Roman"/>
          <w:b/>
        </w:rPr>
      </w:pPr>
      <w:r w:rsidRPr="008F4850">
        <w:t>WHD has n</w:t>
      </w:r>
      <w:r>
        <w:t xml:space="preserve">ot publicly released data from </w:t>
      </w:r>
      <w:r w:rsidR="00297A67">
        <w:t>the internal analysis</w:t>
      </w:r>
      <w:r w:rsidR="007F6E50" w:rsidRPr="007F6E50">
        <w:t xml:space="preserve"> </w:t>
      </w:r>
      <w:r w:rsidR="007F6E50">
        <w:t xml:space="preserve">of </w:t>
      </w:r>
      <w:r w:rsidR="007F6E50" w:rsidRPr="00FA4DC7">
        <w:t xml:space="preserve">strategically targeted </w:t>
      </w:r>
      <w:r w:rsidR="00063CCD" w:rsidRPr="00FA4DC7">
        <w:t>enforcement but</w:t>
      </w:r>
      <w:r w:rsidR="00297A67">
        <w:t xml:space="preserve"> has</w:t>
      </w:r>
      <w:r w:rsidRPr="008F4850">
        <w:t xml:space="preserve"> noted that the analys</w:t>
      </w:r>
      <w:r w:rsidR="00297A67">
        <w:t xml:space="preserve">is was not a randomized sample. </w:t>
      </w:r>
      <w:r w:rsidRPr="008F4850">
        <w:t xml:space="preserve">WHD staff </w:t>
      </w:r>
      <w:r w:rsidRPr="008F4850">
        <w:lastRenderedPageBreak/>
        <w:t>report</w:t>
      </w:r>
      <w:r w:rsidR="00297A67">
        <w:t>, however,</w:t>
      </w:r>
      <w:r w:rsidRPr="008F4850">
        <w:t xml:space="preserve"> learn</w:t>
      </w:r>
      <w:r w:rsidR="004D35AE">
        <w:t xml:space="preserve">ing several important lessons. </w:t>
      </w:r>
      <w:r w:rsidRPr="008F4850">
        <w:t xml:space="preserve">First, the agency documented </w:t>
      </w:r>
      <w:r w:rsidR="006474CA">
        <w:t>“</w:t>
      </w:r>
      <w:r w:rsidRPr="008F4850">
        <w:t>a high prevalence</w:t>
      </w:r>
      <w:r w:rsidR="006474CA">
        <w:t>”</w:t>
      </w:r>
      <w:r w:rsidRPr="008F4850">
        <w:t xml:space="preserve"> of FLSA and other violations among the 14(c) certificate</w:t>
      </w:r>
      <w:r w:rsidR="00C94130">
        <w:t xml:space="preserve"> </w:t>
      </w:r>
      <w:r w:rsidRPr="008F4850">
        <w:t xml:space="preserve">holders investigated. In many instances, employers were unaware of the requirements of Section 14(c) or did not implement the requirements appropriately. A significant portion of employers with </w:t>
      </w:r>
      <w:r w:rsidR="00297A67">
        <w:t xml:space="preserve">14(c) </w:t>
      </w:r>
      <w:r w:rsidRPr="008F4850">
        <w:t>violations did not conduct appropriate prevailing wage surve</w:t>
      </w:r>
      <w:r w:rsidR="00474FD8">
        <w:t xml:space="preserve">ys. </w:t>
      </w:r>
      <w:r w:rsidRPr="008F4850">
        <w:t xml:space="preserve">WHD staff signaled a need for technical assistance materials and outreach to </w:t>
      </w:r>
      <w:r w:rsidR="00CC61B2">
        <w:t>staff at community rehabilitation program 14(c) certificate holders</w:t>
      </w:r>
      <w:r w:rsidR="00474FD8">
        <w:t>.</w:t>
      </w:r>
      <w:r w:rsidR="004D35AE" w:rsidRPr="004D35AE">
        <w:t xml:space="preserve"> </w:t>
      </w:r>
      <w:r w:rsidR="004D35AE" w:rsidRPr="004D35AE">
        <w:rPr>
          <w:b/>
        </w:rPr>
        <w:t>NCD recommends that WHD produce additional training materials, such as a desktop guide, targeted for use by community rehabilitation program staff.</w:t>
      </w:r>
    </w:p>
    <w:p w14:paraId="6ABC1264" w14:textId="77777777" w:rsidR="00296DA5" w:rsidRDefault="008F4850" w:rsidP="00396A3D">
      <w:pPr>
        <w:pStyle w:val="NCDBodyText"/>
      </w:pPr>
      <w:r>
        <w:t xml:space="preserve">Tables </w:t>
      </w:r>
      <w:r w:rsidR="00DB078C">
        <w:t>3</w:t>
      </w:r>
      <w:r>
        <w:t xml:space="preserve"> and </w:t>
      </w:r>
      <w:r w:rsidR="00DB078C">
        <w:t>4</w:t>
      </w:r>
      <w:r>
        <w:t xml:space="preserve"> provide data on WHD 14(c) investigations, the number of violations uncovered, and back wages obtained.</w:t>
      </w:r>
      <w:r w:rsidRPr="00423854" w:rsidDel="00A332B2">
        <w:t xml:space="preserve"> </w:t>
      </w:r>
      <w:r>
        <w:t>T</w:t>
      </w:r>
      <w:r w:rsidRPr="00423854">
        <w:t>he data</w:t>
      </w:r>
      <w:r>
        <w:t xml:space="preserve"> </w:t>
      </w:r>
      <w:r w:rsidR="000D7F1E">
        <w:t xml:space="preserve">indicates </w:t>
      </w:r>
      <w:r w:rsidRPr="00423854">
        <w:t xml:space="preserve">that WHD has maintained a somewhat consistent level of 14(c) </w:t>
      </w:r>
      <w:r>
        <w:t xml:space="preserve">investigative </w:t>
      </w:r>
      <w:r w:rsidRPr="00423854">
        <w:t>enforcement over time</w:t>
      </w:r>
      <w:r w:rsidR="008A4474">
        <w:t>—</w:t>
      </w:r>
      <w:r w:rsidRPr="00423854">
        <w:t xml:space="preserve">averaging approximately 200 investigations per year </w:t>
      </w:r>
      <w:r>
        <w:t xml:space="preserve">between FY 2007 and 2017, with a high of </w:t>
      </w:r>
      <w:r w:rsidRPr="00423854">
        <w:t>360</w:t>
      </w:r>
      <w:r>
        <w:t xml:space="preserve"> investigations during FY 2011</w:t>
      </w:r>
      <w:r w:rsidRPr="00423854">
        <w:t xml:space="preserve">. The </w:t>
      </w:r>
      <w:r>
        <w:t>substantial limitation of WHD</w:t>
      </w:r>
      <w:r w:rsidR="006474CA">
        <w:t>’</w:t>
      </w:r>
      <w:r>
        <w:t>s data collection</w:t>
      </w:r>
      <w:r w:rsidRPr="00423854">
        <w:t xml:space="preserve"> prevent</w:t>
      </w:r>
      <w:r>
        <w:t>s</w:t>
      </w:r>
      <w:r w:rsidRPr="00423854">
        <w:t xml:space="preserve"> an accurate estimate of the proportion of </w:t>
      </w:r>
      <w:r w:rsidR="00CC61B2">
        <w:t>WHD</w:t>
      </w:r>
      <w:r w:rsidRPr="00423854">
        <w:t>-directed versus complaint-initiated investigations</w:t>
      </w:r>
      <w:r>
        <w:t xml:space="preserve"> each year</w:t>
      </w:r>
      <w:r w:rsidRPr="00423854">
        <w:t xml:space="preserve">. </w:t>
      </w:r>
      <w:r w:rsidR="00D52F65">
        <w:t>WHD</w:t>
      </w:r>
      <w:r w:rsidRPr="00423854">
        <w:t xml:space="preserve"> reports that the substantial increase in </w:t>
      </w:r>
      <w:r>
        <w:t xml:space="preserve">14(c) </w:t>
      </w:r>
      <w:r w:rsidRPr="00423854">
        <w:t>in</w:t>
      </w:r>
      <w:r>
        <w:t>vestigations in FY 2011 reflect</w:t>
      </w:r>
      <w:r w:rsidR="000D7F1E">
        <w:t>s</w:t>
      </w:r>
      <w:r w:rsidRPr="00423854">
        <w:t xml:space="preserve"> an uptick in </w:t>
      </w:r>
      <w:r w:rsidR="00CC61B2">
        <w:t>WHD</w:t>
      </w:r>
      <w:r w:rsidRPr="00423854">
        <w:t>-dir</w:t>
      </w:r>
      <w:r>
        <w:t>ected investigations, and</w:t>
      </w:r>
      <w:r w:rsidRPr="00423854">
        <w:t xml:space="preserve"> </w:t>
      </w:r>
      <w:r>
        <w:t xml:space="preserve">that it increased </w:t>
      </w:r>
      <w:r w:rsidRPr="00423854">
        <w:t xml:space="preserve">directed investigations </w:t>
      </w:r>
      <w:r>
        <w:t xml:space="preserve">in 2011 </w:t>
      </w:r>
      <w:r w:rsidRPr="00423854">
        <w:t>for the purpose</w:t>
      </w:r>
      <w:r>
        <w:t xml:space="preserve"> of conducting a s</w:t>
      </w:r>
      <w:r w:rsidRPr="00423854">
        <w:t>tatistical analysis of the 14(c) program.</w:t>
      </w:r>
    </w:p>
    <w:p w14:paraId="716D06B1" w14:textId="236B6987" w:rsidR="00775507" w:rsidRPr="00775507" w:rsidRDefault="00775507" w:rsidP="00850AEA">
      <w:pPr>
        <w:pStyle w:val="NCDTableHeader"/>
        <w:spacing w:after="200"/>
        <w:jc w:val="left"/>
      </w:pPr>
      <w:r w:rsidRPr="00775507">
        <w:t>T</w:t>
      </w:r>
      <w:r w:rsidR="00031901">
        <w:t xml:space="preserve">able </w:t>
      </w:r>
      <w:r w:rsidR="00DB078C">
        <w:t>3</w:t>
      </w:r>
      <w:r w:rsidRPr="00775507">
        <w:t>: Number of 14(c) Investigations and Overall Violations</w:t>
      </w:r>
    </w:p>
    <w:tbl>
      <w:tblPr>
        <w:tblW w:w="92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15" w:type="dxa"/>
          <w:bottom w:w="29" w:type="dxa"/>
          <w:right w:w="115" w:type="dxa"/>
        </w:tblCellMar>
        <w:tblLook w:val="04A0" w:firstRow="1" w:lastRow="0" w:firstColumn="1" w:lastColumn="0" w:noHBand="0" w:noVBand="1"/>
        <w:tblCaption w:val="Table 3: Number of 14(c) Investigations and Overall Violations"/>
        <w:tblDescription w:val="Fiscal Year FLSA 14(c) Investigations FLSA 14(c) Investigations with Violations (any act)&#10;  Cases Cases Back Wages Employees&#10;Impacted&#10;2008 186 129 $ 1,088,509.94   4,070&#10;2009 133   97 $    354,233.45   3,369&#10;2010 153   94 $    678,676.81   4,196&#10;2011 360 299 $ 1,506,792.28 11,571&#10;2012 258 218 $ 1,518,922.89   9,556&#10;2013 238 196 $ 1,392,715.55 7,445&#10;2014 284 232 $ 1,288,503.91 8,986&#10;2015 189 152 $ 1,530,463.63 7,842&#10;2016 201 167 $ 2,573,799.05 9,133&#10;2017 217 195 $ 2,474,476.61 7,302&#10;"/>
      </w:tblPr>
      <w:tblGrid>
        <w:gridCol w:w="912"/>
        <w:gridCol w:w="2193"/>
        <w:gridCol w:w="1737"/>
        <w:gridCol w:w="2529"/>
        <w:gridCol w:w="1894"/>
      </w:tblGrid>
      <w:tr w:rsidR="00775507" w:rsidRPr="00775507" w14:paraId="4809A9E6" w14:textId="77777777" w:rsidTr="00E15066">
        <w:trPr>
          <w:trHeight w:val="615"/>
          <w:tblHeader/>
          <w:jc w:val="center"/>
        </w:trPr>
        <w:tc>
          <w:tcPr>
            <w:tcW w:w="787" w:type="dxa"/>
            <w:shd w:val="clear" w:color="auto" w:fill="auto"/>
            <w:hideMark/>
          </w:tcPr>
          <w:p w14:paraId="7EA696E7" w14:textId="77777777" w:rsidR="00775507" w:rsidRPr="00391391" w:rsidRDefault="00775507" w:rsidP="00E15066">
            <w:pPr>
              <w:pStyle w:val="NCDTableHeader"/>
              <w:spacing w:line="312" w:lineRule="auto"/>
              <w:jc w:val="left"/>
            </w:pPr>
            <w:r w:rsidRPr="00391391">
              <w:t>Fiscal Year</w:t>
            </w:r>
          </w:p>
        </w:tc>
        <w:tc>
          <w:tcPr>
            <w:tcW w:w="2211" w:type="dxa"/>
            <w:shd w:val="clear" w:color="auto" w:fill="auto"/>
            <w:vAlign w:val="center"/>
            <w:hideMark/>
          </w:tcPr>
          <w:p w14:paraId="57F81D9E" w14:textId="77777777" w:rsidR="00775507" w:rsidRPr="00391391" w:rsidRDefault="00775507" w:rsidP="00E15066">
            <w:pPr>
              <w:pStyle w:val="NCDTableHeader"/>
              <w:spacing w:line="312" w:lineRule="auto"/>
            </w:pPr>
            <w:r w:rsidRPr="00391391">
              <w:t>FLSA 14(c) Investigations</w:t>
            </w:r>
          </w:p>
        </w:tc>
        <w:tc>
          <w:tcPr>
            <w:tcW w:w="6267" w:type="dxa"/>
            <w:gridSpan w:val="3"/>
            <w:shd w:val="clear" w:color="auto" w:fill="auto"/>
            <w:hideMark/>
          </w:tcPr>
          <w:p w14:paraId="6495206C" w14:textId="77777777" w:rsidR="00775507" w:rsidRPr="00391391" w:rsidRDefault="00775507" w:rsidP="00E15066">
            <w:pPr>
              <w:pStyle w:val="NCDTableHeader"/>
              <w:spacing w:line="312" w:lineRule="auto"/>
            </w:pPr>
            <w:r w:rsidRPr="00391391">
              <w:t>FLSA 14(c) Investigations with Violations (any act)</w:t>
            </w:r>
          </w:p>
        </w:tc>
      </w:tr>
      <w:tr w:rsidR="00775507" w:rsidRPr="00775507" w14:paraId="0C145720" w14:textId="77777777" w:rsidTr="00E15066">
        <w:trPr>
          <w:trHeight w:val="582"/>
          <w:jc w:val="center"/>
        </w:trPr>
        <w:tc>
          <w:tcPr>
            <w:tcW w:w="787" w:type="dxa"/>
            <w:shd w:val="clear" w:color="auto" w:fill="auto"/>
            <w:hideMark/>
          </w:tcPr>
          <w:p w14:paraId="35C7AE27" w14:textId="77777777" w:rsidR="00775507" w:rsidRPr="00391391" w:rsidRDefault="00775507" w:rsidP="00E15066">
            <w:pPr>
              <w:pStyle w:val="NCDTableText"/>
              <w:spacing w:line="312" w:lineRule="auto"/>
            </w:pPr>
            <w:r w:rsidRPr="00391391">
              <w:t> </w:t>
            </w:r>
          </w:p>
        </w:tc>
        <w:tc>
          <w:tcPr>
            <w:tcW w:w="2211" w:type="dxa"/>
            <w:shd w:val="clear" w:color="auto" w:fill="auto"/>
            <w:hideMark/>
          </w:tcPr>
          <w:p w14:paraId="4870E097" w14:textId="77777777" w:rsidR="00775507" w:rsidRPr="00AB5BB1" w:rsidRDefault="00775507" w:rsidP="00AB5BB1">
            <w:pPr>
              <w:pStyle w:val="NCDTableText"/>
              <w:spacing w:line="312" w:lineRule="auto"/>
              <w:jc w:val="center"/>
              <w:rPr>
                <w:b/>
              </w:rPr>
            </w:pPr>
            <w:r w:rsidRPr="00AB5BB1">
              <w:rPr>
                <w:b/>
              </w:rPr>
              <w:t>Cases</w:t>
            </w:r>
          </w:p>
        </w:tc>
        <w:tc>
          <w:tcPr>
            <w:tcW w:w="1778" w:type="dxa"/>
            <w:shd w:val="clear" w:color="auto" w:fill="auto"/>
            <w:hideMark/>
          </w:tcPr>
          <w:p w14:paraId="2D64D334" w14:textId="77777777" w:rsidR="00775507" w:rsidRPr="00AB5BB1" w:rsidRDefault="00775507" w:rsidP="00AB5BB1">
            <w:pPr>
              <w:pStyle w:val="NCDTableText"/>
              <w:spacing w:line="312" w:lineRule="auto"/>
              <w:jc w:val="center"/>
              <w:rPr>
                <w:b/>
              </w:rPr>
            </w:pPr>
            <w:r w:rsidRPr="00AB5BB1">
              <w:rPr>
                <w:b/>
              </w:rPr>
              <w:t>Cases</w:t>
            </w:r>
          </w:p>
        </w:tc>
        <w:tc>
          <w:tcPr>
            <w:tcW w:w="2575" w:type="dxa"/>
            <w:shd w:val="clear" w:color="auto" w:fill="auto"/>
            <w:hideMark/>
          </w:tcPr>
          <w:p w14:paraId="10073D46" w14:textId="77777777" w:rsidR="00775507" w:rsidRPr="00AB5BB1" w:rsidRDefault="00775507" w:rsidP="00AB5BB1">
            <w:pPr>
              <w:pStyle w:val="NCDTableText"/>
              <w:spacing w:line="312" w:lineRule="auto"/>
              <w:jc w:val="center"/>
              <w:rPr>
                <w:b/>
              </w:rPr>
            </w:pPr>
            <w:r w:rsidRPr="00AB5BB1">
              <w:rPr>
                <w:b/>
              </w:rPr>
              <w:t>Back Wages</w:t>
            </w:r>
          </w:p>
        </w:tc>
        <w:tc>
          <w:tcPr>
            <w:tcW w:w="1914" w:type="dxa"/>
            <w:shd w:val="clear" w:color="auto" w:fill="auto"/>
            <w:hideMark/>
          </w:tcPr>
          <w:p w14:paraId="00C64F92" w14:textId="77777777" w:rsidR="00775507" w:rsidRPr="00AB5BB1" w:rsidRDefault="00775507" w:rsidP="00AB5BB1">
            <w:pPr>
              <w:pStyle w:val="NCDTableText"/>
              <w:spacing w:line="312" w:lineRule="auto"/>
              <w:jc w:val="center"/>
              <w:rPr>
                <w:b/>
              </w:rPr>
            </w:pPr>
            <w:r w:rsidRPr="00AB5BB1">
              <w:rPr>
                <w:b/>
              </w:rPr>
              <w:t>Employees</w:t>
            </w:r>
          </w:p>
          <w:p w14:paraId="52E73CCD" w14:textId="77777777" w:rsidR="00775507" w:rsidRPr="00AB5BB1" w:rsidRDefault="00775507" w:rsidP="00AB5BB1">
            <w:pPr>
              <w:pStyle w:val="NCDTableText"/>
              <w:spacing w:line="312" w:lineRule="auto"/>
              <w:jc w:val="center"/>
              <w:rPr>
                <w:b/>
              </w:rPr>
            </w:pPr>
            <w:r w:rsidRPr="00AB5BB1">
              <w:rPr>
                <w:b/>
              </w:rPr>
              <w:t>Impacted</w:t>
            </w:r>
          </w:p>
        </w:tc>
      </w:tr>
      <w:tr w:rsidR="00775507" w:rsidRPr="00775507" w14:paraId="319D95CF" w14:textId="77777777" w:rsidTr="00E15066">
        <w:trPr>
          <w:trHeight w:val="282"/>
          <w:jc w:val="center"/>
        </w:trPr>
        <w:tc>
          <w:tcPr>
            <w:tcW w:w="787" w:type="dxa"/>
            <w:shd w:val="clear" w:color="auto" w:fill="auto"/>
            <w:hideMark/>
          </w:tcPr>
          <w:p w14:paraId="035F0C9E" w14:textId="77777777" w:rsidR="00775507" w:rsidRPr="00AB5BB1" w:rsidRDefault="00775507" w:rsidP="00E15066">
            <w:pPr>
              <w:pStyle w:val="NCDTableText"/>
              <w:spacing w:line="312" w:lineRule="auto"/>
              <w:rPr>
                <w:b/>
              </w:rPr>
            </w:pPr>
            <w:r w:rsidRPr="00AB5BB1">
              <w:rPr>
                <w:b/>
              </w:rPr>
              <w:t>2008</w:t>
            </w:r>
          </w:p>
        </w:tc>
        <w:tc>
          <w:tcPr>
            <w:tcW w:w="2211" w:type="dxa"/>
            <w:shd w:val="clear" w:color="auto" w:fill="auto"/>
            <w:vAlign w:val="center"/>
            <w:hideMark/>
          </w:tcPr>
          <w:p w14:paraId="7073C065" w14:textId="77777777" w:rsidR="00775507" w:rsidRPr="00391391" w:rsidRDefault="00775507" w:rsidP="00E15066">
            <w:pPr>
              <w:pStyle w:val="NCDTableText"/>
              <w:spacing w:line="312" w:lineRule="auto"/>
              <w:jc w:val="center"/>
            </w:pPr>
            <w:r w:rsidRPr="00391391">
              <w:t>186</w:t>
            </w:r>
          </w:p>
        </w:tc>
        <w:tc>
          <w:tcPr>
            <w:tcW w:w="1778" w:type="dxa"/>
            <w:shd w:val="clear" w:color="auto" w:fill="auto"/>
            <w:vAlign w:val="center"/>
            <w:hideMark/>
          </w:tcPr>
          <w:p w14:paraId="23A8C8F8" w14:textId="77777777" w:rsidR="00775507" w:rsidRPr="00391391" w:rsidRDefault="00775507" w:rsidP="00E15066">
            <w:pPr>
              <w:pStyle w:val="NCDTableText"/>
              <w:spacing w:line="312" w:lineRule="auto"/>
              <w:jc w:val="center"/>
            </w:pPr>
            <w:r w:rsidRPr="00391391">
              <w:t>129</w:t>
            </w:r>
          </w:p>
        </w:tc>
        <w:tc>
          <w:tcPr>
            <w:tcW w:w="2575" w:type="dxa"/>
            <w:shd w:val="clear" w:color="auto" w:fill="auto"/>
            <w:vAlign w:val="center"/>
            <w:hideMark/>
          </w:tcPr>
          <w:p w14:paraId="1D32A9B0" w14:textId="77777777" w:rsidR="00775507" w:rsidRPr="00391391" w:rsidRDefault="00775507" w:rsidP="00E15066">
            <w:pPr>
              <w:pStyle w:val="NCDTableText"/>
              <w:spacing w:line="312" w:lineRule="auto"/>
              <w:jc w:val="center"/>
            </w:pPr>
            <w:r w:rsidRPr="00391391">
              <w:t>$ 1,088,509.94</w:t>
            </w:r>
          </w:p>
        </w:tc>
        <w:tc>
          <w:tcPr>
            <w:tcW w:w="1914" w:type="dxa"/>
            <w:shd w:val="clear" w:color="auto" w:fill="auto"/>
            <w:vAlign w:val="center"/>
            <w:hideMark/>
          </w:tcPr>
          <w:p w14:paraId="3BA48560" w14:textId="716BB1CF" w:rsidR="00775507" w:rsidRPr="00391391" w:rsidRDefault="00AB5BB1" w:rsidP="00D70CEB">
            <w:pPr>
              <w:pStyle w:val="NCDTableText"/>
              <w:tabs>
                <w:tab w:val="left" w:pos="1179"/>
              </w:tabs>
              <w:spacing w:line="312" w:lineRule="auto"/>
              <w:jc w:val="center"/>
            </w:pPr>
            <w:r>
              <w:t xml:space="preserve">  </w:t>
            </w:r>
            <w:r w:rsidR="00775507" w:rsidRPr="00391391">
              <w:t>4,070</w:t>
            </w:r>
          </w:p>
        </w:tc>
      </w:tr>
      <w:tr w:rsidR="00775507" w:rsidRPr="00775507" w14:paraId="682E9FCC" w14:textId="77777777" w:rsidTr="00E15066">
        <w:trPr>
          <w:trHeight w:val="282"/>
          <w:jc w:val="center"/>
        </w:trPr>
        <w:tc>
          <w:tcPr>
            <w:tcW w:w="787" w:type="dxa"/>
            <w:shd w:val="clear" w:color="auto" w:fill="auto"/>
            <w:hideMark/>
          </w:tcPr>
          <w:p w14:paraId="0588E930" w14:textId="77777777" w:rsidR="00775507" w:rsidRPr="00AB5BB1" w:rsidRDefault="00775507" w:rsidP="00E15066">
            <w:pPr>
              <w:pStyle w:val="NCDTableText"/>
              <w:spacing w:line="312" w:lineRule="auto"/>
              <w:rPr>
                <w:b/>
              </w:rPr>
            </w:pPr>
            <w:r w:rsidRPr="00AB5BB1">
              <w:rPr>
                <w:b/>
              </w:rPr>
              <w:t>2009</w:t>
            </w:r>
          </w:p>
        </w:tc>
        <w:tc>
          <w:tcPr>
            <w:tcW w:w="2211" w:type="dxa"/>
            <w:shd w:val="clear" w:color="auto" w:fill="auto"/>
            <w:vAlign w:val="center"/>
            <w:hideMark/>
          </w:tcPr>
          <w:p w14:paraId="706698BF" w14:textId="77777777" w:rsidR="00775507" w:rsidRPr="00391391" w:rsidRDefault="00775507" w:rsidP="00E15066">
            <w:pPr>
              <w:pStyle w:val="NCDTableText"/>
              <w:spacing w:line="312" w:lineRule="auto"/>
              <w:jc w:val="center"/>
            </w:pPr>
            <w:r w:rsidRPr="00391391">
              <w:t>133</w:t>
            </w:r>
          </w:p>
        </w:tc>
        <w:tc>
          <w:tcPr>
            <w:tcW w:w="1778" w:type="dxa"/>
            <w:shd w:val="clear" w:color="auto" w:fill="auto"/>
            <w:vAlign w:val="center"/>
            <w:hideMark/>
          </w:tcPr>
          <w:p w14:paraId="2AFECE13" w14:textId="51CBE71A" w:rsidR="00775507" w:rsidRPr="00391391" w:rsidRDefault="00AB5BB1" w:rsidP="00E15066">
            <w:pPr>
              <w:pStyle w:val="NCDTableText"/>
              <w:spacing w:line="312" w:lineRule="auto"/>
              <w:jc w:val="center"/>
            </w:pPr>
            <w:r>
              <w:t xml:space="preserve">  </w:t>
            </w:r>
            <w:r w:rsidR="00775507" w:rsidRPr="00391391">
              <w:t>97</w:t>
            </w:r>
          </w:p>
        </w:tc>
        <w:tc>
          <w:tcPr>
            <w:tcW w:w="2575" w:type="dxa"/>
            <w:shd w:val="clear" w:color="auto" w:fill="auto"/>
            <w:vAlign w:val="center"/>
            <w:hideMark/>
          </w:tcPr>
          <w:p w14:paraId="0C347DF5" w14:textId="6CBBC909" w:rsidR="00775507" w:rsidRPr="00391391" w:rsidRDefault="00775507" w:rsidP="00E15066">
            <w:pPr>
              <w:pStyle w:val="NCDTableText"/>
              <w:spacing w:line="312" w:lineRule="auto"/>
              <w:jc w:val="center"/>
            </w:pPr>
            <w:r w:rsidRPr="00391391">
              <w:t xml:space="preserve">$ </w:t>
            </w:r>
            <w:r w:rsidR="00850AEA">
              <w:t xml:space="preserve">   </w:t>
            </w:r>
            <w:r w:rsidRPr="00391391">
              <w:t>354,233.45</w:t>
            </w:r>
          </w:p>
        </w:tc>
        <w:tc>
          <w:tcPr>
            <w:tcW w:w="1914" w:type="dxa"/>
            <w:shd w:val="clear" w:color="auto" w:fill="auto"/>
            <w:vAlign w:val="center"/>
            <w:hideMark/>
          </w:tcPr>
          <w:p w14:paraId="54D0C551" w14:textId="46276C1F" w:rsidR="00775507" w:rsidRPr="00391391" w:rsidRDefault="00AB5BB1" w:rsidP="00E15066">
            <w:pPr>
              <w:pStyle w:val="NCDTableText"/>
              <w:spacing w:line="312" w:lineRule="auto"/>
              <w:jc w:val="center"/>
            </w:pPr>
            <w:r>
              <w:t xml:space="preserve">  </w:t>
            </w:r>
            <w:r w:rsidR="00775507" w:rsidRPr="00391391">
              <w:t>3,369</w:t>
            </w:r>
          </w:p>
        </w:tc>
      </w:tr>
      <w:tr w:rsidR="00775507" w:rsidRPr="00775507" w14:paraId="4641D107" w14:textId="77777777" w:rsidTr="00E15066">
        <w:trPr>
          <w:trHeight w:val="282"/>
          <w:jc w:val="center"/>
        </w:trPr>
        <w:tc>
          <w:tcPr>
            <w:tcW w:w="787" w:type="dxa"/>
            <w:shd w:val="clear" w:color="auto" w:fill="auto"/>
            <w:hideMark/>
          </w:tcPr>
          <w:p w14:paraId="5FB53A1C" w14:textId="77777777" w:rsidR="00775507" w:rsidRPr="00AB5BB1" w:rsidRDefault="00775507" w:rsidP="00E15066">
            <w:pPr>
              <w:pStyle w:val="NCDTableText"/>
              <w:spacing w:line="312" w:lineRule="auto"/>
              <w:rPr>
                <w:b/>
              </w:rPr>
            </w:pPr>
            <w:r w:rsidRPr="00AB5BB1">
              <w:rPr>
                <w:b/>
              </w:rPr>
              <w:t>2010</w:t>
            </w:r>
          </w:p>
        </w:tc>
        <w:tc>
          <w:tcPr>
            <w:tcW w:w="2211" w:type="dxa"/>
            <w:shd w:val="clear" w:color="auto" w:fill="auto"/>
            <w:vAlign w:val="center"/>
            <w:hideMark/>
          </w:tcPr>
          <w:p w14:paraId="46833EAE" w14:textId="77777777" w:rsidR="00775507" w:rsidRPr="00391391" w:rsidRDefault="00775507" w:rsidP="00E15066">
            <w:pPr>
              <w:pStyle w:val="NCDTableText"/>
              <w:spacing w:line="312" w:lineRule="auto"/>
              <w:jc w:val="center"/>
            </w:pPr>
            <w:r w:rsidRPr="00391391">
              <w:t>153</w:t>
            </w:r>
          </w:p>
        </w:tc>
        <w:tc>
          <w:tcPr>
            <w:tcW w:w="1778" w:type="dxa"/>
            <w:shd w:val="clear" w:color="auto" w:fill="auto"/>
            <w:vAlign w:val="center"/>
            <w:hideMark/>
          </w:tcPr>
          <w:p w14:paraId="34087260" w14:textId="166DBA19" w:rsidR="00775507" w:rsidRPr="00391391" w:rsidRDefault="00AB5BB1" w:rsidP="00AB5BB1">
            <w:pPr>
              <w:pStyle w:val="NCDTableText"/>
              <w:tabs>
                <w:tab w:val="left" w:pos="956"/>
              </w:tabs>
              <w:spacing w:line="312" w:lineRule="auto"/>
              <w:jc w:val="center"/>
            </w:pPr>
            <w:r>
              <w:t xml:space="preserve">  </w:t>
            </w:r>
            <w:r w:rsidR="00775507" w:rsidRPr="00391391">
              <w:t>94</w:t>
            </w:r>
          </w:p>
        </w:tc>
        <w:tc>
          <w:tcPr>
            <w:tcW w:w="2575" w:type="dxa"/>
            <w:shd w:val="clear" w:color="auto" w:fill="auto"/>
            <w:vAlign w:val="center"/>
            <w:hideMark/>
          </w:tcPr>
          <w:p w14:paraId="4318AC8F" w14:textId="7B1C5314" w:rsidR="00775507" w:rsidRPr="00391391" w:rsidRDefault="00775507" w:rsidP="00E15066">
            <w:pPr>
              <w:pStyle w:val="NCDTableText"/>
              <w:spacing w:line="312" w:lineRule="auto"/>
              <w:jc w:val="center"/>
            </w:pPr>
            <w:r w:rsidRPr="00391391">
              <w:t xml:space="preserve">$ </w:t>
            </w:r>
            <w:r w:rsidR="00850AEA">
              <w:t xml:space="preserve">   </w:t>
            </w:r>
            <w:r w:rsidRPr="00391391">
              <w:t>678,676.81</w:t>
            </w:r>
          </w:p>
        </w:tc>
        <w:tc>
          <w:tcPr>
            <w:tcW w:w="1914" w:type="dxa"/>
            <w:shd w:val="clear" w:color="auto" w:fill="auto"/>
            <w:vAlign w:val="center"/>
            <w:hideMark/>
          </w:tcPr>
          <w:p w14:paraId="24A0C211" w14:textId="0A8908E8" w:rsidR="00775507" w:rsidRPr="00391391" w:rsidRDefault="00AB5BB1" w:rsidP="00E15066">
            <w:pPr>
              <w:pStyle w:val="NCDTableText"/>
              <w:spacing w:line="312" w:lineRule="auto"/>
              <w:jc w:val="center"/>
            </w:pPr>
            <w:r>
              <w:t xml:space="preserve">  </w:t>
            </w:r>
            <w:r w:rsidR="00775507" w:rsidRPr="00391391">
              <w:t>4,196</w:t>
            </w:r>
          </w:p>
        </w:tc>
      </w:tr>
      <w:tr w:rsidR="00775507" w:rsidRPr="00775507" w14:paraId="7825E99D" w14:textId="77777777" w:rsidTr="00E15066">
        <w:trPr>
          <w:trHeight w:val="282"/>
          <w:jc w:val="center"/>
        </w:trPr>
        <w:tc>
          <w:tcPr>
            <w:tcW w:w="787" w:type="dxa"/>
            <w:shd w:val="clear" w:color="auto" w:fill="auto"/>
            <w:hideMark/>
          </w:tcPr>
          <w:p w14:paraId="65FCE4FD" w14:textId="77777777" w:rsidR="00775507" w:rsidRPr="00AB5BB1" w:rsidRDefault="00775507" w:rsidP="00E15066">
            <w:pPr>
              <w:pStyle w:val="NCDTableText"/>
              <w:spacing w:line="312" w:lineRule="auto"/>
              <w:rPr>
                <w:b/>
              </w:rPr>
            </w:pPr>
            <w:r w:rsidRPr="00AB5BB1">
              <w:rPr>
                <w:b/>
              </w:rPr>
              <w:t>2011</w:t>
            </w:r>
          </w:p>
        </w:tc>
        <w:tc>
          <w:tcPr>
            <w:tcW w:w="2211" w:type="dxa"/>
            <w:shd w:val="clear" w:color="auto" w:fill="auto"/>
            <w:vAlign w:val="center"/>
            <w:hideMark/>
          </w:tcPr>
          <w:p w14:paraId="31E9A9E2" w14:textId="77777777" w:rsidR="00775507" w:rsidRPr="00391391" w:rsidRDefault="00775507" w:rsidP="00E15066">
            <w:pPr>
              <w:pStyle w:val="NCDTableText"/>
              <w:spacing w:line="312" w:lineRule="auto"/>
              <w:jc w:val="center"/>
            </w:pPr>
            <w:r w:rsidRPr="00391391">
              <w:t>360</w:t>
            </w:r>
          </w:p>
        </w:tc>
        <w:tc>
          <w:tcPr>
            <w:tcW w:w="1778" w:type="dxa"/>
            <w:shd w:val="clear" w:color="auto" w:fill="auto"/>
            <w:vAlign w:val="center"/>
            <w:hideMark/>
          </w:tcPr>
          <w:p w14:paraId="6C27131F" w14:textId="77777777" w:rsidR="00775507" w:rsidRPr="00391391" w:rsidRDefault="00775507" w:rsidP="00E15066">
            <w:pPr>
              <w:pStyle w:val="NCDTableText"/>
              <w:spacing w:line="312" w:lineRule="auto"/>
              <w:jc w:val="center"/>
            </w:pPr>
            <w:r w:rsidRPr="00391391">
              <w:t>299</w:t>
            </w:r>
          </w:p>
        </w:tc>
        <w:tc>
          <w:tcPr>
            <w:tcW w:w="2575" w:type="dxa"/>
            <w:shd w:val="clear" w:color="auto" w:fill="auto"/>
            <w:vAlign w:val="center"/>
            <w:hideMark/>
          </w:tcPr>
          <w:p w14:paraId="32158C2A" w14:textId="77777777" w:rsidR="00775507" w:rsidRPr="00391391" w:rsidRDefault="00775507" w:rsidP="00E15066">
            <w:pPr>
              <w:pStyle w:val="NCDTableText"/>
              <w:spacing w:line="312" w:lineRule="auto"/>
              <w:jc w:val="center"/>
            </w:pPr>
            <w:r w:rsidRPr="00391391">
              <w:t>$ 1,506,792.28</w:t>
            </w:r>
          </w:p>
        </w:tc>
        <w:tc>
          <w:tcPr>
            <w:tcW w:w="1914" w:type="dxa"/>
            <w:shd w:val="clear" w:color="auto" w:fill="auto"/>
            <w:vAlign w:val="center"/>
            <w:hideMark/>
          </w:tcPr>
          <w:p w14:paraId="7FAF037E" w14:textId="77777777" w:rsidR="00775507" w:rsidRPr="00391391" w:rsidRDefault="00775507" w:rsidP="00E15066">
            <w:pPr>
              <w:pStyle w:val="NCDTableText"/>
              <w:spacing w:line="312" w:lineRule="auto"/>
              <w:jc w:val="center"/>
            </w:pPr>
            <w:r w:rsidRPr="00391391">
              <w:t>11,571</w:t>
            </w:r>
          </w:p>
        </w:tc>
      </w:tr>
      <w:tr w:rsidR="00775507" w:rsidRPr="00775507" w14:paraId="5B87D60C" w14:textId="77777777" w:rsidTr="00E15066">
        <w:trPr>
          <w:trHeight w:val="282"/>
          <w:jc w:val="center"/>
        </w:trPr>
        <w:tc>
          <w:tcPr>
            <w:tcW w:w="787" w:type="dxa"/>
            <w:shd w:val="clear" w:color="auto" w:fill="auto"/>
            <w:hideMark/>
          </w:tcPr>
          <w:p w14:paraId="61801B27" w14:textId="77777777" w:rsidR="00775507" w:rsidRPr="00AB5BB1" w:rsidRDefault="00775507" w:rsidP="00E15066">
            <w:pPr>
              <w:pStyle w:val="NCDTableText"/>
              <w:spacing w:line="312" w:lineRule="auto"/>
              <w:rPr>
                <w:b/>
              </w:rPr>
            </w:pPr>
            <w:r w:rsidRPr="00AB5BB1">
              <w:rPr>
                <w:b/>
              </w:rPr>
              <w:t>2012</w:t>
            </w:r>
          </w:p>
        </w:tc>
        <w:tc>
          <w:tcPr>
            <w:tcW w:w="2211" w:type="dxa"/>
            <w:shd w:val="clear" w:color="auto" w:fill="auto"/>
            <w:vAlign w:val="center"/>
            <w:hideMark/>
          </w:tcPr>
          <w:p w14:paraId="0A9E8F66" w14:textId="77777777" w:rsidR="00775507" w:rsidRPr="00391391" w:rsidRDefault="00775507" w:rsidP="00E15066">
            <w:pPr>
              <w:pStyle w:val="NCDTableText"/>
              <w:spacing w:line="312" w:lineRule="auto"/>
              <w:jc w:val="center"/>
            </w:pPr>
            <w:r w:rsidRPr="00391391">
              <w:t>258</w:t>
            </w:r>
          </w:p>
        </w:tc>
        <w:tc>
          <w:tcPr>
            <w:tcW w:w="1778" w:type="dxa"/>
            <w:shd w:val="clear" w:color="auto" w:fill="auto"/>
            <w:vAlign w:val="center"/>
            <w:hideMark/>
          </w:tcPr>
          <w:p w14:paraId="7FEFE290" w14:textId="77777777" w:rsidR="00775507" w:rsidRPr="00391391" w:rsidRDefault="00775507" w:rsidP="00E15066">
            <w:pPr>
              <w:pStyle w:val="NCDTableText"/>
              <w:spacing w:line="312" w:lineRule="auto"/>
              <w:jc w:val="center"/>
            </w:pPr>
            <w:r w:rsidRPr="00391391">
              <w:t>218</w:t>
            </w:r>
          </w:p>
        </w:tc>
        <w:tc>
          <w:tcPr>
            <w:tcW w:w="2575" w:type="dxa"/>
            <w:shd w:val="clear" w:color="auto" w:fill="auto"/>
            <w:vAlign w:val="center"/>
            <w:hideMark/>
          </w:tcPr>
          <w:p w14:paraId="30D3BC74" w14:textId="77777777" w:rsidR="00775507" w:rsidRPr="00391391" w:rsidRDefault="00775507" w:rsidP="00E15066">
            <w:pPr>
              <w:pStyle w:val="NCDTableText"/>
              <w:spacing w:line="312" w:lineRule="auto"/>
              <w:jc w:val="center"/>
            </w:pPr>
            <w:r w:rsidRPr="00391391">
              <w:t>$ 1,518,922.89</w:t>
            </w:r>
          </w:p>
        </w:tc>
        <w:tc>
          <w:tcPr>
            <w:tcW w:w="1914" w:type="dxa"/>
            <w:shd w:val="clear" w:color="auto" w:fill="auto"/>
            <w:vAlign w:val="center"/>
            <w:hideMark/>
          </w:tcPr>
          <w:p w14:paraId="45F177A5" w14:textId="4B913627" w:rsidR="00775507" w:rsidRPr="00391391" w:rsidRDefault="00AB5BB1" w:rsidP="00AB5BB1">
            <w:pPr>
              <w:pStyle w:val="NCDTableText"/>
              <w:tabs>
                <w:tab w:val="left" w:pos="1167"/>
              </w:tabs>
              <w:spacing w:line="312" w:lineRule="auto"/>
              <w:jc w:val="center"/>
            </w:pPr>
            <w:r>
              <w:t xml:space="preserve">  </w:t>
            </w:r>
            <w:r w:rsidR="00775507" w:rsidRPr="00391391">
              <w:t>9,556</w:t>
            </w:r>
          </w:p>
        </w:tc>
      </w:tr>
      <w:tr w:rsidR="00775507" w:rsidRPr="00775507" w14:paraId="5323F2A6" w14:textId="77777777" w:rsidTr="00E15066">
        <w:trPr>
          <w:trHeight w:val="282"/>
          <w:jc w:val="center"/>
        </w:trPr>
        <w:tc>
          <w:tcPr>
            <w:tcW w:w="787" w:type="dxa"/>
            <w:shd w:val="clear" w:color="auto" w:fill="auto"/>
            <w:hideMark/>
          </w:tcPr>
          <w:p w14:paraId="052B73CA" w14:textId="77777777" w:rsidR="00775507" w:rsidRPr="00D70CEB" w:rsidRDefault="00775507" w:rsidP="00E15066">
            <w:pPr>
              <w:pStyle w:val="NCDTableText"/>
              <w:spacing w:line="312" w:lineRule="auto"/>
              <w:rPr>
                <w:b/>
              </w:rPr>
            </w:pPr>
            <w:r w:rsidRPr="00D70CEB">
              <w:rPr>
                <w:b/>
              </w:rPr>
              <w:lastRenderedPageBreak/>
              <w:t>2013</w:t>
            </w:r>
          </w:p>
        </w:tc>
        <w:tc>
          <w:tcPr>
            <w:tcW w:w="2211" w:type="dxa"/>
            <w:shd w:val="clear" w:color="auto" w:fill="auto"/>
            <w:vAlign w:val="center"/>
            <w:hideMark/>
          </w:tcPr>
          <w:p w14:paraId="6F05AF4C" w14:textId="77777777" w:rsidR="00775507" w:rsidRPr="00391391" w:rsidRDefault="00775507" w:rsidP="00E15066">
            <w:pPr>
              <w:pStyle w:val="NCDTableText"/>
              <w:spacing w:line="312" w:lineRule="auto"/>
              <w:jc w:val="center"/>
            </w:pPr>
            <w:r w:rsidRPr="00391391">
              <w:t>238</w:t>
            </w:r>
          </w:p>
        </w:tc>
        <w:tc>
          <w:tcPr>
            <w:tcW w:w="1778" w:type="dxa"/>
            <w:shd w:val="clear" w:color="auto" w:fill="auto"/>
            <w:vAlign w:val="center"/>
            <w:hideMark/>
          </w:tcPr>
          <w:p w14:paraId="4822E92D" w14:textId="77777777" w:rsidR="00775507" w:rsidRPr="00391391" w:rsidRDefault="00775507" w:rsidP="00E15066">
            <w:pPr>
              <w:pStyle w:val="NCDTableText"/>
              <w:spacing w:line="312" w:lineRule="auto"/>
              <w:jc w:val="center"/>
            </w:pPr>
            <w:r w:rsidRPr="00391391">
              <w:t>196</w:t>
            </w:r>
          </w:p>
        </w:tc>
        <w:tc>
          <w:tcPr>
            <w:tcW w:w="2575" w:type="dxa"/>
            <w:shd w:val="clear" w:color="auto" w:fill="auto"/>
            <w:vAlign w:val="center"/>
            <w:hideMark/>
          </w:tcPr>
          <w:p w14:paraId="7E5832D8" w14:textId="77777777" w:rsidR="00775507" w:rsidRPr="00391391" w:rsidRDefault="00775507" w:rsidP="00E15066">
            <w:pPr>
              <w:pStyle w:val="NCDTableText"/>
              <w:spacing w:line="312" w:lineRule="auto"/>
              <w:jc w:val="center"/>
            </w:pPr>
            <w:r w:rsidRPr="00391391">
              <w:t>$ 1,392,715.55</w:t>
            </w:r>
          </w:p>
        </w:tc>
        <w:tc>
          <w:tcPr>
            <w:tcW w:w="1914" w:type="dxa"/>
            <w:shd w:val="clear" w:color="auto" w:fill="auto"/>
            <w:vAlign w:val="center"/>
            <w:hideMark/>
          </w:tcPr>
          <w:p w14:paraId="18A37DF6" w14:textId="77777777" w:rsidR="00775507" w:rsidRPr="00391391" w:rsidRDefault="00775507" w:rsidP="00E15066">
            <w:pPr>
              <w:pStyle w:val="NCDTableText"/>
              <w:spacing w:line="312" w:lineRule="auto"/>
              <w:jc w:val="center"/>
            </w:pPr>
            <w:r w:rsidRPr="00391391">
              <w:t>7,445</w:t>
            </w:r>
          </w:p>
        </w:tc>
      </w:tr>
      <w:tr w:rsidR="00775507" w:rsidRPr="00775507" w14:paraId="4AC5DF83" w14:textId="77777777" w:rsidTr="00E15066">
        <w:trPr>
          <w:trHeight w:val="282"/>
          <w:jc w:val="center"/>
        </w:trPr>
        <w:tc>
          <w:tcPr>
            <w:tcW w:w="787" w:type="dxa"/>
            <w:shd w:val="clear" w:color="auto" w:fill="auto"/>
            <w:hideMark/>
          </w:tcPr>
          <w:p w14:paraId="2520B18F" w14:textId="77777777" w:rsidR="00775507" w:rsidRPr="00D70CEB" w:rsidRDefault="00775507" w:rsidP="00E15066">
            <w:pPr>
              <w:pStyle w:val="NCDTableText"/>
              <w:spacing w:line="312" w:lineRule="auto"/>
              <w:rPr>
                <w:b/>
              </w:rPr>
            </w:pPr>
            <w:r w:rsidRPr="00D70CEB">
              <w:rPr>
                <w:b/>
              </w:rPr>
              <w:t>2014</w:t>
            </w:r>
          </w:p>
        </w:tc>
        <w:tc>
          <w:tcPr>
            <w:tcW w:w="2211" w:type="dxa"/>
            <w:shd w:val="clear" w:color="auto" w:fill="auto"/>
            <w:vAlign w:val="center"/>
            <w:hideMark/>
          </w:tcPr>
          <w:p w14:paraId="724879F6" w14:textId="77777777" w:rsidR="00775507" w:rsidRPr="00391391" w:rsidRDefault="00775507" w:rsidP="00E15066">
            <w:pPr>
              <w:pStyle w:val="NCDTableText"/>
              <w:spacing w:line="312" w:lineRule="auto"/>
              <w:jc w:val="center"/>
            </w:pPr>
            <w:r w:rsidRPr="00391391">
              <w:t>284</w:t>
            </w:r>
          </w:p>
        </w:tc>
        <w:tc>
          <w:tcPr>
            <w:tcW w:w="1778" w:type="dxa"/>
            <w:shd w:val="clear" w:color="auto" w:fill="auto"/>
            <w:vAlign w:val="center"/>
            <w:hideMark/>
          </w:tcPr>
          <w:p w14:paraId="617BC95A" w14:textId="77777777" w:rsidR="00775507" w:rsidRPr="00391391" w:rsidRDefault="00775507" w:rsidP="00E15066">
            <w:pPr>
              <w:pStyle w:val="NCDTableText"/>
              <w:spacing w:line="312" w:lineRule="auto"/>
              <w:jc w:val="center"/>
            </w:pPr>
            <w:r w:rsidRPr="00391391">
              <w:t>232</w:t>
            </w:r>
          </w:p>
        </w:tc>
        <w:tc>
          <w:tcPr>
            <w:tcW w:w="2575" w:type="dxa"/>
            <w:shd w:val="clear" w:color="auto" w:fill="auto"/>
            <w:vAlign w:val="center"/>
            <w:hideMark/>
          </w:tcPr>
          <w:p w14:paraId="64E86C9E" w14:textId="6A3E46E7" w:rsidR="00775507" w:rsidRPr="00391391" w:rsidRDefault="00775507" w:rsidP="00E15066">
            <w:pPr>
              <w:pStyle w:val="NCDTableText"/>
              <w:spacing w:line="312" w:lineRule="auto"/>
              <w:jc w:val="center"/>
            </w:pPr>
            <w:r w:rsidRPr="00391391">
              <w:t>$</w:t>
            </w:r>
            <w:r w:rsidR="00850AEA">
              <w:t xml:space="preserve"> </w:t>
            </w:r>
            <w:r w:rsidRPr="00391391">
              <w:t>1,288,503.91</w:t>
            </w:r>
          </w:p>
        </w:tc>
        <w:tc>
          <w:tcPr>
            <w:tcW w:w="1914" w:type="dxa"/>
            <w:shd w:val="clear" w:color="auto" w:fill="auto"/>
            <w:vAlign w:val="center"/>
            <w:hideMark/>
          </w:tcPr>
          <w:p w14:paraId="439BCAF5" w14:textId="77777777" w:rsidR="00775507" w:rsidRPr="00391391" w:rsidRDefault="00775507" w:rsidP="00E15066">
            <w:pPr>
              <w:pStyle w:val="NCDTableText"/>
              <w:spacing w:line="312" w:lineRule="auto"/>
              <w:jc w:val="center"/>
            </w:pPr>
            <w:r w:rsidRPr="00391391">
              <w:t>8,986</w:t>
            </w:r>
          </w:p>
        </w:tc>
      </w:tr>
      <w:tr w:rsidR="00775507" w:rsidRPr="00775507" w14:paraId="6A526B45" w14:textId="77777777" w:rsidTr="00E15066">
        <w:trPr>
          <w:trHeight w:val="282"/>
          <w:jc w:val="center"/>
        </w:trPr>
        <w:tc>
          <w:tcPr>
            <w:tcW w:w="787" w:type="dxa"/>
            <w:shd w:val="clear" w:color="auto" w:fill="auto"/>
            <w:hideMark/>
          </w:tcPr>
          <w:p w14:paraId="241C7B82" w14:textId="77777777" w:rsidR="00775507" w:rsidRPr="00D70CEB" w:rsidRDefault="00775507" w:rsidP="00E15066">
            <w:pPr>
              <w:pStyle w:val="NCDTableText"/>
              <w:spacing w:line="312" w:lineRule="auto"/>
              <w:rPr>
                <w:b/>
              </w:rPr>
            </w:pPr>
            <w:r w:rsidRPr="00D70CEB">
              <w:rPr>
                <w:b/>
              </w:rPr>
              <w:t>2015</w:t>
            </w:r>
          </w:p>
        </w:tc>
        <w:tc>
          <w:tcPr>
            <w:tcW w:w="2211" w:type="dxa"/>
            <w:shd w:val="clear" w:color="auto" w:fill="auto"/>
            <w:vAlign w:val="center"/>
            <w:hideMark/>
          </w:tcPr>
          <w:p w14:paraId="73BAF8AC" w14:textId="77777777" w:rsidR="00775507" w:rsidRPr="00391391" w:rsidRDefault="00775507" w:rsidP="00E15066">
            <w:pPr>
              <w:pStyle w:val="NCDTableText"/>
              <w:spacing w:line="312" w:lineRule="auto"/>
              <w:jc w:val="center"/>
            </w:pPr>
            <w:r w:rsidRPr="00391391">
              <w:t>189</w:t>
            </w:r>
          </w:p>
        </w:tc>
        <w:tc>
          <w:tcPr>
            <w:tcW w:w="1778" w:type="dxa"/>
            <w:shd w:val="clear" w:color="auto" w:fill="auto"/>
            <w:vAlign w:val="center"/>
            <w:hideMark/>
          </w:tcPr>
          <w:p w14:paraId="66E2E581" w14:textId="77777777" w:rsidR="00775507" w:rsidRPr="00391391" w:rsidRDefault="00775507" w:rsidP="00E15066">
            <w:pPr>
              <w:pStyle w:val="NCDTableText"/>
              <w:spacing w:line="312" w:lineRule="auto"/>
              <w:jc w:val="center"/>
            </w:pPr>
            <w:r w:rsidRPr="00391391">
              <w:t>152</w:t>
            </w:r>
          </w:p>
        </w:tc>
        <w:tc>
          <w:tcPr>
            <w:tcW w:w="2575" w:type="dxa"/>
            <w:shd w:val="clear" w:color="auto" w:fill="auto"/>
            <w:vAlign w:val="center"/>
            <w:hideMark/>
          </w:tcPr>
          <w:p w14:paraId="298B6BFE" w14:textId="77777777" w:rsidR="00775507" w:rsidRPr="00391391" w:rsidRDefault="00775507" w:rsidP="00E15066">
            <w:pPr>
              <w:pStyle w:val="NCDTableText"/>
              <w:spacing w:line="312" w:lineRule="auto"/>
              <w:jc w:val="center"/>
            </w:pPr>
            <w:r w:rsidRPr="00391391">
              <w:t>$ 1,530,463.63</w:t>
            </w:r>
          </w:p>
        </w:tc>
        <w:tc>
          <w:tcPr>
            <w:tcW w:w="1914" w:type="dxa"/>
            <w:shd w:val="clear" w:color="auto" w:fill="auto"/>
            <w:vAlign w:val="center"/>
            <w:hideMark/>
          </w:tcPr>
          <w:p w14:paraId="64BAB8DA" w14:textId="77777777" w:rsidR="00775507" w:rsidRPr="00391391" w:rsidRDefault="00775507" w:rsidP="00E15066">
            <w:pPr>
              <w:pStyle w:val="NCDTableText"/>
              <w:spacing w:line="312" w:lineRule="auto"/>
              <w:jc w:val="center"/>
            </w:pPr>
            <w:r w:rsidRPr="00391391">
              <w:t>7,842</w:t>
            </w:r>
          </w:p>
        </w:tc>
      </w:tr>
      <w:tr w:rsidR="00775507" w:rsidRPr="00775507" w14:paraId="57D55BBF" w14:textId="77777777" w:rsidTr="00E15066">
        <w:trPr>
          <w:trHeight w:val="282"/>
          <w:jc w:val="center"/>
        </w:trPr>
        <w:tc>
          <w:tcPr>
            <w:tcW w:w="787" w:type="dxa"/>
            <w:shd w:val="clear" w:color="auto" w:fill="auto"/>
            <w:hideMark/>
          </w:tcPr>
          <w:p w14:paraId="76EA1B5E" w14:textId="77777777" w:rsidR="00775507" w:rsidRPr="00D70CEB" w:rsidRDefault="00775507" w:rsidP="00E15066">
            <w:pPr>
              <w:pStyle w:val="NCDTableText"/>
              <w:spacing w:line="312" w:lineRule="auto"/>
              <w:rPr>
                <w:b/>
              </w:rPr>
            </w:pPr>
            <w:r w:rsidRPr="00D70CEB">
              <w:rPr>
                <w:b/>
              </w:rPr>
              <w:t>2016</w:t>
            </w:r>
          </w:p>
        </w:tc>
        <w:tc>
          <w:tcPr>
            <w:tcW w:w="2211" w:type="dxa"/>
            <w:shd w:val="clear" w:color="auto" w:fill="auto"/>
            <w:vAlign w:val="center"/>
            <w:hideMark/>
          </w:tcPr>
          <w:p w14:paraId="0E28D52B" w14:textId="77777777" w:rsidR="00775507" w:rsidRPr="00391391" w:rsidRDefault="00775507" w:rsidP="00E15066">
            <w:pPr>
              <w:pStyle w:val="NCDTableText"/>
              <w:spacing w:line="312" w:lineRule="auto"/>
              <w:jc w:val="center"/>
            </w:pPr>
            <w:r w:rsidRPr="00391391">
              <w:t>201</w:t>
            </w:r>
          </w:p>
        </w:tc>
        <w:tc>
          <w:tcPr>
            <w:tcW w:w="1778" w:type="dxa"/>
            <w:shd w:val="clear" w:color="auto" w:fill="auto"/>
            <w:vAlign w:val="center"/>
            <w:hideMark/>
          </w:tcPr>
          <w:p w14:paraId="4F869B60" w14:textId="77777777" w:rsidR="00775507" w:rsidRPr="00391391" w:rsidRDefault="00775507" w:rsidP="00E15066">
            <w:pPr>
              <w:pStyle w:val="NCDTableText"/>
              <w:spacing w:line="312" w:lineRule="auto"/>
              <w:jc w:val="center"/>
            </w:pPr>
            <w:r w:rsidRPr="00391391">
              <w:t>167</w:t>
            </w:r>
          </w:p>
        </w:tc>
        <w:tc>
          <w:tcPr>
            <w:tcW w:w="2575" w:type="dxa"/>
            <w:shd w:val="clear" w:color="auto" w:fill="auto"/>
            <w:vAlign w:val="center"/>
            <w:hideMark/>
          </w:tcPr>
          <w:p w14:paraId="7A039A06" w14:textId="77777777" w:rsidR="00775507" w:rsidRPr="00391391" w:rsidRDefault="00775507" w:rsidP="00E15066">
            <w:pPr>
              <w:pStyle w:val="NCDTableText"/>
              <w:spacing w:line="312" w:lineRule="auto"/>
              <w:jc w:val="center"/>
            </w:pPr>
            <w:r w:rsidRPr="00391391">
              <w:t>$ 2,573,799.05</w:t>
            </w:r>
          </w:p>
        </w:tc>
        <w:tc>
          <w:tcPr>
            <w:tcW w:w="1914" w:type="dxa"/>
            <w:shd w:val="clear" w:color="auto" w:fill="auto"/>
            <w:vAlign w:val="center"/>
            <w:hideMark/>
          </w:tcPr>
          <w:p w14:paraId="7738C473" w14:textId="77777777" w:rsidR="00775507" w:rsidRPr="00391391" w:rsidRDefault="00775507" w:rsidP="00E15066">
            <w:pPr>
              <w:pStyle w:val="NCDTableText"/>
              <w:spacing w:line="312" w:lineRule="auto"/>
              <w:jc w:val="center"/>
            </w:pPr>
            <w:r w:rsidRPr="00391391">
              <w:t>9,133</w:t>
            </w:r>
          </w:p>
        </w:tc>
      </w:tr>
      <w:tr w:rsidR="00775507" w:rsidRPr="00775507" w14:paraId="549180F6" w14:textId="77777777" w:rsidTr="00E15066">
        <w:trPr>
          <w:trHeight w:val="282"/>
          <w:jc w:val="center"/>
        </w:trPr>
        <w:tc>
          <w:tcPr>
            <w:tcW w:w="787" w:type="dxa"/>
            <w:shd w:val="clear" w:color="auto" w:fill="auto"/>
            <w:hideMark/>
          </w:tcPr>
          <w:p w14:paraId="2F2DA4DA" w14:textId="77777777" w:rsidR="00775507" w:rsidRPr="00D70CEB" w:rsidRDefault="00775507" w:rsidP="00E15066">
            <w:pPr>
              <w:pStyle w:val="NCDTableText"/>
              <w:spacing w:line="312" w:lineRule="auto"/>
              <w:rPr>
                <w:b/>
              </w:rPr>
            </w:pPr>
            <w:r w:rsidRPr="00D70CEB">
              <w:rPr>
                <w:b/>
              </w:rPr>
              <w:t>2017</w:t>
            </w:r>
          </w:p>
        </w:tc>
        <w:tc>
          <w:tcPr>
            <w:tcW w:w="2211" w:type="dxa"/>
            <w:shd w:val="clear" w:color="auto" w:fill="auto"/>
            <w:vAlign w:val="center"/>
            <w:hideMark/>
          </w:tcPr>
          <w:p w14:paraId="0519F958" w14:textId="77777777" w:rsidR="00775507" w:rsidRPr="00391391" w:rsidRDefault="00775507" w:rsidP="00E15066">
            <w:pPr>
              <w:pStyle w:val="NCDTableText"/>
              <w:spacing w:line="312" w:lineRule="auto"/>
              <w:jc w:val="center"/>
            </w:pPr>
            <w:r w:rsidRPr="00391391">
              <w:t>217</w:t>
            </w:r>
          </w:p>
        </w:tc>
        <w:tc>
          <w:tcPr>
            <w:tcW w:w="1778" w:type="dxa"/>
            <w:shd w:val="clear" w:color="auto" w:fill="auto"/>
            <w:vAlign w:val="center"/>
            <w:hideMark/>
          </w:tcPr>
          <w:p w14:paraId="507F56A5" w14:textId="77777777" w:rsidR="00775507" w:rsidRPr="00391391" w:rsidRDefault="00775507" w:rsidP="00E15066">
            <w:pPr>
              <w:pStyle w:val="NCDTableText"/>
              <w:spacing w:line="312" w:lineRule="auto"/>
              <w:jc w:val="center"/>
            </w:pPr>
            <w:r w:rsidRPr="00391391">
              <w:t>195</w:t>
            </w:r>
          </w:p>
        </w:tc>
        <w:tc>
          <w:tcPr>
            <w:tcW w:w="2575" w:type="dxa"/>
            <w:shd w:val="clear" w:color="auto" w:fill="auto"/>
            <w:vAlign w:val="center"/>
            <w:hideMark/>
          </w:tcPr>
          <w:p w14:paraId="402BE231" w14:textId="77777777" w:rsidR="00775507" w:rsidRPr="00391391" w:rsidRDefault="00775507" w:rsidP="00E15066">
            <w:pPr>
              <w:pStyle w:val="NCDTableText"/>
              <w:spacing w:line="312" w:lineRule="auto"/>
              <w:jc w:val="center"/>
            </w:pPr>
            <w:r w:rsidRPr="00391391">
              <w:t>$ 2,474,476.61</w:t>
            </w:r>
          </w:p>
        </w:tc>
        <w:tc>
          <w:tcPr>
            <w:tcW w:w="1914" w:type="dxa"/>
            <w:shd w:val="clear" w:color="auto" w:fill="auto"/>
            <w:vAlign w:val="center"/>
            <w:hideMark/>
          </w:tcPr>
          <w:p w14:paraId="6E913B01" w14:textId="77777777" w:rsidR="00775507" w:rsidRPr="00391391" w:rsidRDefault="00775507" w:rsidP="00E15066">
            <w:pPr>
              <w:pStyle w:val="NCDTableText"/>
              <w:spacing w:line="312" w:lineRule="auto"/>
              <w:jc w:val="center"/>
            </w:pPr>
            <w:r w:rsidRPr="00391391">
              <w:t>7,302</w:t>
            </w:r>
          </w:p>
        </w:tc>
      </w:tr>
    </w:tbl>
    <w:p w14:paraId="3103DCF1" w14:textId="0A30D03D" w:rsidR="00296DA5" w:rsidRDefault="00A83D3D" w:rsidP="00850AEA">
      <w:pPr>
        <w:pStyle w:val="NCDTableSource"/>
      </w:pPr>
      <w:r>
        <w:t xml:space="preserve">Data </w:t>
      </w:r>
      <w:r w:rsidR="003C232E">
        <w:t>Source: WHD</w:t>
      </w:r>
    </w:p>
    <w:p w14:paraId="416747D2" w14:textId="4C1A88ED" w:rsidR="00775507" w:rsidRPr="00775507" w:rsidRDefault="00775507" w:rsidP="00850AEA">
      <w:pPr>
        <w:pStyle w:val="NCDTableHeader"/>
        <w:spacing w:after="200"/>
        <w:jc w:val="left"/>
      </w:pPr>
      <w:r w:rsidRPr="00775507">
        <w:t xml:space="preserve">Table </w:t>
      </w:r>
      <w:r w:rsidR="00DB078C">
        <w:t>4</w:t>
      </w:r>
      <w:r w:rsidRPr="00775507">
        <w:t xml:space="preserve">: Specific Violations </w:t>
      </w:r>
      <w:r>
        <w:t xml:space="preserve">Identified </w:t>
      </w:r>
      <w:r w:rsidR="00EA15FA">
        <w:t>After</w:t>
      </w:r>
      <w:r w:rsidR="00EA15FA" w:rsidRPr="00775507">
        <w:t xml:space="preserve"> </w:t>
      </w:r>
      <w:r w:rsidRPr="00775507">
        <w:t>Investigations Related to 14(c)</w:t>
      </w:r>
      <w:r w:rsidRPr="00934DB5">
        <w:rPr>
          <w:vertAlign w:val="superscript"/>
        </w:rPr>
        <w:endnoteReference w:id="227"/>
      </w:r>
    </w:p>
    <w:tbl>
      <w:tblPr>
        <w:tblW w:w="937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4A0" w:firstRow="1" w:lastRow="0" w:firstColumn="1" w:lastColumn="0" w:noHBand="0" w:noVBand="1"/>
        <w:tblCaption w:val="Table 4: Specific Violations Identified After Investigations Related to 14(c) "/>
        <w:tblDescription w:val="Fiscal Year FLSA 14(c) Investigations with 14(c) Violations FLSA 14(c) Investigations with SCA, PCA, or EO 13658 Violations&#10; Cases Back Wages Employees Cases Back Wages Employees&#10;2008 116  $   970,069.18 3,688 4 $   38,048.63   61&#10;2009   84  $   277,548.68 3,236 3 $   10,509.13   23&#10;2010   81  $   603,819.33 3,878 4 $     2,836.34   18&#10;2011 278  $1,171,895.21 10,929 18 $ 131,775.24 320&#10;2012 194 $    952,796.12 8,756 7 $ 375,473.05 193&#10;2013 171 $ 1,035,890.90 7,035 6 $   41,765.07   54&#10;2014 189 $    869,308.99 8,370 10 $   69,643.12   94&#10;2015 123 $ 1,366,211.18 7,424 7 $   60,315.52 212&#10;2016 127 $ 1,853,744.25 8,086 3 $   26,499.64   37&#10;2017 151 $ 1,959,447.81 6,405 8 $   96,265.52 123&#10;"/>
      </w:tblPr>
      <w:tblGrid>
        <w:gridCol w:w="943"/>
        <w:gridCol w:w="938"/>
        <w:gridCol w:w="1895"/>
        <w:gridCol w:w="1498"/>
        <w:gridCol w:w="938"/>
        <w:gridCol w:w="1667"/>
        <w:gridCol w:w="1498"/>
      </w:tblGrid>
      <w:tr w:rsidR="00775507" w:rsidRPr="00775507" w14:paraId="23F41E30" w14:textId="77777777" w:rsidTr="00E15066">
        <w:trPr>
          <w:trHeight w:val="615"/>
        </w:trPr>
        <w:tc>
          <w:tcPr>
            <w:tcW w:w="959" w:type="dxa"/>
            <w:shd w:val="clear" w:color="auto" w:fill="auto"/>
            <w:hideMark/>
          </w:tcPr>
          <w:p w14:paraId="323B2658" w14:textId="77777777" w:rsidR="00775507" w:rsidRPr="00775507" w:rsidRDefault="00775507" w:rsidP="00E15066">
            <w:pPr>
              <w:pStyle w:val="NCDTableHeader"/>
              <w:spacing w:line="312" w:lineRule="auto"/>
              <w:jc w:val="left"/>
            </w:pPr>
            <w:r w:rsidRPr="00775507">
              <w:t>Fiscal Year</w:t>
            </w:r>
          </w:p>
        </w:tc>
        <w:tc>
          <w:tcPr>
            <w:tcW w:w="4223" w:type="dxa"/>
            <w:gridSpan w:val="3"/>
            <w:shd w:val="clear" w:color="auto" w:fill="auto"/>
            <w:hideMark/>
          </w:tcPr>
          <w:p w14:paraId="223ADCC1" w14:textId="77777777" w:rsidR="00775507" w:rsidRPr="00391391" w:rsidRDefault="00775507" w:rsidP="00E15066">
            <w:pPr>
              <w:pStyle w:val="NCDTableHeader"/>
              <w:spacing w:line="312" w:lineRule="auto"/>
            </w:pPr>
            <w:r w:rsidRPr="00391391">
              <w:t xml:space="preserve">FLSA 14(c) Investigations with 14(c) </w:t>
            </w:r>
            <w:r w:rsidRPr="00775507">
              <w:t>V</w:t>
            </w:r>
            <w:r w:rsidRPr="00391391">
              <w:t>iolations</w:t>
            </w:r>
          </w:p>
        </w:tc>
        <w:tc>
          <w:tcPr>
            <w:tcW w:w="4195" w:type="dxa"/>
            <w:gridSpan w:val="3"/>
            <w:shd w:val="clear" w:color="auto" w:fill="auto"/>
            <w:hideMark/>
          </w:tcPr>
          <w:p w14:paraId="4733A956" w14:textId="471E889A" w:rsidR="00775507" w:rsidRPr="00391391" w:rsidRDefault="00775507" w:rsidP="00E15066">
            <w:pPr>
              <w:pStyle w:val="NCDTableHeader"/>
              <w:spacing w:line="312" w:lineRule="auto"/>
            </w:pPr>
            <w:r w:rsidRPr="00391391">
              <w:t>FLSA 14(c) Investigations with SCA, PCA</w:t>
            </w:r>
            <w:r w:rsidR="00EA15FA">
              <w:t>,</w:t>
            </w:r>
            <w:r w:rsidRPr="00391391">
              <w:t xml:space="preserve"> or EO 13658 </w:t>
            </w:r>
            <w:r w:rsidRPr="00775507">
              <w:t>V</w:t>
            </w:r>
            <w:r w:rsidRPr="00391391">
              <w:t>iolations</w:t>
            </w:r>
          </w:p>
        </w:tc>
      </w:tr>
      <w:tr w:rsidR="00775507" w:rsidRPr="00775507" w14:paraId="78C43E24" w14:textId="77777777" w:rsidTr="00E15066">
        <w:trPr>
          <w:trHeight w:val="368"/>
        </w:trPr>
        <w:tc>
          <w:tcPr>
            <w:tcW w:w="959" w:type="dxa"/>
            <w:shd w:val="clear" w:color="auto" w:fill="auto"/>
            <w:hideMark/>
          </w:tcPr>
          <w:p w14:paraId="6736D806" w14:textId="18A54255" w:rsidR="00775507" w:rsidRPr="00391391" w:rsidRDefault="00775507" w:rsidP="00E15066">
            <w:pPr>
              <w:pStyle w:val="NCDTableHeader"/>
              <w:spacing w:line="312" w:lineRule="auto"/>
            </w:pPr>
          </w:p>
        </w:tc>
        <w:tc>
          <w:tcPr>
            <w:tcW w:w="927" w:type="dxa"/>
            <w:shd w:val="clear" w:color="auto" w:fill="auto"/>
            <w:hideMark/>
          </w:tcPr>
          <w:p w14:paraId="3E0A4E0C" w14:textId="77777777" w:rsidR="00775507" w:rsidRPr="00391391" w:rsidRDefault="00775507" w:rsidP="00E15066">
            <w:pPr>
              <w:pStyle w:val="NCDTableHeader"/>
              <w:spacing w:line="312" w:lineRule="auto"/>
            </w:pPr>
            <w:r w:rsidRPr="00391391">
              <w:t>Cases</w:t>
            </w:r>
          </w:p>
        </w:tc>
        <w:tc>
          <w:tcPr>
            <w:tcW w:w="1961" w:type="dxa"/>
            <w:shd w:val="clear" w:color="auto" w:fill="auto"/>
            <w:hideMark/>
          </w:tcPr>
          <w:p w14:paraId="2C610378" w14:textId="77777777" w:rsidR="00775507" w:rsidRPr="00391391" w:rsidRDefault="00775507" w:rsidP="00E15066">
            <w:pPr>
              <w:pStyle w:val="NCDTableHeader"/>
              <w:spacing w:line="312" w:lineRule="auto"/>
            </w:pPr>
            <w:r w:rsidRPr="00391391">
              <w:t>Back Wages</w:t>
            </w:r>
          </w:p>
        </w:tc>
        <w:tc>
          <w:tcPr>
            <w:tcW w:w="1335" w:type="dxa"/>
            <w:shd w:val="clear" w:color="auto" w:fill="auto"/>
            <w:hideMark/>
          </w:tcPr>
          <w:p w14:paraId="20CED5A8" w14:textId="77777777" w:rsidR="00775507" w:rsidRPr="00391391" w:rsidRDefault="00775507" w:rsidP="00E15066">
            <w:pPr>
              <w:pStyle w:val="NCDTableHeader"/>
              <w:spacing w:line="312" w:lineRule="auto"/>
            </w:pPr>
            <w:r w:rsidRPr="00391391">
              <w:t>Employees</w:t>
            </w:r>
          </w:p>
        </w:tc>
        <w:tc>
          <w:tcPr>
            <w:tcW w:w="924" w:type="dxa"/>
            <w:shd w:val="clear" w:color="auto" w:fill="auto"/>
            <w:hideMark/>
          </w:tcPr>
          <w:p w14:paraId="39E75750" w14:textId="77777777" w:rsidR="00775507" w:rsidRPr="00391391" w:rsidRDefault="00775507" w:rsidP="00E15066">
            <w:pPr>
              <w:pStyle w:val="NCDTableHeader"/>
              <w:spacing w:line="312" w:lineRule="auto"/>
            </w:pPr>
            <w:r w:rsidRPr="00391391">
              <w:t>Cases</w:t>
            </w:r>
          </w:p>
        </w:tc>
        <w:tc>
          <w:tcPr>
            <w:tcW w:w="1787" w:type="dxa"/>
            <w:shd w:val="clear" w:color="auto" w:fill="auto"/>
            <w:hideMark/>
          </w:tcPr>
          <w:p w14:paraId="7B0D6443" w14:textId="77777777" w:rsidR="00775507" w:rsidRPr="00391391" w:rsidRDefault="00775507" w:rsidP="00E15066">
            <w:pPr>
              <w:pStyle w:val="NCDTableHeader"/>
              <w:spacing w:line="312" w:lineRule="auto"/>
            </w:pPr>
            <w:r w:rsidRPr="00391391">
              <w:t>Back Wages</w:t>
            </w:r>
          </w:p>
        </w:tc>
        <w:tc>
          <w:tcPr>
            <w:tcW w:w="1484" w:type="dxa"/>
            <w:shd w:val="clear" w:color="auto" w:fill="auto"/>
            <w:hideMark/>
          </w:tcPr>
          <w:p w14:paraId="4BCC5420" w14:textId="77777777" w:rsidR="00775507" w:rsidRPr="00391391" w:rsidRDefault="00775507" w:rsidP="00E15066">
            <w:pPr>
              <w:pStyle w:val="NCDTableHeader"/>
              <w:spacing w:line="312" w:lineRule="auto"/>
            </w:pPr>
            <w:r w:rsidRPr="00391391">
              <w:t>Employees</w:t>
            </w:r>
          </w:p>
        </w:tc>
      </w:tr>
      <w:tr w:rsidR="00775507" w:rsidRPr="00775507" w14:paraId="721580EC" w14:textId="77777777" w:rsidTr="00E15066">
        <w:trPr>
          <w:trHeight w:val="282"/>
        </w:trPr>
        <w:tc>
          <w:tcPr>
            <w:tcW w:w="959" w:type="dxa"/>
            <w:shd w:val="clear" w:color="auto" w:fill="auto"/>
            <w:hideMark/>
          </w:tcPr>
          <w:p w14:paraId="1B90E836" w14:textId="77777777" w:rsidR="00775507" w:rsidRPr="00D70CEB" w:rsidRDefault="00775507" w:rsidP="00E15066">
            <w:pPr>
              <w:pStyle w:val="NCDTableText"/>
              <w:spacing w:line="312" w:lineRule="auto"/>
              <w:rPr>
                <w:b/>
              </w:rPr>
            </w:pPr>
            <w:r w:rsidRPr="00D70CEB">
              <w:rPr>
                <w:b/>
              </w:rPr>
              <w:t>2008</w:t>
            </w:r>
          </w:p>
        </w:tc>
        <w:tc>
          <w:tcPr>
            <w:tcW w:w="927" w:type="dxa"/>
            <w:shd w:val="clear" w:color="auto" w:fill="auto"/>
            <w:vAlign w:val="center"/>
            <w:hideMark/>
          </w:tcPr>
          <w:p w14:paraId="21292048" w14:textId="77777777" w:rsidR="00775507" w:rsidRPr="00391391" w:rsidRDefault="00775507" w:rsidP="00E15066">
            <w:pPr>
              <w:pStyle w:val="NCDTableText"/>
              <w:spacing w:line="312" w:lineRule="auto"/>
              <w:jc w:val="center"/>
            </w:pPr>
            <w:r w:rsidRPr="00391391">
              <w:t>116</w:t>
            </w:r>
          </w:p>
        </w:tc>
        <w:tc>
          <w:tcPr>
            <w:tcW w:w="1961" w:type="dxa"/>
            <w:shd w:val="clear" w:color="auto" w:fill="auto"/>
            <w:vAlign w:val="center"/>
            <w:hideMark/>
          </w:tcPr>
          <w:p w14:paraId="41C83AA1" w14:textId="66D2505A" w:rsidR="00775507" w:rsidRPr="00391391" w:rsidRDefault="00D70CEB" w:rsidP="00D70CEB">
            <w:pPr>
              <w:pStyle w:val="NCDTableText"/>
              <w:spacing w:line="312" w:lineRule="auto"/>
              <w:jc w:val="both"/>
            </w:pPr>
            <w:r>
              <w:t xml:space="preserve"> </w:t>
            </w:r>
            <w:r w:rsidR="00775507" w:rsidRPr="00391391">
              <w:t>$</w:t>
            </w:r>
            <w:r w:rsidR="00E15066">
              <w:t xml:space="preserve">  </w:t>
            </w:r>
            <w:r w:rsidR="00775507" w:rsidRPr="00391391">
              <w:t xml:space="preserve"> 970,069.18</w:t>
            </w:r>
          </w:p>
        </w:tc>
        <w:tc>
          <w:tcPr>
            <w:tcW w:w="1335" w:type="dxa"/>
            <w:shd w:val="clear" w:color="auto" w:fill="auto"/>
            <w:vAlign w:val="center"/>
            <w:hideMark/>
          </w:tcPr>
          <w:p w14:paraId="397E0F7A" w14:textId="77777777" w:rsidR="00775507" w:rsidRPr="00391391" w:rsidRDefault="00775507" w:rsidP="008974F8">
            <w:pPr>
              <w:pStyle w:val="NCDTableText"/>
              <w:spacing w:line="312" w:lineRule="auto"/>
              <w:ind w:right="288"/>
              <w:jc w:val="right"/>
            </w:pPr>
            <w:r w:rsidRPr="00391391">
              <w:t>3,688</w:t>
            </w:r>
          </w:p>
        </w:tc>
        <w:tc>
          <w:tcPr>
            <w:tcW w:w="924" w:type="dxa"/>
            <w:shd w:val="clear" w:color="auto" w:fill="auto"/>
            <w:vAlign w:val="center"/>
            <w:hideMark/>
          </w:tcPr>
          <w:p w14:paraId="34247EC2" w14:textId="77777777" w:rsidR="00775507" w:rsidRPr="00391391" w:rsidRDefault="00775507" w:rsidP="008974F8">
            <w:pPr>
              <w:pStyle w:val="NCDTableText"/>
              <w:spacing w:line="312" w:lineRule="auto"/>
              <w:ind w:right="187"/>
              <w:jc w:val="right"/>
            </w:pPr>
            <w:r w:rsidRPr="00391391">
              <w:t>4</w:t>
            </w:r>
          </w:p>
        </w:tc>
        <w:tc>
          <w:tcPr>
            <w:tcW w:w="1787" w:type="dxa"/>
            <w:shd w:val="clear" w:color="auto" w:fill="auto"/>
            <w:vAlign w:val="center"/>
            <w:hideMark/>
          </w:tcPr>
          <w:p w14:paraId="771F9E3B" w14:textId="19DB95E0" w:rsidR="00775507" w:rsidRPr="00391391" w:rsidRDefault="00775507" w:rsidP="00E15066">
            <w:pPr>
              <w:pStyle w:val="NCDTableText"/>
              <w:spacing w:line="312" w:lineRule="auto"/>
            </w:pPr>
            <w:r w:rsidRPr="00391391">
              <w:t xml:space="preserve">$ </w:t>
            </w:r>
            <w:r w:rsidR="00850AEA">
              <w:t xml:space="preserve">  </w:t>
            </w:r>
            <w:r w:rsidRPr="00391391">
              <w:t>38,048.63</w:t>
            </w:r>
          </w:p>
        </w:tc>
        <w:tc>
          <w:tcPr>
            <w:tcW w:w="1484" w:type="dxa"/>
            <w:shd w:val="clear" w:color="auto" w:fill="auto"/>
            <w:vAlign w:val="center"/>
            <w:hideMark/>
          </w:tcPr>
          <w:p w14:paraId="130641C3" w14:textId="4EC00768" w:rsidR="00775507" w:rsidRPr="00391391" w:rsidRDefault="00D70CEB" w:rsidP="00E15066">
            <w:pPr>
              <w:pStyle w:val="NCDTableText"/>
              <w:spacing w:line="312" w:lineRule="auto"/>
              <w:jc w:val="center"/>
            </w:pPr>
            <w:r>
              <w:t xml:space="preserve">  </w:t>
            </w:r>
            <w:r w:rsidR="00775507" w:rsidRPr="00391391">
              <w:t>61</w:t>
            </w:r>
          </w:p>
        </w:tc>
      </w:tr>
      <w:tr w:rsidR="00775507" w:rsidRPr="00775507" w14:paraId="366CBF85" w14:textId="77777777" w:rsidTr="00E15066">
        <w:trPr>
          <w:trHeight w:val="282"/>
        </w:trPr>
        <w:tc>
          <w:tcPr>
            <w:tcW w:w="959" w:type="dxa"/>
            <w:shd w:val="clear" w:color="auto" w:fill="auto"/>
            <w:hideMark/>
          </w:tcPr>
          <w:p w14:paraId="3DFFC895" w14:textId="77777777" w:rsidR="00775507" w:rsidRPr="00D70CEB" w:rsidRDefault="00775507" w:rsidP="00E15066">
            <w:pPr>
              <w:pStyle w:val="NCDTableText"/>
              <w:spacing w:line="312" w:lineRule="auto"/>
              <w:rPr>
                <w:b/>
              </w:rPr>
            </w:pPr>
            <w:r w:rsidRPr="00D70CEB">
              <w:rPr>
                <w:b/>
              </w:rPr>
              <w:t>2009</w:t>
            </w:r>
          </w:p>
        </w:tc>
        <w:tc>
          <w:tcPr>
            <w:tcW w:w="927" w:type="dxa"/>
            <w:shd w:val="clear" w:color="auto" w:fill="auto"/>
            <w:vAlign w:val="center"/>
            <w:hideMark/>
          </w:tcPr>
          <w:p w14:paraId="18BED6DF" w14:textId="3BE7332B" w:rsidR="00775507" w:rsidRPr="00391391" w:rsidRDefault="00D70CEB" w:rsidP="00E15066">
            <w:pPr>
              <w:pStyle w:val="NCDTableText"/>
              <w:spacing w:line="312" w:lineRule="auto"/>
              <w:jc w:val="center"/>
            </w:pPr>
            <w:r>
              <w:t xml:space="preserve">  </w:t>
            </w:r>
            <w:r w:rsidR="00775507" w:rsidRPr="00391391">
              <w:t>84</w:t>
            </w:r>
          </w:p>
        </w:tc>
        <w:tc>
          <w:tcPr>
            <w:tcW w:w="1961" w:type="dxa"/>
            <w:shd w:val="clear" w:color="auto" w:fill="auto"/>
            <w:vAlign w:val="center"/>
            <w:hideMark/>
          </w:tcPr>
          <w:p w14:paraId="6C45DB36" w14:textId="2D616D21" w:rsidR="00775507" w:rsidRPr="00391391" w:rsidRDefault="00D70CEB" w:rsidP="00D70CEB">
            <w:pPr>
              <w:pStyle w:val="NCDTableText"/>
              <w:tabs>
                <w:tab w:val="left" w:pos="1551"/>
              </w:tabs>
              <w:spacing w:line="312" w:lineRule="auto"/>
              <w:jc w:val="both"/>
            </w:pPr>
            <w:r>
              <w:t xml:space="preserve"> </w:t>
            </w:r>
            <w:r w:rsidR="00775507" w:rsidRPr="00391391">
              <w:t xml:space="preserve">$ </w:t>
            </w:r>
            <w:r w:rsidR="00E15066">
              <w:t xml:space="preserve">  </w:t>
            </w:r>
            <w:r w:rsidR="00775507" w:rsidRPr="00391391">
              <w:t>277,548.68</w:t>
            </w:r>
          </w:p>
        </w:tc>
        <w:tc>
          <w:tcPr>
            <w:tcW w:w="1335" w:type="dxa"/>
            <w:shd w:val="clear" w:color="auto" w:fill="auto"/>
            <w:vAlign w:val="center"/>
            <w:hideMark/>
          </w:tcPr>
          <w:p w14:paraId="4EF79B48" w14:textId="77777777" w:rsidR="00775507" w:rsidRPr="00391391" w:rsidRDefault="00775507" w:rsidP="008974F8">
            <w:pPr>
              <w:pStyle w:val="NCDTableText"/>
              <w:spacing w:line="312" w:lineRule="auto"/>
              <w:ind w:right="288"/>
              <w:jc w:val="right"/>
            </w:pPr>
            <w:r w:rsidRPr="00391391">
              <w:t>3,236</w:t>
            </w:r>
          </w:p>
        </w:tc>
        <w:tc>
          <w:tcPr>
            <w:tcW w:w="924" w:type="dxa"/>
            <w:shd w:val="clear" w:color="auto" w:fill="auto"/>
            <w:vAlign w:val="center"/>
            <w:hideMark/>
          </w:tcPr>
          <w:p w14:paraId="0C0CEBF5" w14:textId="77777777" w:rsidR="00775507" w:rsidRPr="00391391" w:rsidRDefault="00775507" w:rsidP="008974F8">
            <w:pPr>
              <w:pStyle w:val="NCDTableText"/>
              <w:spacing w:line="312" w:lineRule="auto"/>
              <w:ind w:right="187"/>
              <w:jc w:val="right"/>
            </w:pPr>
            <w:r w:rsidRPr="00391391">
              <w:t>3</w:t>
            </w:r>
          </w:p>
        </w:tc>
        <w:tc>
          <w:tcPr>
            <w:tcW w:w="1787" w:type="dxa"/>
            <w:shd w:val="clear" w:color="auto" w:fill="auto"/>
            <w:vAlign w:val="center"/>
            <w:hideMark/>
          </w:tcPr>
          <w:p w14:paraId="66C4BE77" w14:textId="6E06E712" w:rsidR="00775507" w:rsidRPr="00391391" w:rsidRDefault="00775507" w:rsidP="00E15066">
            <w:pPr>
              <w:pStyle w:val="NCDTableText"/>
              <w:spacing w:line="312" w:lineRule="auto"/>
            </w:pPr>
            <w:r w:rsidRPr="00391391">
              <w:t xml:space="preserve">$ </w:t>
            </w:r>
            <w:r w:rsidR="00850AEA">
              <w:t xml:space="preserve">  </w:t>
            </w:r>
            <w:r w:rsidRPr="00391391">
              <w:t>10,509.13</w:t>
            </w:r>
          </w:p>
        </w:tc>
        <w:tc>
          <w:tcPr>
            <w:tcW w:w="1484" w:type="dxa"/>
            <w:shd w:val="clear" w:color="auto" w:fill="auto"/>
            <w:vAlign w:val="center"/>
            <w:hideMark/>
          </w:tcPr>
          <w:p w14:paraId="24CBB85E" w14:textId="37E8FC92" w:rsidR="00775507" w:rsidRPr="00391391" w:rsidRDefault="00D70CEB" w:rsidP="00E15066">
            <w:pPr>
              <w:pStyle w:val="NCDTableText"/>
              <w:spacing w:line="312" w:lineRule="auto"/>
              <w:jc w:val="center"/>
            </w:pPr>
            <w:r>
              <w:t xml:space="preserve">  </w:t>
            </w:r>
            <w:r w:rsidR="00775507" w:rsidRPr="00391391">
              <w:t>23</w:t>
            </w:r>
          </w:p>
        </w:tc>
      </w:tr>
      <w:tr w:rsidR="00775507" w:rsidRPr="00775507" w14:paraId="5A259362" w14:textId="77777777" w:rsidTr="00E15066">
        <w:trPr>
          <w:trHeight w:val="282"/>
        </w:trPr>
        <w:tc>
          <w:tcPr>
            <w:tcW w:w="959" w:type="dxa"/>
            <w:shd w:val="clear" w:color="auto" w:fill="auto"/>
            <w:hideMark/>
          </w:tcPr>
          <w:p w14:paraId="04FC3533" w14:textId="77777777" w:rsidR="00775507" w:rsidRPr="00D70CEB" w:rsidRDefault="00775507" w:rsidP="00E15066">
            <w:pPr>
              <w:pStyle w:val="NCDTableText"/>
              <w:spacing w:line="312" w:lineRule="auto"/>
              <w:rPr>
                <w:b/>
              </w:rPr>
            </w:pPr>
            <w:r w:rsidRPr="00D70CEB">
              <w:rPr>
                <w:b/>
              </w:rPr>
              <w:t>2010</w:t>
            </w:r>
          </w:p>
        </w:tc>
        <w:tc>
          <w:tcPr>
            <w:tcW w:w="927" w:type="dxa"/>
            <w:shd w:val="clear" w:color="auto" w:fill="auto"/>
            <w:vAlign w:val="center"/>
            <w:hideMark/>
          </w:tcPr>
          <w:p w14:paraId="5A919DDF" w14:textId="2FA2DBAD" w:rsidR="00775507" w:rsidRPr="00391391" w:rsidRDefault="00D70CEB" w:rsidP="00D70CEB">
            <w:pPr>
              <w:pStyle w:val="NCDTableText"/>
              <w:tabs>
                <w:tab w:val="left" w:pos="533"/>
              </w:tabs>
              <w:spacing w:line="312" w:lineRule="auto"/>
              <w:jc w:val="center"/>
            </w:pPr>
            <w:r>
              <w:t xml:space="preserve">  </w:t>
            </w:r>
            <w:r w:rsidR="00775507" w:rsidRPr="00391391">
              <w:t>81</w:t>
            </w:r>
          </w:p>
        </w:tc>
        <w:tc>
          <w:tcPr>
            <w:tcW w:w="1961" w:type="dxa"/>
            <w:shd w:val="clear" w:color="auto" w:fill="auto"/>
            <w:vAlign w:val="center"/>
            <w:hideMark/>
          </w:tcPr>
          <w:p w14:paraId="1F6264A2" w14:textId="0DA45C10" w:rsidR="00775507" w:rsidRPr="00391391" w:rsidRDefault="00D70CEB" w:rsidP="00D70CEB">
            <w:pPr>
              <w:pStyle w:val="NCDTableText"/>
              <w:spacing w:line="312" w:lineRule="auto"/>
              <w:jc w:val="both"/>
            </w:pPr>
            <w:r>
              <w:t xml:space="preserve"> </w:t>
            </w:r>
            <w:r w:rsidR="00775507" w:rsidRPr="00391391">
              <w:t xml:space="preserve">$ </w:t>
            </w:r>
            <w:r w:rsidR="00E15066">
              <w:t xml:space="preserve">  </w:t>
            </w:r>
            <w:r w:rsidR="00775507" w:rsidRPr="00391391">
              <w:t>603,819.33</w:t>
            </w:r>
          </w:p>
        </w:tc>
        <w:tc>
          <w:tcPr>
            <w:tcW w:w="1335" w:type="dxa"/>
            <w:shd w:val="clear" w:color="auto" w:fill="auto"/>
            <w:vAlign w:val="center"/>
            <w:hideMark/>
          </w:tcPr>
          <w:p w14:paraId="1CBB4E8E" w14:textId="77777777" w:rsidR="00775507" w:rsidRPr="00391391" w:rsidRDefault="00775507" w:rsidP="008974F8">
            <w:pPr>
              <w:pStyle w:val="NCDTableText"/>
              <w:spacing w:line="312" w:lineRule="auto"/>
              <w:ind w:right="288"/>
              <w:jc w:val="right"/>
            </w:pPr>
            <w:r w:rsidRPr="00391391">
              <w:t>3,878</w:t>
            </w:r>
          </w:p>
        </w:tc>
        <w:tc>
          <w:tcPr>
            <w:tcW w:w="924" w:type="dxa"/>
            <w:shd w:val="clear" w:color="auto" w:fill="auto"/>
            <w:vAlign w:val="center"/>
            <w:hideMark/>
          </w:tcPr>
          <w:p w14:paraId="58C15DCC" w14:textId="77777777" w:rsidR="00775507" w:rsidRPr="00391391" w:rsidRDefault="00775507" w:rsidP="008974F8">
            <w:pPr>
              <w:pStyle w:val="NCDTableText"/>
              <w:spacing w:line="312" w:lineRule="auto"/>
              <w:ind w:right="187"/>
              <w:jc w:val="right"/>
            </w:pPr>
            <w:r w:rsidRPr="00391391">
              <w:t>4</w:t>
            </w:r>
          </w:p>
        </w:tc>
        <w:tc>
          <w:tcPr>
            <w:tcW w:w="1787" w:type="dxa"/>
            <w:shd w:val="clear" w:color="auto" w:fill="auto"/>
            <w:vAlign w:val="center"/>
            <w:hideMark/>
          </w:tcPr>
          <w:p w14:paraId="0D384E81" w14:textId="6C934732" w:rsidR="00775507" w:rsidRPr="00391391" w:rsidRDefault="00063CCD" w:rsidP="00E15066">
            <w:pPr>
              <w:pStyle w:val="NCDTableText"/>
              <w:spacing w:line="312" w:lineRule="auto"/>
            </w:pPr>
            <w:r w:rsidRPr="00391391">
              <w:t>$</w:t>
            </w:r>
            <w:r w:rsidR="00850AEA">
              <w:t xml:space="preserve">    </w:t>
            </w:r>
            <w:r w:rsidRPr="00391391">
              <w:t xml:space="preserve"> 2,836.34</w:t>
            </w:r>
          </w:p>
        </w:tc>
        <w:tc>
          <w:tcPr>
            <w:tcW w:w="1484" w:type="dxa"/>
            <w:shd w:val="clear" w:color="auto" w:fill="auto"/>
            <w:vAlign w:val="center"/>
            <w:hideMark/>
          </w:tcPr>
          <w:p w14:paraId="442853D9" w14:textId="002E3413" w:rsidR="00775507" w:rsidRPr="00391391" w:rsidRDefault="00D70CEB" w:rsidP="00E15066">
            <w:pPr>
              <w:pStyle w:val="NCDTableText"/>
              <w:spacing w:line="312" w:lineRule="auto"/>
              <w:jc w:val="center"/>
            </w:pPr>
            <w:r>
              <w:t xml:space="preserve">  </w:t>
            </w:r>
            <w:r w:rsidR="00775507" w:rsidRPr="00391391">
              <w:t>18</w:t>
            </w:r>
          </w:p>
        </w:tc>
      </w:tr>
      <w:tr w:rsidR="00775507" w:rsidRPr="00775507" w14:paraId="67B683DE" w14:textId="77777777" w:rsidTr="00E15066">
        <w:trPr>
          <w:trHeight w:val="282"/>
        </w:trPr>
        <w:tc>
          <w:tcPr>
            <w:tcW w:w="959" w:type="dxa"/>
            <w:shd w:val="clear" w:color="auto" w:fill="auto"/>
            <w:hideMark/>
          </w:tcPr>
          <w:p w14:paraId="6E93F17D" w14:textId="77777777" w:rsidR="00775507" w:rsidRPr="00D70CEB" w:rsidRDefault="00775507" w:rsidP="00E15066">
            <w:pPr>
              <w:pStyle w:val="NCDTableText"/>
              <w:spacing w:line="312" w:lineRule="auto"/>
              <w:rPr>
                <w:b/>
              </w:rPr>
            </w:pPr>
            <w:r w:rsidRPr="00D70CEB">
              <w:rPr>
                <w:b/>
              </w:rPr>
              <w:t>2011</w:t>
            </w:r>
          </w:p>
        </w:tc>
        <w:tc>
          <w:tcPr>
            <w:tcW w:w="927" w:type="dxa"/>
            <w:shd w:val="clear" w:color="auto" w:fill="auto"/>
            <w:vAlign w:val="center"/>
            <w:hideMark/>
          </w:tcPr>
          <w:p w14:paraId="3CA42EEA" w14:textId="77777777" w:rsidR="00775507" w:rsidRPr="00391391" w:rsidRDefault="00775507" w:rsidP="00E15066">
            <w:pPr>
              <w:pStyle w:val="NCDTableText"/>
              <w:spacing w:line="312" w:lineRule="auto"/>
              <w:jc w:val="center"/>
            </w:pPr>
            <w:r w:rsidRPr="00391391">
              <w:t>278</w:t>
            </w:r>
          </w:p>
        </w:tc>
        <w:tc>
          <w:tcPr>
            <w:tcW w:w="1961" w:type="dxa"/>
            <w:shd w:val="clear" w:color="auto" w:fill="auto"/>
            <w:vAlign w:val="center"/>
            <w:hideMark/>
          </w:tcPr>
          <w:p w14:paraId="01A88D12" w14:textId="2CB2EA46" w:rsidR="00775507" w:rsidRPr="00391391" w:rsidRDefault="00D70CEB" w:rsidP="00D70CEB">
            <w:pPr>
              <w:pStyle w:val="NCDTableText"/>
              <w:tabs>
                <w:tab w:val="left" w:pos="1566"/>
              </w:tabs>
              <w:spacing w:line="312" w:lineRule="auto"/>
              <w:jc w:val="both"/>
            </w:pPr>
            <w:r>
              <w:t xml:space="preserve"> </w:t>
            </w:r>
            <w:r w:rsidR="00775507" w:rsidRPr="00391391">
              <w:t>$1,171,895.21</w:t>
            </w:r>
          </w:p>
        </w:tc>
        <w:tc>
          <w:tcPr>
            <w:tcW w:w="1335" w:type="dxa"/>
            <w:shd w:val="clear" w:color="auto" w:fill="auto"/>
            <w:vAlign w:val="center"/>
            <w:hideMark/>
          </w:tcPr>
          <w:p w14:paraId="3A3898A6" w14:textId="77777777" w:rsidR="00775507" w:rsidRPr="00391391" w:rsidRDefault="00775507" w:rsidP="008974F8">
            <w:pPr>
              <w:pStyle w:val="NCDTableText"/>
              <w:spacing w:line="312" w:lineRule="auto"/>
              <w:ind w:right="288"/>
              <w:jc w:val="right"/>
            </w:pPr>
            <w:r w:rsidRPr="00391391">
              <w:t>10,929</w:t>
            </w:r>
          </w:p>
        </w:tc>
        <w:tc>
          <w:tcPr>
            <w:tcW w:w="924" w:type="dxa"/>
            <w:shd w:val="clear" w:color="auto" w:fill="auto"/>
            <w:vAlign w:val="center"/>
            <w:hideMark/>
          </w:tcPr>
          <w:p w14:paraId="2844D91F" w14:textId="77777777" w:rsidR="00775507" w:rsidRPr="00391391" w:rsidRDefault="00775507" w:rsidP="008974F8">
            <w:pPr>
              <w:pStyle w:val="NCDTableText"/>
              <w:spacing w:line="312" w:lineRule="auto"/>
              <w:ind w:right="187"/>
              <w:jc w:val="right"/>
            </w:pPr>
            <w:r w:rsidRPr="00391391">
              <w:t>18</w:t>
            </w:r>
          </w:p>
        </w:tc>
        <w:tc>
          <w:tcPr>
            <w:tcW w:w="1787" w:type="dxa"/>
            <w:shd w:val="clear" w:color="auto" w:fill="auto"/>
            <w:vAlign w:val="center"/>
            <w:hideMark/>
          </w:tcPr>
          <w:p w14:paraId="744A3DC5" w14:textId="1A849D4D" w:rsidR="00775507" w:rsidRPr="00391391" w:rsidRDefault="00775507" w:rsidP="00E15066">
            <w:pPr>
              <w:pStyle w:val="NCDTableText"/>
              <w:spacing w:line="312" w:lineRule="auto"/>
            </w:pPr>
            <w:r w:rsidRPr="00391391">
              <w:t>$</w:t>
            </w:r>
            <w:r w:rsidR="00850AEA">
              <w:t xml:space="preserve"> </w:t>
            </w:r>
            <w:r w:rsidRPr="00391391">
              <w:t>131,775.24</w:t>
            </w:r>
          </w:p>
        </w:tc>
        <w:tc>
          <w:tcPr>
            <w:tcW w:w="1484" w:type="dxa"/>
            <w:shd w:val="clear" w:color="auto" w:fill="auto"/>
            <w:vAlign w:val="center"/>
            <w:hideMark/>
          </w:tcPr>
          <w:p w14:paraId="5F30A1A8" w14:textId="77777777" w:rsidR="00775507" w:rsidRPr="00391391" w:rsidRDefault="00775507" w:rsidP="00E15066">
            <w:pPr>
              <w:pStyle w:val="NCDTableText"/>
              <w:spacing w:line="312" w:lineRule="auto"/>
              <w:jc w:val="center"/>
            </w:pPr>
            <w:r w:rsidRPr="00391391">
              <w:t>320</w:t>
            </w:r>
          </w:p>
        </w:tc>
      </w:tr>
      <w:tr w:rsidR="00775507" w:rsidRPr="00775507" w14:paraId="009EDBAD" w14:textId="77777777" w:rsidTr="00E15066">
        <w:trPr>
          <w:trHeight w:val="282"/>
        </w:trPr>
        <w:tc>
          <w:tcPr>
            <w:tcW w:w="959" w:type="dxa"/>
            <w:shd w:val="clear" w:color="auto" w:fill="auto"/>
            <w:hideMark/>
          </w:tcPr>
          <w:p w14:paraId="5FEDD3AF" w14:textId="77777777" w:rsidR="00775507" w:rsidRPr="00D70CEB" w:rsidRDefault="00775507" w:rsidP="00E15066">
            <w:pPr>
              <w:pStyle w:val="NCDTableText"/>
              <w:spacing w:line="312" w:lineRule="auto"/>
              <w:rPr>
                <w:b/>
              </w:rPr>
            </w:pPr>
            <w:r w:rsidRPr="00D70CEB">
              <w:rPr>
                <w:b/>
              </w:rPr>
              <w:t>2012</w:t>
            </w:r>
          </w:p>
        </w:tc>
        <w:tc>
          <w:tcPr>
            <w:tcW w:w="927" w:type="dxa"/>
            <w:shd w:val="clear" w:color="auto" w:fill="auto"/>
            <w:vAlign w:val="center"/>
            <w:hideMark/>
          </w:tcPr>
          <w:p w14:paraId="41DEB9F7" w14:textId="77777777" w:rsidR="00775507" w:rsidRPr="00391391" w:rsidRDefault="00775507" w:rsidP="00E15066">
            <w:pPr>
              <w:pStyle w:val="NCDTableText"/>
              <w:spacing w:line="312" w:lineRule="auto"/>
              <w:jc w:val="center"/>
            </w:pPr>
            <w:r w:rsidRPr="00391391">
              <w:t>194</w:t>
            </w:r>
          </w:p>
        </w:tc>
        <w:tc>
          <w:tcPr>
            <w:tcW w:w="1961" w:type="dxa"/>
            <w:shd w:val="clear" w:color="auto" w:fill="auto"/>
            <w:vAlign w:val="center"/>
            <w:hideMark/>
          </w:tcPr>
          <w:p w14:paraId="189106F5" w14:textId="526417C5" w:rsidR="00775507" w:rsidRPr="00391391" w:rsidRDefault="00775507" w:rsidP="00D70CEB">
            <w:pPr>
              <w:pStyle w:val="NCDTableText"/>
              <w:spacing w:line="312" w:lineRule="auto"/>
              <w:jc w:val="both"/>
            </w:pPr>
            <w:r w:rsidRPr="00391391">
              <w:t xml:space="preserve">$ </w:t>
            </w:r>
            <w:r w:rsidR="00E15066">
              <w:t xml:space="preserve">   </w:t>
            </w:r>
            <w:r w:rsidRPr="00391391">
              <w:t>952,796.12</w:t>
            </w:r>
          </w:p>
        </w:tc>
        <w:tc>
          <w:tcPr>
            <w:tcW w:w="1335" w:type="dxa"/>
            <w:shd w:val="clear" w:color="auto" w:fill="auto"/>
            <w:vAlign w:val="center"/>
            <w:hideMark/>
          </w:tcPr>
          <w:p w14:paraId="0EC4B0C2" w14:textId="77777777" w:rsidR="00775507" w:rsidRPr="00391391" w:rsidRDefault="00775507" w:rsidP="008974F8">
            <w:pPr>
              <w:pStyle w:val="NCDTableText"/>
              <w:spacing w:line="312" w:lineRule="auto"/>
              <w:ind w:right="288"/>
              <w:jc w:val="right"/>
            </w:pPr>
            <w:r w:rsidRPr="00391391">
              <w:t>8,756</w:t>
            </w:r>
          </w:p>
        </w:tc>
        <w:tc>
          <w:tcPr>
            <w:tcW w:w="924" w:type="dxa"/>
            <w:shd w:val="clear" w:color="auto" w:fill="auto"/>
            <w:vAlign w:val="center"/>
            <w:hideMark/>
          </w:tcPr>
          <w:p w14:paraId="2ABDCE75" w14:textId="77777777" w:rsidR="00775507" w:rsidRPr="00391391" w:rsidRDefault="00775507" w:rsidP="008974F8">
            <w:pPr>
              <w:pStyle w:val="NCDTableText"/>
              <w:spacing w:line="312" w:lineRule="auto"/>
              <w:ind w:right="187"/>
              <w:jc w:val="right"/>
            </w:pPr>
            <w:r w:rsidRPr="00391391">
              <w:t>7</w:t>
            </w:r>
          </w:p>
        </w:tc>
        <w:tc>
          <w:tcPr>
            <w:tcW w:w="1787" w:type="dxa"/>
            <w:shd w:val="clear" w:color="auto" w:fill="auto"/>
            <w:vAlign w:val="center"/>
            <w:hideMark/>
          </w:tcPr>
          <w:p w14:paraId="4EA61906" w14:textId="77777777" w:rsidR="00775507" w:rsidRPr="00391391" w:rsidRDefault="00775507" w:rsidP="00E15066">
            <w:pPr>
              <w:pStyle w:val="NCDTableText"/>
              <w:spacing w:line="312" w:lineRule="auto"/>
            </w:pPr>
            <w:r w:rsidRPr="00391391">
              <w:t>$ 375,473.05</w:t>
            </w:r>
          </w:p>
        </w:tc>
        <w:tc>
          <w:tcPr>
            <w:tcW w:w="1484" w:type="dxa"/>
            <w:shd w:val="clear" w:color="auto" w:fill="auto"/>
            <w:vAlign w:val="center"/>
            <w:hideMark/>
          </w:tcPr>
          <w:p w14:paraId="551ACFB3" w14:textId="77777777" w:rsidR="00775507" w:rsidRPr="00391391" w:rsidRDefault="00775507" w:rsidP="00E15066">
            <w:pPr>
              <w:pStyle w:val="NCDTableText"/>
              <w:spacing w:line="312" w:lineRule="auto"/>
              <w:jc w:val="center"/>
            </w:pPr>
            <w:r w:rsidRPr="00391391">
              <w:t>193</w:t>
            </w:r>
          </w:p>
        </w:tc>
      </w:tr>
      <w:tr w:rsidR="00775507" w:rsidRPr="00775507" w14:paraId="05D2970D" w14:textId="77777777" w:rsidTr="00E15066">
        <w:trPr>
          <w:trHeight w:val="282"/>
        </w:trPr>
        <w:tc>
          <w:tcPr>
            <w:tcW w:w="959" w:type="dxa"/>
            <w:shd w:val="clear" w:color="auto" w:fill="auto"/>
            <w:hideMark/>
          </w:tcPr>
          <w:p w14:paraId="695E208F" w14:textId="77777777" w:rsidR="00775507" w:rsidRPr="00D70CEB" w:rsidRDefault="00775507" w:rsidP="00E15066">
            <w:pPr>
              <w:pStyle w:val="NCDTableText"/>
              <w:spacing w:line="312" w:lineRule="auto"/>
              <w:rPr>
                <w:b/>
              </w:rPr>
            </w:pPr>
            <w:r w:rsidRPr="00D70CEB">
              <w:rPr>
                <w:b/>
              </w:rPr>
              <w:t>2013</w:t>
            </w:r>
          </w:p>
        </w:tc>
        <w:tc>
          <w:tcPr>
            <w:tcW w:w="927" w:type="dxa"/>
            <w:shd w:val="clear" w:color="auto" w:fill="auto"/>
            <w:vAlign w:val="center"/>
            <w:hideMark/>
          </w:tcPr>
          <w:p w14:paraId="5B140E4D" w14:textId="77777777" w:rsidR="00775507" w:rsidRPr="00391391" w:rsidRDefault="00775507" w:rsidP="00E15066">
            <w:pPr>
              <w:pStyle w:val="NCDTableText"/>
              <w:spacing w:line="312" w:lineRule="auto"/>
              <w:jc w:val="center"/>
            </w:pPr>
            <w:r w:rsidRPr="00391391">
              <w:t>171</w:t>
            </w:r>
          </w:p>
        </w:tc>
        <w:tc>
          <w:tcPr>
            <w:tcW w:w="1961" w:type="dxa"/>
            <w:shd w:val="clear" w:color="auto" w:fill="auto"/>
            <w:vAlign w:val="center"/>
            <w:hideMark/>
          </w:tcPr>
          <w:p w14:paraId="2B758B0C" w14:textId="77777777" w:rsidR="00775507" w:rsidRPr="00391391" w:rsidRDefault="00775507" w:rsidP="00D70CEB">
            <w:pPr>
              <w:pStyle w:val="NCDTableText"/>
              <w:spacing w:line="312" w:lineRule="auto"/>
              <w:jc w:val="both"/>
            </w:pPr>
            <w:r w:rsidRPr="00391391">
              <w:t>$ 1,035,890.90</w:t>
            </w:r>
          </w:p>
        </w:tc>
        <w:tc>
          <w:tcPr>
            <w:tcW w:w="1335" w:type="dxa"/>
            <w:shd w:val="clear" w:color="auto" w:fill="auto"/>
            <w:vAlign w:val="center"/>
            <w:hideMark/>
          </w:tcPr>
          <w:p w14:paraId="5764147D" w14:textId="77777777" w:rsidR="00775507" w:rsidRPr="00391391" w:rsidRDefault="00775507" w:rsidP="008974F8">
            <w:pPr>
              <w:pStyle w:val="NCDTableText"/>
              <w:spacing w:line="312" w:lineRule="auto"/>
              <w:ind w:right="288"/>
              <w:jc w:val="right"/>
            </w:pPr>
            <w:r w:rsidRPr="00391391">
              <w:t>7,035</w:t>
            </w:r>
          </w:p>
        </w:tc>
        <w:tc>
          <w:tcPr>
            <w:tcW w:w="924" w:type="dxa"/>
            <w:shd w:val="clear" w:color="auto" w:fill="auto"/>
            <w:vAlign w:val="center"/>
            <w:hideMark/>
          </w:tcPr>
          <w:p w14:paraId="3572E40A" w14:textId="77777777" w:rsidR="00775507" w:rsidRPr="00391391" w:rsidRDefault="00775507" w:rsidP="008974F8">
            <w:pPr>
              <w:pStyle w:val="NCDTableText"/>
              <w:spacing w:line="312" w:lineRule="auto"/>
              <w:ind w:right="187"/>
              <w:jc w:val="right"/>
            </w:pPr>
            <w:r w:rsidRPr="00391391">
              <w:t>6</w:t>
            </w:r>
          </w:p>
        </w:tc>
        <w:tc>
          <w:tcPr>
            <w:tcW w:w="1787" w:type="dxa"/>
            <w:shd w:val="clear" w:color="auto" w:fill="auto"/>
            <w:vAlign w:val="center"/>
            <w:hideMark/>
          </w:tcPr>
          <w:p w14:paraId="13A32B4D" w14:textId="2D52C319" w:rsidR="00775507" w:rsidRPr="00391391" w:rsidRDefault="00775507" w:rsidP="00E15066">
            <w:pPr>
              <w:pStyle w:val="NCDTableText"/>
              <w:spacing w:line="312" w:lineRule="auto"/>
            </w:pPr>
            <w:r w:rsidRPr="00391391">
              <w:t>$</w:t>
            </w:r>
            <w:r w:rsidR="00850AEA">
              <w:t xml:space="preserve">  </w:t>
            </w:r>
            <w:r w:rsidRPr="00391391">
              <w:t xml:space="preserve"> 41,765.07</w:t>
            </w:r>
          </w:p>
        </w:tc>
        <w:tc>
          <w:tcPr>
            <w:tcW w:w="1484" w:type="dxa"/>
            <w:shd w:val="clear" w:color="auto" w:fill="auto"/>
            <w:vAlign w:val="center"/>
            <w:hideMark/>
          </w:tcPr>
          <w:p w14:paraId="75C0F060" w14:textId="079077E0" w:rsidR="00775507" w:rsidRPr="00391391" w:rsidRDefault="00D70CEB" w:rsidP="00E15066">
            <w:pPr>
              <w:pStyle w:val="NCDTableText"/>
              <w:spacing w:line="312" w:lineRule="auto"/>
              <w:jc w:val="center"/>
            </w:pPr>
            <w:r>
              <w:t xml:space="preserve">  </w:t>
            </w:r>
            <w:r w:rsidR="00775507" w:rsidRPr="00391391">
              <w:t>54</w:t>
            </w:r>
          </w:p>
        </w:tc>
      </w:tr>
      <w:tr w:rsidR="00775507" w:rsidRPr="00775507" w14:paraId="6D8E3D19" w14:textId="77777777" w:rsidTr="00E15066">
        <w:trPr>
          <w:trHeight w:val="282"/>
        </w:trPr>
        <w:tc>
          <w:tcPr>
            <w:tcW w:w="959" w:type="dxa"/>
            <w:shd w:val="clear" w:color="auto" w:fill="auto"/>
            <w:hideMark/>
          </w:tcPr>
          <w:p w14:paraId="7AF99114" w14:textId="77777777" w:rsidR="00775507" w:rsidRPr="00D70CEB" w:rsidRDefault="00775507" w:rsidP="00E15066">
            <w:pPr>
              <w:pStyle w:val="NCDTableText"/>
              <w:spacing w:line="312" w:lineRule="auto"/>
              <w:rPr>
                <w:b/>
              </w:rPr>
            </w:pPr>
            <w:r w:rsidRPr="00D70CEB">
              <w:rPr>
                <w:b/>
              </w:rPr>
              <w:t>2014</w:t>
            </w:r>
          </w:p>
        </w:tc>
        <w:tc>
          <w:tcPr>
            <w:tcW w:w="927" w:type="dxa"/>
            <w:shd w:val="clear" w:color="auto" w:fill="auto"/>
            <w:vAlign w:val="center"/>
            <w:hideMark/>
          </w:tcPr>
          <w:p w14:paraId="533FB7C8" w14:textId="77777777" w:rsidR="00775507" w:rsidRPr="00391391" w:rsidRDefault="00775507" w:rsidP="00E15066">
            <w:pPr>
              <w:pStyle w:val="NCDTableText"/>
              <w:spacing w:line="312" w:lineRule="auto"/>
              <w:jc w:val="center"/>
            </w:pPr>
            <w:r w:rsidRPr="00391391">
              <w:t>189</w:t>
            </w:r>
          </w:p>
        </w:tc>
        <w:tc>
          <w:tcPr>
            <w:tcW w:w="1961" w:type="dxa"/>
            <w:shd w:val="clear" w:color="auto" w:fill="auto"/>
            <w:vAlign w:val="center"/>
            <w:hideMark/>
          </w:tcPr>
          <w:p w14:paraId="4E7A55E3" w14:textId="435FD6CB" w:rsidR="00775507" w:rsidRPr="00391391" w:rsidRDefault="00775507" w:rsidP="00D70CEB">
            <w:pPr>
              <w:pStyle w:val="NCDTableText"/>
              <w:tabs>
                <w:tab w:val="left" w:pos="1575"/>
              </w:tabs>
              <w:spacing w:line="312" w:lineRule="auto"/>
              <w:jc w:val="both"/>
            </w:pPr>
            <w:r w:rsidRPr="00391391">
              <w:t xml:space="preserve">$ </w:t>
            </w:r>
            <w:r w:rsidR="00D70CEB">
              <w:t xml:space="preserve">   </w:t>
            </w:r>
            <w:r w:rsidRPr="00391391">
              <w:t>869,308.99</w:t>
            </w:r>
          </w:p>
        </w:tc>
        <w:tc>
          <w:tcPr>
            <w:tcW w:w="1335" w:type="dxa"/>
            <w:shd w:val="clear" w:color="auto" w:fill="auto"/>
            <w:vAlign w:val="center"/>
            <w:hideMark/>
          </w:tcPr>
          <w:p w14:paraId="463DC453" w14:textId="77777777" w:rsidR="00775507" w:rsidRPr="00391391" w:rsidRDefault="00775507" w:rsidP="008974F8">
            <w:pPr>
              <w:pStyle w:val="NCDTableText"/>
              <w:spacing w:line="312" w:lineRule="auto"/>
              <w:ind w:right="288"/>
              <w:jc w:val="right"/>
            </w:pPr>
            <w:r w:rsidRPr="00391391">
              <w:t>8,370</w:t>
            </w:r>
          </w:p>
        </w:tc>
        <w:tc>
          <w:tcPr>
            <w:tcW w:w="924" w:type="dxa"/>
            <w:shd w:val="clear" w:color="auto" w:fill="auto"/>
            <w:vAlign w:val="center"/>
            <w:hideMark/>
          </w:tcPr>
          <w:p w14:paraId="4AA17C58" w14:textId="77777777" w:rsidR="00775507" w:rsidRPr="00391391" w:rsidRDefault="00775507" w:rsidP="008974F8">
            <w:pPr>
              <w:pStyle w:val="NCDTableText"/>
              <w:spacing w:line="312" w:lineRule="auto"/>
              <w:ind w:right="187"/>
              <w:jc w:val="right"/>
            </w:pPr>
            <w:r w:rsidRPr="00391391">
              <w:t>10</w:t>
            </w:r>
          </w:p>
        </w:tc>
        <w:tc>
          <w:tcPr>
            <w:tcW w:w="1787" w:type="dxa"/>
            <w:shd w:val="clear" w:color="auto" w:fill="auto"/>
            <w:vAlign w:val="center"/>
            <w:hideMark/>
          </w:tcPr>
          <w:p w14:paraId="302C0DCB" w14:textId="5B135CE3" w:rsidR="00775507" w:rsidRPr="00391391" w:rsidRDefault="00775507" w:rsidP="00E15066">
            <w:pPr>
              <w:pStyle w:val="NCDTableText"/>
              <w:spacing w:line="312" w:lineRule="auto"/>
            </w:pPr>
            <w:r w:rsidRPr="00391391">
              <w:t xml:space="preserve">$ </w:t>
            </w:r>
            <w:r w:rsidR="00850AEA">
              <w:t xml:space="preserve">  </w:t>
            </w:r>
            <w:r w:rsidRPr="00391391">
              <w:t>69,643.12</w:t>
            </w:r>
          </w:p>
        </w:tc>
        <w:tc>
          <w:tcPr>
            <w:tcW w:w="1484" w:type="dxa"/>
            <w:shd w:val="clear" w:color="auto" w:fill="auto"/>
            <w:vAlign w:val="center"/>
            <w:hideMark/>
          </w:tcPr>
          <w:p w14:paraId="2519E5B6" w14:textId="4C537DFB" w:rsidR="00775507" w:rsidRPr="00391391" w:rsidRDefault="00D70CEB" w:rsidP="00E15066">
            <w:pPr>
              <w:pStyle w:val="NCDTableText"/>
              <w:spacing w:line="312" w:lineRule="auto"/>
              <w:jc w:val="center"/>
            </w:pPr>
            <w:r>
              <w:t xml:space="preserve">  </w:t>
            </w:r>
            <w:r w:rsidR="00775507" w:rsidRPr="00391391">
              <w:t>94</w:t>
            </w:r>
          </w:p>
        </w:tc>
      </w:tr>
      <w:tr w:rsidR="00775507" w:rsidRPr="00775507" w14:paraId="6D850054" w14:textId="77777777" w:rsidTr="00E15066">
        <w:trPr>
          <w:trHeight w:val="282"/>
        </w:trPr>
        <w:tc>
          <w:tcPr>
            <w:tcW w:w="959" w:type="dxa"/>
            <w:shd w:val="clear" w:color="auto" w:fill="auto"/>
            <w:hideMark/>
          </w:tcPr>
          <w:p w14:paraId="04CADAF3" w14:textId="77777777" w:rsidR="00775507" w:rsidRPr="00D70CEB" w:rsidRDefault="00775507" w:rsidP="00E15066">
            <w:pPr>
              <w:pStyle w:val="NCDTableText"/>
              <w:spacing w:line="312" w:lineRule="auto"/>
              <w:rPr>
                <w:b/>
              </w:rPr>
            </w:pPr>
            <w:r w:rsidRPr="00D70CEB">
              <w:rPr>
                <w:b/>
              </w:rPr>
              <w:t>2015</w:t>
            </w:r>
          </w:p>
        </w:tc>
        <w:tc>
          <w:tcPr>
            <w:tcW w:w="927" w:type="dxa"/>
            <w:shd w:val="clear" w:color="auto" w:fill="auto"/>
            <w:vAlign w:val="center"/>
            <w:hideMark/>
          </w:tcPr>
          <w:p w14:paraId="753E6149" w14:textId="77777777" w:rsidR="00775507" w:rsidRPr="00391391" w:rsidRDefault="00775507" w:rsidP="00E15066">
            <w:pPr>
              <w:pStyle w:val="NCDTableText"/>
              <w:spacing w:line="312" w:lineRule="auto"/>
              <w:jc w:val="center"/>
            </w:pPr>
            <w:r w:rsidRPr="00391391">
              <w:t>123</w:t>
            </w:r>
          </w:p>
        </w:tc>
        <w:tc>
          <w:tcPr>
            <w:tcW w:w="1961" w:type="dxa"/>
            <w:shd w:val="clear" w:color="auto" w:fill="auto"/>
            <w:vAlign w:val="center"/>
            <w:hideMark/>
          </w:tcPr>
          <w:p w14:paraId="75271285" w14:textId="77777777" w:rsidR="00775507" w:rsidRPr="00391391" w:rsidRDefault="00775507" w:rsidP="00D70CEB">
            <w:pPr>
              <w:pStyle w:val="NCDTableText"/>
              <w:spacing w:line="312" w:lineRule="auto"/>
              <w:jc w:val="both"/>
            </w:pPr>
            <w:r w:rsidRPr="00391391">
              <w:t>$ 1,366,211.18</w:t>
            </w:r>
          </w:p>
        </w:tc>
        <w:tc>
          <w:tcPr>
            <w:tcW w:w="1335" w:type="dxa"/>
            <w:shd w:val="clear" w:color="auto" w:fill="auto"/>
            <w:vAlign w:val="center"/>
            <w:hideMark/>
          </w:tcPr>
          <w:p w14:paraId="76FE72D2" w14:textId="77777777" w:rsidR="00775507" w:rsidRPr="00391391" w:rsidRDefault="00775507" w:rsidP="008974F8">
            <w:pPr>
              <w:pStyle w:val="NCDTableText"/>
              <w:spacing w:line="312" w:lineRule="auto"/>
              <w:ind w:right="288"/>
              <w:jc w:val="right"/>
            </w:pPr>
            <w:r w:rsidRPr="00391391">
              <w:t>7,424</w:t>
            </w:r>
          </w:p>
        </w:tc>
        <w:tc>
          <w:tcPr>
            <w:tcW w:w="924" w:type="dxa"/>
            <w:shd w:val="clear" w:color="auto" w:fill="auto"/>
            <w:vAlign w:val="center"/>
            <w:hideMark/>
          </w:tcPr>
          <w:p w14:paraId="1A87E1E5" w14:textId="77777777" w:rsidR="00775507" w:rsidRPr="00391391" w:rsidRDefault="00775507" w:rsidP="008974F8">
            <w:pPr>
              <w:pStyle w:val="NCDTableText"/>
              <w:spacing w:line="312" w:lineRule="auto"/>
              <w:ind w:right="187"/>
              <w:jc w:val="right"/>
            </w:pPr>
            <w:r w:rsidRPr="00391391">
              <w:t>7</w:t>
            </w:r>
          </w:p>
        </w:tc>
        <w:tc>
          <w:tcPr>
            <w:tcW w:w="1787" w:type="dxa"/>
            <w:shd w:val="clear" w:color="auto" w:fill="auto"/>
            <w:vAlign w:val="center"/>
            <w:hideMark/>
          </w:tcPr>
          <w:p w14:paraId="69F1CE8D" w14:textId="10DF6342" w:rsidR="00775507" w:rsidRPr="00391391" w:rsidRDefault="00775507" w:rsidP="00E15066">
            <w:pPr>
              <w:pStyle w:val="NCDTableText"/>
              <w:spacing w:line="312" w:lineRule="auto"/>
            </w:pPr>
            <w:r w:rsidRPr="00391391">
              <w:t xml:space="preserve">$ </w:t>
            </w:r>
            <w:r w:rsidR="00850AEA">
              <w:t xml:space="preserve">  </w:t>
            </w:r>
            <w:r w:rsidRPr="00391391">
              <w:t>60,315.52</w:t>
            </w:r>
          </w:p>
        </w:tc>
        <w:tc>
          <w:tcPr>
            <w:tcW w:w="1484" w:type="dxa"/>
            <w:shd w:val="clear" w:color="auto" w:fill="auto"/>
            <w:vAlign w:val="center"/>
            <w:hideMark/>
          </w:tcPr>
          <w:p w14:paraId="7C8DF88C" w14:textId="77777777" w:rsidR="00775507" w:rsidRPr="00391391" w:rsidRDefault="00775507" w:rsidP="00E15066">
            <w:pPr>
              <w:pStyle w:val="NCDTableText"/>
              <w:spacing w:line="312" w:lineRule="auto"/>
              <w:jc w:val="center"/>
            </w:pPr>
            <w:r w:rsidRPr="00391391">
              <w:t>212</w:t>
            </w:r>
          </w:p>
        </w:tc>
      </w:tr>
      <w:tr w:rsidR="00775507" w:rsidRPr="00775507" w14:paraId="7F5A18E3" w14:textId="77777777" w:rsidTr="00E15066">
        <w:trPr>
          <w:trHeight w:val="282"/>
        </w:trPr>
        <w:tc>
          <w:tcPr>
            <w:tcW w:w="959" w:type="dxa"/>
            <w:shd w:val="clear" w:color="auto" w:fill="auto"/>
            <w:hideMark/>
          </w:tcPr>
          <w:p w14:paraId="226A7EE5" w14:textId="77777777" w:rsidR="00775507" w:rsidRPr="00D70CEB" w:rsidRDefault="00775507" w:rsidP="00E15066">
            <w:pPr>
              <w:pStyle w:val="NCDTableText"/>
              <w:spacing w:line="312" w:lineRule="auto"/>
              <w:rPr>
                <w:b/>
              </w:rPr>
            </w:pPr>
            <w:r w:rsidRPr="00D70CEB">
              <w:rPr>
                <w:b/>
              </w:rPr>
              <w:t>2016</w:t>
            </w:r>
          </w:p>
        </w:tc>
        <w:tc>
          <w:tcPr>
            <w:tcW w:w="927" w:type="dxa"/>
            <w:shd w:val="clear" w:color="auto" w:fill="auto"/>
            <w:vAlign w:val="center"/>
            <w:hideMark/>
          </w:tcPr>
          <w:p w14:paraId="6A92CBB7" w14:textId="77777777" w:rsidR="00775507" w:rsidRPr="00391391" w:rsidRDefault="00775507" w:rsidP="00E15066">
            <w:pPr>
              <w:pStyle w:val="NCDTableText"/>
              <w:spacing w:line="312" w:lineRule="auto"/>
              <w:jc w:val="center"/>
            </w:pPr>
            <w:r w:rsidRPr="00391391">
              <w:t>127</w:t>
            </w:r>
          </w:p>
        </w:tc>
        <w:tc>
          <w:tcPr>
            <w:tcW w:w="1961" w:type="dxa"/>
            <w:shd w:val="clear" w:color="auto" w:fill="auto"/>
            <w:vAlign w:val="center"/>
            <w:hideMark/>
          </w:tcPr>
          <w:p w14:paraId="1C9E11FC" w14:textId="77777777" w:rsidR="00775507" w:rsidRPr="00391391" w:rsidRDefault="00775507" w:rsidP="00D70CEB">
            <w:pPr>
              <w:pStyle w:val="NCDTableText"/>
              <w:spacing w:line="312" w:lineRule="auto"/>
              <w:jc w:val="both"/>
            </w:pPr>
            <w:r w:rsidRPr="00391391">
              <w:t>$ 1,853,744.25</w:t>
            </w:r>
          </w:p>
        </w:tc>
        <w:tc>
          <w:tcPr>
            <w:tcW w:w="1335" w:type="dxa"/>
            <w:shd w:val="clear" w:color="auto" w:fill="auto"/>
            <w:vAlign w:val="center"/>
            <w:hideMark/>
          </w:tcPr>
          <w:p w14:paraId="7724B69A" w14:textId="77777777" w:rsidR="00775507" w:rsidRPr="00391391" w:rsidRDefault="00775507" w:rsidP="008974F8">
            <w:pPr>
              <w:pStyle w:val="NCDTableText"/>
              <w:spacing w:line="312" w:lineRule="auto"/>
              <w:ind w:right="288"/>
              <w:jc w:val="right"/>
            </w:pPr>
            <w:r w:rsidRPr="00391391">
              <w:t>8,086</w:t>
            </w:r>
          </w:p>
        </w:tc>
        <w:tc>
          <w:tcPr>
            <w:tcW w:w="924" w:type="dxa"/>
            <w:shd w:val="clear" w:color="auto" w:fill="auto"/>
            <w:vAlign w:val="center"/>
            <w:hideMark/>
          </w:tcPr>
          <w:p w14:paraId="567E2BC7" w14:textId="77777777" w:rsidR="00775507" w:rsidRPr="00391391" w:rsidRDefault="00775507" w:rsidP="008974F8">
            <w:pPr>
              <w:pStyle w:val="NCDTableText"/>
              <w:spacing w:line="312" w:lineRule="auto"/>
              <w:ind w:right="187"/>
              <w:jc w:val="right"/>
            </w:pPr>
            <w:r w:rsidRPr="00391391">
              <w:t>3</w:t>
            </w:r>
          </w:p>
        </w:tc>
        <w:tc>
          <w:tcPr>
            <w:tcW w:w="1787" w:type="dxa"/>
            <w:shd w:val="clear" w:color="auto" w:fill="auto"/>
            <w:vAlign w:val="center"/>
            <w:hideMark/>
          </w:tcPr>
          <w:p w14:paraId="4162589F" w14:textId="64EF98F1" w:rsidR="00775507" w:rsidRPr="00391391" w:rsidRDefault="00775507" w:rsidP="00E15066">
            <w:pPr>
              <w:pStyle w:val="NCDTableText"/>
              <w:spacing w:line="312" w:lineRule="auto"/>
            </w:pPr>
            <w:r w:rsidRPr="00391391">
              <w:t xml:space="preserve">$ </w:t>
            </w:r>
            <w:r w:rsidR="00850AEA">
              <w:t xml:space="preserve">  </w:t>
            </w:r>
            <w:r w:rsidRPr="00391391">
              <w:t>26,499.64</w:t>
            </w:r>
          </w:p>
        </w:tc>
        <w:tc>
          <w:tcPr>
            <w:tcW w:w="1484" w:type="dxa"/>
            <w:shd w:val="clear" w:color="auto" w:fill="auto"/>
            <w:vAlign w:val="center"/>
            <w:hideMark/>
          </w:tcPr>
          <w:p w14:paraId="74EE91BE" w14:textId="3A14D17A" w:rsidR="00775507" w:rsidRPr="00391391" w:rsidRDefault="00D70CEB" w:rsidP="00D70CEB">
            <w:pPr>
              <w:pStyle w:val="NCDTableText"/>
              <w:tabs>
                <w:tab w:val="left" w:pos="826"/>
              </w:tabs>
              <w:spacing w:line="312" w:lineRule="auto"/>
              <w:jc w:val="center"/>
            </w:pPr>
            <w:r>
              <w:t xml:space="preserve">  </w:t>
            </w:r>
            <w:r w:rsidR="00775507" w:rsidRPr="00391391">
              <w:t>37</w:t>
            </w:r>
          </w:p>
        </w:tc>
      </w:tr>
      <w:tr w:rsidR="00775507" w:rsidRPr="00775507" w14:paraId="3BB463F7" w14:textId="77777777" w:rsidTr="00E15066">
        <w:trPr>
          <w:trHeight w:val="282"/>
        </w:trPr>
        <w:tc>
          <w:tcPr>
            <w:tcW w:w="959" w:type="dxa"/>
            <w:shd w:val="clear" w:color="auto" w:fill="auto"/>
            <w:hideMark/>
          </w:tcPr>
          <w:p w14:paraId="3E79A7D6" w14:textId="77777777" w:rsidR="00775507" w:rsidRPr="00D70CEB" w:rsidRDefault="00775507" w:rsidP="00E15066">
            <w:pPr>
              <w:pStyle w:val="NCDTableText"/>
              <w:spacing w:line="312" w:lineRule="auto"/>
              <w:rPr>
                <w:b/>
              </w:rPr>
            </w:pPr>
            <w:r w:rsidRPr="00D70CEB">
              <w:rPr>
                <w:b/>
              </w:rPr>
              <w:t>2017</w:t>
            </w:r>
          </w:p>
        </w:tc>
        <w:tc>
          <w:tcPr>
            <w:tcW w:w="927" w:type="dxa"/>
            <w:shd w:val="clear" w:color="auto" w:fill="auto"/>
            <w:vAlign w:val="center"/>
            <w:hideMark/>
          </w:tcPr>
          <w:p w14:paraId="5C28A1D2" w14:textId="77777777" w:rsidR="00775507" w:rsidRPr="00391391" w:rsidRDefault="00775507" w:rsidP="00E15066">
            <w:pPr>
              <w:pStyle w:val="NCDTableText"/>
              <w:spacing w:line="312" w:lineRule="auto"/>
              <w:jc w:val="center"/>
            </w:pPr>
            <w:r w:rsidRPr="00391391">
              <w:t>151</w:t>
            </w:r>
          </w:p>
        </w:tc>
        <w:tc>
          <w:tcPr>
            <w:tcW w:w="1961" w:type="dxa"/>
            <w:shd w:val="clear" w:color="auto" w:fill="auto"/>
            <w:vAlign w:val="center"/>
            <w:hideMark/>
          </w:tcPr>
          <w:p w14:paraId="1DD4D067" w14:textId="77777777" w:rsidR="00775507" w:rsidRPr="00391391" w:rsidRDefault="00775507" w:rsidP="00D70CEB">
            <w:pPr>
              <w:pStyle w:val="NCDTableText"/>
              <w:spacing w:line="312" w:lineRule="auto"/>
              <w:jc w:val="both"/>
            </w:pPr>
            <w:r w:rsidRPr="00391391">
              <w:t>$ 1,959,447.81</w:t>
            </w:r>
          </w:p>
        </w:tc>
        <w:tc>
          <w:tcPr>
            <w:tcW w:w="1335" w:type="dxa"/>
            <w:shd w:val="clear" w:color="auto" w:fill="auto"/>
            <w:vAlign w:val="center"/>
            <w:hideMark/>
          </w:tcPr>
          <w:p w14:paraId="084BD477" w14:textId="77777777" w:rsidR="00775507" w:rsidRPr="00391391" w:rsidRDefault="00775507" w:rsidP="008974F8">
            <w:pPr>
              <w:pStyle w:val="NCDTableText"/>
              <w:spacing w:line="312" w:lineRule="auto"/>
              <w:ind w:right="288"/>
              <w:jc w:val="right"/>
            </w:pPr>
            <w:r w:rsidRPr="00391391">
              <w:t>6,405</w:t>
            </w:r>
          </w:p>
        </w:tc>
        <w:tc>
          <w:tcPr>
            <w:tcW w:w="924" w:type="dxa"/>
            <w:shd w:val="clear" w:color="auto" w:fill="auto"/>
            <w:vAlign w:val="center"/>
            <w:hideMark/>
          </w:tcPr>
          <w:p w14:paraId="602292EC" w14:textId="77777777" w:rsidR="00775507" w:rsidRPr="00391391" w:rsidRDefault="00775507" w:rsidP="008974F8">
            <w:pPr>
              <w:pStyle w:val="NCDTableText"/>
              <w:spacing w:line="312" w:lineRule="auto"/>
              <w:ind w:right="187"/>
              <w:jc w:val="right"/>
            </w:pPr>
            <w:r w:rsidRPr="00391391">
              <w:t>8</w:t>
            </w:r>
          </w:p>
        </w:tc>
        <w:tc>
          <w:tcPr>
            <w:tcW w:w="1787" w:type="dxa"/>
            <w:shd w:val="clear" w:color="auto" w:fill="auto"/>
            <w:vAlign w:val="center"/>
            <w:hideMark/>
          </w:tcPr>
          <w:p w14:paraId="296B62B2" w14:textId="56CB37B5" w:rsidR="00775507" w:rsidRPr="00391391" w:rsidRDefault="00775507" w:rsidP="00E15066">
            <w:pPr>
              <w:pStyle w:val="NCDTableText"/>
              <w:spacing w:line="312" w:lineRule="auto"/>
            </w:pPr>
            <w:r w:rsidRPr="00391391">
              <w:t xml:space="preserve">$ </w:t>
            </w:r>
            <w:r w:rsidR="00850AEA">
              <w:t xml:space="preserve">  </w:t>
            </w:r>
            <w:r w:rsidRPr="00391391">
              <w:t>96,265.52</w:t>
            </w:r>
          </w:p>
        </w:tc>
        <w:tc>
          <w:tcPr>
            <w:tcW w:w="1484" w:type="dxa"/>
            <w:shd w:val="clear" w:color="auto" w:fill="auto"/>
            <w:vAlign w:val="center"/>
            <w:hideMark/>
          </w:tcPr>
          <w:p w14:paraId="17B5FCEA" w14:textId="77777777" w:rsidR="00775507" w:rsidRPr="00391391" w:rsidRDefault="00775507" w:rsidP="00E15066">
            <w:pPr>
              <w:pStyle w:val="NCDTableText"/>
              <w:spacing w:line="312" w:lineRule="auto"/>
              <w:jc w:val="center"/>
            </w:pPr>
            <w:r w:rsidRPr="00391391">
              <w:t>123</w:t>
            </w:r>
          </w:p>
        </w:tc>
      </w:tr>
    </w:tbl>
    <w:p w14:paraId="488F824E" w14:textId="384262D0" w:rsidR="002A3766" w:rsidRDefault="00A83D3D" w:rsidP="00F31686">
      <w:pPr>
        <w:pStyle w:val="NCDTableSource"/>
      </w:pPr>
      <w:r>
        <w:t xml:space="preserve">Data </w:t>
      </w:r>
      <w:r w:rsidR="00775507" w:rsidRPr="00775507">
        <w:t>Source: WHD</w:t>
      </w:r>
    </w:p>
    <w:p w14:paraId="376E22BF" w14:textId="77777777" w:rsidR="00296DA5" w:rsidRDefault="00CC357A" w:rsidP="00E15066">
      <w:pPr>
        <w:pStyle w:val="NCDTableSource"/>
      </w:pPr>
      <w:r>
        <w:t xml:space="preserve">Note: SCA refers to the </w:t>
      </w:r>
      <w:r w:rsidRPr="00CC357A">
        <w:t xml:space="preserve">McNamara O’Hara Service Contract Act </w:t>
      </w:r>
      <w:r>
        <w:t>Service Contract Act</w:t>
      </w:r>
      <w:r w:rsidR="00A85E97">
        <w:t>,</w:t>
      </w:r>
      <w:r>
        <w:t xml:space="preserve"> PCA to the </w:t>
      </w:r>
      <w:r>
        <w:rPr>
          <w:rFonts w:ascii="Tahoma" w:hAnsi="Tahoma" w:cs="Tahoma"/>
          <w:lang w:val="en"/>
        </w:rPr>
        <w:t>Walsh-Healey Public Contracts Act, and</w:t>
      </w:r>
      <w:r w:rsidR="00E03507">
        <w:rPr>
          <w:rFonts w:ascii="Tahoma" w:hAnsi="Tahoma" w:cs="Tahoma"/>
          <w:lang w:val="en"/>
        </w:rPr>
        <w:t xml:space="preserve"> EO 13658 to</w:t>
      </w:r>
      <w:r>
        <w:rPr>
          <w:rFonts w:ascii="Tahoma" w:hAnsi="Tahoma" w:cs="Tahoma"/>
          <w:lang w:val="en"/>
        </w:rPr>
        <w:t xml:space="preserve"> Executive Order 13658.</w:t>
      </w:r>
    </w:p>
    <w:p w14:paraId="51EEBDEB" w14:textId="68BD39C1" w:rsidR="00296DA5" w:rsidRDefault="005A2B23" w:rsidP="00E15066">
      <w:pPr>
        <w:pStyle w:val="NCDBodyText"/>
      </w:pPr>
      <w:r w:rsidRPr="00423854">
        <w:lastRenderedPageBreak/>
        <w:t xml:space="preserve">WHD enforcement efforts over the past five years have resulted in </w:t>
      </w:r>
      <w:r w:rsidR="004A1887" w:rsidRPr="00423854">
        <w:t>first</w:t>
      </w:r>
      <w:r w:rsidR="004A1887">
        <w:t>-</w:t>
      </w:r>
      <w:r w:rsidR="004A1887" w:rsidRPr="00423854">
        <w:t>of</w:t>
      </w:r>
      <w:r w:rsidR="004A1887">
        <w:t>-its-</w:t>
      </w:r>
      <w:r w:rsidRPr="00423854">
        <w:t>kind settlement agreements and significant relief to employees</w:t>
      </w:r>
      <w:r w:rsidR="000D7F1E">
        <w:t xml:space="preserve"> paid </w:t>
      </w:r>
      <w:r w:rsidR="00FD3DED">
        <w:t>a</w:t>
      </w:r>
      <w:r w:rsidR="000D7F1E">
        <w:t xml:space="preserve"> </w:t>
      </w:r>
      <w:r w:rsidR="000D7F1E" w:rsidRPr="00423854">
        <w:t>14(c)</w:t>
      </w:r>
      <w:r w:rsidR="000D7F1E">
        <w:t xml:space="preserve"> wage</w:t>
      </w:r>
      <w:r w:rsidRPr="00423854">
        <w:t xml:space="preserve">, serving as models of success for </w:t>
      </w:r>
      <w:r w:rsidR="000D7F1E">
        <w:t>WHD</w:t>
      </w:r>
      <w:r w:rsidRPr="00423854">
        <w:t>-initiated investigatio</w:t>
      </w:r>
      <w:r>
        <w:t xml:space="preserve">ns and interagency enforcement. </w:t>
      </w:r>
      <w:r w:rsidRPr="00423854">
        <w:t>In June 2013, following a directed investigation</w:t>
      </w:r>
      <w:r>
        <w:t xml:space="preserve"> of </w:t>
      </w:r>
      <w:r w:rsidRPr="00423854">
        <w:t>Training Thru Placement, Inc. (TTP)</w:t>
      </w:r>
      <w:r>
        <w:t>,</w:t>
      </w:r>
      <w:r w:rsidRPr="00823D8F">
        <w:t xml:space="preserve"> </w:t>
      </w:r>
      <w:r>
        <w:t xml:space="preserve">a </w:t>
      </w:r>
      <w:r w:rsidRPr="00423854">
        <w:t>sheltered workshop</w:t>
      </w:r>
      <w:r w:rsidRPr="00423854" w:rsidDel="00823D8F">
        <w:t xml:space="preserve"> </w:t>
      </w:r>
      <w:r>
        <w:t>in Rhode Island,</w:t>
      </w:r>
      <w:r w:rsidRPr="00423854">
        <w:t xml:space="preserve"> for the first time in it</w:t>
      </w:r>
      <w:r w:rsidR="004D35AE">
        <w:t>s history</w:t>
      </w:r>
      <w:r w:rsidRPr="00423854">
        <w:t xml:space="preserve"> WHD revoked a CRP</w:t>
      </w:r>
      <w:r w:rsidR="006474CA">
        <w:t>’</w:t>
      </w:r>
      <w:r w:rsidRPr="00423854">
        <w:t>s 14(c) certificate.</w:t>
      </w:r>
      <w:r w:rsidRPr="00423854">
        <w:rPr>
          <w:vertAlign w:val="superscript"/>
        </w:rPr>
        <w:endnoteReference w:id="228"/>
      </w:r>
      <w:r w:rsidRPr="00423854">
        <w:t xml:space="preserve"> WHD </w:t>
      </w:r>
      <w:r>
        <w:t>found</w:t>
      </w:r>
      <w:r w:rsidRPr="00423854">
        <w:t xml:space="preserve"> that TTP </w:t>
      </w:r>
      <w:r w:rsidR="00474FD8">
        <w:t>failed to</w:t>
      </w:r>
      <w:r w:rsidRPr="00423854">
        <w:t xml:space="preserve"> </w:t>
      </w:r>
      <w:r w:rsidR="002A3766">
        <w:t>(</w:t>
      </w:r>
      <w:r w:rsidRPr="00423854">
        <w:t>1</w:t>
      </w:r>
      <w:r w:rsidR="00FD3DED">
        <w:t>) determine the appropriate sub</w:t>
      </w:r>
      <w:r w:rsidRPr="00423854">
        <w:t xml:space="preserve">minimum wage, </w:t>
      </w:r>
      <w:r w:rsidR="002A3766">
        <w:t>(</w:t>
      </w:r>
      <w:r w:rsidRPr="00423854">
        <w:t xml:space="preserve">2) properly record and pay employees for all hours worked, and </w:t>
      </w:r>
      <w:r w:rsidR="00D70CEB">
        <w:br/>
      </w:r>
      <w:r w:rsidR="002A3766">
        <w:t>(</w:t>
      </w:r>
      <w:r w:rsidRPr="00423854">
        <w:t>3) determine the prevailing wage rates for workers performing similar work in the area.</w:t>
      </w:r>
      <w:r w:rsidR="00FD3DED">
        <w:t xml:space="preserve"> </w:t>
      </w:r>
      <w:r w:rsidRPr="00423854">
        <w:t>The</w:t>
      </w:r>
      <w:r w:rsidR="00297A67">
        <w:t xml:space="preserve"> workshop</w:t>
      </w:r>
      <w:r w:rsidRPr="00423854">
        <w:t xml:space="preserve"> also falsified documents in order to mislead investigators. TTP </w:t>
      </w:r>
      <w:r>
        <w:t xml:space="preserve">agreed to pay back wages to </w:t>
      </w:r>
      <w:r w:rsidRPr="00423854">
        <w:t>nearly 100 workers with disabilities and connect the workers with benefits planning counselors and other resources.</w:t>
      </w:r>
      <w:r w:rsidRPr="00423854">
        <w:rPr>
          <w:vertAlign w:val="superscript"/>
        </w:rPr>
        <w:endnoteReference w:id="229"/>
      </w:r>
    </w:p>
    <w:p w14:paraId="3596CC1A" w14:textId="77777777" w:rsidR="00296DA5" w:rsidRDefault="004432B2" w:rsidP="00F31686">
      <w:pPr>
        <w:pStyle w:val="NCDBodyText"/>
        <w:rPr>
          <w:b/>
        </w:rPr>
      </w:pPr>
      <w:r w:rsidRPr="00423854">
        <w:t>WHD</w:t>
      </w:r>
      <w:r w:rsidR="006474CA">
        <w:t>’</w:t>
      </w:r>
      <w:r w:rsidRPr="00423854">
        <w:t>s strategic en</w:t>
      </w:r>
      <w:r>
        <w:t>forcement efforts resulted in four other noteworthy actions. In October 2015</w:t>
      </w:r>
      <w:r w:rsidR="000D7F1E">
        <w:t>,</w:t>
      </w:r>
      <w:r>
        <w:t xml:space="preserve"> </w:t>
      </w:r>
      <w:r w:rsidR="00297A67">
        <w:t>WHD found that a</w:t>
      </w:r>
      <w:r w:rsidRPr="00423854">
        <w:t xml:space="preserve"> workshop in Kentucky </w:t>
      </w:r>
      <w:r>
        <w:t>failed</w:t>
      </w:r>
      <w:r w:rsidRPr="00423854">
        <w:t xml:space="preserve"> to conduct timely and accurate time studies to determine the correct subminimum wages for </w:t>
      </w:r>
      <w:r w:rsidR="004A1887">
        <w:t>more than</w:t>
      </w:r>
      <w:r w:rsidR="004A1887" w:rsidRPr="00423854">
        <w:t xml:space="preserve"> </w:t>
      </w:r>
      <w:r>
        <w:t xml:space="preserve">100 </w:t>
      </w:r>
      <w:r w:rsidRPr="00423854">
        <w:t xml:space="preserve">workers with disabilities. </w:t>
      </w:r>
      <w:r>
        <w:t>WHD</w:t>
      </w:r>
      <w:r w:rsidRPr="00423854">
        <w:t xml:space="preserve"> </w:t>
      </w:r>
      <w:r w:rsidR="00474FD8">
        <w:t xml:space="preserve">then </w:t>
      </w:r>
      <w:r>
        <w:t xml:space="preserve">revoked </w:t>
      </w:r>
      <w:r w:rsidR="00297A67">
        <w:t>another</w:t>
      </w:r>
      <w:r>
        <w:t xml:space="preserve"> certificate</w:t>
      </w:r>
      <w:r w:rsidRPr="005574A3">
        <w:t xml:space="preserve"> </w:t>
      </w:r>
      <w:r>
        <w:t>in August 2016, this time at a</w:t>
      </w:r>
      <w:r w:rsidRPr="00423854">
        <w:t xml:space="preserve"> </w:t>
      </w:r>
      <w:r w:rsidR="00474FD8">
        <w:t>c</w:t>
      </w:r>
      <w:r w:rsidRPr="00423854">
        <w:t>enter</w:t>
      </w:r>
      <w:r>
        <w:t xml:space="preserve"> in West Virginia</w:t>
      </w:r>
      <w:r w:rsidR="00474FD8">
        <w:t>, after an</w:t>
      </w:r>
      <w:r w:rsidRPr="00423854">
        <w:t xml:space="preserve"> investigation found </w:t>
      </w:r>
      <w:r w:rsidR="00474FD8">
        <w:t xml:space="preserve">that the employer </w:t>
      </w:r>
      <w:r>
        <w:t>failed</w:t>
      </w:r>
      <w:r w:rsidRPr="00423854">
        <w:t xml:space="preserve"> to pay 12 workers with disabilities appropriate wages and </w:t>
      </w:r>
      <w:r>
        <w:t>for violations of</w:t>
      </w:r>
      <w:r w:rsidRPr="00423854">
        <w:t xml:space="preserve"> the McNamara O</w:t>
      </w:r>
      <w:r w:rsidR="006474CA">
        <w:t>’</w:t>
      </w:r>
      <w:r w:rsidRPr="00423854">
        <w:t>Hara Service Contract Act (SCA).</w:t>
      </w:r>
      <w:r>
        <w:rPr>
          <w:rStyle w:val="EndnoteReference"/>
          <w:rFonts w:eastAsiaTheme="minorHAnsi" w:cs="Arial"/>
        </w:rPr>
        <w:endnoteReference w:id="230"/>
      </w:r>
      <w:r w:rsidRPr="00423854">
        <w:t xml:space="preserve"> </w:t>
      </w:r>
      <w:r>
        <w:t>T</w:t>
      </w:r>
      <w:r w:rsidRPr="00423854">
        <w:t xml:space="preserve">he sheltered workshop received significant revenue from janitorial contracts through the </w:t>
      </w:r>
      <w:r w:rsidR="00297A67">
        <w:t xml:space="preserve">federal </w:t>
      </w:r>
      <w:proofErr w:type="spellStart"/>
      <w:r w:rsidRPr="00423854">
        <w:t>Source</w:t>
      </w:r>
      <w:r>
        <w:t>A</w:t>
      </w:r>
      <w:r w:rsidR="00297A67">
        <w:t>merica</w:t>
      </w:r>
      <w:proofErr w:type="spellEnd"/>
      <w:r w:rsidR="00297A67">
        <w:t xml:space="preserve"> program </w:t>
      </w:r>
      <w:r w:rsidRPr="00423854">
        <w:t xml:space="preserve">and the </w:t>
      </w:r>
      <w:r w:rsidR="00297A67">
        <w:t>West Virginia State Use program</w:t>
      </w:r>
      <w:r w:rsidRPr="00423854">
        <w:t>.</w:t>
      </w:r>
      <w:r>
        <w:rPr>
          <w:rStyle w:val="EndnoteReference"/>
          <w:rFonts w:eastAsiaTheme="minorHAnsi" w:cs="Arial"/>
        </w:rPr>
        <w:endnoteReference w:id="231"/>
      </w:r>
      <w:r>
        <w:t xml:space="preserve"> </w:t>
      </w:r>
      <w:r w:rsidRPr="00423854">
        <w:t>WHD does not track how many of its enforcement actions involve entities t</w:t>
      </w:r>
      <w:r w:rsidR="00297A67">
        <w:t>hat have 14(c) certificates and</w:t>
      </w:r>
      <w:r w:rsidRPr="00423854">
        <w:t xml:space="preserve"> also participate in the </w:t>
      </w:r>
      <w:proofErr w:type="spellStart"/>
      <w:r w:rsidRPr="00423854">
        <w:t>AbilityOne</w:t>
      </w:r>
      <w:proofErr w:type="spellEnd"/>
      <w:r w:rsidRPr="00423854">
        <w:t xml:space="preserve">, </w:t>
      </w:r>
      <w:proofErr w:type="spellStart"/>
      <w:r w:rsidRPr="00423854">
        <w:t>Source</w:t>
      </w:r>
      <w:r>
        <w:t>A</w:t>
      </w:r>
      <w:r w:rsidRPr="00423854">
        <w:t>merica</w:t>
      </w:r>
      <w:proofErr w:type="spellEnd"/>
      <w:r w:rsidRPr="00423854">
        <w:t>, or National In</w:t>
      </w:r>
      <w:r>
        <w:t>dustries for the Blind programs</w:t>
      </w:r>
      <w:r w:rsidRPr="00423854">
        <w:t>.</w:t>
      </w:r>
      <w:r w:rsidR="004D35AE" w:rsidRPr="004D35AE">
        <w:t xml:space="preserve"> </w:t>
      </w:r>
      <w:r w:rsidR="004D35AE" w:rsidRPr="004D35AE">
        <w:rPr>
          <w:b/>
        </w:rPr>
        <w:t xml:space="preserve">NCD recommends that WHD track the extent to which </w:t>
      </w:r>
      <w:r w:rsidR="00FD3DED">
        <w:rPr>
          <w:b/>
        </w:rPr>
        <w:t>c</w:t>
      </w:r>
      <w:r w:rsidR="004D35AE" w:rsidRPr="004D35AE">
        <w:rPr>
          <w:b/>
        </w:rPr>
        <w:t xml:space="preserve">ommunity </w:t>
      </w:r>
      <w:r w:rsidR="00FD3DED">
        <w:rPr>
          <w:b/>
        </w:rPr>
        <w:t>r</w:t>
      </w:r>
      <w:r w:rsidR="004D35AE" w:rsidRPr="004D35AE">
        <w:rPr>
          <w:b/>
        </w:rPr>
        <w:t>ehabil</w:t>
      </w:r>
      <w:r w:rsidR="000D7F1E">
        <w:rPr>
          <w:b/>
        </w:rPr>
        <w:t xml:space="preserve">itation </w:t>
      </w:r>
      <w:r w:rsidR="00FD3DED">
        <w:rPr>
          <w:b/>
        </w:rPr>
        <w:t>p</w:t>
      </w:r>
      <w:r w:rsidR="000D7F1E">
        <w:rPr>
          <w:b/>
        </w:rPr>
        <w:t xml:space="preserve">rograms </w:t>
      </w:r>
      <w:r w:rsidR="004D35AE" w:rsidRPr="004D35AE">
        <w:rPr>
          <w:b/>
        </w:rPr>
        <w:t xml:space="preserve">participate in the </w:t>
      </w:r>
      <w:proofErr w:type="spellStart"/>
      <w:r w:rsidR="004D35AE" w:rsidRPr="004D35AE">
        <w:rPr>
          <w:b/>
        </w:rPr>
        <w:t>AbilityOne</w:t>
      </w:r>
      <w:proofErr w:type="spellEnd"/>
      <w:r w:rsidR="004D35AE" w:rsidRPr="004D35AE">
        <w:rPr>
          <w:b/>
        </w:rPr>
        <w:t xml:space="preserve"> program, the number of legal violations, and the number of referrals made by WHD to the </w:t>
      </w:r>
      <w:proofErr w:type="spellStart"/>
      <w:r w:rsidR="004D35AE" w:rsidRPr="004D35AE">
        <w:rPr>
          <w:b/>
        </w:rPr>
        <w:t>AbilityOne</w:t>
      </w:r>
      <w:proofErr w:type="spellEnd"/>
      <w:r w:rsidR="004D35AE" w:rsidRPr="004D35AE">
        <w:rPr>
          <w:b/>
        </w:rPr>
        <w:t xml:space="preserve"> program for enforcement.</w:t>
      </w:r>
    </w:p>
    <w:p w14:paraId="0844544D" w14:textId="57989107" w:rsidR="00296DA5" w:rsidRDefault="00A61C59" w:rsidP="00F31686">
      <w:pPr>
        <w:pStyle w:val="NCDBodyText"/>
      </w:pPr>
      <w:r w:rsidRPr="00A61C59">
        <w:t xml:space="preserve">In March 2018, a WHD investigation and litigation </w:t>
      </w:r>
      <w:r w:rsidR="000D7F1E" w:rsidRPr="00A61C59">
        <w:t>resulted in a federal jury</w:t>
      </w:r>
      <w:r w:rsidR="000D7F1E">
        <w:t xml:space="preserve"> verdict </w:t>
      </w:r>
      <w:r w:rsidRPr="00A61C59">
        <w:t xml:space="preserve">against the Randolph </w:t>
      </w:r>
      <w:r w:rsidR="00297A67">
        <w:t xml:space="preserve">County Sheltered Workshop, Inc., also </w:t>
      </w:r>
      <w:r w:rsidR="000D7F1E">
        <w:t xml:space="preserve">in West Virginia. </w:t>
      </w:r>
      <w:r w:rsidR="00297A67">
        <w:t xml:space="preserve">The court </w:t>
      </w:r>
      <w:r w:rsidRPr="00A61C59">
        <w:t xml:space="preserve">ordered </w:t>
      </w:r>
      <w:r w:rsidR="000D7F1E">
        <w:t xml:space="preserve">the </w:t>
      </w:r>
      <w:r w:rsidR="00297A67">
        <w:t xml:space="preserve">workshop </w:t>
      </w:r>
      <w:r w:rsidRPr="00A61C59">
        <w:t>to pay back wages to 34 employees for operating without a 14(c) certificate and failing to post required information about the r</w:t>
      </w:r>
      <w:r w:rsidR="000D7F1E">
        <w:t>ights of people paid sub</w:t>
      </w:r>
      <w:r w:rsidRPr="00A61C59">
        <w:t xml:space="preserve">minimum wages. </w:t>
      </w:r>
      <w:r w:rsidR="005C408E">
        <w:t>A month later</w:t>
      </w:r>
      <w:r w:rsidR="00825986">
        <w:t>,</w:t>
      </w:r>
      <w:r w:rsidR="005C408E">
        <w:t xml:space="preserve"> </w:t>
      </w:r>
      <w:r w:rsidR="004432B2">
        <w:t>in April 2018</w:t>
      </w:r>
      <w:r w:rsidR="00825986">
        <w:t>,</w:t>
      </w:r>
      <w:r w:rsidR="004432B2">
        <w:t xml:space="preserve"> WHD revoked</w:t>
      </w:r>
      <w:r w:rsidR="004432B2" w:rsidRPr="00FD0265">
        <w:t xml:space="preserve"> </w:t>
      </w:r>
      <w:r w:rsidR="000D7F1E">
        <w:t xml:space="preserve">yet </w:t>
      </w:r>
      <w:r w:rsidR="004432B2" w:rsidRPr="00FD0265">
        <w:t xml:space="preserve">another 14(c) </w:t>
      </w:r>
      <w:r w:rsidR="004432B2" w:rsidRPr="00FD0265">
        <w:lastRenderedPageBreak/>
        <w:t>certificate</w:t>
      </w:r>
      <w:r w:rsidR="004432B2">
        <w:t xml:space="preserve"> and denied a renewal application after an investigation of a sheltered workshop in Illinois. WHD found</w:t>
      </w:r>
      <w:r w:rsidR="004432B2" w:rsidRPr="00FD0265">
        <w:t xml:space="preserve"> nearly 250 workers with disabilities bei</w:t>
      </w:r>
      <w:r w:rsidR="000C1C23">
        <w:t>ng exploited,</w:t>
      </w:r>
      <w:r w:rsidR="004432B2" w:rsidRPr="00FD0265">
        <w:t xml:space="preserve"> </w:t>
      </w:r>
      <w:r w:rsidR="000C1C23">
        <w:t xml:space="preserve">and specifically that the employer </w:t>
      </w:r>
      <w:r w:rsidR="00825986">
        <w:t>(</w:t>
      </w:r>
      <w:r w:rsidR="000C1C23" w:rsidRPr="00FD0265">
        <w:t>1) failed to timely perform appropriate wage surveys and to conduct proper time studies on all jobs performed</w:t>
      </w:r>
      <w:r w:rsidR="000C1C23">
        <w:t xml:space="preserve"> by workers with disabilities, </w:t>
      </w:r>
      <w:r w:rsidR="00C35AF9">
        <w:br/>
      </w:r>
      <w:r w:rsidR="00B92A8E">
        <w:t>(</w:t>
      </w:r>
      <w:r w:rsidR="000C1C23" w:rsidRPr="00FD0265">
        <w:t>2) illegally paid workers with gi</w:t>
      </w:r>
      <w:r w:rsidR="000C1C23">
        <w:t xml:space="preserve">ft cards instead of wages, and </w:t>
      </w:r>
      <w:r w:rsidR="00B92A8E">
        <w:t>(</w:t>
      </w:r>
      <w:r w:rsidR="000C1C23" w:rsidRPr="00FD0265">
        <w:t>3) conceal</w:t>
      </w:r>
      <w:r w:rsidR="000C1C23">
        <w:t>ed</w:t>
      </w:r>
      <w:r w:rsidR="000C1C23" w:rsidRPr="00FD0265">
        <w:t xml:space="preserve"> relevant</w:t>
      </w:r>
      <w:r w:rsidR="000C1C23">
        <w:t xml:space="preserve"> and material</w:t>
      </w:r>
      <w:r w:rsidR="000C1C23" w:rsidRPr="00FD0265">
        <w:t xml:space="preserve"> information.</w:t>
      </w:r>
      <w:r w:rsidR="00FD3DED" w:rsidRPr="00FD3DED">
        <w:rPr>
          <w:vertAlign w:val="superscript"/>
        </w:rPr>
        <w:t xml:space="preserve"> </w:t>
      </w:r>
      <w:r w:rsidR="00FD3DED" w:rsidRPr="00FD0265">
        <w:rPr>
          <w:vertAlign w:val="superscript"/>
        </w:rPr>
        <w:endnoteReference w:id="232"/>
      </w:r>
      <w:r w:rsidR="00FD3DED">
        <w:t xml:space="preserve"> </w:t>
      </w:r>
      <w:r w:rsidR="004432B2" w:rsidRPr="00FD0265">
        <w:t>The workshop was ordered to pay all curren</w:t>
      </w:r>
      <w:r w:rsidR="00297A67">
        <w:t xml:space="preserve">t workers the </w:t>
      </w:r>
      <w:r w:rsidR="000D7F1E">
        <w:t xml:space="preserve">regular </w:t>
      </w:r>
      <w:r w:rsidR="004432B2" w:rsidRPr="00FD0265">
        <w:t xml:space="preserve">federal minimum wage and </w:t>
      </w:r>
      <w:r w:rsidR="00297A67">
        <w:t xml:space="preserve">pay </w:t>
      </w:r>
      <w:r w:rsidR="004432B2" w:rsidRPr="00FD0265">
        <w:t>back wages to all workers who</w:t>
      </w:r>
      <w:r w:rsidR="00B11C02">
        <w:t xml:space="preserve"> had</w:t>
      </w:r>
      <w:r w:rsidR="004432B2" w:rsidRPr="00FD0265">
        <w:t xml:space="preserve"> performed work at </w:t>
      </w:r>
      <w:r w:rsidR="00297A67">
        <w:t>a</w:t>
      </w:r>
      <w:r w:rsidR="004432B2" w:rsidRPr="00FD0265">
        <w:t xml:space="preserve"> subm</w:t>
      </w:r>
      <w:r w:rsidR="004432B2">
        <w:t xml:space="preserve">inimum wage over the preceding </w:t>
      </w:r>
      <w:r w:rsidR="004432B2" w:rsidRPr="00FD0265">
        <w:t>two years.</w:t>
      </w:r>
    </w:p>
    <w:p w14:paraId="25260729" w14:textId="77777777" w:rsidR="00296DA5" w:rsidRDefault="00474FD8" w:rsidP="00F31686">
      <w:pPr>
        <w:pStyle w:val="NCDBodyText"/>
      </w:pPr>
      <w:r>
        <w:t>WHD</w:t>
      </w:r>
      <w:r w:rsidR="006474CA">
        <w:t>’</w:t>
      </w:r>
      <w:r w:rsidR="000D7F1E">
        <w:t>s</w:t>
      </w:r>
      <w:r>
        <w:t xml:space="preserve"> </w:t>
      </w:r>
      <w:r w:rsidR="004432B2">
        <w:t>enforcement</w:t>
      </w:r>
      <w:r w:rsidR="004432B2" w:rsidRPr="00423854">
        <w:t xml:space="preserve"> actions </w:t>
      </w:r>
      <w:r>
        <w:t xml:space="preserve">also showcase a need for diligent oversight </w:t>
      </w:r>
      <w:r w:rsidR="004432B2" w:rsidRPr="00423854">
        <w:t>of 14(c) certificates issued to schools and the relationship between schools and 14(c) employe</w:t>
      </w:r>
      <w:r w:rsidR="00620676">
        <w:t xml:space="preserve">rs. </w:t>
      </w:r>
      <w:r w:rsidR="004432B2" w:rsidRPr="00D06DB6">
        <w:t>WIOA prohibits contracts between schools and 14(c) entities.</w:t>
      </w:r>
      <w:r w:rsidR="00C22CAE" w:rsidRPr="00D06DB6">
        <w:rPr>
          <w:rStyle w:val="EndnoteReference"/>
          <w:rFonts w:eastAsiaTheme="minorHAnsi" w:cs="Arial"/>
        </w:rPr>
        <w:endnoteReference w:id="233"/>
      </w:r>
      <w:r w:rsidR="004432B2" w:rsidRPr="00423854">
        <w:t xml:space="preserve"> </w:t>
      </w:r>
      <w:r w:rsidR="004432B2">
        <w:t>W</w:t>
      </w:r>
      <w:r>
        <w:t>hile W</w:t>
      </w:r>
      <w:r w:rsidR="004432B2">
        <w:t>HD provides 14(c) certificates</w:t>
      </w:r>
      <w:r w:rsidR="004432B2" w:rsidRPr="00423854">
        <w:t xml:space="preserve"> </w:t>
      </w:r>
      <w:r w:rsidR="004432B2">
        <w:t xml:space="preserve">to </w:t>
      </w:r>
      <w:r w:rsidR="00432E86">
        <w:t>more than</w:t>
      </w:r>
      <w:r w:rsidR="00432E86" w:rsidRPr="00423854">
        <w:t xml:space="preserve"> </w:t>
      </w:r>
      <w:r w:rsidR="004432B2" w:rsidRPr="00423854">
        <w:t xml:space="preserve">100 </w:t>
      </w:r>
      <w:r w:rsidR="004432B2">
        <w:t>SWEPs</w:t>
      </w:r>
      <w:r>
        <w:t>,</w:t>
      </w:r>
      <w:r w:rsidR="004432B2" w:rsidRPr="00423854">
        <w:rPr>
          <w:vertAlign w:val="superscript"/>
        </w:rPr>
        <w:endnoteReference w:id="234"/>
      </w:r>
      <w:r w:rsidR="004432B2">
        <w:t xml:space="preserve"> </w:t>
      </w:r>
      <w:r>
        <w:t>it</w:t>
      </w:r>
      <w:r w:rsidR="008F4850" w:rsidRPr="00047954">
        <w:t xml:space="preserve"> does not track the number of complaints filed for violations of Section 511 or the amount of back wages obtained. </w:t>
      </w:r>
      <w:r w:rsidR="000D7F1E">
        <w:t>WHD</w:t>
      </w:r>
      <w:r w:rsidR="008F4850" w:rsidRPr="00047954">
        <w:t xml:space="preserve"> st</w:t>
      </w:r>
      <w:r>
        <w:t xml:space="preserve">aff could not identify any </w:t>
      </w:r>
      <w:r w:rsidR="008F4850" w:rsidRPr="00047954">
        <w:t xml:space="preserve">complaint filed with </w:t>
      </w:r>
      <w:r w:rsidR="000D7F1E">
        <w:t xml:space="preserve">the Division </w:t>
      </w:r>
      <w:r w:rsidR="008F4850" w:rsidRPr="00047954">
        <w:t>since the enactment of WIOA in 2014. WHD reports that such data is combined by the Division into it</w:t>
      </w:r>
      <w:r w:rsidR="00142D2A">
        <w:t xml:space="preserve">s overall enforcement data and </w:t>
      </w:r>
      <w:r w:rsidR="008F4850" w:rsidRPr="00047954">
        <w:t>not tracked as a disaggregated number.</w:t>
      </w:r>
    </w:p>
    <w:p w14:paraId="38D84DD5" w14:textId="3544EFDD" w:rsidR="00296DA5" w:rsidRDefault="004432B2" w:rsidP="00F31686">
      <w:pPr>
        <w:pStyle w:val="NCDBodyText"/>
        <w:rPr>
          <w:b/>
        </w:rPr>
      </w:pPr>
      <w:r w:rsidRPr="007B054B">
        <w:t xml:space="preserve">While Section 511 does not expressly prohibit school districts from holding </w:t>
      </w:r>
      <w:r>
        <w:t xml:space="preserve">14(c) </w:t>
      </w:r>
      <w:r w:rsidRPr="007B054B">
        <w:t xml:space="preserve">certificates, </w:t>
      </w:r>
      <w:r w:rsidR="00297A67">
        <w:t xml:space="preserve">continuing </w:t>
      </w:r>
      <w:r w:rsidR="000D7F1E">
        <w:t>to</w:t>
      </w:r>
      <w:r w:rsidR="00297A67">
        <w:t xml:space="preserve"> pay subminimum wages</w:t>
      </w:r>
      <w:r w:rsidRPr="007B054B">
        <w:t xml:space="preserve"> </w:t>
      </w:r>
      <w:r>
        <w:t xml:space="preserve">instead of </w:t>
      </w:r>
      <w:r w:rsidR="000D7F1E">
        <w:t>providing</w:t>
      </w:r>
      <w:r w:rsidRPr="007B054B">
        <w:t xml:space="preserve"> integrated employm</w:t>
      </w:r>
      <w:r w:rsidR="00141A4F">
        <w:t>ent-related transition services to students with disabilities</w:t>
      </w:r>
      <w:r w:rsidRPr="007B054B">
        <w:t xml:space="preserve"> is counter to the essential purpose of </w:t>
      </w:r>
      <w:r w:rsidR="00297A67">
        <w:t>Section 511</w:t>
      </w:r>
      <w:r w:rsidR="00432E86">
        <w:t>:</w:t>
      </w:r>
      <w:r w:rsidR="00432E86" w:rsidRPr="007B054B">
        <w:t xml:space="preserve"> </w:t>
      </w:r>
      <w:r w:rsidRPr="007B054B">
        <w:t xml:space="preserve">to </w:t>
      </w:r>
      <w:r w:rsidR="00141A4F">
        <w:t xml:space="preserve">provide students with disabilities a </w:t>
      </w:r>
      <w:r w:rsidRPr="007B054B">
        <w:t>meaningful opportunity to</w:t>
      </w:r>
      <w:r w:rsidR="00141A4F">
        <w:t xml:space="preserve"> work in competitive integrated </w:t>
      </w:r>
      <w:r w:rsidRPr="007B054B">
        <w:t xml:space="preserve">employment. </w:t>
      </w:r>
      <w:r w:rsidR="00755EEC">
        <w:t>S</w:t>
      </w:r>
      <w:r w:rsidRPr="007B054B">
        <w:t xml:space="preserve">chool systems </w:t>
      </w:r>
      <w:r w:rsidR="004975AC">
        <w:t>that</w:t>
      </w:r>
      <w:r w:rsidR="000D7F1E">
        <w:t xml:space="preserve"> use</w:t>
      </w:r>
      <w:r w:rsidRPr="007B054B">
        <w:t xml:space="preserve"> SWEPs as part of transition, to the exclusion of integrated transition services, may violate the ADA </w:t>
      </w:r>
      <w:r w:rsidR="00CD3F35">
        <w:t xml:space="preserve">under </w:t>
      </w:r>
      <w:r w:rsidR="00474FD8" w:rsidRPr="00423854">
        <w:t xml:space="preserve">the </w:t>
      </w:r>
      <w:r w:rsidR="00297A67">
        <w:t xml:space="preserve">U.S. </w:t>
      </w:r>
      <w:r w:rsidR="00474FD8" w:rsidRPr="00423854">
        <w:t>Supreme Court</w:t>
      </w:r>
      <w:r w:rsidR="006474CA">
        <w:t>’</w:t>
      </w:r>
      <w:r w:rsidR="00474FD8" w:rsidRPr="00423854">
        <w:t>s</w:t>
      </w:r>
      <w:r w:rsidR="00474FD8">
        <w:t xml:space="preserve"> </w:t>
      </w:r>
      <w:r w:rsidR="00631E24" w:rsidRPr="00631E24">
        <w:rPr>
          <w:i/>
        </w:rPr>
        <w:t xml:space="preserve">Olmstead v. L.C. </w:t>
      </w:r>
      <w:r w:rsidR="00297A67">
        <w:t>decision</w:t>
      </w:r>
      <w:r w:rsidR="00631E24" w:rsidRPr="00631E24">
        <w:rPr>
          <w:i/>
        </w:rPr>
        <w:t>.</w:t>
      </w:r>
      <w:r w:rsidR="000D7F1E" w:rsidRPr="008F0B48">
        <w:rPr>
          <w:rStyle w:val="EndnoteReference"/>
          <w:rFonts w:eastAsiaTheme="minorHAnsi" w:cs="Arial"/>
        </w:rPr>
        <w:endnoteReference w:id="235"/>
      </w:r>
      <w:r w:rsidRPr="008F0B48">
        <w:t xml:space="preserve"> </w:t>
      </w:r>
      <w:r w:rsidR="00297A67">
        <w:t xml:space="preserve">WIOA </w:t>
      </w:r>
      <w:r w:rsidR="00755EEC">
        <w:t xml:space="preserve">states </w:t>
      </w:r>
      <w:r w:rsidRPr="007B054B">
        <w:t xml:space="preserve">that </w:t>
      </w:r>
      <w:r w:rsidR="006474CA">
        <w:t>“</w:t>
      </w:r>
      <w:r w:rsidRPr="007B054B">
        <w:t>work-based learning experiences</w:t>
      </w:r>
      <w:r w:rsidR="006474CA">
        <w:t>”</w:t>
      </w:r>
      <w:r w:rsidRPr="007B054B">
        <w:t xml:space="preserve"> provided as part of pre-employment transition services </w:t>
      </w:r>
      <w:r w:rsidR="000D7F1E">
        <w:t xml:space="preserve">to </w:t>
      </w:r>
      <w:r w:rsidR="00141A4F">
        <w:t xml:space="preserve">students with disabilities </w:t>
      </w:r>
      <w:r w:rsidRPr="007B054B">
        <w:t xml:space="preserve">must be </w:t>
      </w:r>
      <w:r w:rsidR="006474CA">
        <w:t>“</w:t>
      </w:r>
      <w:r w:rsidRPr="007B054B">
        <w:t xml:space="preserve">provided in an integrated environment to </w:t>
      </w:r>
      <w:r>
        <w:t>the m</w:t>
      </w:r>
      <w:r w:rsidR="00755EEC">
        <w:t>aximum extent possible.</w:t>
      </w:r>
      <w:r w:rsidR="006474CA">
        <w:t>”</w:t>
      </w:r>
      <w:r w:rsidR="00141A4F">
        <w:rPr>
          <w:rStyle w:val="EndnoteReference"/>
          <w:rFonts w:eastAsiaTheme="minorHAnsi" w:cs="Arial"/>
        </w:rPr>
        <w:endnoteReference w:id="236"/>
      </w:r>
      <w:r w:rsidR="00A5645B">
        <w:t xml:space="preserve"> </w:t>
      </w:r>
      <w:r w:rsidR="00755EEC">
        <w:t>Vigorous</w:t>
      </w:r>
      <w:r w:rsidRPr="007B054B">
        <w:t xml:space="preserve"> enforc</w:t>
      </w:r>
      <w:r w:rsidR="00297A67">
        <w:t>ement by WHD</w:t>
      </w:r>
      <w:r w:rsidR="007F6E50">
        <w:t>,</w:t>
      </w:r>
      <w:r w:rsidRPr="007B054B">
        <w:t xml:space="preserve"> in collaboration with </w:t>
      </w:r>
      <w:r w:rsidR="00297A67">
        <w:t>the U.S. Department of Education</w:t>
      </w:r>
      <w:r w:rsidR="007F6E50">
        <w:t xml:space="preserve">, </w:t>
      </w:r>
      <w:r w:rsidR="00142D2A">
        <w:t xml:space="preserve">should </w:t>
      </w:r>
      <w:r w:rsidR="00297A67">
        <w:t>significantly reduce, if not eliminate</w:t>
      </w:r>
      <w:r w:rsidR="000D5E4F">
        <w:t>,</w:t>
      </w:r>
      <w:r w:rsidR="00297A67">
        <w:t xml:space="preserve"> SWEPs </w:t>
      </w:r>
      <w:r w:rsidR="00141A4F">
        <w:t xml:space="preserve">because of </w:t>
      </w:r>
      <w:r w:rsidR="00297A67">
        <w:t>WIOA</w:t>
      </w:r>
      <w:r w:rsidR="00FD3DED">
        <w:t xml:space="preserve"> requirements. </w:t>
      </w:r>
      <w:r w:rsidR="0086336F" w:rsidRPr="0086336F">
        <w:rPr>
          <w:b/>
        </w:rPr>
        <w:t>N</w:t>
      </w:r>
      <w:r w:rsidR="004D35AE" w:rsidRPr="00556439">
        <w:rPr>
          <w:b/>
        </w:rPr>
        <w:t xml:space="preserve">CD recommends WHD undertake a focused strategic enforcement effort to determine the extent of SWEP compliance with Section 511 of the WIOA. Such effort could begin with a </w:t>
      </w:r>
      <w:r w:rsidR="004D35AE" w:rsidRPr="00556439">
        <w:rPr>
          <w:b/>
        </w:rPr>
        <w:lastRenderedPageBreak/>
        <w:t xml:space="preserve">survey of all SWEPs to determine those more likely to </w:t>
      </w:r>
      <w:r w:rsidR="00141A4F">
        <w:rPr>
          <w:b/>
        </w:rPr>
        <w:t>violate</w:t>
      </w:r>
      <w:r w:rsidR="004D35AE" w:rsidRPr="00556439">
        <w:rPr>
          <w:b/>
        </w:rPr>
        <w:t xml:space="preserve"> </w:t>
      </w:r>
      <w:r w:rsidR="00E15066">
        <w:rPr>
          <w:b/>
        </w:rPr>
        <w:br/>
      </w:r>
      <w:r w:rsidR="004D35AE" w:rsidRPr="00556439">
        <w:rPr>
          <w:b/>
        </w:rPr>
        <w:t>Section 511.</w:t>
      </w:r>
    </w:p>
    <w:p w14:paraId="65557B3D" w14:textId="77777777" w:rsidR="00296DA5" w:rsidRDefault="00FD3DED" w:rsidP="00F31686">
      <w:pPr>
        <w:pStyle w:val="NCDBodyText"/>
      </w:pPr>
      <w:r>
        <w:t xml:space="preserve">WHD </w:t>
      </w:r>
      <w:r w:rsidR="00755EEC" w:rsidRPr="00423854">
        <w:t xml:space="preserve">actions signal that continued support for </w:t>
      </w:r>
      <w:r w:rsidR="00755EEC">
        <w:t xml:space="preserve">WHD </w:t>
      </w:r>
      <w:r w:rsidR="00755EEC" w:rsidRPr="00423854">
        <w:t xml:space="preserve">initiated 14(c) enforcement is </w:t>
      </w:r>
      <w:r w:rsidR="00755EEC">
        <w:t xml:space="preserve">vital </w:t>
      </w:r>
      <w:r w:rsidR="00755EEC" w:rsidRPr="00423854">
        <w:t xml:space="preserve">to </w:t>
      </w:r>
      <w:r w:rsidR="00755EEC">
        <w:t xml:space="preserve">protect the rights of employees with disabilities paid under Section </w:t>
      </w:r>
      <w:r w:rsidR="00755EEC" w:rsidRPr="00423854">
        <w:t xml:space="preserve">14(c). Without a randomized sample of 14(c) programs from which to </w:t>
      </w:r>
      <w:r w:rsidR="00755EEC">
        <w:t xml:space="preserve">conduct enforcement activities, </w:t>
      </w:r>
      <w:r w:rsidR="00755EEC" w:rsidRPr="00423854">
        <w:t xml:space="preserve">WHD </w:t>
      </w:r>
      <w:r w:rsidR="00755EEC">
        <w:t>remains</w:t>
      </w:r>
      <w:r w:rsidR="00755EEC" w:rsidRPr="00423854">
        <w:t xml:space="preserve"> unaware of the statistical prevalence of FLSA violations in the 14(c) program and what kind of entities are most likely to</w:t>
      </w:r>
      <w:r w:rsidR="00755EEC">
        <w:t xml:space="preserve"> violate program rules. </w:t>
      </w:r>
      <w:r w:rsidR="00A97CB8">
        <w:t>Randomized samples, used peri</w:t>
      </w:r>
      <w:r w:rsidR="00E55414">
        <w:t xml:space="preserve">odically in addition to other 14(c) investigations, can provide a much richer understanding of potential violators enabling WHD to better direct 14(c) investigation </w:t>
      </w:r>
      <w:r w:rsidR="00E31E80">
        <w:t xml:space="preserve">given </w:t>
      </w:r>
      <w:r w:rsidR="00E55414">
        <w:t xml:space="preserve">limited resources. </w:t>
      </w:r>
      <w:r w:rsidR="00755EEC">
        <w:t xml:space="preserve">The </w:t>
      </w:r>
      <w:r w:rsidR="00297A67">
        <w:t>recent DOL</w:t>
      </w:r>
      <w:r w:rsidR="00755EEC">
        <w:t xml:space="preserve"> enforcement actions, however, </w:t>
      </w:r>
      <w:r w:rsidR="00755EEC" w:rsidRPr="00423854">
        <w:t xml:space="preserve">should alert </w:t>
      </w:r>
      <w:r w:rsidR="00242B06">
        <w:t xml:space="preserve">policymakers to the </w:t>
      </w:r>
      <w:r w:rsidR="00297A67">
        <w:t xml:space="preserve">high </w:t>
      </w:r>
      <w:r w:rsidR="00755EEC" w:rsidRPr="00423854">
        <w:t xml:space="preserve">gravity of harm </w:t>
      </w:r>
      <w:r w:rsidR="004975AC">
        <w:t>that</w:t>
      </w:r>
      <w:r w:rsidR="00755EEC">
        <w:t xml:space="preserve"> results to workers with disabilities when violations occur</w:t>
      </w:r>
      <w:r w:rsidR="00755EEC" w:rsidRPr="00423854">
        <w:t xml:space="preserve"> and the impor</w:t>
      </w:r>
      <w:r w:rsidR="00755EEC">
        <w:t xml:space="preserve">tance for WHD to continue </w:t>
      </w:r>
      <w:r w:rsidR="00755EEC" w:rsidRPr="00423854">
        <w:t>directed investigations</w:t>
      </w:r>
      <w:r w:rsidR="00755EEC">
        <w:t xml:space="preserve"> to undercover violations.</w:t>
      </w:r>
    </w:p>
    <w:p w14:paraId="28A493EA" w14:textId="77777777" w:rsidR="00296DA5" w:rsidRDefault="00755EEC" w:rsidP="00F31686">
      <w:pPr>
        <w:pStyle w:val="NCDBodyText"/>
        <w:rPr>
          <w:b/>
        </w:rPr>
      </w:pPr>
      <w:r>
        <w:t xml:space="preserve">Based on </w:t>
      </w:r>
      <w:r w:rsidR="00CE44A6">
        <w:t>WHD</w:t>
      </w:r>
      <w:r>
        <w:t xml:space="preserve"> data, when 14(c</w:t>
      </w:r>
      <w:r w:rsidR="00A223F1">
        <w:t xml:space="preserve">) investigations are conducted, </w:t>
      </w:r>
      <w:r>
        <w:t>even if not as part of randomized surveys</w:t>
      </w:r>
      <w:r w:rsidR="00A223F1">
        <w:t xml:space="preserve">, </w:t>
      </w:r>
      <w:r>
        <w:t xml:space="preserve">they yield a high incidence of </w:t>
      </w:r>
      <w:r w:rsidR="00FD3DED">
        <w:t xml:space="preserve">FLSA </w:t>
      </w:r>
      <w:r>
        <w:t>vio</w:t>
      </w:r>
      <w:r w:rsidR="00CE44A6">
        <w:t>lati</w:t>
      </w:r>
      <w:r w:rsidR="00FD3DED">
        <w:t xml:space="preserve">ons </w:t>
      </w:r>
      <w:r w:rsidR="00142D2A">
        <w:t xml:space="preserve">and other laws. In </w:t>
      </w:r>
      <w:r w:rsidR="00CE44A6">
        <w:t>many instances</w:t>
      </w:r>
      <w:r w:rsidR="0075481B">
        <w:t>,</w:t>
      </w:r>
      <w:r w:rsidR="00CE44A6">
        <w:t xml:space="preserve"> WHD </w:t>
      </w:r>
      <w:r w:rsidR="00141A4F">
        <w:t>obtains</w:t>
      </w:r>
      <w:r>
        <w:t xml:space="preserve"> back wages</w:t>
      </w:r>
      <w:r w:rsidR="00CE44A6">
        <w:t xml:space="preserve"> after uncovering violations. I</w:t>
      </w:r>
      <w:r>
        <w:t xml:space="preserve">n </w:t>
      </w:r>
      <w:r w:rsidR="00CE44A6">
        <w:t xml:space="preserve">FY </w:t>
      </w:r>
      <w:r>
        <w:t>2017,</w:t>
      </w:r>
      <w:r w:rsidR="00CE44A6">
        <w:t xml:space="preserve"> WHD </w:t>
      </w:r>
      <w:r w:rsidR="00141A4F">
        <w:t>obtained</w:t>
      </w:r>
      <w:r>
        <w:t xml:space="preserve"> approximately $2.5 mil</w:t>
      </w:r>
      <w:r w:rsidR="00CE44A6">
        <w:t xml:space="preserve">lion in back wages </w:t>
      </w:r>
      <w:r>
        <w:t xml:space="preserve">for approximately 7,300 workers with disabilities as a result of 217 </w:t>
      </w:r>
      <w:r w:rsidR="00CE44A6">
        <w:t xml:space="preserve">Section 14(c) </w:t>
      </w:r>
      <w:r>
        <w:t>investigations</w:t>
      </w:r>
      <w:r w:rsidR="00CE44A6">
        <w:t>. The per capita recoupment of back wages is exceedingly modest</w:t>
      </w:r>
      <w:r w:rsidR="00CC064C">
        <w:t>—</w:t>
      </w:r>
      <w:r w:rsidR="00CE44A6">
        <w:t>in FY 2017</w:t>
      </w:r>
      <w:r w:rsidR="0075481B">
        <w:t>,</w:t>
      </w:r>
      <w:r w:rsidR="00CE44A6">
        <w:t xml:space="preserve"> an average of $338.87 per person. The low per</w:t>
      </w:r>
      <w:r w:rsidR="0075481B">
        <w:t xml:space="preserve"> </w:t>
      </w:r>
      <w:r w:rsidR="00CE44A6">
        <w:t>capita recoupment</w:t>
      </w:r>
      <w:r>
        <w:t xml:space="preserve"> may be because WHD resources are not strategically directed either </w:t>
      </w:r>
      <w:r w:rsidR="00CE44A6">
        <w:t>at</w:t>
      </w:r>
      <w:r>
        <w:t xml:space="preserve"> the larger </w:t>
      </w:r>
      <w:r w:rsidR="00141A4F">
        <w:t>CRPs</w:t>
      </w:r>
      <w:r>
        <w:t xml:space="preserve"> </w:t>
      </w:r>
      <w:r w:rsidR="004975AC">
        <w:t>that</w:t>
      </w:r>
      <w:r w:rsidR="00FD3DED">
        <w:t xml:space="preserve"> hold 14(c) certificates or </w:t>
      </w:r>
      <w:r w:rsidR="00CE44A6">
        <w:t xml:space="preserve">those </w:t>
      </w:r>
      <w:r w:rsidR="00141A4F">
        <w:t>certificate holders</w:t>
      </w:r>
      <w:r w:rsidR="00CE44A6">
        <w:t xml:space="preserve"> with risk factors for violations</w:t>
      </w:r>
      <w:r w:rsidR="00141A4F">
        <w:t xml:space="preserve">. </w:t>
      </w:r>
      <w:r w:rsidR="00CE44A6" w:rsidRPr="00B73DBA">
        <w:rPr>
          <w:b/>
        </w:rPr>
        <w:t>NCD recommends WHD continue to prioritize the use of directed enforcement investigations as it did in FY 2011 to ensure effective enforcement and deterrence.</w:t>
      </w:r>
    </w:p>
    <w:p w14:paraId="63AC7F2D" w14:textId="1B65BA30" w:rsidR="00A61C59" w:rsidRPr="002957E2" w:rsidRDefault="00A61C59" w:rsidP="00F31686">
      <w:pPr>
        <w:pStyle w:val="Heading3"/>
      </w:pPr>
      <w:bookmarkStart w:id="69" w:name="_Toc526182114"/>
      <w:r w:rsidRPr="00A61C59">
        <w:t>Communication with Complainants and the Community</w:t>
      </w:r>
      <w:bookmarkEnd w:id="69"/>
    </w:p>
    <w:p w14:paraId="29C8C04A" w14:textId="77777777" w:rsidR="00296DA5" w:rsidRDefault="00A61C59" w:rsidP="00396A3D">
      <w:pPr>
        <w:pStyle w:val="NCDBodyText"/>
      </w:pPr>
      <w:r w:rsidRPr="00030D8D">
        <w:t xml:space="preserve">WHD </w:t>
      </w:r>
      <w:r w:rsidR="00242B06">
        <w:t xml:space="preserve">has </w:t>
      </w:r>
      <w:r w:rsidRPr="00030D8D">
        <w:t xml:space="preserve">added </w:t>
      </w:r>
      <w:r w:rsidR="00CD4C81">
        <w:t>online</w:t>
      </w:r>
      <w:r w:rsidR="00242B06">
        <w:t xml:space="preserve"> </w:t>
      </w:r>
      <w:r w:rsidRPr="00030D8D">
        <w:t xml:space="preserve">compliance </w:t>
      </w:r>
      <w:r w:rsidR="00242B06">
        <w:t xml:space="preserve">assistance tools </w:t>
      </w:r>
      <w:r w:rsidRPr="00030D8D">
        <w:t>for CRPs</w:t>
      </w:r>
      <w:r w:rsidR="00242B06">
        <w:t xml:space="preserve"> as part of its outreach efforts. In particular, WHD created 13 online subminimum </w:t>
      </w:r>
      <w:r w:rsidRPr="00030D8D">
        <w:t>wage c</w:t>
      </w:r>
      <w:r w:rsidR="00242B06">
        <w:t>alculators to assist entities</w:t>
      </w:r>
      <w:r w:rsidRPr="00030D8D">
        <w:t xml:space="preserve"> </w:t>
      </w:r>
      <w:r w:rsidR="0075481B">
        <w:t xml:space="preserve">in </w:t>
      </w:r>
      <w:r w:rsidR="0075481B" w:rsidRPr="00030D8D">
        <w:t>calculat</w:t>
      </w:r>
      <w:r w:rsidR="0075481B">
        <w:t xml:space="preserve">ing </w:t>
      </w:r>
      <w:r w:rsidRPr="00030D8D">
        <w:t xml:space="preserve">prevailing wages, commensurate hourly wages, and piece rates </w:t>
      </w:r>
      <w:r w:rsidRPr="00030D8D">
        <w:lastRenderedPageBreak/>
        <w:t>as required</w:t>
      </w:r>
      <w:r w:rsidR="00242B06">
        <w:t xml:space="preserve"> to meet the </w:t>
      </w:r>
      <w:r w:rsidR="00242B06" w:rsidRPr="00030D8D">
        <w:t>Section 14(c)</w:t>
      </w:r>
      <w:r w:rsidR="00242B06">
        <w:t xml:space="preserve"> requirements</w:t>
      </w:r>
      <w:r w:rsidRPr="00030D8D">
        <w:t>. WHD also published a user guide on the use and functions of the 14(c) online calculators.</w:t>
      </w:r>
    </w:p>
    <w:p w14:paraId="41D71D8A" w14:textId="77777777" w:rsidR="00296DA5" w:rsidRDefault="00242B06" w:rsidP="00396A3D">
      <w:pPr>
        <w:pStyle w:val="NCDBodyText"/>
      </w:pPr>
      <w:r>
        <w:t>In contrast, t</w:t>
      </w:r>
      <w:r w:rsidR="005A2B23" w:rsidRPr="00423854">
        <w:t>here is exceedingly little instruction on</w:t>
      </w:r>
      <w:r>
        <w:t xml:space="preserve"> WHD </w:t>
      </w:r>
      <w:r w:rsidR="005A2B23" w:rsidRPr="00423854">
        <w:t xml:space="preserve">website about </w:t>
      </w:r>
      <w:r>
        <w:t xml:space="preserve">how and </w:t>
      </w:r>
      <w:r w:rsidR="005A2B23" w:rsidRPr="00423854">
        <w:t xml:space="preserve">where </w:t>
      </w:r>
      <w:r>
        <w:t>an employee</w:t>
      </w:r>
      <w:r w:rsidR="005A2B23" w:rsidRPr="00423854">
        <w:t xml:space="preserve"> may </w:t>
      </w:r>
      <w:r w:rsidR="005A2B23">
        <w:t>fil</w:t>
      </w:r>
      <w:r>
        <w:t xml:space="preserve">e a petition for an ALJ review of the payment of </w:t>
      </w:r>
      <w:r w:rsidR="00B04DAD">
        <w:t xml:space="preserve">14(c) </w:t>
      </w:r>
      <w:r>
        <w:t>subminimum wages as used by the th</w:t>
      </w:r>
      <w:r w:rsidR="00B04DAD">
        <w:t xml:space="preserve">ree </w:t>
      </w:r>
      <w:r>
        <w:t>employees in Ohio. A Frequently Asked Questions</w:t>
      </w:r>
      <w:r w:rsidR="00C768C8">
        <w:t xml:space="preserve"> section</w:t>
      </w:r>
      <w:r w:rsidR="005A2B23" w:rsidRPr="00423854">
        <w:t xml:space="preserve"> </w:t>
      </w:r>
      <w:r>
        <w:t>about WHD</w:t>
      </w:r>
      <w:r w:rsidR="005A2B23" w:rsidRPr="00423854">
        <w:t xml:space="preserve"> </w:t>
      </w:r>
      <w:r w:rsidR="00C768C8" w:rsidRPr="00423854">
        <w:t>complaint</w:t>
      </w:r>
      <w:r w:rsidR="00C768C8">
        <w:t>-</w:t>
      </w:r>
      <w:r w:rsidR="005A2B23" w:rsidRPr="00423854">
        <w:t xml:space="preserve">filing process </w:t>
      </w:r>
      <w:r w:rsidR="005A2B23">
        <w:t xml:space="preserve">does </w:t>
      </w:r>
      <w:r w:rsidR="005A2B23" w:rsidRPr="00423854">
        <w:t>not mentio</w:t>
      </w:r>
      <w:r w:rsidR="005A2B23">
        <w:t xml:space="preserve">n </w:t>
      </w:r>
      <w:r w:rsidR="005A2B23" w:rsidRPr="00423854">
        <w:t>the 14(c) petition process at all.</w:t>
      </w:r>
      <w:r w:rsidR="005A2B23" w:rsidRPr="00423854">
        <w:rPr>
          <w:vertAlign w:val="superscript"/>
        </w:rPr>
        <w:endnoteReference w:id="237"/>
      </w:r>
      <w:r w:rsidR="005A2B23" w:rsidRPr="00423854">
        <w:t xml:space="preserve"> WHD </w:t>
      </w:r>
      <w:r w:rsidR="005A2B23">
        <w:t xml:space="preserve">further </w:t>
      </w:r>
      <w:r w:rsidR="005A2B23" w:rsidRPr="00423854">
        <w:t>does not provide outreach and technical assistance to workers with disabilities about their right to petition</w:t>
      </w:r>
      <w:r w:rsidR="00284265">
        <w:t xml:space="preserve"> a</w:t>
      </w:r>
      <w:r w:rsidR="005A2B23" w:rsidRPr="00423854">
        <w:t xml:space="preserve"> review of their wages</w:t>
      </w:r>
      <w:r w:rsidR="00284265">
        <w:t xml:space="preserve"> </w:t>
      </w:r>
      <w:r>
        <w:t xml:space="preserve">or offer </w:t>
      </w:r>
      <w:r w:rsidR="005A2B23" w:rsidRPr="00423854">
        <w:t>an electronic platform for 14(c) employees with disabilities to submit a complaint</w:t>
      </w:r>
      <w:r w:rsidR="005A2B23">
        <w:t>.</w:t>
      </w:r>
      <w:r w:rsidR="00422229" w:rsidRPr="00422229">
        <w:t xml:space="preserve"> </w:t>
      </w:r>
      <w:r w:rsidR="00B04DAD" w:rsidRPr="00B73DBA">
        <w:rPr>
          <w:b/>
        </w:rPr>
        <w:t xml:space="preserve">NCD recommends that WHD create an online form </w:t>
      </w:r>
      <w:r w:rsidR="00B04DAD">
        <w:rPr>
          <w:b/>
        </w:rPr>
        <w:t xml:space="preserve">by which </w:t>
      </w:r>
      <w:r w:rsidR="00B04DAD" w:rsidRPr="00B73DBA">
        <w:rPr>
          <w:b/>
        </w:rPr>
        <w:t xml:space="preserve">an employee with a disability </w:t>
      </w:r>
      <w:r w:rsidR="00B04DAD">
        <w:rPr>
          <w:b/>
        </w:rPr>
        <w:t>may</w:t>
      </w:r>
      <w:r w:rsidR="00B04DAD" w:rsidRPr="00B73DBA">
        <w:rPr>
          <w:b/>
        </w:rPr>
        <w:t xml:space="preserve"> request a hearing to review t</w:t>
      </w:r>
      <w:r w:rsidR="00DD0733">
        <w:rPr>
          <w:b/>
        </w:rPr>
        <w:t>he payment of a subminimum wage</w:t>
      </w:r>
      <w:r w:rsidR="00B04DAD" w:rsidRPr="00B73DBA">
        <w:rPr>
          <w:b/>
        </w:rPr>
        <w:t xml:space="preserve"> th</w:t>
      </w:r>
      <w:r w:rsidR="00B04DAD">
        <w:rPr>
          <w:b/>
        </w:rPr>
        <w:t>rough the process contained in Section 14(c).</w:t>
      </w:r>
    </w:p>
    <w:p w14:paraId="147140E0" w14:textId="77777777" w:rsidR="00296DA5" w:rsidRPr="00D70CEB" w:rsidRDefault="00B04DAD" w:rsidP="00396A3D">
      <w:pPr>
        <w:pStyle w:val="NCDBodyText"/>
        <w:rPr>
          <w:b/>
        </w:rPr>
      </w:pPr>
      <w:r w:rsidRPr="00D70CEB">
        <w:rPr>
          <w:b/>
        </w:rPr>
        <w:t xml:space="preserve">NCD recommends WHD conduct outreach to 14(c) employees with disabilities about their rights and the process to petition for review of their </w:t>
      </w:r>
      <w:r w:rsidR="00063CCD" w:rsidRPr="00D70CEB">
        <w:rPr>
          <w:b/>
        </w:rPr>
        <w:t>wages and</w:t>
      </w:r>
      <w:r w:rsidRPr="00D70CEB">
        <w:rPr>
          <w:b/>
        </w:rPr>
        <w:t xml:space="preserve"> modify all relevant outreach materials and posters to describe this right.</w:t>
      </w:r>
    </w:p>
    <w:p w14:paraId="43986159" w14:textId="77777777" w:rsidR="00296DA5" w:rsidRDefault="006956D7" w:rsidP="00396A3D">
      <w:pPr>
        <w:pStyle w:val="NCDBodyText"/>
      </w:pPr>
      <w:r>
        <w:t xml:space="preserve">Over the past three years, the number of WHD </w:t>
      </w:r>
      <w:r w:rsidR="00141A4F">
        <w:t xml:space="preserve">14(c) outreach events </w:t>
      </w:r>
      <w:r>
        <w:t>has declined from a peak of 32 in FY 2014.</w:t>
      </w:r>
      <w:r>
        <w:rPr>
          <w:rStyle w:val="EndnoteReference"/>
          <w:rFonts w:eastAsiaTheme="minorHAnsi"/>
        </w:rPr>
        <w:endnoteReference w:id="238"/>
      </w:r>
      <w:r>
        <w:t xml:space="preserve"> </w:t>
      </w:r>
      <w:r w:rsidR="00141A4F">
        <w:t>Since FY 2008 WHD conducted on average 22 outreach events in 14(c) a year, but i</w:t>
      </w:r>
      <w:r>
        <w:t xml:space="preserve">n 2017 </w:t>
      </w:r>
      <w:r w:rsidRPr="00423854">
        <w:t>WHD made nearly 3,000 contacts or presentations to the community about the laws that it enforces,</w:t>
      </w:r>
      <w:r>
        <w:t xml:space="preserve"> with just 16 presentations exclusively</w:t>
      </w:r>
      <w:r w:rsidRPr="00423854">
        <w:t xml:space="preserve"> about the 14(c) program</w:t>
      </w:r>
      <w:r>
        <w:t>, the same as in FY 2016</w:t>
      </w:r>
      <w:r w:rsidRPr="00423854">
        <w:t>.</w:t>
      </w:r>
      <w:r>
        <w:rPr>
          <w:rStyle w:val="EndnoteReference"/>
          <w:rFonts w:eastAsiaTheme="minorHAnsi" w:cs="Arial"/>
        </w:rPr>
        <w:endnoteReference w:id="239"/>
      </w:r>
      <w:r>
        <w:t xml:space="preserve"> </w:t>
      </w:r>
      <w:r w:rsidRPr="00423854">
        <w:t>Since 2010, WHD has a dedicated staff person who organizes outreach contacts, however it is unclear how much of this staff person</w:t>
      </w:r>
      <w:r w:rsidR="006474CA">
        <w:t>’</w:t>
      </w:r>
      <w:r w:rsidRPr="00423854">
        <w:t>s time is dedicated to outreach concerning the 14(c) program.</w:t>
      </w:r>
    </w:p>
    <w:p w14:paraId="6DE5565B" w14:textId="57D28DD7" w:rsidR="006956D7" w:rsidRPr="004432B2" w:rsidRDefault="006956D7" w:rsidP="00F31686">
      <w:pPr>
        <w:pStyle w:val="Heading3"/>
      </w:pPr>
      <w:bookmarkStart w:id="70" w:name="_Toc526182115"/>
      <w:r w:rsidRPr="004432B2">
        <w:t>Interagency Collaboration and Coordination</w:t>
      </w:r>
      <w:bookmarkEnd w:id="70"/>
    </w:p>
    <w:p w14:paraId="4887BC31" w14:textId="0F92EF19" w:rsidR="00296DA5" w:rsidRDefault="006956D7" w:rsidP="00396A3D">
      <w:pPr>
        <w:pStyle w:val="NCDBodyText"/>
      </w:pPr>
      <w:r>
        <w:t>In the investigation of TTP in Rhode Island</w:t>
      </w:r>
      <w:r w:rsidR="003D5CBA">
        <w:t>,</w:t>
      </w:r>
      <w:r>
        <w:t xml:space="preserve"> discussed </w:t>
      </w:r>
      <w:r w:rsidR="00F370C7">
        <w:t>previously</w:t>
      </w:r>
      <w:r>
        <w:t xml:space="preserve">, </w:t>
      </w:r>
      <w:r w:rsidRPr="00423854">
        <w:t xml:space="preserve">WHD </w:t>
      </w:r>
      <w:r>
        <w:t xml:space="preserve">also referred the </w:t>
      </w:r>
      <w:r w:rsidR="00141A4F">
        <w:t xml:space="preserve">situation </w:t>
      </w:r>
      <w:r w:rsidR="004628DE">
        <w:t xml:space="preserve">to the </w:t>
      </w:r>
      <w:r w:rsidR="00141A4F">
        <w:t>DOJ</w:t>
      </w:r>
      <w:r w:rsidR="006474CA">
        <w:t>’</w:t>
      </w:r>
      <w:r w:rsidR="00141A4F">
        <w:t>s</w:t>
      </w:r>
      <w:r w:rsidR="004628DE">
        <w:t xml:space="preserve"> </w:t>
      </w:r>
      <w:r>
        <w:t>Civil Rights Division</w:t>
      </w:r>
      <w:r w:rsidRPr="00423854">
        <w:t xml:space="preserve">. DOJ investigated TTP </w:t>
      </w:r>
      <w:r>
        <w:t xml:space="preserve">and </w:t>
      </w:r>
      <w:r w:rsidRPr="00423854">
        <w:t xml:space="preserve">expanded its investigation to a nearby school-based sheltered workshop—the Harold Birch Vocational program. DOJ found that while employed by the school, students in the Birch </w:t>
      </w:r>
      <w:r>
        <w:t xml:space="preserve">program performed </w:t>
      </w:r>
      <w:r w:rsidRPr="00423854">
        <w:t>many of the same manual tasks du</w:t>
      </w:r>
      <w:r>
        <w:t>ring the school day</w:t>
      </w:r>
      <w:r w:rsidRPr="00423854">
        <w:t xml:space="preserve"> that adults performed at TTP</w:t>
      </w:r>
      <w:r>
        <w:t>.</w:t>
      </w:r>
      <w:r w:rsidRPr="00423854">
        <w:t xml:space="preserve"> </w:t>
      </w:r>
      <w:r w:rsidR="004628DE">
        <w:t>S</w:t>
      </w:r>
      <w:r w:rsidRPr="00423854">
        <w:t xml:space="preserve">tudents were </w:t>
      </w:r>
      <w:r w:rsidR="004628DE">
        <w:t xml:space="preserve">also </w:t>
      </w:r>
      <w:r w:rsidRPr="00423854">
        <w:t xml:space="preserve">referred to TTP without the opportunity for a </w:t>
      </w:r>
      <w:r w:rsidRPr="00423854">
        <w:lastRenderedPageBreak/>
        <w:t>meaningful or informed choice to work in integrated employment settings.</w:t>
      </w:r>
      <w:r>
        <w:t xml:space="preserve"> DOJ found unnecessary segregation of adults and</w:t>
      </w:r>
      <w:r w:rsidRPr="00423854">
        <w:t xml:space="preserve"> serious risk</w:t>
      </w:r>
      <w:r>
        <w:t>s</w:t>
      </w:r>
      <w:r w:rsidRPr="00423854">
        <w:t xml:space="preserve"> of unnecessary segregation</w:t>
      </w:r>
      <w:r>
        <w:t xml:space="preserve"> of students </w:t>
      </w:r>
      <w:r w:rsidRPr="00423854">
        <w:t>in violation of the ADA and the</w:t>
      </w:r>
      <w:r w:rsidR="004628DE">
        <w:t xml:space="preserve"> U.S. Supreme Court </w:t>
      </w:r>
      <w:r w:rsidR="00631E24" w:rsidRPr="00631E24">
        <w:rPr>
          <w:i/>
        </w:rPr>
        <w:t>Olmstead</w:t>
      </w:r>
      <w:r>
        <w:t xml:space="preserve"> </w:t>
      </w:r>
      <w:r w:rsidR="004628DE">
        <w:t xml:space="preserve">decision. As a </w:t>
      </w:r>
      <w:r w:rsidR="00063CCD">
        <w:t>result,</w:t>
      </w:r>
      <w:r w:rsidR="004628DE">
        <w:t xml:space="preserve"> </w:t>
      </w:r>
      <w:r>
        <w:t xml:space="preserve">DOJ obtained a </w:t>
      </w:r>
      <w:r w:rsidRPr="00423854">
        <w:t>court ordered settlement agreement with the State of Rhode Island and City of Providenc</w:t>
      </w:r>
      <w:r>
        <w:t>e.</w:t>
      </w:r>
      <w:r w:rsidRPr="00423854">
        <w:rPr>
          <w:vertAlign w:val="superscript"/>
        </w:rPr>
        <w:endnoteReference w:id="240"/>
      </w:r>
    </w:p>
    <w:p w14:paraId="5AEC6799" w14:textId="77777777" w:rsidR="00296DA5" w:rsidRDefault="006956D7" w:rsidP="00396A3D">
      <w:pPr>
        <w:pStyle w:val="NCDBodyText"/>
      </w:pPr>
      <w:r>
        <w:t xml:space="preserve">After a referral </w:t>
      </w:r>
      <w:r w:rsidR="004628DE">
        <w:t xml:space="preserve">back </w:t>
      </w:r>
      <w:r>
        <w:t>from the DOJ, WHD investigated the Birch program, a 14(c) certificate holder, and found wage violations</w:t>
      </w:r>
      <w:r w:rsidRPr="00423854">
        <w:t xml:space="preserve">. WHD </w:t>
      </w:r>
      <w:r>
        <w:t xml:space="preserve">settled </w:t>
      </w:r>
      <w:r w:rsidRPr="00423854">
        <w:t xml:space="preserve">with the City of Providence, the Providence School </w:t>
      </w:r>
      <w:r>
        <w:t>Board</w:t>
      </w:r>
      <w:r w:rsidR="004975AC">
        <w:t>,</w:t>
      </w:r>
      <w:r>
        <w:t xml:space="preserve"> and </w:t>
      </w:r>
      <w:r w:rsidRPr="00423854">
        <w:t>Birch</w:t>
      </w:r>
      <w:r w:rsidR="004975AC">
        <w:t>,</w:t>
      </w:r>
      <w:r w:rsidRPr="00423854">
        <w:t xml:space="preserve"> </w:t>
      </w:r>
      <w:r>
        <w:t>which</w:t>
      </w:r>
      <w:r w:rsidRPr="00423854">
        <w:t xml:space="preserve"> agreed to pay back wages to 60 student workers with disabilities.</w:t>
      </w:r>
      <w:r w:rsidRPr="00423854">
        <w:rPr>
          <w:vertAlign w:val="superscript"/>
        </w:rPr>
        <w:endnoteReference w:id="241"/>
      </w:r>
      <w:r>
        <w:t xml:space="preserve"> </w:t>
      </w:r>
      <w:r w:rsidRPr="00423854">
        <w:t xml:space="preserve">WHD revoked </w:t>
      </w:r>
      <w:r w:rsidR="00141A4F">
        <w:t>Birch</w:t>
      </w:r>
      <w:r w:rsidR="006474CA">
        <w:t>’</w:t>
      </w:r>
      <w:r w:rsidR="00141A4F">
        <w:t xml:space="preserve">s </w:t>
      </w:r>
      <w:r w:rsidRPr="00423854">
        <w:t>14(c) certificat</w:t>
      </w:r>
      <w:r w:rsidR="00CE44A6">
        <w:t xml:space="preserve">e, the second </w:t>
      </w:r>
      <w:r>
        <w:t xml:space="preserve">revocation </w:t>
      </w:r>
      <w:r w:rsidR="00CE44A6">
        <w:t xml:space="preserve">following a WHD investigation </w:t>
      </w:r>
      <w:r w:rsidRPr="00423854">
        <w:t xml:space="preserve">and the first time </w:t>
      </w:r>
      <w:r>
        <w:t xml:space="preserve">for a </w:t>
      </w:r>
      <w:r w:rsidRPr="00423854">
        <w:t>school-based program.</w:t>
      </w:r>
    </w:p>
    <w:p w14:paraId="0B8D6811" w14:textId="77777777" w:rsidR="00296DA5" w:rsidRDefault="002473D4" w:rsidP="00396A3D">
      <w:pPr>
        <w:pStyle w:val="NCDBodyText"/>
      </w:pPr>
      <w:r w:rsidRPr="002473D4">
        <w:t>In January 2017</w:t>
      </w:r>
      <w:r w:rsidR="00A223F1">
        <w:t>,</w:t>
      </w:r>
      <w:r w:rsidRPr="002473D4">
        <w:t xml:space="preserve"> WHD and the EEOC entered into a Memorandum of Understanding</w:t>
      </w:r>
      <w:r w:rsidR="004975AC">
        <w:t>,</w:t>
      </w:r>
      <w:r w:rsidRPr="002473D4">
        <w:t xml:space="preserve"> discussed in Chapter </w:t>
      </w:r>
      <w:r w:rsidR="004975AC">
        <w:t>1</w:t>
      </w:r>
      <w:r w:rsidRPr="002473D4">
        <w:t>. WHD does not track the number of referrals made to the EEOC for enforcement of employment discrimination complaints</w:t>
      </w:r>
      <w:r w:rsidR="00141A4F">
        <w:t xml:space="preserve">. </w:t>
      </w:r>
      <w:r w:rsidRPr="002473D4">
        <w:t xml:space="preserve">WHD staff report a close working relationship with </w:t>
      </w:r>
      <w:r w:rsidR="00141A4F">
        <w:t xml:space="preserve">the </w:t>
      </w:r>
      <w:r>
        <w:t xml:space="preserve">Rehabilitation Services Administration </w:t>
      </w:r>
      <w:r w:rsidR="00141A4F">
        <w:t xml:space="preserve">(RSA) </w:t>
      </w:r>
      <w:r>
        <w:t xml:space="preserve">of the U.S. Department of Education </w:t>
      </w:r>
      <w:r w:rsidRPr="002473D4">
        <w:t>to im</w:t>
      </w:r>
      <w:r>
        <w:t xml:space="preserve">plement and enforce Section 511 requirements. </w:t>
      </w:r>
      <w:r w:rsidRPr="002473D4">
        <w:t>RSA maintains exclusive authority over provisions in Section 511 that proscribe contracts between schools and 14(c) certificate</w:t>
      </w:r>
      <w:r w:rsidR="003D5CBA">
        <w:t xml:space="preserve"> </w:t>
      </w:r>
      <w:r w:rsidRPr="002473D4">
        <w:t>holders.</w:t>
      </w:r>
      <w:r w:rsidR="004D5E12">
        <w:rPr>
          <w:rStyle w:val="EndnoteReference"/>
          <w:rFonts w:eastAsiaTheme="minorHAnsi" w:cs="Arial"/>
        </w:rPr>
        <w:endnoteReference w:id="242"/>
      </w:r>
      <w:r w:rsidR="004D5E12">
        <w:t xml:space="preserve"> </w:t>
      </w:r>
      <w:r>
        <w:t xml:space="preserve">WHD </w:t>
      </w:r>
      <w:r w:rsidR="00141A4F">
        <w:t xml:space="preserve">also </w:t>
      </w:r>
      <w:r>
        <w:t>does not track the number of referrals made to RSA related to Section 511.</w:t>
      </w:r>
    </w:p>
    <w:p w14:paraId="31A9241E" w14:textId="3A4F3412" w:rsidR="0011098D" w:rsidRPr="0011098D" w:rsidRDefault="0011098D" w:rsidP="00F31686">
      <w:pPr>
        <w:pStyle w:val="Heading3"/>
      </w:pPr>
      <w:bookmarkStart w:id="71" w:name="_Toc526182116"/>
      <w:r w:rsidRPr="0011098D">
        <w:t>Technical Assistance</w:t>
      </w:r>
      <w:r>
        <w:t xml:space="preserve"> and Training</w:t>
      </w:r>
      <w:bookmarkEnd w:id="71"/>
    </w:p>
    <w:p w14:paraId="40B07C2C" w14:textId="77777777" w:rsidR="00296DA5" w:rsidRDefault="008C568D" w:rsidP="00F31686">
      <w:pPr>
        <w:pStyle w:val="NCDBodyText"/>
      </w:pPr>
      <w:r>
        <w:t xml:space="preserve">Since 2011, </w:t>
      </w:r>
      <w:r w:rsidR="00E521B0" w:rsidRPr="00423854">
        <w:t xml:space="preserve">WHD </w:t>
      </w:r>
      <w:r>
        <w:t xml:space="preserve">has </w:t>
      </w:r>
      <w:r w:rsidR="00BA1CAB">
        <w:t xml:space="preserve">annually </w:t>
      </w:r>
      <w:r w:rsidR="00E521B0" w:rsidRPr="00423854">
        <w:t>offered five day-long seminars across the country open to the public about the requirements of the</w:t>
      </w:r>
      <w:r>
        <w:t xml:space="preserve"> 14(c)</w:t>
      </w:r>
      <w:r w:rsidR="00E521B0" w:rsidRPr="00423854">
        <w:t xml:space="preserve"> program. </w:t>
      </w:r>
      <w:r w:rsidR="00BA1CAB">
        <w:t>P</w:t>
      </w:r>
      <w:r w:rsidR="00E521B0" w:rsidRPr="00423854">
        <w:t xml:space="preserve">articipants are </w:t>
      </w:r>
      <w:r>
        <w:t xml:space="preserve">trained on </w:t>
      </w:r>
      <w:r w:rsidR="00E521B0" w:rsidRPr="00423854">
        <w:t xml:space="preserve">the </w:t>
      </w:r>
      <w:r>
        <w:t xml:space="preserve">14(c) </w:t>
      </w:r>
      <w:r w:rsidR="00E521B0" w:rsidRPr="00423854">
        <w:t>certificat</w:t>
      </w:r>
      <w:r w:rsidR="00141A4F">
        <w:t>e</w:t>
      </w:r>
      <w:r w:rsidR="00E521B0" w:rsidRPr="00423854">
        <w:t xml:space="preserve"> process</w:t>
      </w:r>
      <w:r w:rsidR="006F28B4">
        <w:t>,</w:t>
      </w:r>
      <w:r w:rsidR="006F28B4" w:rsidRPr="00423854">
        <w:t xml:space="preserve"> </w:t>
      </w:r>
      <w:r w:rsidR="00E521B0" w:rsidRPr="00423854">
        <w:t>how to p</w:t>
      </w:r>
      <w:r>
        <w:t>erform prevailing wage surveys and</w:t>
      </w:r>
      <w:r w:rsidR="00E521B0" w:rsidRPr="00423854">
        <w:t xml:space="preserve"> time studies</w:t>
      </w:r>
      <w:r w:rsidR="006F28B4">
        <w:t>,</w:t>
      </w:r>
      <w:r w:rsidR="006F28B4" w:rsidRPr="00423854">
        <w:t xml:space="preserve"> </w:t>
      </w:r>
      <w:r w:rsidR="00E521B0" w:rsidRPr="00423854">
        <w:t>and abou</w:t>
      </w:r>
      <w:r>
        <w:t>t common compliance problems</w:t>
      </w:r>
      <w:r w:rsidR="0011098D">
        <w:t>.</w:t>
      </w:r>
    </w:p>
    <w:p w14:paraId="6BE6B2EE" w14:textId="77777777" w:rsidR="00296DA5" w:rsidRDefault="0011098D" w:rsidP="00F31686">
      <w:pPr>
        <w:pStyle w:val="NCDBodyText"/>
      </w:pPr>
      <w:r w:rsidRPr="0011098D">
        <w:t>WHD trains it</w:t>
      </w:r>
      <w:r>
        <w:t>s</w:t>
      </w:r>
      <w:r w:rsidRPr="0011098D">
        <w:t xml:space="preserve"> staff</w:t>
      </w:r>
      <w:r w:rsidR="00141A4F" w:rsidRPr="00141A4F">
        <w:t xml:space="preserve"> </w:t>
      </w:r>
      <w:r w:rsidR="00141A4F" w:rsidRPr="0011098D">
        <w:t>about section 14(c)</w:t>
      </w:r>
      <w:r w:rsidRPr="0011098D">
        <w:t>,</w:t>
      </w:r>
      <w:r w:rsidR="00141A4F">
        <w:t xml:space="preserve"> including Division </w:t>
      </w:r>
      <w:r w:rsidRPr="0011098D">
        <w:t xml:space="preserve">investigators, through a module </w:t>
      </w:r>
      <w:r w:rsidR="004975AC">
        <w:t>that</w:t>
      </w:r>
      <w:r w:rsidRPr="0011098D">
        <w:t xml:space="preserve"> is a piece of</w:t>
      </w:r>
      <w:r w:rsidR="00A61C59">
        <w:t xml:space="preserve"> the basic training curriculum given </w:t>
      </w:r>
      <w:r w:rsidR="00141A4F">
        <w:t xml:space="preserve">to </w:t>
      </w:r>
      <w:r w:rsidR="00A61C59">
        <w:t xml:space="preserve">new investigators </w:t>
      </w:r>
      <w:r w:rsidR="00141A4F">
        <w:t xml:space="preserve">on </w:t>
      </w:r>
      <w:r w:rsidRPr="0011098D">
        <w:t>all laws the Division enforces. Portions of the 14(c) tr</w:t>
      </w:r>
      <w:r w:rsidR="00A61C59">
        <w:t>aining module have been updated to</w:t>
      </w:r>
      <w:r w:rsidRPr="0011098D">
        <w:t xml:space="preserve"> include</w:t>
      </w:r>
      <w:r w:rsidR="000C1C23">
        <w:t xml:space="preserve"> information about Section 511 and other legal changes</w:t>
      </w:r>
      <w:r w:rsidRPr="0011098D">
        <w:t xml:space="preserve"> and the interplay between the ADA and the 14(c) program. WHD also conducts a three-day specialized training program on 14(c) enforcement available to all investigators, but</w:t>
      </w:r>
      <w:r w:rsidR="000C1C23">
        <w:t xml:space="preserve"> it</w:t>
      </w:r>
      <w:r w:rsidRPr="0011098D">
        <w:t xml:space="preserve"> is not a </w:t>
      </w:r>
      <w:r w:rsidRPr="0011098D">
        <w:lastRenderedPageBreak/>
        <w:t>mandatory requirement. WHD leverage</w:t>
      </w:r>
      <w:r w:rsidR="00E31E80">
        <w:t>s</w:t>
      </w:r>
      <w:r w:rsidRPr="0011098D">
        <w:t xml:space="preserve"> regional specialists who have experience in 14(c) enforcement to provide assistance to less experienced investigators in their region conducting a 14(c) investigation.</w:t>
      </w:r>
    </w:p>
    <w:p w14:paraId="731333B2" w14:textId="4D986EFD" w:rsidR="008920BA" w:rsidRPr="0093162D" w:rsidRDefault="0093162D" w:rsidP="00F31686">
      <w:pPr>
        <w:pStyle w:val="Heading3"/>
      </w:pPr>
      <w:bookmarkStart w:id="72" w:name="_Toc526182117"/>
      <w:r>
        <w:t>Adequacy of Agency Resources</w:t>
      </w:r>
      <w:bookmarkEnd w:id="72"/>
    </w:p>
    <w:p w14:paraId="085780A7" w14:textId="77777777" w:rsidR="00296DA5" w:rsidRDefault="000C1C23" w:rsidP="00F31686">
      <w:pPr>
        <w:pStyle w:val="NCDBodyText"/>
      </w:pPr>
      <w:r w:rsidRPr="00423854">
        <w:t>WHD</w:t>
      </w:r>
      <w:r w:rsidR="006474CA">
        <w:t>’</w:t>
      </w:r>
      <w:r w:rsidRPr="00423854">
        <w:t>s budget has not kep</w:t>
      </w:r>
      <w:r>
        <w:t>t</w:t>
      </w:r>
      <w:r w:rsidRPr="00423854">
        <w:t xml:space="preserve"> pace</w:t>
      </w:r>
      <w:r>
        <w:t xml:space="preserve"> with</w:t>
      </w:r>
      <w:r w:rsidR="00633E33" w:rsidRPr="00423854">
        <w:t xml:space="preserve"> </w:t>
      </w:r>
      <w:r>
        <w:t xml:space="preserve">the </w:t>
      </w:r>
      <w:r w:rsidR="00633E33" w:rsidRPr="00423854">
        <w:t xml:space="preserve">rapid developments </w:t>
      </w:r>
      <w:r w:rsidR="00E630E3">
        <w:t xml:space="preserve">over the past eight years </w:t>
      </w:r>
      <w:r w:rsidR="00633E33" w:rsidRPr="00423854">
        <w:t>in law and policy direct</w:t>
      </w:r>
      <w:r>
        <w:t>ly impacting the 14(c) program</w:t>
      </w:r>
      <w:r w:rsidR="00633E33" w:rsidRPr="00423854">
        <w:t xml:space="preserve">. </w:t>
      </w:r>
      <w:r w:rsidR="00422229">
        <w:t>In</w:t>
      </w:r>
      <w:r w:rsidR="00633E33" w:rsidRPr="00423854">
        <w:t xml:space="preserve"> a span of only two years, WHD</w:t>
      </w:r>
      <w:r w:rsidR="006474CA">
        <w:t>’</w:t>
      </w:r>
      <w:r w:rsidR="00633E33" w:rsidRPr="00423854">
        <w:t xml:space="preserve">s responsibilities for enforcement of the 14(c) program expanded with the added responsibility </w:t>
      </w:r>
      <w:r>
        <w:t>under</w:t>
      </w:r>
      <w:r w:rsidR="00633E33" w:rsidRPr="00423854">
        <w:t xml:space="preserve"> WIOA</w:t>
      </w:r>
      <w:r w:rsidR="00422229">
        <w:t xml:space="preserve"> and </w:t>
      </w:r>
      <w:r w:rsidR="00633E33" w:rsidRPr="00423854">
        <w:t xml:space="preserve">revisions to the Rehabilitation Act of 1973 </w:t>
      </w:r>
      <w:r w:rsidR="00015C6D" w:rsidRPr="00423854">
        <w:t>and Executive</w:t>
      </w:r>
      <w:r w:rsidR="00633E33" w:rsidRPr="00423854">
        <w:t xml:space="preserve"> Order 13658.</w:t>
      </w:r>
      <w:r w:rsidR="007872AE">
        <w:t xml:space="preserve"> </w:t>
      </w:r>
      <w:r w:rsidR="00633E33" w:rsidRPr="00423854">
        <w:t xml:space="preserve">WHD did not receive any significant expansion of its budget or resources necessary for additional staff </w:t>
      </w:r>
      <w:r>
        <w:t xml:space="preserve">or </w:t>
      </w:r>
      <w:r w:rsidR="00633E33" w:rsidRPr="00423854">
        <w:t>tr</w:t>
      </w:r>
      <w:r>
        <w:t>aining on the new requirements (see Table F</w:t>
      </w:r>
      <w:r w:rsidRPr="000C1C23">
        <w:t xml:space="preserve"> in Appendix </w:t>
      </w:r>
      <w:r w:rsidR="00EF0CAF">
        <w:t>A</w:t>
      </w:r>
      <w:r>
        <w:t>)</w:t>
      </w:r>
      <w:r w:rsidR="00A65D88">
        <w:t xml:space="preserve">. </w:t>
      </w:r>
      <w:r w:rsidR="00D14151">
        <w:t>A</w:t>
      </w:r>
      <w:r w:rsidR="00D14151" w:rsidRPr="00423854">
        <w:t xml:space="preserve">ppropriations cover all laws enforced by WHD and are not broken down </w:t>
      </w:r>
      <w:r>
        <w:t>by</w:t>
      </w:r>
      <w:r w:rsidR="00D14151" w:rsidRPr="00423854">
        <w:t xml:space="preserve"> ind</w:t>
      </w:r>
      <w:r>
        <w:t xml:space="preserve">ividual areas of responsibility, precluding the ability to </w:t>
      </w:r>
      <w:r w:rsidR="00D14151" w:rsidRPr="00423854">
        <w:t xml:space="preserve">report with any accuracy funds dedicated to </w:t>
      </w:r>
      <w:r>
        <w:t>Section</w:t>
      </w:r>
      <w:r w:rsidRPr="00423854">
        <w:t xml:space="preserve"> 14(c)</w:t>
      </w:r>
      <w:r>
        <w:t xml:space="preserve"> enforcement</w:t>
      </w:r>
      <w:r w:rsidR="00D14151" w:rsidRPr="00423854">
        <w:t>.</w:t>
      </w:r>
    </w:p>
    <w:p w14:paraId="37880FC3" w14:textId="77777777" w:rsidR="00296DA5" w:rsidRDefault="00633E33" w:rsidP="00F31686">
      <w:pPr>
        <w:pStyle w:val="NCDBodyText"/>
        <w:rPr>
          <w:b/>
        </w:rPr>
      </w:pPr>
      <w:r w:rsidRPr="00423854">
        <w:t>WHD does not have staff specifically dedicated to 14(c) enforcement. Rather, as of December 2017, it maintained 880 investigators who serve as generalists</w:t>
      </w:r>
      <w:r w:rsidR="008A4474">
        <w:t>—</w:t>
      </w:r>
      <w:r w:rsidRPr="00423854">
        <w:t>trained to enforce</w:t>
      </w:r>
      <w:r w:rsidR="000C1C23">
        <w:t xml:space="preserve"> numerous laws and regulations</w:t>
      </w:r>
      <w:r w:rsidRPr="00423854">
        <w:t xml:space="preserve"> and who, depending on the circumstances, may become involved in 14(c) investigations.</w:t>
      </w:r>
      <w:r w:rsidRPr="00423854">
        <w:rPr>
          <w:vertAlign w:val="superscript"/>
        </w:rPr>
        <w:endnoteReference w:id="243"/>
      </w:r>
      <w:r w:rsidRPr="00423854">
        <w:t xml:space="preserve"> Nevertheless, the amount of staff time spent on 14(c) investigations is not publicly available, while the total number of 14(c) investigations</w:t>
      </w:r>
      <w:r w:rsidR="00A42473">
        <w:t xml:space="preserve"> is fairly consisten</w:t>
      </w:r>
      <w:r w:rsidR="001B0B60">
        <w:t>t</w:t>
      </w:r>
      <w:r w:rsidR="00A42473">
        <w:t xml:space="preserve"> </w:t>
      </w:r>
      <w:r w:rsidRPr="00423854">
        <w:t>and the process by which investigators r</w:t>
      </w:r>
      <w:r w:rsidR="00A42473">
        <w:t>eceive training about 14(c) is not effective to build expertise</w:t>
      </w:r>
      <w:r w:rsidR="00422229">
        <w:t>.</w:t>
      </w:r>
      <w:r w:rsidR="002D72C0">
        <w:rPr>
          <w:b/>
        </w:rPr>
        <w:t xml:space="preserve"> </w:t>
      </w:r>
      <w:r w:rsidR="002D72C0" w:rsidRPr="002D72C0">
        <w:rPr>
          <w:b/>
        </w:rPr>
        <w:t>NCD recommends WHD take steps to increase the percentage of investigators trained for, and solely dedicated to, the enforcement of Section 14(c).</w:t>
      </w:r>
    </w:p>
    <w:p w14:paraId="460C40B2" w14:textId="1FEF39C5" w:rsidR="00396A3D" w:rsidRDefault="00A371DF" w:rsidP="00F31686">
      <w:pPr>
        <w:pStyle w:val="Heading3"/>
      </w:pPr>
      <w:bookmarkStart w:id="73" w:name="_Toc526182118"/>
      <w:r>
        <w:t xml:space="preserve">Overview of the </w:t>
      </w:r>
      <w:r w:rsidR="00934DB5" w:rsidRPr="00934DB5">
        <w:t xml:space="preserve">Family </w:t>
      </w:r>
      <w:r w:rsidR="002473D4">
        <w:t xml:space="preserve">and </w:t>
      </w:r>
      <w:r w:rsidR="00934DB5" w:rsidRPr="00934DB5">
        <w:t>Medical Leave Act</w:t>
      </w:r>
      <w:r>
        <w:t xml:space="preserve"> (FMLA)</w:t>
      </w:r>
      <w:bookmarkEnd w:id="73"/>
    </w:p>
    <w:p w14:paraId="7347B54E" w14:textId="77777777" w:rsidR="00296DA5" w:rsidRDefault="00A371DF" w:rsidP="00396A3D">
      <w:pPr>
        <w:pStyle w:val="NCDBodyText"/>
      </w:pPr>
      <w:r>
        <w:t>FMLA allows eligible employees to take</w:t>
      </w:r>
      <w:r w:rsidRPr="00A371DF">
        <w:t xml:space="preserve"> </w:t>
      </w:r>
      <w:r w:rsidR="00D961EC">
        <w:t xml:space="preserve">up to </w:t>
      </w:r>
      <w:r w:rsidR="002D620F">
        <w:t>12</w:t>
      </w:r>
      <w:r w:rsidR="002D620F" w:rsidRPr="00A371DF">
        <w:t xml:space="preserve"> </w:t>
      </w:r>
      <w:r w:rsidRPr="00A371DF">
        <w:t>workweeks of</w:t>
      </w:r>
      <w:r>
        <w:t xml:space="preserve"> leave in a 12-month period for, among other things, </w:t>
      </w:r>
      <w:r w:rsidR="006474CA">
        <w:t>“</w:t>
      </w:r>
      <w:r>
        <w:t>a</w:t>
      </w:r>
      <w:r w:rsidRPr="00A371DF">
        <w:t xml:space="preserve"> serious health condition that makes the employee unable to perform the essent</w:t>
      </w:r>
      <w:r>
        <w:t>ial functions of his or her job.</w:t>
      </w:r>
      <w:r w:rsidR="006474CA">
        <w:t>”</w:t>
      </w:r>
      <w:r w:rsidR="004D5E12">
        <w:rPr>
          <w:rStyle w:val="EndnoteReference"/>
          <w:rFonts w:eastAsiaTheme="minorHAnsi" w:cs="Arial"/>
        </w:rPr>
        <w:endnoteReference w:id="244"/>
      </w:r>
      <w:r w:rsidR="004D5E12">
        <w:t xml:space="preserve"> F</w:t>
      </w:r>
      <w:r>
        <w:t xml:space="preserve">or </w:t>
      </w:r>
      <w:r w:rsidR="00D961EC">
        <w:t xml:space="preserve">some </w:t>
      </w:r>
      <w:r>
        <w:t xml:space="preserve">workers with disabilities, </w:t>
      </w:r>
      <w:r w:rsidR="00D961EC">
        <w:t xml:space="preserve">the right to </w:t>
      </w:r>
      <w:r>
        <w:t xml:space="preserve">FMLA leave and </w:t>
      </w:r>
      <w:r w:rsidR="00D961EC">
        <w:t>the possib</w:t>
      </w:r>
      <w:r w:rsidR="00B37984">
        <w:t>ility</w:t>
      </w:r>
      <w:r w:rsidR="00D961EC">
        <w:t xml:space="preserve"> of </w:t>
      </w:r>
      <w:r>
        <w:t xml:space="preserve">leave as a reasonable accommodation under the ADA </w:t>
      </w:r>
      <w:r w:rsidR="00D961EC">
        <w:t>are</w:t>
      </w:r>
      <w:r>
        <w:t xml:space="preserve"> significant factors in expanding employment opportunities</w:t>
      </w:r>
      <w:r w:rsidR="00D961EC">
        <w:t xml:space="preserve">. An employee may file a complaint with WHD to investigate an alleged </w:t>
      </w:r>
      <w:r w:rsidR="00D961EC">
        <w:lastRenderedPageBreak/>
        <w:t>FMLA violation or file suit directly in federa</w:t>
      </w:r>
      <w:r w:rsidR="00A5645B">
        <w:t>l court without first seeking a</w:t>
      </w:r>
      <w:r w:rsidR="00D961EC">
        <w:t xml:space="preserve"> WHD investigation.</w:t>
      </w:r>
      <w:r w:rsidR="004D5E12">
        <w:rPr>
          <w:rStyle w:val="EndnoteReference"/>
          <w:rFonts w:eastAsiaTheme="minorHAnsi" w:cs="Arial"/>
        </w:rPr>
        <w:endnoteReference w:id="245"/>
      </w:r>
    </w:p>
    <w:p w14:paraId="7AB8F215" w14:textId="79D17378" w:rsidR="00755EEC" w:rsidRPr="001111B5" w:rsidRDefault="00755EEC" w:rsidP="00F31686">
      <w:pPr>
        <w:pStyle w:val="Heading3"/>
      </w:pPr>
      <w:bookmarkStart w:id="74" w:name="_Toc526182119"/>
      <w:r w:rsidRPr="00755EEC">
        <w:t>Regulatory, Sub</w:t>
      </w:r>
      <w:r w:rsidR="001111B5">
        <w:t>-</w:t>
      </w:r>
      <w:r w:rsidR="00B55E5B">
        <w:t xml:space="preserve">Regulatory, </w:t>
      </w:r>
      <w:r w:rsidR="001111B5">
        <w:t>and Policy Guidance</w:t>
      </w:r>
      <w:bookmarkEnd w:id="74"/>
    </w:p>
    <w:p w14:paraId="1CB186AD" w14:textId="6F27BD4D" w:rsidR="00296DA5" w:rsidRDefault="00755EEC" w:rsidP="00396A3D">
      <w:pPr>
        <w:pStyle w:val="NCDBodyText"/>
      </w:pPr>
      <w:r>
        <w:t xml:space="preserve">WHD published final updated FMLA regulations in recent years including in 2008, 2013, and 2015. In particular, in 2008, WHD implemented military family leave provisions pursuant to the FY 2008 National Defense Authorization Act (NDAA), and made substantive </w:t>
      </w:r>
      <w:r w:rsidR="005C408E">
        <w:t xml:space="preserve">regulatory </w:t>
      </w:r>
      <w:r>
        <w:t>changes based on feedback</w:t>
      </w:r>
      <w:r w:rsidR="005C408E">
        <w:t xml:space="preserve"> from employees, employers, </w:t>
      </w:r>
      <w:r>
        <w:t xml:space="preserve">other interested parties, </w:t>
      </w:r>
      <w:r w:rsidR="002D620F">
        <w:t xml:space="preserve">and </w:t>
      </w:r>
      <w:r>
        <w:t>WHD enforcement experience and in response to litigation since 1993.</w:t>
      </w:r>
      <w:r w:rsidR="005C408E">
        <w:rPr>
          <w:rStyle w:val="EndnoteReference"/>
          <w:rFonts w:eastAsiaTheme="minorHAnsi" w:cs="Arial"/>
        </w:rPr>
        <w:endnoteReference w:id="246"/>
      </w:r>
      <w:r>
        <w:t xml:space="preserve"> In 2013, WHD implemented </w:t>
      </w:r>
      <w:r w:rsidR="005C408E">
        <w:t xml:space="preserve">further </w:t>
      </w:r>
      <w:r>
        <w:t xml:space="preserve">amendments to military family leave provisions and </w:t>
      </w:r>
      <w:r w:rsidR="005C408E">
        <w:t xml:space="preserve">revised the </w:t>
      </w:r>
      <w:r>
        <w:t>calculation of eligibility and leave requirements for airline flight crews</w:t>
      </w:r>
      <w:r w:rsidR="005C408E">
        <w:t xml:space="preserve"> in response to </w:t>
      </w:r>
      <w:r w:rsidR="002D620F">
        <w:t xml:space="preserve">congressional </w:t>
      </w:r>
      <w:r w:rsidR="005C408E">
        <w:t>action</w:t>
      </w:r>
      <w:r>
        <w:t xml:space="preserve">. In 2015, WHD revised the regulatory definition of </w:t>
      </w:r>
      <w:r w:rsidR="00E828A1">
        <w:t>“</w:t>
      </w:r>
      <w:r>
        <w:t>spouse</w:t>
      </w:r>
      <w:r w:rsidR="00E828A1">
        <w:t>”</w:t>
      </w:r>
      <w:r>
        <w:t xml:space="preserve"> under the FMLA following the U</w:t>
      </w:r>
      <w:r w:rsidR="00945033">
        <w:t>.</w:t>
      </w:r>
      <w:r>
        <w:t>S</w:t>
      </w:r>
      <w:r w:rsidR="00945033">
        <w:t>.</w:t>
      </w:r>
      <w:r>
        <w:t xml:space="preserve"> Supreme Court</w:t>
      </w:r>
      <w:r w:rsidR="006474CA">
        <w:t>’</w:t>
      </w:r>
      <w:r>
        <w:t xml:space="preserve">s decision in </w:t>
      </w:r>
      <w:r w:rsidR="00631E24" w:rsidRPr="00631E24">
        <w:rPr>
          <w:i/>
        </w:rPr>
        <w:t>United States v. Windsor</w:t>
      </w:r>
      <w:r>
        <w:t>.</w:t>
      </w:r>
    </w:p>
    <w:p w14:paraId="1FE54D9F" w14:textId="21037523" w:rsidR="00755EEC" w:rsidRDefault="00755EEC" w:rsidP="00F31686">
      <w:pPr>
        <w:pStyle w:val="Heading3"/>
      </w:pPr>
      <w:bookmarkStart w:id="75" w:name="_Toc526182120"/>
      <w:r w:rsidRPr="004B3FF5">
        <w:t>Competent and Credible Investigative Process</w:t>
      </w:r>
      <w:r>
        <w:t xml:space="preserve"> and Enforcement Action</w:t>
      </w:r>
      <w:bookmarkEnd w:id="75"/>
    </w:p>
    <w:p w14:paraId="21E7ACE8" w14:textId="77777777" w:rsidR="00396A3D" w:rsidRDefault="00303F93" w:rsidP="00F31686">
      <w:pPr>
        <w:pStyle w:val="NCDBodyText"/>
      </w:pPr>
      <w:r>
        <w:t>WHD accepts and investigates complaints and allegations of FMLA violati</w:t>
      </w:r>
      <w:r w:rsidR="00A42473">
        <w:t xml:space="preserve">ons by both employees and third </w:t>
      </w:r>
      <w:r>
        <w:t>parties with creditable information. In addition to complaints, WHD selects certain types of businesses or industries for directed investigations under FMLA. It appears that the percentage of complaint-initiated FMLA investigations has remained somewhat consistent over time, with approximately half of investigations being complaint</w:t>
      </w:r>
      <w:r w:rsidR="00257424">
        <w:t xml:space="preserve"> </w:t>
      </w:r>
      <w:r>
        <w:t xml:space="preserve">initiated, and, by implication, half </w:t>
      </w:r>
      <w:r w:rsidR="005C408E">
        <w:t>WHD</w:t>
      </w:r>
      <w:r w:rsidR="00257424">
        <w:t xml:space="preserve"> </w:t>
      </w:r>
      <w:r>
        <w:t>directed.</w:t>
      </w:r>
      <w:r>
        <w:rPr>
          <w:rStyle w:val="EndnoteReference"/>
          <w:rFonts w:eastAsiaTheme="minorHAnsi"/>
        </w:rPr>
        <w:endnoteReference w:id="247"/>
      </w:r>
    </w:p>
    <w:p w14:paraId="4545B6EB" w14:textId="77777777" w:rsidR="00296DA5" w:rsidRDefault="00303F93" w:rsidP="00396A3D">
      <w:pPr>
        <w:pStyle w:val="NCDBodyText"/>
      </w:pPr>
      <w:r>
        <w:t xml:space="preserve">When an </w:t>
      </w:r>
      <w:r w:rsidR="005C408E">
        <w:t>investigation uncovers an</w:t>
      </w:r>
      <w:r>
        <w:t xml:space="preserve"> </w:t>
      </w:r>
      <w:r w:rsidR="005C408E">
        <w:t>FMLA violation</w:t>
      </w:r>
      <w:r>
        <w:t xml:space="preserve">, </w:t>
      </w:r>
      <w:r w:rsidR="00257424">
        <w:t xml:space="preserve">WHD </w:t>
      </w:r>
      <w:r>
        <w:t>staff state that the DOL makes every effort to resolve most complia</w:t>
      </w:r>
      <w:r w:rsidR="005C408E">
        <w:t>nce issues administratively. If appropriate, DOL</w:t>
      </w:r>
      <w:r>
        <w:t xml:space="preserve"> may litigate and/or recommend criminal p</w:t>
      </w:r>
      <w:r w:rsidR="005C408E">
        <w:t>rosecution. WHD may</w:t>
      </w:r>
      <w:r>
        <w:t xml:space="preserve"> supervise the payment of unpaid comp</w:t>
      </w:r>
      <w:r w:rsidR="005C408E">
        <w:t>ensation owed to any employee</w:t>
      </w:r>
      <w:r>
        <w:t xml:space="preserve"> and to oversee the steps needed to</w:t>
      </w:r>
      <w:r w:rsidR="00E06A40">
        <w:t xml:space="preserve"> remedy harm to individuals. Instead of </w:t>
      </w:r>
      <w:r>
        <w:t xml:space="preserve">litigation, WHD may seek back wages, liquidated damages, and other remedies through settlements with </w:t>
      </w:r>
      <w:r w:rsidR="005C408E">
        <w:t>employers. C</w:t>
      </w:r>
      <w:r>
        <w:t>ivil money penalties may be assessed for failure to post the required FMLA notice.</w:t>
      </w:r>
      <w:r w:rsidR="005C408E">
        <w:rPr>
          <w:rStyle w:val="EndnoteReference"/>
          <w:rFonts w:eastAsiaTheme="minorHAnsi" w:cs="Arial"/>
        </w:rPr>
        <w:endnoteReference w:id="248"/>
      </w:r>
    </w:p>
    <w:p w14:paraId="183942D7" w14:textId="61884ED9" w:rsidR="00E4650B" w:rsidRPr="002B227B" w:rsidRDefault="00303F93" w:rsidP="00452A86">
      <w:pPr>
        <w:pStyle w:val="NCDBodyText"/>
        <w:contextualSpacing/>
        <w:rPr>
          <w:rFonts w:eastAsiaTheme="minorHAnsi" w:cs="Arial"/>
          <w:b/>
        </w:rPr>
      </w:pPr>
      <w:r>
        <w:rPr>
          <w:rFonts w:eastAsiaTheme="minorHAnsi" w:cs="Arial"/>
        </w:rPr>
        <w:t xml:space="preserve">WHD uses a variety of performance measures to gauge the effectiveness (and timeliness) of its FMLA enforcement efforts. Over the past decade, the total number of </w:t>
      </w:r>
      <w:r>
        <w:rPr>
          <w:rFonts w:eastAsiaTheme="minorHAnsi" w:cs="Arial"/>
        </w:rPr>
        <w:lastRenderedPageBreak/>
        <w:t>FMLA cases investigated by WHD has declined by more than a third, dropping from 2,157 FMLA cases in 2008 to 1,353 cases in 2017. Overall, more than half of all FMLA cases investigated have resulted in a DOL finding that the law has been violated</w:t>
      </w:r>
      <w:r w:rsidR="00A42473">
        <w:rPr>
          <w:rFonts w:eastAsiaTheme="minorHAnsi" w:cs="Arial"/>
        </w:rPr>
        <w:t>. M</w:t>
      </w:r>
      <w:r>
        <w:rPr>
          <w:rFonts w:eastAsiaTheme="minorHAnsi" w:cs="Arial"/>
        </w:rPr>
        <w:t xml:space="preserve">oreover, in the past five years, this rate has increased, as WHD has found violations </w:t>
      </w:r>
      <w:r w:rsidR="007961F7">
        <w:rPr>
          <w:rFonts w:eastAsiaTheme="minorHAnsi" w:cs="Arial"/>
        </w:rPr>
        <w:t>in an average of 65 percent</w:t>
      </w:r>
      <w:r w:rsidR="008920BA">
        <w:rPr>
          <w:rFonts w:eastAsiaTheme="minorHAnsi" w:cs="Arial"/>
        </w:rPr>
        <w:t xml:space="preserve"> of cases. Table </w:t>
      </w:r>
      <w:r w:rsidR="00DB078C">
        <w:rPr>
          <w:rFonts w:eastAsiaTheme="minorHAnsi" w:cs="Arial"/>
        </w:rPr>
        <w:t>5</w:t>
      </w:r>
      <w:r w:rsidR="008920BA">
        <w:rPr>
          <w:rFonts w:eastAsiaTheme="minorHAnsi" w:cs="Arial"/>
        </w:rPr>
        <w:t xml:space="preserve"> contains</w:t>
      </w:r>
      <w:r>
        <w:rPr>
          <w:rFonts w:cs="Arial"/>
        </w:rPr>
        <w:t xml:space="preserve"> the number of cases initiated under the </w:t>
      </w:r>
      <w:r w:rsidR="008920BA">
        <w:rPr>
          <w:rFonts w:cs="Arial"/>
        </w:rPr>
        <w:t>FMLA</w:t>
      </w:r>
      <w:r>
        <w:rPr>
          <w:rFonts w:cs="Arial"/>
        </w:rPr>
        <w:t xml:space="preserve"> and the number of cases with violations.</w:t>
      </w:r>
      <w:r w:rsidR="002B227B" w:rsidRPr="002B227B">
        <w:rPr>
          <w:rFonts w:eastAsiaTheme="minorHAnsi" w:cs="Arial"/>
          <w:b/>
        </w:rPr>
        <w:t xml:space="preserve"> </w:t>
      </w:r>
      <w:r w:rsidR="002B227B" w:rsidRPr="002D72C0">
        <w:rPr>
          <w:rFonts w:eastAsiaTheme="minorHAnsi" w:cs="Arial"/>
          <w:b/>
        </w:rPr>
        <w:t>NCD recommends WHD undertake a systemic look at the reasons for the increase in FMLA violations, with an emphasis on whether an increase in agency</w:t>
      </w:r>
      <w:r w:rsidR="00F77D72">
        <w:rPr>
          <w:rFonts w:eastAsiaTheme="minorHAnsi" w:cs="Arial"/>
          <w:b/>
        </w:rPr>
        <w:t>-</w:t>
      </w:r>
      <w:r w:rsidR="002B227B" w:rsidRPr="002D72C0">
        <w:rPr>
          <w:rFonts w:eastAsiaTheme="minorHAnsi" w:cs="Arial"/>
          <w:b/>
        </w:rPr>
        <w:t>initiated investigations is warranted.</w:t>
      </w:r>
    </w:p>
    <w:p w14:paraId="67C5FA69" w14:textId="4DFFB4D7" w:rsidR="00303F93" w:rsidRPr="00352BE2" w:rsidRDefault="008920BA" w:rsidP="00F31686">
      <w:pPr>
        <w:pStyle w:val="NCDTableHeader"/>
        <w:spacing w:after="200"/>
        <w:jc w:val="left"/>
      </w:pPr>
      <w:r w:rsidRPr="00352BE2">
        <w:t>T</w:t>
      </w:r>
      <w:r w:rsidR="00031901" w:rsidRPr="00352BE2">
        <w:t>able</w:t>
      </w:r>
      <w:r w:rsidRPr="00352BE2">
        <w:t xml:space="preserve"> </w:t>
      </w:r>
      <w:r w:rsidR="00DB078C" w:rsidRPr="00352BE2">
        <w:t>5</w:t>
      </w:r>
      <w:r w:rsidRPr="00352BE2">
        <w:t xml:space="preserve">: FMLA </w:t>
      </w:r>
      <w:r w:rsidR="00D34F8C">
        <w:t>Cases Filed</w:t>
      </w:r>
      <w:r w:rsidRPr="00352BE2">
        <w:t xml:space="preserve"> with WHD </w:t>
      </w:r>
    </w:p>
    <w:tbl>
      <w:tblPr>
        <w:tblW w:w="9090" w:type="dxa"/>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Caption w:val="Table 5: FMLA Cases Filed with WHD "/>
        <w:tblDescription w:val="Fiscal Year Number of FMLA Cases Number of FMLA Cases with Violations&#10;2008 2,157 1,106&#10;2009 1,913 1,054&#10;2010 2,189 1,069&#10;2011 2,294 1,174&#10;2012 1,915 1,083&#10;2013 1,817 1,097&#10;2014 1,703 1,055&#10;2015 1,680 1,118&#10;2016 1,448    980&#10;2017 1,353    931&#10;"/>
      </w:tblPr>
      <w:tblGrid>
        <w:gridCol w:w="2960"/>
        <w:gridCol w:w="3065"/>
        <w:gridCol w:w="3065"/>
      </w:tblGrid>
      <w:tr w:rsidR="00303F93" w14:paraId="200D90ED" w14:textId="77777777" w:rsidTr="00F31686">
        <w:trPr>
          <w:trHeight w:val="450"/>
        </w:trPr>
        <w:tc>
          <w:tcPr>
            <w:tcW w:w="2960" w:type="dxa"/>
            <w:vAlign w:val="center"/>
            <w:hideMark/>
          </w:tcPr>
          <w:p w14:paraId="312472D9" w14:textId="77777777" w:rsidR="00303F93" w:rsidRPr="00303F93" w:rsidRDefault="00303F93" w:rsidP="00F31686">
            <w:pPr>
              <w:pStyle w:val="NCDTableHeader"/>
              <w:jc w:val="left"/>
            </w:pPr>
            <w:r w:rsidRPr="00303F93">
              <w:t>Fiscal Year</w:t>
            </w:r>
          </w:p>
        </w:tc>
        <w:tc>
          <w:tcPr>
            <w:tcW w:w="3065" w:type="dxa"/>
            <w:vAlign w:val="center"/>
            <w:hideMark/>
          </w:tcPr>
          <w:p w14:paraId="5E56CD77" w14:textId="77777777" w:rsidR="00303F93" w:rsidRPr="00303F93" w:rsidRDefault="00D34F8C" w:rsidP="00F31686">
            <w:pPr>
              <w:pStyle w:val="NCDTableHeader"/>
            </w:pPr>
            <w:r>
              <w:t xml:space="preserve">Number of </w:t>
            </w:r>
            <w:r w:rsidR="00303F93" w:rsidRPr="00303F93">
              <w:t>FMLA Cases</w:t>
            </w:r>
          </w:p>
        </w:tc>
        <w:tc>
          <w:tcPr>
            <w:tcW w:w="3065" w:type="dxa"/>
            <w:vAlign w:val="center"/>
            <w:hideMark/>
          </w:tcPr>
          <w:p w14:paraId="431537E1" w14:textId="77777777" w:rsidR="00303F93" w:rsidRPr="00303F93" w:rsidRDefault="00D34F8C" w:rsidP="00F31686">
            <w:pPr>
              <w:pStyle w:val="NCDTableHeader"/>
            </w:pPr>
            <w:r>
              <w:t xml:space="preserve">Number of </w:t>
            </w:r>
            <w:r w:rsidR="00303F93" w:rsidRPr="00303F93">
              <w:t>FMLA Cases with Violations</w:t>
            </w:r>
          </w:p>
        </w:tc>
      </w:tr>
      <w:tr w:rsidR="00303F93" w14:paraId="7BE46AED" w14:textId="77777777" w:rsidTr="00F31686">
        <w:trPr>
          <w:trHeight w:val="300"/>
        </w:trPr>
        <w:tc>
          <w:tcPr>
            <w:tcW w:w="2960" w:type="dxa"/>
            <w:noWrap/>
            <w:vAlign w:val="center"/>
            <w:hideMark/>
          </w:tcPr>
          <w:p w14:paraId="437D93F0" w14:textId="77777777" w:rsidR="00303F93" w:rsidRPr="00D70CEB" w:rsidRDefault="00303F93" w:rsidP="00F31686">
            <w:pPr>
              <w:pStyle w:val="NCDTableText"/>
              <w:rPr>
                <w:b/>
              </w:rPr>
            </w:pPr>
            <w:r w:rsidRPr="00D70CEB">
              <w:rPr>
                <w:b/>
              </w:rPr>
              <w:t>2008</w:t>
            </w:r>
          </w:p>
        </w:tc>
        <w:tc>
          <w:tcPr>
            <w:tcW w:w="3065" w:type="dxa"/>
            <w:noWrap/>
            <w:vAlign w:val="bottom"/>
            <w:hideMark/>
          </w:tcPr>
          <w:p w14:paraId="43A12EBC" w14:textId="77777777" w:rsidR="00303F93" w:rsidRPr="00303F93" w:rsidRDefault="00303F93" w:rsidP="00F31686">
            <w:pPr>
              <w:pStyle w:val="NCDTableText"/>
              <w:jc w:val="center"/>
            </w:pPr>
            <w:r w:rsidRPr="00303F93">
              <w:t>2,157</w:t>
            </w:r>
          </w:p>
        </w:tc>
        <w:tc>
          <w:tcPr>
            <w:tcW w:w="3065" w:type="dxa"/>
            <w:noWrap/>
            <w:vAlign w:val="bottom"/>
            <w:hideMark/>
          </w:tcPr>
          <w:p w14:paraId="198AC641" w14:textId="77777777" w:rsidR="00303F93" w:rsidRPr="00303F93" w:rsidRDefault="00303F93" w:rsidP="00F31686">
            <w:pPr>
              <w:pStyle w:val="NCDTableText"/>
              <w:jc w:val="center"/>
            </w:pPr>
            <w:r w:rsidRPr="00303F93">
              <w:t>1,106</w:t>
            </w:r>
          </w:p>
        </w:tc>
      </w:tr>
      <w:tr w:rsidR="00303F93" w14:paraId="55AD1DC7" w14:textId="77777777" w:rsidTr="00F31686">
        <w:trPr>
          <w:trHeight w:val="300"/>
        </w:trPr>
        <w:tc>
          <w:tcPr>
            <w:tcW w:w="2960" w:type="dxa"/>
            <w:noWrap/>
            <w:vAlign w:val="center"/>
            <w:hideMark/>
          </w:tcPr>
          <w:p w14:paraId="04E6F299" w14:textId="77777777" w:rsidR="00303F93" w:rsidRPr="00D70CEB" w:rsidRDefault="00303F93" w:rsidP="00F31686">
            <w:pPr>
              <w:pStyle w:val="NCDTableText"/>
              <w:rPr>
                <w:b/>
              </w:rPr>
            </w:pPr>
            <w:r w:rsidRPr="00D70CEB">
              <w:rPr>
                <w:b/>
              </w:rPr>
              <w:t>2009</w:t>
            </w:r>
          </w:p>
        </w:tc>
        <w:tc>
          <w:tcPr>
            <w:tcW w:w="3065" w:type="dxa"/>
            <w:noWrap/>
            <w:vAlign w:val="bottom"/>
            <w:hideMark/>
          </w:tcPr>
          <w:p w14:paraId="2AF58BA9" w14:textId="77777777" w:rsidR="00303F93" w:rsidRPr="00303F93" w:rsidRDefault="00303F93" w:rsidP="00F31686">
            <w:pPr>
              <w:pStyle w:val="NCDTableText"/>
              <w:jc w:val="center"/>
            </w:pPr>
            <w:r w:rsidRPr="00303F93">
              <w:t>1,913</w:t>
            </w:r>
          </w:p>
        </w:tc>
        <w:tc>
          <w:tcPr>
            <w:tcW w:w="3065" w:type="dxa"/>
            <w:noWrap/>
            <w:vAlign w:val="bottom"/>
            <w:hideMark/>
          </w:tcPr>
          <w:p w14:paraId="28FB8F17" w14:textId="77777777" w:rsidR="00303F93" w:rsidRPr="00303F93" w:rsidRDefault="00303F93" w:rsidP="00F31686">
            <w:pPr>
              <w:pStyle w:val="NCDTableText"/>
              <w:jc w:val="center"/>
            </w:pPr>
            <w:r w:rsidRPr="00303F93">
              <w:t>1,054</w:t>
            </w:r>
          </w:p>
        </w:tc>
      </w:tr>
      <w:tr w:rsidR="00303F93" w14:paraId="6A3DADD1" w14:textId="77777777" w:rsidTr="00F31686">
        <w:trPr>
          <w:trHeight w:val="300"/>
        </w:trPr>
        <w:tc>
          <w:tcPr>
            <w:tcW w:w="2960" w:type="dxa"/>
            <w:noWrap/>
            <w:vAlign w:val="center"/>
            <w:hideMark/>
          </w:tcPr>
          <w:p w14:paraId="6D5C2C83" w14:textId="77777777" w:rsidR="00303F93" w:rsidRPr="00D70CEB" w:rsidRDefault="00303F93" w:rsidP="00F31686">
            <w:pPr>
              <w:pStyle w:val="NCDTableText"/>
              <w:rPr>
                <w:b/>
              </w:rPr>
            </w:pPr>
            <w:r w:rsidRPr="00D70CEB">
              <w:rPr>
                <w:b/>
              </w:rPr>
              <w:t>2010</w:t>
            </w:r>
          </w:p>
        </w:tc>
        <w:tc>
          <w:tcPr>
            <w:tcW w:w="3065" w:type="dxa"/>
            <w:noWrap/>
            <w:vAlign w:val="bottom"/>
            <w:hideMark/>
          </w:tcPr>
          <w:p w14:paraId="042499E6" w14:textId="77777777" w:rsidR="00303F93" w:rsidRPr="00303F93" w:rsidRDefault="00303F93" w:rsidP="00F31686">
            <w:pPr>
              <w:pStyle w:val="NCDTableText"/>
              <w:jc w:val="center"/>
            </w:pPr>
            <w:r w:rsidRPr="00303F93">
              <w:t>2,189</w:t>
            </w:r>
          </w:p>
        </w:tc>
        <w:tc>
          <w:tcPr>
            <w:tcW w:w="3065" w:type="dxa"/>
            <w:noWrap/>
            <w:vAlign w:val="bottom"/>
            <w:hideMark/>
          </w:tcPr>
          <w:p w14:paraId="0B30CD39" w14:textId="77777777" w:rsidR="00303F93" w:rsidRPr="00303F93" w:rsidRDefault="00303F93" w:rsidP="00F31686">
            <w:pPr>
              <w:pStyle w:val="NCDTableText"/>
              <w:jc w:val="center"/>
            </w:pPr>
            <w:r w:rsidRPr="00303F93">
              <w:t>1,069</w:t>
            </w:r>
          </w:p>
        </w:tc>
      </w:tr>
      <w:tr w:rsidR="00303F93" w14:paraId="5A419BF1" w14:textId="77777777" w:rsidTr="00F31686">
        <w:trPr>
          <w:trHeight w:val="300"/>
        </w:trPr>
        <w:tc>
          <w:tcPr>
            <w:tcW w:w="2960" w:type="dxa"/>
            <w:noWrap/>
            <w:vAlign w:val="center"/>
            <w:hideMark/>
          </w:tcPr>
          <w:p w14:paraId="5B4207E9" w14:textId="77777777" w:rsidR="00303F93" w:rsidRPr="00D70CEB" w:rsidRDefault="00303F93" w:rsidP="00F31686">
            <w:pPr>
              <w:pStyle w:val="NCDTableText"/>
              <w:rPr>
                <w:b/>
              </w:rPr>
            </w:pPr>
            <w:r w:rsidRPr="00D70CEB">
              <w:rPr>
                <w:b/>
              </w:rPr>
              <w:t>2011</w:t>
            </w:r>
          </w:p>
        </w:tc>
        <w:tc>
          <w:tcPr>
            <w:tcW w:w="3065" w:type="dxa"/>
            <w:noWrap/>
            <w:vAlign w:val="bottom"/>
            <w:hideMark/>
          </w:tcPr>
          <w:p w14:paraId="0F365F72" w14:textId="77777777" w:rsidR="00303F93" w:rsidRPr="00303F93" w:rsidRDefault="00303F93" w:rsidP="00F31686">
            <w:pPr>
              <w:pStyle w:val="NCDTableText"/>
              <w:jc w:val="center"/>
            </w:pPr>
            <w:r w:rsidRPr="00303F93">
              <w:t>2,294</w:t>
            </w:r>
          </w:p>
        </w:tc>
        <w:tc>
          <w:tcPr>
            <w:tcW w:w="3065" w:type="dxa"/>
            <w:noWrap/>
            <w:vAlign w:val="bottom"/>
            <w:hideMark/>
          </w:tcPr>
          <w:p w14:paraId="33F85E2C" w14:textId="77777777" w:rsidR="00303F93" w:rsidRPr="00303F93" w:rsidRDefault="00303F93" w:rsidP="00F31686">
            <w:pPr>
              <w:pStyle w:val="NCDTableText"/>
              <w:jc w:val="center"/>
            </w:pPr>
            <w:r w:rsidRPr="00303F93">
              <w:t>1,174</w:t>
            </w:r>
          </w:p>
        </w:tc>
      </w:tr>
      <w:tr w:rsidR="00303F93" w14:paraId="4C656C41" w14:textId="77777777" w:rsidTr="00F31686">
        <w:trPr>
          <w:trHeight w:val="300"/>
        </w:trPr>
        <w:tc>
          <w:tcPr>
            <w:tcW w:w="2960" w:type="dxa"/>
            <w:noWrap/>
            <w:vAlign w:val="center"/>
            <w:hideMark/>
          </w:tcPr>
          <w:p w14:paraId="22086437" w14:textId="77777777" w:rsidR="00303F93" w:rsidRPr="00D70CEB" w:rsidRDefault="00303F93" w:rsidP="00F31686">
            <w:pPr>
              <w:pStyle w:val="NCDTableText"/>
              <w:rPr>
                <w:b/>
              </w:rPr>
            </w:pPr>
            <w:r w:rsidRPr="00D70CEB">
              <w:rPr>
                <w:b/>
              </w:rPr>
              <w:t>2012</w:t>
            </w:r>
          </w:p>
        </w:tc>
        <w:tc>
          <w:tcPr>
            <w:tcW w:w="3065" w:type="dxa"/>
            <w:noWrap/>
            <w:vAlign w:val="bottom"/>
            <w:hideMark/>
          </w:tcPr>
          <w:p w14:paraId="36F94887" w14:textId="77777777" w:rsidR="00303F93" w:rsidRPr="00303F93" w:rsidRDefault="00303F93" w:rsidP="00F31686">
            <w:pPr>
              <w:pStyle w:val="NCDTableText"/>
              <w:jc w:val="center"/>
            </w:pPr>
            <w:r w:rsidRPr="00303F93">
              <w:t>1,915</w:t>
            </w:r>
          </w:p>
        </w:tc>
        <w:tc>
          <w:tcPr>
            <w:tcW w:w="3065" w:type="dxa"/>
            <w:noWrap/>
            <w:vAlign w:val="bottom"/>
            <w:hideMark/>
          </w:tcPr>
          <w:p w14:paraId="146045E0" w14:textId="77777777" w:rsidR="00303F93" w:rsidRPr="00303F93" w:rsidRDefault="00303F93" w:rsidP="00F31686">
            <w:pPr>
              <w:pStyle w:val="NCDTableText"/>
              <w:jc w:val="center"/>
            </w:pPr>
            <w:r w:rsidRPr="00303F93">
              <w:t>1,083</w:t>
            </w:r>
          </w:p>
        </w:tc>
      </w:tr>
      <w:tr w:rsidR="00303F93" w14:paraId="1AB5A702" w14:textId="77777777" w:rsidTr="00F31686">
        <w:trPr>
          <w:trHeight w:val="300"/>
        </w:trPr>
        <w:tc>
          <w:tcPr>
            <w:tcW w:w="2960" w:type="dxa"/>
            <w:noWrap/>
            <w:vAlign w:val="center"/>
            <w:hideMark/>
          </w:tcPr>
          <w:p w14:paraId="69F6D732" w14:textId="77777777" w:rsidR="00303F93" w:rsidRPr="00D70CEB" w:rsidRDefault="00303F93" w:rsidP="00F31686">
            <w:pPr>
              <w:pStyle w:val="NCDTableText"/>
              <w:rPr>
                <w:b/>
              </w:rPr>
            </w:pPr>
            <w:r w:rsidRPr="00D70CEB">
              <w:rPr>
                <w:b/>
              </w:rPr>
              <w:t>2013</w:t>
            </w:r>
          </w:p>
        </w:tc>
        <w:tc>
          <w:tcPr>
            <w:tcW w:w="3065" w:type="dxa"/>
            <w:noWrap/>
            <w:vAlign w:val="bottom"/>
            <w:hideMark/>
          </w:tcPr>
          <w:p w14:paraId="3DAA9459" w14:textId="77777777" w:rsidR="00303F93" w:rsidRPr="00303F93" w:rsidRDefault="00303F93" w:rsidP="00F31686">
            <w:pPr>
              <w:pStyle w:val="NCDTableText"/>
              <w:jc w:val="center"/>
            </w:pPr>
            <w:r w:rsidRPr="00303F93">
              <w:t>1,817</w:t>
            </w:r>
          </w:p>
        </w:tc>
        <w:tc>
          <w:tcPr>
            <w:tcW w:w="3065" w:type="dxa"/>
            <w:noWrap/>
            <w:vAlign w:val="bottom"/>
            <w:hideMark/>
          </w:tcPr>
          <w:p w14:paraId="5409E57C" w14:textId="77777777" w:rsidR="00303F93" w:rsidRPr="00303F93" w:rsidRDefault="00303F93" w:rsidP="00F31686">
            <w:pPr>
              <w:pStyle w:val="NCDTableText"/>
              <w:jc w:val="center"/>
            </w:pPr>
            <w:r w:rsidRPr="00303F93">
              <w:t>1,097</w:t>
            </w:r>
          </w:p>
        </w:tc>
      </w:tr>
      <w:tr w:rsidR="00303F93" w14:paraId="2D801814" w14:textId="77777777" w:rsidTr="00F31686">
        <w:trPr>
          <w:trHeight w:val="300"/>
        </w:trPr>
        <w:tc>
          <w:tcPr>
            <w:tcW w:w="2960" w:type="dxa"/>
            <w:noWrap/>
            <w:vAlign w:val="center"/>
            <w:hideMark/>
          </w:tcPr>
          <w:p w14:paraId="45D4ACDA" w14:textId="77777777" w:rsidR="00303F93" w:rsidRPr="00D70CEB" w:rsidRDefault="00303F93" w:rsidP="00F31686">
            <w:pPr>
              <w:pStyle w:val="NCDTableText"/>
              <w:rPr>
                <w:b/>
              </w:rPr>
            </w:pPr>
            <w:r w:rsidRPr="00D70CEB">
              <w:rPr>
                <w:b/>
              </w:rPr>
              <w:t>2014</w:t>
            </w:r>
          </w:p>
        </w:tc>
        <w:tc>
          <w:tcPr>
            <w:tcW w:w="3065" w:type="dxa"/>
            <w:noWrap/>
            <w:vAlign w:val="bottom"/>
            <w:hideMark/>
          </w:tcPr>
          <w:p w14:paraId="0AF7F8B9" w14:textId="77777777" w:rsidR="00303F93" w:rsidRPr="00303F93" w:rsidRDefault="00303F93" w:rsidP="00F31686">
            <w:pPr>
              <w:pStyle w:val="NCDTableText"/>
              <w:jc w:val="center"/>
            </w:pPr>
            <w:r w:rsidRPr="00303F93">
              <w:t>1,703</w:t>
            </w:r>
          </w:p>
        </w:tc>
        <w:tc>
          <w:tcPr>
            <w:tcW w:w="3065" w:type="dxa"/>
            <w:noWrap/>
            <w:vAlign w:val="bottom"/>
            <w:hideMark/>
          </w:tcPr>
          <w:p w14:paraId="660D764B" w14:textId="77777777" w:rsidR="00303F93" w:rsidRPr="00303F93" w:rsidRDefault="00303F93" w:rsidP="00F31686">
            <w:pPr>
              <w:pStyle w:val="NCDTableText"/>
              <w:jc w:val="center"/>
            </w:pPr>
            <w:r w:rsidRPr="00303F93">
              <w:t>1,055</w:t>
            </w:r>
          </w:p>
        </w:tc>
      </w:tr>
      <w:tr w:rsidR="00303F93" w14:paraId="1690210F" w14:textId="77777777" w:rsidTr="00F31686">
        <w:trPr>
          <w:trHeight w:val="300"/>
        </w:trPr>
        <w:tc>
          <w:tcPr>
            <w:tcW w:w="2960" w:type="dxa"/>
            <w:noWrap/>
            <w:vAlign w:val="center"/>
            <w:hideMark/>
          </w:tcPr>
          <w:p w14:paraId="26288245" w14:textId="77777777" w:rsidR="00303F93" w:rsidRPr="00D70CEB" w:rsidRDefault="00303F93" w:rsidP="00F31686">
            <w:pPr>
              <w:pStyle w:val="NCDTableText"/>
              <w:rPr>
                <w:b/>
              </w:rPr>
            </w:pPr>
            <w:r w:rsidRPr="00D70CEB">
              <w:rPr>
                <w:b/>
              </w:rPr>
              <w:t>2015</w:t>
            </w:r>
          </w:p>
        </w:tc>
        <w:tc>
          <w:tcPr>
            <w:tcW w:w="3065" w:type="dxa"/>
            <w:noWrap/>
            <w:vAlign w:val="bottom"/>
            <w:hideMark/>
          </w:tcPr>
          <w:p w14:paraId="7B1A6415" w14:textId="77777777" w:rsidR="00303F93" w:rsidRPr="00303F93" w:rsidRDefault="00303F93" w:rsidP="00F31686">
            <w:pPr>
              <w:pStyle w:val="NCDTableText"/>
              <w:jc w:val="center"/>
            </w:pPr>
            <w:r w:rsidRPr="00303F93">
              <w:t>1,680</w:t>
            </w:r>
          </w:p>
        </w:tc>
        <w:tc>
          <w:tcPr>
            <w:tcW w:w="3065" w:type="dxa"/>
            <w:noWrap/>
            <w:vAlign w:val="bottom"/>
            <w:hideMark/>
          </w:tcPr>
          <w:p w14:paraId="3E7E83B9" w14:textId="77777777" w:rsidR="00303F93" w:rsidRPr="00303F93" w:rsidRDefault="00303F93" w:rsidP="00F31686">
            <w:pPr>
              <w:pStyle w:val="NCDTableText"/>
              <w:jc w:val="center"/>
            </w:pPr>
            <w:r w:rsidRPr="00303F93">
              <w:t>1,118</w:t>
            </w:r>
          </w:p>
        </w:tc>
      </w:tr>
      <w:tr w:rsidR="00303F93" w14:paraId="590C8237" w14:textId="77777777" w:rsidTr="00F31686">
        <w:trPr>
          <w:trHeight w:val="300"/>
        </w:trPr>
        <w:tc>
          <w:tcPr>
            <w:tcW w:w="2960" w:type="dxa"/>
            <w:noWrap/>
            <w:vAlign w:val="center"/>
            <w:hideMark/>
          </w:tcPr>
          <w:p w14:paraId="3250EF8D" w14:textId="77777777" w:rsidR="00303F93" w:rsidRPr="00D70CEB" w:rsidRDefault="00303F93" w:rsidP="00F31686">
            <w:pPr>
              <w:pStyle w:val="NCDTableText"/>
              <w:rPr>
                <w:b/>
              </w:rPr>
            </w:pPr>
            <w:r w:rsidRPr="00D70CEB">
              <w:rPr>
                <w:b/>
              </w:rPr>
              <w:t>2016</w:t>
            </w:r>
          </w:p>
        </w:tc>
        <w:tc>
          <w:tcPr>
            <w:tcW w:w="3065" w:type="dxa"/>
            <w:noWrap/>
            <w:vAlign w:val="bottom"/>
            <w:hideMark/>
          </w:tcPr>
          <w:p w14:paraId="6602C96A" w14:textId="77777777" w:rsidR="00303F93" w:rsidRPr="00303F93" w:rsidRDefault="00303F93" w:rsidP="00F31686">
            <w:pPr>
              <w:pStyle w:val="NCDTableText"/>
              <w:jc w:val="center"/>
            </w:pPr>
            <w:r w:rsidRPr="00303F93">
              <w:t>1,448</w:t>
            </w:r>
          </w:p>
        </w:tc>
        <w:tc>
          <w:tcPr>
            <w:tcW w:w="3065" w:type="dxa"/>
            <w:noWrap/>
            <w:vAlign w:val="bottom"/>
            <w:hideMark/>
          </w:tcPr>
          <w:p w14:paraId="13F5D581" w14:textId="3E5D9F25" w:rsidR="00303F93" w:rsidRPr="00303F93" w:rsidRDefault="00D70CEB" w:rsidP="00F31686">
            <w:pPr>
              <w:pStyle w:val="NCDTableText"/>
              <w:jc w:val="center"/>
            </w:pPr>
            <w:r>
              <w:t xml:space="preserve">   </w:t>
            </w:r>
            <w:r w:rsidR="00303F93" w:rsidRPr="00303F93">
              <w:t>980</w:t>
            </w:r>
          </w:p>
        </w:tc>
      </w:tr>
      <w:tr w:rsidR="00303F93" w14:paraId="68CF9E3B" w14:textId="77777777" w:rsidTr="00F31686">
        <w:trPr>
          <w:trHeight w:val="300"/>
        </w:trPr>
        <w:tc>
          <w:tcPr>
            <w:tcW w:w="2960" w:type="dxa"/>
            <w:noWrap/>
            <w:vAlign w:val="center"/>
            <w:hideMark/>
          </w:tcPr>
          <w:p w14:paraId="4FEC5557" w14:textId="77777777" w:rsidR="00303F93" w:rsidRPr="00D70CEB" w:rsidRDefault="00303F93" w:rsidP="00F31686">
            <w:pPr>
              <w:pStyle w:val="NCDTableText"/>
              <w:rPr>
                <w:b/>
              </w:rPr>
            </w:pPr>
            <w:r w:rsidRPr="00D70CEB">
              <w:rPr>
                <w:b/>
              </w:rPr>
              <w:t>2017</w:t>
            </w:r>
          </w:p>
        </w:tc>
        <w:tc>
          <w:tcPr>
            <w:tcW w:w="3065" w:type="dxa"/>
            <w:noWrap/>
            <w:vAlign w:val="bottom"/>
            <w:hideMark/>
          </w:tcPr>
          <w:p w14:paraId="3892D0E2" w14:textId="77777777" w:rsidR="00303F93" w:rsidRPr="00303F93" w:rsidRDefault="00303F93" w:rsidP="00F31686">
            <w:pPr>
              <w:pStyle w:val="NCDTableText"/>
              <w:jc w:val="center"/>
            </w:pPr>
            <w:r w:rsidRPr="00303F93">
              <w:t>1,353</w:t>
            </w:r>
          </w:p>
        </w:tc>
        <w:tc>
          <w:tcPr>
            <w:tcW w:w="3065" w:type="dxa"/>
            <w:noWrap/>
            <w:vAlign w:val="bottom"/>
            <w:hideMark/>
          </w:tcPr>
          <w:p w14:paraId="7364459D" w14:textId="28AF15DA" w:rsidR="00303F93" w:rsidRPr="00303F93" w:rsidRDefault="00D70CEB" w:rsidP="00D70CEB">
            <w:pPr>
              <w:pStyle w:val="NCDTableText"/>
              <w:tabs>
                <w:tab w:val="left" w:pos="1706"/>
              </w:tabs>
              <w:jc w:val="center"/>
            </w:pPr>
            <w:r>
              <w:t xml:space="preserve">   </w:t>
            </w:r>
            <w:r w:rsidR="00303F93" w:rsidRPr="00303F93">
              <w:t>931</w:t>
            </w:r>
          </w:p>
        </w:tc>
      </w:tr>
    </w:tbl>
    <w:p w14:paraId="4486CCA4" w14:textId="77777777" w:rsidR="00296DA5" w:rsidRDefault="008920BA" w:rsidP="00F31686">
      <w:pPr>
        <w:pStyle w:val="NCDTableSource"/>
      </w:pPr>
      <w:r>
        <w:t>Data Source: WHD</w:t>
      </w:r>
    </w:p>
    <w:p w14:paraId="0C474031" w14:textId="77777777" w:rsidR="00296DA5" w:rsidRDefault="002B227B" w:rsidP="00F31686">
      <w:pPr>
        <w:pStyle w:val="NCDBodyText"/>
      </w:pPr>
      <w:r>
        <w:t>DOL may file a lawsuit in U.S. district court on behalf of employees for back wages and an equal am</w:t>
      </w:r>
      <w:r w:rsidR="007961F7">
        <w:t xml:space="preserve">ount in liquidated damages. DOL </w:t>
      </w:r>
      <w:r>
        <w:t>may seek a court injunction to stop FMLA violations, including unlawful retaliation against employees who file complaints or cooperate with DOL. If an employee files a private suit in court seeking back pay, an equal amount in liquidated damages, and/or other appropriate remedies, DOL will not seek the same remedies on that employee</w:t>
      </w:r>
      <w:r w:rsidR="006474CA">
        <w:t>’</w:t>
      </w:r>
      <w:r>
        <w:t>s behalf.</w:t>
      </w:r>
    </w:p>
    <w:p w14:paraId="52F14524" w14:textId="0265890C" w:rsidR="00755EEC" w:rsidRDefault="00755EEC" w:rsidP="00F31686">
      <w:pPr>
        <w:pStyle w:val="Heading3"/>
      </w:pPr>
      <w:bookmarkStart w:id="76" w:name="_Toc526182121"/>
      <w:r w:rsidRPr="0011098D">
        <w:lastRenderedPageBreak/>
        <w:t>Technical Assistance</w:t>
      </w:r>
      <w:r>
        <w:t xml:space="preserve"> and Training</w:t>
      </w:r>
      <w:bookmarkEnd w:id="76"/>
    </w:p>
    <w:p w14:paraId="6F2BE1E8" w14:textId="77777777" w:rsidR="00396A3D" w:rsidRDefault="00303F93" w:rsidP="00F31686">
      <w:pPr>
        <w:pStyle w:val="NCDBodyText"/>
      </w:pPr>
      <w:r>
        <w:t xml:space="preserve">WHD has published </w:t>
      </w:r>
      <w:r w:rsidR="00C92BC0">
        <w:t xml:space="preserve">more than </w:t>
      </w:r>
      <w:r>
        <w:t>30 materials or pieces of guida</w:t>
      </w:r>
      <w:r w:rsidR="00E4650B">
        <w:t>nce relating to FMLA since 2008</w:t>
      </w:r>
      <w:r>
        <w:t>. These include nearly 20 fact sheets, a plain-language Employee Guide for workers and their families, a comprehensive Employer Guide for leave adm</w:t>
      </w:r>
      <w:r w:rsidR="00071569">
        <w:t xml:space="preserve">inistrators, and updated FAQs. </w:t>
      </w:r>
      <w:r w:rsidR="002B227B">
        <w:t>WHD receives significant inquir</w:t>
      </w:r>
      <w:r w:rsidR="002868E3">
        <w:t>i</w:t>
      </w:r>
      <w:r w:rsidR="002B227B">
        <w:t xml:space="preserve">es for </w:t>
      </w:r>
      <w:r>
        <w:t xml:space="preserve">technical assistance and outreach </w:t>
      </w:r>
      <w:r w:rsidR="002B227B">
        <w:t xml:space="preserve">about the FMLA, </w:t>
      </w:r>
      <w:r>
        <w:t xml:space="preserve">and local offices </w:t>
      </w:r>
      <w:r w:rsidR="002B227B">
        <w:t>r</w:t>
      </w:r>
      <w:r>
        <w:t>eceive and respond to numerous telephone inquiries daily on the law. According to agency staff, WHD</w:t>
      </w:r>
      <w:r w:rsidR="006474CA">
        <w:t>’</w:t>
      </w:r>
      <w:r>
        <w:t xml:space="preserve">s FMLA webpages, which contain many </w:t>
      </w:r>
      <w:r w:rsidR="003E5236">
        <w:t>compliance-</w:t>
      </w:r>
      <w:r>
        <w:t>assistance materials, are often the most visited on WHD website</w:t>
      </w:r>
      <w:r w:rsidR="002B227B">
        <w:t>,</w:t>
      </w:r>
      <w:r>
        <w:t xml:space="preserve"> and the FMLA webpages are consistently listed among the most visited pages on the DOL website as a whole. Over a six-month period in FY 2017, the FMLA main page was visited more than half a million times.</w:t>
      </w:r>
    </w:p>
    <w:p w14:paraId="6C3808AB" w14:textId="77777777" w:rsidR="00296DA5" w:rsidRDefault="00303F93" w:rsidP="00F31686">
      <w:pPr>
        <w:pStyle w:val="NCDBodyText"/>
      </w:pPr>
      <w:r>
        <w:t>WHD conducts outreach at even</w:t>
      </w:r>
      <w:r w:rsidR="00071569">
        <w:t xml:space="preserve">ts across the country on </w:t>
      </w:r>
      <w:r w:rsidR="005C408E">
        <w:t xml:space="preserve">the </w:t>
      </w:r>
      <w:r w:rsidR="00071569">
        <w:t xml:space="preserve">FMLA. </w:t>
      </w:r>
      <w:r>
        <w:t>In addition, FMLA information is provided in almost all ou</w:t>
      </w:r>
      <w:r w:rsidR="00071569">
        <w:t xml:space="preserve">treach events with the public. </w:t>
      </w:r>
      <w:r>
        <w:t>WHD partners with the Employment Benefits</w:t>
      </w:r>
      <w:r w:rsidR="002B227B">
        <w:t xml:space="preserve"> Standards Administration</w:t>
      </w:r>
      <w:r>
        <w:t xml:space="preserve"> to address the FMLA at their health benefits education campaign events (approximately 5</w:t>
      </w:r>
      <w:r w:rsidR="00CC064C">
        <w:t>–</w:t>
      </w:r>
      <w:r w:rsidR="00047948">
        <w:t>10 held annually).</w:t>
      </w:r>
    </w:p>
    <w:p w14:paraId="0F01EE0D" w14:textId="77777777" w:rsidR="00F31686" w:rsidRDefault="00F31686">
      <w:pPr>
        <w:spacing w:after="200"/>
        <w:rPr>
          <w:rFonts w:ascii="Arial" w:hAnsi="Arial" w:cs="Arial"/>
          <w:b/>
          <w:i/>
          <w:color w:val="000000" w:themeColor="text1"/>
          <w:szCs w:val="24"/>
        </w:rPr>
      </w:pPr>
      <w:bookmarkStart w:id="77" w:name="_Toc520979982"/>
      <w:r>
        <w:br w:type="page"/>
      </w:r>
    </w:p>
    <w:p w14:paraId="5F42F988" w14:textId="77777777" w:rsidR="00D820F9" w:rsidRDefault="00D820F9">
      <w:pPr>
        <w:spacing w:after="200"/>
        <w:rPr>
          <w:rFonts w:ascii="Arial" w:eastAsiaTheme="minorHAnsi" w:hAnsi="Arial" w:cs="Arial"/>
          <w:b/>
          <w:sz w:val="36"/>
          <w:szCs w:val="32"/>
        </w:rPr>
      </w:pPr>
      <w:r>
        <w:lastRenderedPageBreak/>
        <w:br w:type="page"/>
      </w:r>
    </w:p>
    <w:p w14:paraId="19D91927" w14:textId="2C47F306" w:rsidR="00DA378B" w:rsidRPr="00DA378B" w:rsidRDefault="003D249D" w:rsidP="00F31686">
      <w:pPr>
        <w:pStyle w:val="Heading1"/>
      </w:pPr>
      <w:bookmarkStart w:id="78" w:name="_Toc526182122"/>
      <w:r>
        <w:lastRenderedPageBreak/>
        <w:t xml:space="preserve">Chapter </w:t>
      </w:r>
      <w:r w:rsidR="00C56D16">
        <w:t>3</w:t>
      </w:r>
      <w:r w:rsidRPr="00573C0E">
        <w:t xml:space="preserve">: </w:t>
      </w:r>
      <w:r>
        <w:t>U.S. Access Board</w:t>
      </w:r>
      <w:bookmarkEnd w:id="77"/>
      <w:bookmarkEnd w:id="78"/>
    </w:p>
    <w:p w14:paraId="7EA9FDBF" w14:textId="77777777" w:rsidR="00296DA5" w:rsidRPr="009A040B" w:rsidRDefault="00DA378B" w:rsidP="009A040B">
      <w:pPr>
        <w:pStyle w:val="NCDBodyText"/>
        <w:rPr>
          <w:spacing w:val="-2"/>
        </w:rPr>
      </w:pPr>
      <w:r w:rsidRPr="009A040B">
        <w:rPr>
          <w:spacing w:val="-2"/>
        </w:rPr>
        <w:t xml:space="preserve">The Access Board </w:t>
      </w:r>
      <w:r w:rsidR="00753A8A" w:rsidRPr="009A040B">
        <w:rPr>
          <w:spacing w:val="-2"/>
        </w:rPr>
        <w:t>is</w:t>
      </w:r>
      <w:r w:rsidRPr="009A040B">
        <w:rPr>
          <w:spacing w:val="-2"/>
        </w:rPr>
        <w:t xml:space="preserve"> a leading source of accessible design information with an oversight role in the </w:t>
      </w:r>
      <w:r w:rsidR="002F2538" w:rsidRPr="009A040B">
        <w:rPr>
          <w:spacing w:val="-2"/>
        </w:rPr>
        <w:t>Architectural Barriers Act (</w:t>
      </w:r>
      <w:r w:rsidR="00981364" w:rsidRPr="009A040B">
        <w:rPr>
          <w:spacing w:val="-2"/>
        </w:rPr>
        <w:t>ABA</w:t>
      </w:r>
      <w:r w:rsidR="002F2538" w:rsidRPr="009A040B">
        <w:rPr>
          <w:spacing w:val="-2"/>
        </w:rPr>
        <w:t>)</w:t>
      </w:r>
      <w:r w:rsidRPr="009A040B">
        <w:rPr>
          <w:spacing w:val="-2"/>
        </w:rPr>
        <w:t>. The work of the</w:t>
      </w:r>
      <w:r w:rsidR="003E5236" w:rsidRPr="009A040B">
        <w:rPr>
          <w:spacing w:val="-2"/>
        </w:rPr>
        <w:t xml:space="preserve"> Access</w:t>
      </w:r>
      <w:r w:rsidRPr="009A040B">
        <w:rPr>
          <w:spacing w:val="-2"/>
        </w:rPr>
        <w:t xml:space="preserve"> Board, however, is hampered by slow and restrictive rulemaking processes, untimely resolution of complaints, failure to exercise its authority to initiate investigations based on </w:t>
      </w:r>
      <w:r w:rsidR="00444926" w:rsidRPr="009A040B">
        <w:rPr>
          <w:spacing w:val="-2"/>
        </w:rPr>
        <w:t>non</w:t>
      </w:r>
      <w:r w:rsidRPr="009A040B">
        <w:rPr>
          <w:spacing w:val="-2"/>
        </w:rPr>
        <w:t>compliance information, and limited resources to pursue critical goals and objectives.</w:t>
      </w:r>
    </w:p>
    <w:p w14:paraId="5C7901E6" w14:textId="77777777" w:rsidR="00296DA5" w:rsidRDefault="00DA378B" w:rsidP="009A040B">
      <w:pPr>
        <w:pStyle w:val="NCDBodyText"/>
      </w:pPr>
      <w:r w:rsidRPr="00DA378B">
        <w:t xml:space="preserve">Based upon the analysis in this </w:t>
      </w:r>
      <w:r w:rsidR="008977B0">
        <w:t>c</w:t>
      </w:r>
      <w:r w:rsidRPr="00DA378B">
        <w:t xml:space="preserve">hapter, NCD recommends that the </w:t>
      </w:r>
      <w:r>
        <w:t>Access Board</w:t>
      </w:r>
      <w:r w:rsidRPr="00DA378B">
        <w:t>:</w:t>
      </w:r>
    </w:p>
    <w:p w14:paraId="31B502FE" w14:textId="77777777" w:rsidR="00296DA5" w:rsidRDefault="00F355EF" w:rsidP="009A040B">
      <w:pPr>
        <w:pStyle w:val="NCDBulletsLevel1"/>
      </w:pPr>
      <w:r>
        <w:t>E</w:t>
      </w:r>
      <w:r w:rsidR="00753A8A">
        <w:t xml:space="preserve">xplore methods to expedite </w:t>
      </w:r>
      <w:r w:rsidR="009C71C2" w:rsidRPr="009C71C2">
        <w:t>development of guidelines and standards, particularly on subjects that involve technology, so regulations are timely.</w:t>
      </w:r>
    </w:p>
    <w:p w14:paraId="321E6722" w14:textId="77777777" w:rsidR="00296DA5" w:rsidRDefault="00F355EF" w:rsidP="009A040B">
      <w:pPr>
        <w:pStyle w:val="NCDBulletsLevel1"/>
      </w:pPr>
      <w:r>
        <w:t>U</w:t>
      </w:r>
      <w:r w:rsidR="009C71C2" w:rsidRPr="009C71C2">
        <w:t>se its citation process to ensure that investigations are completed within 180 days and extend beyond the 180-day time limit</w:t>
      </w:r>
      <w:r w:rsidR="00753A8A" w:rsidRPr="00753A8A">
        <w:t xml:space="preserve"> only in the rarest circumstances</w:t>
      </w:r>
      <w:r w:rsidR="009C71C2" w:rsidRPr="009C71C2">
        <w:t>.</w:t>
      </w:r>
    </w:p>
    <w:p w14:paraId="3BFC7A2D" w14:textId="77777777" w:rsidR="00296DA5" w:rsidRDefault="009C71C2" w:rsidP="009A040B">
      <w:pPr>
        <w:pStyle w:val="NCDBulletsLevel1"/>
      </w:pPr>
      <w:r w:rsidRPr="009C71C2">
        <w:t>Publicize select investigation and compliance results.</w:t>
      </w:r>
    </w:p>
    <w:p w14:paraId="5EDF274E" w14:textId="77777777" w:rsidR="00296DA5" w:rsidRDefault="00F355EF" w:rsidP="009A040B">
      <w:pPr>
        <w:pStyle w:val="NCDBulletsLevel1"/>
      </w:pPr>
      <w:r>
        <w:t>E</w:t>
      </w:r>
      <w:r w:rsidR="009C71C2" w:rsidRPr="009C71C2">
        <w:t>nsur</w:t>
      </w:r>
      <w:r>
        <w:t xml:space="preserve">e that the Frontiers Committee </w:t>
      </w:r>
      <w:r w:rsidR="00753A8A">
        <w:t>is</w:t>
      </w:r>
      <w:r>
        <w:t xml:space="preserve"> </w:t>
      </w:r>
      <w:r w:rsidR="009C71C2" w:rsidRPr="009C71C2">
        <w:t>maintained and empowered to keep abreast of emerging disability issues and accessibility developments and to shape the</w:t>
      </w:r>
      <w:r w:rsidR="00187FDA">
        <w:t xml:space="preserve"> Access</w:t>
      </w:r>
      <w:r w:rsidR="009C71C2" w:rsidRPr="009C71C2">
        <w:t xml:space="preserve"> Board</w:t>
      </w:r>
      <w:r w:rsidR="006474CA">
        <w:t>’</w:t>
      </w:r>
      <w:r w:rsidR="009C71C2" w:rsidRPr="009C71C2">
        <w:t>s regulatory and research agendas.</w:t>
      </w:r>
    </w:p>
    <w:p w14:paraId="7228FB16" w14:textId="77777777" w:rsidR="00296DA5" w:rsidRDefault="00F355EF" w:rsidP="009A040B">
      <w:pPr>
        <w:pStyle w:val="NCDBulletsLevel1"/>
      </w:pPr>
      <w:r>
        <w:t>Use</w:t>
      </w:r>
      <w:r w:rsidR="009C71C2" w:rsidRPr="009C71C2">
        <w:t xml:space="preserve"> data on types of facilities or geographic areas that give rise to the most complaints as a basis to identify types of facilities or geographic areas for self-initiated investigations under the ABA.</w:t>
      </w:r>
    </w:p>
    <w:p w14:paraId="04E09209" w14:textId="77777777" w:rsidR="00296DA5" w:rsidRDefault="00753A8A" w:rsidP="009A040B">
      <w:pPr>
        <w:pStyle w:val="NCDBulletsLevel1"/>
      </w:pPr>
      <w:r>
        <w:t xml:space="preserve">Partner </w:t>
      </w:r>
      <w:r w:rsidR="009C71C2" w:rsidRPr="00F355EF">
        <w:t xml:space="preserve">with other federal agencies that conduct nationwide enforcement of standards that </w:t>
      </w:r>
      <w:r w:rsidR="00F355EF">
        <w:t xml:space="preserve">are based on the ABA standards as detailed further in </w:t>
      </w:r>
      <w:r w:rsidR="00B270DD">
        <w:t>this chapter</w:t>
      </w:r>
      <w:r w:rsidR="00F355EF">
        <w:t>.</w:t>
      </w:r>
    </w:p>
    <w:p w14:paraId="1530B7A7" w14:textId="77777777" w:rsidR="00296DA5" w:rsidRDefault="00F355EF" w:rsidP="009A040B">
      <w:pPr>
        <w:pStyle w:val="NCDBulletsLevel1"/>
      </w:pPr>
      <w:r>
        <w:t>After receipt of</w:t>
      </w:r>
      <w:r w:rsidR="009C71C2" w:rsidRPr="009C71C2">
        <w:t xml:space="preserve"> a complaint about a particular</w:t>
      </w:r>
      <w:r>
        <w:t xml:space="preserve"> area of a covered facility, </w:t>
      </w:r>
      <w:r w:rsidR="009C71C2" w:rsidRPr="009C71C2">
        <w:t>investigate the entire facility to avoid the need for follow-up complaints.</w:t>
      </w:r>
    </w:p>
    <w:p w14:paraId="37DF9A08" w14:textId="77777777" w:rsidR="00296DA5" w:rsidRDefault="00F355EF" w:rsidP="009A040B">
      <w:pPr>
        <w:pStyle w:val="NCDBulletsLevel1"/>
      </w:pPr>
      <w:r>
        <w:t>I</w:t>
      </w:r>
      <w:r w:rsidR="009C71C2" w:rsidRPr="009C71C2">
        <w:t>nform complainants of their right to demand a citation, or written reason for not issuing a citation, after 190 days from submission of the complaint if a corrective action plan is not completed.</w:t>
      </w:r>
    </w:p>
    <w:p w14:paraId="5E6795E5" w14:textId="77777777" w:rsidR="00296DA5" w:rsidRDefault="004628DE" w:rsidP="009A040B">
      <w:pPr>
        <w:pStyle w:val="NCDBodyText"/>
      </w:pPr>
      <w:r>
        <w:lastRenderedPageBreak/>
        <w:t>NCD r</w:t>
      </w:r>
      <w:r w:rsidR="00E51FB3">
        <w:t>ecommendations for Congress, the President</w:t>
      </w:r>
      <w:r>
        <w:t>,</w:t>
      </w:r>
      <w:r w:rsidR="00E51FB3">
        <w:t xml:space="preserve"> the Office of Management and Budget</w:t>
      </w:r>
      <w:r>
        <w:t>, and the Government Accountability Office</w:t>
      </w:r>
      <w:r w:rsidR="00E51FB3">
        <w:t xml:space="preserve"> related to the Access Board are contained </w:t>
      </w:r>
      <w:r w:rsidR="00661038">
        <w:t>in the text that follows</w:t>
      </w:r>
      <w:r w:rsidR="00E51FB3">
        <w:t>.</w:t>
      </w:r>
    </w:p>
    <w:p w14:paraId="476CB6FA" w14:textId="1824FF6C" w:rsidR="00755EEC" w:rsidRPr="001111B5" w:rsidRDefault="00755EEC" w:rsidP="009A040B">
      <w:pPr>
        <w:pStyle w:val="Heading3"/>
      </w:pPr>
      <w:bookmarkStart w:id="79" w:name="_Toc526182123"/>
      <w:r w:rsidRPr="001111B5">
        <w:t>Overview of the Access Board</w:t>
      </w:r>
      <w:bookmarkEnd w:id="79"/>
    </w:p>
    <w:p w14:paraId="3F073F28" w14:textId="77777777" w:rsidR="00296DA5" w:rsidRDefault="00755EEC" w:rsidP="009A040B">
      <w:pPr>
        <w:pStyle w:val="NCDBodyText"/>
      </w:pPr>
      <w:r>
        <w:t xml:space="preserve">The </w:t>
      </w:r>
      <w:r w:rsidR="00A96FF7" w:rsidRPr="00167B8A">
        <w:t>Access Board</w:t>
      </w:r>
      <w:r>
        <w:t xml:space="preserve"> </w:t>
      </w:r>
      <w:r w:rsidR="00A96FF7" w:rsidRPr="00167B8A">
        <w:t xml:space="preserve">is an independent federal agency that promotes equality for people with disabilities through leadership in accessible design and development of accessibility standards. Its mission is to promote accessibility through standards and guidelines, education, enforcement, and outreach. The </w:t>
      </w:r>
      <w:r w:rsidR="00821387">
        <w:t xml:space="preserve">Access </w:t>
      </w:r>
      <w:r w:rsidR="00A96FF7" w:rsidRPr="00167B8A">
        <w:t>Board develops design criteria fo</w:t>
      </w:r>
      <w:r w:rsidR="00D06DB6">
        <w:t>r the built environment, transportation</w:t>
      </w:r>
      <w:r w:rsidR="00A96FF7" w:rsidRPr="00167B8A">
        <w:t xml:space="preserve"> vehicles, telecommunications equipment, medical equipment, and information technology. </w:t>
      </w:r>
      <w:r w:rsidR="00A96FF7">
        <w:t>The agency</w:t>
      </w:r>
      <w:r w:rsidR="00A96FF7" w:rsidRPr="00167B8A">
        <w:t xml:space="preserve"> also pro</w:t>
      </w:r>
      <w:r w:rsidR="00A96FF7">
        <w:t xml:space="preserve">vides technical assistance </w:t>
      </w:r>
      <w:r w:rsidR="00A96FF7" w:rsidRPr="00167B8A">
        <w:t>and training on these requirements.</w:t>
      </w:r>
      <w:r w:rsidR="00A96FF7" w:rsidRPr="00167B8A">
        <w:rPr>
          <w:vertAlign w:val="superscript"/>
        </w:rPr>
        <w:endnoteReference w:id="249"/>
      </w:r>
    </w:p>
    <w:p w14:paraId="131A69FD" w14:textId="77777777" w:rsidR="00296DA5" w:rsidRDefault="008B3437" w:rsidP="009A040B">
      <w:pPr>
        <w:pStyle w:val="NCDBodyText"/>
      </w:pPr>
      <w:r>
        <w:t xml:space="preserve">The </w:t>
      </w:r>
      <w:r w:rsidR="00712631">
        <w:t>Access Board</w:t>
      </w:r>
      <w:r w:rsidR="006474CA">
        <w:t>’</w:t>
      </w:r>
      <w:r>
        <w:t xml:space="preserve">s </w:t>
      </w:r>
      <w:r w:rsidR="00A96FF7" w:rsidRPr="003F2929">
        <w:t xml:space="preserve">oversight role </w:t>
      </w:r>
      <w:r w:rsidR="00A96FF7">
        <w:t>under</w:t>
      </w:r>
      <w:r w:rsidR="001111B5">
        <w:t xml:space="preserve"> the ABA</w:t>
      </w:r>
      <w:r>
        <w:t xml:space="preserve"> was established </w:t>
      </w:r>
      <w:r w:rsidR="00712631">
        <w:t xml:space="preserve">after </w:t>
      </w:r>
      <w:r>
        <w:t xml:space="preserve">Congress </w:t>
      </w:r>
      <w:r w:rsidR="007F290D">
        <w:t>found</w:t>
      </w:r>
      <w:r w:rsidR="00712631">
        <w:t xml:space="preserve"> </w:t>
      </w:r>
      <w:r w:rsidR="007F290D">
        <w:t xml:space="preserve">inadequate ABA </w:t>
      </w:r>
      <w:r w:rsidR="007F290D" w:rsidRPr="00167B8A">
        <w:t>complia</w:t>
      </w:r>
      <w:r w:rsidR="007F290D">
        <w:t>nce</w:t>
      </w:r>
      <w:r w:rsidR="00712631" w:rsidRPr="00167B8A">
        <w:t>.</w:t>
      </w:r>
      <w:r w:rsidR="00712631" w:rsidRPr="00167B8A">
        <w:rPr>
          <w:vertAlign w:val="superscript"/>
        </w:rPr>
        <w:endnoteReference w:id="250"/>
      </w:r>
      <w:r w:rsidR="00712631">
        <w:t xml:space="preserve"> </w:t>
      </w:r>
      <w:r w:rsidR="00A96FF7" w:rsidRPr="003F2929">
        <w:t>The ABA was the first feder</w:t>
      </w:r>
      <w:r w:rsidR="00712631">
        <w:t>al law to address accessibility and requires</w:t>
      </w:r>
      <w:r w:rsidR="00A96FF7" w:rsidRPr="003F2929">
        <w:t xml:space="preserve"> federal facilities designed, built, or altered by the </w:t>
      </w:r>
      <w:r w:rsidR="00791726">
        <w:t>Federal Government</w:t>
      </w:r>
      <w:r w:rsidR="00A96FF7" w:rsidRPr="003F2929">
        <w:t xml:space="preserve"> or with federal dollars, or leased by feder</w:t>
      </w:r>
      <w:r w:rsidR="00753A8A">
        <w:t>al agencies, to be accessible</w:t>
      </w:r>
      <w:r w:rsidR="00C22CAE">
        <w:t>.</w:t>
      </w:r>
      <w:r w:rsidR="00C22CAE">
        <w:rPr>
          <w:rStyle w:val="EndnoteReference"/>
          <w:rFonts w:eastAsia="Times New Roman" w:cs="Arial"/>
        </w:rPr>
        <w:endnoteReference w:id="251"/>
      </w:r>
      <w:r w:rsidR="007F290D">
        <w:t xml:space="preserve"> </w:t>
      </w:r>
      <w:r w:rsidR="00A96FF7" w:rsidRPr="00167B8A">
        <w:t>As originally written</w:t>
      </w:r>
      <w:r w:rsidR="00A96FF7">
        <w:t xml:space="preserve"> </w:t>
      </w:r>
      <w:r w:rsidR="007B1425">
        <w:t xml:space="preserve">50 </w:t>
      </w:r>
      <w:r w:rsidR="00A96FF7">
        <w:t>years ago</w:t>
      </w:r>
      <w:r w:rsidR="00A96FF7" w:rsidRPr="00167B8A">
        <w:t xml:space="preserve">, </w:t>
      </w:r>
      <w:r w:rsidR="007F290D" w:rsidRPr="00167B8A">
        <w:t>federal agencies</w:t>
      </w:r>
      <w:r w:rsidR="007F290D">
        <w:t xml:space="preserve"> </w:t>
      </w:r>
      <w:r w:rsidR="007F290D" w:rsidRPr="00167B8A">
        <w:t xml:space="preserve">subject </w:t>
      </w:r>
      <w:r w:rsidR="007F290D">
        <w:t>to the ABA were to</w:t>
      </w:r>
      <w:r w:rsidR="007F290D" w:rsidRPr="00167B8A">
        <w:t xml:space="preserve"> </w:t>
      </w:r>
      <w:r w:rsidR="007F290D">
        <w:t>self-monitor and self-enforce</w:t>
      </w:r>
      <w:r w:rsidR="007F290D" w:rsidRPr="00167B8A">
        <w:t xml:space="preserve"> </w:t>
      </w:r>
      <w:r w:rsidR="007F290D">
        <w:t xml:space="preserve">the </w:t>
      </w:r>
      <w:r w:rsidR="00A96FF7" w:rsidRPr="00167B8A">
        <w:t>requirements</w:t>
      </w:r>
      <w:r w:rsidR="007F290D">
        <w:t xml:space="preserve">. In </w:t>
      </w:r>
      <w:r w:rsidR="00A96FF7">
        <w:t>1975</w:t>
      </w:r>
      <w:r w:rsidR="00DE55D0">
        <w:t>,</w:t>
      </w:r>
      <w:r w:rsidR="00A96FF7">
        <w:t xml:space="preserve"> </w:t>
      </w:r>
      <w:r w:rsidR="007F290D">
        <w:t xml:space="preserve">the U.S. </w:t>
      </w:r>
      <w:r w:rsidR="00712631">
        <w:t>Government Accounting Office</w:t>
      </w:r>
      <w:r w:rsidR="007F290D">
        <w:t>, now the Government Accountability Office</w:t>
      </w:r>
      <w:r w:rsidR="00DE55D0">
        <w:t xml:space="preserve"> (GAO)</w:t>
      </w:r>
      <w:r w:rsidR="007F290D">
        <w:t>,</w:t>
      </w:r>
      <w:r w:rsidR="00712631">
        <w:t xml:space="preserve"> </w:t>
      </w:r>
      <w:r w:rsidR="00A96FF7">
        <w:t>f</w:t>
      </w:r>
      <w:r w:rsidR="00A96FF7" w:rsidRPr="00167B8A">
        <w:t xml:space="preserve">ound that the ABA </w:t>
      </w:r>
      <w:r w:rsidR="006474CA">
        <w:t>“</w:t>
      </w:r>
      <w:r w:rsidR="00A96FF7" w:rsidRPr="00167B8A">
        <w:t>had only a minor effect on making public buildings barrier free.</w:t>
      </w:r>
      <w:r w:rsidR="006474CA">
        <w:t>”</w:t>
      </w:r>
      <w:r w:rsidR="00A96FF7" w:rsidRPr="00167B8A">
        <w:rPr>
          <w:vertAlign w:val="superscript"/>
        </w:rPr>
        <w:endnoteReference w:id="252"/>
      </w:r>
      <w:r w:rsidR="00A96FF7" w:rsidRPr="00167B8A">
        <w:t xml:space="preserve"> The GAO determined that a significant deficiency in the ABA was that it left implementation to the discretion of th</w:t>
      </w:r>
      <w:r w:rsidR="00A96FF7">
        <w:t>e regulated agencies,</w:t>
      </w:r>
      <w:r w:rsidR="00A96FF7" w:rsidRPr="00167B8A">
        <w:rPr>
          <w:vertAlign w:val="superscript"/>
        </w:rPr>
        <w:endnoteReference w:id="253"/>
      </w:r>
      <w:r w:rsidR="00A96FF7" w:rsidRPr="00167B8A">
        <w:t xml:space="preserve"> </w:t>
      </w:r>
      <w:r w:rsidR="00A96FF7">
        <w:t xml:space="preserve">and </w:t>
      </w:r>
      <w:r w:rsidR="00A96FF7" w:rsidRPr="00167B8A">
        <w:t>concluded that Access Board oversight was needed.</w:t>
      </w:r>
      <w:r w:rsidR="00A96FF7" w:rsidRPr="00167B8A">
        <w:rPr>
          <w:vertAlign w:val="superscript"/>
        </w:rPr>
        <w:endnoteReference w:id="254"/>
      </w:r>
      <w:r w:rsidR="00A96FF7">
        <w:t xml:space="preserve"> The Access Board began work in 1975, was </w:t>
      </w:r>
      <w:r w:rsidR="00A96FF7" w:rsidRPr="00167B8A">
        <w:t xml:space="preserve">authorized </w:t>
      </w:r>
      <w:r w:rsidR="00A96FF7">
        <w:t xml:space="preserve">by Congress </w:t>
      </w:r>
      <w:r w:rsidR="00A96FF7" w:rsidRPr="00167B8A">
        <w:t>to establish ABA a</w:t>
      </w:r>
      <w:r w:rsidR="00A96FF7">
        <w:t>ccessibility guidelines in 1978, and issued the first guidelines in 1982</w:t>
      </w:r>
      <w:r w:rsidR="00A96FF7" w:rsidRPr="00167B8A">
        <w:t>.</w:t>
      </w:r>
    </w:p>
    <w:p w14:paraId="0A998903" w14:textId="140EB3F5" w:rsidR="00633E33" w:rsidRPr="00A96FF7" w:rsidRDefault="00525794" w:rsidP="009A040B">
      <w:pPr>
        <w:pStyle w:val="Heading3"/>
      </w:pPr>
      <w:bookmarkStart w:id="80" w:name="_Toc526182124"/>
      <w:r>
        <w:t>Regulatory, Policy</w:t>
      </w:r>
      <w:r w:rsidR="00B55E5B">
        <w:t>,</w:t>
      </w:r>
      <w:r w:rsidR="00633E33" w:rsidRPr="00423854">
        <w:t xml:space="preserve"> and Sub-Regulatory Guidance</w:t>
      </w:r>
      <w:bookmarkEnd w:id="80"/>
    </w:p>
    <w:p w14:paraId="59A31861" w14:textId="77777777" w:rsidR="00296DA5" w:rsidRDefault="00633E33" w:rsidP="009A040B">
      <w:pPr>
        <w:pStyle w:val="NCDBodyText"/>
      </w:pPr>
      <w:r w:rsidRPr="00423854">
        <w:t>The</w:t>
      </w:r>
      <w:r w:rsidR="00071CA3">
        <w:t xml:space="preserve"> Access</w:t>
      </w:r>
      <w:r w:rsidRPr="00423854">
        <w:t xml:space="preserve"> Board establishes </w:t>
      </w:r>
      <w:r w:rsidR="00712631">
        <w:t>regulatory</w:t>
      </w:r>
      <w:r w:rsidRPr="00423854">
        <w:t xml:space="preserve"> priorities based on legislative mandates and </w:t>
      </w:r>
      <w:r w:rsidR="00B270DD" w:rsidRPr="00423854">
        <w:t xml:space="preserve">public </w:t>
      </w:r>
      <w:r w:rsidRPr="00423854">
        <w:t>input</w:t>
      </w:r>
      <w:r w:rsidR="00B270DD">
        <w:t xml:space="preserve">. </w:t>
      </w:r>
      <w:r w:rsidRPr="00423854">
        <w:t xml:space="preserve">The </w:t>
      </w:r>
      <w:r w:rsidR="00B1043C">
        <w:t xml:space="preserve">Access </w:t>
      </w:r>
      <w:r w:rsidRPr="00423854">
        <w:t>Board identifies issues for policy and sub-regulatory guidance prim</w:t>
      </w:r>
      <w:r w:rsidR="00753A8A">
        <w:t>arily through public engagement</w:t>
      </w:r>
      <w:r w:rsidR="00712631" w:rsidRPr="00423854">
        <w:t xml:space="preserve">; town hall meetings and other forums; </w:t>
      </w:r>
      <w:r w:rsidR="0056188D">
        <w:t>technical assistance (TA)</w:t>
      </w:r>
      <w:r w:rsidR="006B515F">
        <w:t xml:space="preserve"> </w:t>
      </w:r>
      <w:r w:rsidR="000F1993">
        <w:t>questions</w:t>
      </w:r>
      <w:r w:rsidRPr="00423854">
        <w:t xml:space="preserve">; </w:t>
      </w:r>
      <w:r w:rsidR="00B270DD">
        <w:t xml:space="preserve">and </w:t>
      </w:r>
      <w:r w:rsidRPr="00423854">
        <w:t>c</w:t>
      </w:r>
      <w:r w:rsidR="00B270DD">
        <w:t>omments received in rulemaking</w:t>
      </w:r>
      <w:r w:rsidRPr="00423854">
        <w:t>.</w:t>
      </w:r>
      <w:r w:rsidR="00050306">
        <w:t xml:space="preserve"> </w:t>
      </w:r>
      <w:r w:rsidR="00D06DB6" w:rsidRPr="00D06DB6">
        <w:t>To further public involvement, the</w:t>
      </w:r>
      <w:r w:rsidR="00B1043C">
        <w:t xml:space="preserve"> Access</w:t>
      </w:r>
      <w:r w:rsidR="00D06DB6" w:rsidRPr="00D06DB6">
        <w:t xml:space="preserve"> Board convenes advisory committees to assist in establishing </w:t>
      </w:r>
      <w:r w:rsidR="00D06DB6" w:rsidRPr="00D06DB6">
        <w:lastRenderedPageBreak/>
        <w:t>regulatory priorities and to make technical recommendations for new or updated rules.</w:t>
      </w:r>
      <w:r w:rsidR="002F2538">
        <w:rPr>
          <w:rStyle w:val="EndnoteReference"/>
          <w:rFonts w:eastAsia="Times New Roman" w:cs="Arial"/>
        </w:rPr>
        <w:endnoteReference w:id="255"/>
      </w:r>
    </w:p>
    <w:p w14:paraId="3AA23016" w14:textId="77777777" w:rsidR="00296DA5" w:rsidRDefault="00633E33" w:rsidP="009A040B">
      <w:pPr>
        <w:pStyle w:val="NCDBodyText"/>
      </w:pPr>
      <w:r w:rsidRPr="00423854">
        <w:t xml:space="preserve">When the ADA was enacted, the Access Board was </w:t>
      </w:r>
      <w:r w:rsidR="00712631">
        <w:t xml:space="preserve">further </w:t>
      </w:r>
      <w:r w:rsidRPr="00423854">
        <w:t>charged with deve</w:t>
      </w:r>
      <w:r w:rsidR="00712631">
        <w:t>loping accessibility guidelines</w:t>
      </w:r>
      <w:r w:rsidRPr="00423854">
        <w:t>. The ADA Accessibility Guidelin</w:t>
      </w:r>
      <w:r w:rsidR="000F1993">
        <w:t xml:space="preserve">es (ADAAG) were issued in 1991 </w:t>
      </w:r>
      <w:r w:rsidRPr="00423854">
        <w:t xml:space="preserve">and adopted by DOJ and DOT. The guidelines </w:t>
      </w:r>
      <w:r w:rsidR="00712631">
        <w:t>have been</w:t>
      </w:r>
      <w:r w:rsidRPr="00423854">
        <w:t xml:space="preserve"> updated over the years to </w:t>
      </w:r>
      <w:r w:rsidR="006B515F">
        <w:t xml:space="preserve">cover </w:t>
      </w:r>
      <w:r w:rsidRPr="00423854">
        <w:t xml:space="preserve">automated teller machines, judicial and correctional facilities, over-the-road buses, play areas, and recreational facilities. In 1996, the </w:t>
      </w:r>
      <w:r w:rsidR="00826958">
        <w:t xml:space="preserve">Access </w:t>
      </w:r>
      <w:r w:rsidRPr="00423854">
        <w:t>Board was given responsibility to address the accessibility of telecommunications equipment u</w:t>
      </w:r>
      <w:r w:rsidR="00B270DD">
        <w:t>nder the Telecommunications Act</w:t>
      </w:r>
      <w:r w:rsidRPr="00423854">
        <w:t xml:space="preserve"> and issued guidelines in 1998. In 2010, the Affordable Care Act authorized the Board to develop standards for medical diagnostic equipment.</w:t>
      </w:r>
      <w:r w:rsidRPr="00423854">
        <w:rPr>
          <w:vertAlign w:val="superscript"/>
        </w:rPr>
        <w:endnoteReference w:id="256"/>
      </w:r>
    </w:p>
    <w:p w14:paraId="6DB44E03" w14:textId="77777777" w:rsidR="00296DA5" w:rsidRDefault="00633E33" w:rsidP="009A040B">
      <w:pPr>
        <w:pStyle w:val="NCDBodyText"/>
        <w:rPr>
          <w:vertAlign w:val="superscript"/>
        </w:rPr>
      </w:pPr>
      <w:r>
        <w:t>For</w:t>
      </w:r>
      <w:r w:rsidRPr="00423854">
        <w:t xml:space="preserve"> 2018</w:t>
      </w:r>
      <w:r w:rsidR="00C33911">
        <w:t>–</w:t>
      </w:r>
      <w:r w:rsidR="00A364FB">
        <w:t>20</w:t>
      </w:r>
      <w:r w:rsidRPr="00423854">
        <w:t xml:space="preserve">19, the Access Board plans to issue </w:t>
      </w:r>
      <w:r w:rsidR="006B515F">
        <w:t xml:space="preserve">one final </w:t>
      </w:r>
      <w:r w:rsidR="00B270DD">
        <w:t>regulation</w:t>
      </w:r>
      <w:r w:rsidR="006B515F">
        <w:t xml:space="preserve"> and </w:t>
      </w:r>
      <w:r w:rsidR="00493EF1">
        <w:t>one</w:t>
      </w:r>
      <w:r w:rsidR="006B515F">
        <w:t xml:space="preserve"> a</w:t>
      </w:r>
      <w:r w:rsidR="00D06DB6">
        <w:t>dvance notice of proposed rulemaking</w:t>
      </w:r>
      <w:r w:rsidR="006B515F">
        <w:t>:</w:t>
      </w:r>
      <w:r w:rsidR="00493EF1" w:rsidRPr="00493EF1">
        <w:rPr>
          <w:vertAlign w:val="superscript"/>
        </w:rPr>
        <w:t xml:space="preserve"> </w:t>
      </w:r>
      <w:r w:rsidR="00493EF1" w:rsidRPr="00423854">
        <w:rPr>
          <w:vertAlign w:val="superscript"/>
        </w:rPr>
        <w:endnoteReference w:id="257"/>
      </w:r>
    </w:p>
    <w:p w14:paraId="5E4B69FA" w14:textId="77777777" w:rsidR="00296DA5" w:rsidRDefault="006B515F" w:rsidP="009A040B">
      <w:pPr>
        <w:pStyle w:val="NCDBulletsLevel1"/>
      </w:pPr>
      <w:r>
        <w:t xml:space="preserve">A </w:t>
      </w:r>
      <w:r w:rsidR="00633E33" w:rsidRPr="00423854">
        <w:t>final rule</w:t>
      </w:r>
      <w:r>
        <w:t xml:space="preserve"> to make a technical</w:t>
      </w:r>
      <w:r w:rsidR="00633E33" w:rsidRPr="00423854">
        <w:t xml:space="preserve"> correcti</w:t>
      </w:r>
      <w:r>
        <w:t>on</w:t>
      </w:r>
      <w:r w:rsidR="00633E33" w:rsidRPr="00423854">
        <w:t xml:space="preserve"> </w:t>
      </w:r>
      <w:r>
        <w:t xml:space="preserve">to </w:t>
      </w:r>
      <w:r w:rsidR="00633E33" w:rsidRPr="00423854">
        <w:t xml:space="preserve">its information and communication technology regulation under </w:t>
      </w:r>
      <w:r w:rsidR="00D41EDD">
        <w:t>Section</w:t>
      </w:r>
      <w:r w:rsidR="00633E33" w:rsidRPr="00423854">
        <w:t xml:space="preserve"> 508 of the Rehabilitation Act (completed in January 2018); </w:t>
      </w:r>
      <w:r w:rsidR="00493EF1">
        <w:t>and</w:t>
      </w:r>
    </w:p>
    <w:p w14:paraId="0382E97D" w14:textId="77777777" w:rsidR="00296DA5" w:rsidRDefault="00633E33" w:rsidP="009A040B">
      <w:pPr>
        <w:pStyle w:val="NCDBulletsLevel1"/>
      </w:pPr>
      <w:r w:rsidRPr="00E50028">
        <w:t>Advance notice of</w:t>
      </w:r>
      <w:r w:rsidR="00E50028" w:rsidRPr="00E50028">
        <w:t xml:space="preserve"> </w:t>
      </w:r>
      <w:r w:rsidRPr="00E50028">
        <w:t xml:space="preserve">proposed </w:t>
      </w:r>
      <w:r w:rsidR="006B515F" w:rsidRPr="00E50028">
        <w:t>rule</w:t>
      </w:r>
      <w:r w:rsidR="00E50028" w:rsidRPr="00E50028">
        <w:t>making</w:t>
      </w:r>
      <w:r w:rsidR="006B515F" w:rsidRPr="00E50028">
        <w:t xml:space="preserve"> to revise </w:t>
      </w:r>
      <w:r w:rsidRPr="00E50028">
        <w:t xml:space="preserve">and </w:t>
      </w:r>
      <w:r w:rsidR="00E50028">
        <w:t>update rail transportation vehicle guidelines</w:t>
      </w:r>
      <w:r w:rsidR="008A4474">
        <w:t>—</w:t>
      </w:r>
      <w:r w:rsidR="00CF6EAA">
        <w:t xml:space="preserve">e.g., </w:t>
      </w:r>
      <w:r w:rsidR="00E50028">
        <w:t>rapid, light, commuter</w:t>
      </w:r>
      <w:r w:rsidR="00C33911">
        <w:t>,</w:t>
      </w:r>
      <w:r w:rsidR="00E50028">
        <w:t xml:space="preserve"> and intercity rail systems.</w:t>
      </w:r>
    </w:p>
    <w:p w14:paraId="6028CCB6" w14:textId="77777777" w:rsidR="00296DA5" w:rsidRDefault="00633E33" w:rsidP="009A040B">
      <w:pPr>
        <w:pStyle w:val="NCDBodyText"/>
      </w:pPr>
      <w:r w:rsidRPr="00423854">
        <w:t xml:space="preserve">The </w:t>
      </w:r>
      <w:r w:rsidR="00C33911">
        <w:t xml:space="preserve">Access </w:t>
      </w:r>
      <w:r w:rsidRPr="00423854">
        <w:t xml:space="preserve">Board has moved two major </w:t>
      </w:r>
      <w:r w:rsidR="00712631">
        <w:t>actions</w:t>
      </w:r>
      <w:r w:rsidR="008A4474">
        <w:t>—</w:t>
      </w:r>
      <w:r w:rsidRPr="00423854">
        <w:t>Accessibility G</w:t>
      </w:r>
      <w:r w:rsidR="00A223F1">
        <w:t>uidelines for Passenger Vessels</w:t>
      </w:r>
      <w:r w:rsidRPr="00423854">
        <w:t xml:space="preserve"> and Accessibility Guidelines for Pedestrian Facilities in the Public Right-of-Way</w:t>
      </w:r>
      <w:r w:rsidR="008A4474">
        <w:t>—</w:t>
      </w:r>
      <w:r w:rsidRPr="00423854">
        <w:t>to the Long Term Agenda.</w:t>
      </w:r>
      <w:r w:rsidRPr="00423854">
        <w:rPr>
          <w:vertAlign w:val="superscript"/>
        </w:rPr>
        <w:endnoteReference w:id="258"/>
      </w:r>
      <w:r w:rsidRPr="00423854">
        <w:t xml:space="preserve"> The Passenger Vessels rule has been on the </w:t>
      </w:r>
      <w:r w:rsidR="00983B9A">
        <w:t xml:space="preserve">Access </w:t>
      </w:r>
      <w:r w:rsidRPr="00423854">
        <w:t>Board</w:t>
      </w:r>
      <w:r w:rsidR="006474CA">
        <w:t>’</w:t>
      </w:r>
      <w:r w:rsidRPr="00423854">
        <w:t xml:space="preserve">s agenda since 1998 and been the subject of an </w:t>
      </w:r>
      <w:r w:rsidR="00B270DD">
        <w:t>a</w:t>
      </w:r>
      <w:r w:rsidRPr="00423854">
        <w:t>dvance</w:t>
      </w:r>
      <w:r w:rsidR="00071569">
        <w:t>d</w:t>
      </w:r>
      <w:r w:rsidRPr="00423854">
        <w:t xml:space="preserve"> </w:t>
      </w:r>
      <w:r w:rsidR="00B270DD">
        <w:t>n</w:t>
      </w:r>
      <w:r w:rsidRPr="00423854">
        <w:t xml:space="preserve">otice and a </w:t>
      </w:r>
      <w:r w:rsidR="00B270DD">
        <w:t>n</w:t>
      </w:r>
      <w:r w:rsidRPr="00423854">
        <w:t xml:space="preserve">otice of </w:t>
      </w:r>
      <w:r w:rsidR="00B270DD">
        <w:t>p</w:t>
      </w:r>
      <w:r w:rsidRPr="00423854">
        <w:t xml:space="preserve">roposed </w:t>
      </w:r>
      <w:r w:rsidR="00B270DD">
        <w:t>r</w:t>
      </w:r>
      <w:r w:rsidRPr="00423854">
        <w:t>ulemaking.</w:t>
      </w:r>
      <w:r w:rsidRPr="00423854">
        <w:rPr>
          <w:vertAlign w:val="superscript"/>
        </w:rPr>
        <w:endnoteReference w:id="259"/>
      </w:r>
      <w:r w:rsidRPr="00423854">
        <w:t xml:space="preserve"> The Pedestrian Facilities rulemaking has bee</w:t>
      </w:r>
      <w:r w:rsidR="00712631">
        <w:t xml:space="preserve">n on </w:t>
      </w:r>
      <w:r w:rsidR="00B270DD">
        <w:t xml:space="preserve">the </w:t>
      </w:r>
      <w:r w:rsidR="00983B9A">
        <w:t xml:space="preserve">Access </w:t>
      </w:r>
      <w:r w:rsidR="00B270DD">
        <w:t>Board</w:t>
      </w:r>
      <w:r w:rsidR="006474CA">
        <w:t>’</w:t>
      </w:r>
      <w:r w:rsidR="00B270DD">
        <w:t>s</w:t>
      </w:r>
      <w:r w:rsidR="00712631">
        <w:t xml:space="preserve"> agenda since 1999 and </w:t>
      </w:r>
      <w:r w:rsidRPr="00423854">
        <w:t xml:space="preserve">been the subject of two </w:t>
      </w:r>
      <w:r w:rsidR="00B270DD">
        <w:t>n</w:t>
      </w:r>
      <w:r w:rsidRPr="00423854">
        <w:t xml:space="preserve">otices of </w:t>
      </w:r>
      <w:r w:rsidR="00B270DD">
        <w:t>p</w:t>
      </w:r>
      <w:r w:rsidRPr="00423854">
        <w:t xml:space="preserve">roposed </w:t>
      </w:r>
      <w:r w:rsidR="00B270DD">
        <w:t>r</w:t>
      </w:r>
      <w:r w:rsidRPr="00423854">
        <w:t>ulemaking.</w:t>
      </w:r>
      <w:r w:rsidRPr="00423854">
        <w:rPr>
          <w:vertAlign w:val="superscript"/>
        </w:rPr>
        <w:endnoteReference w:id="260"/>
      </w:r>
      <w:r w:rsidRPr="00423854">
        <w:t xml:space="preserve"> In its Fall 2016</w:t>
      </w:r>
      <w:r w:rsidR="000F1993">
        <w:t xml:space="preserve"> </w:t>
      </w:r>
      <w:r w:rsidR="006B515F">
        <w:t>agenda</w:t>
      </w:r>
      <w:r w:rsidRPr="00423854">
        <w:t xml:space="preserve">, the Board expected to issue final rules in 2018 and 2019. The indefinite delay is likely a result of Executive Order </w:t>
      </w:r>
      <w:r w:rsidR="0056188D">
        <w:t xml:space="preserve">(EO) </w:t>
      </w:r>
      <w:r w:rsidRPr="00423854">
        <w:t xml:space="preserve">13771, which requires </w:t>
      </w:r>
      <w:r w:rsidR="003A511E">
        <w:t xml:space="preserve">that a </w:t>
      </w:r>
      <w:r w:rsidR="00B270DD">
        <w:t xml:space="preserve">federal </w:t>
      </w:r>
      <w:r w:rsidR="003A511E" w:rsidRPr="003A511E">
        <w:t xml:space="preserve">department or agency </w:t>
      </w:r>
      <w:r w:rsidR="00B270DD">
        <w:t xml:space="preserve">identify at least </w:t>
      </w:r>
      <w:r w:rsidR="003A511E">
        <w:t>two regulations</w:t>
      </w:r>
      <w:r w:rsidRPr="00423854">
        <w:t xml:space="preserve"> </w:t>
      </w:r>
      <w:r w:rsidR="00B270DD">
        <w:t xml:space="preserve">to rescind </w:t>
      </w:r>
      <w:r w:rsidR="003A511E">
        <w:t xml:space="preserve">for </w:t>
      </w:r>
      <w:r w:rsidRPr="00423854">
        <w:t>every new regulation.</w:t>
      </w:r>
      <w:r w:rsidRPr="00423854">
        <w:rPr>
          <w:vertAlign w:val="superscript"/>
        </w:rPr>
        <w:endnoteReference w:id="261"/>
      </w:r>
    </w:p>
    <w:p w14:paraId="41FFC0C9" w14:textId="77777777" w:rsidR="00296DA5" w:rsidRDefault="00633E33" w:rsidP="009A040B">
      <w:pPr>
        <w:pStyle w:val="NCDBodyText"/>
      </w:pPr>
      <w:r w:rsidRPr="00423854">
        <w:lastRenderedPageBreak/>
        <w:t xml:space="preserve">Since 2008, the Access Board has had </w:t>
      </w:r>
      <w:r w:rsidRPr="00995E5F">
        <w:t xml:space="preserve">an extensive research </w:t>
      </w:r>
      <w:r>
        <w:t>agenda, completing</w:t>
      </w:r>
      <w:r w:rsidRPr="00423854">
        <w:t xml:space="preserve"> research on Accessible Pedestrian Signals; Dimensional Tolerances; Exhibit Design; Anthropometry of Wheeled Mobility; Independent Transfers from Wheelchairs; Playground Surfaces; Surface Roughness Standards; and Trail Surfaces. The</w:t>
      </w:r>
      <w:r w:rsidR="00226936">
        <w:t xml:space="preserve"> Access</w:t>
      </w:r>
      <w:r w:rsidRPr="00423854">
        <w:t xml:space="preserve"> Board has two ongoing research projects: </w:t>
      </w:r>
      <w:r w:rsidR="005D5C21">
        <w:t>(</w:t>
      </w:r>
      <w:r w:rsidRPr="00423854">
        <w:t>1) Medical Diagnostic Equipment Minimum Transfer Height Phase II</w:t>
      </w:r>
      <w:r w:rsidR="005D5C21">
        <w:t>,</w:t>
      </w:r>
      <w:r w:rsidR="005D5C21" w:rsidRPr="00423854">
        <w:t xml:space="preserve"> </w:t>
      </w:r>
      <w:r w:rsidRPr="00423854">
        <w:t xml:space="preserve">and </w:t>
      </w:r>
      <w:r w:rsidR="005D5C21">
        <w:t>(</w:t>
      </w:r>
      <w:r w:rsidRPr="00423854">
        <w:t>2) WCAG 2.0 Expanded Online Technical Assistance.</w:t>
      </w:r>
      <w:r w:rsidRPr="00423854">
        <w:rPr>
          <w:vertAlign w:val="superscript"/>
        </w:rPr>
        <w:endnoteReference w:id="262"/>
      </w:r>
      <w:r w:rsidRPr="00423854">
        <w:t xml:space="preserve"> The</w:t>
      </w:r>
      <w:r w:rsidR="00895677">
        <w:t xml:space="preserve"> Access</w:t>
      </w:r>
      <w:r w:rsidRPr="00423854">
        <w:t xml:space="preserve"> </w:t>
      </w:r>
      <w:r w:rsidR="00712631" w:rsidRPr="00423854">
        <w:t>Board</w:t>
      </w:r>
      <w:r w:rsidR="003A511E">
        <w:t xml:space="preserve"> has limited</w:t>
      </w:r>
      <w:r w:rsidR="00712631" w:rsidRPr="00423854">
        <w:t xml:space="preserve"> </w:t>
      </w:r>
      <w:r w:rsidR="003A511E">
        <w:t xml:space="preserve">its </w:t>
      </w:r>
      <w:r w:rsidR="003A511E" w:rsidRPr="00423854">
        <w:t xml:space="preserve">research </w:t>
      </w:r>
      <w:r w:rsidR="003A511E">
        <w:t xml:space="preserve">agenda </w:t>
      </w:r>
      <w:r w:rsidR="003A511E" w:rsidRPr="00423854">
        <w:t xml:space="preserve">to upcoming </w:t>
      </w:r>
      <w:r w:rsidR="0056188D">
        <w:t>regulations</w:t>
      </w:r>
      <w:r w:rsidR="003A511E" w:rsidRPr="00423854">
        <w:t xml:space="preserve"> on accessibility of self-service transaction machines and accessibility of information technology to people with low vi</w:t>
      </w:r>
      <w:r w:rsidR="003A511E">
        <w:t>sion and cognitive disabilities because of budget constraints.</w:t>
      </w:r>
    </w:p>
    <w:p w14:paraId="3D024347" w14:textId="77777777" w:rsidR="00296DA5" w:rsidRDefault="00633E33" w:rsidP="009A040B">
      <w:pPr>
        <w:pStyle w:val="NCDBodyText"/>
      </w:pPr>
      <w:r w:rsidRPr="000651DF">
        <w:t>The Access Board</w:t>
      </w:r>
      <w:r w:rsidR="006474CA">
        <w:t>’</w:t>
      </w:r>
      <w:r w:rsidRPr="000651DF">
        <w:t>s limited resources, together with its</w:t>
      </w:r>
      <w:r w:rsidR="00753A8A">
        <w:t xml:space="preserve"> </w:t>
      </w:r>
      <w:r w:rsidRPr="000651DF">
        <w:t xml:space="preserve">collaborative and consensus-based rulemaking process, has resulted in </w:t>
      </w:r>
      <w:r w:rsidR="000651DF" w:rsidRPr="000651DF">
        <w:t xml:space="preserve">a </w:t>
      </w:r>
      <w:r w:rsidR="000651DF">
        <w:t>nearly 20-year process</w:t>
      </w:r>
      <w:r w:rsidRPr="000651DF">
        <w:t xml:space="preserve"> for</w:t>
      </w:r>
      <w:r w:rsidR="000651DF">
        <w:t xml:space="preserve"> the development of</w:t>
      </w:r>
      <w:r w:rsidRPr="000651DF">
        <w:t xml:space="preserve"> important regulations that industries and </w:t>
      </w:r>
      <w:r w:rsidR="000651DF">
        <w:t xml:space="preserve">people with disabilities need to </w:t>
      </w:r>
      <w:r w:rsidRPr="000651DF">
        <w:t>implement consistent, effective, and efficient access.</w:t>
      </w:r>
      <w:r w:rsidRPr="00244B67">
        <w:t xml:space="preserve"> </w:t>
      </w:r>
      <w:r w:rsidR="006B515F">
        <w:t xml:space="preserve">The </w:t>
      </w:r>
      <w:r w:rsidRPr="00244B67">
        <w:t xml:space="preserve">rules are now delayed further by </w:t>
      </w:r>
      <w:r w:rsidR="0056188D">
        <w:t>EO</w:t>
      </w:r>
      <w:r w:rsidRPr="00244B67">
        <w:t xml:space="preserve"> 13771</w:t>
      </w:r>
      <w:r w:rsidR="0056188D">
        <w:t>. Th</w:t>
      </w:r>
      <w:r w:rsidRPr="00423854">
        <w:t>e Access Board</w:t>
      </w:r>
      <w:r w:rsidR="006474CA">
        <w:t>’</w:t>
      </w:r>
      <w:r w:rsidRPr="00423854">
        <w:t xml:space="preserve">s rulemaking efforts are essential to the development of enforceable standards under the ADA and ABA, as well as </w:t>
      </w:r>
      <w:r w:rsidR="00D41EDD">
        <w:t>Section</w:t>
      </w:r>
      <w:r w:rsidRPr="00423854">
        <w:t xml:space="preserve"> 508. Particularly in an era of exponential developments in technology and accessibility, the Access Board needs to be able to complete its research, gather information and input from stakeholders, and issue guidelines </w:t>
      </w:r>
      <w:r w:rsidR="00021130">
        <w:t>or standards in a timely manner</w:t>
      </w:r>
      <w:r w:rsidR="00FB20E8">
        <w:t>.</w:t>
      </w:r>
      <w:r w:rsidR="00021130" w:rsidRPr="00021130">
        <w:t xml:space="preserve"> </w:t>
      </w:r>
      <w:r w:rsidR="00021130" w:rsidRPr="00021130">
        <w:rPr>
          <w:b/>
        </w:rPr>
        <w:t>NCD recommends the Access Board explore methods to expedite the development of guidelines and standards, particularly on subjects that involve technology, so that regulations are timely.</w:t>
      </w:r>
    </w:p>
    <w:p w14:paraId="7AEFA542" w14:textId="77777777" w:rsidR="00296DA5" w:rsidRPr="009A040B" w:rsidRDefault="00021130" w:rsidP="009A040B">
      <w:pPr>
        <w:pStyle w:val="NCDBodyText"/>
        <w:rPr>
          <w:b/>
        </w:rPr>
      </w:pPr>
      <w:r w:rsidRPr="009A040B">
        <w:rPr>
          <w:b/>
        </w:rPr>
        <w:t xml:space="preserve">NCD </w:t>
      </w:r>
      <w:r w:rsidR="0056188D" w:rsidRPr="009A040B">
        <w:rPr>
          <w:b/>
        </w:rPr>
        <w:t>r</w:t>
      </w:r>
      <w:r w:rsidRPr="009A040B">
        <w:rPr>
          <w:b/>
        </w:rPr>
        <w:t>ecommends that the Director of the Office of Management and Budget exempt the Access Board from Executive Order 13771, pursuant to section 4(c) of the Executive Order</w:t>
      </w:r>
      <w:r w:rsidR="00753A8A" w:rsidRPr="009A040B">
        <w:rPr>
          <w:b/>
        </w:rPr>
        <w:t>, to allow</w:t>
      </w:r>
      <w:r w:rsidRPr="009A040B">
        <w:rPr>
          <w:b/>
        </w:rPr>
        <w:t xml:space="preserve"> the Access Board to proceed expeditiously with long-awaited rulemaking processes that are nearing completion.</w:t>
      </w:r>
    </w:p>
    <w:p w14:paraId="653642E4" w14:textId="77777777" w:rsidR="00296DA5" w:rsidRDefault="008A36DA" w:rsidP="00396A3D">
      <w:pPr>
        <w:pStyle w:val="NCDBodyText"/>
      </w:pPr>
      <w:r w:rsidRPr="008A36DA">
        <w:t>Section 508 of the Rehabilitation Act requires information and communication technology purchased, developed, or used by fede</w:t>
      </w:r>
      <w:r>
        <w:t xml:space="preserve">ral agencies to be accessible. </w:t>
      </w:r>
      <w:r w:rsidR="0056188D" w:rsidRPr="0056188D">
        <w:t xml:space="preserve">In 1998, Congress assigned the </w:t>
      </w:r>
      <w:r w:rsidR="009B3BDE">
        <w:rPr>
          <w:rFonts w:eastAsia="Times New Roman"/>
        </w:rPr>
        <w:t xml:space="preserve">Access </w:t>
      </w:r>
      <w:r w:rsidR="0056188D" w:rsidRPr="0056188D">
        <w:t xml:space="preserve">Board responsibility to develop accessibility compliance standards </w:t>
      </w:r>
      <w:r w:rsidR="004C5D71">
        <w:t>for electronic and information</w:t>
      </w:r>
      <w:r w:rsidR="003B40CD">
        <w:t xml:space="preserve"> </w:t>
      </w:r>
      <w:r>
        <w:t xml:space="preserve">technology, which </w:t>
      </w:r>
      <w:r w:rsidR="003B40CD">
        <w:t xml:space="preserve">the Board </w:t>
      </w:r>
      <w:r w:rsidR="0056188D" w:rsidRPr="0056188D">
        <w:t xml:space="preserve">issued </w:t>
      </w:r>
      <w:r w:rsidR="0056188D" w:rsidRPr="0056188D">
        <w:lastRenderedPageBreak/>
        <w:t>in 2000 and updated</w:t>
      </w:r>
      <w:r w:rsidR="00B22D54">
        <w:t xml:space="preserve"> </w:t>
      </w:r>
      <w:r w:rsidR="0056188D" w:rsidRPr="0056188D">
        <w:t xml:space="preserve">in 2017. Unlike the ABA, however, </w:t>
      </w:r>
      <w:r w:rsidR="00F7599F">
        <w:t>Section 508</w:t>
      </w:r>
      <w:r w:rsidR="0056188D" w:rsidRPr="0056188D">
        <w:t xml:space="preserve"> does not explicitly provide an enforcement role for the Access Board. As a result, implementation of Section 508, like the original ABA, relies primarily on self-enforcement by the federal agencies and lawsuits by individuals with disabilities.</w:t>
      </w:r>
    </w:p>
    <w:p w14:paraId="3D4E7374" w14:textId="77777777" w:rsidR="00296DA5" w:rsidRDefault="0056188D" w:rsidP="00396A3D">
      <w:pPr>
        <w:pStyle w:val="NCDBodyText"/>
      </w:pPr>
      <w:r w:rsidRPr="00423854">
        <w:t xml:space="preserve">There is virtually no transparency into the level of </w:t>
      </w:r>
      <w:r>
        <w:t>Section</w:t>
      </w:r>
      <w:r w:rsidRPr="00423854">
        <w:t xml:space="preserve"> 508</w:t>
      </w:r>
      <w:r>
        <w:t xml:space="preserve"> </w:t>
      </w:r>
      <w:r w:rsidRPr="00423854">
        <w:t xml:space="preserve">compliance of federal electronic and information technology, or the number of complaints received or resolved. Agencies submit biannual </w:t>
      </w:r>
      <w:r>
        <w:t>r</w:t>
      </w:r>
      <w:r w:rsidRPr="00423854">
        <w:t>eports to the Chief Information Officer Council</w:t>
      </w:r>
      <w:r w:rsidR="006474CA">
        <w:t>’</w:t>
      </w:r>
      <w:r w:rsidRPr="00423854">
        <w:t>s Accessibility Community of Practice.</w:t>
      </w:r>
      <w:r w:rsidRPr="00423854">
        <w:rPr>
          <w:vertAlign w:val="superscript"/>
        </w:rPr>
        <w:endnoteReference w:id="263"/>
      </w:r>
      <w:r w:rsidRPr="00423854">
        <w:t xml:space="preserve"> Those reports are used for interagency analysis, trending, and planning to improve collaboration, reduce redundancies, and develop solutions and recommendations for improving </w:t>
      </w:r>
      <w:r>
        <w:t>Section</w:t>
      </w:r>
      <w:r w:rsidRPr="00423854">
        <w:t xml:space="preserve"> 508 management across the </w:t>
      </w:r>
      <w:r w:rsidR="00791726">
        <w:t>Federal Government</w:t>
      </w:r>
      <w:r w:rsidRPr="00423854">
        <w:t>.</w:t>
      </w:r>
      <w:r>
        <w:t xml:space="preserve"> T</w:t>
      </w:r>
      <w:r w:rsidRPr="00423854">
        <w:t>hose reports</w:t>
      </w:r>
      <w:r>
        <w:t>,</w:t>
      </w:r>
      <w:r w:rsidRPr="00423854">
        <w:t xml:space="preserve"> </w:t>
      </w:r>
      <w:r>
        <w:t>h</w:t>
      </w:r>
      <w:r w:rsidRPr="00423854">
        <w:t>owever</w:t>
      </w:r>
      <w:r>
        <w:t>,</w:t>
      </w:r>
      <w:r w:rsidRPr="00423854">
        <w:t xml:space="preserve"> are not publicly available. </w:t>
      </w:r>
      <w:r>
        <w:t>Section</w:t>
      </w:r>
      <w:r w:rsidRPr="00423854">
        <w:t xml:space="preserve"> 508 also directs DOJ to conduct a biennial survey and issue</w:t>
      </w:r>
      <w:r>
        <w:t xml:space="preserve"> a report on federal compliance,</w:t>
      </w:r>
      <w:r w:rsidRPr="00423854">
        <w:rPr>
          <w:vertAlign w:val="superscript"/>
        </w:rPr>
        <w:endnoteReference w:id="264"/>
      </w:r>
      <w:r w:rsidRPr="00423854">
        <w:t xml:space="preserve"> </w:t>
      </w:r>
      <w:r w:rsidR="00A223F1">
        <w:t>which were</w:t>
      </w:r>
      <w:r>
        <w:t xml:space="preserve"> published </w:t>
      </w:r>
      <w:r w:rsidRPr="00423854">
        <w:t>in 2000, 2004, and 2012.</w:t>
      </w:r>
      <w:r w:rsidRPr="00423854">
        <w:rPr>
          <w:vertAlign w:val="superscript"/>
        </w:rPr>
        <w:endnoteReference w:id="265"/>
      </w:r>
      <w:r w:rsidRPr="00423854">
        <w:t xml:space="preserve"> Those reports do not provide agency-specific information</w:t>
      </w:r>
      <w:r w:rsidR="008A36DA" w:rsidRPr="008A36DA">
        <w:t>, the types of technologies that are inaccessible</w:t>
      </w:r>
      <w:r w:rsidR="008A30A4">
        <w:t>,</w:t>
      </w:r>
      <w:r w:rsidRPr="00423854">
        <w:t xml:space="preserve"> or </w:t>
      </w:r>
      <w:r w:rsidR="000E0D03">
        <w:t xml:space="preserve">an </w:t>
      </w:r>
      <w:r w:rsidRPr="00423854">
        <w:t>independent assessment</w:t>
      </w:r>
      <w:r w:rsidR="000E0D03">
        <w:t xml:space="preserve"> of the </w:t>
      </w:r>
      <w:r w:rsidRPr="00423854">
        <w:t xml:space="preserve">accessibility of </w:t>
      </w:r>
      <w:r w:rsidR="000E0D03">
        <w:t xml:space="preserve">federal </w:t>
      </w:r>
      <w:r w:rsidRPr="00423854">
        <w:t>agencies</w:t>
      </w:r>
      <w:r w:rsidR="006474CA">
        <w:t>’</w:t>
      </w:r>
      <w:r w:rsidRPr="00423854">
        <w:t xml:space="preserve"> technology. Rather, the surveys focus on the levels of policies, training, spending, and infrastructure dedicated to technology accessibility. </w:t>
      </w:r>
      <w:r w:rsidRPr="007516FC">
        <w:t>Th</w:t>
      </w:r>
      <w:r>
        <w:t>e lack of transparency, along</w:t>
      </w:r>
      <w:r w:rsidRPr="007516FC">
        <w:t xml:space="preserve"> </w:t>
      </w:r>
      <w:r w:rsidR="000E0D03">
        <w:t>with no</w:t>
      </w:r>
      <w:r w:rsidRPr="007516FC">
        <w:t xml:space="preserve"> federal agency authorized to require Section 508 compliance, makes it difficult to determine the impact or effectiveness of Section 508. </w:t>
      </w:r>
      <w:r w:rsidRPr="007516FC">
        <w:rPr>
          <w:b/>
        </w:rPr>
        <w:t xml:space="preserve">NCD recommends that the Government Accountability Office conduct accessibility audits of websites, online technologies, and other electronic and information technologies developed, procured, maintained, or used by federal </w:t>
      </w:r>
      <w:r w:rsidR="008A36DA">
        <w:rPr>
          <w:b/>
        </w:rPr>
        <w:t xml:space="preserve">agencies </w:t>
      </w:r>
      <w:r w:rsidRPr="007516FC">
        <w:rPr>
          <w:b/>
        </w:rPr>
        <w:t>and make recommendations regarding implementation, oversight, and enforcement of Section 508.</w:t>
      </w:r>
    </w:p>
    <w:p w14:paraId="4B4FB5CA" w14:textId="77777777" w:rsidR="00296DA5" w:rsidRDefault="0056188D" w:rsidP="00396A3D">
      <w:pPr>
        <w:pStyle w:val="NCDBodyText"/>
        <w:rPr>
          <w:b/>
        </w:rPr>
      </w:pPr>
      <w:r w:rsidRPr="00423854">
        <w:t xml:space="preserve">Under </w:t>
      </w:r>
      <w:r>
        <w:t>Section</w:t>
      </w:r>
      <w:r w:rsidRPr="00423854">
        <w:t xml:space="preserve"> 508, the Federal Acquisition Regulatory Council (FAR Council) is required to incorporate the revised 508 Standards into the Federal Acquisition Regulations (FAR) </w:t>
      </w:r>
      <w:r w:rsidR="006474CA">
        <w:t>“</w:t>
      </w:r>
      <w:r w:rsidRPr="00423854">
        <w:t>not later than 6 months after the Access Board publishes the standards.</w:t>
      </w:r>
      <w:r w:rsidR="006474CA">
        <w:t>”</w:t>
      </w:r>
      <w:r w:rsidRPr="00423854">
        <w:rPr>
          <w:vertAlign w:val="superscript"/>
        </w:rPr>
        <w:endnoteReference w:id="266"/>
      </w:r>
      <w:r w:rsidRPr="00423854">
        <w:t xml:space="preserve"> Although the updated </w:t>
      </w:r>
      <w:r>
        <w:t>Section</w:t>
      </w:r>
      <w:r w:rsidRPr="00423854">
        <w:t xml:space="preserve"> 508 standards were issued by the</w:t>
      </w:r>
      <w:r w:rsidR="008A30A4" w:rsidRPr="008A30A4">
        <w:rPr>
          <w:rFonts w:eastAsia="Times New Roman"/>
        </w:rPr>
        <w:t xml:space="preserve"> </w:t>
      </w:r>
      <w:r w:rsidR="008A30A4">
        <w:rPr>
          <w:rFonts w:eastAsia="Times New Roman"/>
        </w:rPr>
        <w:t>Access</w:t>
      </w:r>
      <w:r w:rsidRPr="00423854">
        <w:t xml:space="preserve"> Board in 201</w:t>
      </w:r>
      <w:r w:rsidR="000E0D03">
        <w:t>7, the FAR has not been updated</w:t>
      </w:r>
      <w:r w:rsidRPr="00423854">
        <w:t>,</w:t>
      </w:r>
      <w:r w:rsidR="000E0D03">
        <w:t xml:space="preserve"> and</w:t>
      </w:r>
      <w:r w:rsidRPr="00423854">
        <w:t xml:space="preserve"> federal agencies</w:t>
      </w:r>
      <w:r w:rsidR="006474CA">
        <w:t>’</w:t>
      </w:r>
      <w:r w:rsidRPr="00423854">
        <w:t xml:space="preserve"> procurements are still using the out-of-date standards. </w:t>
      </w:r>
      <w:r w:rsidRPr="00CF1375">
        <w:rPr>
          <w:b/>
        </w:rPr>
        <w:t xml:space="preserve">NCD recommends that Congress and the </w:t>
      </w:r>
      <w:r w:rsidRPr="00CF1375">
        <w:rPr>
          <w:b/>
        </w:rPr>
        <w:lastRenderedPageBreak/>
        <w:t>President require the Federal Acquisition Regulatory Council (FAR Council) to immediately incorporate the revised Section 508 standards into the FAR.</w:t>
      </w:r>
    </w:p>
    <w:p w14:paraId="508F1BD8" w14:textId="05AFFB7E" w:rsidR="00C40209" w:rsidRPr="00423854" w:rsidRDefault="00C40209" w:rsidP="004F295C">
      <w:pPr>
        <w:pStyle w:val="Heading3"/>
      </w:pPr>
      <w:bookmarkStart w:id="81" w:name="_Toc526182125"/>
      <w:r w:rsidRPr="00423854">
        <w:t>Proactive and Reactive Strategies</w:t>
      </w:r>
      <w:bookmarkEnd w:id="81"/>
    </w:p>
    <w:p w14:paraId="64030E39" w14:textId="77777777" w:rsidR="00296DA5" w:rsidRDefault="00C40209" w:rsidP="004F295C">
      <w:pPr>
        <w:pStyle w:val="NCDBodyText"/>
        <w:rPr>
          <w:b/>
        </w:rPr>
      </w:pPr>
      <w:r w:rsidRPr="00423854">
        <w:t>The Access Board</w:t>
      </w:r>
      <w:r w:rsidR="006474CA">
        <w:t>’</w:t>
      </w:r>
      <w:r w:rsidRPr="00423854">
        <w:t xml:space="preserve">s </w:t>
      </w:r>
      <w:r w:rsidR="0056188D" w:rsidRPr="00423854">
        <w:t xml:space="preserve">proactive </w:t>
      </w:r>
      <w:r w:rsidRPr="00423854">
        <w:t>research and regulatory work is</w:t>
      </w:r>
      <w:r w:rsidR="0056188D">
        <w:t xml:space="preserve"> guided by several committees.</w:t>
      </w:r>
      <w:r w:rsidRPr="00423854">
        <w:t xml:space="preserve"> The </w:t>
      </w:r>
      <w:r w:rsidR="008A30A4">
        <w:t xml:space="preserve">Access </w:t>
      </w:r>
      <w:r w:rsidRPr="00423854">
        <w:t>Board</w:t>
      </w:r>
      <w:r w:rsidR="006474CA">
        <w:t>’</w:t>
      </w:r>
      <w:r w:rsidRPr="00423854">
        <w:t xml:space="preserve">s Planning and Evaluation Committee establishes goals and objectives </w:t>
      </w:r>
      <w:r w:rsidR="00E50028">
        <w:t>to ensure</w:t>
      </w:r>
      <w:r w:rsidRPr="00423854">
        <w:t xml:space="preserve"> overall program responsiveness and effectiveness</w:t>
      </w:r>
      <w:r w:rsidR="0056188D">
        <w:t>, the</w:t>
      </w:r>
      <w:r w:rsidRPr="00423854">
        <w:t xml:space="preserve"> Technical Programs Committee establishes research priorities to support current and future rulemaking efforts</w:t>
      </w:r>
      <w:r w:rsidR="00E50028">
        <w:t>,</w:t>
      </w:r>
      <w:r w:rsidRPr="00423854">
        <w:t xml:space="preserve"> and the Frontiers Ad Hoc Committee monitors and evaluates advances in technology to shape priorities so that guidelines and TA continue to address relevant issues.</w:t>
      </w:r>
      <w:r w:rsidR="00050306">
        <w:t xml:space="preserve"> </w:t>
      </w:r>
      <w:r w:rsidRPr="00423854">
        <w:t xml:space="preserve">These committees keep abreast of emerging issues and accessibility developments and shape the </w:t>
      </w:r>
      <w:r w:rsidR="008A30A4">
        <w:t xml:space="preserve">Access </w:t>
      </w:r>
      <w:r w:rsidRPr="00423854">
        <w:t>Board</w:t>
      </w:r>
      <w:r w:rsidR="006474CA">
        <w:t>’</w:t>
      </w:r>
      <w:r w:rsidRPr="00423854">
        <w:t>s research and regulatory agendas accordingly.</w:t>
      </w:r>
      <w:r w:rsidR="00021130" w:rsidRPr="00021130">
        <w:t xml:space="preserve"> </w:t>
      </w:r>
      <w:r w:rsidR="00021130" w:rsidRPr="00021130">
        <w:rPr>
          <w:b/>
        </w:rPr>
        <w:t>NCD recommends the Access Board ensure that the Frontiers Committee, which is currently an ad hoc committee, is maintained and empowered to keep abreast of emerging disability issues and accessibility developments and to shape the Board</w:t>
      </w:r>
      <w:r w:rsidR="006474CA">
        <w:rPr>
          <w:b/>
        </w:rPr>
        <w:t>’</w:t>
      </w:r>
      <w:r w:rsidR="00021130" w:rsidRPr="00021130">
        <w:rPr>
          <w:b/>
        </w:rPr>
        <w:t>s regulatory and research agendas.</w:t>
      </w:r>
    </w:p>
    <w:p w14:paraId="5D26E8BB" w14:textId="77777777" w:rsidR="00296DA5" w:rsidRDefault="00C40209" w:rsidP="004F295C">
      <w:pPr>
        <w:pStyle w:val="NCDBodyText"/>
        <w:rPr>
          <w:b/>
        </w:rPr>
      </w:pPr>
      <w:r w:rsidRPr="00423854">
        <w:t xml:space="preserve">The </w:t>
      </w:r>
      <w:r w:rsidR="00E50028">
        <w:t xml:space="preserve">enforcement efforts of the </w:t>
      </w:r>
      <w:r w:rsidR="008A30A4">
        <w:t xml:space="preserve">Access </w:t>
      </w:r>
      <w:r w:rsidRPr="00423854">
        <w:t>Board</w:t>
      </w:r>
      <w:r w:rsidR="0056188D">
        <w:t>, however,</w:t>
      </w:r>
      <w:r w:rsidR="00E50028">
        <w:t xml:space="preserve"> is largely reactive. The</w:t>
      </w:r>
      <w:r w:rsidR="008A30A4" w:rsidRPr="008A30A4">
        <w:t xml:space="preserve"> </w:t>
      </w:r>
      <w:r w:rsidR="008A30A4">
        <w:t>Access</w:t>
      </w:r>
      <w:r w:rsidR="00E50028">
        <w:t xml:space="preserve"> Board</w:t>
      </w:r>
      <w:r w:rsidRPr="00423854">
        <w:t xml:space="preserve"> has limited resources and only two </w:t>
      </w:r>
      <w:r w:rsidR="008A30A4" w:rsidRPr="00423854">
        <w:t>full</w:t>
      </w:r>
      <w:r w:rsidR="008A30A4">
        <w:t>-</w:t>
      </w:r>
      <w:r w:rsidRPr="00423854">
        <w:t>time staff assigned to handle ABA complaints. Enforcement priorities and strategies are not established beforehand</w:t>
      </w:r>
      <w:r w:rsidR="00D17C4A">
        <w:t>.</w:t>
      </w:r>
      <w:r w:rsidR="00050306">
        <w:t xml:space="preserve"> </w:t>
      </w:r>
      <w:r w:rsidR="00E53B5D">
        <w:t>A</w:t>
      </w:r>
      <w:r w:rsidRPr="00423854">
        <w:t xml:space="preserve">lthough the </w:t>
      </w:r>
      <w:r w:rsidR="008A30A4">
        <w:t xml:space="preserve">Access </w:t>
      </w:r>
      <w:r w:rsidRPr="00423854">
        <w:t>Board has authority to survey facilities and initiate investigations in the absence of a complaint,</w:t>
      </w:r>
      <w:r w:rsidRPr="00423854">
        <w:rPr>
          <w:vertAlign w:val="superscript"/>
        </w:rPr>
        <w:endnoteReference w:id="267"/>
      </w:r>
      <w:r w:rsidRPr="00423854">
        <w:t xml:space="preserve"> </w:t>
      </w:r>
      <w:r w:rsidR="00D17C4A">
        <w:t>investigations are initiated s</w:t>
      </w:r>
      <w:r w:rsidR="0056188D">
        <w:t>ole</w:t>
      </w:r>
      <w:r w:rsidR="00A223F1">
        <w:t>ly</w:t>
      </w:r>
      <w:r w:rsidR="0056188D">
        <w:t xml:space="preserve"> in response to complaints. </w:t>
      </w:r>
      <w:r w:rsidR="00D17C4A">
        <w:t>W</w:t>
      </w:r>
      <w:r w:rsidRPr="00423854">
        <w:t xml:space="preserve">ith limited travel funds and staff located only in Washington, DC, the </w:t>
      </w:r>
      <w:r w:rsidR="00ED7FEC">
        <w:t xml:space="preserve">Access </w:t>
      </w:r>
      <w:r w:rsidRPr="00423854">
        <w:t>Board relies primarily on written correspondence and photos to collect necessary information and does not generally conduct compliance reviews.</w:t>
      </w:r>
      <w:r w:rsidR="00050306" w:rsidRPr="00423854">
        <w:t xml:space="preserve"> </w:t>
      </w:r>
      <w:r w:rsidRPr="00423854">
        <w:t xml:space="preserve">As a result, the </w:t>
      </w:r>
      <w:r w:rsidR="00ED7FEC">
        <w:t xml:space="preserve">Access </w:t>
      </w:r>
      <w:r w:rsidRPr="00423854">
        <w:t>Board</w:t>
      </w:r>
      <w:r w:rsidR="006474CA">
        <w:t>’</w:t>
      </w:r>
      <w:r w:rsidRPr="00423854">
        <w:t xml:space="preserve">s ability to address additional violations at a facility beyond the particular element complained of is limited. </w:t>
      </w:r>
      <w:r w:rsidR="0056188D">
        <w:t xml:space="preserve">Interested parties have noted that sometimes they must </w:t>
      </w:r>
      <w:r w:rsidRPr="00423854">
        <w:t>file multiple complaints and await the outcomes of multiple investigatio</w:t>
      </w:r>
      <w:r w:rsidR="0056188D">
        <w:t>ns regarding a single facility</w:t>
      </w:r>
      <w:r w:rsidR="008A30A4">
        <w:t>, because</w:t>
      </w:r>
      <w:r w:rsidR="0056188D">
        <w:t xml:space="preserve"> as one barrier is removed, the complainant </w:t>
      </w:r>
      <w:r w:rsidRPr="00423854">
        <w:t>discover</w:t>
      </w:r>
      <w:r w:rsidR="0056188D">
        <w:t>s more barriers requiring additional complaints.</w:t>
      </w:r>
      <w:r w:rsidRPr="00423854">
        <w:t xml:space="preserve"> This is an inefficient </w:t>
      </w:r>
      <w:r w:rsidR="00063CCD" w:rsidRPr="00423854">
        <w:t>process and</w:t>
      </w:r>
      <w:r w:rsidRPr="00423854">
        <w:t xml:space="preserve"> lead</w:t>
      </w:r>
      <w:r>
        <w:t>s</w:t>
      </w:r>
      <w:r w:rsidRPr="00423854">
        <w:t xml:space="preserve"> to multiple barriers </w:t>
      </w:r>
      <w:r w:rsidR="0056188D">
        <w:t>at a single facility</w:t>
      </w:r>
      <w:r w:rsidR="0056188D" w:rsidRPr="00423854">
        <w:t xml:space="preserve"> </w:t>
      </w:r>
      <w:r w:rsidRPr="00423854">
        <w:t>having to be investigated and remediated se</w:t>
      </w:r>
      <w:r w:rsidR="0056188D">
        <w:t>parately</w:t>
      </w:r>
      <w:r w:rsidR="0057027C">
        <w:t xml:space="preserve">. </w:t>
      </w:r>
      <w:r w:rsidR="0057027C" w:rsidRPr="0057027C">
        <w:rPr>
          <w:b/>
        </w:rPr>
        <w:t xml:space="preserve">NCD recommends that when the Access </w:t>
      </w:r>
      <w:r w:rsidR="0057027C" w:rsidRPr="0057027C">
        <w:rPr>
          <w:b/>
        </w:rPr>
        <w:lastRenderedPageBreak/>
        <w:t>Board receives a complaint about a particular area of a covered facility, it investigate</w:t>
      </w:r>
      <w:r w:rsidR="00F77D72">
        <w:rPr>
          <w:b/>
        </w:rPr>
        <w:t>s</w:t>
      </w:r>
      <w:r w:rsidR="0057027C" w:rsidRPr="0057027C">
        <w:rPr>
          <w:b/>
        </w:rPr>
        <w:t xml:space="preserve"> the entire facility to avoid the need for follow-up complaints.</w:t>
      </w:r>
    </w:p>
    <w:p w14:paraId="00AC54B1" w14:textId="77777777" w:rsidR="00296DA5" w:rsidRPr="004F295C" w:rsidRDefault="00021130" w:rsidP="004F295C">
      <w:pPr>
        <w:pStyle w:val="NCDBodyText"/>
        <w:rPr>
          <w:b/>
        </w:rPr>
      </w:pPr>
      <w:r w:rsidRPr="004F295C">
        <w:rPr>
          <w:b/>
        </w:rPr>
        <w:t xml:space="preserve">NCD recommends the Access Board use data on types of facilities or geographic areas that give rise to the most complaints as a basis to identify types of facilities or geographic areas for self-initiated </w:t>
      </w:r>
      <w:r w:rsidR="00AC35B6" w:rsidRPr="004F295C">
        <w:rPr>
          <w:b/>
        </w:rPr>
        <w:t xml:space="preserve">ABA </w:t>
      </w:r>
      <w:r w:rsidRPr="004F295C">
        <w:rPr>
          <w:b/>
        </w:rPr>
        <w:t>investigations.</w:t>
      </w:r>
    </w:p>
    <w:p w14:paraId="54E3ACA5" w14:textId="38BB3350" w:rsidR="00C40209" w:rsidRPr="00423854" w:rsidRDefault="00C40209" w:rsidP="004F295C">
      <w:pPr>
        <w:pStyle w:val="Heading3"/>
      </w:pPr>
      <w:bookmarkStart w:id="82" w:name="_Toc526182126"/>
      <w:r w:rsidRPr="00423854">
        <w:t>Competent and</w:t>
      </w:r>
      <w:r w:rsidR="00AF7231">
        <w:t xml:space="preserve"> Credible Investigative Process and Enforcement Action</w:t>
      </w:r>
      <w:bookmarkEnd w:id="82"/>
    </w:p>
    <w:p w14:paraId="3501F1B2" w14:textId="130095B5" w:rsidR="00296DA5" w:rsidRDefault="00C40209" w:rsidP="0045014B">
      <w:pPr>
        <w:pStyle w:val="NCDBodyText"/>
      </w:pPr>
      <w:r w:rsidRPr="00423854">
        <w:t xml:space="preserve">The Access Board receives ABA complaints through </w:t>
      </w:r>
      <w:r w:rsidR="00CA40F7">
        <w:t>it</w:t>
      </w:r>
      <w:r w:rsidR="00CA40F7" w:rsidRPr="00423854">
        <w:t xml:space="preserve">s </w:t>
      </w:r>
      <w:r w:rsidRPr="00423854">
        <w:t xml:space="preserve">online complaint form </w:t>
      </w:r>
      <w:r w:rsidR="00C35AF9">
        <w:br/>
      </w:r>
      <w:r w:rsidRPr="00423854">
        <w:t xml:space="preserve">(95 percent of complaints are received in this manner), emails to </w:t>
      </w:r>
      <w:r w:rsidR="000E0D03">
        <w:t>an</w:t>
      </w:r>
      <w:r w:rsidRPr="00423854">
        <w:t xml:space="preserve"> enforce</w:t>
      </w:r>
      <w:r>
        <w:t>ment email</w:t>
      </w:r>
      <w:r w:rsidRPr="00423854">
        <w:t xml:space="preserve"> address, fax, and mail. Complaints </w:t>
      </w:r>
      <w:r w:rsidR="000E0D03">
        <w:t>to the</w:t>
      </w:r>
      <w:r w:rsidR="00BE3996">
        <w:t xml:space="preserve"> Access</w:t>
      </w:r>
      <w:r w:rsidR="000E0D03">
        <w:t xml:space="preserve"> Board </w:t>
      </w:r>
      <w:r w:rsidRPr="00423854">
        <w:t>concern post offices, national parks, military facilities, veterans</w:t>
      </w:r>
      <w:r w:rsidR="006474CA">
        <w:t>’</w:t>
      </w:r>
      <w:r w:rsidRPr="00423854">
        <w:t xml:space="preserve"> hospitals, courthouses, and other facilities. According to the General Services Administration, in 2016 there were approximately 267,000 federally owned or leased buildings in the </w:t>
      </w:r>
      <w:r w:rsidR="00752BCD">
        <w:t>United States</w:t>
      </w:r>
      <w:r w:rsidRPr="00423854">
        <w:t>, plus 496,000 other federal</w:t>
      </w:r>
      <w:r>
        <w:t xml:space="preserve"> property and</w:t>
      </w:r>
      <w:r w:rsidRPr="00423854">
        <w:t xml:space="preserve"> structures (e.g., parking lots).</w:t>
      </w:r>
      <w:r w:rsidRPr="00423854">
        <w:rPr>
          <w:vertAlign w:val="superscript"/>
        </w:rPr>
        <w:endnoteReference w:id="268"/>
      </w:r>
      <w:r w:rsidRPr="00423854">
        <w:t xml:space="preserve"> From FY</w:t>
      </w:r>
      <w:r w:rsidR="000E0D03">
        <w:t xml:space="preserve"> 20</w:t>
      </w:r>
      <w:r w:rsidRPr="00423854">
        <w:t>08 through FY</w:t>
      </w:r>
      <w:r w:rsidR="000E0D03">
        <w:t xml:space="preserve"> 20</w:t>
      </w:r>
      <w:r w:rsidRPr="00423854">
        <w:t xml:space="preserve">17, the </w:t>
      </w:r>
      <w:r w:rsidR="00ED7FEC">
        <w:t xml:space="preserve">Access </w:t>
      </w:r>
      <w:r w:rsidRPr="00423854">
        <w:t>Board received a total of 1</w:t>
      </w:r>
      <w:r>
        <w:t>,</w:t>
      </w:r>
      <w:r w:rsidRPr="00423854">
        <w:t>309 ABA complaints (</w:t>
      </w:r>
      <w:r>
        <w:t>0</w:t>
      </w:r>
      <w:r w:rsidRPr="00423854">
        <w:t>.1 percent</w:t>
      </w:r>
      <w:r>
        <w:t xml:space="preserve"> of GSA properties</w:t>
      </w:r>
      <w:r w:rsidRPr="00423854">
        <w:t>) and opened 532 investigations.</w:t>
      </w:r>
      <w:r w:rsidR="003B40CD">
        <w:t xml:space="preserve"> Table 6 contains the number of complaints received</w:t>
      </w:r>
      <w:r w:rsidR="00740FFB">
        <w:t xml:space="preserve"> per year</w:t>
      </w:r>
      <w:r w:rsidR="003B40CD">
        <w:t xml:space="preserve"> by the Access Board from FY 2008 to FY 2017 and </w:t>
      </w:r>
      <w:r w:rsidR="00740FFB">
        <w:t xml:space="preserve">the </w:t>
      </w:r>
      <w:r w:rsidR="003B40CD">
        <w:t>number of investigations opened by the Board.</w:t>
      </w:r>
    </w:p>
    <w:p w14:paraId="3645A6E7" w14:textId="6E39A87F" w:rsidR="00C40209" w:rsidRPr="005C360E" w:rsidRDefault="00C40209" w:rsidP="0045014B">
      <w:pPr>
        <w:pStyle w:val="NCDTableHeader"/>
        <w:spacing w:after="200"/>
        <w:jc w:val="left"/>
      </w:pPr>
      <w:r>
        <w:t xml:space="preserve">Table </w:t>
      </w:r>
      <w:r w:rsidR="00DB078C">
        <w:t>6</w:t>
      </w:r>
      <w:r>
        <w:t>: Access Board Investigations</w:t>
      </w:r>
    </w:p>
    <w:tbl>
      <w:tblPr>
        <w:tblW w:w="931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8" w:type="dxa"/>
          <w:left w:w="43" w:type="dxa"/>
          <w:bottom w:w="58" w:type="dxa"/>
          <w:right w:w="43" w:type="dxa"/>
        </w:tblCellMar>
        <w:tblLook w:val="04A0" w:firstRow="1" w:lastRow="0" w:firstColumn="1" w:lastColumn="0" w:noHBand="0" w:noVBand="1"/>
        <w:tblCaption w:val="Table 6: Access Board Investigations"/>
        <w:tblDescription w:val="Fiscal Year 2008 2009 2010 2011 2012 2013 2014 2015 2016 2017&#10;Complaints received  210 111 89 161 120 92 104 131 134 157&#10;Investigations opened   53   51 52  76   60 37   38   48   42   75&#10;"/>
      </w:tblPr>
      <w:tblGrid>
        <w:gridCol w:w="1717"/>
        <w:gridCol w:w="756"/>
        <w:gridCol w:w="756"/>
        <w:gridCol w:w="757"/>
        <w:gridCol w:w="757"/>
        <w:gridCol w:w="757"/>
        <w:gridCol w:w="757"/>
        <w:gridCol w:w="662"/>
        <w:gridCol w:w="776"/>
        <w:gridCol w:w="810"/>
        <w:gridCol w:w="810"/>
      </w:tblGrid>
      <w:tr w:rsidR="00C40209" w:rsidRPr="009770A2" w14:paraId="777D099A" w14:textId="77777777" w:rsidTr="00B33BCC">
        <w:trPr>
          <w:jc w:val="center"/>
        </w:trPr>
        <w:tc>
          <w:tcPr>
            <w:tcW w:w="1717" w:type="dxa"/>
            <w:shd w:val="clear" w:color="auto" w:fill="auto"/>
            <w:tcMar>
              <w:top w:w="0" w:type="dxa"/>
              <w:left w:w="108" w:type="dxa"/>
              <w:bottom w:w="0" w:type="dxa"/>
              <w:right w:w="108" w:type="dxa"/>
            </w:tcMar>
            <w:hideMark/>
          </w:tcPr>
          <w:p w14:paraId="2920B08E" w14:textId="77777777" w:rsidR="00C40209" w:rsidRPr="0045014B" w:rsidRDefault="00C40209" w:rsidP="00EE516A">
            <w:pPr>
              <w:pStyle w:val="NCDTableHeader"/>
              <w:jc w:val="left"/>
            </w:pPr>
            <w:r w:rsidRPr="0045014B">
              <w:t>Fiscal Year</w:t>
            </w:r>
          </w:p>
        </w:tc>
        <w:tc>
          <w:tcPr>
            <w:tcW w:w="756" w:type="dxa"/>
            <w:shd w:val="clear" w:color="auto" w:fill="auto"/>
          </w:tcPr>
          <w:p w14:paraId="6621F9BF" w14:textId="77777777" w:rsidR="00C40209" w:rsidRPr="0045014B" w:rsidRDefault="00C40209" w:rsidP="00EE516A">
            <w:pPr>
              <w:pStyle w:val="NCDTableHeader"/>
            </w:pPr>
            <w:r w:rsidRPr="0045014B">
              <w:t>2008</w:t>
            </w:r>
          </w:p>
        </w:tc>
        <w:tc>
          <w:tcPr>
            <w:tcW w:w="756" w:type="dxa"/>
            <w:shd w:val="clear" w:color="auto" w:fill="auto"/>
          </w:tcPr>
          <w:p w14:paraId="4076FD23" w14:textId="77777777" w:rsidR="00C40209" w:rsidRPr="0045014B" w:rsidRDefault="00C40209" w:rsidP="00EE516A">
            <w:pPr>
              <w:pStyle w:val="NCDTableHeader"/>
            </w:pPr>
            <w:r w:rsidRPr="0045014B">
              <w:t>2009</w:t>
            </w:r>
          </w:p>
        </w:tc>
        <w:tc>
          <w:tcPr>
            <w:tcW w:w="757" w:type="dxa"/>
            <w:shd w:val="clear" w:color="auto" w:fill="auto"/>
          </w:tcPr>
          <w:p w14:paraId="2FD9FF02" w14:textId="77777777" w:rsidR="00C40209" w:rsidRPr="0045014B" w:rsidRDefault="00C40209" w:rsidP="00EE516A">
            <w:pPr>
              <w:pStyle w:val="NCDTableHeader"/>
            </w:pPr>
            <w:r w:rsidRPr="0045014B">
              <w:t>2010</w:t>
            </w:r>
          </w:p>
        </w:tc>
        <w:tc>
          <w:tcPr>
            <w:tcW w:w="757" w:type="dxa"/>
            <w:shd w:val="clear" w:color="auto" w:fill="auto"/>
          </w:tcPr>
          <w:p w14:paraId="5918BAA7" w14:textId="77777777" w:rsidR="00C40209" w:rsidRPr="0045014B" w:rsidRDefault="00C40209" w:rsidP="00EE516A">
            <w:pPr>
              <w:pStyle w:val="NCDTableHeader"/>
            </w:pPr>
            <w:r w:rsidRPr="0045014B">
              <w:t>2011</w:t>
            </w:r>
          </w:p>
        </w:tc>
        <w:tc>
          <w:tcPr>
            <w:tcW w:w="757" w:type="dxa"/>
            <w:shd w:val="clear" w:color="auto" w:fill="auto"/>
          </w:tcPr>
          <w:p w14:paraId="24BD8B16" w14:textId="77777777" w:rsidR="00C40209" w:rsidRPr="0045014B" w:rsidRDefault="00C40209" w:rsidP="00EE516A">
            <w:pPr>
              <w:pStyle w:val="NCDTableHeader"/>
            </w:pPr>
            <w:r w:rsidRPr="0045014B">
              <w:t>2012</w:t>
            </w:r>
          </w:p>
        </w:tc>
        <w:tc>
          <w:tcPr>
            <w:tcW w:w="757" w:type="dxa"/>
            <w:shd w:val="clear" w:color="auto" w:fill="auto"/>
            <w:hideMark/>
          </w:tcPr>
          <w:p w14:paraId="168D8C7B" w14:textId="77777777" w:rsidR="00C40209" w:rsidRPr="0045014B" w:rsidRDefault="00C40209" w:rsidP="00EE516A">
            <w:pPr>
              <w:pStyle w:val="NCDTableHeader"/>
            </w:pPr>
            <w:r w:rsidRPr="0045014B">
              <w:t>2013</w:t>
            </w:r>
          </w:p>
        </w:tc>
        <w:tc>
          <w:tcPr>
            <w:tcW w:w="662" w:type="dxa"/>
            <w:shd w:val="clear" w:color="auto" w:fill="auto"/>
            <w:hideMark/>
          </w:tcPr>
          <w:p w14:paraId="4F531B15" w14:textId="77777777" w:rsidR="00C40209" w:rsidRPr="0045014B" w:rsidRDefault="00C40209" w:rsidP="00EE516A">
            <w:pPr>
              <w:pStyle w:val="NCDTableHeader"/>
            </w:pPr>
            <w:r w:rsidRPr="0045014B">
              <w:t>2014</w:t>
            </w:r>
          </w:p>
        </w:tc>
        <w:tc>
          <w:tcPr>
            <w:tcW w:w="776" w:type="dxa"/>
            <w:shd w:val="clear" w:color="auto" w:fill="auto"/>
            <w:tcMar>
              <w:top w:w="0" w:type="dxa"/>
              <w:left w:w="108" w:type="dxa"/>
              <w:bottom w:w="0" w:type="dxa"/>
              <w:right w:w="108" w:type="dxa"/>
            </w:tcMar>
            <w:hideMark/>
          </w:tcPr>
          <w:p w14:paraId="4242CAA6" w14:textId="77777777" w:rsidR="00C40209" w:rsidRPr="0045014B" w:rsidRDefault="00C40209" w:rsidP="00EE516A">
            <w:pPr>
              <w:pStyle w:val="NCDTableHeader"/>
            </w:pPr>
            <w:r w:rsidRPr="0045014B">
              <w:t>2015</w:t>
            </w:r>
          </w:p>
        </w:tc>
        <w:tc>
          <w:tcPr>
            <w:tcW w:w="810" w:type="dxa"/>
            <w:shd w:val="clear" w:color="auto" w:fill="auto"/>
            <w:tcMar>
              <w:top w:w="0" w:type="dxa"/>
              <w:left w:w="108" w:type="dxa"/>
              <w:bottom w:w="0" w:type="dxa"/>
              <w:right w:w="108" w:type="dxa"/>
            </w:tcMar>
            <w:hideMark/>
          </w:tcPr>
          <w:p w14:paraId="176509DD" w14:textId="77777777" w:rsidR="00C40209" w:rsidRPr="0045014B" w:rsidRDefault="00C40209" w:rsidP="00EE516A">
            <w:pPr>
              <w:pStyle w:val="NCDTableHeader"/>
            </w:pPr>
            <w:r w:rsidRPr="0045014B">
              <w:t>2016</w:t>
            </w:r>
          </w:p>
        </w:tc>
        <w:tc>
          <w:tcPr>
            <w:tcW w:w="810" w:type="dxa"/>
            <w:shd w:val="clear" w:color="auto" w:fill="auto"/>
            <w:tcMar>
              <w:top w:w="0" w:type="dxa"/>
              <w:left w:w="108" w:type="dxa"/>
              <w:bottom w:w="0" w:type="dxa"/>
              <w:right w:w="108" w:type="dxa"/>
            </w:tcMar>
            <w:hideMark/>
          </w:tcPr>
          <w:p w14:paraId="1A3828AC" w14:textId="77777777" w:rsidR="00C40209" w:rsidRPr="0045014B" w:rsidRDefault="00C40209" w:rsidP="00EE516A">
            <w:pPr>
              <w:pStyle w:val="NCDTableHeader"/>
            </w:pPr>
            <w:r w:rsidRPr="0045014B">
              <w:t>2017</w:t>
            </w:r>
          </w:p>
        </w:tc>
      </w:tr>
      <w:tr w:rsidR="00C40209" w:rsidRPr="009770A2" w14:paraId="097A03C3" w14:textId="77777777" w:rsidTr="00B33BCC">
        <w:trPr>
          <w:jc w:val="center"/>
        </w:trPr>
        <w:tc>
          <w:tcPr>
            <w:tcW w:w="1717" w:type="dxa"/>
            <w:tcMar>
              <w:top w:w="0" w:type="dxa"/>
              <w:left w:w="108" w:type="dxa"/>
              <w:bottom w:w="0" w:type="dxa"/>
              <w:right w:w="108" w:type="dxa"/>
            </w:tcMar>
            <w:hideMark/>
          </w:tcPr>
          <w:p w14:paraId="12E63EDA" w14:textId="68F00386" w:rsidR="00C40209" w:rsidRPr="00D70CEB" w:rsidRDefault="00C40209" w:rsidP="00EE516A">
            <w:pPr>
              <w:pStyle w:val="NCDTableText"/>
              <w:rPr>
                <w:b/>
              </w:rPr>
            </w:pPr>
            <w:r w:rsidRPr="00D70CEB">
              <w:rPr>
                <w:b/>
              </w:rPr>
              <w:t xml:space="preserve">Complaints </w:t>
            </w:r>
            <w:r w:rsidR="001D69A5" w:rsidRPr="00D70CEB">
              <w:rPr>
                <w:b/>
              </w:rPr>
              <w:t xml:space="preserve">received </w:t>
            </w:r>
          </w:p>
        </w:tc>
        <w:tc>
          <w:tcPr>
            <w:tcW w:w="756" w:type="dxa"/>
            <w:vAlign w:val="center"/>
          </w:tcPr>
          <w:p w14:paraId="2605E5DF" w14:textId="77777777" w:rsidR="00C40209" w:rsidRPr="00633E33" w:rsidRDefault="00C40209" w:rsidP="00B33BCC">
            <w:pPr>
              <w:pStyle w:val="NCDTableText"/>
              <w:jc w:val="center"/>
            </w:pPr>
            <w:r w:rsidRPr="00633E33">
              <w:t>210</w:t>
            </w:r>
          </w:p>
        </w:tc>
        <w:tc>
          <w:tcPr>
            <w:tcW w:w="756" w:type="dxa"/>
            <w:vAlign w:val="center"/>
          </w:tcPr>
          <w:p w14:paraId="4B506A16" w14:textId="77777777" w:rsidR="00C40209" w:rsidRPr="00633E33" w:rsidRDefault="00C40209" w:rsidP="00B33BCC">
            <w:pPr>
              <w:pStyle w:val="NCDTableText"/>
              <w:jc w:val="center"/>
            </w:pPr>
            <w:r w:rsidRPr="00633E33">
              <w:t>111</w:t>
            </w:r>
          </w:p>
        </w:tc>
        <w:tc>
          <w:tcPr>
            <w:tcW w:w="757" w:type="dxa"/>
            <w:vAlign w:val="center"/>
          </w:tcPr>
          <w:p w14:paraId="6702B22B" w14:textId="77777777" w:rsidR="00C40209" w:rsidRPr="00633E33" w:rsidRDefault="00C40209" w:rsidP="00B33BCC">
            <w:pPr>
              <w:pStyle w:val="NCDTableText"/>
              <w:jc w:val="center"/>
            </w:pPr>
            <w:r w:rsidRPr="00633E33">
              <w:t>89</w:t>
            </w:r>
          </w:p>
        </w:tc>
        <w:tc>
          <w:tcPr>
            <w:tcW w:w="757" w:type="dxa"/>
            <w:vAlign w:val="center"/>
          </w:tcPr>
          <w:p w14:paraId="6D7A1634" w14:textId="77777777" w:rsidR="00C40209" w:rsidRPr="00633E33" w:rsidRDefault="00C40209" w:rsidP="00B33BCC">
            <w:pPr>
              <w:pStyle w:val="NCDTableText"/>
              <w:jc w:val="center"/>
            </w:pPr>
            <w:r w:rsidRPr="00633E33">
              <w:t>161</w:t>
            </w:r>
          </w:p>
        </w:tc>
        <w:tc>
          <w:tcPr>
            <w:tcW w:w="757" w:type="dxa"/>
            <w:vAlign w:val="center"/>
          </w:tcPr>
          <w:p w14:paraId="7FB2A905" w14:textId="77777777" w:rsidR="00C40209" w:rsidRPr="00633E33" w:rsidRDefault="00C40209" w:rsidP="00B33BCC">
            <w:pPr>
              <w:pStyle w:val="NCDTableText"/>
              <w:jc w:val="center"/>
            </w:pPr>
            <w:r w:rsidRPr="00633E33">
              <w:t>120</w:t>
            </w:r>
          </w:p>
        </w:tc>
        <w:tc>
          <w:tcPr>
            <w:tcW w:w="757" w:type="dxa"/>
            <w:vAlign w:val="center"/>
            <w:hideMark/>
          </w:tcPr>
          <w:p w14:paraId="040B26D2" w14:textId="77777777" w:rsidR="00C40209" w:rsidRPr="00633E33" w:rsidRDefault="00C40209" w:rsidP="00B33BCC">
            <w:pPr>
              <w:pStyle w:val="NCDTableText"/>
              <w:jc w:val="center"/>
            </w:pPr>
            <w:r w:rsidRPr="00633E33">
              <w:t>92</w:t>
            </w:r>
          </w:p>
        </w:tc>
        <w:tc>
          <w:tcPr>
            <w:tcW w:w="662" w:type="dxa"/>
            <w:vAlign w:val="center"/>
            <w:hideMark/>
          </w:tcPr>
          <w:p w14:paraId="3ADCFF76" w14:textId="77777777" w:rsidR="00C40209" w:rsidRPr="00633E33" w:rsidRDefault="00C40209" w:rsidP="00B33BCC">
            <w:pPr>
              <w:pStyle w:val="NCDTableText"/>
              <w:jc w:val="center"/>
            </w:pPr>
            <w:r w:rsidRPr="00633E33">
              <w:t>104</w:t>
            </w:r>
          </w:p>
        </w:tc>
        <w:tc>
          <w:tcPr>
            <w:tcW w:w="776" w:type="dxa"/>
            <w:tcMar>
              <w:top w:w="0" w:type="dxa"/>
              <w:left w:w="108" w:type="dxa"/>
              <w:bottom w:w="0" w:type="dxa"/>
              <w:right w:w="108" w:type="dxa"/>
            </w:tcMar>
            <w:vAlign w:val="center"/>
            <w:hideMark/>
          </w:tcPr>
          <w:p w14:paraId="4B411C0C" w14:textId="77777777" w:rsidR="00C40209" w:rsidRPr="00633E33" w:rsidRDefault="00C40209" w:rsidP="00B33BCC">
            <w:pPr>
              <w:pStyle w:val="NCDTableText"/>
              <w:jc w:val="center"/>
            </w:pPr>
            <w:r w:rsidRPr="00633E33">
              <w:t>131</w:t>
            </w:r>
          </w:p>
        </w:tc>
        <w:tc>
          <w:tcPr>
            <w:tcW w:w="810" w:type="dxa"/>
            <w:tcMar>
              <w:top w:w="0" w:type="dxa"/>
              <w:left w:w="108" w:type="dxa"/>
              <w:bottom w:w="0" w:type="dxa"/>
              <w:right w:w="108" w:type="dxa"/>
            </w:tcMar>
            <w:vAlign w:val="center"/>
            <w:hideMark/>
          </w:tcPr>
          <w:p w14:paraId="1BDDCB75" w14:textId="77777777" w:rsidR="00C40209" w:rsidRPr="00633E33" w:rsidRDefault="00C40209" w:rsidP="00B33BCC">
            <w:pPr>
              <w:pStyle w:val="NCDTableText"/>
              <w:jc w:val="center"/>
            </w:pPr>
            <w:r w:rsidRPr="00633E33">
              <w:t>134</w:t>
            </w:r>
          </w:p>
        </w:tc>
        <w:tc>
          <w:tcPr>
            <w:tcW w:w="810" w:type="dxa"/>
            <w:tcMar>
              <w:top w:w="0" w:type="dxa"/>
              <w:left w:w="108" w:type="dxa"/>
              <w:bottom w:w="0" w:type="dxa"/>
              <w:right w:w="108" w:type="dxa"/>
            </w:tcMar>
            <w:vAlign w:val="center"/>
            <w:hideMark/>
          </w:tcPr>
          <w:p w14:paraId="26D30BD7" w14:textId="77777777" w:rsidR="00C40209" w:rsidRPr="00633E33" w:rsidRDefault="00C40209" w:rsidP="00D70CEB">
            <w:pPr>
              <w:pStyle w:val="NCDTableText"/>
              <w:tabs>
                <w:tab w:val="left" w:pos="500"/>
              </w:tabs>
              <w:jc w:val="center"/>
            </w:pPr>
            <w:r w:rsidRPr="00633E33">
              <w:t>157</w:t>
            </w:r>
          </w:p>
        </w:tc>
      </w:tr>
      <w:tr w:rsidR="00C40209" w:rsidRPr="009770A2" w14:paraId="6AC0A949" w14:textId="77777777" w:rsidTr="00B33BCC">
        <w:trPr>
          <w:jc w:val="center"/>
        </w:trPr>
        <w:tc>
          <w:tcPr>
            <w:tcW w:w="1717" w:type="dxa"/>
            <w:tcMar>
              <w:top w:w="0" w:type="dxa"/>
              <w:left w:w="108" w:type="dxa"/>
              <w:bottom w:w="0" w:type="dxa"/>
              <w:right w:w="108" w:type="dxa"/>
            </w:tcMar>
          </w:tcPr>
          <w:p w14:paraId="28EEFC59" w14:textId="30BAC6F5" w:rsidR="00C40209" w:rsidRPr="00D70CEB" w:rsidRDefault="00C40209" w:rsidP="00EE516A">
            <w:pPr>
              <w:pStyle w:val="NCDTableText"/>
              <w:rPr>
                <w:b/>
              </w:rPr>
            </w:pPr>
            <w:r w:rsidRPr="00D70CEB">
              <w:rPr>
                <w:b/>
              </w:rPr>
              <w:t xml:space="preserve">Investigations </w:t>
            </w:r>
            <w:r w:rsidR="001D69A5" w:rsidRPr="00D70CEB">
              <w:rPr>
                <w:b/>
              </w:rPr>
              <w:t>opened</w:t>
            </w:r>
          </w:p>
        </w:tc>
        <w:tc>
          <w:tcPr>
            <w:tcW w:w="756" w:type="dxa"/>
            <w:vAlign w:val="center"/>
          </w:tcPr>
          <w:p w14:paraId="7353B81F" w14:textId="7D1FD147" w:rsidR="00C40209" w:rsidRPr="00633E33" w:rsidRDefault="00D70CEB" w:rsidP="00B33BCC">
            <w:pPr>
              <w:pStyle w:val="NCDTableText"/>
              <w:jc w:val="center"/>
            </w:pPr>
            <w:r>
              <w:t xml:space="preserve">  </w:t>
            </w:r>
            <w:r w:rsidR="00C40209" w:rsidRPr="00633E33">
              <w:t>53</w:t>
            </w:r>
          </w:p>
        </w:tc>
        <w:tc>
          <w:tcPr>
            <w:tcW w:w="756" w:type="dxa"/>
            <w:vAlign w:val="center"/>
          </w:tcPr>
          <w:p w14:paraId="6DCB7CA3" w14:textId="48AC883A" w:rsidR="00C40209" w:rsidRPr="00633E33" w:rsidRDefault="00D70CEB" w:rsidP="00B33BCC">
            <w:pPr>
              <w:pStyle w:val="NCDTableText"/>
              <w:jc w:val="center"/>
            </w:pPr>
            <w:r>
              <w:t xml:space="preserve">  </w:t>
            </w:r>
            <w:r w:rsidR="00C40209" w:rsidRPr="00633E33">
              <w:t>51</w:t>
            </w:r>
          </w:p>
        </w:tc>
        <w:tc>
          <w:tcPr>
            <w:tcW w:w="757" w:type="dxa"/>
            <w:vAlign w:val="center"/>
          </w:tcPr>
          <w:p w14:paraId="32797153" w14:textId="77777777" w:rsidR="00C40209" w:rsidRPr="00633E33" w:rsidRDefault="00C40209" w:rsidP="00B33BCC">
            <w:pPr>
              <w:pStyle w:val="NCDTableText"/>
              <w:jc w:val="center"/>
            </w:pPr>
            <w:r w:rsidRPr="00633E33">
              <w:t>52</w:t>
            </w:r>
          </w:p>
        </w:tc>
        <w:tc>
          <w:tcPr>
            <w:tcW w:w="757" w:type="dxa"/>
            <w:vAlign w:val="center"/>
          </w:tcPr>
          <w:p w14:paraId="77FD5D95" w14:textId="61143320" w:rsidR="00C40209" w:rsidRPr="00633E33" w:rsidRDefault="00D70CEB" w:rsidP="00B33BCC">
            <w:pPr>
              <w:pStyle w:val="NCDTableText"/>
              <w:jc w:val="center"/>
            </w:pPr>
            <w:r>
              <w:t xml:space="preserve"> </w:t>
            </w:r>
            <w:r w:rsidR="00C40209" w:rsidRPr="00633E33">
              <w:t>76</w:t>
            </w:r>
          </w:p>
        </w:tc>
        <w:tc>
          <w:tcPr>
            <w:tcW w:w="757" w:type="dxa"/>
            <w:vAlign w:val="center"/>
          </w:tcPr>
          <w:p w14:paraId="4DFC1490" w14:textId="3FC4D4AD" w:rsidR="00C40209" w:rsidRPr="00633E33" w:rsidRDefault="00D70CEB" w:rsidP="00D70CEB">
            <w:pPr>
              <w:pStyle w:val="NCDTableText"/>
              <w:tabs>
                <w:tab w:val="left" w:pos="529"/>
              </w:tabs>
              <w:jc w:val="center"/>
            </w:pPr>
            <w:r>
              <w:t xml:space="preserve">  </w:t>
            </w:r>
            <w:r w:rsidR="00C40209" w:rsidRPr="00633E33">
              <w:t>60</w:t>
            </w:r>
          </w:p>
        </w:tc>
        <w:tc>
          <w:tcPr>
            <w:tcW w:w="757" w:type="dxa"/>
            <w:vAlign w:val="center"/>
          </w:tcPr>
          <w:p w14:paraId="5AADC6D5" w14:textId="77777777" w:rsidR="00C40209" w:rsidRPr="00633E33" w:rsidRDefault="00C40209" w:rsidP="00B33BCC">
            <w:pPr>
              <w:pStyle w:val="NCDTableText"/>
              <w:jc w:val="center"/>
            </w:pPr>
            <w:r w:rsidRPr="00633E33">
              <w:t>37</w:t>
            </w:r>
          </w:p>
        </w:tc>
        <w:tc>
          <w:tcPr>
            <w:tcW w:w="662" w:type="dxa"/>
            <w:vAlign w:val="center"/>
          </w:tcPr>
          <w:p w14:paraId="57B1B025" w14:textId="1DF30771" w:rsidR="00C40209" w:rsidRPr="00633E33" w:rsidRDefault="00D70CEB" w:rsidP="00B33BCC">
            <w:pPr>
              <w:pStyle w:val="NCDTableText"/>
              <w:jc w:val="center"/>
            </w:pPr>
            <w:r>
              <w:t xml:space="preserve">  </w:t>
            </w:r>
            <w:r w:rsidR="00C40209" w:rsidRPr="00633E33">
              <w:t>38</w:t>
            </w:r>
          </w:p>
        </w:tc>
        <w:tc>
          <w:tcPr>
            <w:tcW w:w="776" w:type="dxa"/>
            <w:tcMar>
              <w:top w:w="0" w:type="dxa"/>
              <w:left w:w="108" w:type="dxa"/>
              <w:bottom w:w="0" w:type="dxa"/>
              <w:right w:w="108" w:type="dxa"/>
            </w:tcMar>
            <w:vAlign w:val="center"/>
          </w:tcPr>
          <w:p w14:paraId="56BF6251" w14:textId="0F7142E2" w:rsidR="00C40209" w:rsidRPr="00633E33" w:rsidRDefault="00D70CEB" w:rsidP="00B33BCC">
            <w:pPr>
              <w:pStyle w:val="NCDTableText"/>
              <w:jc w:val="center"/>
            </w:pPr>
            <w:r>
              <w:t xml:space="preserve">  </w:t>
            </w:r>
            <w:r w:rsidR="00C40209" w:rsidRPr="00633E33">
              <w:t>48</w:t>
            </w:r>
          </w:p>
        </w:tc>
        <w:tc>
          <w:tcPr>
            <w:tcW w:w="810" w:type="dxa"/>
            <w:tcMar>
              <w:top w:w="0" w:type="dxa"/>
              <w:left w:w="108" w:type="dxa"/>
              <w:bottom w:w="0" w:type="dxa"/>
              <w:right w:w="108" w:type="dxa"/>
            </w:tcMar>
            <w:vAlign w:val="center"/>
          </w:tcPr>
          <w:p w14:paraId="072BA654" w14:textId="071FA0DC" w:rsidR="00C40209" w:rsidRPr="00633E33" w:rsidRDefault="00D70CEB" w:rsidP="00B33BCC">
            <w:pPr>
              <w:pStyle w:val="NCDTableText"/>
              <w:jc w:val="center"/>
            </w:pPr>
            <w:r>
              <w:t xml:space="preserve">  </w:t>
            </w:r>
            <w:r w:rsidR="00C40209" w:rsidRPr="00633E33">
              <w:t>42</w:t>
            </w:r>
          </w:p>
        </w:tc>
        <w:tc>
          <w:tcPr>
            <w:tcW w:w="810" w:type="dxa"/>
            <w:tcMar>
              <w:top w:w="0" w:type="dxa"/>
              <w:left w:w="108" w:type="dxa"/>
              <w:bottom w:w="0" w:type="dxa"/>
              <w:right w:w="108" w:type="dxa"/>
            </w:tcMar>
            <w:vAlign w:val="center"/>
          </w:tcPr>
          <w:p w14:paraId="3098A362" w14:textId="636AD9B5" w:rsidR="00C40209" w:rsidRPr="00633E33" w:rsidRDefault="00D70CEB" w:rsidP="00D70CEB">
            <w:pPr>
              <w:pStyle w:val="NCDTableText"/>
              <w:jc w:val="center"/>
            </w:pPr>
            <w:r>
              <w:t xml:space="preserve">  </w:t>
            </w:r>
            <w:r w:rsidR="00C40209" w:rsidRPr="00633E33">
              <w:t>75</w:t>
            </w:r>
          </w:p>
        </w:tc>
      </w:tr>
    </w:tbl>
    <w:p w14:paraId="31A81AFC" w14:textId="77777777" w:rsidR="00296DA5" w:rsidRDefault="003C232E" w:rsidP="00EE516A">
      <w:pPr>
        <w:pStyle w:val="NCDTableSource"/>
      </w:pPr>
      <w:r w:rsidRPr="003C232E">
        <w:t>Date Source:</w:t>
      </w:r>
      <w:r w:rsidR="000E0D03">
        <w:t xml:space="preserve"> Access Board</w:t>
      </w:r>
    </w:p>
    <w:p w14:paraId="7EE6D007" w14:textId="77777777" w:rsidR="00296DA5" w:rsidRDefault="00C40209" w:rsidP="00EE516A">
      <w:pPr>
        <w:pStyle w:val="NCDBodyText"/>
      </w:pPr>
      <w:r w:rsidRPr="00423854">
        <w:t>Approximately 64 percent</w:t>
      </w:r>
      <w:r>
        <w:t>,</w:t>
      </w:r>
      <w:r w:rsidRPr="00423854">
        <w:t xml:space="preserve"> </w:t>
      </w:r>
      <w:r w:rsidR="000E0D03">
        <w:t xml:space="preserve">or </w:t>
      </w:r>
      <w:r w:rsidRPr="00423854">
        <w:t>345 out of 535</w:t>
      </w:r>
      <w:r w:rsidR="00455392">
        <w:t>,</w:t>
      </w:r>
      <w:r w:rsidRPr="00423854">
        <w:t xml:space="preserve"> of the </w:t>
      </w:r>
      <w:r w:rsidR="00455392">
        <w:rPr>
          <w:rFonts w:eastAsia="Times New Roman"/>
        </w:rPr>
        <w:t xml:space="preserve">Access </w:t>
      </w:r>
      <w:r w:rsidRPr="00423854">
        <w:t>Board</w:t>
      </w:r>
      <w:r w:rsidR="006474CA">
        <w:t>’</w:t>
      </w:r>
      <w:r w:rsidRPr="00423854">
        <w:t xml:space="preserve">s </w:t>
      </w:r>
      <w:r>
        <w:t>closed</w:t>
      </w:r>
      <w:r w:rsidRPr="00423854">
        <w:t xml:space="preserve"> complaints involved completed corrective action by agencies, while the other 36 percent were closed based on a determination that the buildings were not covered or that the </w:t>
      </w:r>
      <w:r w:rsidRPr="00423854">
        <w:lastRenderedPageBreak/>
        <w:t xml:space="preserve">allegations did not amount to a violation of the standards. The </w:t>
      </w:r>
      <w:r w:rsidR="00455392">
        <w:rPr>
          <w:rFonts w:eastAsia="Times New Roman"/>
        </w:rPr>
        <w:t xml:space="preserve">Access </w:t>
      </w:r>
      <w:r w:rsidRPr="00423854">
        <w:t>Board</w:t>
      </w:r>
      <w:r w:rsidR="006474CA">
        <w:t>’</w:t>
      </w:r>
      <w:r w:rsidRPr="00423854">
        <w:t>s ABA enforcement regulations incorporate a policy of amicable resolu</w:t>
      </w:r>
      <w:r w:rsidR="00063CCD">
        <w:t xml:space="preserve">tion and explicitly </w:t>
      </w:r>
      <w:r w:rsidR="006474CA">
        <w:t>“</w:t>
      </w:r>
      <w:r w:rsidR="00063CCD">
        <w:t>encourage</w:t>
      </w:r>
      <w:r w:rsidRPr="00423854">
        <w:t xml:space="preserve"> voluntary and informal resolution of all complaints.</w:t>
      </w:r>
      <w:r w:rsidR="006474CA">
        <w:t>”</w:t>
      </w:r>
      <w:r w:rsidRPr="00423854">
        <w:rPr>
          <w:vertAlign w:val="superscript"/>
        </w:rPr>
        <w:endnoteReference w:id="269"/>
      </w:r>
      <w:r w:rsidRPr="00423854">
        <w:t xml:space="preserve"> The regulations permit the</w:t>
      </w:r>
      <w:r w:rsidR="00455392" w:rsidRPr="00455392">
        <w:rPr>
          <w:rFonts w:eastAsia="Times New Roman"/>
        </w:rPr>
        <w:t xml:space="preserve"> </w:t>
      </w:r>
      <w:r w:rsidR="00455392">
        <w:rPr>
          <w:rFonts w:eastAsia="Times New Roman"/>
        </w:rPr>
        <w:t>Access</w:t>
      </w:r>
      <w:r w:rsidRPr="00423854">
        <w:t xml:space="preserve"> Board to investigate both complaints and violations coming to </w:t>
      </w:r>
      <w:r w:rsidR="00455392">
        <w:t>it</w:t>
      </w:r>
      <w:r w:rsidRPr="00423854">
        <w:t>s attention through other means.</w:t>
      </w:r>
      <w:r w:rsidRPr="00423854">
        <w:rPr>
          <w:vertAlign w:val="superscript"/>
        </w:rPr>
        <w:endnoteReference w:id="270"/>
      </w:r>
      <w:r w:rsidRPr="00423854">
        <w:t xml:space="preserve"> The</w:t>
      </w:r>
      <w:r w:rsidR="00455392" w:rsidRPr="00455392">
        <w:rPr>
          <w:rFonts w:eastAsia="Times New Roman"/>
        </w:rPr>
        <w:t xml:space="preserve"> </w:t>
      </w:r>
      <w:r w:rsidR="00455392">
        <w:rPr>
          <w:rFonts w:eastAsia="Times New Roman"/>
        </w:rPr>
        <w:t>Access</w:t>
      </w:r>
      <w:r w:rsidRPr="00423854">
        <w:t xml:space="preserve"> Board is required to hold the identities of complainants in confidence.</w:t>
      </w:r>
      <w:r w:rsidRPr="00423854">
        <w:rPr>
          <w:vertAlign w:val="superscript"/>
        </w:rPr>
        <w:endnoteReference w:id="271"/>
      </w:r>
    </w:p>
    <w:p w14:paraId="40DD913C" w14:textId="77777777" w:rsidR="00296DA5" w:rsidRDefault="00C40209" w:rsidP="00EE516A">
      <w:pPr>
        <w:pStyle w:val="NCDBodyText"/>
      </w:pPr>
      <w:r w:rsidRPr="00423854">
        <w:t xml:space="preserve">If a complaint deals with accessibility of federal facilities, the </w:t>
      </w:r>
      <w:r w:rsidR="00455392">
        <w:rPr>
          <w:rFonts w:eastAsia="Times New Roman"/>
        </w:rPr>
        <w:t xml:space="preserve">Access </w:t>
      </w:r>
      <w:r w:rsidRPr="00423854">
        <w:t>Board</w:t>
      </w:r>
      <w:r w:rsidR="006474CA">
        <w:t>’</w:t>
      </w:r>
      <w:r w:rsidRPr="00423854">
        <w:t>s staff determine whether the</w:t>
      </w:r>
      <w:r>
        <w:t xml:space="preserve"> facility is covered by the ABA</w:t>
      </w:r>
      <w:r w:rsidRPr="00423854">
        <w:t xml:space="preserve"> by </w:t>
      </w:r>
      <w:r>
        <w:t>informing</w:t>
      </w:r>
      <w:r w:rsidRPr="00423854">
        <w:t xml:space="preserve"> the respondent agency about the complaint, and as</w:t>
      </w:r>
      <w:r w:rsidR="00D17C4A">
        <w:t>king about when the facility</w:t>
      </w:r>
      <w:r w:rsidRPr="00423854">
        <w:t xml:space="preserve"> was constructed, altered, or leased, and if and how federal funds were used. If the </w:t>
      </w:r>
      <w:r w:rsidR="00D17C4A">
        <w:t>facility</w:t>
      </w:r>
      <w:r w:rsidRPr="00423854">
        <w:t xml:space="preserve"> is not covered by the ABA, the matter is closed. If the </w:t>
      </w:r>
      <w:r w:rsidR="00D17C4A">
        <w:t>facility</w:t>
      </w:r>
      <w:r w:rsidRPr="00423854">
        <w:t xml:space="preserve"> is covered, </w:t>
      </w:r>
      <w:r>
        <w:t xml:space="preserve">staff </w:t>
      </w:r>
      <w:r w:rsidRPr="00423854">
        <w:t xml:space="preserve">determine the applicable standard and verify whether the facility meets </w:t>
      </w:r>
      <w:r>
        <w:t>the standard.</w:t>
      </w:r>
      <w:r w:rsidRPr="00423854">
        <w:t xml:space="preserve"> If the facility does not meet the applicable standard, the </w:t>
      </w:r>
      <w:r w:rsidR="00ED7FEC">
        <w:rPr>
          <w:rFonts w:eastAsia="Times New Roman"/>
        </w:rPr>
        <w:t xml:space="preserve">Access </w:t>
      </w:r>
      <w:r w:rsidRPr="00423854">
        <w:t xml:space="preserve">Board works with the </w:t>
      </w:r>
      <w:r w:rsidR="008A36DA">
        <w:t>agency</w:t>
      </w:r>
      <w:r w:rsidRPr="00423854">
        <w:t xml:space="preserve"> to develop a plan to bring the facility into </w:t>
      </w:r>
      <w:r w:rsidR="00063CCD" w:rsidRPr="00423854">
        <w:t>compliance and</w:t>
      </w:r>
      <w:r w:rsidRPr="00423854">
        <w:t xml:space="preserve"> continues its investigation until the corrective action is completed.</w:t>
      </w:r>
      <w:r w:rsidRPr="00423854">
        <w:rPr>
          <w:vertAlign w:val="superscript"/>
        </w:rPr>
        <w:endnoteReference w:id="272"/>
      </w:r>
    </w:p>
    <w:p w14:paraId="62AB9FBF" w14:textId="77777777" w:rsidR="00296DA5" w:rsidRDefault="0057027C" w:rsidP="00EE516A">
      <w:pPr>
        <w:pStyle w:val="NCDBodyText"/>
      </w:pPr>
      <w:r>
        <w:t>T</w:t>
      </w:r>
      <w:r w:rsidRPr="00423854">
        <w:t xml:space="preserve">he </w:t>
      </w:r>
      <w:r w:rsidR="00ED7FEC">
        <w:t xml:space="preserve">Access </w:t>
      </w:r>
      <w:r w:rsidRPr="00423854">
        <w:t xml:space="preserve">Board has a 100 percent compliance rate </w:t>
      </w:r>
      <w:r>
        <w:t>w</w:t>
      </w:r>
      <w:r w:rsidR="00C40209" w:rsidRPr="00423854">
        <w:t>her</w:t>
      </w:r>
      <w:r>
        <w:t>e corrective action is required</w:t>
      </w:r>
      <w:r w:rsidR="00C40209" w:rsidRPr="00423854">
        <w:t xml:space="preserve">. If an agency were to refuse to comply, the </w:t>
      </w:r>
      <w:r w:rsidR="00ED7FEC">
        <w:t xml:space="preserve">Access </w:t>
      </w:r>
      <w:r w:rsidR="00C40209" w:rsidRPr="00423854">
        <w:t xml:space="preserve">Board would use informal mechanisms to reach out to the appropriate federal </w:t>
      </w:r>
      <w:r w:rsidR="00ED7FEC">
        <w:t xml:space="preserve">Access </w:t>
      </w:r>
      <w:r w:rsidR="00C40209" w:rsidRPr="00423854">
        <w:t>Board member and/or to the agency head</w:t>
      </w:r>
      <w:r w:rsidR="00C40209">
        <w:t xml:space="preserve"> </w:t>
      </w:r>
      <w:r w:rsidR="00C40209" w:rsidRPr="00423854">
        <w:t>to enlist their assistance in obtaining full compliance.</w:t>
      </w:r>
      <w:r w:rsidR="00C40209" w:rsidRPr="00423854">
        <w:rPr>
          <w:vertAlign w:val="superscript"/>
        </w:rPr>
        <w:endnoteReference w:id="273"/>
      </w:r>
      <w:r w:rsidR="00C40209">
        <w:t xml:space="preserve"> </w:t>
      </w:r>
      <w:r w:rsidR="000F16E4">
        <w:t xml:space="preserve">Despite these good results, there is an </w:t>
      </w:r>
      <w:r>
        <w:t xml:space="preserve">apparent lack of awareness </w:t>
      </w:r>
      <w:r w:rsidR="000E0D03">
        <w:t xml:space="preserve">within </w:t>
      </w:r>
      <w:r>
        <w:t xml:space="preserve">the </w:t>
      </w:r>
      <w:r w:rsidR="00C40209" w:rsidRPr="00244B67">
        <w:t xml:space="preserve">disability community </w:t>
      </w:r>
      <w:r w:rsidR="000F16E4">
        <w:t>of</w:t>
      </w:r>
      <w:r>
        <w:t xml:space="preserve"> </w:t>
      </w:r>
      <w:r w:rsidR="00C40209" w:rsidRPr="00244B67">
        <w:t xml:space="preserve">the outcomes of the </w:t>
      </w:r>
      <w:r w:rsidR="00ED7FEC">
        <w:t xml:space="preserve">Access </w:t>
      </w:r>
      <w:r w:rsidR="00C40209" w:rsidRPr="00244B67">
        <w:t>Board</w:t>
      </w:r>
      <w:r w:rsidR="006474CA">
        <w:t>’</w:t>
      </w:r>
      <w:r w:rsidR="00C40209" w:rsidRPr="00244B67">
        <w:t>s investi</w:t>
      </w:r>
      <w:r>
        <w:t>gations and compliance efforts</w:t>
      </w:r>
      <w:r w:rsidR="000F16E4">
        <w:t>, which</w:t>
      </w:r>
      <w:r>
        <w:t xml:space="preserve"> </w:t>
      </w:r>
      <w:r w:rsidR="00C40209" w:rsidRPr="00244B67">
        <w:t xml:space="preserve">may explain the relatively small number of complaints the </w:t>
      </w:r>
      <w:r w:rsidR="00ED7FEC">
        <w:t xml:space="preserve">Access </w:t>
      </w:r>
      <w:r w:rsidR="00C40209" w:rsidRPr="00244B67">
        <w:t>Board receives each year.</w:t>
      </w:r>
      <w:r w:rsidR="00C40209" w:rsidRPr="00C80081">
        <w:t xml:space="preserve"> </w:t>
      </w:r>
      <w:r w:rsidR="000F16E4">
        <w:t xml:space="preserve">One focus group participant discussed how </w:t>
      </w:r>
      <w:r w:rsidR="000E0D03">
        <w:t xml:space="preserve">she found that </w:t>
      </w:r>
      <w:r w:rsidR="000F16E4">
        <w:t>the loc</w:t>
      </w:r>
      <w:r w:rsidR="000E0D03">
        <w:t>al EEOC office bathroom was in</w:t>
      </w:r>
      <w:r w:rsidR="000F16E4">
        <w:t>accessible, had complained to the EEOC, and was not aware of the enforcement role</w:t>
      </w:r>
      <w:r w:rsidR="000E0D03">
        <w:t xml:space="preserve"> of the Access Board</w:t>
      </w:r>
      <w:r w:rsidR="00A223F1">
        <w:t xml:space="preserve">. </w:t>
      </w:r>
      <w:r w:rsidR="00021130" w:rsidRPr="00D17C4A">
        <w:rPr>
          <w:b/>
        </w:rPr>
        <w:t xml:space="preserve">NCD recommends the Access Board </w:t>
      </w:r>
      <w:r w:rsidR="007F290D">
        <w:rPr>
          <w:b/>
        </w:rPr>
        <w:t>p</w:t>
      </w:r>
      <w:r w:rsidR="00021130" w:rsidRPr="00D17C4A">
        <w:rPr>
          <w:b/>
        </w:rPr>
        <w:t>ublicize select inves</w:t>
      </w:r>
      <w:r w:rsidR="00D17C4A" w:rsidRPr="00D17C4A">
        <w:rPr>
          <w:b/>
        </w:rPr>
        <w:t>tigation</w:t>
      </w:r>
      <w:r w:rsidR="007F290D">
        <w:rPr>
          <w:b/>
        </w:rPr>
        <w:t>s</w:t>
      </w:r>
      <w:r w:rsidR="00D17C4A" w:rsidRPr="00D17C4A">
        <w:rPr>
          <w:b/>
        </w:rPr>
        <w:t xml:space="preserve"> and compliance results to draw attention to the effectiveness of the Board</w:t>
      </w:r>
      <w:r w:rsidR="006474CA">
        <w:rPr>
          <w:b/>
        </w:rPr>
        <w:t>’</w:t>
      </w:r>
      <w:r w:rsidR="00D17C4A" w:rsidRPr="00D17C4A">
        <w:rPr>
          <w:b/>
        </w:rPr>
        <w:t xml:space="preserve">s </w:t>
      </w:r>
      <w:r w:rsidR="00063CCD" w:rsidRPr="00D17C4A">
        <w:rPr>
          <w:b/>
        </w:rPr>
        <w:t>processes and</w:t>
      </w:r>
      <w:r w:rsidR="00D17C4A" w:rsidRPr="00D17C4A">
        <w:rPr>
          <w:b/>
        </w:rPr>
        <w:t xml:space="preserve"> encourage the public to bring accessibility barriers to the Board</w:t>
      </w:r>
      <w:r w:rsidR="006474CA">
        <w:rPr>
          <w:b/>
        </w:rPr>
        <w:t>’</w:t>
      </w:r>
      <w:r w:rsidR="00D17C4A" w:rsidRPr="00D17C4A">
        <w:rPr>
          <w:b/>
        </w:rPr>
        <w:t>s attention</w:t>
      </w:r>
      <w:r w:rsidR="00050306">
        <w:rPr>
          <w:b/>
        </w:rPr>
        <w:t>.</w:t>
      </w:r>
    </w:p>
    <w:p w14:paraId="6FC388CA" w14:textId="77777777" w:rsidR="00296DA5" w:rsidRDefault="00AF7231" w:rsidP="00EE516A">
      <w:pPr>
        <w:pStyle w:val="NCDBodyText"/>
      </w:pPr>
      <w:r w:rsidRPr="00423854">
        <w:t xml:space="preserve">The </w:t>
      </w:r>
      <w:r>
        <w:t xml:space="preserve">Access </w:t>
      </w:r>
      <w:r w:rsidRPr="00423854">
        <w:t>Board</w:t>
      </w:r>
      <w:r w:rsidR="006474CA">
        <w:t>’</w:t>
      </w:r>
      <w:r w:rsidRPr="00423854">
        <w:t xml:space="preserve">s administrative process stresses voluntary compliance. The </w:t>
      </w:r>
      <w:r w:rsidR="00455392">
        <w:t xml:space="preserve">Access </w:t>
      </w:r>
      <w:r w:rsidRPr="00423854">
        <w:t>Board</w:t>
      </w:r>
      <w:r w:rsidR="006474CA">
        <w:t>’</w:t>
      </w:r>
      <w:r w:rsidRPr="00423854">
        <w:t xml:space="preserve">s enforcement regulations authorize </w:t>
      </w:r>
      <w:r w:rsidR="00455392">
        <w:t>it</w:t>
      </w:r>
      <w:r w:rsidRPr="00423854">
        <w:t xml:space="preserve"> to issue a written citation in the event of </w:t>
      </w:r>
      <w:r w:rsidRPr="00423854">
        <w:lastRenderedPageBreak/>
        <w:t xml:space="preserve">noncompliance that cannot be corrected by informal means, </w:t>
      </w:r>
      <w:r w:rsidR="006474CA">
        <w:t>“</w:t>
      </w:r>
      <w:r w:rsidRPr="00423854">
        <w:t>requesting or ordering the relief necessary to ensure compliance.</w:t>
      </w:r>
      <w:r w:rsidR="006474CA">
        <w:t>”</w:t>
      </w:r>
      <w:r w:rsidRPr="00423854">
        <w:rPr>
          <w:vertAlign w:val="superscript"/>
        </w:rPr>
        <w:endnoteReference w:id="274"/>
      </w:r>
      <w:r w:rsidRPr="00423854">
        <w:t xml:space="preserve"> The citation must be filed with an Administrative Law Judge</w:t>
      </w:r>
      <w:r w:rsidR="0057027C">
        <w:t xml:space="preserve"> (ALJ)</w:t>
      </w:r>
      <w:r w:rsidRPr="00423854">
        <w:t xml:space="preserve"> and served on all interested parties, including the complainant, and provide the basis for the imposition of the requested sanctions.</w:t>
      </w:r>
      <w:r w:rsidRPr="00423854">
        <w:rPr>
          <w:vertAlign w:val="superscript"/>
        </w:rPr>
        <w:endnoteReference w:id="275"/>
      </w:r>
      <w:r w:rsidRPr="00423854">
        <w:t xml:space="preserve"> A respondent must answer within 15 days.</w:t>
      </w:r>
      <w:r w:rsidRPr="00423854">
        <w:rPr>
          <w:vertAlign w:val="superscript"/>
        </w:rPr>
        <w:endnoteReference w:id="276"/>
      </w:r>
      <w:r w:rsidRPr="00423854">
        <w:t xml:space="preserve"> Complainants are not parties to proceedings by the </w:t>
      </w:r>
      <w:r w:rsidR="00ED7FEC">
        <w:t xml:space="preserve">Access </w:t>
      </w:r>
      <w:r w:rsidRPr="00423854">
        <w:t>Board, but may petition to participate in the proceeding.</w:t>
      </w:r>
      <w:r w:rsidRPr="00423854">
        <w:rPr>
          <w:vertAlign w:val="superscript"/>
        </w:rPr>
        <w:endnoteReference w:id="277"/>
      </w:r>
      <w:r w:rsidRPr="00423854">
        <w:t xml:space="preserve"> An order of compliance issued by the </w:t>
      </w:r>
      <w:r w:rsidR="007516FC">
        <w:t>ALJ</w:t>
      </w:r>
      <w:r w:rsidRPr="00423854">
        <w:t xml:space="preserve"> is a final order for purposes of judicial review, is binding on the respondent agency, and may </w:t>
      </w:r>
      <w:r w:rsidR="008A36DA">
        <w:t>require</w:t>
      </w:r>
      <w:r w:rsidRPr="00423854">
        <w:t xml:space="preserve"> withholding or suspension of federal funds for any facility found noncompliant with ABA standards.</w:t>
      </w:r>
      <w:r w:rsidRPr="00423854">
        <w:rPr>
          <w:vertAlign w:val="superscript"/>
        </w:rPr>
        <w:endnoteReference w:id="278"/>
      </w:r>
      <w:r w:rsidRPr="00423854">
        <w:t xml:space="preserve"> A complainant who is dissatisfied with an order may obtain review</w:t>
      </w:r>
      <w:r>
        <w:t xml:space="preserve"> in </w:t>
      </w:r>
      <w:r w:rsidR="000E0D03">
        <w:t xml:space="preserve">a U.S. district </w:t>
      </w:r>
      <w:r>
        <w:t>court</w:t>
      </w:r>
      <w:r w:rsidRPr="00423854">
        <w:t>.</w:t>
      </w:r>
      <w:r w:rsidRPr="00423854">
        <w:rPr>
          <w:vertAlign w:val="superscript"/>
        </w:rPr>
        <w:endnoteReference w:id="279"/>
      </w:r>
      <w:r w:rsidRPr="00423854">
        <w:t xml:space="preserve"> The </w:t>
      </w:r>
      <w:r w:rsidR="00ED7FEC">
        <w:t xml:space="preserve">Access </w:t>
      </w:r>
      <w:r w:rsidRPr="00423854">
        <w:t>Board is also authorized to bring a civil a</w:t>
      </w:r>
      <w:r w:rsidR="000E0D03">
        <w:t>ction to enforce a final order,</w:t>
      </w:r>
      <w:r w:rsidRPr="00423854">
        <w:t xml:space="preserve"> to intervene</w:t>
      </w:r>
      <w:r w:rsidR="000E0D03">
        <w:t xml:space="preserve">, </w:t>
      </w:r>
      <w:r w:rsidRPr="00423854">
        <w:t xml:space="preserve">or to appear </w:t>
      </w:r>
      <w:r w:rsidR="000E0D03">
        <w:t>through a</w:t>
      </w:r>
      <w:r w:rsidRPr="00423854">
        <w:t xml:space="preserve"> </w:t>
      </w:r>
      <w:r>
        <w:t>friend of the court (</w:t>
      </w:r>
      <w:r w:rsidRPr="00423854">
        <w:t>amicus</w:t>
      </w:r>
      <w:r>
        <w:t>)</w:t>
      </w:r>
      <w:r w:rsidR="000E0D03">
        <w:t xml:space="preserve"> brief</w:t>
      </w:r>
      <w:r w:rsidRPr="00423854">
        <w:t xml:space="preserve"> in any civil actions that relate</w:t>
      </w:r>
      <w:r w:rsidR="000E0D03">
        <w:t>s</w:t>
      </w:r>
      <w:r w:rsidRPr="00423854">
        <w:t xml:space="preserve"> to the ABA.</w:t>
      </w:r>
      <w:r w:rsidRPr="00423854">
        <w:rPr>
          <w:vertAlign w:val="superscript"/>
        </w:rPr>
        <w:endnoteReference w:id="280"/>
      </w:r>
    </w:p>
    <w:p w14:paraId="62E30FF4" w14:textId="6D1C3FAC" w:rsidR="00C40209" w:rsidRPr="00423854" w:rsidRDefault="00C40209" w:rsidP="00EE516A">
      <w:pPr>
        <w:pStyle w:val="Heading3"/>
      </w:pPr>
      <w:bookmarkStart w:id="83" w:name="_Toc526182127"/>
      <w:r w:rsidRPr="00423854">
        <w:t>Timely Resolution of Complaints</w:t>
      </w:r>
      <w:bookmarkEnd w:id="83"/>
    </w:p>
    <w:p w14:paraId="7A4C2222" w14:textId="152EE107" w:rsidR="00296DA5" w:rsidRDefault="00C40209" w:rsidP="00EE516A">
      <w:pPr>
        <w:pStyle w:val="NCDBodyText"/>
      </w:pPr>
      <w:r w:rsidRPr="00423854">
        <w:t xml:space="preserve">The </w:t>
      </w:r>
      <w:r w:rsidR="00ED7FEC">
        <w:t xml:space="preserve">Access </w:t>
      </w:r>
      <w:r w:rsidRPr="00423854">
        <w:t>Board</w:t>
      </w:r>
      <w:r w:rsidR="006474CA">
        <w:t>’</w:t>
      </w:r>
      <w:r w:rsidRPr="00423854">
        <w:t>s regulations call for matters to be resolved within 180 days.</w:t>
      </w:r>
      <w:r w:rsidRPr="00423854">
        <w:rPr>
          <w:vertAlign w:val="superscript"/>
        </w:rPr>
        <w:endnoteReference w:id="281"/>
      </w:r>
      <w:r w:rsidRPr="00423854">
        <w:t xml:space="preserve"> For complaints resulting in referrals or determinations where the Board lacks jurisdict</w:t>
      </w:r>
      <w:r w:rsidR="000E0D03">
        <w:t>ion or where no violations exist</w:t>
      </w:r>
      <w:r w:rsidRPr="00423854">
        <w:t xml:space="preserve">, </w:t>
      </w:r>
      <w:r w:rsidR="00050306">
        <w:t xml:space="preserve">according to the Board </w:t>
      </w:r>
      <w:r w:rsidRPr="00423854">
        <w:t xml:space="preserve">matters are </w:t>
      </w:r>
      <w:r w:rsidR="00555DF6" w:rsidRPr="00423854">
        <w:t xml:space="preserve">usually </w:t>
      </w:r>
      <w:r w:rsidRPr="00423854">
        <w:t xml:space="preserve">handled within </w:t>
      </w:r>
      <w:r w:rsidR="00D70CEB">
        <w:br/>
      </w:r>
      <w:r w:rsidRPr="00423854">
        <w:t>14 days.</w:t>
      </w:r>
    </w:p>
    <w:p w14:paraId="36CCBE4A" w14:textId="77777777" w:rsidR="00296DA5" w:rsidRDefault="00E437C6" w:rsidP="00EE516A">
      <w:pPr>
        <w:pStyle w:val="NCDBodyText"/>
      </w:pPr>
      <w:r w:rsidRPr="00EC7CD9">
        <w:t xml:space="preserve">The </w:t>
      </w:r>
      <w:r w:rsidR="00ED7FEC">
        <w:t xml:space="preserve">Access </w:t>
      </w:r>
      <w:r w:rsidRPr="00EC7CD9">
        <w:t>Board</w:t>
      </w:r>
      <w:r w:rsidR="006474CA">
        <w:t>’</w:t>
      </w:r>
      <w:r w:rsidRPr="00EC7CD9">
        <w:t>s regulations require the Executive Director, within 10 days after the passage of 180 days, to either issue a citation or determine in writing that a citation will not be issued and provide the reasons.</w:t>
      </w:r>
      <w:r w:rsidRPr="00EC7CD9">
        <w:rPr>
          <w:vertAlign w:val="superscript"/>
        </w:rPr>
        <w:endnoteReference w:id="282"/>
      </w:r>
      <w:r w:rsidRPr="00EC7CD9">
        <w:t xml:space="preserve"> Any time after the expiration of 190 days, a complainant or respondent agency may demand that the </w:t>
      </w:r>
      <w:r w:rsidR="00D73733">
        <w:t xml:space="preserve">Access </w:t>
      </w:r>
      <w:r w:rsidRPr="00EC7CD9">
        <w:t>Board issue a citation and the Board must respond in writing within 30 days.</w:t>
      </w:r>
      <w:r w:rsidRPr="00EC7CD9">
        <w:rPr>
          <w:vertAlign w:val="superscript"/>
        </w:rPr>
        <w:endnoteReference w:id="283"/>
      </w:r>
      <w:r w:rsidR="00716D6A">
        <w:t xml:space="preserve"> </w:t>
      </w:r>
      <w:r w:rsidRPr="00EC7CD9">
        <w:t xml:space="preserve">The letters the </w:t>
      </w:r>
      <w:r w:rsidR="00D73733">
        <w:t xml:space="preserve">Access </w:t>
      </w:r>
      <w:r w:rsidRPr="00EC7CD9">
        <w:t>Board sends to complainants</w:t>
      </w:r>
      <w:r>
        <w:t>, however,</w:t>
      </w:r>
      <w:r w:rsidRPr="00EC7CD9">
        <w:t xml:space="preserve"> do not advise them of their right to demand a citation after 190 days.</w:t>
      </w:r>
      <w:r w:rsidRPr="00EC7CD9">
        <w:rPr>
          <w:vertAlign w:val="superscript"/>
        </w:rPr>
        <w:endnoteReference w:id="284"/>
      </w:r>
    </w:p>
    <w:p w14:paraId="6E48EDFE" w14:textId="77777777" w:rsidR="00296DA5" w:rsidRDefault="00AF7231" w:rsidP="00EE516A">
      <w:pPr>
        <w:pStyle w:val="NCDBodyText"/>
        <w:rPr>
          <w:b/>
        </w:rPr>
      </w:pPr>
      <w:r w:rsidRPr="00AF7231">
        <w:t xml:space="preserve">For </w:t>
      </w:r>
      <w:r w:rsidR="0099144C">
        <w:t>matters</w:t>
      </w:r>
      <w:r w:rsidRPr="00AF7231">
        <w:t xml:space="preserve"> that the Access Board opens and investigates, </w:t>
      </w:r>
      <w:r w:rsidR="0099144C">
        <w:t xml:space="preserve">based on </w:t>
      </w:r>
      <w:r w:rsidR="00ED7FEC">
        <w:t xml:space="preserve">its </w:t>
      </w:r>
      <w:r w:rsidR="0099144C">
        <w:t>data</w:t>
      </w:r>
      <w:r w:rsidRPr="00AF7231">
        <w:t>, the percentage of investigations taking longer t</w:t>
      </w:r>
      <w:r w:rsidR="007961F7">
        <w:t xml:space="preserve">han 180 days </w:t>
      </w:r>
      <w:r w:rsidR="0099144C">
        <w:t xml:space="preserve">steadily declined </w:t>
      </w:r>
      <w:r w:rsidR="007961F7">
        <w:t>from 68 percent</w:t>
      </w:r>
      <w:r w:rsidR="00555DF6">
        <w:t xml:space="preserve"> </w:t>
      </w:r>
      <w:r w:rsidR="0099144C">
        <w:t xml:space="preserve">in </w:t>
      </w:r>
      <w:r w:rsidR="0099144C" w:rsidRPr="00AF7231">
        <w:t>FY</w:t>
      </w:r>
      <w:r w:rsidR="0099144C">
        <w:t xml:space="preserve"> 20</w:t>
      </w:r>
      <w:r w:rsidR="0099144C" w:rsidRPr="00AF7231">
        <w:t>12</w:t>
      </w:r>
      <w:r w:rsidR="0099144C">
        <w:t xml:space="preserve"> to </w:t>
      </w:r>
      <w:r w:rsidR="007961F7">
        <w:t>44 percent</w:t>
      </w:r>
      <w:r w:rsidR="007F6E50">
        <w:t xml:space="preserve"> in FY 2017</w:t>
      </w:r>
      <w:r w:rsidR="00555DF6">
        <w:t>.</w:t>
      </w:r>
      <w:r w:rsidR="0086336F">
        <w:t xml:space="preserve"> </w:t>
      </w:r>
      <w:r w:rsidR="00555DF6">
        <w:t>N</w:t>
      </w:r>
      <w:r w:rsidRPr="00AF7231">
        <w:t>early half of all investiga</w:t>
      </w:r>
      <w:r w:rsidR="000E0D03">
        <w:t xml:space="preserve">tions the </w:t>
      </w:r>
      <w:r w:rsidR="005B7705">
        <w:t>Access</w:t>
      </w:r>
      <w:r w:rsidR="00A8690A">
        <w:t xml:space="preserve"> </w:t>
      </w:r>
      <w:r w:rsidR="00B9699D">
        <w:t>Board conducts, h</w:t>
      </w:r>
      <w:r w:rsidR="00B9699D" w:rsidRPr="00AF7231">
        <w:t xml:space="preserve">owever, </w:t>
      </w:r>
      <w:r w:rsidR="0099144C">
        <w:t>take</w:t>
      </w:r>
      <w:r w:rsidRPr="00AF7231">
        <w:t xml:space="preserve"> longer than 180 days</w:t>
      </w:r>
      <w:r w:rsidRPr="00B9699D">
        <w:t>.</w:t>
      </w:r>
      <w:r w:rsidR="00021130" w:rsidRPr="00B9699D">
        <w:t xml:space="preserve"> </w:t>
      </w:r>
      <w:r w:rsidR="00B9699D">
        <w:t>T</w:t>
      </w:r>
      <w:r w:rsidR="00B9699D" w:rsidRPr="00B9699D">
        <w:t xml:space="preserve">he </w:t>
      </w:r>
      <w:r w:rsidR="00ED7FEC">
        <w:t xml:space="preserve">Access </w:t>
      </w:r>
      <w:r w:rsidR="00B9699D" w:rsidRPr="00B9699D">
        <w:t>Board</w:t>
      </w:r>
      <w:r w:rsidR="006474CA">
        <w:t>’</w:t>
      </w:r>
      <w:r w:rsidR="00B9699D" w:rsidRPr="00B9699D">
        <w:t xml:space="preserve">s small budget </w:t>
      </w:r>
      <w:r w:rsidR="00B9699D" w:rsidRPr="00B9699D">
        <w:lastRenderedPageBreak/>
        <w:t>is insufficient to allow investigators to travel to</w:t>
      </w:r>
      <w:r w:rsidR="007961F7">
        <w:t xml:space="preserve"> facilities </w:t>
      </w:r>
      <w:r w:rsidR="00B9699D" w:rsidRPr="00B9699D">
        <w:t>outside the Washington, DC</w:t>
      </w:r>
      <w:r w:rsidR="00E04CB0">
        <w:t>,</w:t>
      </w:r>
      <w:r w:rsidR="00B9699D" w:rsidRPr="00B9699D">
        <w:t xml:space="preserve"> metropolitan area, forcing the Board to rely on the investigated agencies to provide information, which has resulted in many investigations exceeding the 180-day deadline for complet</w:t>
      </w:r>
      <w:r w:rsidR="00B9699D" w:rsidRPr="00555DF6">
        <w:t>ion</w:t>
      </w:r>
      <w:r w:rsidR="00555DF6">
        <w:t>.</w:t>
      </w:r>
      <w:r w:rsidR="00F45600">
        <w:rPr>
          <w:rStyle w:val="EndnoteReference"/>
          <w:rFonts w:cs="Arial"/>
        </w:rPr>
        <w:endnoteReference w:id="285"/>
      </w:r>
      <w:r w:rsidR="00B9699D" w:rsidRPr="00555DF6">
        <w:t xml:space="preserve"> </w:t>
      </w:r>
      <w:r w:rsidR="007961F7">
        <w:t>One</w:t>
      </w:r>
      <w:r w:rsidR="007961F7" w:rsidRPr="00B9699D">
        <w:t xml:space="preserve"> f</w:t>
      </w:r>
      <w:r w:rsidR="007961F7">
        <w:t xml:space="preserve">ocus group participant who filed several complaints with the Access Board reported that the </w:t>
      </w:r>
      <w:r w:rsidR="007961F7" w:rsidRPr="00B9699D">
        <w:t xml:space="preserve">investigations take a very long time to resolve. </w:t>
      </w:r>
      <w:r w:rsidR="007961F7">
        <w:rPr>
          <w:b/>
        </w:rPr>
        <w:t>NC</w:t>
      </w:r>
      <w:r w:rsidR="00021130" w:rsidRPr="00021130">
        <w:rPr>
          <w:b/>
        </w:rPr>
        <w:t>D recommends the Access Board use its citation process to ensure that investigations are completed within 180 days and extend only in the rarest circumstances beyond the mandatory 180-day time limit.</w:t>
      </w:r>
    </w:p>
    <w:p w14:paraId="04A38D50" w14:textId="67ACE137" w:rsidR="00AF7231" w:rsidRPr="00423854" w:rsidRDefault="00AF7231" w:rsidP="00EE516A">
      <w:pPr>
        <w:pStyle w:val="Heading3"/>
      </w:pPr>
      <w:bookmarkStart w:id="84" w:name="_Toc526182128"/>
      <w:r w:rsidRPr="00423854">
        <w:t>Communications with Complainants</w:t>
      </w:r>
      <w:r>
        <w:t xml:space="preserve"> and the Community</w:t>
      </w:r>
      <w:bookmarkEnd w:id="84"/>
    </w:p>
    <w:p w14:paraId="513BAB05" w14:textId="77777777" w:rsidR="00296DA5" w:rsidRDefault="00C22CAE" w:rsidP="00EE516A">
      <w:pPr>
        <w:pStyle w:val="NCDBodyText"/>
        <w:rPr>
          <w:b/>
        </w:rPr>
      </w:pPr>
      <w:r>
        <w:t>After filing a complaint, w</w:t>
      </w:r>
      <w:r w:rsidR="00AF7231" w:rsidRPr="00423854">
        <w:t xml:space="preserve">ithin </w:t>
      </w:r>
      <w:r w:rsidR="00AF7231">
        <w:t>three</w:t>
      </w:r>
      <w:r w:rsidR="00AF7231" w:rsidRPr="00423854">
        <w:t xml:space="preserve"> business days a complainant will receive an email or letter with </w:t>
      </w:r>
      <w:r>
        <w:t>a</w:t>
      </w:r>
      <w:r w:rsidR="00AF7231" w:rsidRPr="00423854">
        <w:t xml:space="preserve"> complaint number</w:t>
      </w:r>
      <w:r>
        <w:t>,</w:t>
      </w:r>
      <w:r w:rsidR="00AF7231" w:rsidRPr="00423854">
        <w:t xml:space="preserve"> links to information about how the </w:t>
      </w:r>
      <w:r w:rsidR="00F91312">
        <w:t xml:space="preserve">Access </w:t>
      </w:r>
      <w:r>
        <w:t>Boar</w:t>
      </w:r>
      <w:r w:rsidR="0023793A">
        <w:t>d</w:t>
      </w:r>
      <w:r>
        <w:t xml:space="preserve"> will handle the complaint, </w:t>
      </w:r>
      <w:r w:rsidR="00AF7231" w:rsidRPr="00423854">
        <w:t>and the Board</w:t>
      </w:r>
      <w:r w:rsidR="006474CA">
        <w:t>’</w:t>
      </w:r>
      <w:r w:rsidR="00AF7231" w:rsidRPr="00423854">
        <w:t xml:space="preserve">s compliance and enforcement regulations. If </w:t>
      </w:r>
      <w:r w:rsidRPr="00423854">
        <w:t xml:space="preserve">the </w:t>
      </w:r>
      <w:r w:rsidR="00F91312">
        <w:t xml:space="preserve">Access </w:t>
      </w:r>
      <w:r w:rsidRPr="00423854">
        <w:t xml:space="preserve">Board </w:t>
      </w:r>
      <w:r>
        <w:t xml:space="preserve">opens </w:t>
      </w:r>
      <w:r w:rsidR="00AF7231" w:rsidRPr="00423854">
        <w:t xml:space="preserve">an investigation but determines it lacks jurisdiction </w:t>
      </w:r>
      <w:r>
        <w:t xml:space="preserve">or that the allegations do not </w:t>
      </w:r>
      <w:r w:rsidR="00AF7231" w:rsidRPr="00423854">
        <w:t>violat</w:t>
      </w:r>
      <w:r>
        <w:t>e</w:t>
      </w:r>
      <w:r w:rsidR="00AF7231" w:rsidRPr="00423854">
        <w:t xml:space="preserve"> applicable accessibility standards, complainants are in</w:t>
      </w:r>
      <w:r>
        <w:t xml:space="preserve">formed via email or letter. A complainant is </w:t>
      </w:r>
      <w:r w:rsidR="00AF7231" w:rsidRPr="00423854">
        <w:t xml:space="preserve">given 15 days to provide information challenging the </w:t>
      </w:r>
      <w:r w:rsidR="002F3E81">
        <w:t xml:space="preserve">Access </w:t>
      </w:r>
      <w:r w:rsidR="00AF7231" w:rsidRPr="00423854">
        <w:t>Board</w:t>
      </w:r>
      <w:r w:rsidR="006474CA">
        <w:t>’</w:t>
      </w:r>
      <w:r w:rsidR="00AF7231" w:rsidRPr="00423854">
        <w:t xml:space="preserve">s determination. These determinations are </w:t>
      </w:r>
      <w:r w:rsidRPr="00423854">
        <w:t xml:space="preserve">usually </w:t>
      </w:r>
      <w:r w:rsidR="00AF7231" w:rsidRPr="00423854">
        <w:t xml:space="preserve">made within the first </w:t>
      </w:r>
      <w:r>
        <w:t>two</w:t>
      </w:r>
      <w:r w:rsidR="00AF7231" w:rsidRPr="00423854">
        <w:t xml:space="preserve"> months after a complaint filing. If the </w:t>
      </w:r>
      <w:r w:rsidR="006F0A34">
        <w:t xml:space="preserve">Access </w:t>
      </w:r>
      <w:r w:rsidR="00AF7231" w:rsidRPr="00423854">
        <w:t xml:space="preserve">Board has jurisdiction and a violation exists, </w:t>
      </w:r>
      <w:r w:rsidR="00E437C6">
        <w:t xml:space="preserve">the Board requires </w:t>
      </w:r>
      <w:r w:rsidR="00AF7231" w:rsidRPr="00423854">
        <w:t xml:space="preserve">corrective action. Complainants are informed once a corrective action plan is put in </w:t>
      </w:r>
      <w:r w:rsidR="00063CCD" w:rsidRPr="00423854">
        <w:t>place and</w:t>
      </w:r>
      <w:r w:rsidR="00AF7231" w:rsidRPr="00423854">
        <w:t xml:space="preserve"> are given periodic updates on the plan until its completion. Once the </w:t>
      </w:r>
      <w:r w:rsidR="002F3E81">
        <w:t xml:space="preserve">Access </w:t>
      </w:r>
      <w:r w:rsidR="00AF7231" w:rsidRPr="00423854">
        <w:t xml:space="preserve">Board receives evidence </w:t>
      </w:r>
      <w:r w:rsidR="00E437C6">
        <w:t>of</w:t>
      </w:r>
      <w:r w:rsidR="00AF7231" w:rsidRPr="00423854">
        <w:t xml:space="preserve"> completion of the corrective action, complainants are informed and given 15 days to provide information challenging the Board</w:t>
      </w:r>
      <w:r w:rsidR="006474CA">
        <w:t>’</w:t>
      </w:r>
      <w:r w:rsidR="00AF7231" w:rsidRPr="00423854">
        <w:t>s determination that the work has been completed.</w:t>
      </w:r>
      <w:r w:rsidR="00AF7231" w:rsidRPr="00423854">
        <w:rPr>
          <w:vertAlign w:val="superscript"/>
        </w:rPr>
        <w:endnoteReference w:id="286"/>
      </w:r>
      <w:r w:rsidR="00CF1375" w:rsidRPr="00CF1375">
        <w:t xml:space="preserve"> </w:t>
      </w:r>
      <w:r w:rsidR="00CF1375" w:rsidRPr="00CF1375">
        <w:rPr>
          <w:b/>
        </w:rPr>
        <w:t>NCD recommends the Access Board inform complainants of their right to demand a citation, or written reason for not issuing a citation, after 190 days from submission of the complaint if a corrective action plan is not completed.</w:t>
      </w:r>
    </w:p>
    <w:p w14:paraId="70F02C29" w14:textId="7EDF2281" w:rsidR="00633E33" w:rsidRPr="00423854" w:rsidRDefault="00633E33" w:rsidP="00EE516A">
      <w:pPr>
        <w:pStyle w:val="Heading3"/>
      </w:pPr>
      <w:bookmarkStart w:id="85" w:name="_Toc526182129"/>
      <w:r w:rsidRPr="00423854">
        <w:t>Interagency Collaboration and Coordination</w:t>
      </w:r>
      <w:bookmarkEnd w:id="85"/>
    </w:p>
    <w:p w14:paraId="5DC817FF" w14:textId="77777777" w:rsidR="00296DA5" w:rsidRDefault="00633E33" w:rsidP="00EE516A">
      <w:pPr>
        <w:pStyle w:val="NCDBodyText"/>
      </w:pPr>
      <w:r w:rsidRPr="00423854">
        <w:t>The Access Board function</w:t>
      </w:r>
      <w:r w:rsidR="00AC35B6">
        <w:t>s</w:t>
      </w:r>
      <w:r w:rsidRPr="00423854">
        <w:t xml:space="preserve"> as a coordinating body among federal agencies and to directly represent</w:t>
      </w:r>
      <w:r w:rsidR="00AC35B6">
        <w:t>s</w:t>
      </w:r>
      <w:r w:rsidRPr="00423854">
        <w:t xml:space="preserve"> the public, particularly people with disabilities. Twelve </w:t>
      </w:r>
      <w:r w:rsidR="002F3E81">
        <w:t xml:space="preserve">Access </w:t>
      </w:r>
      <w:r w:rsidR="000E0D03">
        <w:t>Board</w:t>
      </w:r>
      <w:r w:rsidRPr="00423854">
        <w:t xml:space="preserve"> members are representatives from federal agencies (five are currently vacant).</w:t>
      </w:r>
      <w:r w:rsidRPr="00423854">
        <w:rPr>
          <w:vertAlign w:val="superscript"/>
        </w:rPr>
        <w:endnoteReference w:id="287"/>
      </w:r>
      <w:r w:rsidRPr="00423854">
        <w:t xml:space="preserve"> Thirteen others </w:t>
      </w:r>
      <w:r w:rsidR="000E0D03">
        <w:t xml:space="preserve">are </w:t>
      </w:r>
      <w:r w:rsidR="000E0D03" w:rsidRPr="00423854">
        <w:t xml:space="preserve">public </w:t>
      </w:r>
      <w:r w:rsidRPr="00423854">
        <w:t xml:space="preserve">members appointed by the President, a majority of whom </w:t>
      </w:r>
      <w:r w:rsidRPr="00423854">
        <w:lastRenderedPageBreak/>
        <w:t xml:space="preserve">must have a disability. </w:t>
      </w:r>
      <w:bookmarkStart w:id="86" w:name="_Hlk509849049"/>
      <w:r w:rsidRPr="00423854">
        <w:t xml:space="preserve">The </w:t>
      </w:r>
      <w:r w:rsidR="004C3D5A">
        <w:t xml:space="preserve">Access </w:t>
      </w:r>
      <w:r w:rsidRPr="00423854">
        <w:t xml:space="preserve">Board meets </w:t>
      </w:r>
      <w:r>
        <w:t>six</w:t>
      </w:r>
      <w:r w:rsidRPr="00423854">
        <w:t xml:space="preserve"> times a year, which provides multiple opportunities for close collaboration. Additionally, Access Board staff host a monthly informal m</w:t>
      </w:r>
      <w:r w:rsidR="00AC35B6">
        <w:t>eeting of federal agency staff who</w:t>
      </w:r>
      <w:r w:rsidRPr="00423854">
        <w:t xml:space="preserve"> work on </w:t>
      </w:r>
      <w:r w:rsidR="00343EE6">
        <w:t>disability-rel</w:t>
      </w:r>
      <w:r w:rsidRPr="00423854">
        <w:t xml:space="preserve">ated issues to share information and collaborate on </w:t>
      </w:r>
      <w:r w:rsidR="002F3E81" w:rsidRPr="00423854">
        <w:t>cross</w:t>
      </w:r>
      <w:r w:rsidR="002F3E81">
        <w:t>-</w:t>
      </w:r>
      <w:r w:rsidRPr="00423854">
        <w:t>cutting topics</w:t>
      </w:r>
      <w:bookmarkEnd w:id="86"/>
      <w:r w:rsidRPr="00423854">
        <w:t>.</w:t>
      </w:r>
    </w:p>
    <w:p w14:paraId="157CF4DB" w14:textId="77777777" w:rsidR="00296DA5" w:rsidRDefault="00633E33" w:rsidP="00EE516A">
      <w:pPr>
        <w:pStyle w:val="NCDBodyText"/>
        <w:rPr>
          <w:b/>
        </w:rPr>
      </w:pPr>
      <w:r w:rsidRPr="00423854">
        <w:t>By regulation</w:t>
      </w:r>
      <w:r>
        <w:t xml:space="preserve"> and design</w:t>
      </w:r>
      <w:r w:rsidRPr="00423854">
        <w:t xml:space="preserve">, the </w:t>
      </w:r>
      <w:r w:rsidR="002F3E81">
        <w:t xml:space="preserve">Access </w:t>
      </w:r>
      <w:r w:rsidRPr="00423854">
        <w:t>Board</w:t>
      </w:r>
      <w:r w:rsidR="006474CA">
        <w:t>’</w:t>
      </w:r>
      <w:r w:rsidRPr="00423854">
        <w:t xml:space="preserve">s enforcement process is intended to be an amicable, </w:t>
      </w:r>
      <w:proofErr w:type="spellStart"/>
      <w:r w:rsidR="00444926">
        <w:t>non</w:t>
      </w:r>
      <w:r w:rsidRPr="00423854">
        <w:t>adversarial</w:t>
      </w:r>
      <w:proofErr w:type="spellEnd"/>
      <w:r w:rsidRPr="00423854">
        <w:t xml:space="preserve"> process based on cooperation. </w:t>
      </w:r>
      <w:r w:rsidR="007961F7">
        <w:t xml:space="preserve">In </w:t>
      </w:r>
      <w:r w:rsidRPr="00423854">
        <w:t>order to make this process effective, the Access Board maintains strong relationships and open channels of communication with ABA standard-setting agencies and other federal agencies</w:t>
      </w:r>
      <w:r w:rsidRPr="00423854">
        <w:rPr>
          <w:vertAlign w:val="superscript"/>
        </w:rPr>
        <w:endnoteReference w:id="288"/>
      </w:r>
      <w:r w:rsidRPr="00423854">
        <w:t xml:space="preserve"> and works to create a climate in which federal agencies know that voluntary compliance is beneficial.</w:t>
      </w:r>
      <w:r w:rsidRPr="00423854">
        <w:rPr>
          <w:vertAlign w:val="superscript"/>
        </w:rPr>
        <w:endnoteReference w:id="289"/>
      </w:r>
      <w:r w:rsidRPr="00423854">
        <w:t xml:space="preserve"> In addition, the </w:t>
      </w:r>
      <w:r>
        <w:t xml:space="preserve">Access </w:t>
      </w:r>
      <w:r w:rsidRPr="00423854">
        <w:t>Board</w:t>
      </w:r>
      <w:r w:rsidR="006474CA">
        <w:t>’</w:t>
      </w:r>
      <w:r w:rsidRPr="00423854">
        <w:t xml:space="preserve">s Office of Technical and Information Services has accessibility specialists on staff who can provide </w:t>
      </w:r>
      <w:r>
        <w:t>technical assistance</w:t>
      </w:r>
      <w:r w:rsidRPr="00423854">
        <w:t xml:space="preserve"> to agencies seeking to remediate accessibility barriers.</w:t>
      </w:r>
      <w:r w:rsidRPr="00423854">
        <w:rPr>
          <w:vertAlign w:val="superscript"/>
        </w:rPr>
        <w:endnoteReference w:id="290"/>
      </w:r>
      <w:r w:rsidR="007516FC" w:rsidRPr="007516FC">
        <w:t xml:space="preserve"> </w:t>
      </w:r>
      <w:r w:rsidR="007516FC" w:rsidRPr="007516FC">
        <w:rPr>
          <w:b/>
        </w:rPr>
        <w:t>NCD recommends the Access Board partner with other federal agencies that conduct nationwide enforcement of standards based on the ABA standards, such as the Departments of Justice, Transportation, and Housing and Urban Development. These agencies</w:t>
      </w:r>
      <w:r w:rsidR="006474CA">
        <w:rPr>
          <w:b/>
        </w:rPr>
        <w:t>’</w:t>
      </w:r>
      <w:r w:rsidR="007516FC" w:rsidRPr="007516FC">
        <w:rPr>
          <w:b/>
        </w:rPr>
        <w:t xml:space="preserve"> regional or travel</w:t>
      </w:r>
      <w:r w:rsidR="00AC35B6">
        <w:rPr>
          <w:b/>
        </w:rPr>
        <w:t>ing staff may be able to visit</w:t>
      </w:r>
      <w:r w:rsidR="007516FC" w:rsidRPr="007516FC">
        <w:rPr>
          <w:b/>
        </w:rPr>
        <w:t xml:space="preserve"> facilities that are subjects of investigations to leverage the </w:t>
      </w:r>
      <w:r w:rsidR="002F3E81">
        <w:rPr>
          <w:b/>
        </w:rPr>
        <w:t xml:space="preserve">Access </w:t>
      </w:r>
      <w:r w:rsidR="007516FC" w:rsidRPr="007516FC">
        <w:rPr>
          <w:b/>
        </w:rPr>
        <w:t>Board</w:t>
      </w:r>
      <w:r w:rsidR="006474CA">
        <w:rPr>
          <w:b/>
        </w:rPr>
        <w:t>’</w:t>
      </w:r>
      <w:r w:rsidR="007516FC" w:rsidRPr="007516FC">
        <w:rPr>
          <w:b/>
        </w:rPr>
        <w:t>s limited resources.</w:t>
      </w:r>
    </w:p>
    <w:p w14:paraId="3F852F10" w14:textId="604D6DDF" w:rsidR="00396A3D" w:rsidRDefault="00525794" w:rsidP="00EE516A">
      <w:pPr>
        <w:pStyle w:val="Heading3"/>
      </w:pPr>
      <w:bookmarkStart w:id="87" w:name="_Toc526182130"/>
      <w:r>
        <w:t xml:space="preserve">Training and </w:t>
      </w:r>
      <w:r w:rsidR="00633E33" w:rsidRPr="00423854">
        <w:t>Technical Assistance</w:t>
      </w:r>
      <w:bookmarkEnd w:id="87"/>
    </w:p>
    <w:p w14:paraId="6ABFAB78" w14:textId="77777777" w:rsidR="00296DA5" w:rsidRDefault="00633E33" w:rsidP="00EE516A">
      <w:pPr>
        <w:pStyle w:val="NCDBodyText"/>
      </w:pPr>
      <w:r w:rsidRPr="00423854">
        <w:t xml:space="preserve">The </w:t>
      </w:r>
      <w:r w:rsidR="00324B7D">
        <w:t xml:space="preserve">Access </w:t>
      </w:r>
      <w:r w:rsidRPr="00423854">
        <w:t xml:space="preserve">Board maintains a vigorous TA program. Federal agencies and members of the public can pose technical questions directly to </w:t>
      </w:r>
      <w:r w:rsidR="00324B7D">
        <w:t xml:space="preserve">Access </w:t>
      </w:r>
      <w:r w:rsidRPr="00423854">
        <w:t>Board staff using email, fax, or telephone. Because the same staff that responds to such questions also develops guidelines, standards</w:t>
      </w:r>
      <w:r w:rsidR="00D20D72">
        <w:t>,</w:t>
      </w:r>
      <w:r w:rsidRPr="00423854">
        <w:t xml:space="preserve"> and TA and training materials, customers receive reliable responses</w:t>
      </w:r>
      <w:r w:rsidR="00D20D72">
        <w:t>. Board</w:t>
      </w:r>
      <w:r w:rsidRPr="00423854">
        <w:t xml:space="preserve"> staff use the questions to develop TA materials and, when possible, to update its guidelines.</w:t>
      </w:r>
      <w:r w:rsidRPr="00423854">
        <w:rPr>
          <w:vertAlign w:val="superscript"/>
        </w:rPr>
        <w:endnoteReference w:id="291"/>
      </w:r>
    </w:p>
    <w:p w14:paraId="73AA69F4" w14:textId="77777777" w:rsidR="00296DA5" w:rsidRDefault="00633E33" w:rsidP="00EE516A">
      <w:pPr>
        <w:pStyle w:val="NCDBodyText"/>
      </w:pPr>
      <w:r w:rsidRPr="00423854">
        <w:t xml:space="preserve">On request, the </w:t>
      </w:r>
      <w:r w:rsidR="009F222C">
        <w:t xml:space="preserve">Access </w:t>
      </w:r>
      <w:r w:rsidRPr="00423854">
        <w:t xml:space="preserve">Board provides in-person accessibility training </w:t>
      </w:r>
      <w:r w:rsidR="0086336F">
        <w:t xml:space="preserve">nationwide to </w:t>
      </w:r>
      <w:r w:rsidRPr="00423854">
        <w:t>fed</w:t>
      </w:r>
      <w:r w:rsidR="0086336F">
        <w:t>eral and state agencies, professional organizations,</w:t>
      </w:r>
      <w:r w:rsidRPr="00423854">
        <w:t xml:space="preserve"> </w:t>
      </w:r>
      <w:r w:rsidR="0086336F">
        <w:t>disability rights organizations,</w:t>
      </w:r>
      <w:r w:rsidRPr="00423854">
        <w:t xml:space="preserve"> manufacturers</w:t>
      </w:r>
      <w:r w:rsidR="005A15C7">
        <w:t>,</w:t>
      </w:r>
      <w:r w:rsidRPr="00423854">
        <w:t xml:space="preserve"> and others. The </w:t>
      </w:r>
      <w:r w:rsidR="005A15C7">
        <w:t xml:space="preserve">Access </w:t>
      </w:r>
      <w:r w:rsidRPr="00423854">
        <w:t>Board also conducts two webinar series</w:t>
      </w:r>
      <w:r w:rsidR="008A4474">
        <w:t>—</w:t>
      </w:r>
      <w:r w:rsidRPr="00423854">
        <w:t xml:space="preserve">one focused on accessible buildings and facilities (12 per year) and the other on accessible information and communication technology (6 per year). Inquiries received during </w:t>
      </w:r>
      <w:r w:rsidRPr="00423854">
        <w:lastRenderedPageBreak/>
        <w:t>training sessions also inform the</w:t>
      </w:r>
      <w:r w:rsidR="00072EEE" w:rsidRPr="00072EEE">
        <w:t xml:space="preserve"> </w:t>
      </w:r>
      <w:r w:rsidR="00072EEE">
        <w:t>Access</w:t>
      </w:r>
      <w:r w:rsidRPr="00423854">
        <w:t xml:space="preserve"> Board</w:t>
      </w:r>
      <w:r w:rsidR="006474CA">
        <w:t>’</w:t>
      </w:r>
      <w:r w:rsidRPr="00423854">
        <w:t>s TA efforts.</w:t>
      </w:r>
      <w:r w:rsidRPr="00423854">
        <w:rPr>
          <w:vertAlign w:val="superscript"/>
        </w:rPr>
        <w:endnoteReference w:id="292"/>
      </w:r>
      <w:r w:rsidRPr="00423854">
        <w:t xml:space="preserve"> The </w:t>
      </w:r>
      <w:r w:rsidR="005A15C7">
        <w:t xml:space="preserve">Access </w:t>
      </w:r>
      <w:r w:rsidRPr="00423854">
        <w:t>Board provides training and TA on the ABA and has offered four webinars on the ABA and will be offering another in 2018.</w:t>
      </w:r>
      <w:r w:rsidRPr="00423854">
        <w:rPr>
          <w:vertAlign w:val="superscript"/>
        </w:rPr>
        <w:endnoteReference w:id="293"/>
      </w:r>
      <w:r w:rsidRPr="00423854">
        <w:t xml:space="preserve"> The </w:t>
      </w:r>
      <w:r w:rsidR="00072EEE">
        <w:t xml:space="preserve">Access </w:t>
      </w:r>
      <w:r w:rsidRPr="00423854">
        <w:t xml:space="preserve">Board also informs the public about ABA enforcement and sub-regulatory guidance through its website, which logged </w:t>
      </w:r>
      <w:r w:rsidR="004975AC">
        <w:t>more than</w:t>
      </w:r>
      <w:r w:rsidR="004975AC" w:rsidRPr="00423854">
        <w:t xml:space="preserve"> </w:t>
      </w:r>
      <w:r w:rsidR="00CD3F35" w:rsidRPr="00CD3F35">
        <w:t>1.35 million unique visitors</w:t>
      </w:r>
      <w:r w:rsidR="00CD3F35">
        <w:t xml:space="preserve"> in FY 2017</w:t>
      </w:r>
      <w:r w:rsidRPr="00423854">
        <w:t>,</w:t>
      </w:r>
      <w:r w:rsidRPr="00423854">
        <w:rPr>
          <w:vertAlign w:val="superscript"/>
        </w:rPr>
        <w:endnoteReference w:id="294"/>
      </w:r>
      <w:r w:rsidRPr="00423854">
        <w:t xml:space="preserve"> </w:t>
      </w:r>
      <w:r w:rsidR="0086336F">
        <w:t xml:space="preserve">an email newsletter </w:t>
      </w:r>
      <w:r w:rsidRPr="00423854">
        <w:t xml:space="preserve">with almost 30,000 subscribers, </w:t>
      </w:r>
      <w:r w:rsidR="00071569">
        <w:t>T</w:t>
      </w:r>
      <w:r w:rsidR="0086336F">
        <w:t>witter</w:t>
      </w:r>
      <w:r w:rsidRPr="00423854">
        <w:t>,</w:t>
      </w:r>
      <w:r w:rsidR="00CD23E2">
        <w:t xml:space="preserve"> a recently </w:t>
      </w:r>
      <w:r w:rsidR="00A67991">
        <w:t xml:space="preserve">created </w:t>
      </w:r>
      <w:r w:rsidR="00CD23E2">
        <w:t>YouTube channel,</w:t>
      </w:r>
      <w:r w:rsidRPr="00423854">
        <w:t xml:space="preserve"> and public events such as town hall </w:t>
      </w:r>
      <w:r w:rsidR="0086336F">
        <w:t xml:space="preserve">meetings and targeted outreach. </w:t>
      </w:r>
      <w:r w:rsidRPr="00423854">
        <w:t xml:space="preserve">The </w:t>
      </w:r>
      <w:r w:rsidR="00072EEE">
        <w:t xml:space="preserve">Access </w:t>
      </w:r>
      <w:r w:rsidRPr="00423854">
        <w:t>Board assesses the effectiveness o</w:t>
      </w:r>
      <w:bookmarkStart w:id="88" w:name="_Hlk505789138"/>
      <w:r w:rsidRPr="00423854">
        <w:t>f its guidance through analysis of website traffic;</w:t>
      </w:r>
      <w:bookmarkEnd w:id="88"/>
      <w:r w:rsidRPr="00423854">
        <w:t xml:space="preserve"> email </w:t>
      </w:r>
      <w:r w:rsidR="00120A98" w:rsidRPr="00423854">
        <w:t>distribution</w:t>
      </w:r>
      <w:r w:rsidR="00120A98">
        <w:t>-</w:t>
      </w:r>
      <w:r w:rsidRPr="00423854">
        <w:t>sys</w:t>
      </w:r>
      <w:r w:rsidR="00AC35B6">
        <w:t>tem reporting on sent messages</w:t>
      </w:r>
      <w:r w:rsidRPr="00423854">
        <w:t>; and feedback from the public and stakeholders at meetings, training</w:t>
      </w:r>
      <w:r w:rsidR="00120A98">
        <w:t xml:space="preserve"> session</w:t>
      </w:r>
      <w:r w:rsidRPr="00423854">
        <w:t>s, targeted outreach, and other venues.</w:t>
      </w:r>
    </w:p>
    <w:p w14:paraId="20F94188" w14:textId="56220F1B" w:rsidR="00633E33" w:rsidRPr="00423854" w:rsidRDefault="00633E33" w:rsidP="00EE516A">
      <w:pPr>
        <w:pStyle w:val="Heading3"/>
      </w:pPr>
      <w:bookmarkStart w:id="89" w:name="_Toc526182131"/>
      <w:r w:rsidRPr="00423854">
        <w:rPr>
          <w:rFonts w:eastAsiaTheme="minorHAnsi"/>
        </w:rPr>
        <w:t>Adequacy</w:t>
      </w:r>
      <w:r w:rsidRPr="00423854">
        <w:t xml:space="preserve"> </w:t>
      </w:r>
      <w:r>
        <w:t xml:space="preserve">of </w:t>
      </w:r>
      <w:r w:rsidRPr="00423854">
        <w:t>Agency Resources</w:t>
      </w:r>
      <w:bookmarkEnd w:id="89"/>
    </w:p>
    <w:p w14:paraId="1553B568" w14:textId="427B8F14" w:rsidR="00D06DB6" w:rsidRPr="00B270DD" w:rsidRDefault="00633E33" w:rsidP="00EE516A">
      <w:pPr>
        <w:pStyle w:val="NCDBodyText"/>
      </w:pPr>
      <w:r w:rsidRPr="00423854">
        <w:t>The Access Board</w:t>
      </w:r>
      <w:r w:rsidR="006474CA">
        <w:t>’</w:t>
      </w:r>
      <w:r w:rsidRPr="00423854">
        <w:t>s FY</w:t>
      </w:r>
      <w:r w:rsidR="007961F7">
        <w:t xml:space="preserve"> 20</w:t>
      </w:r>
      <w:r w:rsidRPr="00423854">
        <w:t xml:space="preserve">18 budget </w:t>
      </w:r>
      <w:r w:rsidR="007961F7">
        <w:t xml:space="preserve">is approximately </w:t>
      </w:r>
      <w:r w:rsidR="00063CCD">
        <w:t>$8 million and</w:t>
      </w:r>
      <w:r w:rsidR="007961F7">
        <w:t xml:space="preserve"> </w:t>
      </w:r>
      <w:r w:rsidRPr="00423854">
        <w:t xml:space="preserve">has grown by about $100,000 per budget year. </w:t>
      </w:r>
      <w:r w:rsidR="009E4200">
        <w:t xml:space="preserve">Access </w:t>
      </w:r>
      <w:r w:rsidR="007961F7">
        <w:t>Board p</w:t>
      </w:r>
      <w:r w:rsidRPr="00423854">
        <w:t>ersonnel expenses are approximately $</w:t>
      </w:r>
      <w:r w:rsidR="007961F7">
        <w:t>5.15 million</w:t>
      </w:r>
      <w:r w:rsidR="009E4200">
        <w:t>,</w:t>
      </w:r>
      <w:r w:rsidR="007961F7">
        <w:t xml:space="preserve"> </w:t>
      </w:r>
      <w:r w:rsidRPr="00423854">
        <w:t>or 62 percent of its budget</w:t>
      </w:r>
      <w:r w:rsidR="007961F7">
        <w:t>, and h</w:t>
      </w:r>
      <w:r w:rsidRPr="00423854">
        <w:t xml:space="preserve">istorically, the Board has requested a research budget of approximately $400,000. </w:t>
      </w:r>
      <w:r w:rsidR="007961F7">
        <w:t>In</w:t>
      </w:r>
      <w:r w:rsidR="007961F7" w:rsidRPr="00423854">
        <w:t xml:space="preserve"> FY</w:t>
      </w:r>
      <w:r w:rsidR="007961F7">
        <w:t xml:space="preserve"> 20</w:t>
      </w:r>
      <w:r w:rsidR="007961F7" w:rsidRPr="00423854">
        <w:t>18</w:t>
      </w:r>
      <w:r w:rsidR="009E4200">
        <w:t>,</w:t>
      </w:r>
      <w:r w:rsidR="007961F7" w:rsidRPr="00423854">
        <w:t xml:space="preserve"> only $100,0</w:t>
      </w:r>
      <w:r w:rsidR="007961F7">
        <w:t>00, or approximately 1 percent</w:t>
      </w:r>
      <w:r w:rsidR="00B270DD">
        <w:t xml:space="preserve"> of the budget,</w:t>
      </w:r>
      <w:r w:rsidR="007961F7">
        <w:t xml:space="preserve"> </w:t>
      </w:r>
      <w:r w:rsidR="007961F7" w:rsidRPr="00423854">
        <w:t>i</w:t>
      </w:r>
      <w:r w:rsidR="007961F7">
        <w:t>s allocated to research despite the fact that t</w:t>
      </w:r>
      <w:r w:rsidRPr="00423854">
        <w:t xml:space="preserve">he </w:t>
      </w:r>
      <w:r w:rsidR="00CD0DFF">
        <w:t xml:space="preserve">Access </w:t>
      </w:r>
      <w:r w:rsidRPr="00423854">
        <w:t>Board</w:t>
      </w:r>
      <w:r w:rsidR="006474CA">
        <w:t>’</w:t>
      </w:r>
      <w:r w:rsidRPr="00423854">
        <w:t xml:space="preserve">s research relates to </w:t>
      </w:r>
      <w:r w:rsidR="007961F7">
        <w:t>rulemaking. M</w:t>
      </w:r>
      <w:r w:rsidRPr="00423854">
        <w:t>andatory ex</w:t>
      </w:r>
      <w:r w:rsidR="007961F7">
        <w:t>penses, such as personnel and required information technology</w:t>
      </w:r>
      <w:r w:rsidR="00A3031C">
        <w:t>,</w:t>
      </w:r>
      <w:r w:rsidR="007961F7">
        <w:t xml:space="preserve"> account for the low research allocation and negative impact funds available for critical programs.</w:t>
      </w:r>
      <w:r w:rsidRPr="00423854">
        <w:rPr>
          <w:vertAlign w:val="superscript"/>
        </w:rPr>
        <w:endnoteReference w:id="295"/>
      </w:r>
      <w:r w:rsidRPr="00423854">
        <w:t xml:space="preserve"> </w:t>
      </w:r>
      <w:r w:rsidR="007961F7">
        <w:t xml:space="preserve">In particular, required information technology </w:t>
      </w:r>
      <w:r w:rsidRPr="00423854">
        <w:t xml:space="preserve">expenses have grown tremendously, rising from $695,700 </w:t>
      </w:r>
      <w:r w:rsidR="00D70CEB">
        <w:br/>
      </w:r>
      <w:r w:rsidRPr="00423854">
        <w:t>(8.6 percent of budget) in FY</w:t>
      </w:r>
      <w:r w:rsidR="007961F7">
        <w:t xml:space="preserve"> 20</w:t>
      </w:r>
      <w:r w:rsidRPr="00423854">
        <w:t>17 to $1.15 million (14 percent) in FY</w:t>
      </w:r>
      <w:r w:rsidR="007961F7">
        <w:t xml:space="preserve"> 2018</w:t>
      </w:r>
      <w:r w:rsidRPr="00423854">
        <w:t>.</w:t>
      </w:r>
      <w:r w:rsidRPr="00423854">
        <w:rPr>
          <w:vertAlign w:val="superscript"/>
        </w:rPr>
        <w:endnoteReference w:id="296"/>
      </w:r>
      <w:r w:rsidRPr="00423854">
        <w:t xml:space="preserve"> </w:t>
      </w:r>
      <w:r w:rsidR="00CF1375" w:rsidRPr="00CF1375">
        <w:rPr>
          <w:rFonts w:eastAsiaTheme="minorHAnsi"/>
          <w:b/>
        </w:rPr>
        <w:t>NCD recommends that Congress and the Pr</w:t>
      </w:r>
      <w:r w:rsidR="007516FC">
        <w:rPr>
          <w:rFonts w:eastAsiaTheme="minorHAnsi"/>
          <w:b/>
        </w:rPr>
        <w:t>esident approve</w:t>
      </w:r>
      <w:r w:rsidR="00CF1375" w:rsidRPr="00CF1375">
        <w:rPr>
          <w:rFonts w:eastAsiaTheme="minorHAnsi"/>
          <w:b/>
        </w:rPr>
        <w:t xml:space="preserve"> an increase to the Access Board</w:t>
      </w:r>
      <w:r w:rsidR="006474CA">
        <w:rPr>
          <w:rFonts w:eastAsiaTheme="minorHAnsi"/>
          <w:b/>
        </w:rPr>
        <w:t>’</w:t>
      </w:r>
      <w:r w:rsidR="00CF1375" w:rsidRPr="00CF1375">
        <w:rPr>
          <w:rFonts w:eastAsiaTheme="minorHAnsi"/>
          <w:b/>
        </w:rPr>
        <w:t xml:space="preserve">s budget, particularly its budget for contracts, to address its added responsibilities, to support a robust and timely research program to support its rulemaking, and to allow staff to travel to inspect facilities beyond the metropolitan </w:t>
      </w:r>
      <w:r w:rsidR="00A3031C">
        <w:rPr>
          <w:rFonts w:eastAsiaTheme="minorHAnsi"/>
          <w:b/>
        </w:rPr>
        <w:t xml:space="preserve">Washington, </w:t>
      </w:r>
      <w:r w:rsidR="00CF1375" w:rsidRPr="00CF1375">
        <w:rPr>
          <w:rFonts w:eastAsiaTheme="minorHAnsi"/>
          <w:b/>
        </w:rPr>
        <w:t>DC</w:t>
      </w:r>
      <w:r w:rsidR="00A3031C">
        <w:rPr>
          <w:rFonts w:eastAsiaTheme="minorHAnsi"/>
          <w:b/>
        </w:rPr>
        <w:t>,</w:t>
      </w:r>
      <w:r w:rsidR="00CF1375" w:rsidRPr="00CF1375">
        <w:rPr>
          <w:rFonts w:eastAsiaTheme="minorHAnsi"/>
          <w:b/>
        </w:rPr>
        <w:t xml:space="preserve"> area when those facilities are the subjects of </w:t>
      </w:r>
      <w:r w:rsidR="00AC35B6" w:rsidRPr="00CF1375">
        <w:rPr>
          <w:rFonts w:eastAsiaTheme="minorHAnsi"/>
          <w:b/>
        </w:rPr>
        <w:t xml:space="preserve">ABA </w:t>
      </w:r>
      <w:r w:rsidR="00CF1375" w:rsidRPr="00CF1375">
        <w:rPr>
          <w:rFonts w:eastAsiaTheme="minorHAnsi"/>
          <w:b/>
        </w:rPr>
        <w:t>investigations.</w:t>
      </w:r>
      <w:bookmarkStart w:id="90" w:name="CH5"/>
      <w:bookmarkEnd w:id="90"/>
    </w:p>
    <w:p w14:paraId="40F80D5D" w14:textId="77777777" w:rsidR="00EE516A" w:rsidRDefault="00EE516A">
      <w:pPr>
        <w:spacing w:after="200"/>
        <w:rPr>
          <w:rFonts w:ascii="Arial" w:eastAsiaTheme="minorHAnsi" w:hAnsi="Arial" w:cs="Arial"/>
          <w:b/>
          <w:sz w:val="36"/>
          <w:szCs w:val="32"/>
        </w:rPr>
      </w:pPr>
      <w:bookmarkStart w:id="91" w:name="_Toc520979983"/>
      <w:r>
        <w:br w:type="page"/>
      </w:r>
    </w:p>
    <w:p w14:paraId="7410FE8B" w14:textId="23DF1A13" w:rsidR="00BA1C0D" w:rsidRDefault="00353DC7" w:rsidP="00EE516A">
      <w:pPr>
        <w:pStyle w:val="Heading1"/>
      </w:pPr>
      <w:bookmarkStart w:id="92" w:name="_Toc526182132"/>
      <w:r w:rsidRPr="00573C0E">
        <w:lastRenderedPageBreak/>
        <w:t>Conclusion</w:t>
      </w:r>
      <w:r w:rsidR="00DC041E" w:rsidRPr="00573C0E">
        <w:t>: Has the Promise Been Kept?</w:t>
      </w:r>
      <w:bookmarkEnd w:id="91"/>
      <w:bookmarkEnd w:id="92"/>
    </w:p>
    <w:p w14:paraId="793D1838" w14:textId="550743CA" w:rsidR="00296DA5" w:rsidRDefault="00333903" w:rsidP="00EE516A">
      <w:pPr>
        <w:pStyle w:val="NCDBodyText"/>
      </w:pPr>
      <w:r>
        <w:t>This</w:t>
      </w:r>
      <w:r w:rsidR="008B3437">
        <w:t xml:space="preserve"> report </w:t>
      </w:r>
      <w:r w:rsidR="00CD23E2">
        <w:t xml:space="preserve">asked the question, </w:t>
      </w:r>
      <w:r w:rsidR="00D12225">
        <w:t xml:space="preserve">Has </w:t>
      </w:r>
      <w:r w:rsidR="00CD23E2">
        <w:t>the</w:t>
      </w:r>
      <w:r w:rsidR="00637803" w:rsidRPr="008B3437">
        <w:t xml:space="preserve"> </w:t>
      </w:r>
      <w:r w:rsidR="007F290D">
        <w:t xml:space="preserve">promise </w:t>
      </w:r>
      <w:r w:rsidR="00CD23E2">
        <w:t xml:space="preserve">of federal disability rights laws </w:t>
      </w:r>
      <w:r w:rsidR="007F290D">
        <w:t>been k</w:t>
      </w:r>
      <w:r w:rsidR="00637803" w:rsidRPr="008B3437">
        <w:t>ept</w:t>
      </w:r>
      <w:r w:rsidR="00631E24" w:rsidRPr="00631E24">
        <w:rPr>
          <w:i/>
        </w:rPr>
        <w:t>?</w:t>
      </w:r>
      <w:r w:rsidR="0018438E">
        <w:t xml:space="preserve"> As with </w:t>
      </w:r>
      <w:r w:rsidR="00637803">
        <w:t>other</w:t>
      </w:r>
      <w:r w:rsidR="0018438E">
        <w:t xml:space="preserve"> </w:t>
      </w:r>
      <w:r w:rsidR="00637803">
        <w:t xml:space="preserve">civil rights laws, </w:t>
      </w:r>
      <w:r w:rsidR="0018438E">
        <w:t xml:space="preserve">the attempt to </w:t>
      </w:r>
      <w:r w:rsidR="00637803">
        <w:t xml:space="preserve">achieve </w:t>
      </w:r>
      <w:r w:rsidR="002F10E3">
        <w:t>the</w:t>
      </w:r>
      <w:r w:rsidR="00EB4C37">
        <w:t xml:space="preserve"> promise</w:t>
      </w:r>
      <w:r w:rsidR="00CD23E2">
        <w:t xml:space="preserve"> </w:t>
      </w:r>
      <w:r w:rsidR="00637803">
        <w:t xml:space="preserve">is a difficult and </w:t>
      </w:r>
      <w:r w:rsidR="00CF35BC">
        <w:t>ongo</w:t>
      </w:r>
      <w:r w:rsidR="00637803">
        <w:t>ing process. New and sometimes unforeseen social, technological, physical</w:t>
      </w:r>
      <w:r w:rsidR="0018438E">
        <w:t>,</w:t>
      </w:r>
      <w:r w:rsidR="00637803">
        <w:t xml:space="preserve"> and legal barriers arise </w:t>
      </w:r>
      <w:r w:rsidR="00CD23E2">
        <w:t xml:space="preserve">that must </w:t>
      </w:r>
      <w:r w:rsidR="00637803">
        <w:t>be address</w:t>
      </w:r>
      <w:r w:rsidR="0021255D">
        <w:t>ed</w:t>
      </w:r>
      <w:r w:rsidR="00637803">
        <w:t xml:space="preserve"> through education, policy changes, legislation, administrative enforcement, and litigation.</w:t>
      </w:r>
    </w:p>
    <w:p w14:paraId="4F61272C" w14:textId="5A7CCC51" w:rsidR="00296DA5" w:rsidRDefault="00EB4C37" w:rsidP="00EE516A">
      <w:pPr>
        <w:pStyle w:val="NCDBodyText"/>
      </w:pPr>
      <w:r>
        <w:t>S</w:t>
      </w:r>
      <w:r w:rsidR="0018438E">
        <w:t xml:space="preserve">ince </w:t>
      </w:r>
      <w:r w:rsidR="00631E24" w:rsidRPr="00631E24">
        <w:rPr>
          <w:i/>
        </w:rPr>
        <w:t xml:space="preserve">Promises to Keep </w:t>
      </w:r>
      <w:r>
        <w:t>was released in 2000, progress in disability rights compliance has occurred for people with disabilities,</w:t>
      </w:r>
      <w:r w:rsidR="002B6E53">
        <w:t xml:space="preserve"> </w:t>
      </w:r>
      <w:r w:rsidR="00930FAF">
        <w:t xml:space="preserve">but </w:t>
      </w:r>
      <w:r w:rsidR="002F10E3">
        <w:t xml:space="preserve">the </w:t>
      </w:r>
      <w:r w:rsidR="00930FAF">
        <w:t>overall results are mixed.</w:t>
      </w:r>
    </w:p>
    <w:p w14:paraId="7A123C73" w14:textId="6D8BA4B1" w:rsidR="00296DA5" w:rsidRDefault="000113A7" w:rsidP="00EE516A">
      <w:pPr>
        <w:pStyle w:val="NCDBodyText"/>
        <w:rPr>
          <w:b/>
        </w:rPr>
      </w:pPr>
      <w:proofErr w:type="gramStart"/>
      <w:r>
        <w:t>Similar to</w:t>
      </w:r>
      <w:proofErr w:type="gramEnd"/>
      <w:r>
        <w:t xml:space="preserve"> the findings in </w:t>
      </w:r>
      <w:r w:rsidR="00631E24" w:rsidRPr="00631E24">
        <w:rPr>
          <w:i/>
        </w:rPr>
        <w:t>Promises to Keep</w:t>
      </w:r>
      <w:r>
        <w:t xml:space="preserve">, </w:t>
      </w:r>
      <w:r w:rsidR="006474CA">
        <w:t>“</w:t>
      </w:r>
      <w:r>
        <w:t>underfunding</w:t>
      </w:r>
      <w:r w:rsidR="006474CA">
        <w:t>”</w:t>
      </w:r>
      <w:r>
        <w:t xml:space="preserve"> and</w:t>
      </w:r>
      <w:r w:rsidR="00D53F48">
        <w:t>,</w:t>
      </w:r>
      <w:r>
        <w:t xml:space="preserve"> more critically, understaffing </w:t>
      </w:r>
      <w:r w:rsidR="00D53F48">
        <w:t xml:space="preserve">are </w:t>
      </w:r>
      <w:r>
        <w:t>significant concern</w:t>
      </w:r>
      <w:r w:rsidR="00D53F48">
        <w:t>s</w:t>
      </w:r>
      <w:r>
        <w:t xml:space="preserve"> to the rigorous enforcement of federal disability civil rights laws.</w:t>
      </w:r>
      <w:r>
        <w:rPr>
          <w:rStyle w:val="EndnoteReference"/>
          <w:rFonts w:cs="Arial"/>
        </w:rPr>
        <w:endnoteReference w:id="297"/>
      </w:r>
      <w:r>
        <w:t xml:space="preserve"> In many years</w:t>
      </w:r>
      <w:r w:rsidR="00F263D7">
        <w:t>,</w:t>
      </w:r>
      <w:r>
        <w:t xml:space="preserve"> the EEOC failed to achieve targeted employment levels, which the agency suggested was the result of a number of external factors. The OFCCP is in the midst of a staffing decline as it seeks to rebalance its compliance reviews in response to recommendations from the GAO. While the agencies themselves have certain control over staffing and the internal allocation of resources, and need to make direct enforcement activities a priority, Congress and the President have an important role </w:t>
      </w:r>
      <w:r w:rsidR="00F263D7">
        <w:t xml:space="preserve">in </w:t>
      </w:r>
      <w:r>
        <w:t>assist</w:t>
      </w:r>
      <w:r w:rsidR="00F263D7">
        <w:t>ing</w:t>
      </w:r>
      <w:r>
        <w:t xml:space="preserve"> the agencies with this process. Elimination of barriers to hiring and ensuring adequate funding for staffing and personnel requirements are central to maintain</w:t>
      </w:r>
      <w:r w:rsidR="00CC4BFE">
        <w:t>ing</w:t>
      </w:r>
      <w:r>
        <w:t xml:space="preserve"> and </w:t>
      </w:r>
      <w:r w:rsidR="00CC4BFE">
        <w:t xml:space="preserve">improving </w:t>
      </w:r>
      <w:r>
        <w:t xml:space="preserve">disability rights enforcement. </w:t>
      </w:r>
      <w:r w:rsidRPr="001C3B34">
        <w:rPr>
          <w:b/>
        </w:rPr>
        <w:t>NCD recommends that Congress and the President</w:t>
      </w:r>
      <w:r>
        <w:rPr>
          <w:b/>
        </w:rPr>
        <w:t xml:space="preserve"> provide sufficient resources, and remove personnel barriers, which hamper the disab</w:t>
      </w:r>
      <w:r w:rsidR="00EB4C37">
        <w:rPr>
          <w:b/>
        </w:rPr>
        <w:t>ility civil rights enforcement activities</w:t>
      </w:r>
      <w:r>
        <w:rPr>
          <w:b/>
        </w:rPr>
        <w:t xml:space="preserve"> of the federal agencies.</w:t>
      </w:r>
    </w:p>
    <w:p w14:paraId="0519D386" w14:textId="2D29EA30" w:rsidR="00296DA5" w:rsidRDefault="00CD23E2" w:rsidP="00EE516A">
      <w:pPr>
        <w:pStyle w:val="NCDBodyText"/>
      </w:pPr>
      <w:r>
        <w:t>This report has pointed to the positive impact of the ADA</w:t>
      </w:r>
      <w:r w:rsidR="002F10E3">
        <w:t>AA</w:t>
      </w:r>
      <w:r>
        <w:t xml:space="preserve"> upon the enforcement efforts of the EEOC</w:t>
      </w:r>
      <w:r w:rsidR="00930FAF">
        <w:t>. The EEOC took advantage of the ADAAA to significantly increase ADA</w:t>
      </w:r>
      <w:r w:rsidR="00EB4C37">
        <w:t xml:space="preserve"> enforcement</w:t>
      </w:r>
      <w:r w:rsidR="00930FAF">
        <w:t xml:space="preserve"> litigation in </w:t>
      </w:r>
      <w:r w:rsidR="002F10E3">
        <w:t xml:space="preserve">the </w:t>
      </w:r>
      <w:r w:rsidR="00930FAF">
        <w:t>federal courts, and to strength</w:t>
      </w:r>
      <w:r w:rsidR="001C3B34">
        <w:t>en</w:t>
      </w:r>
      <w:r w:rsidR="00930FAF">
        <w:t xml:space="preserve"> the ADA Title I regulations. The now judicially overturned voluntary wellness program rule, however, is an important exception </w:t>
      </w:r>
      <w:r w:rsidR="001C3B34">
        <w:t>to th</w:t>
      </w:r>
      <w:r w:rsidR="002F10E3">
        <w:t>e</w:t>
      </w:r>
      <w:r w:rsidR="001C3B34">
        <w:t xml:space="preserve"> improved</w:t>
      </w:r>
      <w:r w:rsidR="009030A3">
        <w:t xml:space="preserve"> EEOC</w:t>
      </w:r>
      <w:r w:rsidR="001C3B34">
        <w:t xml:space="preserve"> leadership. The EEOC</w:t>
      </w:r>
      <w:r w:rsidR="006474CA">
        <w:t>’</w:t>
      </w:r>
      <w:r w:rsidR="001C3B34">
        <w:t>s re-interpretation of the ADA confidentiality provisions to the detriment</w:t>
      </w:r>
      <w:r w:rsidR="002F10E3">
        <w:t xml:space="preserve"> of people with disabilities</w:t>
      </w:r>
      <w:r w:rsidR="001C3B34">
        <w:t xml:space="preserve"> harkens back to NCD</w:t>
      </w:r>
      <w:r w:rsidR="006474CA">
        <w:t>’</w:t>
      </w:r>
      <w:r w:rsidR="001C3B34">
        <w:t xml:space="preserve">s finding in </w:t>
      </w:r>
      <w:r w:rsidR="00631E24" w:rsidRPr="00631E24">
        <w:rPr>
          <w:i/>
        </w:rPr>
        <w:t xml:space="preserve">Promises to Keep </w:t>
      </w:r>
      <w:r w:rsidR="00930FAF">
        <w:t>t</w:t>
      </w:r>
      <w:r w:rsidR="00C20556">
        <w:t>hat t</w:t>
      </w:r>
      <w:r w:rsidR="00930FAF">
        <w:t xml:space="preserve">he EEOC fails to always interpret the </w:t>
      </w:r>
      <w:r w:rsidR="00930FAF">
        <w:lastRenderedPageBreak/>
        <w:t>ADA to the maximum extent possible to ensure inclusion of people with disabilities.</w:t>
      </w:r>
      <w:r w:rsidR="00965237">
        <w:rPr>
          <w:rStyle w:val="EndnoteReference"/>
          <w:rFonts w:cs="Arial"/>
        </w:rPr>
        <w:endnoteReference w:id="298"/>
      </w:r>
      <w:r w:rsidR="00930FAF">
        <w:t xml:space="preserve"> </w:t>
      </w:r>
      <w:r w:rsidR="00965237">
        <w:t>Further protections</w:t>
      </w:r>
      <w:r w:rsidR="00A2029F">
        <w:t xml:space="preserve"> are </w:t>
      </w:r>
      <w:r w:rsidR="009030A3">
        <w:t xml:space="preserve">also </w:t>
      </w:r>
      <w:r w:rsidR="001C737E">
        <w:t>necessary</w:t>
      </w:r>
      <w:r w:rsidR="00965237">
        <w:t xml:space="preserve"> </w:t>
      </w:r>
      <w:r w:rsidR="00A2029F">
        <w:t>to ensure that</w:t>
      </w:r>
      <w:r w:rsidR="00965237">
        <w:t xml:space="preserve"> the </w:t>
      </w:r>
      <w:r w:rsidR="002F10E3">
        <w:t>EEOC</w:t>
      </w:r>
      <w:r w:rsidR="006474CA">
        <w:t>’</w:t>
      </w:r>
      <w:r w:rsidR="00C20556">
        <w:t>s</w:t>
      </w:r>
      <w:r w:rsidR="002F10E3">
        <w:t xml:space="preserve"> </w:t>
      </w:r>
      <w:r w:rsidR="00965237">
        <w:t>charge filing and investigative procedures</w:t>
      </w:r>
      <w:r w:rsidR="00A2029F">
        <w:t xml:space="preserve"> account for disability issues</w:t>
      </w:r>
      <w:r w:rsidR="00965237">
        <w:t xml:space="preserve">, as well as </w:t>
      </w:r>
      <w:r w:rsidR="00A2029F">
        <w:t xml:space="preserve">to improve </w:t>
      </w:r>
      <w:r w:rsidR="00965237">
        <w:t>communications</w:t>
      </w:r>
      <w:r w:rsidR="009030A3">
        <w:t xml:space="preserve"> with people of all types of disabilities</w:t>
      </w:r>
      <w:r w:rsidR="00965237">
        <w:t>.</w:t>
      </w:r>
    </w:p>
    <w:p w14:paraId="5123D570" w14:textId="77777777" w:rsidR="00296DA5" w:rsidRDefault="00CB6469" w:rsidP="00EE516A">
      <w:pPr>
        <w:pStyle w:val="NCDBodyText"/>
      </w:pPr>
      <w:r>
        <w:t>As for the Department of La</w:t>
      </w:r>
      <w:r w:rsidR="0037211F">
        <w:t>bor,</w:t>
      </w:r>
      <w:r>
        <w:t xml:space="preserve"> </w:t>
      </w:r>
      <w:r w:rsidR="00E437C6">
        <w:t>ODEP</w:t>
      </w:r>
      <w:r>
        <w:t xml:space="preserve"> supports numerous programs to encourage and support the recruitment, hiring, advancement</w:t>
      </w:r>
      <w:r w:rsidR="00ED68CA">
        <w:t>,</w:t>
      </w:r>
      <w:r>
        <w:t xml:space="preserve"> and retenti</w:t>
      </w:r>
      <w:r w:rsidR="0037211F">
        <w:t>on of workers with disabilities</w:t>
      </w:r>
      <w:r>
        <w:t>. ODEP, however, has little authority to insist on cooperation from other federal agencies and has difficulty in measuring the outcome of its efforts.</w:t>
      </w:r>
      <w:r w:rsidR="0018438E">
        <w:t xml:space="preserve"> </w:t>
      </w:r>
      <w:r w:rsidR="00E437C6">
        <w:t>OFCCP</w:t>
      </w:r>
      <w:r w:rsidR="00637803">
        <w:t xml:space="preserve"> </w:t>
      </w:r>
      <w:r>
        <w:t>update</w:t>
      </w:r>
      <w:r w:rsidR="0018438E">
        <w:t>d</w:t>
      </w:r>
      <w:r>
        <w:t xml:space="preserve"> </w:t>
      </w:r>
      <w:r w:rsidR="0037211F">
        <w:t>the Section 503 regulations</w:t>
      </w:r>
      <w:r w:rsidR="00965237">
        <w:t xml:space="preserve"> to</w:t>
      </w:r>
      <w:r w:rsidR="00A2029F">
        <w:t>,</w:t>
      </w:r>
      <w:r w:rsidR="00965237">
        <w:t xml:space="preserve"> </w:t>
      </w:r>
      <w:r w:rsidR="002F10E3">
        <w:t>for the first time</w:t>
      </w:r>
      <w:r w:rsidR="00A2029F">
        <w:t>,</w:t>
      </w:r>
      <w:r w:rsidR="002F10E3">
        <w:t xml:space="preserve"> </w:t>
      </w:r>
      <w:r w:rsidR="00965237">
        <w:t xml:space="preserve">set </w:t>
      </w:r>
      <w:r w:rsidR="0018438E">
        <w:t xml:space="preserve">aspirational goals for hiring </w:t>
      </w:r>
      <w:r w:rsidR="00EB4C37">
        <w:t>people</w:t>
      </w:r>
      <w:r w:rsidR="0018438E">
        <w:t xml:space="preserve"> with disa</w:t>
      </w:r>
      <w:r w:rsidR="00965237">
        <w:t xml:space="preserve">bilities by federal contractors </w:t>
      </w:r>
      <w:r w:rsidR="0018438E">
        <w:t xml:space="preserve">and </w:t>
      </w:r>
      <w:r w:rsidR="002F10E3">
        <w:t xml:space="preserve">to </w:t>
      </w:r>
      <w:r w:rsidR="00AD4FEC">
        <w:t>improve the collection of</w:t>
      </w:r>
      <w:r w:rsidR="0037211F">
        <w:t xml:space="preserve"> data on the effectiveness of </w:t>
      </w:r>
      <w:r w:rsidR="004157F6">
        <w:t>affirmative action e</w:t>
      </w:r>
      <w:r w:rsidR="0018438E">
        <w:t>ffort</w:t>
      </w:r>
      <w:r w:rsidR="00031901">
        <w:t>s</w:t>
      </w:r>
      <w:r w:rsidR="00AD4FEC">
        <w:t xml:space="preserve">. </w:t>
      </w:r>
      <w:r w:rsidR="0018438E">
        <w:t>OFCCP</w:t>
      </w:r>
      <w:r w:rsidR="004157F6">
        <w:t>, however,</w:t>
      </w:r>
      <w:r w:rsidR="0037211F">
        <w:t xml:space="preserve"> </w:t>
      </w:r>
      <w:r w:rsidR="00965237">
        <w:t>failed to adopt</w:t>
      </w:r>
      <w:r w:rsidR="00637803">
        <w:t xml:space="preserve"> a numbe</w:t>
      </w:r>
      <w:r w:rsidR="004157F6">
        <w:t xml:space="preserve">r of </w:t>
      </w:r>
      <w:r w:rsidR="00965237">
        <w:t xml:space="preserve">regulatory provisions </w:t>
      </w:r>
      <w:r w:rsidR="004157F6">
        <w:t xml:space="preserve">that would have advanced the impact of affirmative action and </w:t>
      </w:r>
      <w:r w:rsidR="006C7616">
        <w:t>anti</w:t>
      </w:r>
      <w:r w:rsidR="004157F6">
        <w:t xml:space="preserve">discrimination policies </w:t>
      </w:r>
      <w:r w:rsidR="002F10E3">
        <w:t xml:space="preserve">for people with disabilities </w:t>
      </w:r>
      <w:r w:rsidR="00965237">
        <w:t xml:space="preserve">after </w:t>
      </w:r>
      <w:r w:rsidR="00637803">
        <w:t xml:space="preserve">concerns </w:t>
      </w:r>
      <w:r w:rsidR="00965237">
        <w:t>were raised by contractor</w:t>
      </w:r>
      <w:r w:rsidR="00C20556">
        <w:t>s</w:t>
      </w:r>
      <w:r w:rsidR="00965237">
        <w:t xml:space="preserve"> </w:t>
      </w:r>
      <w:r w:rsidR="009B1A28">
        <w:t>over potential burdens.</w:t>
      </w:r>
      <w:r w:rsidR="000113A7">
        <w:t xml:space="preserve"> </w:t>
      </w:r>
      <w:r w:rsidR="00930FAF">
        <w:t>WHD</w:t>
      </w:r>
      <w:r>
        <w:t xml:space="preserve"> has slowly, but gradually, </w:t>
      </w:r>
      <w:r w:rsidR="00043A14">
        <w:t>engaged in</w:t>
      </w:r>
      <w:r>
        <w:t xml:space="preserve"> more aggressive enforcement activities, revoking at least four 14(c) certificates in the past several years, after having never revoked a certificate as part of an enforcement action in the hi</w:t>
      </w:r>
      <w:r w:rsidR="000113A7">
        <w:t>story of the program.</w:t>
      </w:r>
      <w:r w:rsidR="00965237">
        <w:t xml:space="preserve"> In 2011, WHD </w:t>
      </w:r>
      <w:r>
        <w:t>used targe</w:t>
      </w:r>
      <w:r w:rsidR="004157F6">
        <w:t>ted enforcement to improve and better assess Se</w:t>
      </w:r>
      <w:r w:rsidR="00965237">
        <w:t>c</w:t>
      </w:r>
      <w:r w:rsidR="008977B0">
        <w:t xml:space="preserve">tion 14(c) enforcement efforts, but WHD </w:t>
      </w:r>
      <w:r w:rsidR="002E5C57">
        <w:t xml:space="preserve">still </w:t>
      </w:r>
      <w:r w:rsidR="008977B0">
        <w:t xml:space="preserve">maintains a very outdated application and </w:t>
      </w:r>
      <w:r w:rsidR="00ED68CA">
        <w:t>data-</w:t>
      </w:r>
      <w:r w:rsidR="008977B0">
        <w:t>tracking system for the 14(c) program.</w:t>
      </w:r>
    </w:p>
    <w:p w14:paraId="701A7ACA" w14:textId="77777777" w:rsidR="00296DA5" w:rsidRDefault="004D1CB5" w:rsidP="00EE516A">
      <w:pPr>
        <w:pStyle w:val="NCDBodyText"/>
      </w:pPr>
      <w:r w:rsidRPr="004D1CB5">
        <w:t xml:space="preserve">The federal enforcement agencies still rely </w:t>
      </w:r>
      <w:r w:rsidR="001057D8" w:rsidRPr="004D1CB5">
        <w:t xml:space="preserve">largely </w:t>
      </w:r>
      <w:r w:rsidRPr="004D1CB5">
        <w:t xml:space="preserve">on </w:t>
      </w:r>
      <w:r w:rsidR="001057D8" w:rsidRPr="004D1CB5">
        <w:t>complaint</w:t>
      </w:r>
      <w:r w:rsidR="001057D8">
        <w:t>-</w:t>
      </w:r>
      <w:r w:rsidRPr="004D1CB5">
        <w:t>driven enforcement rather than a comprehensive strategy in the selection of compliance reviews. This is especially the case for OFCCP, WHD, and the Access Board, which have the ability to initiate reviews without the need for a complaint. The Access Board has a long history of solid regulatory and research work</w:t>
      </w:r>
      <w:r w:rsidR="00BE1603">
        <w:t>,</w:t>
      </w:r>
      <w:r w:rsidRPr="004D1CB5">
        <w:t xml:space="preserve"> including the identification of emerging </w:t>
      </w:r>
      <w:r w:rsidR="00063CCD" w:rsidRPr="004D1CB5">
        <w:t>issues</w:t>
      </w:r>
      <w:r w:rsidR="00BE1603">
        <w:t>,</w:t>
      </w:r>
      <w:r w:rsidR="00063CCD" w:rsidRPr="004D1CB5">
        <w:t xml:space="preserve"> but</w:t>
      </w:r>
      <w:r w:rsidRPr="004D1CB5">
        <w:t xml:space="preserve"> does not undertake </w:t>
      </w:r>
      <w:r w:rsidR="00BE1603" w:rsidRPr="004D1CB5">
        <w:t>Board</w:t>
      </w:r>
      <w:r w:rsidR="00BE1603">
        <w:t>-</w:t>
      </w:r>
      <w:r w:rsidRPr="004D1CB5">
        <w:t>initiated investigations that could broaden the impact of its work. With the exception of the EEOC Office of Legal Counsel, none of the agencies consider</w:t>
      </w:r>
      <w:r w:rsidR="00BE1603">
        <w:t>s</w:t>
      </w:r>
      <w:r w:rsidRPr="004D1CB5">
        <w:t xml:space="preserve"> enforcement staff specially trained in disability issues </w:t>
      </w:r>
      <w:r w:rsidR="00A2029F">
        <w:t>a</w:t>
      </w:r>
      <w:r w:rsidRPr="004D1CB5">
        <w:t>s a proper use of resources.</w:t>
      </w:r>
      <w:r w:rsidR="008977B0">
        <w:t xml:space="preserve"> NCD b</w:t>
      </w:r>
      <w:r w:rsidR="009030A3">
        <w:t>elieves this should be addressed.</w:t>
      </w:r>
    </w:p>
    <w:p w14:paraId="7A856339" w14:textId="74B7CB0E" w:rsidR="00296DA5" w:rsidRDefault="00637803" w:rsidP="00EE516A">
      <w:pPr>
        <w:pStyle w:val="NCDBodyText"/>
      </w:pPr>
      <w:r>
        <w:t xml:space="preserve">In </w:t>
      </w:r>
      <w:r w:rsidR="00631E24" w:rsidRPr="00631E24">
        <w:rPr>
          <w:i/>
        </w:rPr>
        <w:t>Promises to Keep</w:t>
      </w:r>
      <w:r>
        <w:t>, NCD found that</w:t>
      </w:r>
      <w:r w:rsidR="00043A14">
        <w:t xml:space="preserve"> </w:t>
      </w:r>
      <w:r w:rsidR="006474CA">
        <w:t>“</w:t>
      </w:r>
      <w:r w:rsidR="00043A14">
        <w:t>[t]</w:t>
      </w:r>
      <w:r>
        <w:t xml:space="preserve">he record so far shows variation in the degree to which the federal agencies have shown leadership, engaged in policy development, </w:t>
      </w:r>
      <w:r>
        <w:lastRenderedPageBreak/>
        <w:t xml:space="preserve">and sought to clarify </w:t>
      </w:r>
      <w:r w:rsidR="006474CA">
        <w:t>‘</w:t>
      </w:r>
      <w:r>
        <w:t>frontier issues.</w:t>
      </w:r>
      <w:r w:rsidR="006474CA">
        <w:t>’</w:t>
      </w:r>
      <w:r>
        <w:t xml:space="preserve"> Som</w:t>
      </w:r>
      <w:r w:rsidR="00CB6469">
        <w:t>e of these differences</w:t>
      </w:r>
      <w:r>
        <w:t xml:space="preserve"> appear to be related to the culture of the agency itself and how it has traditionally framed its mission </w:t>
      </w:r>
      <w:r w:rsidR="00E25A77">
        <w:t>and defined its constituency.</w:t>
      </w:r>
      <w:r w:rsidR="006474CA">
        <w:t>”</w:t>
      </w:r>
      <w:r w:rsidR="000113A7">
        <w:rPr>
          <w:rStyle w:val="EndnoteReference"/>
          <w:rFonts w:cs="Arial"/>
        </w:rPr>
        <w:endnoteReference w:id="299"/>
      </w:r>
      <w:r w:rsidR="00E25A77">
        <w:t xml:space="preserve"> </w:t>
      </w:r>
      <w:r>
        <w:t xml:space="preserve">This situation </w:t>
      </w:r>
      <w:r w:rsidR="004157F6">
        <w:t xml:space="preserve">seems </w:t>
      </w:r>
      <w:r w:rsidR="00BE1603">
        <w:t xml:space="preserve">still </w:t>
      </w:r>
      <w:r w:rsidR="004157F6">
        <w:t>to exist</w:t>
      </w:r>
      <w:r>
        <w:t>.</w:t>
      </w:r>
      <w:r w:rsidR="00CB6469">
        <w:t xml:space="preserve"> </w:t>
      </w:r>
      <w:r>
        <w:t xml:space="preserve">OFCCP does not seem to </w:t>
      </w:r>
      <w:r w:rsidR="00CB6469">
        <w:t xml:space="preserve">clearly </w:t>
      </w:r>
      <w:r>
        <w:t>define it</w:t>
      </w:r>
      <w:r w:rsidR="00CB6469">
        <w:t>s</w:t>
      </w:r>
      <w:r>
        <w:t xml:space="preserve"> mission as rigorous enf</w:t>
      </w:r>
      <w:r w:rsidR="00CB6469">
        <w:t xml:space="preserve">orcement to achieve affirmative action outcomes for </w:t>
      </w:r>
      <w:r>
        <w:t>persons with disabilities but</w:t>
      </w:r>
      <w:r w:rsidR="00BE1603">
        <w:t xml:space="preserve"> rather</w:t>
      </w:r>
      <w:r>
        <w:t xml:space="preserve"> on encouraging voluntary compliance</w:t>
      </w:r>
      <w:r w:rsidR="00CB6469">
        <w:t xml:space="preserve"> by federal contractors.</w:t>
      </w:r>
      <w:r w:rsidR="000113A7">
        <w:t xml:space="preserve"> </w:t>
      </w:r>
      <w:r w:rsidR="000113A7" w:rsidRPr="000113A7">
        <w:t>NCD has concerns with how WHD allocat</w:t>
      </w:r>
      <w:r w:rsidR="009030A3">
        <w:t>es program resources to oversee</w:t>
      </w:r>
      <w:r w:rsidR="000113A7" w:rsidRPr="000113A7">
        <w:t xml:space="preserve"> the implementation of the requireme</w:t>
      </w:r>
      <w:r w:rsidR="008977B0">
        <w:t>nts of Section 511 of the WIOA</w:t>
      </w:r>
      <w:r w:rsidR="009030A3">
        <w:t>,</w:t>
      </w:r>
      <w:r w:rsidR="008977B0">
        <w:t xml:space="preserve"> </w:t>
      </w:r>
      <w:r w:rsidR="000113A7" w:rsidRPr="000113A7">
        <w:t xml:space="preserve">and </w:t>
      </w:r>
      <w:r w:rsidR="009030A3">
        <w:t xml:space="preserve">the lack of </w:t>
      </w:r>
      <w:r w:rsidR="000113A7" w:rsidRPr="000113A7">
        <w:t>information about, and risk to employees with disabilities, when a 14(c) certificate holder does not renew a certificate.</w:t>
      </w:r>
    </w:p>
    <w:p w14:paraId="484A4E11" w14:textId="77777777" w:rsidR="00296DA5" w:rsidRDefault="00EB4C37" w:rsidP="00EE516A">
      <w:pPr>
        <w:pStyle w:val="NCDBodyText"/>
      </w:pPr>
      <w:r>
        <w:t xml:space="preserve">The nation cannot be content for full integration and equal rights for all people with disabilities to remain simply aspirational. Constant vigilance and diligent enforcement by the Federal Government is required </w:t>
      </w:r>
      <w:r w:rsidR="001C737E">
        <w:t xml:space="preserve">for all people with disabilities </w:t>
      </w:r>
      <w:r>
        <w:t>to achieve equality, justice</w:t>
      </w:r>
      <w:r w:rsidR="00D9600C">
        <w:t>,</w:t>
      </w:r>
      <w:r>
        <w:t xml:space="preserve"> and full community participation. </w:t>
      </w:r>
      <w:r w:rsidR="008977B0">
        <w:t xml:space="preserve">Taking the proactive steps included in this Progress Report to improve the enforcement of </w:t>
      </w:r>
      <w:r w:rsidR="001C737E">
        <w:t xml:space="preserve">federal disability rights laws </w:t>
      </w:r>
      <w:r w:rsidR="008977B0">
        <w:t>will bring the nation closer to the full promise for people with disabilities.</w:t>
      </w:r>
    </w:p>
    <w:p w14:paraId="1F54CE9D" w14:textId="77777777" w:rsidR="00EE516A" w:rsidRDefault="00EE516A">
      <w:pPr>
        <w:spacing w:after="200"/>
        <w:rPr>
          <w:rFonts w:ascii="Arial" w:eastAsia="Times New Roman" w:hAnsi="Arial"/>
          <w:b/>
          <w:sz w:val="28"/>
          <w:szCs w:val="32"/>
        </w:rPr>
      </w:pPr>
      <w:bookmarkStart w:id="93" w:name="_Toc520979984"/>
      <w:r>
        <w:br w:type="page"/>
      </w:r>
    </w:p>
    <w:p w14:paraId="69DC4C7A" w14:textId="77777777" w:rsidR="00D820F9" w:rsidRDefault="00D820F9">
      <w:pPr>
        <w:spacing w:after="200"/>
        <w:rPr>
          <w:rFonts w:ascii="Arial" w:eastAsia="Times New Roman" w:hAnsi="Arial"/>
          <w:b/>
          <w:sz w:val="28"/>
          <w:szCs w:val="32"/>
        </w:rPr>
      </w:pPr>
      <w:r>
        <w:lastRenderedPageBreak/>
        <w:br w:type="page"/>
      </w:r>
    </w:p>
    <w:p w14:paraId="33BFD461" w14:textId="276BB3C5" w:rsidR="00296DA5" w:rsidRDefault="001428F4" w:rsidP="003C32E5">
      <w:pPr>
        <w:pStyle w:val="Heading1"/>
      </w:pPr>
      <w:bookmarkStart w:id="94" w:name="_Toc526182133"/>
      <w:r>
        <w:lastRenderedPageBreak/>
        <w:t xml:space="preserve">Appendix </w:t>
      </w:r>
      <w:r w:rsidR="005F62F7">
        <w:t>A</w:t>
      </w:r>
      <w:r>
        <w:t>: Agency Budget and Staffing Charts</w:t>
      </w:r>
      <w:bookmarkEnd w:id="93"/>
      <w:bookmarkEnd w:id="94"/>
    </w:p>
    <w:p w14:paraId="7A9A6934" w14:textId="2680BC2D" w:rsidR="00332530" w:rsidRPr="004D6F72" w:rsidRDefault="00332530" w:rsidP="00EE516A">
      <w:pPr>
        <w:pStyle w:val="NCDTableHeader"/>
        <w:jc w:val="left"/>
      </w:pPr>
      <w:r w:rsidRPr="00D7262D">
        <w:t>T</w:t>
      </w:r>
      <w:r>
        <w:t>able</w:t>
      </w:r>
      <w:r w:rsidRPr="00D7262D">
        <w:t xml:space="preserve"> </w:t>
      </w:r>
      <w:r w:rsidR="00514672">
        <w:t>A</w:t>
      </w:r>
      <w:r w:rsidRPr="00D7262D">
        <w:t xml:space="preserve">: EEOC Annual Budget </w:t>
      </w:r>
      <w:r>
        <w:t>2000 to 2017</w:t>
      </w:r>
    </w:p>
    <w:tbl>
      <w:tblPr>
        <w:tblW w:w="9180" w:type="dxa"/>
        <w:tblInd w:w="1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right w:w="115" w:type="dxa"/>
        </w:tblCellMar>
        <w:tblLook w:val="04A0" w:firstRow="1" w:lastRow="0" w:firstColumn="1" w:lastColumn="0" w:noHBand="0" w:noVBand="1"/>
        <w:tblCaption w:val="Table A: EEOC Annual Budget 2000 to 2017"/>
        <w:tblDescription w:val="Fiscal Year  Enacted Constant 2000 Dollars Yearly % Change (Constant $)&#10;2000 $280,928 $280,928.00 &#10;2001 $303,195 $294,806.21 4.94%&#10;2002 $310,406 $297,120.14 0.78%&#10;2003 $321,815 $301,176.86 1.37%&#10;2004 $324,944 $296,216.82 –1.65%&#10;2005 $326,804 $288,149.76 –2.72%&#10;2006 $326,883 $279,212.56 –3.10%&#10;2007 $328,745 $273,026.64 –2.22%&#10;2008 $329,300 $263,375.15 –3.53%&#10;2009 $343,925 $276,054.41 4.81%&#10;2010 $367,303 $290,061.16 5.07%&#10;2011 $366,568 $280,622.79 –3.25%&#10;2012 $360,000 $270,007.06 –3.78%&#10;2013 $370,000 $273,501.12 1.29%&#10;2014 $364,000 $264,770.88 –3.19%&#10;2015 $364,500 $264,820.24 0.02%&#10;2016 $364,500 $261,521.12 –1.25%&#10;2017 $364,500 $256,066.01 –2.09%&#10;Annual Average $339,906.44 $278,413.16 1.58%&#10;% Change Between 2000 &amp; 2017   –8.85%&#10;Enacted Budget Data Source: EEOC;  Constant dollar and year % changes are calculations of the researchers based on the Consumer Price Index (CPI) for each year utilizing 2000 as the base year."/>
      </w:tblPr>
      <w:tblGrid>
        <w:gridCol w:w="2070"/>
        <w:gridCol w:w="2340"/>
        <w:gridCol w:w="2520"/>
        <w:gridCol w:w="2250"/>
      </w:tblGrid>
      <w:tr w:rsidR="00332530" w:rsidRPr="00D7262D" w14:paraId="5AD2AE26" w14:textId="77777777" w:rsidTr="00663EF7">
        <w:trPr>
          <w:trHeight w:val="537"/>
        </w:trPr>
        <w:tc>
          <w:tcPr>
            <w:tcW w:w="2070" w:type="dxa"/>
            <w:shd w:val="clear" w:color="auto" w:fill="auto"/>
            <w:noWrap/>
            <w:vAlign w:val="center"/>
            <w:hideMark/>
          </w:tcPr>
          <w:p w14:paraId="10C2DF89" w14:textId="77777777" w:rsidR="00332530" w:rsidRPr="00D7262D" w:rsidRDefault="00332530" w:rsidP="00663EF7">
            <w:pPr>
              <w:pStyle w:val="NCDTableHeader"/>
              <w:spacing w:line="312" w:lineRule="auto"/>
              <w:jc w:val="left"/>
            </w:pPr>
            <w:r>
              <w:t>Fiscal Year</w:t>
            </w:r>
          </w:p>
        </w:tc>
        <w:tc>
          <w:tcPr>
            <w:tcW w:w="2340" w:type="dxa"/>
            <w:shd w:val="clear" w:color="auto" w:fill="auto"/>
            <w:vAlign w:val="center"/>
            <w:hideMark/>
          </w:tcPr>
          <w:p w14:paraId="1F065720" w14:textId="77777777" w:rsidR="00332530" w:rsidRPr="00D7262D" w:rsidRDefault="00332530" w:rsidP="00663EF7">
            <w:pPr>
              <w:pStyle w:val="NCDTableHeader"/>
              <w:spacing w:line="312" w:lineRule="auto"/>
            </w:pPr>
            <w:r w:rsidRPr="00D7262D">
              <w:t xml:space="preserve"> Enacted</w:t>
            </w:r>
          </w:p>
        </w:tc>
        <w:tc>
          <w:tcPr>
            <w:tcW w:w="2520" w:type="dxa"/>
            <w:shd w:val="clear" w:color="auto" w:fill="auto"/>
            <w:vAlign w:val="center"/>
            <w:hideMark/>
          </w:tcPr>
          <w:p w14:paraId="51491D9F" w14:textId="77777777" w:rsidR="00332530" w:rsidRPr="00D7262D" w:rsidRDefault="00332530" w:rsidP="00663EF7">
            <w:pPr>
              <w:pStyle w:val="NCDTableHeader"/>
              <w:spacing w:line="312" w:lineRule="auto"/>
            </w:pPr>
            <w:r w:rsidRPr="00D7262D">
              <w:t>Constant 2000 Dollars</w:t>
            </w:r>
          </w:p>
        </w:tc>
        <w:tc>
          <w:tcPr>
            <w:tcW w:w="2250" w:type="dxa"/>
            <w:shd w:val="clear" w:color="auto" w:fill="auto"/>
            <w:vAlign w:val="center"/>
            <w:hideMark/>
          </w:tcPr>
          <w:p w14:paraId="7D024309" w14:textId="77777777" w:rsidR="00332530" w:rsidRPr="00D7262D" w:rsidRDefault="00332530" w:rsidP="00663EF7">
            <w:pPr>
              <w:pStyle w:val="NCDTableHeader"/>
              <w:spacing w:line="312" w:lineRule="auto"/>
            </w:pPr>
            <w:r w:rsidRPr="00D7262D">
              <w:t>Yearly % Change (Constant $)</w:t>
            </w:r>
          </w:p>
        </w:tc>
      </w:tr>
      <w:tr w:rsidR="00332530" w:rsidRPr="00D7262D" w14:paraId="12DE16ED" w14:textId="77777777" w:rsidTr="00663EF7">
        <w:trPr>
          <w:trHeight w:val="310"/>
        </w:trPr>
        <w:tc>
          <w:tcPr>
            <w:tcW w:w="2070" w:type="dxa"/>
            <w:shd w:val="clear" w:color="auto" w:fill="auto"/>
            <w:vAlign w:val="center"/>
            <w:hideMark/>
          </w:tcPr>
          <w:p w14:paraId="5F6FC7A3" w14:textId="77777777" w:rsidR="00332530" w:rsidRPr="00D70CEB" w:rsidRDefault="00332530" w:rsidP="00663EF7">
            <w:pPr>
              <w:pStyle w:val="NCDTableText"/>
              <w:spacing w:line="312" w:lineRule="auto"/>
              <w:rPr>
                <w:b/>
              </w:rPr>
            </w:pPr>
            <w:r w:rsidRPr="00D70CEB">
              <w:rPr>
                <w:b/>
              </w:rPr>
              <w:t>2000</w:t>
            </w:r>
          </w:p>
        </w:tc>
        <w:tc>
          <w:tcPr>
            <w:tcW w:w="2340" w:type="dxa"/>
            <w:shd w:val="clear" w:color="auto" w:fill="auto"/>
            <w:vAlign w:val="center"/>
            <w:hideMark/>
          </w:tcPr>
          <w:p w14:paraId="5E4A9E44" w14:textId="6594DB3E" w:rsidR="00332530" w:rsidRPr="00D7262D" w:rsidRDefault="00332530" w:rsidP="00D70CEB">
            <w:pPr>
              <w:pStyle w:val="NCDTableText"/>
              <w:spacing w:line="312" w:lineRule="auto"/>
              <w:ind w:right="432"/>
              <w:jc w:val="right"/>
            </w:pPr>
            <w:r w:rsidRPr="00D7262D">
              <w:t>$280,928</w:t>
            </w:r>
          </w:p>
        </w:tc>
        <w:tc>
          <w:tcPr>
            <w:tcW w:w="2520" w:type="dxa"/>
            <w:shd w:val="clear" w:color="auto" w:fill="auto"/>
            <w:noWrap/>
            <w:vAlign w:val="center"/>
            <w:hideMark/>
          </w:tcPr>
          <w:p w14:paraId="6FA67FAD" w14:textId="1AABBBE8" w:rsidR="00332530" w:rsidRPr="00D7262D" w:rsidRDefault="00332530" w:rsidP="00663EF7">
            <w:pPr>
              <w:pStyle w:val="NCDTableText"/>
              <w:spacing w:line="312" w:lineRule="auto"/>
              <w:jc w:val="center"/>
            </w:pPr>
            <w:r w:rsidRPr="00D7262D">
              <w:t>$280,928.00</w:t>
            </w:r>
          </w:p>
        </w:tc>
        <w:tc>
          <w:tcPr>
            <w:tcW w:w="2250" w:type="dxa"/>
            <w:shd w:val="clear" w:color="auto" w:fill="auto"/>
            <w:noWrap/>
            <w:vAlign w:val="center"/>
            <w:hideMark/>
          </w:tcPr>
          <w:p w14:paraId="617CFC0B" w14:textId="495479B7" w:rsidR="00332530" w:rsidRPr="00D7262D" w:rsidRDefault="00332530" w:rsidP="00663EF7">
            <w:pPr>
              <w:pStyle w:val="NCDTableText"/>
              <w:spacing w:line="312" w:lineRule="auto"/>
              <w:jc w:val="center"/>
            </w:pPr>
          </w:p>
        </w:tc>
      </w:tr>
      <w:tr w:rsidR="00332530" w:rsidRPr="00D7262D" w14:paraId="10772A2B" w14:textId="77777777" w:rsidTr="00663EF7">
        <w:trPr>
          <w:trHeight w:val="310"/>
        </w:trPr>
        <w:tc>
          <w:tcPr>
            <w:tcW w:w="2070" w:type="dxa"/>
            <w:shd w:val="clear" w:color="auto" w:fill="auto"/>
            <w:vAlign w:val="center"/>
            <w:hideMark/>
          </w:tcPr>
          <w:p w14:paraId="6D224F45" w14:textId="77777777" w:rsidR="00332530" w:rsidRPr="00D70CEB" w:rsidRDefault="00332530" w:rsidP="00663EF7">
            <w:pPr>
              <w:pStyle w:val="NCDTableText"/>
              <w:spacing w:line="312" w:lineRule="auto"/>
              <w:rPr>
                <w:b/>
              </w:rPr>
            </w:pPr>
            <w:r w:rsidRPr="00D70CEB">
              <w:rPr>
                <w:b/>
              </w:rPr>
              <w:t>2001</w:t>
            </w:r>
          </w:p>
        </w:tc>
        <w:tc>
          <w:tcPr>
            <w:tcW w:w="2340" w:type="dxa"/>
            <w:shd w:val="clear" w:color="auto" w:fill="auto"/>
            <w:vAlign w:val="center"/>
            <w:hideMark/>
          </w:tcPr>
          <w:p w14:paraId="58480DB7" w14:textId="48CE316E" w:rsidR="00332530" w:rsidRPr="00D7262D" w:rsidRDefault="00332530" w:rsidP="00D70CEB">
            <w:pPr>
              <w:pStyle w:val="NCDTableText"/>
              <w:spacing w:line="312" w:lineRule="auto"/>
              <w:ind w:right="432"/>
              <w:jc w:val="right"/>
            </w:pPr>
            <w:r w:rsidRPr="00D7262D">
              <w:t>$303,195</w:t>
            </w:r>
          </w:p>
        </w:tc>
        <w:tc>
          <w:tcPr>
            <w:tcW w:w="2520" w:type="dxa"/>
            <w:shd w:val="clear" w:color="auto" w:fill="auto"/>
            <w:noWrap/>
            <w:vAlign w:val="center"/>
            <w:hideMark/>
          </w:tcPr>
          <w:p w14:paraId="5F4304DD" w14:textId="294B1B89" w:rsidR="00332530" w:rsidRPr="00D7262D" w:rsidRDefault="00332530" w:rsidP="00663EF7">
            <w:pPr>
              <w:pStyle w:val="NCDTableText"/>
              <w:spacing w:line="312" w:lineRule="auto"/>
              <w:jc w:val="center"/>
            </w:pPr>
            <w:r w:rsidRPr="00D7262D">
              <w:t>$294,806.21</w:t>
            </w:r>
          </w:p>
        </w:tc>
        <w:tc>
          <w:tcPr>
            <w:tcW w:w="2250" w:type="dxa"/>
            <w:shd w:val="clear" w:color="auto" w:fill="auto"/>
            <w:noWrap/>
            <w:vAlign w:val="center"/>
            <w:hideMark/>
          </w:tcPr>
          <w:p w14:paraId="291E74E4" w14:textId="77777777" w:rsidR="00332530" w:rsidRPr="00D7262D" w:rsidRDefault="00332530" w:rsidP="00B41F29">
            <w:pPr>
              <w:pStyle w:val="NCDTableText"/>
              <w:spacing w:line="312" w:lineRule="auto"/>
              <w:ind w:right="576"/>
              <w:jc w:val="right"/>
            </w:pPr>
            <w:r w:rsidRPr="00D7262D">
              <w:t>4.94%</w:t>
            </w:r>
          </w:p>
        </w:tc>
      </w:tr>
      <w:tr w:rsidR="00332530" w:rsidRPr="00D7262D" w14:paraId="54C16971" w14:textId="77777777" w:rsidTr="00663EF7">
        <w:trPr>
          <w:trHeight w:val="310"/>
        </w:trPr>
        <w:tc>
          <w:tcPr>
            <w:tcW w:w="2070" w:type="dxa"/>
            <w:shd w:val="clear" w:color="auto" w:fill="auto"/>
            <w:vAlign w:val="center"/>
            <w:hideMark/>
          </w:tcPr>
          <w:p w14:paraId="46997735" w14:textId="77777777" w:rsidR="00332530" w:rsidRPr="00D70CEB" w:rsidRDefault="00332530" w:rsidP="00663EF7">
            <w:pPr>
              <w:pStyle w:val="NCDTableText"/>
              <w:spacing w:line="312" w:lineRule="auto"/>
              <w:rPr>
                <w:b/>
              </w:rPr>
            </w:pPr>
            <w:r w:rsidRPr="00D70CEB">
              <w:rPr>
                <w:b/>
              </w:rPr>
              <w:t>2002</w:t>
            </w:r>
          </w:p>
        </w:tc>
        <w:tc>
          <w:tcPr>
            <w:tcW w:w="2340" w:type="dxa"/>
            <w:shd w:val="clear" w:color="auto" w:fill="auto"/>
            <w:vAlign w:val="center"/>
            <w:hideMark/>
          </w:tcPr>
          <w:p w14:paraId="087EFFF4" w14:textId="416C10B0" w:rsidR="00332530" w:rsidRPr="00D7262D" w:rsidRDefault="00332530" w:rsidP="00D70CEB">
            <w:pPr>
              <w:pStyle w:val="NCDTableText"/>
              <w:spacing w:line="312" w:lineRule="auto"/>
              <w:ind w:right="432"/>
              <w:jc w:val="right"/>
            </w:pPr>
            <w:r w:rsidRPr="00D7262D">
              <w:t>$310,406</w:t>
            </w:r>
          </w:p>
        </w:tc>
        <w:tc>
          <w:tcPr>
            <w:tcW w:w="2520" w:type="dxa"/>
            <w:shd w:val="clear" w:color="auto" w:fill="auto"/>
            <w:noWrap/>
            <w:vAlign w:val="center"/>
            <w:hideMark/>
          </w:tcPr>
          <w:p w14:paraId="0B2DE300" w14:textId="69C9196F" w:rsidR="00332530" w:rsidRPr="00D7262D" w:rsidRDefault="00332530" w:rsidP="00663EF7">
            <w:pPr>
              <w:pStyle w:val="NCDTableText"/>
              <w:spacing w:line="312" w:lineRule="auto"/>
              <w:jc w:val="center"/>
            </w:pPr>
            <w:r w:rsidRPr="00D7262D">
              <w:t>$297,120.14</w:t>
            </w:r>
          </w:p>
        </w:tc>
        <w:tc>
          <w:tcPr>
            <w:tcW w:w="2250" w:type="dxa"/>
            <w:shd w:val="clear" w:color="auto" w:fill="auto"/>
            <w:noWrap/>
            <w:vAlign w:val="center"/>
            <w:hideMark/>
          </w:tcPr>
          <w:p w14:paraId="7A6A22AE" w14:textId="77777777" w:rsidR="00332530" w:rsidRPr="00D7262D" w:rsidRDefault="00332530" w:rsidP="00B41F29">
            <w:pPr>
              <w:pStyle w:val="NCDTableText"/>
              <w:spacing w:line="312" w:lineRule="auto"/>
              <w:ind w:right="576"/>
              <w:jc w:val="right"/>
            </w:pPr>
            <w:r w:rsidRPr="00D7262D">
              <w:t>0.78%</w:t>
            </w:r>
          </w:p>
        </w:tc>
      </w:tr>
      <w:tr w:rsidR="00332530" w:rsidRPr="00D7262D" w14:paraId="38E9ECD6" w14:textId="77777777" w:rsidTr="00663EF7">
        <w:trPr>
          <w:trHeight w:val="310"/>
        </w:trPr>
        <w:tc>
          <w:tcPr>
            <w:tcW w:w="2070" w:type="dxa"/>
            <w:shd w:val="clear" w:color="auto" w:fill="auto"/>
            <w:vAlign w:val="center"/>
            <w:hideMark/>
          </w:tcPr>
          <w:p w14:paraId="1AF6F430" w14:textId="77777777" w:rsidR="00332530" w:rsidRPr="00D70CEB" w:rsidRDefault="00332530" w:rsidP="00663EF7">
            <w:pPr>
              <w:pStyle w:val="NCDTableText"/>
              <w:spacing w:line="312" w:lineRule="auto"/>
              <w:rPr>
                <w:b/>
              </w:rPr>
            </w:pPr>
            <w:r w:rsidRPr="00D70CEB">
              <w:rPr>
                <w:b/>
              </w:rPr>
              <w:t>2003</w:t>
            </w:r>
          </w:p>
        </w:tc>
        <w:tc>
          <w:tcPr>
            <w:tcW w:w="2340" w:type="dxa"/>
            <w:shd w:val="clear" w:color="auto" w:fill="auto"/>
            <w:vAlign w:val="center"/>
            <w:hideMark/>
          </w:tcPr>
          <w:p w14:paraId="0F028AA4" w14:textId="62E1ADEF" w:rsidR="00332530" w:rsidRPr="00D7262D" w:rsidRDefault="00332530" w:rsidP="00D70CEB">
            <w:pPr>
              <w:pStyle w:val="NCDTableText"/>
              <w:spacing w:line="312" w:lineRule="auto"/>
              <w:ind w:right="432"/>
              <w:jc w:val="right"/>
            </w:pPr>
            <w:r w:rsidRPr="00D7262D">
              <w:t>$321,815</w:t>
            </w:r>
          </w:p>
        </w:tc>
        <w:tc>
          <w:tcPr>
            <w:tcW w:w="2520" w:type="dxa"/>
            <w:shd w:val="clear" w:color="auto" w:fill="auto"/>
            <w:noWrap/>
            <w:vAlign w:val="center"/>
            <w:hideMark/>
          </w:tcPr>
          <w:p w14:paraId="6F8D67B4" w14:textId="06DA9846" w:rsidR="00332530" w:rsidRPr="00D7262D" w:rsidRDefault="00332530" w:rsidP="00663EF7">
            <w:pPr>
              <w:pStyle w:val="NCDTableText"/>
              <w:spacing w:line="312" w:lineRule="auto"/>
              <w:jc w:val="center"/>
            </w:pPr>
            <w:r w:rsidRPr="00D7262D">
              <w:t>$301,176.86</w:t>
            </w:r>
          </w:p>
        </w:tc>
        <w:tc>
          <w:tcPr>
            <w:tcW w:w="2250" w:type="dxa"/>
            <w:shd w:val="clear" w:color="auto" w:fill="auto"/>
            <w:noWrap/>
            <w:vAlign w:val="center"/>
            <w:hideMark/>
          </w:tcPr>
          <w:p w14:paraId="1ED05217" w14:textId="77777777" w:rsidR="00332530" w:rsidRPr="00D7262D" w:rsidRDefault="00332530" w:rsidP="00B41F29">
            <w:pPr>
              <w:pStyle w:val="NCDTableText"/>
              <w:spacing w:line="312" w:lineRule="auto"/>
              <w:ind w:right="576"/>
              <w:jc w:val="right"/>
            </w:pPr>
            <w:r w:rsidRPr="00D7262D">
              <w:t>1.37%</w:t>
            </w:r>
          </w:p>
        </w:tc>
      </w:tr>
      <w:tr w:rsidR="00332530" w:rsidRPr="00D7262D" w14:paraId="23943120" w14:textId="77777777" w:rsidTr="00663EF7">
        <w:trPr>
          <w:trHeight w:val="310"/>
        </w:trPr>
        <w:tc>
          <w:tcPr>
            <w:tcW w:w="2070" w:type="dxa"/>
            <w:shd w:val="clear" w:color="auto" w:fill="auto"/>
            <w:vAlign w:val="center"/>
            <w:hideMark/>
          </w:tcPr>
          <w:p w14:paraId="012F953A" w14:textId="77777777" w:rsidR="00332530" w:rsidRPr="00D70CEB" w:rsidRDefault="00332530" w:rsidP="00663EF7">
            <w:pPr>
              <w:pStyle w:val="NCDTableText"/>
              <w:spacing w:line="312" w:lineRule="auto"/>
              <w:rPr>
                <w:b/>
              </w:rPr>
            </w:pPr>
            <w:r w:rsidRPr="00D70CEB">
              <w:rPr>
                <w:b/>
              </w:rPr>
              <w:t>2004</w:t>
            </w:r>
          </w:p>
        </w:tc>
        <w:tc>
          <w:tcPr>
            <w:tcW w:w="2340" w:type="dxa"/>
            <w:shd w:val="clear" w:color="auto" w:fill="auto"/>
            <w:vAlign w:val="center"/>
            <w:hideMark/>
          </w:tcPr>
          <w:p w14:paraId="197C907D" w14:textId="0B105EDE" w:rsidR="00332530" w:rsidRPr="00D7262D" w:rsidRDefault="00332530" w:rsidP="00D70CEB">
            <w:pPr>
              <w:pStyle w:val="NCDTableText"/>
              <w:spacing w:line="312" w:lineRule="auto"/>
              <w:ind w:right="432"/>
              <w:jc w:val="right"/>
            </w:pPr>
            <w:r w:rsidRPr="00D7262D">
              <w:t>$324,944</w:t>
            </w:r>
          </w:p>
        </w:tc>
        <w:tc>
          <w:tcPr>
            <w:tcW w:w="2520" w:type="dxa"/>
            <w:shd w:val="clear" w:color="auto" w:fill="auto"/>
            <w:noWrap/>
            <w:vAlign w:val="center"/>
            <w:hideMark/>
          </w:tcPr>
          <w:p w14:paraId="5ABFCAA6" w14:textId="0E142F49" w:rsidR="00332530" w:rsidRPr="00D7262D" w:rsidRDefault="00332530" w:rsidP="00663EF7">
            <w:pPr>
              <w:pStyle w:val="NCDTableText"/>
              <w:spacing w:line="312" w:lineRule="auto"/>
              <w:jc w:val="center"/>
            </w:pPr>
            <w:r w:rsidRPr="00D7262D">
              <w:t>$296,216.82</w:t>
            </w:r>
          </w:p>
        </w:tc>
        <w:tc>
          <w:tcPr>
            <w:tcW w:w="2250" w:type="dxa"/>
            <w:shd w:val="clear" w:color="auto" w:fill="auto"/>
            <w:noWrap/>
            <w:vAlign w:val="center"/>
            <w:hideMark/>
          </w:tcPr>
          <w:p w14:paraId="0ACE3356" w14:textId="2CF16925" w:rsidR="00332530" w:rsidRPr="00D7262D" w:rsidRDefault="00D70CEB" w:rsidP="00B41F29">
            <w:pPr>
              <w:pStyle w:val="NCDTableText"/>
              <w:spacing w:line="312" w:lineRule="auto"/>
              <w:ind w:right="576"/>
              <w:jc w:val="right"/>
            </w:pPr>
            <w:r>
              <w:t>–</w:t>
            </w:r>
            <w:r w:rsidR="00332530" w:rsidRPr="00D7262D">
              <w:t>1.65%</w:t>
            </w:r>
          </w:p>
        </w:tc>
      </w:tr>
      <w:tr w:rsidR="00332530" w:rsidRPr="00D7262D" w14:paraId="3DD728FD" w14:textId="77777777" w:rsidTr="00663EF7">
        <w:trPr>
          <w:trHeight w:val="310"/>
        </w:trPr>
        <w:tc>
          <w:tcPr>
            <w:tcW w:w="2070" w:type="dxa"/>
            <w:shd w:val="clear" w:color="auto" w:fill="auto"/>
            <w:vAlign w:val="center"/>
            <w:hideMark/>
          </w:tcPr>
          <w:p w14:paraId="072D6C06" w14:textId="77777777" w:rsidR="00332530" w:rsidRPr="00D70CEB" w:rsidRDefault="00332530" w:rsidP="00663EF7">
            <w:pPr>
              <w:pStyle w:val="NCDTableText"/>
              <w:spacing w:line="312" w:lineRule="auto"/>
              <w:rPr>
                <w:b/>
              </w:rPr>
            </w:pPr>
            <w:r w:rsidRPr="00D70CEB">
              <w:rPr>
                <w:b/>
              </w:rPr>
              <w:t>2005</w:t>
            </w:r>
          </w:p>
        </w:tc>
        <w:tc>
          <w:tcPr>
            <w:tcW w:w="2340" w:type="dxa"/>
            <w:shd w:val="clear" w:color="auto" w:fill="auto"/>
            <w:vAlign w:val="center"/>
            <w:hideMark/>
          </w:tcPr>
          <w:p w14:paraId="7495DC05" w14:textId="3766C5AF" w:rsidR="00332530" w:rsidRPr="00D7262D" w:rsidRDefault="00332530" w:rsidP="00D70CEB">
            <w:pPr>
              <w:pStyle w:val="NCDTableText"/>
              <w:spacing w:line="312" w:lineRule="auto"/>
              <w:ind w:right="432"/>
              <w:jc w:val="right"/>
            </w:pPr>
            <w:r w:rsidRPr="00D7262D">
              <w:t>$326,804</w:t>
            </w:r>
          </w:p>
        </w:tc>
        <w:tc>
          <w:tcPr>
            <w:tcW w:w="2520" w:type="dxa"/>
            <w:shd w:val="clear" w:color="auto" w:fill="auto"/>
            <w:noWrap/>
            <w:vAlign w:val="center"/>
            <w:hideMark/>
          </w:tcPr>
          <w:p w14:paraId="3426B4B6" w14:textId="7CBA8CF5" w:rsidR="00332530" w:rsidRPr="00D7262D" w:rsidRDefault="00332530" w:rsidP="00663EF7">
            <w:pPr>
              <w:pStyle w:val="NCDTableText"/>
              <w:spacing w:line="312" w:lineRule="auto"/>
              <w:jc w:val="center"/>
            </w:pPr>
            <w:r w:rsidRPr="00D7262D">
              <w:t>$288,149.76</w:t>
            </w:r>
          </w:p>
        </w:tc>
        <w:tc>
          <w:tcPr>
            <w:tcW w:w="2250" w:type="dxa"/>
            <w:shd w:val="clear" w:color="auto" w:fill="auto"/>
            <w:noWrap/>
            <w:vAlign w:val="center"/>
            <w:hideMark/>
          </w:tcPr>
          <w:p w14:paraId="4BEF7E90" w14:textId="0309298B" w:rsidR="00332530" w:rsidRPr="00D7262D" w:rsidRDefault="00D70CEB" w:rsidP="00B41F29">
            <w:pPr>
              <w:pStyle w:val="NCDTableText"/>
              <w:spacing w:line="312" w:lineRule="auto"/>
              <w:ind w:right="576"/>
              <w:jc w:val="right"/>
            </w:pPr>
            <w:r>
              <w:t>–</w:t>
            </w:r>
            <w:r w:rsidR="00332530" w:rsidRPr="00D7262D">
              <w:t>2.72%</w:t>
            </w:r>
          </w:p>
        </w:tc>
      </w:tr>
      <w:tr w:rsidR="00332530" w:rsidRPr="00D7262D" w14:paraId="61536858" w14:textId="77777777" w:rsidTr="00663EF7">
        <w:trPr>
          <w:trHeight w:val="310"/>
        </w:trPr>
        <w:tc>
          <w:tcPr>
            <w:tcW w:w="2070" w:type="dxa"/>
            <w:shd w:val="clear" w:color="auto" w:fill="auto"/>
            <w:vAlign w:val="center"/>
            <w:hideMark/>
          </w:tcPr>
          <w:p w14:paraId="024C411D" w14:textId="77777777" w:rsidR="00332530" w:rsidRPr="00D70CEB" w:rsidRDefault="00332530" w:rsidP="00663EF7">
            <w:pPr>
              <w:pStyle w:val="NCDTableText"/>
              <w:spacing w:line="312" w:lineRule="auto"/>
              <w:rPr>
                <w:b/>
              </w:rPr>
            </w:pPr>
            <w:r w:rsidRPr="00D70CEB">
              <w:rPr>
                <w:b/>
              </w:rPr>
              <w:t>2006</w:t>
            </w:r>
          </w:p>
        </w:tc>
        <w:tc>
          <w:tcPr>
            <w:tcW w:w="2340" w:type="dxa"/>
            <w:shd w:val="clear" w:color="auto" w:fill="auto"/>
            <w:vAlign w:val="center"/>
            <w:hideMark/>
          </w:tcPr>
          <w:p w14:paraId="426AA8C9" w14:textId="1BBE90A9" w:rsidR="00332530" w:rsidRPr="00D7262D" w:rsidRDefault="00332530" w:rsidP="00D70CEB">
            <w:pPr>
              <w:pStyle w:val="NCDTableText"/>
              <w:spacing w:line="312" w:lineRule="auto"/>
              <w:ind w:right="432"/>
              <w:jc w:val="right"/>
            </w:pPr>
            <w:r w:rsidRPr="00D7262D">
              <w:t>$326,883</w:t>
            </w:r>
          </w:p>
        </w:tc>
        <w:tc>
          <w:tcPr>
            <w:tcW w:w="2520" w:type="dxa"/>
            <w:shd w:val="clear" w:color="auto" w:fill="auto"/>
            <w:noWrap/>
            <w:vAlign w:val="center"/>
            <w:hideMark/>
          </w:tcPr>
          <w:p w14:paraId="10DA0A28" w14:textId="78C06E65" w:rsidR="00332530" w:rsidRPr="00D7262D" w:rsidRDefault="00332530" w:rsidP="00663EF7">
            <w:pPr>
              <w:pStyle w:val="NCDTableText"/>
              <w:spacing w:line="312" w:lineRule="auto"/>
              <w:jc w:val="center"/>
            </w:pPr>
            <w:r w:rsidRPr="00D7262D">
              <w:t>$279,212.56</w:t>
            </w:r>
          </w:p>
        </w:tc>
        <w:tc>
          <w:tcPr>
            <w:tcW w:w="2250" w:type="dxa"/>
            <w:shd w:val="clear" w:color="auto" w:fill="auto"/>
            <w:noWrap/>
            <w:vAlign w:val="center"/>
            <w:hideMark/>
          </w:tcPr>
          <w:p w14:paraId="17C45090" w14:textId="2E954A7A" w:rsidR="00332530" w:rsidRPr="00D7262D" w:rsidRDefault="00D70CEB" w:rsidP="00B41F29">
            <w:pPr>
              <w:pStyle w:val="NCDTableText"/>
              <w:spacing w:line="312" w:lineRule="auto"/>
              <w:ind w:right="576"/>
              <w:jc w:val="right"/>
            </w:pPr>
            <w:r>
              <w:t>–</w:t>
            </w:r>
            <w:r w:rsidR="00332530" w:rsidRPr="00D7262D">
              <w:t>3.10%</w:t>
            </w:r>
          </w:p>
        </w:tc>
      </w:tr>
      <w:tr w:rsidR="00332530" w:rsidRPr="00D7262D" w14:paraId="21933535" w14:textId="77777777" w:rsidTr="00663EF7">
        <w:trPr>
          <w:trHeight w:val="310"/>
        </w:trPr>
        <w:tc>
          <w:tcPr>
            <w:tcW w:w="2070" w:type="dxa"/>
            <w:shd w:val="clear" w:color="auto" w:fill="auto"/>
            <w:vAlign w:val="center"/>
            <w:hideMark/>
          </w:tcPr>
          <w:p w14:paraId="57D6F579" w14:textId="77777777" w:rsidR="00332530" w:rsidRPr="00D70CEB" w:rsidRDefault="00332530" w:rsidP="00663EF7">
            <w:pPr>
              <w:pStyle w:val="NCDTableText"/>
              <w:spacing w:line="312" w:lineRule="auto"/>
              <w:rPr>
                <w:b/>
              </w:rPr>
            </w:pPr>
            <w:r w:rsidRPr="00D70CEB">
              <w:rPr>
                <w:b/>
              </w:rPr>
              <w:t>2007</w:t>
            </w:r>
          </w:p>
        </w:tc>
        <w:tc>
          <w:tcPr>
            <w:tcW w:w="2340" w:type="dxa"/>
            <w:shd w:val="clear" w:color="auto" w:fill="auto"/>
            <w:vAlign w:val="center"/>
            <w:hideMark/>
          </w:tcPr>
          <w:p w14:paraId="6C94064F" w14:textId="09581214" w:rsidR="00332530" w:rsidRPr="00D7262D" w:rsidRDefault="00332530" w:rsidP="00D70CEB">
            <w:pPr>
              <w:pStyle w:val="NCDTableText"/>
              <w:spacing w:line="312" w:lineRule="auto"/>
              <w:ind w:right="432"/>
              <w:jc w:val="right"/>
            </w:pPr>
            <w:r w:rsidRPr="00D7262D">
              <w:t>$328,745</w:t>
            </w:r>
          </w:p>
        </w:tc>
        <w:tc>
          <w:tcPr>
            <w:tcW w:w="2520" w:type="dxa"/>
            <w:shd w:val="clear" w:color="auto" w:fill="auto"/>
            <w:noWrap/>
            <w:vAlign w:val="center"/>
            <w:hideMark/>
          </w:tcPr>
          <w:p w14:paraId="05C2FF5C" w14:textId="12BA46A3" w:rsidR="00332530" w:rsidRPr="00D7262D" w:rsidRDefault="00332530" w:rsidP="00663EF7">
            <w:pPr>
              <w:pStyle w:val="NCDTableText"/>
              <w:spacing w:line="312" w:lineRule="auto"/>
              <w:jc w:val="center"/>
            </w:pPr>
            <w:r w:rsidRPr="00D7262D">
              <w:t>$273,026.64</w:t>
            </w:r>
          </w:p>
        </w:tc>
        <w:tc>
          <w:tcPr>
            <w:tcW w:w="2250" w:type="dxa"/>
            <w:shd w:val="clear" w:color="auto" w:fill="auto"/>
            <w:noWrap/>
            <w:vAlign w:val="center"/>
            <w:hideMark/>
          </w:tcPr>
          <w:p w14:paraId="24CB2D3D" w14:textId="1105FB96" w:rsidR="00332530" w:rsidRPr="00D7262D" w:rsidRDefault="00D70CEB" w:rsidP="00B41F29">
            <w:pPr>
              <w:pStyle w:val="NCDTableText"/>
              <w:spacing w:line="312" w:lineRule="auto"/>
              <w:ind w:right="576"/>
              <w:jc w:val="right"/>
            </w:pPr>
            <w:r>
              <w:t>–</w:t>
            </w:r>
            <w:r w:rsidR="00332530" w:rsidRPr="00D7262D">
              <w:t>2.22%</w:t>
            </w:r>
          </w:p>
        </w:tc>
      </w:tr>
      <w:tr w:rsidR="00332530" w:rsidRPr="00D7262D" w14:paraId="3C7FA133" w14:textId="77777777" w:rsidTr="00663EF7">
        <w:trPr>
          <w:trHeight w:val="310"/>
        </w:trPr>
        <w:tc>
          <w:tcPr>
            <w:tcW w:w="2070" w:type="dxa"/>
            <w:shd w:val="clear" w:color="auto" w:fill="auto"/>
            <w:vAlign w:val="center"/>
            <w:hideMark/>
          </w:tcPr>
          <w:p w14:paraId="276D0700" w14:textId="77777777" w:rsidR="00332530" w:rsidRPr="00D70CEB" w:rsidRDefault="00332530" w:rsidP="00663EF7">
            <w:pPr>
              <w:pStyle w:val="NCDTableText"/>
              <w:spacing w:line="312" w:lineRule="auto"/>
              <w:rPr>
                <w:b/>
              </w:rPr>
            </w:pPr>
            <w:r w:rsidRPr="00D70CEB">
              <w:rPr>
                <w:b/>
              </w:rPr>
              <w:t>2008</w:t>
            </w:r>
          </w:p>
        </w:tc>
        <w:tc>
          <w:tcPr>
            <w:tcW w:w="2340" w:type="dxa"/>
            <w:shd w:val="clear" w:color="auto" w:fill="auto"/>
            <w:vAlign w:val="center"/>
            <w:hideMark/>
          </w:tcPr>
          <w:p w14:paraId="1CB24F30" w14:textId="0F3485A1" w:rsidR="00332530" w:rsidRPr="00D7262D" w:rsidRDefault="00332530" w:rsidP="00D70CEB">
            <w:pPr>
              <w:pStyle w:val="NCDTableText"/>
              <w:spacing w:line="312" w:lineRule="auto"/>
              <w:ind w:right="432"/>
              <w:jc w:val="right"/>
            </w:pPr>
            <w:r w:rsidRPr="00D7262D">
              <w:t>$329,300</w:t>
            </w:r>
          </w:p>
        </w:tc>
        <w:tc>
          <w:tcPr>
            <w:tcW w:w="2520" w:type="dxa"/>
            <w:shd w:val="clear" w:color="auto" w:fill="auto"/>
            <w:noWrap/>
            <w:vAlign w:val="center"/>
            <w:hideMark/>
          </w:tcPr>
          <w:p w14:paraId="7F94A326" w14:textId="6CF71D9E" w:rsidR="00332530" w:rsidRPr="00D7262D" w:rsidRDefault="00332530" w:rsidP="00663EF7">
            <w:pPr>
              <w:pStyle w:val="NCDTableText"/>
              <w:spacing w:line="312" w:lineRule="auto"/>
              <w:jc w:val="center"/>
            </w:pPr>
            <w:r w:rsidRPr="00D7262D">
              <w:t>$263,375.15</w:t>
            </w:r>
          </w:p>
        </w:tc>
        <w:tc>
          <w:tcPr>
            <w:tcW w:w="2250" w:type="dxa"/>
            <w:shd w:val="clear" w:color="auto" w:fill="auto"/>
            <w:noWrap/>
            <w:vAlign w:val="center"/>
            <w:hideMark/>
          </w:tcPr>
          <w:p w14:paraId="0443EA49" w14:textId="3AF09B8E" w:rsidR="00332530" w:rsidRPr="00D7262D" w:rsidRDefault="00D70CEB" w:rsidP="00B41F29">
            <w:pPr>
              <w:pStyle w:val="NCDTableText"/>
              <w:spacing w:line="312" w:lineRule="auto"/>
              <w:ind w:right="576"/>
              <w:jc w:val="right"/>
            </w:pPr>
            <w:r>
              <w:t>–</w:t>
            </w:r>
            <w:r w:rsidR="00332530" w:rsidRPr="00D7262D">
              <w:t>3.53%</w:t>
            </w:r>
          </w:p>
        </w:tc>
      </w:tr>
      <w:tr w:rsidR="00332530" w:rsidRPr="00D7262D" w14:paraId="16312C12" w14:textId="77777777" w:rsidTr="00663EF7">
        <w:trPr>
          <w:trHeight w:val="310"/>
        </w:trPr>
        <w:tc>
          <w:tcPr>
            <w:tcW w:w="2070" w:type="dxa"/>
            <w:shd w:val="clear" w:color="auto" w:fill="auto"/>
            <w:vAlign w:val="center"/>
            <w:hideMark/>
          </w:tcPr>
          <w:p w14:paraId="07580197" w14:textId="77777777" w:rsidR="00332530" w:rsidRPr="00D70CEB" w:rsidRDefault="00332530" w:rsidP="00663EF7">
            <w:pPr>
              <w:pStyle w:val="NCDTableText"/>
              <w:spacing w:line="312" w:lineRule="auto"/>
              <w:rPr>
                <w:b/>
              </w:rPr>
            </w:pPr>
            <w:r w:rsidRPr="00D70CEB">
              <w:rPr>
                <w:b/>
              </w:rPr>
              <w:t>2009</w:t>
            </w:r>
          </w:p>
        </w:tc>
        <w:tc>
          <w:tcPr>
            <w:tcW w:w="2340" w:type="dxa"/>
            <w:shd w:val="clear" w:color="auto" w:fill="auto"/>
            <w:vAlign w:val="center"/>
            <w:hideMark/>
          </w:tcPr>
          <w:p w14:paraId="5641AC16" w14:textId="5F383613" w:rsidR="00332530" w:rsidRPr="00D7262D" w:rsidRDefault="00332530" w:rsidP="00D70CEB">
            <w:pPr>
              <w:pStyle w:val="NCDTableText"/>
              <w:spacing w:line="312" w:lineRule="auto"/>
              <w:ind w:right="432"/>
              <w:jc w:val="right"/>
            </w:pPr>
            <w:r w:rsidRPr="00D7262D">
              <w:t>$343,925</w:t>
            </w:r>
          </w:p>
        </w:tc>
        <w:tc>
          <w:tcPr>
            <w:tcW w:w="2520" w:type="dxa"/>
            <w:shd w:val="clear" w:color="auto" w:fill="auto"/>
            <w:noWrap/>
            <w:vAlign w:val="center"/>
            <w:hideMark/>
          </w:tcPr>
          <w:p w14:paraId="3073A49B" w14:textId="0A7F6487" w:rsidR="00332530" w:rsidRPr="00D7262D" w:rsidRDefault="00332530" w:rsidP="00663EF7">
            <w:pPr>
              <w:pStyle w:val="NCDTableText"/>
              <w:spacing w:line="312" w:lineRule="auto"/>
              <w:jc w:val="center"/>
            </w:pPr>
            <w:r w:rsidRPr="00D7262D">
              <w:t>$276,054.41</w:t>
            </w:r>
          </w:p>
        </w:tc>
        <w:tc>
          <w:tcPr>
            <w:tcW w:w="2250" w:type="dxa"/>
            <w:shd w:val="clear" w:color="auto" w:fill="auto"/>
            <w:noWrap/>
            <w:vAlign w:val="center"/>
            <w:hideMark/>
          </w:tcPr>
          <w:p w14:paraId="5F7E9544" w14:textId="77777777" w:rsidR="00332530" w:rsidRPr="00D7262D" w:rsidRDefault="00332530" w:rsidP="00B41F29">
            <w:pPr>
              <w:pStyle w:val="NCDTableText"/>
              <w:spacing w:line="312" w:lineRule="auto"/>
              <w:ind w:right="576"/>
              <w:jc w:val="right"/>
            </w:pPr>
            <w:r w:rsidRPr="00D7262D">
              <w:t>4.81%</w:t>
            </w:r>
          </w:p>
        </w:tc>
      </w:tr>
      <w:tr w:rsidR="00332530" w:rsidRPr="00D7262D" w14:paraId="63212D08" w14:textId="77777777" w:rsidTr="00663EF7">
        <w:trPr>
          <w:trHeight w:val="310"/>
        </w:trPr>
        <w:tc>
          <w:tcPr>
            <w:tcW w:w="2070" w:type="dxa"/>
            <w:shd w:val="clear" w:color="auto" w:fill="auto"/>
            <w:vAlign w:val="center"/>
            <w:hideMark/>
          </w:tcPr>
          <w:p w14:paraId="77746442" w14:textId="77777777" w:rsidR="00332530" w:rsidRPr="00D70CEB" w:rsidRDefault="00332530" w:rsidP="00663EF7">
            <w:pPr>
              <w:pStyle w:val="NCDTableText"/>
              <w:spacing w:line="312" w:lineRule="auto"/>
              <w:rPr>
                <w:b/>
              </w:rPr>
            </w:pPr>
            <w:r w:rsidRPr="00D70CEB">
              <w:rPr>
                <w:b/>
              </w:rPr>
              <w:t>2010</w:t>
            </w:r>
          </w:p>
        </w:tc>
        <w:tc>
          <w:tcPr>
            <w:tcW w:w="2340" w:type="dxa"/>
            <w:shd w:val="clear" w:color="auto" w:fill="auto"/>
            <w:vAlign w:val="center"/>
            <w:hideMark/>
          </w:tcPr>
          <w:p w14:paraId="4737413F" w14:textId="5440388D" w:rsidR="00332530" w:rsidRPr="00D7262D" w:rsidRDefault="00332530" w:rsidP="00D70CEB">
            <w:pPr>
              <w:pStyle w:val="NCDTableText"/>
              <w:spacing w:line="312" w:lineRule="auto"/>
              <w:ind w:right="432"/>
              <w:jc w:val="right"/>
            </w:pPr>
            <w:r w:rsidRPr="00D7262D">
              <w:t>$367,303</w:t>
            </w:r>
          </w:p>
        </w:tc>
        <w:tc>
          <w:tcPr>
            <w:tcW w:w="2520" w:type="dxa"/>
            <w:shd w:val="clear" w:color="auto" w:fill="auto"/>
            <w:noWrap/>
            <w:vAlign w:val="center"/>
            <w:hideMark/>
          </w:tcPr>
          <w:p w14:paraId="2DCEDEBC" w14:textId="3EC66B30" w:rsidR="00332530" w:rsidRPr="00D7262D" w:rsidRDefault="00332530" w:rsidP="00663EF7">
            <w:pPr>
              <w:pStyle w:val="NCDTableText"/>
              <w:spacing w:line="312" w:lineRule="auto"/>
              <w:jc w:val="center"/>
            </w:pPr>
            <w:r w:rsidRPr="00D7262D">
              <w:t>$290,061.16</w:t>
            </w:r>
          </w:p>
        </w:tc>
        <w:tc>
          <w:tcPr>
            <w:tcW w:w="2250" w:type="dxa"/>
            <w:shd w:val="clear" w:color="auto" w:fill="auto"/>
            <w:noWrap/>
            <w:vAlign w:val="center"/>
            <w:hideMark/>
          </w:tcPr>
          <w:p w14:paraId="7443ABC2" w14:textId="77777777" w:rsidR="00332530" w:rsidRPr="00D7262D" w:rsidRDefault="00332530" w:rsidP="00B41F29">
            <w:pPr>
              <w:pStyle w:val="NCDTableText"/>
              <w:spacing w:line="312" w:lineRule="auto"/>
              <w:ind w:right="576"/>
              <w:jc w:val="right"/>
            </w:pPr>
            <w:r w:rsidRPr="00D7262D">
              <w:t>5.07%</w:t>
            </w:r>
          </w:p>
        </w:tc>
      </w:tr>
      <w:tr w:rsidR="00332530" w:rsidRPr="00D7262D" w14:paraId="73B63E34" w14:textId="77777777" w:rsidTr="00663EF7">
        <w:trPr>
          <w:trHeight w:val="310"/>
        </w:trPr>
        <w:tc>
          <w:tcPr>
            <w:tcW w:w="2070" w:type="dxa"/>
            <w:shd w:val="clear" w:color="auto" w:fill="auto"/>
            <w:vAlign w:val="center"/>
            <w:hideMark/>
          </w:tcPr>
          <w:p w14:paraId="0AC979FB" w14:textId="77777777" w:rsidR="00332530" w:rsidRPr="00D70CEB" w:rsidRDefault="00332530" w:rsidP="00663EF7">
            <w:pPr>
              <w:pStyle w:val="NCDTableText"/>
              <w:spacing w:line="312" w:lineRule="auto"/>
              <w:rPr>
                <w:b/>
              </w:rPr>
            </w:pPr>
            <w:r w:rsidRPr="00D70CEB">
              <w:rPr>
                <w:b/>
              </w:rPr>
              <w:t>2011</w:t>
            </w:r>
          </w:p>
        </w:tc>
        <w:tc>
          <w:tcPr>
            <w:tcW w:w="2340" w:type="dxa"/>
            <w:shd w:val="clear" w:color="auto" w:fill="auto"/>
            <w:noWrap/>
            <w:vAlign w:val="center"/>
            <w:hideMark/>
          </w:tcPr>
          <w:p w14:paraId="6E593F23" w14:textId="77777777" w:rsidR="00332530" w:rsidRPr="00D7262D" w:rsidRDefault="00332530" w:rsidP="00D70CEB">
            <w:pPr>
              <w:pStyle w:val="NCDTableText"/>
              <w:spacing w:line="312" w:lineRule="auto"/>
              <w:ind w:right="432"/>
              <w:jc w:val="right"/>
            </w:pPr>
            <w:r w:rsidRPr="00D7262D">
              <w:t>$366,568</w:t>
            </w:r>
          </w:p>
        </w:tc>
        <w:tc>
          <w:tcPr>
            <w:tcW w:w="2520" w:type="dxa"/>
            <w:shd w:val="clear" w:color="auto" w:fill="auto"/>
            <w:noWrap/>
            <w:vAlign w:val="center"/>
            <w:hideMark/>
          </w:tcPr>
          <w:p w14:paraId="70D82151" w14:textId="5D0AF4D7" w:rsidR="00332530" w:rsidRPr="00D7262D" w:rsidRDefault="00332530" w:rsidP="00663EF7">
            <w:pPr>
              <w:pStyle w:val="NCDTableText"/>
              <w:spacing w:line="312" w:lineRule="auto"/>
              <w:jc w:val="center"/>
            </w:pPr>
            <w:r w:rsidRPr="00D7262D">
              <w:t>$280,622.79</w:t>
            </w:r>
          </w:p>
        </w:tc>
        <w:tc>
          <w:tcPr>
            <w:tcW w:w="2250" w:type="dxa"/>
            <w:shd w:val="clear" w:color="auto" w:fill="auto"/>
            <w:noWrap/>
            <w:vAlign w:val="center"/>
            <w:hideMark/>
          </w:tcPr>
          <w:p w14:paraId="2E830727" w14:textId="1271DD6C" w:rsidR="00332530" w:rsidRPr="00D7262D" w:rsidRDefault="00D70CEB" w:rsidP="00B41F29">
            <w:pPr>
              <w:pStyle w:val="NCDTableText"/>
              <w:spacing w:line="312" w:lineRule="auto"/>
              <w:ind w:right="576"/>
              <w:jc w:val="right"/>
            </w:pPr>
            <w:r>
              <w:t>–</w:t>
            </w:r>
            <w:r w:rsidR="00332530" w:rsidRPr="00D7262D">
              <w:t>3.25%</w:t>
            </w:r>
          </w:p>
        </w:tc>
      </w:tr>
      <w:tr w:rsidR="00332530" w:rsidRPr="00D7262D" w14:paraId="5838B6C3" w14:textId="77777777" w:rsidTr="00663EF7">
        <w:trPr>
          <w:trHeight w:val="310"/>
        </w:trPr>
        <w:tc>
          <w:tcPr>
            <w:tcW w:w="2070" w:type="dxa"/>
            <w:shd w:val="clear" w:color="auto" w:fill="auto"/>
            <w:vAlign w:val="center"/>
            <w:hideMark/>
          </w:tcPr>
          <w:p w14:paraId="317D4555" w14:textId="77777777" w:rsidR="00332530" w:rsidRPr="00D70CEB" w:rsidRDefault="00332530" w:rsidP="00663EF7">
            <w:pPr>
              <w:pStyle w:val="NCDTableText"/>
              <w:spacing w:line="312" w:lineRule="auto"/>
              <w:rPr>
                <w:b/>
              </w:rPr>
            </w:pPr>
            <w:r w:rsidRPr="00D70CEB">
              <w:rPr>
                <w:b/>
              </w:rPr>
              <w:t>2012</w:t>
            </w:r>
          </w:p>
        </w:tc>
        <w:tc>
          <w:tcPr>
            <w:tcW w:w="2340" w:type="dxa"/>
            <w:shd w:val="clear" w:color="auto" w:fill="auto"/>
            <w:vAlign w:val="center"/>
            <w:hideMark/>
          </w:tcPr>
          <w:p w14:paraId="2DD98BD9" w14:textId="77777777" w:rsidR="00332530" w:rsidRPr="00D7262D" w:rsidRDefault="00332530" w:rsidP="00D70CEB">
            <w:pPr>
              <w:pStyle w:val="NCDTableText"/>
              <w:spacing w:line="312" w:lineRule="auto"/>
              <w:ind w:right="432"/>
              <w:jc w:val="right"/>
            </w:pPr>
            <w:r w:rsidRPr="00D7262D">
              <w:t>$360,000</w:t>
            </w:r>
          </w:p>
        </w:tc>
        <w:tc>
          <w:tcPr>
            <w:tcW w:w="2520" w:type="dxa"/>
            <w:shd w:val="clear" w:color="auto" w:fill="auto"/>
            <w:noWrap/>
            <w:vAlign w:val="center"/>
            <w:hideMark/>
          </w:tcPr>
          <w:p w14:paraId="0DD6BFA1" w14:textId="085FC53C" w:rsidR="00332530" w:rsidRPr="00D7262D" w:rsidRDefault="00332530" w:rsidP="00663EF7">
            <w:pPr>
              <w:pStyle w:val="NCDTableText"/>
              <w:spacing w:line="312" w:lineRule="auto"/>
              <w:jc w:val="center"/>
            </w:pPr>
            <w:r w:rsidRPr="00D7262D">
              <w:t>$270,007.06</w:t>
            </w:r>
          </w:p>
        </w:tc>
        <w:tc>
          <w:tcPr>
            <w:tcW w:w="2250" w:type="dxa"/>
            <w:shd w:val="clear" w:color="auto" w:fill="auto"/>
            <w:noWrap/>
            <w:vAlign w:val="center"/>
            <w:hideMark/>
          </w:tcPr>
          <w:p w14:paraId="02823505" w14:textId="30A729EA" w:rsidR="00332530" w:rsidRPr="00D7262D" w:rsidRDefault="00D70CEB" w:rsidP="00B41F29">
            <w:pPr>
              <w:pStyle w:val="NCDTableText"/>
              <w:spacing w:line="312" w:lineRule="auto"/>
              <w:ind w:right="576"/>
              <w:jc w:val="right"/>
            </w:pPr>
            <w:r>
              <w:t>–</w:t>
            </w:r>
            <w:r w:rsidR="00332530" w:rsidRPr="00D7262D">
              <w:t>3.78%</w:t>
            </w:r>
          </w:p>
        </w:tc>
      </w:tr>
      <w:tr w:rsidR="00332530" w:rsidRPr="00D7262D" w14:paraId="0DEEC09A" w14:textId="77777777" w:rsidTr="00663EF7">
        <w:trPr>
          <w:trHeight w:val="310"/>
        </w:trPr>
        <w:tc>
          <w:tcPr>
            <w:tcW w:w="2070" w:type="dxa"/>
            <w:shd w:val="clear" w:color="auto" w:fill="auto"/>
            <w:vAlign w:val="center"/>
            <w:hideMark/>
          </w:tcPr>
          <w:p w14:paraId="12C84EA8" w14:textId="77777777" w:rsidR="00332530" w:rsidRPr="00D70CEB" w:rsidRDefault="00332530" w:rsidP="00663EF7">
            <w:pPr>
              <w:pStyle w:val="NCDTableText"/>
              <w:spacing w:line="312" w:lineRule="auto"/>
              <w:rPr>
                <w:b/>
              </w:rPr>
            </w:pPr>
            <w:r w:rsidRPr="00D70CEB">
              <w:rPr>
                <w:b/>
              </w:rPr>
              <w:t>2013</w:t>
            </w:r>
          </w:p>
        </w:tc>
        <w:tc>
          <w:tcPr>
            <w:tcW w:w="2340" w:type="dxa"/>
            <w:shd w:val="clear" w:color="auto" w:fill="auto"/>
            <w:noWrap/>
            <w:vAlign w:val="center"/>
            <w:hideMark/>
          </w:tcPr>
          <w:p w14:paraId="297E3828" w14:textId="77777777" w:rsidR="00332530" w:rsidRPr="00D7262D" w:rsidRDefault="00332530" w:rsidP="00D70CEB">
            <w:pPr>
              <w:pStyle w:val="NCDTableText"/>
              <w:spacing w:line="312" w:lineRule="auto"/>
              <w:ind w:right="432"/>
              <w:jc w:val="right"/>
            </w:pPr>
            <w:r w:rsidRPr="00D7262D">
              <w:t>$370,000</w:t>
            </w:r>
          </w:p>
        </w:tc>
        <w:tc>
          <w:tcPr>
            <w:tcW w:w="2520" w:type="dxa"/>
            <w:shd w:val="clear" w:color="auto" w:fill="auto"/>
            <w:noWrap/>
            <w:vAlign w:val="center"/>
            <w:hideMark/>
          </w:tcPr>
          <w:p w14:paraId="6A3D280D" w14:textId="5D1E3C34" w:rsidR="00332530" w:rsidRPr="00D7262D" w:rsidRDefault="00332530" w:rsidP="00663EF7">
            <w:pPr>
              <w:pStyle w:val="NCDTableText"/>
              <w:spacing w:line="312" w:lineRule="auto"/>
              <w:jc w:val="center"/>
            </w:pPr>
            <w:r w:rsidRPr="00D7262D">
              <w:t>$273,501.12</w:t>
            </w:r>
          </w:p>
        </w:tc>
        <w:tc>
          <w:tcPr>
            <w:tcW w:w="2250" w:type="dxa"/>
            <w:shd w:val="clear" w:color="auto" w:fill="auto"/>
            <w:noWrap/>
            <w:vAlign w:val="center"/>
            <w:hideMark/>
          </w:tcPr>
          <w:p w14:paraId="47366C8A" w14:textId="77777777" w:rsidR="00332530" w:rsidRPr="00D7262D" w:rsidRDefault="00332530" w:rsidP="00B41F29">
            <w:pPr>
              <w:pStyle w:val="NCDTableText"/>
              <w:spacing w:line="312" w:lineRule="auto"/>
              <w:ind w:right="576"/>
              <w:jc w:val="right"/>
            </w:pPr>
            <w:r w:rsidRPr="00D7262D">
              <w:t>1.29%</w:t>
            </w:r>
          </w:p>
        </w:tc>
      </w:tr>
      <w:tr w:rsidR="00332530" w:rsidRPr="00D7262D" w14:paraId="4D967BBC" w14:textId="77777777" w:rsidTr="00663EF7">
        <w:trPr>
          <w:trHeight w:val="310"/>
        </w:trPr>
        <w:tc>
          <w:tcPr>
            <w:tcW w:w="2070" w:type="dxa"/>
            <w:shd w:val="clear" w:color="auto" w:fill="auto"/>
            <w:vAlign w:val="center"/>
            <w:hideMark/>
          </w:tcPr>
          <w:p w14:paraId="1B5F9EF3" w14:textId="77777777" w:rsidR="00332530" w:rsidRPr="00D70CEB" w:rsidRDefault="00332530" w:rsidP="00663EF7">
            <w:pPr>
              <w:pStyle w:val="NCDTableText"/>
              <w:spacing w:line="312" w:lineRule="auto"/>
              <w:rPr>
                <w:b/>
              </w:rPr>
            </w:pPr>
            <w:r w:rsidRPr="00D70CEB">
              <w:rPr>
                <w:b/>
              </w:rPr>
              <w:t>2014</w:t>
            </w:r>
          </w:p>
        </w:tc>
        <w:tc>
          <w:tcPr>
            <w:tcW w:w="2340" w:type="dxa"/>
            <w:shd w:val="clear" w:color="auto" w:fill="auto"/>
            <w:vAlign w:val="center"/>
            <w:hideMark/>
          </w:tcPr>
          <w:p w14:paraId="3E61A34C" w14:textId="77777777" w:rsidR="00332530" w:rsidRPr="00D7262D" w:rsidRDefault="00332530" w:rsidP="00D70CEB">
            <w:pPr>
              <w:pStyle w:val="NCDTableText"/>
              <w:spacing w:line="312" w:lineRule="auto"/>
              <w:ind w:right="432"/>
              <w:jc w:val="right"/>
            </w:pPr>
            <w:r w:rsidRPr="00D7262D">
              <w:t>$364,000</w:t>
            </w:r>
          </w:p>
        </w:tc>
        <w:tc>
          <w:tcPr>
            <w:tcW w:w="2520" w:type="dxa"/>
            <w:shd w:val="clear" w:color="auto" w:fill="auto"/>
            <w:noWrap/>
            <w:vAlign w:val="center"/>
            <w:hideMark/>
          </w:tcPr>
          <w:p w14:paraId="42C27E57" w14:textId="6BF87393" w:rsidR="00332530" w:rsidRPr="00D7262D" w:rsidRDefault="00332530" w:rsidP="00663EF7">
            <w:pPr>
              <w:pStyle w:val="NCDTableText"/>
              <w:spacing w:line="312" w:lineRule="auto"/>
              <w:jc w:val="center"/>
            </w:pPr>
            <w:r w:rsidRPr="00D7262D">
              <w:t>$264,770.88</w:t>
            </w:r>
          </w:p>
        </w:tc>
        <w:tc>
          <w:tcPr>
            <w:tcW w:w="2250" w:type="dxa"/>
            <w:shd w:val="clear" w:color="auto" w:fill="auto"/>
            <w:noWrap/>
            <w:vAlign w:val="center"/>
            <w:hideMark/>
          </w:tcPr>
          <w:p w14:paraId="3A75A061" w14:textId="4A2EFC84" w:rsidR="00332530" w:rsidRPr="00D7262D" w:rsidRDefault="00D70CEB" w:rsidP="00B41F29">
            <w:pPr>
              <w:pStyle w:val="NCDTableText"/>
              <w:spacing w:line="312" w:lineRule="auto"/>
              <w:ind w:right="576"/>
              <w:jc w:val="right"/>
            </w:pPr>
            <w:r>
              <w:t>–</w:t>
            </w:r>
            <w:r w:rsidR="00332530" w:rsidRPr="00D7262D">
              <w:t>3.19%</w:t>
            </w:r>
          </w:p>
        </w:tc>
      </w:tr>
      <w:tr w:rsidR="00332530" w:rsidRPr="00D7262D" w14:paraId="2E6861B1" w14:textId="77777777" w:rsidTr="00663EF7">
        <w:trPr>
          <w:trHeight w:val="310"/>
        </w:trPr>
        <w:tc>
          <w:tcPr>
            <w:tcW w:w="2070" w:type="dxa"/>
            <w:shd w:val="clear" w:color="auto" w:fill="auto"/>
            <w:vAlign w:val="center"/>
            <w:hideMark/>
          </w:tcPr>
          <w:p w14:paraId="2115B49D" w14:textId="77777777" w:rsidR="00332530" w:rsidRPr="00D70CEB" w:rsidRDefault="00332530" w:rsidP="00663EF7">
            <w:pPr>
              <w:pStyle w:val="NCDTableText"/>
              <w:spacing w:line="312" w:lineRule="auto"/>
              <w:rPr>
                <w:b/>
              </w:rPr>
            </w:pPr>
            <w:r w:rsidRPr="00D70CEB">
              <w:rPr>
                <w:b/>
              </w:rPr>
              <w:t>2015</w:t>
            </w:r>
          </w:p>
        </w:tc>
        <w:tc>
          <w:tcPr>
            <w:tcW w:w="2340" w:type="dxa"/>
            <w:shd w:val="clear" w:color="auto" w:fill="auto"/>
            <w:vAlign w:val="center"/>
            <w:hideMark/>
          </w:tcPr>
          <w:p w14:paraId="58BEB24A" w14:textId="3576C2B1" w:rsidR="00332530" w:rsidRPr="00D7262D" w:rsidRDefault="00332530" w:rsidP="00D70CEB">
            <w:pPr>
              <w:pStyle w:val="NCDTableText"/>
              <w:spacing w:line="312" w:lineRule="auto"/>
              <w:ind w:right="432"/>
              <w:jc w:val="right"/>
            </w:pPr>
            <w:r w:rsidRPr="00D7262D">
              <w:t>$364,500</w:t>
            </w:r>
          </w:p>
        </w:tc>
        <w:tc>
          <w:tcPr>
            <w:tcW w:w="2520" w:type="dxa"/>
            <w:shd w:val="clear" w:color="auto" w:fill="auto"/>
            <w:noWrap/>
            <w:vAlign w:val="center"/>
            <w:hideMark/>
          </w:tcPr>
          <w:p w14:paraId="26CAB71F" w14:textId="2817D68C" w:rsidR="00332530" w:rsidRPr="00D7262D" w:rsidRDefault="00332530" w:rsidP="00663EF7">
            <w:pPr>
              <w:pStyle w:val="NCDTableText"/>
              <w:spacing w:line="312" w:lineRule="auto"/>
              <w:jc w:val="center"/>
            </w:pPr>
            <w:r w:rsidRPr="00D7262D">
              <w:t>$264,820.24</w:t>
            </w:r>
          </w:p>
        </w:tc>
        <w:tc>
          <w:tcPr>
            <w:tcW w:w="2250" w:type="dxa"/>
            <w:shd w:val="clear" w:color="auto" w:fill="auto"/>
            <w:noWrap/>
            <w:vAlign w:val="center"/>
            <w:hideMark/>
          </w:tcPr>
          <w:p w14:paraId="49DFEBDD" w14:textId="77777777" w:rsidR="00332530" w:rsidRPr="00D7262D" w:rsidRDefault="00332530" w:rsidP="00B41F29">
            <w:pPr>
              <w:pStyle w:val="NCDTableText"/>
              <w:spacing w:line="312" w:lineRule="auto"/>
              <w:ind w:right="576"/>
              <w:jc w:val="right"/>
            </w:pPr>
            <w:r w:rsidRPr="00D7262D">
              <w:t>0.02%</w:t>
            </w:r>
          </w:p>
        </w:tc>
      </w:tr>
      <w:tr w:rsidR="00332530" w:rsidRPr="00D7262D" w14:paraId="088FCB39" w14:textId="77777777" w:rsidTr="00663EF7">
        <w:trPr>
          <w:trHeight w:val="310"/>
        </w:trPr>
        <w:tc>
          <w:tcPr>
            <w:tcW w:w="2070" w:type="dxa"/>
            <w:shd w:val="clear" w:color="auto" w:fill="auto"/>
            <w:vAlign w:val="center"/>
            <w:hideMark/>
          </w:tcPr>
          <w:p w14:paraId="7578860F" w14:textId="77777777" w:rsidR="00332530" w:rsidRPr="00D70CEB" w:rsidRDefault="00332530" w:rsidP="00663EF7">
            <w:pPr>
              <w:pStyle w:val="NCDTableText"/>
              <w:spacing w:line="312" w:lineRule="auto"/>
              <w:rPr>
                <w:b/>
              </w:rPr>
            </w:pPr>
            <w:r w:rsidRPr="00D70CEB">
              <w:rPr>
                <w:b/>
              </w:rPr>
              <w:t>2016</w:t>
            </w:r>
          </w:p>
        </w:tc>
        <w:tc>
          <w:tcPr>
            <w:tcW w:w="2340" w:type="dxa"/>
            <w:shd w:val="clear" w:color="auto" w:fill="auto"/>
            <w:vAlign w:val="center"/>
            <w:hideMark/>
          </w:tcPr>
          <w:p w14:paraId="2BBBE795" w14:textId="358E6EF5" w:rsidR="00332530" w:rsidRPr="00D7262D" w:rsidRDefault="00332530" w:rsidP="00D70CEB">
            <w:pPr>
              <w:pStyle w:val="NCDTableText"/>
              <w:spacing w:line="312" w:lineRule="auto"/>
              <w:ind w:right="432"/>
              <w:jc w:val="right"/>
            </w:pPr>
            <w:r w:rsidRPr="00D7262D">
              <w:t>$364,500</w:t>
            </w:r>
          </w:p>
        </w:tc>
        <w:tc>
          <w:tcPr>
            <w:tcW w:w="2520" w:type="dxa"/>
            <w:shd w:val="clear" w:color="auto" w:fill="auto"/>
            <w:noWrap/>
            <w:vAlign w:val="center"/>
            <w:hideMark/>
          </w:tcPr>
          <w:p w14:paraId="62B01BF7" w14:textId="34438C63" w:rsidR="00332530" w:rsidRPr="00D7262D" w:rsidRDefault="00332530" w:rsidP="00663EF7">
            <w:pPr>
              <w:pStyle w:val="NCDTableText"/>
              <w:spacing w:line="312" w:lineRule="auto"/>
              <w:jc w:val="center"/>
            </w:pPr>
            <w:r w:rsidRPr="00D7262D">
              <w:t>$261,521.12</w:t>
            </w:r>
          </w:p>
        </w:tc>
        <w:tc>
          <w:tcPr>
            <w:tcW w:w="2250" w:type="dxa"/>
            <w:shd w:val="clear" w:color="auto" w:fill="auto"/>
            <w:noWrap/>
            <w:vAlign w:val="center"/>
            <w:hideMark/>
          </w:tcPr>
          <w:p w14:paraId="192DAE98" w14:textId="3F96C508" w:rsidR="00332530" w:rsidRPr="00D7262D" w:rsidRDefault="00D70CEB" w:rsidP="00B41F29">
            <w:pPr>
              <w:pStyle w:val="NCDTableText"/>
              <w:spacing w:line="312" w:lineRule="auto"/>
              <w:ind w:right="576"/>
              <w:jc w:val="right"/>
            </w:pPr>
            <w:r>
              <w:t>–</w:t>
            </w:r>
            <w:r w:rsidR="00332530" w:rsidRPr="00D7262D">
              <w:t>1.25%</w:t>
            </w:r>
          </w:p>
        </w:tc>
      </w:tr>
      <w:tr w:rsidR="00332530" w:rsidRPr="00D7262D" w14:paraId="388F866A" w14:textId="77777777" w:rsidTr="00663EF7">
        <w:trPr>
          <w:trHeight w:val="325"/>
        </w:trPr>
        <w:tc>
          <w:tcPr>
            <w:tcW w:w="2070" w:type="dxa"/>
            <w:shd w:val="clear" w:color="auto" w:fill="auto"/>
            <w:vAlign w:val="center"/>
            <w:hideMark/>
          </w:tcPr>
          <w:p w14:paraId="0F74008F" w14:textId="77777777" w:rsidR="00332530" w:rsidRPr="00D70CEB" w:rsidRDefault="00332530" w:rsidP="00663EF7">
            <w:pPr>
              <w:pStyle w:val="NCDTableText"/>
              <w:spacing w:line="312" w:lineRule="auto"/>
              <w:rPr>
                <w:b/>
              </w:rPr>
            </w:pPr>
            <w:r w:rsidRPr="00D70CEB">
              <w:rPr>
                <w:b/>
              </w:rPr>
              <w:t>2017</w:t>
            </w:r>
          </w:p>
        </w:tc>
        <w:tc>
          <w:tcPr>
            <w:tcW w:w="2340" w:type="dxa"/>
            <w:shd w:val="clear" w:color="auto" w:fill="auto"/>
            <w:vAlign w:val="center"/>
            <w:hideMark/>
          </w:tcPr>
          <w:p w14:paraId="70461FEC" w14:textId="1E6D9493" w:rsidR="00332530" w:rsidRPr="00D7262D" w:rsidRDefault="00332530" w:rsidP="00D70CEB">
            <w:pPr>
              <w:pStyle w:val="NCDTableText"/>
              <w:spacing w:line="312" w:lineRule="auto"/>
              <w:ind w:right="432"/>
              <w:jc w:val="right"/>
            </w:pPr>
            <w:r w:rsidRPr="00D7262D">
              <w:t>$364,500</w:t>
            </w:r>
          </w:p>
        </w:tc>
        <w:tc>
          <w:tcPr>
            <w:tcW w:w="2520" w:type="dxa"/>
            <w:shd w:val="clear" w:color="auto" w:fill="auto"/>
            <w:noWrap/>
            <w:vAlign w:val="center"/>
            <w:hideMark/>
          </w:tcPr>
          <w:p w14:paraId="4D43A6DB" w14:textId="6CE98060" w:rsidR="00332530" w:rsidRPr="00D7262D" w:rsidRDefault="00332530" w:rsidP="00663EF7">
            <w:pPr>
              <w:pStyle w:val="NCDTableText"/>
              <w:spacing w:line="312" w:lineRule="auto"/>
              <w:jc w:val="center"/>
            </w:pPr>
            <w:r w:rsidRPr="00D7262D">
              <w:t>$256,066.01</w:t>
            </w:r>
          </w:p>
        </w:tc>
        <w:tc>
          <w:tcPr>
            <w:tcW w:w="2250" w:type="dxa"/>
            <w:shd w:val="clear" w:color="auto" w:fill="auto"/>
            <w:noWrap/>
            <w:vAlign w:val="center"/>
            <w:hideMark/>
          </w:tcPr>
          <w:p w14:paraId="3764FECB" w14:textId="3D9851A7" w:rsidR="00332530" w:rsidRPr="00D7262D" w:rsidRDefault="00D70CEB" w:rsidP="00B41F29">
            <w:pPr>
              <w:pStyle w:val="NCDTableText"/>
              <w:spacing w:line="312" w:lineRule="auto"/>
              <w:ind w:right="576"/>
              <w:jc w:val="right"/>
            </w:pPr>
            <w:r>
              <w:t>–</w:t>
            </w:r>
            <w:r w:rsidR="00332530" w:rsidRPr="00D7262D">
              <w:t>2.09%</w:t>
            </w:r>
          </w:p>
        </w:tc>
      </w:tr>
      <w:tr w:rsidR="00332530" w:rsidRPr="00D7262D" w14:paraId="17264E55" w14:textId="77777777" w:rsidTr="00663EF7">
        <w:trPr>
          <w:trHeight w:val="319"/>
        </w:trPr>
        <w:tc>
          <w:tcPr>
            <w:tcW w:w="2070" w:type="dxa"/>
            <w:shd w:val="clear" w:color="auto" w:fill="auto"/>
            <w:vAlign w:val="bottom"/>
            <w:hideMark/>
          </w:tcPr>
          <w:p w14:paraId="75247416" w14:textId="77777777" w:rsidR="00332530" w:rsidRPr="00D70CEB" w:rsidRDefault="00332530" w:rsidP="00663EF7">
            <w:pPr>
              <w:pStyle w:val="NCDTableText"/>
              <w:spacing w:line="312" w:lineRule="auto"/>
              <w:rPr>
                <w:b/>
              </w:rPr>
            </w:pPr>
            <w:r w:rsidRPr="00D70CEB">
              <w:rPr>
                <w:b/>
              </w:rPr>
              <w:t>Annual Average</w:t>
            </w:r>
          </w:p>
        </w:tc>
        <w:tc>
          <w:tcPr>
            <w:tcW w:w="2340" w:type="dxa"/>
            <w:shd w:val="clear" w:color="000000" w:fill="FFFFFF"/>
            <w:noWrap/>
            <w:vAlign w:val="bottom"/>
            <w:hideMark/>
          </w:tcPr>
          <w:p w14:paraId="12865932" w14:textId="77777777" w:rsidR="00332530" w:rsidRPr="00D7262D" w:rsidRDefault="00332530" w:rsidP="00D70CEB">
            <w:pPr>
              <w:pStyle w:val="NCDTableText"/>
              <w:spacing w:line="312" w:lineRule="auto"/>
              <w:ind w:right="432"/>
              <w:jc w:val="right"/>
            </w:pPr>
            <w:r w:rsidRPr="00D7262D">
              <w:t>$339,906.44</w:t>
            </w:r>
          </w:p>
        </w:tc>
        <w:tc>
          <w:tcPr>
            <w:tcW w:w="2520" w:type="dxa"/>
            <w:shd w:val="clear" w:color="000000" w:fill="FFFFFF"/>
            <w:noWrap/>
            <w:vAlign w:val="bottom"/>
            <w:hideMark/>
          </w:tcPr>
          <w:p w14:paraId="4718878A" w14:textId="77777777" w:rsidR="00332530" w:rsidRPr="00D7262D" w:rsidRDefault="00332530" w:rsidP="00663EF7">
            <w:pPr>
              <w:pStyle w:val="NCDTableText"/>
              <w:spacing w:line="312" w:lineRule="auto"/>
              <w:jc w:val="center"/>
            </w:pPr>
            <w:r w:rsidRPr="00D7262D">
              <w:t>$278,413.16</w:t>
            </w:r>
          </w:p>
        </w:tc>
        <w:tc>
          <w:tcPr>
            <w:tcW w:w="2250" w:type="dxa"/>
            <w:shd w:val="clear" w:color="000000" w:fill="FFFFFF"/>
            <w:noWrap/>
            <w:vAlign w:val="bottom"/>
            <w:hideMark/>
          </w:tcPr>
          <w:p w14:paraId="131491B3" w14:textId="54EECCD3" w:rsidR="00332530" w:rsidRPr="00D7262D" w:rsidRDefault="00332530" w:rsidP="00B41F29">
            <w:pPr>
              <w:pStyle w:val="NCDTableText"/>
              <w:spacing w:line="312" w:lineRule="auto"/>
              <w:ind w:right="576"/>
              <w:jc w:val="right"/>
            </w:pPr>
            <w:r w:rsidRPr="00BE1926">
              <w:t>1.58%</w:t>
            </w:r>
          </w:p>
        </w:tc>
      </w:tr>
      <w:tr w:rsidR="00332530" w:rsidRPr="00D7262D" w14:paraId="5B3BEFEF" w14:textId="77777777" w:rsidTr="00663EF7">
        <w:trPr>
          <w:trHeight w:val="325"/>
        </w:trPr>
        <w:tc>
          <w:tcPr>
            <w:tcW w:w="2070" w:type="dxa"/>
            <w:shd w:val="clear" w:color="auto" w:fill="auto"/>
            <w:noWrap/>
            <w:vAlign w:val="bottom"/>
            <w:hideMark/>
          </w:tcPr>
          <w:p w14:paraId="3397BF3D" w14:textId="77777777" w:rsidR="00332530" w:rsidRPr="00D70CEB" w:rsidRDefault="00332530" w:rsidP="00663EF7">
            <w:pPr>
              <w:pStyle w:val="NCDTableText"/>
              <w:spacing w:line="312" w:lineRule="auto"/>
              <w:rPr>
                <w:b/>
              </w:rPr>
            </w:pPr>
            <w:r w:rsidRPr="00D70CEB">
              <w:rPr>
                <w:b/>
              </w:rPr>
              <w:t>% Change Between 2000 &amp; 2017</w:t>
            </w:r>
          </w:p>
        </w:tc>
        <w:tc>
          <w:tcPr>
            <w:tcW w:w="2340" w:type="dxa"/>
            <w:shd w:val="clear" w:color="000000" w:fill="FFFFFF"/>
            <w:noWrap/>
            <w:vAlign w:val="bottom"/>
            <w:hideMark/>
          </w:tcPr>
          <w:p w14:paraId="5F904F04" w14:textId="68348E58" w:rsidR="00332530" w:rsidRPr="00D7262D" w:rsidRDefault="00332530" w:rsidP="00663EF7">
            <w:pPr>
              <w:pStyle w:val="NCDTableText"/>
              <w:spacing w:line="312" w:lineRule="auto"/>
              <w:jc w:val="center"/>
            </w:pPr>
          </w:p>
        </w:tc>
        <w:tc>
          <w:tcPr>
            <w:tcW w:w="2520" w:type="dxa"/>
            <w:shd w:val="clear" w:color="000000" w:fill="FFFFFF"/>
            <w:noWrap/>
            <w:vAlign w:val="bottom"/>
            <w:hideMark/>
          </w:tcPr>
          <w:p w14:paraId="3E342DB6" w14:textId="4345C20D" w:rsidR="00332530" w:rsidRPr="00D7262D" w:rsidRDefault="00332530" w:rsidP="00663EF7">
            <w:pPr>
              <w:pStyle w:val="NCDTableText"/>
              <w:spacing w:line="312" w:lineRule="auto"/>
              <w:jc w:val="center"/>
            </w:pPr>
          </w:p>
        </w:tc>
        <w:tc>
          <w:tcPr>
            <w:tcW w:w="2250" w:type="dxa"/>
            <w:shd w:val="clear" w:color="000000" w:fill="FFFFFF"/>
            <w:noWrap/>
            <w:vAlign w:val="bottom"/>
            <w:hideMark/>
          </w:tcPr>
          <w:p w14:paraId="72CA701D" w14:textId="69E8A143" w:rsidR="00332530" w:rsidRPr="00565EF6" w:rsidRDefault="00B41F29" w:rsidP="00B41F29">
            <w:pPr>
              <w:pStyle w:val="NCDTableText"/>
              <w:spacing w:line="312" w:lineRule="auto"/>
              <w:ind w:right="576"/>
              <w:jc w:val="right"/>
            </w:pPr>
            <w:r>
              <w:t>–</w:t>
            </w:r>
            <w:r w:rsidR="00332530" w:rsidRPr="00565EF6">
              <w:t>8.85%</w:t>
            </w:r>
          </w:p>
        </w:tc>
      </w:tr>
    </w:tbl>
    <w:p w14:paraId="57A9AA3F" w14:textId="3F571733" w:rsidR="00663EF7" w:rsidRPr="003C232E" w:rsidRDefault="003C232E" w:rsidP="00EE516A">
      <w:pPr>
        <w:pStyle w:val="NCDBodyText"/>
        <w:spacing w:before="200" w:after="0"/>
      </w:pPr>
      <w:r>
        <w:t xml:space="preserve">Enacted Budget </w:t>
      </w:r>
      <w:r w:rsidR="00332530" w:rsidRPr="00D7262D">
        <w:t>Data Source: EEOC</w:t>
      </w:r>
      <w:r>
        <w:t>;</w:t>
      </w:r>
      <w:r w:rsidR="00332530" w:rsidRPr="003E5ABF">
        <w:rPr>
          <w:vertAlign w:val="superscript"/>
        </w:rPr>
        <w:endnoteReference w:id="300"/>
      </w:r>
      <w:r>
        <w:t xml:space="preserve"> </w:t>
      </w:r>
      <w:r w:rsidR="00332530" w:rsidRPr="00D7262D">
        <w:t>Constant dollar and year % changes are calculations of the researchers based on the Consumer Price Index (CPI) for each year utilizing 2000 as the base year.</w:t>
      </w:r>
    </w:p>
    <w:p w14:paraId="51485C2D" w14:textId="77777777" w:rsidR="00332530" w:rsidRPr="00D7262D" w:rsidRDefault="00332530" w:rsidP="003C32E5">
      <w:pPr>
        <w:pStyle w:val="NCDTableHeader"/>
        <w:pageBreakBefore/>
        <w:jc w:val="left"/>
      </w:pPr>
      <w:r w:rsidRPr="00D7262D">
        <w:lastRenderedPageBreak/>
        <w:t>T</w:t>
      </w:r>
      <w:r>
        <w:t xml:space="preserve">able </w:t>
      </w:r>
      <w:r w:rsidR="001428F4">
        <w:t>B</w:t>
      </w:r>
      <w:r w:rsidRPr="00D7262D">
        <w:t>: EEOC Staffing 2000</w:t>
      </w:r>
      <w:r>
        <w:t xml:space="preserve"> to 2017</w:t>
      </w:r>
    </w:p>
    <w:tbl>
      <w:tblPr>
        <w:tblW w:w="9270" w:type="dxa"/>
        <w:tblInd w:w="19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43" w:type="dxa"/>
          <w:left w:w="115" w:type="dxa"/>
          <w:right w:w="115" w:type="dxa"/>
        </w:tblCellMar>
        <w:tblLook w:val="04A0" w:firstRow="1" w:lastRow="0" w:firstColumn="1" w:lastColumn="0" w:noHBand="0" w:noVBand="1"/>
        <w:tblCaption w:val="Table B: EEOC Staffing 2000 to 2017"/>
        <w:tblDescription w:val="Fiscal Year Approved FTE Ceiling Actual End of Fiscal Year FTE Yearly FTE Change Yearly % Change&#10;2000 2,946 2,852 N/A N/A&#10;2001 3,055 2,704 –148 –5.19%&#10;2002 3,055 2,783 79 2.92%&#10;2003 2,800 2,617 –166 –5.96%&#10;2004 2,765 2,462 –155 –5.92%&#10;2005 2,640 2,441 –21 –0.85%&#10;2006 2,381 2,246 –195 –7.99%&#10;2007 2,381 2,158 –88 –3.92%&#10;2008 2,381 2,176 18 0.83%&#10;2009 2,556 2,192 16 0.74%&#10;2010 2,556 2,385 193 8.80%&#10;2011 2,470 2,505 120 5.03%&#10;2012 2,571 2,346 –159 –6.35%&#10;2013 2,354 2,147 –199 –8.48%&#10;2014 2,347 2,098 –49 –2.28%&#10;2015 2,347 2,191 93 4.43%&#10;2016 2,250* 2,202 11 0.50%&#10;2017 2,347 2,082 –120 –5.45%&#10;Annual Average  2,366  &#10;Change Between 2000 &amp; 2017   –770 –27.00%&#10;Data Source: EEOC;  Yearly change calculations by the researchers.&#10;*2,250 represents the revised actual within the FY 2016 Enacted Budget; 2,347 was the Commission’s approved FTE Ceiling.&#10;"/>
      </w:tblPr>
      <w:tblGrid>
        <w:gridCol w:w="2070"/>
        <w:gridCol w:w="1710"/>
        <w:gridCol w:w="2160"/>
        <w:gridCol w:w="1710"/>
        <w:gridCol w:w="1620"/>
      </w:tblGrid>
      <w:tr w:rsidR="00332530" w:rsidRPr="00D7262D" w14:paraId="4DB2B295" w14:textId="77777777" w:rsidTr="00663EF7">
        <w:trPr>
          <w:trHeight w:val="935"/>
        </w:trPr>
        <w:tc>
          <w:tcPr>
            <w:tcW w:w="2070" w:type="dxa"/>
            <w:shd w:val="clear" w:color="auto" w:fill="auto"/>
            <w:vAlign w:val="center"/>
          </w:tcPr>
          <w:p w14:paraId="600504EF" w14:textId="77777777" w:rsidR="00332530" w:rsidRPr="003C232E" w:rsidRDefault="00565EF6" w:rsidP="00663EF7">
            <w:pPr>
              <w:pStyle w:val="NCDTableHeader"/>
              <w:spacing w:line="312" w:lineRule="auto"/>
              <w:jc w:val="left"/>
              <w:rPr>
                <w:color w:val="333333"/>
              </w:rPr>
            </w:pPr>
            <w:r>
              <w:t>Fiscal Year</w:t>
            </w:r>
          </w:p>
        </w:tc>
        <w:tc>
          <w:tcPr>
            <w:tcW w:w="1710" w:type="dxa"/>
            <w:shd w:val="clear" w:color="auto" w:fill="auto"/>
            <w:vAlign w:val="center"/>
          </w:tcPr>
          <w:p w14:paraId="3B9B35D1" w14:textId="77777777" w:rsidR="00332530" w:rsidRPr="003C232E" w:rsidRDefault="00332530" w:rsidP="00663EF7">
            <w:pPr>
              <w:pStyle w:val="NCDTableHeader"/>
              <w:spacing w:line="312" w:lineRule="auto"/>
            </w:pPr>
            <w:r w:rsidRPr="003C232E">
              <w:t>Approved FTE Ceiling</w:t>
            </w:r>
          </w:p>
        </w:tc>
        <w:tc>
          <w:tcPr>
            <w:tcW w:w="2160" w:type="dxa"/>
            <w:shd w:val="clear" w:color="auto" w:fill="auto"/>
            <w:vAlign w:val="center"/>
            <w:hideMark/>
          </w:tcPr>
          <w:p w14:paraId="4C6C6978" w14:textId="77777777" w:rsidR="00332530" w:rsidRPr="003C232E" w:rsidRDefault="00332530" w:rsidP="00663EF7">
            <w:pPr>
              <w:pStyle w:val="NCDTableHeader"/>
              <w:spacing w:line="312" w:lineRule="auto"/>
            </w:pPr>
            <w:r w:rsidRPr="003C232E">
              <w:t>Actual End of Fiscal Year FTE</w:t>
            </w:r>
          </w:p>
        </w:tc>
        <w:tc>
          <w:tcPr>
            <w:tcW w:w="1710" w:type="dxa"/>
            <w:shd w:val="clear" w:color="auto" w:fill="auto"/>
            <w:vAlign w:val="center"/>
            <w:hideMark/>
          </w:tcPr>
          <w:p w14:paraId="7616F290" w14:textId="77777777" w:rsidR="00332530" w:rsidRPr="003C232E" w:rsidRDefault="00332530" w:rsidP="00663EF7">
            <w:pPr>
              <w:pStyle w:val="NCDTableHeader"/>
              <w:spacing w:line="312" w:lineRule="auto"/>
            </w:pPr>
            <w:r w:rsidRPr="003C232E">
              <w:t>Yearly FTE Change</w:t>
            </w:r>
          </w:p>
        </w:tc>
        <w:tc>
          <w:tcPr>
            <w:tcW w:w="1620" w:type="dxa"/>
            <w:shd w:val="clear" w:color="auto" w:fill="auto"/>
            <w:vAlign w:val="center"/>
            <w:hideMark/>
          </w:tcPr>
          <w:p w14:paraId="69647393" w14:textId="77777777" w:rsidR="00332530" w:rsidRPr="003C232E" w:rsidRDefault="00332530" w:rsidP="00663EF7">
            <w:pPr>
              <w:pStyle w:val="NCDTableHeader"/>
              <w:spacing w:line="312" w:lineRule="auto"/>
            </w:pPr>
            <w:r w:rsidRPr="003C232E">
              <w:t>Yearly % Change</w:t>
            </w:r>
          </w:p>
        </w:tc>
      </w:tr>
      <w:tr w:rsidR="00332530" w:rsidRPr="00D7262D" w14:paraId="70EA3F8B" w14:textId="77777777" w:rsidTr="00663EF7">
        <w:trPr>
          <w:trHeight w:val="315"/>
        </w:trPr>
        <w:tc>
          <w:tcPr>
            <w:tcW w:w="2070" w:type="dxa"/>
            <w:shd w:val="clear" w:color="auto" w:fill="auto"/>
            <w:vAlign w:val="center"/>
          </w:tcPr>
          <w:p w14:paraId="5B79D259" w14:textId="77777777" w:rsidR="00332530" w:rsidRPr="00B41F29" w:rsidRDefault="00332530" w:rsidP="00663EF7">
            <w:pPr>
              <w:pStyle w:val="NCDTableText"/>
              <w:spacing w:line="312" w:lineRule="auto"/>
              <w:rPr>
                <w:b/>
              </w:rPr>
            </w:pPr>
            <w:r w:rsidRPr="00B41F29">
              <w:rPr>
                <w:b/>
              </w:rPr>
              <w:t>2000</w:t>
            </w:r>
          </w:p>
        </w:tc>
        <w:tc>
          <w:tcPr>
            <w:tcW w:w="1710" w:type="dxa"/>
            <w:shd w:val="clear" w:color="auto" w:fill="auto"/>
            <w:vAlign w:val="center"/>
          </w:tcPr>
          <w:p w14:paraId="6B878076" w14:textId="77777777" w:rsidR="00332530" w:rsidRPr="003C232E" w:rsidRDefault="00332530" w:rsidP="007852F1">
            <w:pPr>
              <w:pStyle w:val="NCDTableText"/>
              <w:tabs>
                <w:tab w:val="decimal" w:pos="1053"/>
              </w:tabs>
              <w:spacing w:line="312" w:lineRule="auto"/>
            </w:pPr>
            <w:r w:rsidRPr="003C232E">
              <w:t>2,946</w:t>
            </w:r>
          </w:p>
        </w:tc>
        <w:tc>
          <w:tcPr>
            <w:tcW w:w="2160" w:type="dxa"/>
            <w:shd w:val="clear" w:color="auto" w:fill="auto"/>
            <w:vAlign w:val="center"/>
            <w:hideMark/>
          </w:tcPr>
          <w:p w14:paraId="485830CB" w14:textId="77777777" w:rsidR="00332530" w:rsidRPr="003C232E" w:rsidRDefault="00332530" w:rsidP="00663EF7">
            <w:pPr>
              <w:pStyle w:val="NCDTableText"/>
              <w:spacing w:line="312" w:lineRule="auto"/>
              <w:jc w:val="center"/>
            </w:pPr>
            <w:r w:rsidRPr="003C232E">
              <w:t>2,852</w:t>
            </w:r>
          </w:p>
        </w:tc>
        <w:tc>
          <w:tcPr>
            <w:tcW w:w="1710" w:type="dxa"/>
            <w:shd w:val="clear" w:color="auto" w:fill="auto"/>
            <w:noWrap/>
            <w:vAlign w:val="center"/>
            <w:hideMark/>
          </w:tcPr>
          <w:p w14:paraId="7A54B462" w14:textId="77777777" w:rsidR="00332530" w:rsidRPr="003C232E" w:rsidRDefault="00332530" w:rsidP="00586981">
            <w:pPr>
              <w:pStyle w:val="NCDTableText"/>
              <w:tabs>
                <w:tab w:val="decimal" w:pos="954"/>
              </w:tabs>
              <w:spacing w:line="312" w:lineRule="auto"/>
            </w:pPr>
            <w:r w:rsidRPr="003C232E">
              <w:t>N/A</w:t>
            </w:r>
          </w:p>
        </w:tc>
        <w:tc>
          <w:tcPr>
            <w:tcW w:w="1620" w:type="dxa"/>
            <w:shd w:val="clear" w:color="auto" w:fill="auto"/>
            <w:noWrap/>
            <w:vAlign w:val="center"/>
            <w:hideMark/>
          </w:tcPr>
          <w:p w14:paraId="1E990F3C" w14:textId="77777777" w:rsidR="00332530" w:rsidRPr="003C232E" w:rsidRDefault="00332530" w:rsidP="00C9703D">
            <w:pPr>
              <w:pStyle w:val="NCDTableText"/>
              <w:tabs>
                <w:tab w:val="decimal" w:pos="1179"/>
              </w:tabs>
              <w:spacing w:line="312" w:lineRule="auto"/>
            </w:pPr>
            <w:r w:rsidRPr="003C232E">
              <w:t>N/A</w:t>
            </w:r>
          </w:p>
        </w:tc>
      </w:tr>
      <w:tr w:rsidR="00332530" w:rsidRPr="00D7262D" w14:paraId="1F4A5A0B" w14:textId="77777777" w:rsidTr="00663EF7">
        <w:trPr>
          <w:trHeight w:val="315"/>
        </w:trPr>
        <w:tc>
          <w:tcPr>
            <w:tcW w:w="2070" w:type="dxa"/>
            <w:shd w:val="clear" w:color="auto" w:fill="auto"/>
            <w:vAlign w:val="center"/>
          </w:tcPr>
          <w:p w14:paraId="6594B406" w14:textId="77777777" w:rsidR="00332530" w:rsidRPr="00B41F29" w:rsidRDefault="00332530" w:rsidP="00663EF7">
            <w:pPr>
              <w:pStyle w:val="NCDTableText"/>
              <w:spacing w:line="312" w:lineRule="auto"/>
              <w:rPr>
                <w:b/>
              </w:rPr>
            </w:pPr>
            <w:r w:rsidRPr="00B41F29">
              <w:rPr>
                <w:b/>
              </w:rPr>
              <w:t>2001</w:t>
            </w:r>
          </w:p>
        </w:tc>
        <w:tc>
          <w:tcPr>
            <w:tcW w:w="1710" w:type="dxa"/>
            <w:shd w:val="clear" w:color="auto" w:fill="auto"/>
            <w:vAlign w:val="center"/>
          </w:tcPr>
          <w:p w14:paraId="14CB4630" w14:textId="77777777" w:rsidR="00332530" w:rsidRPr="003C232E" w:rsidRDefault="00332530" w:rsidP="007852F1">
            <w:pPr>
              <w:pStyle w:val="NCDTableText"/>
              <w:tabs>
                <w:tab w:val="decimal" w:pos="1053"/>
              </w:tabs>
              <w:spacing w:line="312" w:lineRule="auto"/>
            </w:pPr>
            <w:r w:rsidRPr="003C232E">
              <w:t>3,055</w:t>
            </w:r>
          </w:p>
        </w:tc>
        <w:tc>
          <w:tcPr>
            <w:tcW w:w="2160" w:type="dxa"/>
            <w:shd w:val="clear" w:color="auto" w:fill="auto"/>
            <w:vAlign w:val="center"/>
            <w:hideMark/>
          </w:tcPr>
          <w:p w14:paraId="55506A84" w14:textId="77777777" w:rsidR="00332530" w:rsidRPr="003C232E" w:rsidRDefault="00332530" w:rsidP="00663EF7">
            <w:pPr>
              <w:pStyle w:val="NCDTableText"/>
              <w:spacing w:line="312" w:lineRule="auto"/>
              <w:jc w:val="center"/>
            </w:pPr>
            <w:r w:rsidRPr="003C232E">
              <w:t>2,704</w:t>
            </w:r>
          </w:p>
        </w:tc>
        <w:tc>
          <w:tcPr>
            <w:tcW w:w="1710" w:type="dxa"/>
            <w:shd w:val="clear" w:color="auto" w:fill="auto"/>
            <w:noWrap/>
            <w:vAlign w:val="center"/>
            <w:hideMark/>
          </w:tcPr>
          <w:p w14:paraId="091323F2" w14:textId="595A83F5" w:rsidR="00332530" w:rsidRPr="003C232E" w:rsidRDefault="007852F1" w:rsidP="00586981">
            <w:pPr>
              <w:pStyle w:val="NCDTableText"/>
              <w:tabs>
                <w:tab w:val="decimal" w:pos="954"/>
              </w:tabs>
              <w:spacing w:line="312" w:lineRule="auto"/>
            </w:pPr>
            <w:r>
              <w:t>–</w:t>
            </w:r>
            <w:r w:rsidR="00332530" w:rsidRPr="003C232E">
              <w:t>148</w:t>
            </w:r>
          </w:p>
        </w:tc>
        <w:tc>
          <w:tcPr>
            <w:tcW w:w="1620" w:type="dxa"/>
            <w:shd w:val="clear" w:color="auto" w:fill="auto"/>
            <w:noWrap/>
            <w:vAlign w:val="center"/>
            <w:hideMark/>
          </w:tcPr>
          <w:p w14:paraId="3E56B429" w14:textId="298FB83E" w:rsidR="00332530" w:rsidRPr="003C232E" w:rsidRDefault="003E58DD" w:rsidP="00586981">
            <w:pPr>
              <w:pStyle w:val="NCDTableText"/>
              <w:tabs>
                <w:tab w:val="decimal" w:pos="657"/>
              </w:tabs>
              <w:spacing w:line="312" w:lineRule="auto"/>
            </w:pPr>
            <w:r>
              <w:t>–</w:t>
            </w:r>
            <w:r w:rsidR="00332530" w:rsidRPr="003C232E">
              <w:t>5.19%</w:t>
            </w:r>
          </w:p>
        </w:tc>
      </w:tr>
      <w:tr w:rsidR="00332530" w:rsidRPr="00D7262D" w14:paraId="3F055732" w14:textId="77777777" w:rsidTr="00663EF7">
        <w:trPr>
          <w:trHeight w:val="315"/>
        </w:trPr>
        <w:tc>
          <w:tcPr>
            <w:tcW w:w="2070" w:type="dxa"/>
            <w:shd w:val="clear" w:color="auto" w:fill="auto"/>
            <w:vAlign w:val="center"/>
          </w:tcPr>
          <w:p w14:paraId="026D26F9" w14:textId="77777777" w:rsidR="00332530" w:rsidRPr="00B41F29" w:rsidRDefault="00332530" w:rsidP="00663EF7">
            <w:pPr>
              <w:pStyle w:val="NCDTableText"/>
              <w:spacing w:line="312" w:lineRule="auto"/>
              <w:rPr>
                <w:b/>
              </w:rPr>
            </w:pPr>
            <w:r w:rsidRPr="00B41F29">
              <w:rPr>
                <w:b/>
              </w:rPr>
              <w:t>2002</w:t>
            </w:r>
          </w:p>
        </w:tc>
        <w:tc>
          <w:tcPr>
            <w:tcW w:w="1710" w:type="dxa"/>
            <w:shd w:val="clear" w:color="auto" w:fill="auto"/>
            <w:vAlign w:val="center"/>
          </w:tcPr>
          <w:p w14:paraId="307CE32B" w14:textId="77777777" w:rsidR="00332530" w:rsidRPr="003C232E" w:rsidRDefault="00332530" w:rsidP="007852F1">
            <w:pPr>
              <w:pStyle w:val="NCDTableText"/>
              <w:tabs>
                <w:tab w:val="decimal" w:pos="1053"/>
              </w:tabs>
              <w:spacing w:line="312" w:lineRule="auto"/>
            </w:pPr>
            <w:r w:rsidRPr="003C232E">
              <w:t>3,055</w:t>
            </w:r>
          </w:p>
        </w:tc>
        <w:tc>
          <w:tcPr>
            <w:tcW w:w="2160" w:type="dxa"/>
            <w:shd w:val="clear" w:color="auto" w:fill="auto"/>
            <w:vAlign w:val="center"/>
            <w:hideMark/>
          </w:tcPr>
          <w:p w14:paraId="4223B1C1" w14:textId="77777777" w:rsidR="00332530" w:rsidRPr="003C232E" w:rsidRDefault="00332530" w:rsidP="00663EF7">
            <w:pPr>
              <w:pStyle w:val="NCDTableText"/>
              <w:spacing w:line="312" w:lineRule="auto"/>
              <w:jc w:val="center"/>
            </w:pPr>
            <w:r w:rsidRPr="003C232E">
              <w:t>2,783</w:t>
            </w:r>
          </w:p>
        </w:tc>
        <w:tc>
          <w:tcPr>
            <w:tcW w:w="1710" w:type="dxa"/>
            <w:shd w:val="clear" w:color="auto" w:fill="auto"/>
            <w:noWrap/>
            <w:vAlign w:val="center"/>
            <w:hideMark/>
          </w:tcPr>
          <w:p w14:paraId="6E670E61" w14:textId="77777777" w:rsidR="00332530" w:rsidRPr="003C232E" w:rsidRDefault="00332530" w:rsidP="00586981">
            <w:pPr>
              <w:pStyle w:val="NCDTableText"/>
              <w:tabs>
                <w:tab w:val="decimal" w:pos="954"/>
              </w:tabs>
              <w:spacing w:line="312" w:lineRule="auto"/>
            </w:pPr>
            <w:r w:rsidRPr="003C232E">
              <w:t>79</w:t>
            </w:r>
          </w:p>
        </w:tc>
        <w:tc>
          <w:tcPr>
            <w:tcW w:w="1620" w:type="dxa"/>
            <w:shd w:val="clear" w:color="auto" w:fill="auto"/>
            <w:noWrap/>
            <w:vAlign w:val="center"/>
            <w:hideMark/>
          </w:tcPr>
          <w:p w14:paraId="029F9435" w14:textId="77777777" w:rsidR="00332530" w:rsidRPr="003C232E" w:rsidRDefault="00332530" w:rsidP="00586981">
            <w:pPr>
              <w:pStyle w:val="NCDTableText"/>
              <w:tabs>
                <w:tab w:val="decimal" w:pos="657"/>
              </w:tabs>
              <w:spacing w:line="312" w:lineRule="auto"/>
            </w:pPr>
            <w:r w:rsidRPr="003C232E">
              <w:t>2.92%</w:t>
            </w:r>
          </w:p>
        </w:tc>
      </w:tr>
      <w:tr w:rsidR="00332530" w:rsidRPr="00D7262D" w14:paraId="1783D4B9" w14:textId="77777777" w:rsidTr="00663EF7">
        <w:trPr>
          <w:trHeight w:val="315"/>
        </w:trPr>
        <w:tc>
          <w:tcPr>
            <w:tcW w:w="2070" w:type="dxa"/>
            <w:shd w:val="clear" w:color="auto" w:fill="auto"/>
            <w:vAlign w:val="center"/>
          </w:tcPr>
          <w:p w14:paraId="4AEEFDDF" w14:textId="77777777" w:rsidR="00332530" w:rsidRPr="00B41F29" w:rsidRDefault="00332530" w:rsidP="00663EF7">
            <w:pPr>
              <w:pStyle w:val="NCDTableText"/>
              <w:spacing w:line="312" w:lineRule="auto"/>
              <w:rPr>
                <w:b/>
              </w:rPr>
            </w:pPr>
            <w:r w:rsidRPr="00B41F29">
              <w:rPr>
                <w:b/>
              </w:rPr>
              <w:t>2003</w:t>
            </w:r>
          </w:p>
        </w:tc>
        <w:tc>
          <w:tcPr>
            <w:tcW w:w="1710" w:type="dxa"/>
            <w:shd w:val="clear" w:color="auto" w:fill="auto"/>
            <w:vAlign w:val="center"/>
          </w:tcPr>
          <w:p w14:paraId="4D8E2349" w14:textId="77777777" w:rsidR="00332530" w:rsidRPr="003C232E" w:rsidRDefault="00332530" w:rsidP="007852F1">
            <w:pPr>
              <w:pStyle w:val="NCDTableText"/>
              <w:tabs>
                <w:tab w:val="decimal" w:pos="1053"/>
              </w:tabs>
              <w:spacing w:line="312" w:lineRule="auto"/>
            </w:pPr>
            <w:r w:rsidRPr="003C232E">
              <w:t>2,800</w:t>
            </w:r>
          </w:p>
        </w:tc>
        <w:tc>
          <w:tcPr>
            <w:tcW w:w="2160" w:type="dxa"/>
            <w:shd w:val="clear" w:color="auto" w:fill="auto"/>
            <w:vAlign w:val="center"/>
            <w:hideMark/>
          </w:tcPr>
          <w:p w14:paraId="60EC881A" w14:textId="77777777" w:rsidR="00332530" w:rsidRPr="003C232E" w:rsidRDefault="00332530" w:rsidP="00663EF7">
            <w:pPr>
              <w:pStyle w:val="NCDTableText"/>
              <w:spacing w:line="312" w:lineRule="auto"/>
              <w:jc w:val="center"/>
            </w:pPr>
            <w:r w:rsidRPr="003C232E">
              <w:t>2,617</w:t>
            </w:r>
          </w:p>
        </w:tc>
        <w:tc>
          <w:tcPr>
            <w:tcW w:w="1710" w:type="dxa"/>
            <w:shd w:val="clear" w:color="auto" w:fill="auto"/>
            <w:noWrap/>
            <w:vAlign w:val="center"/>
            <w:hideMark/>
          </w:tcPr>
          <w:p w14:paraId="6D2E2C74" w14:textId="3F46433C" w:rsidR="00332530" w:rsidRPr="003C232E" w:rsidRDefault="007852F1" w:rsidP="00586981">
            <w:pPr>
              <w:pStyle w:val="NCDTableText"/>
              <w:tabs>
                <w:tab w:val="decimal" w:pos="954"/>
              </w:tabs>
              <w:spacing w:line="312" w:lineRule="auto"/>
            </w:pPr>
            <w:r>
              <w:t>–</w:t>
            </w:r>
            <w:r w:rsidR="00332530" w:rsidRPr="003C232E">
              <w:t>166</w:t>
            </w:r>
          </w:p>
        </w:tc>
        <w:tc>
          <w:tcPr>
            <w:tcW w:w="1620" w:type="dxa"/>
            <w:shd w:val="clear" w:color="auto" w:fill="auto"/>
            <w:noWrap/>
            <w:vAlign w:val="center"/>
            <w:hideMark/>
          </w:tcPr>
          <w:p w14:paraId="1F6C4445" w14:textId="3FB492E4" w:rsidR="00332530" w:rsidRPr="003C232E" w:rsidRDefault="003E58DD" w:rsidP="00586981">
            <w:pPr>
              <w:pStyle w:val="NCDTableText"/>
              <w:tabs>
                <w:tab w:val="decimal" w:pos="657"/>
              </w:tabs>
              <w:spacing w:line="312" w:lineRule="auto"/>
            </w:pPr>
            <w:r>
              <w:t>–</w:t>
            </w:r>
            <w:r w:rsidR="00332530" w:rsidRPr="003C232E">
              <w:t>5.96%</w:t>
            </w:r>
          </w:p>
        </w:tc>
      </w:tr>
      <w:tr w:rsidR="00332530" w:rsidRPr="00D7262D" w14:paraId="14B6C18B" w14:textId="77777777" w:rsidTr="00663EF7">
        <w:trPr>
          <w:trHeight w:val="315"/>
        </w:trPr>
        <w:tc>
          <w:tcPr>
            <w:tcW w:w="2070" w:type="dxa"/>
            <w:shd w:val="clear" w:color="auto" w:fill="auto"/>
            <w:vAlign w:val="center"/>
          </w:tcPr>
          <w:p w14:paraId="378485E3" w14:textId="77777777" w:rsidR="00332530" w:rsidRPr="00B41F29" w:rsidRDefault="00332530" w:rsidP="00663EF7">
            <w:pPr>
              <w:pStyle w:val="NCDTableText"/>
              <w:spacing w:line="312" w:lineRule="auto"/>
              <w:rPr>
                <w:b/>
              </w:rPr>
            </w:pPr>
            <w:r w:rsidRPr="00B41F29">
              <w:rPr>
                <w:b/>
              </w:rPr>
              <w:t>2004</w:t>
            </w:r>
          </w:p>
        </w:tc>
        <w:tc>
          <w:tcPr>
            <w:tcW w:w="1710" w:type="dxa"/>
            <w:shd w:val="clear" w:color="auto" w:fill="auto"/>
            <w:vAlign w:val="center"/>
          </w:tcPr>
          <w:p w14:paraId="721136A5" w14:textId="77777777" w:rsidR="00332530" w:rsidRPr="003C232E" w:rsidRDefault="00332530" w:rsidP="007852F1">
            <w:pPr>
              <w:pStyle w:val="NCDTableText"/>
              <w:tabs>
                <w:tab w:val="decimal" w:pos="1053"/>
              </w:tabs>
              <w:spacing w:line="312" w:lineRule="auto"/>
            </w:pPr>
            <w:r w:rsidRPr="003C232E">
              <w:t>2,765</w:t>
            </w:r>
          </w:p>
        </w:tc>
        <w:tc>
          <w:tcPr>
            <w:tcW w:w="2160" w:type="dxa"/>
            <w:shd w:val="clear" w:color="auto" w:fill="auto"/>
            <w:vAlign w:val="center"/>
            <w:hideMark/>
          </w:tcPr>
          <w:p w14:paraId="196A4856" w14:textId="77777777" w:rsidR="00332530" w:rsidRPr="003C232E" w:rsidRDefault="00332530" w:rsidP="00663EF7">
            <w:pPr>
              <w:pStyle w:val="NCDTableText"/>
              <w:spacing w:line="312" w:lineRule="auto"/>
              <w:jc w:val="center"/>
            </w:pPr>
            <w:r w:rsidRPr="003C232E">
              <w:t>2,462</w:t>
            </w:r>
          </w:p>
        </w:tc>
        <w:tc>
          <w:tcPr>
            <w:tcW w:w="1710" w:type="dxa"/>
            <w:shd w:val="clear" w:color="auto" w:fill="auto"/>
            <w:noWrap/>
            <w:vAlign w:val="center"/>
            <w:hideMark/>
          </w:tcPr>
          <w:p w14:paraId="1D65D067" w14:textId="37B1B6A4" w:rsidR="00332530" w:rsidRPr="003C232E" w:rsidRDefault="007852F1" w:rsidP="00586981">
            <w:pPr>
              <w:pStyle w:val="NCDTableText"/>
              <w:tabs>
                <w:tab w:val="decimal" w:pos="954"/>
              </w:tabs>
              <w:spacing w:line="312" w:lineRule="auto"/>
            </w:pPr>
            <w:r>
              <w:t>–</w:t>
            </w:r>
            <w:r w:rsidR="00332530" w:rsidRPr="003C232E">
              <w:t>155</w:t>
            </w:r>
          </w:p>
        </w:tc>
        <w:tc>
          <w:tcPr>
            <w:tcW w:w="1620" w:type="dxa"/>
            <w:shd w:val="clear" w:color="auto" w:fill="auto"/>
            <w:noWrap/>
            <w:vAlign w:val="center"/>
            <w:hideMark/>
          </w:tcPr>
          <w:p w14:paraId="65F8CBFE" w14:textId="3583A8E7" w:rsidR="00332530" w:rsidRPr="003C232E" w:rsidRDefault="003E58DD" w:rsidP="00586981">
            <w:pPr>
              <w:pStyle w:val="NCDTableText"/>
              <w:tabs>
                <w:tab w:val="decimal" w:pos="657"/>
              </w:tabs>
              <w:spacing w:line="312" w:lineRule="auto"/>
            </w:pPr>
            <w:r>
              <w:t>–</w:t>
            </w:r>
            <w:r w:rsidR="00332530" w:rsidRPr="003C232E">
              <w:t>5.92%</w:t>
            </w:r>
          </w:p>
        </w:tc>
      </w:tr>
      <w:tr w:rsidR="00332530" w:rsidRPr="00D7262D" w14:paraId="4F8ECE6E" w14:textId="77777777" w:rsidTr="00663EF7">
        <w:trPr>
          <w:trHeight w:val="315"/>
        </w:trPr>
        <w:tc>
          <w:tcPr>
            <w:tcW w:w="2070" w:type="dxa"/>
            <w:shd w:val="clear" w:color="auto" w:fill="auto"/>
            <w:vAlign w:val="center"/>
          </w:tcPr>
          <w:p w14:paraId="422BA50C" w14:textId="77777777" w:rsidR="00332530" w:rsidRPr="00B41F29" w:rsidRDefault="00332530" w:rsidP="00663EF7">
            <w:pPr>
              <w:pStyle w:val="NCDTableText"/>
              <w:spacing w:line="312" w:lineRule="auto"/>
              <w:rPr>
                <w:b/>
              </w:rPr>
            </w:pPr>
            <w:r w:rsidRPr="00B41F29">
              <w:rPr>
                <w:b/>
              </w:rPr>
              <w:t>2005</w:t>
            </w:r>
          </w:p>
        </w:tc>
        <w:tc>
          <w:tcPr>
            <w:tcW w:w="1710" w:type="dxa"/>
            <w:shd w:val="clear" w:color="auto" w:fill="auto"/>
            <w:vAlign w:val="center"/>
          </w:tcPr>
          <w:p w14:paraId="1F679600" w14:textId="77777777" w:rsidR="00332530" w:rsidRPr="003C232E" w:rsidRDefault="00332530" w:rsidP="007852F1">
            <w:pPr>
              <w:pStyle w:val="NCDTableText"/>
              <w:tabs>
                <w:tab w:val="decimal" w:pos="1053"/>
              </w:tabs>
              <w:spacing w:line="312" w:lineRule="auto"/>
            </w:pPr>
            <w:r w:rsidRPr="003C232E">
              <w:t>2,640</w:t>
            </w:r>
          </w:p>
        </w:tc>
        <w:tc>
          <w:tcPr>
            <w:tcW w:w="2160" w:type="dxa"/>
            <w:shd w:val="clear" w:color="auto" w:fill="auto"/>
            <w:vAlign w:val="center"/>
            <w:hideMark/>
          </w:tcPr>
          <w:p w14:paraId="63F25344" w14:textId="77777777" w:rsidR="00332530" w:rsidRPr="003C232E" w:rsidRDefault="00332530" w:rsidP="00663EF7">
            <w:pPr>
              <w:pStyle w:val="NCDTableText"/>
              <w:spacing w:line="312" w:lineRule="auto"/>
              <w:jc w:val="center"/>
            </w:pPr>
            <w:r w:rsidRPr="003C232E">
              <w:t>2,441</w:t>
            </w:r>
          </w:p>
        </w:tc>
        <w:tc>
          <w:tcPr>
            <w:tcW w:w="1710" w:type="dxa"/>
            <w:shd w:val="clear" w:color="auto" w:fill="auto"/>
            <w:noWrap/>
            <w:vAlign w:val="center"/>
            <w:hideMark/>
          </w:tcPr>
          <w:p w14:paraId="62714CAA" w14:textId="3DEEB7DD" w:rsidR="00332530" w:rsidRPr="003C232E" w:rsidRDefault="007852F1" w:rsidP="00586981">
            <w:pPr>
              <w:pStyle w:val="NCDTableText"/>
              <w:tabs>
                <w:tab w:val="decimal" w:pos="954"/>
              </w:tabs>
              <w:spacing w:line="312" w:lineRule="auto"/>
            </w:pPr>
            <w:r>
              <w:t>–</w:t>
            </w:r>
            <w:r w:rsidR="00332530" w:rsidRPr="003C232E">
              <w:t>21</w:t>
            </w:r>
          </w:p>
        </w:tc>
        <w:tc>
          <w:tcPr>
            <w:tcW w:w="1620" w:type="dxa"/>
            <w:shd w:val="clear" w:color="auto" w:fill="auto"/>
            <w:noWrap/>
            <w:vAlign w:val="center"/>
            <w:hideMark/>
          </w:tcPr>
          <w:p w14:paraId="2F97045A" w14:textId="1387E909" w:rsidR="00332530" w:rsidRPr="003C232E" w:rsidRDefault="003E58DD" w:rsidP="00586981">
            <w:pPr>
              <w:pStyle w:val="NCDTableText"/>
              <w:tabs>
                <w:tab w:val="decimal" w:pos="657"/>
              </w:tabs>
              <w:spacing w:line="312" w:lineRule="auto"/>
            </w:pPr>
            <w:r>
              <w:t>–</w:t>
            </w:r>
            <w:r w:rsidR="00332530" w:rsidRPr="003C232E">
              <w:t>0.85%</w:t>
            </w:r>
          </w:p>
        </w:tc>
      </w:tr>
      <w:tr w:rsidR="00332530" w:rsidRPr="00D7262D" w14:paraId="5ABB0787" w14:textId="77777777" w:rsidTr="00663EF7">
        <w:trPr>
          <w:trHeight w:val="315"/>
        </w:trPr>
        <w:tc>
          <w:tcPr>
            <w:tcW w:w="2070" w:type="dxa"/>
            <w:shd w:val="clear" w:color="auto" w:fill="auto"/>
            <w:vAlign w:val="center"/>
          </w:tcPr>
          <w:p w14:paraId="349234B8" w14:textId="77777777" w:rsidR="00332530" w:rsidRPr="00B41F29" w:rsidRDefault="00332530" w:rsidP="00663EF7">
            <w:pPr>
              <w:pStyle w:val="NCDTableText"/>
              <w:spacing w:line="312" w:lineRule="auto"/>
              <w:rPr>
                <w:b/>
              </w:rPr>
            </w:pPr>
            <w:r w:rsidRPr="00B41F29">
              <w:rPr>
                <w:b/>
              </w:rPr>
              <w:t>2006</w:t>
            </w:r>
          </w:p>
        </w:tc>
        <w:tc>
          <w:tcPr>
            <w:tcW w:w="1710" w:type="dxa"/>
            <w:shd w:val="clear" w:color="auto" w:fill="auto"/>
            <w:vAlign w:val="center"/>
          </w:tcPr>
          <w:p w14:paraId="67FD39C1" w14:textId="77777777" w:rsidR="00332530" w:rsidRPr="003C232E" w:rsidRDefault="00332530" w:rsidP="007852F1">
            <w:pPr>
              <w:pStyle w:val="NCDTableText"/>
              <w:tabs>
                <w:tab w:val="decimal" w:pos="1053"/>
              </w:tabs>
              <w:spacing w:line="312" w:lineRule="auto"/>
            </w:pPr>
            <w:r w:rsidRPr="003C232E">
              <w:t>2,381</w:t>
            </w:r>
          </w:p>
        </w:tc>
        <w:tc>
          <w:tcPr>
            <w:tcW w:w="2160" w:type="dxa"/>
            <w:shd w:val="clear" w:color="auto" w:fill="auto"/>
            <w:vAlign w:val="center"/>
            <w:hideMark/>
          </w:tcPr>
          <w:p w14:paraId="789D82D1" w14:textId="77777777" w:rsidR="00332530" w:rsidRPr="003C232E" w:rsidRDefault="00332530" w:rsidP="00663EF7">
            <w:pPr>
              <w:pStyle w:val="NCDTableText"/>
              <w:spacing w:line="312" w:lineRule="auto"/>
              <w:jc w:val="center"/>
            </w:pPr>
            <w:r w:rsidRPr="003C232E">
              <w:t>2,246</w:t>
            </w:r>
          </w:p>
        </w:tc>
        <w:tc>
          <w:tcPr>
            <w:tcW w:w="1710" w:type="dxa"/>
            <w:shd w:val="clear" w:color="auto" w:fill="auto"/>
            <w:noWrap/>
            <w:vAlign w:val="center"/>
            <w:hideMark/>
          </w:tcPr>
          <w:p w14:paraId="4DB086BC" w14:textId="31C49F54" w:rsidR="00332530" w:rsidRPr="003C232E" w:rsidRDefault="007852F1" w:rsidP="00586981">
            <w:pPr>
              <w:pStyle w:val="NCDTableText"/>
              <w:tabs>
                <w:tab w:val="decimal" w:pos="954"/>
              </w:tabs>
              <w:spacing w:line="312" w:lineRule="auto"/>
            </w:pPr>
            <w:r>
              <w:t>–</w:t>
            </w:r>
            <w:r w:rsidR="00332530" w:rsidRPr="003C232E">
              <w:t>195</w:t>
            </w:r>
          </w:p>
        </w:tc>
        <w:tc>
          <w:tcPr>
            <w:tcW w:w="1620" w:type="dxa"/>
            <w:shd w:val="clear" w:color="auto" w:fill="auto"/>
            <w:noWrap/>
            <w:vAlign w:val="center"/>
            <w:hideMark/>
          </w:tcPr>
          <w:p w14:paraId="082DA90D" w14:textId="098A3545" w:rsidR="00332530" w:rsidRPr="003C232E" w:rsidRDefault="003E58DD" w:rsidP="00586981">
            <w:pPr>
              <w:pStyle w:val="NCDTableText"/>
              <w:tabs>
                <w:tab w:val="decimal" w:pos="657"/>
              </w:tabs>
              <w:spacing w:line="312" w:lineRule="auto"/>
            </w:pPr>
            <w:r>
              <w:t>–</w:t>
            </w:r>
            <w:r w:rsidR="00332530" w:rsidRPr="003C232E">
              <w:t>7.99%</w:t>
            </w:r>
          </w:p>
        </w:tc>
      </w:tr>
      <w:tr w:rsidR="00332530" w:rsidRPr="00D7262D" w14:paraId="67B6C8BB" w14:textId="77777777" w:rsidTr="00663EF7">
        <w:trPr>
          <w:trHeight w:val="315"/>
        </w:trPr>
        <w:tc>
          <w:tcPr>
            <w:tcW w:w="2070" w:type="dxa"/>
            <w:shd w:val="clear" w:color="auto" w:fill="auto"/>
            <w:vAlign w:val="center"/>
          </w:tcPr>
          <w:p w14:paraId="541C9B89" w14:textId="77777777" w:rsidR="00332530" w:rsidRPr="00B41F29" w:rsidRDefault="00332530" w:rsidP="00663EF7">
            <w:pPr>
              <w:pStyle w:val="NCDTableText"/>
              <w:spacing w:line="312" w:lineRule="auto"/>
              <w:rPr>
                <w:b/>
              </w:rPr>
            </w:pPr>
            <w:r w:rsidRPr="00B41F29">
              <w:rPr>
                <w:b/>
              </w:rPr>
              <w:t>2007</w:t>
            </w:r>
          </w:p>
        </w:tc>
        <w:tc>
          <w:tcPr>
            <w:tcW w:w="1710" w:type="dxa"/>
            <w:shd w:val="clear" w:color="auto" w:fill="auto"/>
            <w:vAlign w:val="center"/>
          </w:tcPr>
          <w:p w14:paraId="6887BA46" w14:textId="77777777" w:rsidR="00332530" w:rsidRPr="003C232E" w:rsidRDefault="00332530" w:rsidP="007852F1">
            <w:pPr>
              <w:pStyle w:val="NCDTableText"/>
              <w:tabs>
                <w:tab w:val="decimal" w:pos="1053"/>
              </w:tabs>
              <w:spacing w:line="312" w:lineRule="auto"/>
            </w:pPr>
            <w:r w:rsidRPr="003C232E">
              <w:t>2,381</w:t>
            </w:r>
          </w:p>
        </w:tc>
        <w:tc>
          <w:tcPr>
            <w:tcW w:w="2160" w:type="dxa"/>
            <w:shd w:val="clear" w:color="auto" w:fill="auto"/>
            <w:vAlign w:val="center"/>
            <w:hideMark/>
          </w:tcPr>
          <w:p w14:paraId="3A01F1A9" w14:textId="77777777" w:rsidR="00332530" w:rsidRPr="003C232E" w:rsidRDefault="00332530" w:rsidP="00663EF7">
            <w:pPr>
              <w:pStyle w:val="NCDTableText"/>
              <w:spacing w:line="312" w:lineRule="auto"/>
              <w:jc w:val="center"/>
            </w:pPr>
            <w:r w:rsidRPr="003C232E">
              <w:t>2,158</w:t>
            </w:r>
          </w:p>
        </w:tc>
        <w:tc>
          <w:tcPr>
            <w:tcW w:w="1710" w:type="dxa"/>
            <w:shd w:val="clear" w:color="auto" w:fill="auto"/>
            <w:noWrap/>
            <w:vAlign w:val="center"/>
            <w:hideMark/>
          </w:tcPr>
          <w:p w14:paraId="77A0BF40" w14:textId="148300DA" w:rsidR="00332530" w:rsidRPr="003C232E" w:rsidRDefault="007852F1" w:rsidP="00586981">
            <w:pPr>
              <w:pStyle w:val="NCDTableText"/>
              <w:tabs>
                <w:tab w:val="decimal" w:pos="954"/>
              </w:tabs>
              <w:spacing w:line="312" w:lineRule="auto"/>
            </w:pPr>
            <w:r>
              <w:t>–</w:t>
            </w:r>
            <w:r w:rsidR="00332530" w:rsidRPr="003C232E">
              <w:t>88</w:t>
            </w:r>
          </w:p>
        </w:tc>
        <w:tc>
          <w:tcPr>
            <w:tcW w:w="1620" w:type="dxa"/>
            <w:shd w:val="clear" w:color="auto" w:fill="auto"/>
            <w:noWrap/>
            <w:vAlign w:val="center"/>
            <w:hideMark/>
          </w:tcPr>
          <w:p w14:paraId="6CD5F8CD" w14:textId="6DCF3A1E" w:rsidR="00332530" w:rsidRPr="003C232E" w:rsidRDefault="003E58DD" w:rsidP="00586981">
            <w:pPr>
              <w:pStyle w:val="NCDTableText"/>
              <w:tabs>
                <w:tab w:val="decimal" w:pos="657"/>
              </w:tabs>
              <w:spacing w:line="312" w:lineRule="auto"/>
            </w:pPr>
            <w:r>
              <w:t>–</w:t>
            </w:r>
            <w:r w:rsidR="00332530" w:rsidRPr="003C232E">
              <w:t>3.92%</w:t>
            </w:r>
          </w:p>
        </w:tc>
      </w:tr>
      <w:tr w:rsidR="00332530" w:rsidRPr="00D7262D" w14:paraId="6DE9ABAC" w14:textId="77777777" w:rsidTr="00663EF7">
        <w:trPr>
          <w:trHeight w:val="315"/>
        </w:trPr>
        <w:tc>
          <w:tcPr>
            <w:tcW w:w="2070" w:type="dxa"/>
            <w:shd w:val="clear" w:color="auto" w:fill="auto"/>
            <w:vAlign w:val="center"/>
          </w:tcPr>
          <w:p w14:paraId="6A3F9C4D" w14:textId="77777777" w:rsidR="00332530" w:rsidRPr="00B41F29" w:rsidRDefault="00332530" w:rsidP="00663EF7">
            <w:pPr>
              <w:pStyle w:val="NCDTableText"/>
              <w:spacing w:line="312" w:lineRule="auto"/>
              <w:rPr>
                <w:b/>
              </w:rPr>
            </w:pPr>
            <w:r w:rsidRPr="00B41F29">
              <w:rPr>
                <w:b/>
              </w:rPr>
              <w:t>2008</w:t>
            </w:r>
          </w:p>
        </w:tc>
        <w:tc>
          <w:tcPr>
            <w:tcW w:w="1710" w:type="dxa"/>
            <w:shd w:val="clear" w:color="auto" w:fill="auto"/>
            <w:vAlign w:val="center"/>
          </w:tcPr>
          <w:p w14:paraId="255C252B" w14:textId="77777777" w:rsidR="00332530" w:rsidRPr="003C232E" w:rsidRDefault="00332530" w:rsidP="007852F1">
            <w:pPr>
              <w:pStyle w:val="NCDTableText"/>
              <w:tabs>
                <w:tab w:val="decimal" w:pos="1053"/>
              </w:tabs>
              <w:spacing w:line="312" w:lineRule="auto"/>
            </w:pPr>
            <w:r w:rsidRPr="003C232E">
              <w:t>2,381</w:t>
            </w:r>
          </w:p>
        </w:tc>
        <w:tc>
          <w:tcPr>
            <w:tcW w:w="2160" w:type="dxa"/>
            <w:shd w:val="clear" w:color="auto" w:fill="auto"/>
            <w:vAlign w:val="center"/>
            <w:hideMark/>
          </w:tcPr>
          <w:p w14:paraId="5B0AAB60" w14:textId="77777777" w:rsidR="00332530" w:rsidRPr="003C232E" w:rsidRDefault="00332530" w:rsidP="00663EF7">
            <w:pPr>
              <w:pStyle w:val="NCDTableText"/>
              <w:spacing w:line="312" w:lineRule="auto"/>
              <w:jc w:val="center"/>
            </w:pPr>
            <w:r w:rsidRPr="003C232E">
              <w:t>2,176</w:t>
            </w:r>
          </w:p>
        </w:tc>
        <w:tc>
          <w:tcPr>
            <w:tcW w:w="1710" w:type="dxa"/>
            <w:shd w:val="clear" w:color="auto" w:fill="auto"/>
            <w:noWrap/>
            <w:vAlign w:val="center"/>
            <w:hideMark/>
          </w:tcPr>
          <w:p w14:paraId="435D6A07" w14:textId="77777777" w:rsidR="00332530" w:rsidRPr="003C232E" w:rsidRDefault="00332530" w:rsidP="00586981">
            <w:pPr>
              <w:pStyle w:val="NCDTableText"/>
              <w:tabs>
                <w:tab w:val="decimal" w:pos="954"/>
              </w:tabs>
              <w:spacing w:line="312" w:lineRule="auto"/>
            </w:pPr>
            <w:r w:rsidRPr="003C232E">
              <w:t>18</w:t>
            </w:r>
          </w:p>
        </w:tc>
        <w:tc>
          <w:tcPr>
            <w:tcW w:w="1620" w:type="dxa"/>
            <w:shd w:val="clear" w:color="auto" w:fill="auto"/>
            <w:noWrap/>
            <w:vAlign w:val="center"/>
            <w:hideMark/>
          </w:tcPr>
          <w:p w14:paraId="71B95473" w14:textId="77777777" w:rsidR="00332530" w:rsidRPr="003C232E" w:rsidRDefault="00332530" w:rsidP="00586981">
            <w:pPr>
              <w:pStyle w:val="NCDTableText"/>
              <w:tabs>
                <w:tab w:val="decimal" w:pos="657"/>
              </w:tabs>
              <w:spacing w:line="312" w:lineRule="auto"/>
            </w:pPr>
            <w:r w:rsidRPr="003C232E">
              <w:t>0.83%</w:t>
            </w:r>
          </w:p>
        </w:tc>
      </w:tr>
      <w:tr w:rsidR="00332530" w:rsidRPr="00D7262D" w14:paraId="50B32545" w14:textId="77777777" w:rsidTr="00663EF7">
        <w:trPr>
          <w:trHeight w:val="315"/>
        </w:trPr>
        <w:tc>
          <w:tcPr>
            <w:tcW w:w="2070" w:type="dxa"/>
            <w:shd w:val="clear" w:color="auto" w:fill="auto"/>
            <w:vAlign w:val="center"/>
          </w:tcPr>
          <w:p w14:paraId="386BD4E7" w14:textId="77777777" w:rsidR="00332530" w:rsidRPr="00B41F29" w:rsidRDefault="00332530" w:rsidP="00663EF7">
            <w:pPr>
              <w:pStyle w:val="NCDTableText"/>
              <w:spacing w:line="312" w:lineRule="auto"/>
              <w:rPr>
                <w:b/>
              </w:rPr>
            </w:pPr>
            <w:r w:rsidRPr="00B41F29">
              <w:rPr>
                <w:b/>
              </w:rPr>
              <w:t>2009</w:t>
            </w:r>
          </w:p>
        </w:tc>
        <w:tc>
          <w:tcPr>
            <w:tcW w:w="1710" w:type="dxa"/>
            <w:shd w:val="clear" w:color="auto" w:fill="auto"/>
            <w:vAlign w:val="center"/>
          </w:tcPr>
          <w:p w14:paraId="1BD37FA8" w14:textId="77777777" w:rsidR="00332530" w:rsidRPr="003C232E" w:rsidRDefault="00332530" w:rsidP="007852F1">
            <w:pPr>
              <w:pStyle w:val="NCDTableText"/>
              <w:tabs>
                <w:tab w:val="decimal" w:pos="1053"/>
              </w:tabs>
              <w:spacing w:line="312" w:lineRule="auto"/>
            </w:pPr>
            <w:r w:rsidRPr="003C232E">
              <w:t>2,556</w:t>
            </w:r>
          </w:p>
        </w:tc>
        <w:tc>
          <w:tcPr>
            <w:tcW w:w="2160" w:type="dxa"/>
            <w:shd w:val="clear" w:color="auto" w:fill="auto"/>
            <w:vAlign w:val="center"/>
            <w:hideMark/>
          </w:tcPr>
          <w:p w14:paraId="1BD50C6D" w14:textId="77777777" w:rsidR="00332530" w:rsidRPr="003C232E" w:rsidRDefault="00332530" w:rsidP="00663EF7">
            <w:pPr>
              <w:pStyle w:val="NCDTableText"/>
              <w:spacing w:line="312" w:lineRule="auto"/>
              <w:jc w:val="center"/>
            </w:pPr>
            <w:r w:rsidRPr="003C232E">
              <w:t>2,192</w:t>
            </w:r>
          </w:p>
        </w:tc>
        <w:tc>
          <w:tcPr>
            <w:tcW w:w="1710" w:type="dxa"/>
            <w:shd w:val="clear" w:color="auto" w:fill="auto"/>
            <w:noWrap/>
            <w:vAlign w:val="center"/>
            <w:hideMark/>
          </w:tcPr>
          <w:p w14:paraId="574A7482" w14:textId="77777777" w:rsidR="00332530" w:rsidRPr="003C232E" w:rsidRDefault="00332530" w:rsidP="00586981">
            <w:pPr>
              <w:pStyle w:val="NCDTableText"/>
              <w:tabs>
                <w:tab w:val="decimal" w:pos="954"/>
              </w:tabs>
              <w:spacing w:line="312" w:lineRule="auto"/>
            </w:pPr>
            <w:r w:rsidRPr="003C232E">
              <w:t>16</w:t>
            </w:r>
          </w:p>
        </w:tc>
        <w:tc>
          <w:tcPr>
            <w:tcW w:w="1620" w:type="dxa"/>
            <w:shd w:val="clear" w:color="auto" w:fill="auto"/>
            <w:noWrap/>
            <w:vAlign w:val="center"/>
            <w:hideMark/>
          </w:tcPr>
          <w:p w14:paraId="5E6480EE" w14:textId="77777777" w:rsidR="00332530" w:rsidRPr="003C232E" w:rsidRDefault="00332530" w:rsidP="00586981">
            <w:pPr>
              <w:pStyle w:val="NCDTableText"/>
              <w:tabs>
                <w:tab w:val="decimal" w:pos="657"/>
              </w:tabs>
              <w:spacing w:line="312" w:lineRule="auto"/>
            </w:pPr>
            <w:r w:rsidRPr="003C232E">
              <w:t>0.74%</w:t>
            </w:r>
          </w:p>
        </w:tc>
      </w:tr>
      <w:tr w:rsidR="00332530" w:rsidRPr="00D7262D" w14:paraId="247847BA" w14:textId="77777777" w:rsidTr="00663EF7">
        <w:trPr>
          <w:trHeight w:val="315"/>
        </w:trPr>
        <w:tc>
          <w:tcPr>
            <w:tcW w:w="2070" w:type="dxa"/>
            <w:shd w:val="clear" w:color="auto" w:fill="auto"/>
            <w:vAlign w:val="center"/>
          </w:tcPr>
          <w:p w14:paraId="03A996BF" w14:textId="77777777" w:rsidR="00332530" w:rsidRPr="00B41F29" w:rsidRDefault="00332530" w:rsidP="00663EF7">
            <w:pPr>
              <w:pStyle w:val="NCDTableText"/>
              <w:spacing w:line="312" w:lineRule="auto"/>
              <w:rPr>
                <w:b/>
              </w:rPr>
            </w:pPr>
            <w:r w:rsidRPr="00B41F29">
              <w:rPr>
                <w:b/>
              </w:rPr>
              <w:t>2010</w:t>
            </w:r>
          </w:p>
        </w:tc>
        <w:tc>
          <w:tcPr>
            <w:tcW w:w="1710" w:type="dxa"/>
            <w:shd w:val="clear" w:color="auto" w:fill="auto"/>
            <w:vAlign w:val="center"/>
          </w:tcPr>
          <w:p w14:paraId="1C08C63A" w14:textId="77777777" w:rsidR="00332530" w:rsidRPr="003C232E" w:rsidRDefault="00332530" w:rsidP="007852F1">
            <w:pPr>
              <w:pStyle w:val="NCDTableText"/>
              <w:tabs>
                <w:tab w:val="decimal" w:pos="1053"/>
              </w:tabs>
              <w:spacing w:line="312" w:lineRule="auto"/>
            </w:pPr>
            <w:r w:rsidRPr="003C232E">
              <w:t>2,556</w:t>
            </w:r>
          </w:p>
        </w:tc>
        <w:tc>
          <w:tcPr>
            <w:tcW w:w="2160" w:type="dxa"/>
            <w:shd w:val="clear" w:color="auto" w:fill="auto"/>
            <w:vAlign w:val="center"/>
            <w:hideMark/>
          </w:tcPr>
          <w:p w14:paraId="17A95253" w14:textId="77777777" w:rsidR="00332530" w:rsidRPr="003C232E" w:rsidRDefault="00332530" w:rsidP="00663EF7">
            <w:pPr>
              <w:pStyle w:val="NCDTableText"/>
              <w:spacing w:line="312" w:lineRule="auto"/>
              <w:jc w:val="center"/>
            </w:pPr>
            <w:r w:rsidRPr="003C232E">
              <w:t>2,385</w:t>
            </w:r>
          </w:p>
        </w:tc>
        <w:tc>
          <w:tcPr>
            <w:tcW w:w="1710" w:type="dxa"/>
            <w:shd w:val="clear" w:color="auto" w:fill="auto"/>
            <w:noWrap/>
            <w:vAlign w:val="center"/>
            <w:hideMark/>
          </w:tcPr>
          <w:p w14:paraId="55C7F6EB" w14:textId="77777777" w:rsidR="00332530" w:rsidRPr="003C232E" w:rsidRDefault="00332530" w:rsidP="00586981">
            <w:pPr>
              <w:pStyle w:val="NCDTableText"/>
              <w:tabs>
                <w:tab w:val="decimal" w:pos="954"/>
              </w:tabs>
              <w:spacing w:line="312" w:lineRule="auto"/>
            </w:pPr>
            <w:r w:rsidRPr="003C232E">
              <w:t>193</w:t>
            </w:r>
          </w:p>
        </w:tc>
        <w:tc>
          <w:tcPr>
            <w:tcW w:w="1620" w:type="dxa"/>
            <w:shd w:val="clear" w:color="auto" w:fill="auto"/>
            <w:noWrap/>
            <w:vAlign w:val="center"/>
            <w:hideMark/>
          </w:tcPr>
          <w:p w14:paraId="73587B1F" w14:textId="77777777" w:rsidR="00332530" w:rsidRPr="003C232E" w:rsidRDefault="00332530" w:rsidP="00586981">
            <w:pPr>
              <w:pStyle w:val="NCDTableText"/>
              <w:tabs>
                <w:tab w:val="decimal" w:pos="657"/>
              </w:tabs>
              <w:spacing w:line="312" w:lineRule="auto"/>
            </w:pPr>
            <w:r w:rsidRPr="003C232E">
              <w:t>8.80%</w:t>
            </w:r>
          </w:p>
        </w:tc>
      </w:tr>
      <w:tr w:rsidR="00332530" w:rsidRPr="00D7262D" w14:paraId="30EEEA47" w14:textId="77777777" w:rsidTr="00663EF7">
        <w:trPr>
          <w:trHeight w:val="315"/>
        </w:trPr>
        <w:tc>
          <w:tcPr>
            <w:tcW w:w="2070" w:type="dxa"/>
            <w:shd w:val="clear" w:color="auto" w:fill="auto"/>
            <w:vAlign w:val="center"/>
          </w:tcPr>
          <w:p w14:paraId="356480F7" w14:textId="77777777" w:rsidR="00332530" w:rsidRPr="00B41F29" w:rsidRDefault="00332530" w:rsidP="00663EF7">
            <w:pPr>
              <w:pStyle w:val="NCDTableText"/>
              <w:spacing w:line="312" w:lineRule="auto"/>
              <w:rPr>
                <w:b/>
              </w:rPr>
            </w:pPr>
            <w:r w:rsidRPr="00B41F29">
              <w:rPr>
                <w:b/>
              </w:rPr>
              <w:t>2011</w:t>
            </w:r>
          </w:p>
        </w:tc>
        <w:tc>
          <w:tcPr>
            <w:tcW w:w="1710" w:type="dxa"/>
            <w:shd w:val="clear" w:color="auto" w:fill="auto"/>
            <w:vAlign w:val="center"/>
          </w:tcPr>
          <w:p w14:paraId="6BB447C3" w14:textId="77777777" w:rsidR="00332530" w:rsidRPr="003C232E" w:rsidRDefault="00332530" w:rsidP="007852F1">
            <w:pPr>
              <w:pStyle w:val="NCDTableText"/>
              <w:tabs>
                <w:tab w:val="decimal" w:pos="1053"/>
              </w:tabs>
              <w:spacing w:line="312" w:lineRule="auto"/>
            </w:pPr>
            <w:r w:rsidRPr="003C232E">
              <w:t>2,470</w:t>
            </w:r>
          </w:p>
        </w:tc>
        <w:tc>
          <w:tcPr>
            <w:tcW w:w="2160" w:type="dxa"/>
            <w:shd w:val="clear" w:color="auto" w:fill="auto"/>
            <w:vAlign w:val="center"/>
            <w:hideMark/>
          </w:tcPr>
          <w:p w14:paraId="7E320157" w14:textId="77777777" w:rsidR="00332530" w:rsidRPr="003C232E" w:rsidRDefault="00332530" w:rsidP="00663EF7">
            <w:pPr>
              <w:pStyle w:val="NCDTableText"/>
              <w:spacing w:line="312" w:lineRule="auto"/>
              <w:jc w:val="center"/>
            </w:pPr>
            <w:r w:rsidRPr="003C232E">
              <w:t>2,505</w:t>
            </w:r>
          </w:p>
        </w:tc>
        <w:tc>
          <w:tcPr>
            <w:tcW w:w="1710" w:type="dxa"/>
            <w:shd w:val="clear" w:color="auto" w:fill="auto"/>
            <w:noWrap/>
            <w:vAlign w:val="center"/>
            <w:hideMark/>
          </w:tcPr>
          <w:p w14:paraId="5F6A7066" w14:textId="77777777" w:rsidR="00332530" w:rsidRPr="003C232E" w:rsidRDefault="00332530" w:rsidP="00586981">
            <w:pPr>
              <w:pStyle w:val="NCDTableText"/>
              <w:tabs>
                <w:tab w:val="decimal" w:pos="954"/>
              </w:tabs>
              <w:spacing w:line="312" w:lineRule="auto"/>
            </w:pPr>
            <w:r w:rsidRPr="003C232E">
              <w:t>120</w:t>
            </w:r>
          </w:p>
        </w:tc>
        <w:tc>
          <w:tcPr>
            <w:tcW w:w="1620" w:type="dxa"/>
            <w:shd w:val="clear" w:color="auto" w:fill="auto"/>
            <w:noWrap/>
            <w:vAlign w:val="center"/>
            <w:hideMark/>
          </w:tcPr>
          <w:p w14:paraId="1166D465" w14:textId="77777777" w:rsidR="00332530" w:rsidRPr="003C232E" w:rsidRDefault="00332530" w:rsidP="00586981">
            <w:pPr>
              <w:pStyle w:val="NCDTableText"/>
              <w:tabs>
                <w:tab w:val="decimal" w:pos="657"/>
              </w:tabs>
              <w:spacing w:line="312" w:lineRule="auto"/>
            </w:pPr>
            <w:r w:rsidRPr="003C232E">
              <w:t>5.03%</w:t>
            </w:r>
          </w:p>
        </w:tc>
      </w:tr>
      <w:tr w:rsidR="00332530" w:rsidRPr="00D7262D" w14:paraId="7F336764" w14:textId="77777777" w:rsidTr="00663EF7">
        <w:trPr>
          <w:trHeight w:val="315"/>
        </w:trPr>
        <w:tc>
          <w:tcPr>
            <w:tcW w:w="2070" w:type="dxa"/>
            <w:shd w:val="clear" w:color="auto" w:fill="auto"/>
            <w:vAlign w:val="center"/>
          </w:tcPr>
          <w:p w14:paraId="589E797D" w14:textId="77777777" w:rsidR="00332530" w:rsidRPr="00B41F29" w:rsidRDefault="00332530" w:rsidP="00663EF7">
            <w:pPr>
              <w:pStyle w:val="NCDTableText"/>
              <w:spacing w:line="312" w:lineRule="auto"/>
              <w:rPr>
                <w:b/>
              </w:rPr>
            </w:pPr>
            <w:r w:rsidRPr="00B41F29">
              <w:rPr>
                <w:b/>
              </w:rPr>
              <w:t>2012</w:t>
            </w:r>
          </w:p>
        </w:tc>
        <w:tc>
          <w:tcPr>
            <w:tcW w:w="1710" w:type="dxa"/>
            <w:shd w:val="clear" w:color="auto" w:fill="auto"/>
            <w:vAlign w:val="center"/>
          </w:tcPr>
          <w:p w14:paraId="52A78621" w14:textId="77777777" w:rsidR="00332530" w:rsidRPr="003C232E" w:rsidRDefault="00332530" w:rsidP="007852F1">
            <w:pPr>
              <w:pStyle w:val="NCDTableText"/>
              <w:tabs>
                <w:tab w:val="decimal" w:pos="1053"/>
              </w:tabs>
              <w:spacing w:line="312" w:lineRule="auto"/>
            </w:pPr>
            <w:r w:rsidRPr="003C232E">
              <w:t>2,571</w:t>
            </w:r>
          </w:p>
        </w:tc>
        <w:tc>
          <w:tcPr>
            <w:tcW w:w="2160" w:type="dxa"/>
            <w:shd w:val="clear" w:color="auto" w:fill="auto"/>
            <w:vAlign w:val="center"/>
            <w:hideMark/>
          </w:tcPr>
          <w:p w14:paraId="7FD17208" w14:textId="77777777" w:rsidR="00332530" w:rsidRPr="003C232E" w:rsidRDefault="00332530" w:rsidP="00663EF7">
            <w:pPr>
              <w:pStyle w:val="NCDTableText"/>
              <w:spacing w:line="312" w:lineRule="auto"/>
              <w:jc w:val="center"/>
            </w:pPr>
            <w:r w:rsidRPr="003C232E">
              <w:t>2,346</w:t>
            </w:r>
          </w:p>
        </w:tc>
        <w:tc>
          <w:tcPr>
            <w:tcW w:w="1710" w:type="dxa"/>
            <w:shd w:val="clear" w:color="auto" w:fill="auto"/>
            <w:noWrap/>
            <w:vAlign w:val="center"/>
            <w:hideMark/>
          </w:tcPr>
          <w:p w14:paraId="21109924" w14:textId="07656A30" w:rsidR="00332530" w:rsidRPr="003C232E" w:rsidRDefault="007852F1" w:rsidP="00586981">
            <w:pPr>
              <w:pStyle w:val="NCDTableText"/>
              <w:tabs>
                <w:tab w:val="decimal" w:pos="954"/>
              </w:tabs>
              <w:spacing w:line="312" w:lineRule="auto"/>
            </w:pPr>
            <w:r>
              <w:t>–</w:t>
            </w:r>
            <w:r w:rsidR="00332530" w:rsidRPr="003C232E">
              <w:t>159</w:t>
            </w:r>
          </w:p>
        </w:tc>
        <w:tc>
          <w:tcPr>
            <w:tcW w:w="1620" w:type="dxa"/>
            <w:shd w:val="clear" w:color="auto" w:fill="auto"/>
            <w:noWrap/>
            <w:vAlign w:val="center"/>
            <w:hideMark/>
          </w:tcPr>
          <w:p w14:paraId="14CFB3DA" w14:textId="49A57AD9" w:rsidR="00332530" w:rsidRPr="003C232E" w:rsidRDefault="003E58DD" w:rsidP="00586981">
            <w:pPr>
              <w:pStyle w:val="NCDTableText"/>
              <w:tabs>
                <w:tab w:val="decimal" w:pos="657"/>
              </w:tabs>
              <w:spacing w:line="312" w:lineRule="auto"/>
            </w:pPr>
            <w:r>
              <w:t>–</w:t>
            </w:r>
            <w:r w:rsidR="00332530" w:rsidRPr="003C232E">
              <w:t>6.35%</w:t>
            </w:r>
          </w:p>
        </w:tc>
      </w:tr>
      <w:tr w:rsidR="00332530" w:rsidRPr="00D7262D" w14:paraId="559A212A" w14:textId="77777777" w:rsidTr="00663EF7">
        <w:trPr>
          <w:trHeight w:val="315"/>
        </w:trPr>
        <w:tc>
          <w:tcPr>
            <w:tcW w:w="2070" w:type="dxa"/>
            <w:shd w:val="clear" w:color="auto" w:fill="auto"/>
            <w:vAlign w:val="center"/>
          </w:tcPr>
          <w:p w14:paraId="7212662E" w14:textId="77777777" w:rsidR="00332530" w:rsidRPr="00B41F29" w:rsidRDefault="00332530" w:rsidP="00663EF7">
            <w:pPr>
              <w:pStyle w:val="NCDTableText"/>
              <w:spacing w:line="312" w:lineRule="auto"/>
              <w:rPr>
                <w:b/>
              </w:rPr>
            </w:pPr>
            <w:r w:rsidRPr="00B41F29">
              <w:rPr>
                <w:b/>
              </w:rPr>
              <w:t>2013</w:t>
            </w:r>
          </w:p>
        </w:tc>
        <w:tc>
          <w:tcPr>
            <w:tcW w:w="1710" w:type="dxa"/>
            <w:shd w:val="clear" w:color="auto" w:fill="auto"/>
            <w:vAlign w:val="center"/>
          </w:tcPr>
          <w:p w14:paraId="46E6E07B" w14:textId="77777777" w:rsidR="00332530" w:rsidRPr="003C232E" w:rsidRDefault="00332530" w:rsidP="007852F1">
            <w:pPr>
              <w:pStyle w:val="NCDTableText"/>
              <w:tabs>
                <w:tab w:val="decimal" w:pos="1053"/>
              </w:tabs>
              <w:spacing w:line="312" w:lineRule="auto"/>
            </w:pPr>
            <w:r w:rsidRPr="003C232E">
              <w:t>2,354</w:t>
            </w:r>
          </w:p>
        </w:tc>
        <w:tc>
          <w:tcPr>
            <w:tcW w:w="2160" w:type="dxa"/>
            <w:shd w:val="clear" w:color="auto" w:fill="auto"/>
            <w:vAlign w:val="center"/>
            <w:hideMark/>
          </w:tcPr>
          <w:p w14:paraId="223EAC92" w14:textId="77777777" w:rsidR="00332530" w:rsidRPr="003C232E" w:rsidRDefault="00332530" w:rsidP="00663EF7">
            <w:pPr>
              <w:pStyle w:val="NCDTableText"/>
              <w:spacing w:line="312" w:lineRule="auto"/>
              <w:jc w:val="center"/>
            </w:pPr>
            <w:r w:rsidRPr="003C232E">
              <w:t>2,147</w:t>
            </w:r>
          </w:p>
        </w:tc>
        <w:tc>
          <w:tcPr>
            <w:tcW w:w="1710" w:type="dxa"/>
            <w:shd w:val="clear" w:color="auto" w:fill="auto"/>
            <w:noWrap/>
            <w:vAlign w:val="center"/>
            <w:hideMark/>
          </w:tcPr>
          <w:p w14:paraId="596F275E" w14:textId="29045D9B" w:rsidR="00332530" w:rsidRPr="003C232E" w:rsidRDefault="007852F1" w:rsidP="00586981">
            <w:pPr>
              <w:pStyle w:val="NCDTableText"/>
              <w:tabs>
                <w:tab w:val="decimal" w:pos="954"/>
              </w:tabs>
              <w:spacing w:line="312" w:lineRule="auto"/>
            </w:pPr>
            <w:r>
              <w:t>–</w:t>
            </w:r>
            <w:r w:rsidR="00332530" w:rsidRPr="003C232E">
              <w:t>199</w:t>
            </w:r>
          </w:p>
        </w:tc>
        <w:tc>
          <w:tcPr>
            <w:tcW w:w="1620" w:type="dxa"/>
            <w:shd w:val="clear" w:color="auto" w:fill="auto"/>
            <w:noWrap/>
            <w:vAlign w:val="center"/>
            <w:hideMark/>
          </w:tcPr>
          <w:p w14:paraId="1846222F" w14:textId="014B8C8C" w:rsidR="00332530" w:rsidRPr="003C232E" w:rsidRDefault="003E58DD" w:rsidP="00586981">
            <w:pPr>
              <w:pStyle w:val="NCDTableText"/>
              <w:tabs>
                <w:tab w:val="decimal" w:pos="657"/>
              </w:tabs>
              <w:spacing w:line="312" w:lineRule="auto"/>
            </w:pPr>
            <w:r>
              <w:t>–</w:t>
            </w:r>
            <w:r w:rsidR="00332530" w:rsidRPr="003C232E">
              <w:t>8.48%</w:t>
            </w:r>
          </w:p>
        </w:tc>
      </w:tr>
      <w:tr w:rsidR="00332530" w:rsidRPr="00D7262D" w14:paraId="11ABB9AC" w14:textId="77777777" w:rsidTr="00663EF7">
        <w:trPr>
          <w:trHeight w:val="315"/>
        </w:trPr>
        <w:tc>
          <w:tcPr>
            <w:tcW w:w="2070" w:type="dxa"/>
            <w:shd w:val="clear" w:color="auto" w:fill="auto"/>
            <w:vAlign w:val="center"/>
          </w:tcPr>
          <w:p w14:paraId="14F73C06" w14:textId="77777777" w:rsidR="00332530" w:rsidRPr="00B41F29" w:rsidRDefault="00332530" w:rsidP="00663EF7">
            <w:pPr>
              <w:pStyle w:val="NCDTableText"/>
              <w:spacing w:line="312" w:lineRule="auto"/>
              <w:rPr>
                <w:b/>
              </w:rPr>
            </w:pPr>
            <w:r w:rsidRPr="00B41F29">
              <w:rPr>
                <w:b/>
              </w:rPr>
              <w:t>2014</w:t>
            </w:r>
          </w:p>
        </w:tc>
        <w:tc>
          <w:tcPr>
            <w:tcW w:w="1710" w:type="dxa"/>
            <w:shd w:val="clear" w:color="auto" w:fill="auto"/>
            <w:vAlign w:val="center"/>
          </w:tcPr>
          <w:p w14:paraId="6BC67E01" w14:textId="77777777" w:rsidR="00332530" w:rsidRPr="003C232E" w:rsidRDefault="00332530" w:rsidP="007852F1">
            <w:pPr>
              <w:pStyle w:val="NCDTableText"/>
              <w:tabs>
                <w:tab w:val="decimal" w:pos="1053"/>
              </w:tabs>
              <w:spacing w:line="312" w:lineRule="auto"/>
            </w:pPr>
            <w:r w:rsidRPr="003C232E">
              <w:t>2,347</w:t>
            </w:r>
          </w:p>
        </w:tc>
        <w:tc>
          <w:tcPr>
            <w:tcW w:w="2160" w:type="dxa"/>
            <w:shd w:val="clear" w:color="auto" w:fill="auto"/>
            <w:vAlign w:val="center"/>
            <w:hideMark/>
          </w:tcPr>
          <w:p w14:paraId="38DCE5AC" w14:textId="77777777" w:rsidR="00332530" w:rsidRPr="003C232E" w:rsidRDefault="00332530" w:rsidP="00663EF7">
            <w:pPr>
              <w:pStyle w:val="NCDTableText"/>
              <w:spacing w:line="312" w:lineRule="auto"/>
              <w:jc w:val="center"/>
            </w:pPr>
            <w:r w:rsidRPr="003C232E">
              <w:t>2,098</w:t>
            </w:r>
          </w:p>
        </w:tc>
        <w:tc>
          <w:tcPr>
            <w:tcW w:w="1710" w:type="dxa"/>
            <w:shd w:val="clear" w:color="auto" w:fill="auto"/>
            <w:noWrap/>
            <w:vAlign w:val="center"/>
            <w:hideMark/>
          </w:tcPr>
          <w:p w14:paraId="0D63D453" w14:textId="1FA98A18" w:rsidR="00332530" w:rsidRPr="003C232E" w:rsidRDefault="007852F1" w:rsidP="00586981">
            <w:pPr>
              <w:pStyle w:val="NCDTableText"/>
              <w:tabs>
                <w:tab w:val="decimal" w:pos="954"/>
              </w:tabs>
              <w:spacing w:line="312" w:lineRule="auto"/>
            </w:pPr>
            <w:r>
              <w:t>–</w:t>
            </w:r>
            <w:r w:rsidR="00332530" w:rsidRPr="003C232E">
              <w:t>49</w:t>
            </w:r>
          </w:p>
        </w:tc>
        <w:tc>
          <w:tcPr>
            <w:tcW w:w="1620" w:type="dxa"/>
            <w:shd w:val="clear" w:color="auto" w:fill="auto"/>
            <w:noWrap/>
            <w:vAlign w:val="center"/>
            <w:hideMark/>
          </w:tcPr>
          <w:p w14:paraId="49D529A7" w14:textId="33080BBD" w:rsidR="00332530" w:rsidRPr="003C232E" w:rsidRDefault="003E58DD" w:rsidP="00586981">
            <w:pPr>
              <w:pStyle w:val="NCDTableText"/>
              <w:tabs>
                <w:tab w:val="decimal" w:pos="657"/>
              </w:tabs>
              <w:spacing w:line="312" w:lineRule="auto"/>
            </w:pPr>
            <w:r>
              <w:t>–</w:t>
            </w:r>
            <w:r w:rsidR="00332530" w:rsidRPr="003C232E">
              <w:t>2.28%</w:t>
            </w:r>
          </w:p>
        </w:tc>
      </w:tr>
      <w:tr w:rsidR="00332530" w:rsidRPr="00D7262D" w14:paraId="33CE598A" w14:textId="77777777" w:rsidTr="00663EF7">
        <w:trPr>
          <w:trHeight w:val="315"/>
        </w:trPr>
        <w:tc>
          <w:tcPr>
            <w:tcW w:w="2070" w:type="dxa"/>
            <w:shd w:val="clear" w:color="auto" w:fill="auto"/>
            <w:vAlign w:val="center"/>
          </w:tcPr>
          <w:p w14:paraId="03FEB256" w14:textId="77777777" w:rsidR="00332530" w:rsidRPr="00B41F29" w:rsidRDefault="00332530" w:rsidP="00663EF7">
            <w:pPr>
              <w:pStyle w:val="NCDTableText"/>
              <w:spacing w:line="312" w:lineRule="auto"/>
              <w:rPr>
                <w:b/>
              </w:rPr>
            </w:pPr>
            <w:r w:rsidRPr="00B41F29">
              <w:rPr>
                <w:b/>
              </w:rPr>
              <w:t>2015</w:t>
            </w:r>
          </w:p>
        </w:tc>
        <w:tc>
          <w:tcPr>
            <w:tcW w:w="1710" w:type="dxa"/>
            <w:shd w:val="clear" w:color="auto" w:fill="auto"/>
            <w:vAlign w:val="center"/>
          </w:tcPr>
          <w:p w14:paraId="5D0C3F38" w14:textId="77777777" w:rsidR="00332530" w:rsidRPr="003C232E" w:rsidRDefault="00332530" w:rsidP="007852F1">
            <w:pPr>
              <w:pStyle w:val="NCDTableText"/>
              <w:tabs>
                <w:tab w:val="decimal" w:pos="1053"/>
              </w:tabs>
              <w:spacing w:line="312" w:lineRule="auto"/>
            </w:pPr>
            <w:r w:rsidRPr="003C232E">
              <w:t>2,347</w:t>
            </w:r>
          </w:p>
        </w:tc>
        <w:tc>
          <w:tcPr>
            <w:tcW w:w="2160" w:type="dxa"/>
            <w:shd w:val="clear" w:color="auto" w:fill="auto"/>
            <w:vAlign w:val="center"/>
            <w:hideMark/>
          </w:tcPr>
          <w:p w14:paraId="39E2271A" w14:textId="77777777" w:rsidR="00332530" w:rsidRPr="003C232E" w:rsidRDefault="00332530" w:rsidP="00663EF7">
            <w:pPr>
              <w:pStyle w:val="NCDTableText"/>
              <w:spacing w:line="312" w:lineRule="auto"/>
              <w:jc w:val="center"/>
            </w:pPr>
            <w:r w:rsidRPr="003C232E">
              <w:t>2,191</w:t>
            </w:r>
          </w:p>
        </w:tc>
        <w:tc>
          <w:tcPr>
            <w:tcW w:w="1710" w:type="dxa"/>
            <w:shd w:val="clear" w:color="auto" w:fill="auto"/>
            <w:noWrap/>
            <w:vAlign w:val="center"/>
            <w:hideMark/>
          </w:tcPr>
          <w:p w14:paraId="3402EF88" w14:textId="77777777" w:rsidR="00332530" w:rsidRPr="003C232E" w:rsidRDefault="00332530" w:rsidP="00586981">
            <w:pPr>
              <w:pStyle w:val="NCDTableText"/>
              <w:tabs>
                <w:tab w:val="decimal" w:pos="954"/>
              </w:tabs>
              <w:spacing w:line="312" w:lineRule="auto"/>
            </w:pPr>
            <w:r w:rsidRPr="003C232E">
              <w:t>93</w:t>
            </w:r>
          </w:p>
        </w:tc>
        <w:tc>
          <w:tcPr>
            <w:tcW w:w="1620" w:type="dxa"/>
            <w:shd w:val="clear" w:color="auto" w:fill="auto"/>
            <w:noWrap/>
            <w:vAlign w:val="center"/>
            <w:hideMark/>
          </w:tcPr>
          <w:p w14:paraId="6FABFB23" w14:textId="77777777" w:rsidR="00332530" w:rsidRPr="003C232E" w:rsidRDefault="00332530" w:rsidP="00586981">
            <w:pPr>
              <w:pStyle w:val="NCDTableText"/>
              <w:tabs>
                <w:tab w:val="decimal" w:pos="657"/>
              </w:tabs>
              <w:spacing w:line="312" w:lineRule="auto"/>
            </w:pPr>
            <w:r w:rsidRPr="003C232E">
              <w:t>4.43%</w:t>
            </w:r>
          </w:p>
        </w:tc>
      </w:tr>
      <w:tr w:rsidR="00332530" w:rsidRPr="00D7262D" w14:paraId="55BBCD17" w14:textId="77777777" w:rsidTr="00663EF7">
        <w:trPr>
          <w:trHeight w:val="315"/>
        </w:trPr>
        <w:tc>
          <w:tcPr>
            <w:tcW w:w="2070" w:type="dxa"/>
            <w:shd w:val="clear" w:color="auto" w:fill="auto"/>
            <w:vAlign w:val="center"/>
          </w:tcPr>
          <w:p w14:paraId="0E4DC54C" w14:textId="77777777" w:rsidR="00332530" w:rsidRPr="00B41F29" w:rsidRDefault="00332530" w:rsidP="00663EF7">
            <w:pPr>
              <w:pStyle w:val="NCDTableText"/>
              <w:spacing w:line="312" w:lineRule="auto"/>
              <w:rPr>
                <w:b/>
              </w:rPr>
            </w:pPr>
            <w:r w:rsidRPr="00B41F29">
              <w:rPr>
                <w:b/>
              </w:rPr>
              <w:t>2016</w:t>
            </w:r>
          </w:p>
        </w:tc>
        <w:tc>
          <w:tcPr>
            <w:tcW w:w="1710" w:type="dxa"/>
            <w:shd w:val="clear" w:color="auto" w:fill="auto"/>
            <w:vAlign w:val="center"/>
          </w:tcPr>
          <w:p w14:paraId="5896B6FF" w14:textId="77777777" w:rsidR="00332530" w:rsidRPr="003C232E" w:rsidRDefault="00332530" w:rsidP="007852F1">
            <w:pPr>
              <w:pStyle w:val="NCDTableText"/>
              <w:tabs>
                <w:tab w:val="decimal" w:pos="1053"/>
              </w:tabs>
              <w:spacing w:line="312" w:lineRule="auto"/>
            </w:pPr>
            <w:r w:rsidRPr="003C232E">
              <w:t>2,250*</w:t>
            </w:r>
          </w:p>
        </w:tc>
        <w:tc>
          <w:tcPr>
            <w:tcW w:w="2160" w:type="dxa"/>
            <w:shd w:val="clear" w:color="auto" w:fill="auto"/>
            <w:vAlign w:val="center"/>
            <w:hideMark/>
          </w:tcPr>
          <w:p w14:paraId="28F72BEE" w14:textId="77777777" w:rsidR="00332530" w:rsidRPr="003C232E" w:rsidRDefault="00332530" w:rsidP="00663EF7">
            <w:pPr>
              <w:pStyle w:val="NCDTableText"/>
              <w:spacing w:line="312" w:lineRule="auto"/>
              <w:jc w:val="center"/>
            </w:pPr>
            <w:r w:rsidRPr="003C232E">
              <w:t>2,202</w:t>
            </w:r>
          </w:p>
        </w:tc>
        <w:tc>
          <w:tcPr>
            <w:tcW w:w="1710" w:type="dxa"/>
            <w:shd w:val="clear" w:color="auto" w:fill="auto"/>
            <w:noWrap/>
            <w:vAlign w:val="center"/>
            <w:hideMark/>
          </w:tcPr>
          <w:p w14:paraId="2D5D1464" w14:textId="77777777" w:rsidR="00332530" w:rsidRPr="003C232E" w:rsidRDefault="00332530" w:rsidP="00586981">
            <w:pPr>
              <w:pStyle w:val="NCDTableText"/>
              <w:tabs>
                <w:tab w:val="decimal" w:pos="954"/>
              </w:tabs>
              <w:spacing w:line="312" w:lineRule="auto"/>
            </w:pPr>
            <w:r w:rsidRPr="003C232E">
              <w:t>11</w:t>
            </w:r>
          </w:p>
        </w:tc>
        <w:tc>
          <w:tcPr>
            <w:tcW w:w="1620" w:type="dxa"/>
            <w:shd w:val="clear" w:color="auto" w:fill="auto"/>
            <w:noWrap/>
            <w:vAlign w:val="center"/>
            <w:hideMark/>
          </w:tcPr>
          <w:p w14:paraId="66E40C61" w14:textId="77777777" w:rsidR="00332530" w:rsidRPr="003C232E" w:rsidRDefault="00332530" w:rsidP="00586981">
            <w:pPr>
              <w:pStyle w:val="NCDTableText"/>
              <w:tabs>
                <w:tab w:val="decimal" w:pos="657"/>
              </w:tabs>
              <w:spacing w:line="312" w:lineRule="auto"/>
            </w:pPr>
            <w:r w:rsidRPr="003C232E">
              <w:t>0.50%</w:t>
            </w:r>
          </w:p>
        </w:tc>
      </w:tr>
      <w:tr w:rsidR="00332530" w:rsidRPr="00D7262D" w14:paraId="33F54E15" w14:textId="77777777" w:rsidTr="00663EF7">
        <w:trPr>
          <w:trHeight w:val="330"/>
        </w:trPr>
        <w:tc>
          <w:tcPr>
            <w:tcW w:w="2070" w:type="dxa"/>
            <w:shd w:val="clear" w:color="auto" w:fill="auto"/>
            <w:vAlign w:val="center"/>
          </w:tcPr>
          <w:p w14:paraId="20B7BBC1" w14:textId="77777777" w:rsidR="00332530" w:rsidRPr="00B41F29" w:rsidRDefault="00332530" w:rsidP="00663EF7">
            <w:pPr>
              <w:pStyle w:val="NCDTableText"/>
              <w:spacing w:line="312" w:lineRule="auto"/>
              <w:rPr>
                <w:b/>
              </w:rPr>
            </w:pPr>
            <w:r w:rsidRPr="00B41F29">
              <w:rPr>
                <w:b/>
              </w:rPr>
              <w:t>2017</w:t>
            </w:r>
          </w:p>
        </w:tc>
        <w:tc>
          <w:tcPr>
            <w:tcW w:w="1710" w:type="dxa"/>
            <w:shd w:val="clear" w:color="auto" w:fill="auto"/>
            <w:vAlign w:val="center"/>
          </w:tcPr>
          <w:p w14:paraId="43AAB122" w14:textId="77777777" w:rsidR="00332530" w:rsidRPr="003C232E" w:rsidRDefault="00332530" w:rsidP="007852F1">
            <w:pPr>
              <w:pStyle w:val="NCDTableText"/>
              <w:tabs>
                <w:tab w:val="decimal" w:pos="1053"/>
              </w:tabs>
              <w:spacing w:line="312" w:lineRule="auto"/>
            </w:pPr>
            <w:r w:rsidRPr="003C232E">
              <w:t>2,347</w:t>
            </w:r>
          </w:p>
        </w:tc>
        <w:tc>
          <w:tcPr>
            <w:tcW w:w="2160" w:type="dxa"/>
            <w:shd w:val="clear" w:color="auto" w:fill="auto"/>
            <w:vAlign w:val="center"/>
            <w:hideMark/>
          </w:tcPr>
          <w:p w14:paraId="065A2CE9" w14:textId="77777777" w:rsidR="00332530" w:rsidRPr="003C232E" w:rsidRDefault="00332530" w:rsidP="00663EF7">
            <w:pPr>
              <w:pStyle w:val="NCDTableText"/>
              <w:spacing w:line="312" w:lineRule="auto"/>
              <w:jc w:val="center"/>
            </w:pPr>
            <w:r w:rsidRPr="003C232E">
              <w:t>2,082</w:t>
            </w:r>
          </w:p>
        </w:tc>
        <w:tc>
          <w:tcPr>
            <w:tcW w:w="1710" w:type="dxa"/>
            <w:shd w:val="clear" w:color="auto" w:fill="auto"/>
            <w:noWrap/>
            <w:vAlign w:val="center"/>
            <w:hideMark/>
          </w:tcPr>
          <w:p w14:paraId="4C79AC07" w14:textId="5BA87EE8" w:rsidR="00332530" w:rsidRPr="003C232E" w:rsidRDefault="007852F1" w:rsidP="00586981">
            <w:pPr>
              <w:pStyle w:val="NCDTableText"/>
              <w:tabs>
                <w:tab w:val="decimal" w:pos="954"/>
              </w:tabs>
              <w:spacing w:line="312" w:lineRule="auto"/>
            </w:pPr>
            <w:r>
              <w:t>–</w:t>
            </w:r>
            <w:r w:rsidR="00332530" w:rsidRPr="003C232E">
              <w:t>120</w:t>
            </w:r>
          </w:p>
        </w:tc>
        <w:tc>
          <w:tcPr>
            <w:tcW w:w="1620" w:type="dxa"/>
            <w:shd w:val="clear" w:color="auto" w:fill="auto"/>
            <w:noWrap/>
            <w:vAlign w:val="center"/>
            <w:hideMark/>
          </w:tcPr>
          <w:p w14:paraId="72C96A06" w14:textId="3A7209B5" w:rsidR="00332530" w:rsidRPr="003C232E" w:rsidRDefault="003E58DD" w:rsidP="00586981">
            <w:pPr>
              <w:pStyle w:val="NCDTableText"/>
              <w:tabs>
                <w:tab w:val="decimal" w:pos="657"/>
              </w:tabs>
              <w:spacing w:line="312" w:lineRule="auto"/>
            </w:pPr>
            <w:r>
              <w:t>–</w:t>
            </w:r>
            <w:r w:rsidR="00332530" w:rsidRPr="003C232E">
              <w:t>5.45%</w:t>
            </w:r>
          </w:p>
        </w:tc>
      </w:tr>
      <w:tr w:rsidR="00332530" w:rsidRPr="00D7262D" w14:paraId="3510639A" w14:textId="77777777" w:rsidTr="00663EF7">
        <w:trPr>
          <w:trHeight w:val="259"/>
        </w:trPr>
        <w:tc>
          <w:tcPr>
            <w:tcW w:w="2070" w:type="dxa"/>
            <w:shd w:val="clear" w:color="auto" w:fill="auto"/>
            <w:vAlign w:val="bottom"/>
          </w:tcPr>
          <w:p w14:paraId="64C156AA" w14:textId="77777777" w:rsidR="00332530" w:rsidRPr="00B41F29" w:rsidRDefault="00332530" w:rsidP="00663EF7">
            <w:pPr>
              <w:pStyle w:val="NCDTableText"/>
              <w:spacing w:line="312" w:lineRule="auto"/>
              <w:rPr>
                <w:b/>
              </w:rPr>
            </w:pPr>
            <w:r w:rsidRPr="00B41F29">
              <w:rPr>
                <w:b/>
              </w:rPr>
              <w:t>Annual Average</w:t>
            </w:r>
          </w:p>
        </w:tc>
        <w:tc>
          <w:tcPr>
            <w:tcW w:w="1710" w:type="dxa"/>
            <w:shd w:val="clear" w:color="auto" w:fill="auto"/>
            <w:vAlign w:val="center"/>
          </w:tcPr>
          <w:p w14:paraId="6826AC32" w14:textId="77777777" w:rsidR="00332530" w:rsidRPr="003165C7" w:rsidRDefault="00332530" w:rsidP="00663EF7">
            <w:pPr>
              <w:pStyle w:val="NCDTableText"/>
              <w:spacing w:line="312" w:lineRule="auto"/>
              <w:jc w:val="center"/>
              <w:rPr>
                <w:bCs/>
                <w:color w:val="000000"/>
              </w:rPr>
            </w:pPr>
          </w:p>
        </w:tc>
        <w:tc>
          <w:tcPr>
            <w:tcW w:w="2160" w:type="dxa"/>
            <w:shd w:val="clear" w:color="auto" w:fill="auto"/>
            <w:noWrap/>
            <w:vAlign w:val="bottom"/>
            <w:hideMark/>
          </w:tcPr>
          <w:p w14:paraId="2EA8DE58" w14:textId="77777777" w:rsidR="00332530" w:rsidRPr="003165C7" w:rsidRDefault="00332530" w:rsidP="00663EF7">
            <w:pPr>
              <w:pStyle w:val="NCDTableText"/>
              <w:spacing w:line="312" w:lineRule="auto"/>
              <w:jc w:val="center"/>
            </w:pPr>
            <w:r w:rsidRPr="003165C7">
              <w:t>2,366</w:t>
            </w:r>
          </w:p>
        </w:tc>
        <w:tc>
          <w:tcPr>
            <w:tcW w:w="1710" w:type="dxa"/>
            <w:shd w:val="clear" w:color="auto" w:fill="auto"/>
            <w:noWrap/>
            <w:vAlign w:val="bottom"/>
            <w:hideMark/>
          </w:tcPr>
          <w:p w14:paraId="1F66AA31" w14:textId="77777777" w:rsidR="00332530" w:rsidRPr="003165C7" w:rsidRDefault="00332530" w:rsidP="00586981">
            <w:pPr>
              <w:pStyle w:val="NCDTableText"/>
              <w:tabs>
                <w:tab w:val="decimal" w:pos="954"/>
              </w:tabs>
              <w:spacing w:line="312" w:lineRule="auto"/>
            </w:pPr>
          </w:p>
        </w:tc>
        <w:tc>
          <w:tcPr>
            <w:tcW w:w="1620" w:type="dxa"/>
            <w:shd w:val="clear" w:color="auto" w:fill="auto"/>
            <w:noWrap/>
            <w:vAlign w:val="bottom"/>
            <w:hideMark/>
          </w:tcPr>
          <w:p w14:paraId="409BD392" w14:textId="77777777" w:rsidR="00332530" w:rsidRPr="003165C7" w:rsidRDefault="00332530" w:rsidP="00586981">
            <w:pPr>
              <w:pStyle w:val="NCDTableText"/>
              <w:tabs>
                <w:tab w:val="decimal" w:pos="657"/>
              </w:tabs>
              <w:spacing w:line="312" w:lineRule="auto"/>
            </w:pPr>
          </w:p>
        </w:tc>
      </w:tr>
      <w:tr w:rsidR="00332530" w:rsidRPr="00D7262D" w14:paraId="4CFC14A9" w14:textId="77777777" w:rsidTr="00663EF7">
        <w:trPr>
          <w:trHeight w:val="260"/>
        </w:trPr>
        <w:tc>
          <w:tcPr>
            <w:tcW w:w="2070" w:type="dxa"/>
            <w:shd w:val="clear" w:color="auto" w:fill="auto"/>
            <w:vAlign w:val="bottom"/>
          </w:tcPr>
          <w:p w14:paraId="50C9E36F" w14:textId="77777777" w:rsidR="00332530" w:rsidRPr="00B41F29" w:rsidRDefault="00332530" w:rsidP="00663EF7">
            <w:pPr>
              <w:pStyle w:val="NCDTableText"/>
              <w:spacing w:line="312" w:lineRule="auto"/>
              <w:rPr>
                <w:b/>
              </w:rPr>
            </w:pPr>
            <w:r w:rsidRPr="00B41F29">
              <w:rPr>
                <w:b/>
              </w:rPr>
              <w:t>Change Between 2000 &amp; 2017</w:t>
            </w:r>
          </w:p>
        </w:tc>
        <w:tc>
          <w:tcPr>
            <w:tcW w:w="1710" w:type="dxa"/>
          </w:tcPr>
          <w:p w14:paraId="6C270704" w14:textId="77777777" w:rsidR="00332530" w:rsidRPr="003165C7" w:rsidRDefault="00332530" w:rsidP="00663EF7">
            <w:pPr>
              <w:pStyle w:val="NCDTableText"/>
              <w:spacing w:line="312" w:lineRule="auto"/>
              <w:jc w:val="center"/>
              <w:rPr>
                <w:color w:val="000000"/>
              </w:rPr>
            </w:pPr>
          </w:p>
        </w:tc>
        <w:tc>
          <w:tcPr>
            <w:tcW w:w="2160" w:type="dxa"/>
            <w:shd w:val="clear" w:color="auto" w:fill="auto"/>
            <w:noWrap/>
            <w:vAlign w:val="bottom"/>
            <w:hideMark/>
          </w:tcPr>
          <w:p w14:paraId="304521A9" w14:textId="77777777" w:rsidR="00332530" w:rsidRPr="003165C7" w:rsidRDefault="00332530" w:rsidP="00663EF7">
            <w:pPr>
              <w:pStyle w:val="NCDTableText"/>
              <w:spacing w:line="312" w:lineRule="auto"/>
              <w:jc w:val="center"/>
              <w:rPr>
                <w:color w:val="000000"/>
              </w:rPr>
            </w:pPr>
          </w:p>
        </w:tc>
        <w:tc>
          <w:tcPr>
            <w:tcW w:w="1710" w:type="dxa"/>
            <w:shd w:val="clear" w:color="auto" w:fill="auto"/>
            <w:noWrap/>
            <w:vAlign w:val="bottom"/>
            <w:hideMark/>
          </w:tcPr>
          <w:p w14:paraId="672917F3" w14:textId="34654C87" w:rsidR="00332530" w:rsidRPr="003165C7" w:rsidRDefault="003E58DD" w:rsidP="00586981">
            <w:pPr>
              <w:pStyle w:val="NCDTableText"/>
              <w:tabs>
                <w:tab w:val="decimal" w:pos="954"/>
              </w:tabs>
              <w:spacing w:line="312" w:lineRule="auto"/>
            </w:pPr>
            <w:r>
              <w:t>–</w:t>
            </w:r>
            <w:r w:rsidR="00332530" w:rsidRPr="003165C7">
              <w:t>770</w:t>
            </w:r>
          </w:p>
        </w:tc>
        <w:tc>
          <w:tcPr>
            <w:tcW w:w="1620" w:type="dxa"/>
            <w:shd w:val="clear" w:color="auto" w:fill="auto"/>
            <w:noWrap/>
            <w:vAlign w:val="bottom"/>
            <w:hideMark/>
          </w:tcPr>
          <w:p w14:paraId="2E88B107" w14:textId="7E48B15C" w:rsidR="00332530" w:rsidRPr="003165C7" w:rsidRDefault="003E58DD" w:rsidP="00586981">
            <w:pPr>
              <w:pStyle w:val="NCDTableText"/>
              <w:tabs>
                <w:tab w:val="decimal" w:pos="657"/>
              </w:tabs>
              <w:spacing w:line="312" w:lineRule="auto"/>
            </w:pPr>
            <w:r>
              <w:t>–</w:t>
            </w:r>
            <w:r w:rsidR="00332530" w:rsidRPr="003165C7">
              <w:t>27.00%</w:t>
            </w:r>
          </w:p>
        </w:tc>
      </w:tr>
    </w:tbl>
    <w:p w14:paraId="09A82C44" w14:textId="30B08DD1" w:rsidR="00296DA5" w:rsidRDefault="003C232E" w:rsidP="00663EF7">
      <w:pPr>
        <w:pStyle w:val="NCDTableSource"/>
      </w:pPr>
      <w:r w:rsidRPr="00D7262D">
        <w:t>Data Source: EEOC</w:t>
      </w:r>
      <w:r>
        <w:t>;</w:t>
      </w:r>
      <w:r w:rsidRPr="00D7262D">
        <w:rPr>
          <w:vertAlign w:val="superscript"/>
        </w:rPr>
        <w:endnoteReference w:id="301"/>
      </w:r>
      <w:r>
        <w:t xml:space="preserve"> Yearly change calculations by the researchers.</w:t>
      </w:r>
      <w:r w:rsidR="00663EF7">
        <w:br/>
      </w:r>
      <w:r w:rsidR="00332530" w:rsidRPr="00D7262D">
        <w:t>*2,250 represents the revised actual within the FY 2016 Enacted Budget</w:t>
      </w:r>
      <w:r w:rsidR="00F77D72">
        <w:t>;</w:t>
      </w:r>
      <w:r w:rsidR="00332530" w:rsidRPr="00D7262D">
        <w:t xml:space="preserve"> 2,347 </w:t>
      </w:r>
      <w:r>
        <w:t>was</w:t>
      </w:r>
      <w:r w:rsidR="00332530" w:rsidRPr="00D7262D">
        <w:t xml:space="preserve"> the Commission</w:t>
      </w:r>
      <w:r w:rsidR="006474CA">
        <w:t>’</w:t>
      </w:r>
      <w:r w:rsidR="00332530" w:rsidRPr="00D7262D">
        <w:t xml:space="preserve">s </w:t>
      </w:r>
      <w:r w:rsidR="00332530">
        <w:t>approved</w:t>
      </w:r>
      <w:r w:rsidR="00332530" w:rsidRPr="00D7262D">
        <w:t xml:space="preserve"> FTE Ceiling.</w:t>
      </w:r>
    </w:p>
    <w:p w14:paraId="21AEC0FC" w14:textId="65A1C24F" w:rsidR="009D225A" w:rsidRDefault="009D225A" w:rsidP="00396A3D">
      <w:pPr>
        <w:pStyle w:val="NCDBodyText"/>
      </w:pPr>
      <w:r>
        <w:br w:type="page"/>
      </w:r>
    </w:p>
    <w:p w14:paraId="482E3DB1" w14:textId="77777777" w:rsidR="009D225A" w:rsidRPr="00510393" w:rsidRDefault="009D225A" w:rsidP="00663EF7">
      <w:pPr>
        <w:pStyle w:val="NCDTableHeader"/>
        <w:jc w:val="left"/>
      </w:pPr>
      <w:r w:rsidRPr="00BE1926">
        <w:lastRenderedPageBreak/>
        <w:t>T</w:t>
      </w:r>
      <w:r>
        <w:t>able</w:t>
      </w:r>
      <w:r w:rsidRPr="00BE1926">
        <w:t xml:space="preserve"> </w:t>
      </w:r>
      <w:r>
        <w:t>C: ODEP</w:t>
      </w:r>
      <w:r w:rsidRPr="00510393">
        <w:t xml:space="preserve"> Budget 2008 to 2016</w:t>
      </w:r>
    </w:p>
    <w:tbl>
      <w:tblPr>
        <w:tblW w:w="9525" w:type="dxa"/>
        <w:tblInd w:w="1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4A0" w:firstRow="1" w:lastRow="0" w:firstColumn="1" w:lastColumn="0" w:noHBand="0" w:noVBand="1"/>
        <w:tblCaption w:val="Table C: ODEP Budget 2008 to 2016"/>
        <w:tblDescription w:val="Fiscal Year  Enacted&#10;($ in thousands) Constant 2000 Dollars Yearly % Change (Constant $)&#10;   &#10;2008 $27,288.00 $27,288.00 &#10;2009 $26,697.00 $26,792.32 –1.82%&#10;2010 $39,031.00 $38,538.23 43.84%&#10;2011 $38,953.00 $37,284.32 –3.25%&#10;2012 $38,879.00 $36,458.99 –2.21%&#10;2013 $36,846.00 $34,053.73 –6.60%&#10;2014 $37,745.00 $34,327.74 0.80%&#10;2015 $38,500.00 $34,972.87 1.88%&#10;2016 $38,203.00 $34,270.75 –2.01%&#10;Annual Average $35,793.56 $33,776.33 3.83%&#10;Change Between 2008 &amp; 2016   25.59%&#10;Data Source: ODEP FY 2018 Budget Justification.  Constant dollar and yearly % changes are calculations by the researchers based on the Consumer Price Index (CPI) for each year utilizing 2008 as the base year."/>
      </w:tblPr>
      <w:tblGrid>
        <w:gridCol w:w="2685"/>
        <w:gridCol w:w="2250"/>
        <w:gridCol w:w="2340"/>
        <w:gridCol w:w="2250"/>
      </w:tblGrid>
      <w:tr w:rsidR="009D225A" w:rsidRPr="00510393" w14:paraId="6D601593" w14:textId="77777777" w:rsidTr="00B33BCC">
        <w:trPr>
          <w:trHeight w:val="614"/>
        </w:trPr>
        <w:tc>
          <w:tcPr>
            <w:tcW w:w="2685" w:type="dxa"/>
            <w:vMerge w:val="restart"/>
            <w:shd w:val="clear" w:color="auto" w:fill="auto"/>
            <w:noWrap/>
            <w:vAlign w:val="center"/>
            <w:hideMark/>
          </w:tcPr>
          <w:p w14:paraId="31018758" w14:textId="77777777" w:rsidR="009D225A" w:rsidRPr="003C232E" w:rsidRDefault="009D225A" w:rsidP="00663EF7">
            <w:pPr>
              <w:pStyle w:val="NCDTableHeader"/>
              <w:jc w:val="left"/>
            </w:pPr>
            <w:r w:rsidRPr="003C232E">
              <w:t>Fiscal Year</w:t>
            </w:r>
          </w:p>
        </w:tc>
        <w:tc>
          <w:tcPr>
            <w:tcW w:w="2250" w:type="dxa"/>
            <w:vMerge w:val="restart"/>
            <w:shd w:val="clear" w:color="auto" w:fill="auto"/>
            <w:vAlign w:val="center"/>
            <w:hideMark/>
          </w:tcPr>
          <w:p w14:paraId="22B1FEDB" w14:textId="77777777" w:rsidR="009D225A" w:rsidRPr="003C232E" w:rsidRDefault="009D225A" w:rsidP="00663EF7">
            <w:pPr>
              <w:pStyle w:val="NCDTableHeader"/>
            </w:pPr>
            <w:r w:rsidRPr="003C232E">
              <w:t xml:space="preserve"> Enacted</w:t>
            </w:r>
          </w:p>
          <w:p w14:paraId="218AE0C4" w14:textId="77777777" w:rsidR="009D225A" w:rsidRPr="003C232E" w:rsidRDefault="009D225A" w:rsidP="00663EF7">
            <w:pPr>
              <w:pStyle w:val="NCDTableHeader"/>
            </w:pPr>
            <w:r w:rsidRPr="003C232E">
              <w:t>($ in thousands)</w:t>
            </w:r>
          </w:p>
        </w:tc>
        <w:tc>
          <w:tcPr>
            <w:tcW w:w="2340" w:type="dxa"/>
            <w:vMerge w:val="restart"/>
            <w:shd w:val="clear" w:color="auto" w:fill="auto"/>
            <w:vAlign w:val="center"/>
            <w:hideMark/>
          </w:tcPr>
          <w:p w14:paraId="67DD846F" w14:textId="77777777" w:rsidR="009D225A" w:rsidRPr="003C232E" w:rsidRDefault="009D225A" w:rsidP="00663EF7">
            <w:pPr>
              <w:pStyle w:val="NCDTableHeader"/>
            </w:pPr>
            <w:r w:rsidRPr="003C232E">
              <w:t>Constant 2000 Dollars</w:t>
            </w:r>
          </w:p>
        </w:tc>
        <w:tc>
          <w:tcPr>
            <w:tcW w:w="2250" w:type="dxa"/>
            <w:vMerge w:val="restart"/>
            <w:shd w:val="clear" w:color="auto" w:fill="auto"/>
            <w:vAlign w:val="center"/>
            <w:hideMark/>
          </w:tcPr>
          <w:p w14:paraId="382E903C" w14:textId="77777777" w:rsidR="009D225A" w:rsidRPr="003C232E" w:rsidRDefault="009D225A" w:rsidP="00663EF7">
            <w:pPr>
              <w:pStyle w:val="NCDTableHeader"/>
            </w:pPr>
            <w:r w:rsidRPr="003C232E">
              <w:t>Yearly % Change (Constant $)</w:t>
            </w:r>
          </w:p>
        </w:tc>
      </w:tr>
      <w:tr w:rsidR="009D225A" w:rsidRPr="00510393" w14:paraId="6B4DAEA8" w14:textId="77777777" w:rsidTr="00B33BCC">
        <w:trPr>
          <w:trHeight w:val="537"/>
        </w:trPr>
        <w:tc>
          <w:tcPr>
            <w:tcW w:w="2685" w:type="dxa"/>
            <w:vMerge/>
            <w:shd w:val="clear" w:color="auto" w:fill="auto"/>
            <w:vAlign w:val="center"/>
            <w:hideMark/>
          </w:tcPr>
          <w:p w14:paraId="1A28A90F" w14:textId="77777777" w:rsidR="009D225A" w:rsidRPr="003C232E" w:rsidRDefault="009D225A" w:rsidP="00452A86">
            <w:pPr>
              <w:keepNext/>
              <w:keepLines/>
              <w:spacing w:after="0" w:line="360" w:lineRule="auto"/>
              <w:rPr>
                <w:rFonts w:ascii="Arial" w:eastAsia="Times New Roman" w:hAnsi="Arial" w:cs="Arial"/>
                <w:b/>
                <w:bCs/>
                <w:color w:val="000000"/>
                <w:szCs w:val="24"/>
              </w:rPr>
            </w:pPr>
          </w:p>
        </w:tc>
        <w:tc>
          <w:tcPr>
            <w:tcW w:w="2250" w:type="dxa"/>
            <w:vMerge/>
            <w:shd w:val="clear" w:color="auto" w:fill="auto"/>
            <w:vAlign w:val="center"/>
            <w:hideMark/>
          </w:tcPr>
          <w:p w14:paraId="24EA5348" w14:textId="77777777" w:rsidR="009D225A" w:rsidRPr="003C232E" w:rsidRDefault="009D225A" w:rsidP="00452A86">
            <w:pPr>
              <w:keepNext/>
              <w:keepLines/>
              <w:spacing w:after="0" w:line="360" w:lineRule="auto"/>
              <w:rPr>
                <w:rFonts w:ascii="Arial" w:eastAsia="Times New Roman" w:hAnsi="Arial" w:cs="Arial"/>
                <w:b/>
                <w:bCs/>
                <w:color w:val="000000"/>
                <w:szCs w:val="24"/>
              </w:rPr>
            </w:pPr>
          </w:p>
        </w:tc>
        <w:tc>
          <w:tcPr>
            <w:tcW w:w="2340" w:type="dxa"/>
            <w:vMerge/>
            <w:shd w:val="clear" w:color="auto" w:fill="auto"/>
            <w:vAlign w:val="center"/>
            <w:hideMark/>
          </w:tcPr>
          <w:p w14:paraId="4C89B8CA" w14:textId="77777777" w:rsidR="009D225A" w:rsidRPr="003C232E" w:rsidRDefault="009D225A" w:rsidP="00452A86">
            <w:pPr>
              <w:keepNext/>
              <w:keepLines/>
              <w:spacing w:after="0" w:line="360" w:lineRule="auto"/>
              <w:rPr>
                <w:rFonts w:ascii="Arial" w:eastAsia="Times New Roman" w:hAnsi="Arial" w:cs="Arial"/>
                <w:b/>
                <w:bCs/>
                <w:color w:val="000000"/>
                <w:szCs w:val="24"/>
              </w:rPr>
            </w:pPr>
          </w:p>
        </w:tc>
        <w:tc>
          <w:tcPr>
            <w:tcW w:w="2250" w:type="dxa"/>
            <w:vMerge/>
            <w:shd w:val="clear" w:color="auto" w:fill="auto"/>
            <w:vAlign w:val="center"/>
            <w:hideMark/>
          </w:tcPr>
          <w:p w14:paraId="5A82E9BC" w14:textId="77777777" w:rsidR="009D225A" w:rsidRPr="003C232E" w:rsidRDefault="009D225A" w:rsidP="00452A86">
            <w:pPr>
              <w:keepNext/>
              <w:keepLines/>
              <w:spacing w:after="0" w:line="360" w:lineRule="auto"/>
              <w:rPr>
                <w:rFonts w:ascii="Arial" w:eastAsia="Times New Roman" w:hAnsi="Arial" w:cs="Arial"/>
                <w:b/>
                <w:bCs/>
                <w:color w:val="333333"/>
                <w:szCs w:val="24"/>
              </w:rPr>
            </w:pPr>
          </w:p>
        </w:tc>
      </w:tr>
      <w:tr w:rsidR="009D225A" w:rsidRPr="00510393" w14:paraId="40CDB136" w14:textId="77777777" w:rsidTr="00B33BCC">
        <w:trPr>
          <w:trHeight w:val="300"/>
        </w:trPr>
        <w:tc>
          <w:tcPr>
            <w:tcW w:w="2685" w:type="dxa"/>
            <w:shd w:val="clear" w:color="auto" w:fill="auto"/>
            <w:vAlign w:val="center"/>
            <w:hideMark/>
          </w:tcPr>
          <w:p w14:paraId="1E324950" w14:textId="77777777" w:rsidR="009D225A" w:rsidRPr="00C9703D" w:rsidRDefault="009D225A" w:rsidP="00663EF7">
            <w:pPr>
              <w:pStyle w:val="NCDTableText"/>
              <w:rPr>
                <w:b/>
              </w:rPr>
            </w:pPr>
            <w:r w:rsidRPr="00C9703D">
              <w:rPr>
                <w:b/>
              </w:rPr>
              <w:t>2008</w:t>
            </w:r>
          </w:p>
        </w:tc>
        <w:tc>
          <w:tcPr>
            <w:tcW w:w="2250" w:type="dxa"/>
            <w:shd w:val="clear" w:color="auto" w:fill="auto"/>
            <w:noWrap/>
            <w:hideMark/>
          </w:tcPr>
          <w:p w14:paraId="0A33334B" w14:textId="4DA5EC81" w:rsidR="009D225A" w:rsidRPr="003C232E" w:rsidRDefault="009D225A" w:rsidP="00663EF7">
            <w:pPr>
              <w:pStyle w:val="NCDTableText"/>
              <w:jc w:val="center"/>
            </w:pPr>
            <w:r w:rsidRPr="003C232E">
              <w:t>$27,288.00</w:t>
            </w:r>
          </w:p>
        </w:tc>
        <w:tc>
          <w:tcPr>
            <w:tcW w:w="2340" w:type="dxa"/>
            <w:shd w:val="clear" w:color="auto" w:fill="auto"/>
            <w:noWrap/>
            <w:hideMark/>
          </w:tcPr>
          <w:p w14:paraId="694384AF" w14:textId="716EF737" w:rsidR="009D225A" w:rsidRPr="003C232E" w:rsidRDefault="009D225A" w:rsidP="00663EF7">
            <w:pPr>
              <w:pStyle w:val="NCDTableText"/>
              <w:jc w:val="center"/>
            </w:pPr>
            <w:r w:rsidRPr="003C232E">
              <w:t>$27,288.00</w:t>
            </w:r>
          </w:p>
        </w:tc>
        <w:tc>
          <w:tcPr>
            <w:tcW w:w="2250" w:type="dxa"/>
            <w:shd w:val="clear" w:color="auto" w:fill="auto"/>
            <w:noWrap/>
            <w:hideMark/>
          </w:tcPr>
          <w:p w14:paraId="5E460F81" w14:textId="77777777" w:rsidR="009D225A" w:rsidRPr="003C232E" w:rsidRDefault="009D225A" w:rsidP="00663EF7">
            <w:pPr>
              <w:pStyle w:val="NCDTableText"/>
              <w:jc w:val="center"/>
            </w:pPr>
          </w:p>
        </w:tc>
      </w:tr>
      <w:tr w:rsidR="009D225A" w:rsidRPr="00510393" w14:paraId="0582F248" w14:textId="77777777" w:rsidTr="00B33BCC">
        <w:trPr>
          <w:trHeight w:val="300"/>
        </w:trPr>
        <w:tc>
          <w:tcPr>
            <w:tcW w:w="2685" w:type="dxa"/>
            <w:shd w:val="clear" w:color="auto" w:fill="auto"/>
            <w:vAlign w:val="center"/>
            <w:hideMark/>
          </w:tcPr>
          <w:p w14:paraId="2E144D4B" w14:textId="77777777" w:rsidR="009D225A" w:rsidRPr="00C9703D" w:rsidRDefault="009D225A" w:rsidP="00663EF7">
            <w:pPr>
              <w:pStyle w:val="NCDTableText"/>
              <w:rPr>
                <w:b/>
              </w:rPr>
            </w:pPr>
            <w:r w:rsidRPr="00C9703D">
              <w:rPr>
                <w:b/>
              </w:rPr>
              <w:t>2009</w:t>
            </w:r>
          </w:p>
        </w:tc>
        <w:tc>
          <w:tcPr>
            <w:tcW w:w="2250" w:type="dxa"/>
            <w:shd w:val="clear" w:color="auto" w:fill="auto"/>
            <w:noWrap/>
            <w:hideMark/>
          </w:tcPr>
          <w:p w14:paraId="5BE60691" w14:textId="5B94B330" w:rsidR="009D225A" w:rsidRPr="003C232E" w:rsidRDefault="009D225A" w:rsidP="00663EF7">
            <w:pPr>
              <w:pStyle w:val="NCDTableText"/>
              <w:jc w:val="center"/>
            </w:pPr>
            <w:r w:rsidRPr="003C232E">
              <w:t>$26,697.00</w:t>
            </w:r>
          </w:p>
        </w:tc>
        <w:tc>
          <w:tcPr>
            <w:tcW w:w="2340" w:type="dxa"/>
            <w:shd w:val="clear" w:color="auto" w:fill="auto"/>
            <w:noWrap/>
            <w:hideMark/>
          </w:tcPr>
          <w:p w14:paraId="2296DE17" w14:textId="72AB0DDA" w:rsidR="009D225A" w:rsidRPr="003C232E" w:rsidRDefault="009D225A" w:rsidP="00663EF7">
            <w:pPr>
              <w:pStyle w:val="NCDTableText"/>
              <w:jc w:val="center"/>
            </w:pPr>
            <w:r w:rsidRPr="003C232E">
              <w:t>$26,792.32</w:t>
            </w:r>
          </w:p>
        </w:tc>
        <w:tc>
          <w:tcPr>
            <w:tcW w:w="2250" w:type="dxa"/>
            <w:shd w:val="clear" w:color="auto" w:fill="auto"/>
            <w:noWrap/>
            <w:hideMark/>
          </w:tcPr>
          <w:p w14:paraId="10D2E409" w14:textId="0B6560DE" w:rsidR="009D225A" w:rsidRPr="003C232E" w:rsidRDefault="00C9703D" w:rsidP="00C9703D">
            <w:pPr>
              <w:pStyle w:val="NCDTableText"/>
              <w:tabs>
                <w:tab w:val="decimal" w:pos="882"/>
              </w:tabs>
            </w:pPr>
            <w:r>
              <w:t>–</w:t>
            </w:r>
            <w:r w:rsidR="009D225A" w:rsidRPr="003C232E">
              <w:t>1.82%</w:t>
            </w:r>
          </w:p>
        </w:tc>
      </w:tr>
      <w:tr w:rsidR="009D225A" w:rsidRPr="00510393" w14:paraId="02E331AE" w14:textId="77777777" w:rsidTr="00B33BCC">
        <w:trPr>
          <w:trHeight w:val="300"/>
        </w:trPr>
        <w:tc>
          <w:tcPr>
            <w:tcW w:w="2685" w:type="dxa"/>
            <w:shd w:val="clear" w:color="auto" w:fill="auto"/>
            <w:vAlign w:val="center"/>
            <w:hideMark/>
          </w:tcPr>
          <w:p w14:paraId="0B9572CD" w14:textId="77777777" w:rsidR="009D225A" w:rsidRPr="00C9703D" w:rsidRDefault="009D225A" w:rsidP="00663EF7">
            <w:pPr>
              <w:pStyle w:val="NCDTableText"/>
              <w:rPr>
                <w:b/>
              </w:rPr>
            </w:pPr>
            <w:r w:rsidRPr="00C9703D">
              <w:rPr>
                <w:b/>
              </w:rPr>
              <w:t>2010</w:t>
            </w:r>
          </w:p>
        </w:tc>
        <w:tc>
          <w:tcPr>
            <w:tcW w:w="2250" w:type="dxa"/>
            <w:shd w:val="clear" w:color="auto" w:fill="auto"/>
            <w:noWrap/>
            <w:hideMark/>
          </w:tcPr>
          <w:p w14:paraId="7F61D040" w14:textId="4662EA25" w:rsidR="009D225A" w:rsidRPr="003C232E" w:rsidRDefault="009D225A" w:rsidP="00663EF7">
            <w:pPr>
              <w:pStyle w:val="NCDTableText"/>
              <w:jc w:val="center"/>
            </w:pPr>
            <w:r w:rsidRPr="003C232E">
              <w:t>$39,031.00</w:t>
            </w:r>
          </w:p>
        </w:tc>
        <w:tc>
          <w:tcPr>
            <w:tcW w:w="2340" w:type="dxa"/>
            <w:shd w:val="clear" w:color="auto" w:fill="auto"/>
            <w:noWrap/>
            <w:hideMark/>
          </w:tcPr>
          <w:p w14:paraId="667F26C7" w14:textId="5BBD72E5" w:rsidR="009D225A" w:rsidRPr="003C232E" w:rsidRDefault="009D225A" w:rsidP="00663EF7">
            <w:pPr>
              <w:pStyle w:val="NCDTableText"/>
              <w:jc w:val="center"/>
            </w:pPr>
            <w:r w:rsidRPr="003C232E">
              <w:t>$38,538.23</w:t>
            </w:r>
          </w:p>
        </w:tc>
        <w:tc>
          <w:tcPr>
            <w:tcW w:w="2250" w:type="dxa"/>
            <w:shd w:val="clear" w:color="auto" w:fill="auto"/>
            <w:noWrap/>
            <w:hideMark/>
          </w:tcPr>
          <w:p w14:paraId="36FF8021" w14:textId="77777777" w:rsidR="009D225A" w:rsidRPr="003C232E" w:rsidRDefault="009D225A" w:rsidP="00C9703D">
            <w:pPr>
              <w:pStyle w:val="NCDTableText"/>
              <w:tabs>
                <w:tab w:val="decimal" w:pos="882"/>
              </w:tabs>
            </w:pPr>
            <w:r w:rsidRPr="003C232E">
              <w:t>43.84%</w:t>
            </w:r>
          </w:p>
        </w:tc>
      </w:tr>
      <w:tr w:rsidR="009D225A" w:rsidRPr="00510393" w14:paraId="5E989E5B" w14:textId="77777777" w:rsidTr="00B33BCC">
        <w:trPr>
          <w:trHeight w:val="300"/>
        </w:trPr>
        <w:tc>
          <w:tcPr>
            <w:tcW w:w="2685" w:type="dxa"/>
            <w:shd w:val="clear" w:color="auto" w:fill="auto"/>
            <w:vAlign w:val="center"/>
            <w:hideMark/>
          </w:tcPr>
          <w:p w14:paraId="60F5A2D2" w14:textId="77777777" w:rsidR="009D225A" w:rsidRPr="00C9703D" w:rsidRDefault="009D225A" w:rsidP="00663EF7">
            <w:pPr>
              <w:pStyle w:val="NCDTableText"/>
              <w:rPr>
                <w:b/>
              </w:rPr>
            </w:pPr>
            <w:r w:rsidRPr="00C9703D">
              <w:rPr>
                <w:b/>
              </w:rPr>
              <w:t>2011</w:t>
            </w:r>
          </w:p>
        </w:tc>
        <w:tc>
          <w:tcPr>
            <w:tcW w:w="2250" w:type="dxa"/>
            <w:shd w:val="clear" w:color="auto" w:fill="auto"/>
            <w:noWrap/>
            <w:hideMark/>
          </w:tcPr>
          <w:p w14:paraId="4A743E7D" w14:textId="6E24E975" w:rsidR="009D225A" w:rsidRPr="003C232E" w:rsidRDefault="009D225A" w:rsidP="00663EF7">
            <w:pPr>
              <w:pStyle w:val="NCDTableText"/>
              <w:jc w:val="center"/>
            </w:pPr>
            <w:r w:rsidRPr="003C232E">
              <w:t>$38,953.00</w:t>
            </w:r>
          </w:p>
        </w:tc>
        <w:tc>
          <w:tcPr>
            <w:tcW w:w="2340" w:type="dxa"/>
            <w:shd w:val="clear" w:color="auto" w:fill="auto"/>
            <w:noWrap/>
            <w:hideMark/>
          </w:tcPr>
          <w:p w14:paraId="688E16FA" w14:textId="191D0F70" w:rsidR="009D225A" w:rsidRPr="003C232E" w:rsidRDefault="009D225A" w:rsidP="00663EF7">
            <w:pPr>
              <w:pStyle w:val="NCDTableText"/>
              <w:jc w:val="center"/>
            </w:pPr>
            <w:r w:rsidRPr="003C232E">
              <w:t>$37,284.32</w:t>
            </w:r>
          </w:p>
        </w:tc>
        <w:tc>
          <w:tcPr>
            <w:tcW w:w="2250" w:type="dxa"/>
            <w:shd w:val="clear" w:color="auto" w:fill="auto"/>
            <w:noWrap/>
            <w:hideMark/>
          </w:tcPr>
          <w:p w14:paraId="2E145F4B" w14:textId="3832739E" w:rsidR="009D225A" w:rsidRPr="003C232E" w:rsidRDefault="00C9703D" w:rsidP="00C9703D">
            <w:pPr>
              <w:pStyle w:val="NCDTableText"/>
              <w:tabs>
                <w:tab w:val="decimal" w:pos="882"/>
              </w:tabs>
            </w:pPr>
            <w:r>
              <w:t>–</w:t>
            </w:r>
            <w:r w:rsidR="009D225A" w:rsidRPr="003C232E">
              <w:t>3.25%</w:t>
            </w:r>
          </w:p>
        </w:tc>
      </w:tr>
      <w:tr w:rsidR="009D225A" w:rsidRPr="00510393" w14:paraId="7183A909" w14:textId="77777777" w:rsidTr="00B33BCC">
        <w:trPr>
          <w:trHeight w:val="300"/>
        </w:trPr>
        <w:tc>
          <w:tcPr>
            <w:tcW w:w="2685" w:type="dxa"/>
            <w:shd w:val="clear" w:color="auto" w:fill="auto"/>
            <w:vAlign w:val="center"/>
            <w:hideMark/>
          </w:tcPr>
          <w:p w14:paraId="1FFFE84B" w14:textId="77777777" w:rsidR="009D225A" w:rsidRPr="00C9703D" w:rsidRDefault="009D225A" w:rsidP="00663EF7">
            <w:pPr>
              <w:pStyle w:val="NCDTableText"/>
              <w:rPr>
                <w:b/>
              </w:rPr>
            </w:pPr>
            <w:r w:rsidRPr="00C9703D">
              <w:rPr>
                <w:b/>
              </w:rPr>
              <w:t>2012</w:t>
            </w:r>
          </w:p>
        </w:tc>
        <w:tc>
          <w:tcPr>
            <w:tcW w:w="2250" w:type="dxa"/>
            <w:shd w:val="clear" w:color="auto" w:fill="auto"/>
            <w:noWrap/>
            <w:hideMark/>
          </w:tcPr>
          <w:p w14:paraId="377F59EA" w14:textId="346AD508" w:rsidR="009D225A" w:rsidRPr="003C232E" w:rsidRDefault="009D225A" w:rsidP="00663EF7">
            <w:pPr>
              <w:pStyle w:val="NCDTableText"/>
              <w:jc w:val="center"/>
            </w:pPr>
            <w:r w:rsidRPr="003C232E">
              <w:t>$38,879.00</w:t>
            </w:r>
          </w:p>
        </w:tc>
        <w:tc>
          <w:tcPr>
            <w:tcW w:w="2340" w:type="dxa"/>
            <w:shd w:val="clear" w:color="auto" w:fill="auto"/>
            <w:noWrap/>
            <w:hideMark/>
          </w:tcPr>
          <w:p w14:paraId="2BA94997" w14:textId="017B601D" w:rsidR="009D225A" w:rsidRPr="003C232E" w:rsidRDefault="009D225A" w:rsidP="00663EF7">
            <w:pPr>
              <w:pStyle w:val="NCDTableText"/>
              <w:jc w:val="center"/>
            </w:pPr>
            <w:r w:rsidRPr="003C232E">
              <w:t>$36,458.99</w:t>
            </w:r>
          </w:p>
        </w:tc>
        <w:tc>
          <w:tcPr>
            <w:tcW w:w="2250" w:type="dxa"/>
            <w:shd w:val="clear" w:color="auto" w:fill="auto"/>
            <w:noWrap/>
            <w:hideMark/>
          </w:tcPr>
          <w:p w14:paraId="1878E8B2" w14:textId="0C8F86DD" w:rsidR="009D225A" w:rsidRPr="003C232E" w:rsidRDefault="00C9703D" w:rsidP="00C9703D">
            <w:pPr>
              <w:pStyle w:val="NCDTableText"/>
              <w:tabs>
                <w:tab w:val="decimal" w:pos="882"/>
              </w:tabs>
            </w:pPr>
            <w:r>
              <w:t>–</w:t>
            </w:r>
            <w:r w:rsidR="009D225A" w:rsidRPr="003C232E">
              <w:t>2.21%</w:t>
            </w:r>
          </w:p>
        </w:tc>
      </w:tr>
      <w:tr w:rsidR="009D225A" w:rsidRPr="00510393" w14:paraId="7B9A915B" w14:textId="77777777" w:rsidTr="00B33BCC">
        <w:trPr>
          <w:trHeight w:val="300"/>
        </w:trPr>
        <w:tc>
          <w:tcPr>
            <w:tcW w:w="2685" w:type="dxa"/>
            <w:shd w:val="clear" w:color="auto" w:fill="auto"/>
            <w:vAlign w:val="center"/>
            <w:hideMark/>
          </w:tcPr>
          <w:p w14:paraId="62F8BD32" w14:textId="77777777" w:rsidR="009D225A" w:rsidRPr="00C9703D" w:rsidRDefault="009D225A" w:rsidP="00663EF7">
            <w:pPr>
              <w:pStyle w:val="NCDTableText"/>
              <w:rPr>
                <w:b/>
              </w:rPr>
            </w:pPr>
            <w:r w:rsidRPr="00C9703D">
              <w:rPr>
                <w:b/>
              </w:rPr>
              <w:t>2013</w:t>
            </w:r>
          </w:p>
        </w:tc>
        <w:tc>
          <w:tcPr>
            <w:tcW w:w="2250" w:type="dxa"/>
            <w:shd w:val="clear" w:color="auto" w:fill="auto"/>
            <w:noWrap/>
            <w:hideMark/>
          </w:tcPr>
          <w:p w14:paraId="7B7F1BF9" w14:textId="563572BD" w:rsidR="009D225A" w:rsidRPr="003C232E" w:rsidRDefault="009D225A" w:rsidP="00663EF7">
            <w:pPr>
              <w:pStyle w:val="NCDTableText"/>
              <w:jc w:val="center"/>
            </w:pPr>
            <w:r w:rsidRPr="003C232E">
              <w:t>$36,846.00</w:t>
            </w:r>
          </w:p>
        </w:tc>
        <w:tc>
          <w:tcPr>
            <w:tcW w:w="2340" w:type="dxa"/>
            <w:shd w:val="clear" w:color="auto" w:fill="auto"/>
            <w:noWrap/>
            <w:hideMark/>
          </w:tcPr>
          <w:p w14:paraId="5661267A" w14:textId="5B7F9EE4" w:rsidR="009D225A" w:rsidRPr="003C232E" w:rsidRDefault="009D225A" w:rsidP="00663EF7">
            <w:pPr>
              <w:pStyle w:val="NCDTableText"/>
              <w:jc w:val="center"/>
            </w:pPr>
            <w:r w:rsidRPr="003C232E">
              <w:t>$34,053.73</w:t>
            </w:r>
          </w:p>
        </w:tc>
        <w:tc>
          <w:tcPr>
            <w:tcW w:w="2250" w:type="dxa"/>
            <w:shd w:val="clear" w:color="auto" w:fill="auto"/>
            <w:noWrap/>
            <w:hideMark/>
          </w:tcPr>
          <w:p w14:paraId="680DFC72" w14:textId="16FA0769" w:rsidR="009D225A" w:rsidRPr="003C232E" w:rsidRDefault="00C9703D" w:rsidP="00C9703D">
            <w:pPr>
              <w:pStyle w:val="NCDTableText"/>
              <w:tabs>
                <w:tab w:val="decimal" w:pos="882"/>
              </w:tabs>
            </w:pPr>
            <w:r>
              <w:t>–</w:t>
            </w:r>
            <w:r w:rsidR="009D225A" w:rsidRPr="003C232E">
              <w:t>6.60%</w:t>
            </w:r>
          </w:p>
        </w:tc>
      </w:tr>
      <w:tr w:rsidR="009D225A" w:rsidRPr="00510393" w14:paraId="647B9FAC" w14:textId="77777777" w:rsidTr="00B33BCC">
        <w:trPr>
          <w:trHeight w:val="300"/>
        </w:trPr>
        <w:tc>
          <w:tcPr>
            <w:tcW w:w="2685" w:type="dxa"/>
            <w:shd w:val="clear" w:color="auto" w:fill="auto"/>
            <w:vAlign w:val="center"/>
            <w:hideMark/>
          </w:tcPr>
          <w:p w14:paraId="73C73822" w14:textId="77777777" w:rsidR="009D225A" w:rsidRPr="00C9703D" w:rsidRDefault="009D225A" w:rsidP="00663EF7">
            <w:pPr>
              <w:pStyle w:val="NCDTableText"/>
              <w:rPr>
                <w:b/>
              </w:rPr>
            </w:pPr>
            <w:r w:rsidRPr="00C9703D">
              <w:rPr>
                <w:b/>
              </w:rPr>
              <w:t>2014</w:t>
            </w:r>
          </w:p>
        </w:tc>
        <w:tc>
          <w:tcPr>
            <w:tcW w:w="2250" w:type="dxa"/>
            <w:shd w:val="clear" w:color="auto" w:fill="auto"/>
            <w:noWrap/>
            <w:hideMark/>
          </w:tcPr>
          <w:p w14:paraId="3CC155BB" w14:textId="676C8B20" w:rsidR="009D225A" w:rsidRPr="003C232E" w:rsidRDefault="009D225A" w:rsidP="00663EF7">
            <w:pPr>
              <w:pStyle w:val="NCDTableText"/>
              <w:jc w:val="center"/>
            </w:pPr>
            <w:r w:rsidRPr="003C232E">
              <w:t>$37,745.00</w:t>
            </w:r>
          </w:p>
        </w:tc>
        <w:tc>
          <w:tcPr>
            <w:tcW w:w="2340" w:type="dxa"/>
            <w:shd w:val="clear" w:color="auto" w:fill="auto"/>
            <w:noWrap/>
            <w:hideMark/>
          </w:tcPr>
          <w:p w14:paraId="6002B7A1" w14:textId="4A2242CF" w:rsidR="009D225A" w:rsidRPr="003C232E" w:rsidRDefault="009D225A" w:rsidP="00663EF7">
            <w:pPr>
              <w:pStyle w:val="NCDTableText"/>
              <w:jc w:val="center"/>
            </w:pPr>
            <w:r w:rsidRPr="003C232E">
              <w:t>$34,327.74</w:t>
            </w:r>
          </w:p>
        </w:tc>
        <w:tc>
          <w:tcPr>
            <w:tcW w:w="2250" w:type="dxa"/>
            <w:shd w:val="clear" w:color="auto" w:fill="auto"/>
            <w:noWrap/>
            <w:hideMark/>
          </w:tcPr>
          <w:p w14:paraId="634B8D61" w14:textId="77777777" w:rsidR="009D225A" w:rsidRPr="003C232E" w:rsidRDefault="009D225A" w:rsidP="00C9703D">
            <w:pPr>
              <w:pStyle w:val="NCDTableText"/>
              <w:tabs>
                <w:tab w:val="decimal" w:pos="882"/>
              </w:tabs>
            </w:pPr>
            <w:r w:rsidRPr="003C232E">
              <w:t>0.80%</w:t>
            </w:r>
          </w:p>
        </w:tc>
      </w:tr>
      <w:tr w:rsidR="009D225A" w:rsidRPr="00510393" w14:paraId="5575246C" w14:textId="77777777" w:rsidTr="00B33BCC">
        <w:trPr>
          <w:trHeight w:val="300"/>
        </w:trPr>
        <w:tc>
          <w:tcPr>
            <w:tcW w:w="2685" w:type="dxa"/>
            <w:shd w:val="clear" w:color="auto" w:fill="auto"/>
            <w:vAlign w:val="center"/>
            <w:hideMark/>
          </w:tcPr>
          <w:p w14:paraId="75A976BA" w14:textId="77777777" w:rsidR="009D225A" w:rsidRPr="00C9703D" w:rsidRDefault="009D225A" w:rsidP="00663EF7">
            <w:pPr>
              <w:pStyle w:val="NCDTableText"/>
              <w:rPr>
                <w:b/>
              </w:rPr>
            </w:pPr>
            <w:r w:rsidRPr="00C9703D">
              <w:rPr>
                <w:b/>
              </w:rPr>
              <w:t>2015</w:t>
            </w:r>
          </w:p>
        </w:tc>
        <w:tc>
          <w:tcPr>
            <w:tcW w:w="2250" w:type="dxa"/>
            <w:shd w:val="clear" w:color="auto" w:fill="auto"/>
            <w:noWrap/>
            <w:hideMark/>
          </w:tcPr>
          <w:p w14:paraId="013CB755" w14:textId="3CBD8F07" w:rsidR="009D225A" w:rsidRPr="003C232E" w:rsidRDefault="009D225A" w:rsidP="00663EF7">
            <w:pPr>
              <w:pStyle w:val="NCDTableText"/>
              <w:jc w:val="center"/>
            </w:pPr>
            <w:r w:rsidRPr="003C232E">
              <w:t>$38,500.00</w:t>
            </w:r>
          </w:p>
        </w:tc>
        <w:tc>
          <w:tcPr>
            <w:tcW w:w="2340" w:type="dxa"/>
            <w:shd w:val="clear" w:color="auto" w:fill="auto"/>
            <w:noWrap/>
            <w:hideMark/>
          </w:tcPr>
          <w:p w14:paraId="1151F1CD" w14:textId="4F24CC0B" w:rsidR="009D225A" w:rsidRPr="003C232E" w:rsidRDefault="009D225A" w:rsidP="00663EF7">
            <w:pPr>
              <w:pStyle w:val="NCDTableText"/>
              <w:jc w:val="center"/>
            </w:pPr>
            <w:r w:rsidRPr="003C232E">
              <w:t>$34,972.87</w:t>
            </w:r>
          </w:p>
        </w:tc>
        <w:tc>
          <w:tcPr>
            <w:tcW w:w="2250" w:type="dxa"/>
            <w:shd w:val="clear" w:color="auto" w:fill="auto"/>
            <w:noWrap/>
            <w:hideMark/>
          </w:tcPr>
          <w:p w14:paraId="0FB6089D" w14:textId="77777777" w:rsidR="009D225A" w:rsidRPr="003C232E" w:rsidRDefault="009D225A" w:rsidP="00C9703D">
            <w:pPr>
              <w:pStyle w:val="NCDTableText"/>
              <w:tabs>
                <w:tab w:val="decimal" w:pos="882"/>
              </w:tabs>
            </w:pPr>
            <w:r w:rsidRPr="003C232E">
              <w:t>1.88%</w:t>
            </w:r>
          </w:p>
        </w:tc>
      </w:tr>
      <w:tr w:rsidR="009D225A" w:rsidRPr="00510393" w14:paraId="2CB89E4C" w14:textId="77777777" w:rsidTr="00B33BCC">
        <w:trPr>
          <w:trHeight w:val="300"/>
        </w:trPr>
        <w:tc>
          <w:tcPr>
            <w:tcW w:w="2685" w:type="dxa"/>
            <w:shd w:val="clear" w:color="auto" w:fill="auto"/>
            <w:vAlign w:val="center"/>
            <w:hideMark/>
          </w:tcPr>
          <w:p w14:paraId="0A0319F8" w14:textId="77777777" w:rsidR="009D225A" w:rsidRPr="00C9703D" w:rsidRDefault="009D225A" w:rsidP="00663EF7">
            <w:pPr>
              <w:pStyle w:val="NCDTableText"/>
              <w:rPr>
                <w:b/>
              </w:rPr>
            </w:pPr>
            <w:r w:rsidRPr="00C9703D">
              <w:rPr>
                <w:b/>
              </w:rPr>
              <w:t>2016</w:t>
            </w:r>
          </w:p>
        </w:tc>
        <w:tc>
          <w:tcPr>
            <w:tcW w:w="2250" w:type="dxa"/>
            <w:shd w:val="clear" w:color="auto" w:fill="auto"/>
            <w:noWrap/>
            <w:hideMark/>
          </w:tcPr>
          <w:p w14:paraId="3407E8E8" w14:textId="1B68F449" w:rsidR="009D225A" w:rsidRPr="003C232E" w:rsidRDefault="009D225A" w:rsidP="00663EF7">
            <w:pPr>
              <w:pStyle w:val="NCDTableText"/>
              <w:jc w:val="center"/>
            </w:pPr>
            <w:r w:rsidRPr="003C232E">
              <w:t>$38,203.00</w:t>
            </w:r>
          </w:p>
        </w:tc>
        <w:tc>
          <w:tcPr>
            <w:tcW w:w="2340" w:type="dxa"/>
            <w:shd w:val="clear" w:color="auto" w:fill="auto"/>
            <w:noWrap/>
            <w:hideMark/>
          </w:tcPr>
          <w:p w14:paraId="2E7ECD65" w14:textId="2470466C" w:rsidR="009D225A" w:rsidRPr="003C232E" w:rsidRDefault="009D225A" w:rsidP="00663EF7">
            <w:pPr>
              <w:pStyle w:val="NCDTableText"/>
              <w:jc w:val="center"/>
            </w:pPr>
            <w:r w:rsidRPr="003C232E">
              <w:t>$34,270.75</w:t>
            </w:r>
          </w:p>
        </w:tc>
        <w:tc>
          <w:tcPr>
            <w:tcW w:w="2250" w:type="dxa"/>
            <w:shd w:val="clear" w:color="auto" w:fill="auto"/>
            <w:noWrap/>
            <w:hideMark/>
          </w:tcPr>
          <w:p w14:paraId="519A6F9C" w14:textId="087BAB48" w:rsidR="009D225A" w:rsidRPr="003C232E" w:rsidRDefault="00C9703D" w:rsidP="00C9703D">
            <w:pPr>
              <w:pStyle w:val="NCDTableText"/>
              <w:tabs>
                <w:tab w:val="decimal" w:pos="882"/>
              </w:tabs>
            </w:pPr>
            <w:r>
              <w:t>–</w:t>
            </w:r>
            <w:r w:rsidR="009D225A" w:rsidRPr="003C232E">
              <w:t>2.01%</w:t>
            </w:r>
          </w:p>
        </w:tc>
      </w:tr>
      <w:tr w:rsidR="009D225A" w:rsidRPr="00510393" w14:paraId="17A7B654" w14:textId="77777777" w:rsidTr="00B33BCC">
        <w:trPr>
          <w:trHeight w:val="309"/>
        </w:trPr>
        <w:tc>
          <w:tcPr>
            <w:tcW w:w="2685" w:type="dxa"/>
            <w:shd w:val="clear" w:color="auto" w:fill="auto"/>
            <w:vAlign w:val="bottom"/>
            <w:hideMark/>
          </w:tcPr>
          <w:p w14:paraId="419D8F4B" w14:textId="77777777" w:rsidR="009D225A" w:rsidRPr="00C9703D" w:rsidRDefault="003165C7" w:rsidP="00663EF7">
            <w:pPr>
              <w:pStyle w:val="NCDTableText"/>
              <w:rPr>
                <w:b/>
              </w:rPr>
            </w:pPr>
            <w:r w:rsidRPr="00C9703D">
              <w:rPr>
                <w:b/>
              </w:rPr>
              <w:t>Annual Average</w:t>
            </w:r>
          </w:p>
        </w:tc>
        <w:tc>
          <w:tcPr>
            <w:tcW w:w="2250" w:type="dxa"/>
            <w:shd w:val="clear" w:color="auto" w:fill="auto"/>
            <w:noWrap/>
            <w:hideMark/>
          </w:tcPr>
          <w:p w14:paraId="548F073D" w14:textId="7D9EA762" w:rsidR="009D225A" w:rsidRPr="003C232E" w:rsidRDefault="009D225A" w:rsidP="00663EF7">
            <w:pPr>
              <w:pStyle w:val="NCDTableText"/>
              <w:jc w:val="center"/>
            </w:pPr>
            <w:r w:rsidRPr="003C232E">
              <w:t>$35,793.56</w:t>
            </w:r>
          </w:p>
        </w:tc>
        <w:tc>
          <w:tcPr>
            <w:tcW w:w="2340" w:type="dxa"/>
            <w:shd w:val="clear" w:color="auto" w:fill="auto"/>
            <w:noWrap/>
            <w:hideMark/>
          </w:tcPr>
          <w:p w14:paraId="0E158495" w14:textId="4A884753" w:rsidR="009D225A" w:rsidRPr="003C232E" w:rsidRDefault="009D225A" w:rsidP="00663EF7">
            <w:pPr>
              <w:pStyle w:val="NCDTableText"/>
              <w:jc w:val="center"/>
            </w:pPr>
            <w:r w:rsidRPr="003C232E">
              <w:t>$33,776.33</w:t>
            </w:r>
          </w:p>
        </w:tc>
        <w:tc>
          <w:tcPr>
            <w:tcW w:w="2250" w:type="dxa"/>
            <w:shd w:val="clear" w:color="auto" w:fill="auto"/>
            <w:noWrap/>
            <w:hideMark/>
          </w:tcPr>
          <w:p w14:paraId="6A8BFE4D" w14:textId="77777777" w:rsidR="009D225A" w:rsidRPr="003C232E" w:rsidRDefault="009D225A" w:rsidP="00C9703D">
            <w:pPr>
              <w:pStyle w:val="NCDTableText"/>
              <w:tabs>
                <w:tab w:val="decimal" w:pos="882"/>
              </w:tabs>
            </w:pPr>
            <w:r w:rsidRPr="003C232E">
              <w:t>3.83%</w:t>
            </w:r>
          </w:p>
        </w:tc>
      </w:tr>
      <w:tr w:rsidR="009D225A" w:rsidRPr="00510393" w14:paraId="5A5E8FF1" w14:textId="77777777" w:rsidTr="00B33BCC">
        <w:trPr>
          <w:trHeight w:val="330"/>
        </w:trPr>
        <w:tc>
          <w:tcPr>
            <w:tcW w:w="2685" w:type="dxa"/>
            <w:shd w:val="clear" w:color="auto" w:fill="auto"/>
            <w:noWrap/>
            <w:vAlign w:val="bottom"/>
            <w:hideMark/>
          </w:tcPr>
          <w:p w14:paraId="180A6CA4" w14:textId="77777777" w:rsidR="009D225A" w:rsidRPr="00C9703D" w:rsidRDefault="009D225A" w:rsidP="00663EF7">
            <w:pPr>
              <w:pStyle w:val="NCDTableText"/>
              <w:rPr>
                <w:b/>
              </w:rPr>
            </w:pPr>
            <w:r w:rsidRPr="00C9703D">
              <w:rPr>
                <w:b/>
              </w:rPr>
              <w:t>Change Between 2008 &amp; 2016</w:t>
            </w:r>
          </w:p>
        </w:tc>
        <w:tc>
          <w:tcPr>
            <w:tcW w:w="2250" w:type="dxa"/>
            <w:shd w:val="clear" w:color="auto" w:fill="auto"/>
            <w:noWrap/>
            <w:vAlign w:val="bottom"/>
            <w:hideMark/>
          </w:tcPr>
          <w:p w14:paraId="62F684ED" w14:textId="77777777" w:rsidR="009D225A" w:rsidRPr="003C232E" w:rsidRDefault="009D225A" w:rsidP="00663EF7">
            <w:pPr>
              <w:pStyle w:val="NCDTableText"/>
              <w:jc w:val="center"/>
              <w:rPr>
                <w:color w:val="000000"/>
              </w:rPr>
            </w:pPr>
          </w:p>
        </w:tc>
        <w:tc>
          <w:tcPr>
            <w:tcW w:w="2340" w:type="dxa"/>
            <w:shd w:val="clear" w:color="auto" w:fill="auto"/>
            <w:noWrap/>
            <w:vAlign w:val="bottom"/>
            <w:hideMark/>
          </w:tcPr>
          <w:p w14:paraId="26565E87" w14:textId="77777777" w:rsidR="009D225A" w:rsidRPr="003C232E" w:rsidRDefault="009D225A" w:rsidP="00663EF7">
            <w:pPr>
              <w:pStyle w:val="NCDTableText"/>
              <w:jc w:val="center"/>
              <w:rPr>
                <w:color w:val="000000"/>
              </w:rPr>
            </w:pPr>
          </w:p>
        </w:tc>
        <w:tc>
          <w:tcPr>
            <w:tcW w:w="2250" w:type="dxa"/>
            <w:shd w:val="clear" w:color="auto" w:fill="auto"/>
            <w:noWrap/>
            <w:hideMark/>
          </w:tcPr>
          <w:p w14:paraId="5A752022" w14:textId="77777777" w:rsidR="009D225A" w:rsidRPr="003165C7" w:rsidRDefault="009D225A" w:rsidP="00C9703D">
            <w:pPr>
              <w:pStyle w:val="NCDTableText"/>
              <w:tabs>
                <w:tab w:val="decimal" w:pos="882"/>
              </w:tabs>
            </w:pPr>
            <w:r w:rsidRPr="003165C7">
              <w:t>25.59%</w:t>
            </w:r>
          </w:p>
        </w:tc>
      </w:tr>
    </w:tbl>
    <w:p w14:paraId="78C4F759" w14:textId="77777777" w:rsidR="009D225A" w:rsidRPr="00510393" w:rsidRDefault="009D225A" w:rsidP="00663EF7">
      <w:pPr>
        <w:pStyle w:val="NCDTableSource"/>
      </w:pPr>
      <w:r w:rsidRPr="00510393">
        <w:t xml:space="preserve">Data Source: </w:t>
      </w:r>
      <w:r>
        <w:t>ODEP FY 2018 Budget Justification.</w:t>
      </w:r>
      <w:r w:rsidRPr="00510393">
        <w:rPr>
          <w:vertAlign w:val="superscript"/>
        </w:rPr>
        <w:endnoteReference w:id="302"/>
      </w:r>
      <w:r w:rsidRPr="00510393">
        <w:t xml:space="preserve"> Constant dollar and yearly % changes are calculations </w:t>
      </w:r>
      <w:r w:rsidR="003C232E">
        <w:t>by</w:t>
      </w:r>
      <w:r w:rsidRPr="00510393">
        <w:t xml:space="preserve"> the researchers based on the Consumer Price Index (CPI) for each year utilizing 2008 as the base year.</w:t>
      </w:r>
    </w:p>
    <w:p w14:paraId="375219A1" w14:textId="77777777" w:rsidR="00525794" w:rsidRDefault="00525794" w:rsidP="00396A3D">
      <w:pPr>
        <w:pStyle w:val="NCDBodyText"/>
      </w:pPr>
      <w:r>
        <w:br w:type="page"/>
      </w:r>
    </w:p>
    <w:p w14:paraId="63ADF88C" w14:textId="77777777" w:rsidR="00525794" w:rsidRPr="0033221A" w:rsidRDefault="00525794" w:rsidP="00587345">
      <w:pPr>
        <w:pStyle w:val="NCDTableHeader"/>
        <w:jc w:val="left"/>
      </w:pPr>
      <w:r>
        <w:lastRenderedPageBreak/>
        <w:t>Table D: OFCCP Budget 2004 to 2017</w:t>
      </w:r>
    </w:p>
    <w:tbl>
      <w:tblPr>
        <w:tblW w:w="9525" w:type="dxa"/>
        <w:tblInd w:w="1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4A0" w:firstRow="1" w:lastRow="0" w:firstColumn="1" w:lastColumn="0" w:noHBand="0" w:noVBand="1"/>
        <w:tblCaption w:val="Table D: OFCCP Budget 2004 to 2017"/>
        <w:tblDescription w:val="Fiscal Year Enacted&#10;(in thousands) Constant 2000 Dollars Yearly % Change (Constant $)&#10;   &#10;2004 $79,442 $79,442 &#10;2005 $80,060 $77,436 –2.52%&#10;2006 $81,285 $76,164 –1.64%&#10;2007 $82,441 $75,108 –1.39%&#10;2008 $81,001 $71,068 –5.38%&#10;2009 $82,107 $72,295 1.73%&#10;2010 $105,386 $91,295 26.28%&#10;2011 $105,386 $88,501 –3.06%&#10;2012 $105,187 $86,543 –2.21%&#10;2013 $99,685 $80,832 –6.60%&#10;2014 $104,976 $83,764 3.63%&#10;2015 $106,476 $84,860 1.31%&#10;2016 $105,476 $83,016 –2.17%&#10;2017 $104,476 $80,514 –3.01%&#10;Annual Average  $94,527.43 $80,774.30 0.38%&#10;Change Between 2004 &amp; 2017   1.35%&#10;Enacted Budget Data Source: OFCCP.  Constant dollar and yearly % changes are calculations by the researchers based on the Consumer Price Index (CPI) for each year utilizing 2004 as the base year."/>
      </w:tblPr>
      <w:tblGrid>
        <w:gridCol w:w="2865"/>
        <w:gridCol w:w="2070"/>
        <w:gridCol w:w="2340"/>
        <w:gridCol w:w="2250"/>
      </w:tblGrid>
      <w:tr w:rsidR="00525794" w:rsidRPr="004F1B11" w14:paraId="1249785E" w14:textId="77777777" w:rsidTr="00B33BCC">
        <w:trPr>
          <w:trHeight w:val="614"/>
        </w:trPr>
        <w:tc>
          <w:tcPr>
            <w:tcW w:w="2865" w:type="dxa"/>
            <w:vMerge w:val="restart"/>
            <w:shd w:val="clear" w:color="auto" w:fill="auto"/>
            <w:noWrap/>
            <w:vAlign w:val="center"/>
            <w:hideMark/>
          </w:tcPr>
          <w:p w14:paraId="24250281" w14:textId="77777777" w:rsidR="00525794" w:rsidRPr="00E521B0" w:rsidRDefault="00525794" w:rsidP="00587345">
            <w:pPr>
              <w:pStyle w:val="NCDTableHeader"/>
              <w:jc w:val="left"/>
            </w:pPr>
            <w:r>
              <w:t>Fiscal Year</w:t>
            </w:r>
          </w:p>
        </w:tc>
        <w:tc>
          <w:tcPr>
            <w:tcW w:w="2070" w:type="dxa"/>
            <w:vMerge w:val="restart"/>
            <w:shd w:val="clear" w:color="auto" w:fill="auto"/>
            <w:vAlign w:val="center"/>
            <w:hideMark/>
          </w:tcPr>
          <w:p w14:paraId="3ADDDB11" w14:textId="77777777" w:rsidR="00525794" w:rsidRDefault="00525794" w:rsidP="00587345">
            <w:pPr>
              <w:pStyle w:val="NCDTableHeader"/>
            </w:pPr>
            <w:r w:rsidRPr="00E521B0">
              <w:t>Enacted</w:t>
            </w:r>
          </w:p>
          <w:p w14:paraId="6C29EA99" w14:textId="77777777" w:rsidR="00525794" w:rsidRPr="00E521B0" w:rsidRDefault="00525794" w:rsidP="00587345">
            <w:pPr>
              <w:pStyle w:val="NCDTableHeader"/>
            </w:pPr>
            <w:r>
              <w:t>(in thousands)</w:t>
            </w:r>
          </w:p>
        </w:tc>
        <w:tc>
          <w:tcPr>
            <w:tcW w:w="2340" w:type="dxa"/>
            <w:vMerge w:val="restart"/>
            <w:shd w:val="clear" w:color="auto" w:fill="auto"/>
            <w:vAlign w:val="center"/>
            <w:hideMark/>
          </w:tcPr>
          <w:p w14:paraId="1F19DE1B" w14:textId="77777777" w:rsidR="00525794" w:rsidRPr="004F1B11" w:rsidRDefault="00525794" w:rsidP="00587345">
            <w:pPr>
              <w:pStyle w:val="NCDTableHeader"/>
            </w:pPr>
            <w:r w:rsidRPr="004F1B11">
              <w:t>Constant 2000 Dollars</w:t>
            </w:r>
          </w:p>
        </w:tc>
        <w:tc>
          <w:tcPr>
            <w:tcW w:w="2250" w:type="dxa"/>
            <w:vMerge w:val="restart"/>
            <w:shd w:val="clear" w:color="auto" w:fill="auto"/>
            <w:vAlign w:val="center"/>
            <w:hideMark/>
          </w:tcPr>
          <w:p w14:paraId="3E6A624A" w14:textId="77777777" w:rsidR="00525794" w:rsidRPr="004F1B11" w:rsidRDefault="00525794" w:rsidP="00587345">
            <w:pPr>
              <w:pStyle w:val="NCDTableHeader"/>
            </w:pPr>
            <w:r w:rsidRPr="004F1B11">
              <w:t>Yearly % Change (Constant $)</w:t>
            </w:r>
          </w:p>
        </w:tc>
      </w:tr>
      <w:tr w:rsidR="00525794" w:rsidRPr="004F1B11" w14:paraId="46313633" w14:textId="77777777" w:rsidTr="00B33BCC">
        <w:trPr>
          <w:trHeight w:val="537"/>
        </w:trPr>
        <w:tc>
          <w:tcPr>
            <w:tcW w:w="2865" w:type="dxa"/>
            <w:vMerge/>
            <w:shd w:val="clear" w:color="auto" w:fill="auto"/>
            <w:vAlign w:val="center"/>
            <w:hideMark/>
          </w:tcPr>
          <w:p w14:paraId="279B6C91" w14:textId="77777777" w:rsidR="00525794" w:rsidRPr="00E521B0" w:rsidRDefault="00525794" w:rsidP="00587345">
            <w:pPr>
              <w:pStyle w:val="NCDTableText"/>
              <w:rPr>
                <w:b/>
                <w:bCs/>
                <w:color w:val="000000"/>
              </w:rPr>
            </w:pPr>
          </w:p>
        </w:tc>
        <w:tc>
          <w:tcPr>
            <w:tcW w:w="2070" w:type="dxa"/>
            <w:vMerge/>
            <w:shd w:val="clear" w:color="auto" w:fill="auto"/>
            <w:vAlign w:val="center"/>
            <w:hideMark/>
          </w:tcPr>
          <w:p w14:paraId="10A0B5EB" w14:textId="77777777" w:rsidR="00525794" w:rsidRPr="00E521B0" w:rsidRDefault="00525794" w:rsidP="00587345">
            <w:pPr>
              <w:pStyle w:val="NCDTableText"/>
              <w:rPr>
                <w:b/>
                <w:bCs/>
                <w:color w:val="000000"/>
              </w:rPr>
            </w:pPr>
          </w:p>
        </w:tc>
        <w:tc>
          <w:tcPr>
            <w:tcW w:w="2340" w:type="dxa"/>
            <w:vMerge/>
            <w:shd w:val="clear" w:color="auto" w:fill="auto"/>
            <w:vAlign w:val="center"/>
            <w:hideMark/>
          </w:tcPr>
          <w:p w14:paraId="006FB78A" w14:textId="77777777" w:rsidR="00525794" w:rsidRPr="004F1B11" w:rsidRDefault="00525794" w:rsidP="00587345">
            <w:pPr>
              <w:pStyle w:val="NCDTableText"/>
              <w:rPr>
                <w:b/>
                <w:bCs/>
                <w:color w:val="000000"/>
              </w:rPr>
            </w:pPr>
          </w:p>
        </w:tc>
        <w:tc>
          <w:tcPr>
            <w:tcW w:w="2250" w:type="dxa"/>
            <w:vMerge/>
            <w:shd w:val="clear" w:color="auto" w:fill="auto"/>
            <w:vAlign w:val="center"/>
            <w:hideMark/>
          </w:tcPr>
          <w:p w14:paraId="58E0E154" w14:textId="77777777" w:rsidR="00525794" w:rsidRPr="004F1B11" w:rsidRDefault="00525794" w:rsidP="00587345">
            <w:pPr>
              <w:pStyle w:val="NCDTableText"/>
              <w:rPr>
                <w:b/>
                <w:bCs/>
                <w:color w:val="333333"/>
              </w:rPr>
            </w:pPr>
          </w:p>
        </w:tc>
      </w:tr>
      <w:tr w:rsidR="00525794" w:rsidRPr="004F1B11" w14:paraId="3A4F54AB" w14:textId="77777777" w:rsidTr="00B33BCC">
        <w:trPr>
          <w:trHeight w:val="300"/>
        </w:trPr>
        <w:tc>
          <w:tcPr>
            <w:tcW w:w="2865" w:type="dxa"/>
            <w:shd w:val="clear" w:color="auto" w:fill="auto"/>
            <w:vAlign w:val="center"/>
            <w:hideMark/>
          </w:tcPr>
          <w:p w14:paraId="68F909EF" w14:textId="77777777" w:rsidR="00525794" w:rsidRPr="0054232E" w:rsidRDefault="00525794" w:rsidP="00587345">
            <w:pPr>
              <w:pStyle w:val="NCDTableText"/>
              <w:rPr>
                <w:b/>
              </w:rPr>
            </w:pPr>
            <w:r w:rsidRPr="0054232E">
              <w:rPr>
                <w:b/>
              </w:rPr>
              <w:t>2004</w:t>
            </w:r>
          </w:p>
        </w:tc>
        <w:tc>
          <w:tcPr>
            <w:tcW w:w="2070" w:type="dxa"/>
            <w:shd w:val="clear" w:color="auto" w:fill="auto"/>
            <w:noWrap/>
            <w:vAlign w:val="bottom"/>
            <w:hideMark/>
          </w:tcPr>
          <w:p w14:paraId="34FEF3A3" w14:textId="77777777" w:rsidR="00525794" w:rsidRPr="00E521B0" w:rsidRDefault="003165C7" w:rsidP="0054232E">
            <w:pPr>
              <w:pStyle w:val="NCDTableText"/>
              <w:ind w:right="288"/>
              <w:jc w:val="right"/>
            </w:pPr>
            <w:r>
              <w:t>$</w:t>
            </w:r>
            <w:r w:rsidR="00525794" w:rsidRPr="00E521B0">
              <w:t>79,442</w:t>
            </w:r>
          </w:p>
        </w:tc>
        <w:tc>
          <w:tcPr>
            <w:tcW w:w="2340" w:type="dxa"/>
            <w:shd w:val="clear" w:color="auto" w:fill="auto"/>
            <w:noWrap/>
            <w:vAlign w:val="center"/>
            <w:hideMark/>
          </w:tcPr>
          <w:p w14:paraId="33D57794" w14:textId="77777777" w:rsidR="00525794" w:rsidRPr="004F1B11" w:rsidRDefault="00525794" w:rsidP="0054232E">
            <w:pPr>
              <w:pStyle w:val="NCDTableText"/>
              <w:ind w:right="432"/>
              <w:jc w:val="right"/>
            </w:pPr>
            <w:r w:rsidRPr="004F1B11">
              <w:t>$79,442</w:t>
            </w:r>
          </w:p>
        </w:tc>
        <w:tc>
          <w:tcPr>
            <w:tcW w:w="2250" w:type="dxa"/>
            <w:shd w:val="clear" w:color="auto" w:fill="auto"/>
            <w:noWrap/>
            <w:vAlign w:val="center"/>
            <w:hideMark/>
          </w:tcPr>
          <w:p w14:paraId="1F59278F" w14:textId="77777777" w:rsidR="00525794" w:rsidRPr="00B26C83" w:rsidRDefault="00525794" w:rsidP="00587345">
            <w:pPr>
              <w:pStyle w:val="NCDTableText"/>
              <w:jc w:val="center"/>
              <w:rPr>
                <w:color w:val="000000" w:themeColor="text1"/>
              </w:rPr>
            </w:pPr>
          </w:p>
        </w:tc>
      </w:tr>
      <w:tr w:rsidR="00525794" w:rsidRPr="004F1B11" w14:paraId="4FEC81B3" w14:textId="77777777" w:rsidTr="00B33BCC">
        <w:trPr>
          <w:trHeight w:val="300"/>
        </w:trPr>
        <w:tc>
          <w:tcPr>
            <w:tcW w:w="2865" w:type="dxa"/>
            <w:shd w:val="clear" w:color="auto" w:fill="auto"/>
            <w:vAlign w:val="center"/>
            <w:hideMark/>
          </w:tcPr>
          <w:p w14:paraId="106FF50C" w14:textId="77777777" w:rsidR="00525794" w:rsidRPr="0054232E" w:rsidRDefault="00525794" w:rsidP="00587345">
            <w:pPr>
              <w:pStyle w:val="NCDTableText"/>
              <w:rPr>
                <w:b/>
              </w:rPr>
            </w:pPr>
            <w:r w:rsidRPr="0054232E">
              <w:rPr>
                <w:b/>
              </w:rPr>
              <w:t>2005</w:t>
            </w:r>
          </w:p>
        </w:tc>
        <w:tc>
          <w:tcPr>
            <w:tcW w:w="2070" w:type="dxa"/>
            <w:shd w:val="clear" w:color="auto" w:fill="auto"/>
            <w:noWrap/>
            <w:vAlign w:val="bottom"/>
            <w:hideMark/>
          </w:tcPr>
          <w:p w14:paraId="3218876E" w14:textId="77777777" w:rsidR="00525794" w:rsidRPr="00E521B0" w:rsidRDefault="003165C7" w:rsidP="0054232E">
            <w:pPr>
              <w:pStyle w:val="NCDTableText"/>
              <w:ind w:right="288"/>
              <w:jc w:val="right"/>
            </w:pPr>
            <w:r>
              <w:t>$</w:t>
            </w:r>
            <w:r w:rsidR="00525794" w:rsidRPr="00E521B0">
              <w:t>80,060</w:t>
            </w:r>
          </w:p>
        </w:tc>
        <w:tc>
          <w:tcPr>
            <w:tcW w:w="2340" w:type="dxa"/>
            <w:shd w:val="clear" w:color="auto" w:fill="auto"/>
            <w:noWrap/>
            <w:vAlign w:val="center"/>
            <w:hideMark/>
          </w:tcPr>
          <w:p w14:paraId="72105808" w14:textId="77777777" w:rsidR="00525794" w:rsidRPr="004F1B11" w:rsidRDefault="00525794" w:rsidP="0054232E">
            <w:pPr>
              <w:pStyle w:val="NCDTableText"/>
              <w:ind w:right="432"/>
              <w:jc w:val="right"/>
            </w:pPr>
            <w:r w:rsidRPr="004F1B11">
              <w:t>$77,436</w:t>
            </w:r>
          </w:p>
        </w:tc>
        <w:tc>
          <w:tcPr>
            <w:tcW w:w="2250" w:type="dxa"/>
            <w:shd w:val="clear" w:color="auto" w:fill="auto"/>
            <w:noWrap/>
            <w:vAlign w:val="center"/>
            <w:hideMark/>
          </w:tcPr>
          <w:p w14:paraId="780E1946" w14:textId="6E8E5F26" w:rsidR="00525794" w:rsidRPr="002013A0" w:rsidRDefault="0054232E" w:rsidP="0054232E">
            <w:pPr>
              <w:pStyle w:val="NCDTableText"/>
              <w:ind w:right="576"/>
              <w:jc w:val="right"/>
            </w:pPr>
            <w:r>
              <w:t>–</w:t>
            </w:r>
            <w:r w:rsidR="00525794" w:rsidRPr="002013A0">
              <w:t>2.52%</w:t>
            </w:r>
          </w:p>
        </w:tc>
      </w:tr>
      <w:tr w:rsidR="00525794" w:rsidRPr="004F1B11" w14:paraId="7F87535D" w14:textId="77777777" w:rsidTr="00B33BCC">
        <w:trPr>
          <w:trHeight w:val="300"/>
        </w:trPr>
        <w:tc>
          <w:tcPr>
            <w:tcW w:w="2865" w:type="dxa"/>
            <w:shd w:val="clear" w:color="auto" w:fill="auto"/>
            <w:vAlign w:val="center"/>
            <w:hideMark/>
          </w:tcPr>
          <w:p w14:paraId="3F387FD4" w14:textId="77777777" w:rsidR="00525794" w:rsidRPr="0054232E" w:rsidRDefault="00525794" w:rsidP="00587345">
            <w:pPr>
              <w:pStyle w:val="NCDTableText"/>
              <w:rPr>
                <w:b/>
              </w:rPr>
            </w:pPr>
            <w:r w:rsidRPr="0054232E">
              <w:rPr>
                <w:b/>
              </w:rPr>
              <w:t>2006</w:t>
            </w:r>
          </w:p>
        </w:tc>
        <w:tc>
          <w:tcPr>
            <w:tcW w:w="2070" w:type="dxa"/>
            <w:shd w:val="clear" w:color="auto" w:fill="auto"/>
            <w:noWrap/>
            <w:vAlign w:val="bottom"/>
            <w:hideMark/>
          </w:tcPr>
          <w:p w14:paraId="758CACA6" w14:textId="77777777" w:rsidR="00525794" w:rsidRPr="00E521B0" w:rsidRDefault="003165C7" w:rsidP="0054232E">
            <w:pPr>
              <w:pStyle w:val="NCDTableText"/>
              <w:ind w:right="288"/>
              <w:jc w:val="right"/>
            </w:pPr>
            <w:r>
              <w:t>$</w:t>
            </w:r>
            <w:r w:rsidR="00525794" w:rsidRPr="00E521B0">
              <w:t>81,285</w:t>
            </w:r>
          </w:p>
        </w:tc>
        <w:tc>
          <w:tcPr>
            <w:tcW w:w="2340" w:type="dxa"/>
            <w:shd w:val="clear" w:color="auto" w:fill="auto"/>
            <w:noWrap/>
            <w:vAlign w:val="center"/>
            <w:hideMark/>
          </w:tcPr>
          <w:p w14:paraId="30C844D5" w14:textId="77777777" w:rsidR="00525794" w:rsidRPr="004F1B11" w:rsidRDefault="00525794" w:rsidP="0054232E">
            <w:pPr>
              <w:pStyle w:val="NCDTableText"/>
              <w:ind w:right="432"/>
              <w:jc w:val="right"/>
            </w:pPr>
            <w:r w:rsidRPr="004F1B11">
              <w:t>$76,164</w:t>
            </w:r>
          </w:p>
        </w:tc>
        <w:tc>
          <w:tcPr>
            <w:tcW w:w="2250" w:type="dxa"/>
            <w:shd w:val="clear" w:color="auto" w:fill="auto"/>
            <w:noWrap/>
            <w:vAlign w:val="center"/>
            <w:hideMark/>
          </w:tcPr>
          <w:p w14:paraId="0E0561D8" w14:textId="0091721A" w:rsidR="00525794" w:rsidRPr="002013A0" w:rsidRDefault="0054232E" w:rsidP="0054232E">
            <w:pPr>
              <w:pStyle w:val="NCDTableText"/>
              <w:ind w:right="576"/>
              <w:jc w:val="right"/>
            </w:pPr>
            <w:r>
              <w:t>–</w:t>
            </w:r>
            <w:r w:rsidR="00525794" w:rsidRPr="002013A0">
              <w:t>1.64%</w:t>
            </w:r>
          </w:p>
        </w:tc>
      </w:tr>
      <w:tr w:rsidR="00525794" w:rsidRPr="004F1B11" w14:paraId="18F37EBB" w14:textId="77777777" w:rsidTr="00B33BCC">
        <w:trPr>
          <w:trHeight w:val="300"/>
        </w:trPr>
        <w:tc>
          <w:tcPr>
            <w:tcW w:w="2865" w:type="dxa"/>
            <w:shd w:val="clear" w:color="auto" w:fill="auto"/>
            <w:vAlign w:val="center"/>
            <w:hideMark/>
          </w:tcPr>
          <w:p w14:paraId="059603F6" w14:textId="77777777" w:rsidR="00525794" w:rsidRPr="0054232E" w:rsidRDefault="00525794" w:rsidP="00587345">
            <w:pPr>
              <w:pStyle w:val="NCDTableText"/>
              <w:rPr>
                <w:b/>
              </w:rPr>
            </w:pPr>
            <w:r w:rsidRPr="0054232E">
              <w:rPr>
                <w:b/>
              </w:rPr>
              <w:t>2007</w:t>
            </w:r>
          </w:p>
        </w:tc>
        <w:tc>
          <w:tcPr>
            <w:tcW w:w="2070" w:type="dxa"/>
            <w:shd w:val="clear" w:color="auto" w:fill="auto"/>
            <w:noWrap/>
            <w:vAlign w:val="bottom"/>
            <w:hideMark/>
          </w:tcPr>
          <w:p w14:paraId="67229A81" w14:textId="77777777" w:rsidR="00525794" w:rsidRPr="00E521B0" w:rsidRDefault="003165C7" w:rsidP="0054232E">
            <w:pPr>
              <w:pStyle w:val="NCDTableText"/>
              <w:ind w:right="288"/>
              <w:jc w:val="right"/>
            </w:pPr>
            <w:r>
              <w:t>$</w:t>
            </w:r>
            <w:r w:rsidR="00525794" w:rsidRPr="00E521B0">
              <w:t>82,441</w:t>
            </w:r>
          </w:p>
        </w:tc>
        <w:tc>
          <w:tcPr>
            <w:tcW w:w="2340" w:type="dxa"/>
            <w:shd w:val="clear" w:color="auto" w:fill="auto"/>
            <w:noWrap/>
            <w:vAlign w:val="center"/>
            <w:hideMark/>
          </w:tcPr>
          <w:p w14:paraId="358E3229" w14:textId="77777777" w:rsidR="00525794" w:rsidRPr="004F1B11" w:rsidRDefault="00525794" w:rsidP="0054232E">
            <w:pPr>
              <w:pStyle w:val="NCDTableText"/>
              <w:ind w:right="432"/>
              <w:jc w:val="right"/>
            </w:pPr>
            <w:r w:rsidRPr="004F1B11">
              <w:t>$75,108</w:t>
            </w:r>
          </w:p>
        </w:tc>
        <w:tc>
          <w:tcPr>
            <w:tcW w:w="2250" w:type="dxa"/>
            <w:shd w:val="clear" w:color="auto" w:fill="auto"/>
            <w:noWrap/>
            <w:vAlign w:val="center"/>
            <w:hideMark/>
          </w:tcPr>
          <w:p w14:paraId="2B272CEE" w14:textId="46102155" w:rsidR="00525794" w:rsidRPr="002013A0" w:rsidRDefault="0054232E" w:rsidP="0054232E">
            <w:pPr>
              <w:pStyle w:val="NCDTableText"/>
              <w:ind w:right="576"/>
              <w:jc w:val="right"/>
            </w:pPr>
            <w:r>
              <w:t>–</w:t>
            </w:r>
            <w:r w:rsidR="00525794" w:rsidRPr="002013A0">
              <w:t>1.39%</w:t>
            </w:r>
          </w:p>
        </w:tc>
      </w:tr>
      <w:tr w:rsidR="00525794" w:rsidRPr="004F1B11" w14:paraId="19F4CB42" w14:textId="77777777" w:rsidTr="00B33BCC">
        <w:trPr>
          <w:trHeight w:val="300"/>
        </w:trPr>
        <w:tc>
          <w:tcPr>
            <w:tcW w:w="2865" w:type="dxa"/>
            <w:shd w:val="clear" w:color="auto" w:fill="auto"/>
            <w:vAlign w:val="center"/>
            <w:hideMark/>
          </w:tcPr>
          <w:p w14:paraId="50517E5C" w14:textId="77777777" w:rsidR="00525794" w:rsidRPr="0054232E" w:rsidRDefault="00525794" w:rsidP="00587345">
            <w:pPr>
              <w:pStyle w:val="NCDTableText"/>
              <w:rPr>
                <w:b/>
              </w:rPr>
            </w:pPr>
            <w:r w:rsidRPr="0054232E">
              <w:rPr>
                <w:b/>
              </w:rPr>
              <w:t>2008</w:t>
            </w:r>
          </w:p>
        </w:tc>
        <w:tc>
          <w:tcPr>
            <w:tcW w:w="2070" w:type="dxa"/>
            <w:shd w:val="clear" w:color="auto" w:fill="auto"/>
            <w:noWrap/>
            <w:vAlign w:val="bottom"/>
            <w:hideMark/>
          </w:tcPr>
          <w:p w14:paraId="616972A0" w14:textId="77777777" w:rsidR="00525794" w:rsidRPr="00E521B0" w:rsidRDefault="003165C7" w:rsidP="0054232E">
            <w:pPr>
              <w:pStyle w:val="NCDTableText"/>
              <w:ind w:right="288"/>
              <w:jc w:val="right"/>
            </w:pPr>
            <w:r>
              <w:t>$</w:t>
            </w:r>
            <w:r w:rsidR="00525794" w:rsidRPr="00E521B0">
              <w:t>81,001</w:t>
            </w:r>
          </w:p>
        </w:tc>
        <w:tc>
          <w:tcPr>
            <w:tcW w:w="2340" w:type="dxa"/>
            <w:shd w:val="clear" w:color="auto" w:fill="auto"/>
            <w:noWrap/>
            <w:vAlign w:val="center"/>
            <w:hideMark/>
          </w:tcPr>
          <w:p w14:paraId="255F50D9" w14:textId="77777777" w:rsidR="00525794" w:rsidRPr="004F1B11" w:rsidRDefault="00525794" w:rsidP="0054232E">
            <w:pPr>
              <w:pStyle w:val="NCDTableText"/>
              <w:ind w:right="432"/>
              <w:jc w:val="right"/>
            </w:pPr>
            <w:r w:rsidRPr="004F1B11">
              <w:t>$71,068</w:t>
            </w:r>
          </w:p>
        </w:tc>
        <w:tc>
          <w:tcPr>
            <w:tcW w:w="2250" w:type="dxa"/>
            <w:shd w:val="clear" w:color="auto" w:fill="auto"/>
            <w:noWrap/>
            <w:vAlign w:val="center"/>
            <w:hideMark/>
          </w:tcPr>
          <w:p w14:paraId="54AD5DD0" w14:textId="4AAA80E9" w:rsidR="00525794" w:rsidRPr="002013A0" w:rsidRDefault="0054232E" w:rsidP="0054232E">
            <w:pPr>
              <w:pStyle w:val="NCDTableText"/>
              <w:ind w:right="576"/>
              <w:jc w:val="right"/>
            </w:pPr>
            <w:r>
              <w:t>–</w:t>
            </w:r>
            <w:r w:rsidR="00525794" w:rsidRPr="002013A0">
              <w:t>5.38%</w:t>
            </w:r>
          </w:p>
        </w:tc>
      </w:tr>
      <w:tr w:rsidR="00525794" w:rsidRPr="004F1B11" w14:paraId="3CCDB44B" w14:textId="77777777" w:rsidTr="00B33BCC">
        <w:trPr>
          <w:trHeight w:val="300"/>
        </w:trPr>
        <w:tc>
          <w:tcPr>
            <w:tcW w:w="2865" w:type="dxa"/>
            <w:shd w:val="clear" w:color="auto" w:fill="auto"/>
            <w:vAlign w:val="center"/>
            <w:hideMark/>
          </w:tcPr>
          <w:p w14:paraId="5F265C85" w14:textId="77777777" w:rsidR="00525794" w:rsidRPr="0054232E" w:rsidRDefault="00525794" w:rsidP="00587345">
            <w:pPr>
              <w:pStyle w:val="NCDTableText"/>
              <w:rPr>
                <w:b/>
              </w:rPr>
            </w:pPr>
            <w:r w:rsidRPr="0054232E">
              <w:rPr>
                <w:b/>
              </w:rPr>
              <w:t>2009</w:t>
            </w:r>
          </w:p>
        </w:tc>
        <w:tc>
          <w:tcPr>
            <w:tcW w:w="2070" w:type="dxa"/>
            <w:shd w:val="clear" w:color="auto" w:fill="auto"/>
            <w:noWrap/>
            <w:vAlign w:val="bottom"/>
            <w:hideMark/>
          </w:tcPr>
          <w:p w14:paraId="5DB84756" w14:textId="77777777" w:rsidR="00525794" w:rsidRPr="00E521B0" w:rsidRDefault="003165C7" w:rsidP="0054232E">
            <w:pPr>
              <w:pStyle w:val="NCDTableText"/>
              <w:ind w:right="288"/>
              <w:jc w:val="right"/>
            </w:pPr>
            <w:r>
              <w:t>$</w:t>
            </w:r>
            <w:r w:rsidR="00525794" w:rsidRPr="00E521B0">
              <w:t>82,107</w:t>
            </w:r>
          </w:p>
        </w:tc>
        <w:tc>
          <w:tcPr>
            <w:tcW w:w="2340" w:type="dxa"/>
            <w:shd w:val="clear" w:color="auto" w:fill="auto"/>
            <w:noWrap/>
            <w:vAlign w:val="center"/>
            <w:hideMark/>
          </w:tcPr>
          <w:p w14:paraId="0195931A" w14:textId="77777777" w:rsidR="00525794" w:rsidRPr="004F1B11" w:rsidRDefault="00525794" w:rsidP="0054232E">
            <w:pPr>
              <w:pStyle w:val="NCDTableText"/>
              <w:ind w:right="432"/>
              <w:jc w:val="right"/>
            </w:pPr>
            <w:r w:rsidRPr="004F1B11">
              <w:t>$72,295</w:t>
            </w:r>
          </w:p>
        </w:tc>
        <w:tc>
          <w:tcPr>
            <w:tcW w:w="2250" w:type="dxa"/>
            <w:shd w:val="clear" w:color="auto" w:fill="auto"/>
            <w:noWrap/>
            <w:vAlign w:val="center"/>
            <w:hideMark/>
          </w:tcPr>
          <w:p w14:paraId="6238EC4A" w14:textId="77777777" w:rsidR="00525794" w:rsidRPr="002013A0" w:rsidRDefault="00525794" w:rsidP="0054232E">
            <w:pPr>
              <w:pStyle w:val="NCDTableText"/>
              <w:ind w:right="576"/>
              <w:jc w:val="right"/>
            </w:pPr>
            <w:r w:rsidRPr="002013A0">
              <w:t>1.73%</w:t>
            </w:r>
          </w:p>
        </w:tc>
      </w:tr>
      <w:tr w:rsidR="00525794" w:rsidRPr="004F1B11" w14:paraId="17D3D55C" w14:textId="77777777" w:rsidTr="00B33BCC">
        <w:trPr>
          <w:trHeight w:val="300"/>
        </w:trPr>
        <w:tc>
          <w:tcPr>
            <w:tcW w:w="2865" w:type="dxa"/>
            <w:shd w:val="clear" w:color="auto" w:fill="auto"/>
            <w:vAlign w:val="center"/>
            <w:hideMark/>
          </w:tcPr>
          <w:p w14:paraId="3A8A6548" w14:textId="77777777" w:rsidR="00525794" w:rsidRPr="0054232E" w:rsidRDefault="00525794" w:rsidP="00587345">
            <w:pPr>
              <w:pStyle w:val="NCDTableText"/>
              <w:rPr>
                <w:b/>
              </w:rPr>
            </w:pPr>
            <w:r w:rsidRPr="0054232E">
              <w:rPr>
                <w:b/>
              </w:rPr>
              <w:t>2010</w:t>
            </w:r>
          </w:p>
        </w:tc>
        <w:tc>
          <w:tcPr>
            <w:tcW w:w="2070" w:type="dxa"/>
            <w:shd w:val="clear" w:color="auto" w:fill="auto"/>
            <w:noWrap/>
            <w:vAlign w:val="bottom"/>
            <w:hideMark/>
          </w:tcPr>
          <w:p w14:paraId="6A5C524C" w14:textId="77777777" w:rsidR="00525794" w:rsidRPr="00E521B0" w:rsidRDefault="003165C7" w:rsidP="0054232E">
            <w:pPr>
              <w:pStyle w:val="NCDTableText"/>
              <w:ind w:right="288"/>
              <w:jc w:val="right"/>
            </w:pPr>
            <w:r>
              <w:t>$</w:t>
            </w:r>
            <w:r w:rsidR="00525794" w:rsidRPr="00E521B0">
              <w:t>105,386</w:t>
            </w:r>
          </w:p>
        </w:tc>
        <w:tc>
          <w:tcPr>
            <w:tcW w:w="2340" w:type="dxa"/>
            <w:shd w:val="clear" w:color="auto" w:fill="auto"/>
            <w:noWrap/>
            <w:vAlign w:val="center"/>
            <w:hideMark/>
          </w:tcPr>
          <w:p w14:paraId="72CE10F6" w14:textId="77777777" w:rsidR="00525794" w:rsidRPr="004F1B11" w:rsidRDefault="00525794" w:rsidP="0054232E">
            <w:pPr>
              <w:pStyle w:val="NCDTableText"/>
              <w:ind w:right="432"/>
              <w:jc w:val="right"/>
            </w:pPr>
            <w:r w:rsidRPr="004F1B11">
              <w:t>$91,295</w:t>
            </w:r>
          </w:p>
        </w:tc>
        <w:tc>
          <w:tcPr>
            <w:tcW w:w="2250" w:type="dxa"/>
            <w:shd w:val="clear" w:color="auto" w:fill="auto"/>
            <w:noWrap/>
            <w:vAlign w:val="center"/>
            <w:hideMark/>
          </w:tcPr>
          <w:p w14:paraId="666DA806" w14:textId="77777777" w:rsidR="00525794" w:rsidRPr="002013A0" w:rsidRDefault="00525794" w:rsidP="0054232E">
            <w:pPr>
              <w:pStyle w:val="NCDTableText"/>
              <w:ind w:right="576"/>
              <w:jc w:val="right"/>
            </w:pPr>
            <w:r w:rsidRPr="002013A0">
              <w:t>26.28%</w:t>
            </w:r>
          </w:p>
        </w:tc>
      </w:tr>
      <w:tr w:rsidR="00525794" w:rsidRPr="004F1B11" w14:paraId="02D052FC" w14:textId="77777777" w:rsidTr="00B33BCC">
        <w:trPr>
          <w:trHeight w:val="300"/>
        </w:trPr>
        <w:tc>
          <w:tcPr>
            <w:tcW w:w="2865" w:type="dxa"/>
            <w:shd w:val="clear" w:color="auto" w:fill="auto"/>
            <w:vAlign w:val="center"/>
            <w:hideMark/>
          </w:tcPr>
          <w:p w14:paraId="34ACE278" w14:textId="77777777" w:rsidR="00525794" w:rsidRPr="0054232E" w:rsidRDefault="00525794" w:rsidP="00587345">
            <w:pPr>
              <w:pStyle w:val="NCDTableText"/>
              <w:rPr>
                <w:b/>
              </w:rPr>
            </w:pPr>
            <w:r w:rsidRPr="0054232E">
              <w:rPr>
                <w:b/>
              </w:rPr>
              <w:t>2011</w:t>
            </w:r>
          </w:p>
        </w:tc>
        <w:tc>
          <w:tcPr>
            <w:tcW w:w="2070" w:type="dxa"/>
            <w:shd w:val="clear" w:color="auto" w:fill="auto"/>
            <w:noWrap/>
            <w:vAlign w:val="bottom"/>
            <w:hideMark/>
          </w:tcPr>
          <w:p w14:paraId="6778EA56" w14:textId="77777777" w:rsidR="00525794" w:rsidRPr="00E521B0" w:rsidRDefault="003165C7" w:rsidP="0054232E">
            <w:pPr>
              <w:pStyle w:val="NCDTableText"/>
              <w:ind w:right="288"/>
              <w:jc w:val="right"/>
            </w:pPr>
            <w:r>
              <w:t>$</w:t>
            </w:r>
            <w:r w:rsidR="00525794" w:rsidRPr="00E521B0">
              <w:t>105,386</w:t>
            </w:r>
          </w:p>
        </w:tc>
        <w:tc>
          <w:tcPr>
            <w:tcW w:w="2340" w:type="dxa"/>
            <w:shd w:val="clear" w:color="auto" w:fill="auto"/>
            <w:noWrap/>
            <w:vAlign w:val="center"/>
            <w:hideMark/>
          </w:tcPr>
          <w:p w14:paraId="24C2CFCB" w14:textId="77777777" w:rsidR="00525794" w:rsidRPr="004F1B11" w:rsidRDefault="00525794" w:rsidP="0054232E">
            <w:pPr>
              <w:pStyle w:val="NCDTableText"/>
              <w:ind w:right="432"/>
              <w:jc w:val="right"/>
            </w:pPr>
            <w:r w:rsidRPr="004F1B11">
              <w:t>$88,501</w:t>
            </w:r>
          </w:p>
        </w:tc>
        <w:tc>
          <w:tcPr>
            <w:tcW w:w="2250" w:type="dxa"/>
            <w:shd w:val="clear" w:color="auto" w:fill="auto"/>
            <w:noWrap/>
            <w:vAlign w:val="center"/>
            <w:hideMark/>
          </w:tcPr>
          <w:p w14:paraId="60AA5D76" w14:textId="13F88ED3" w:rsidR="00525794" w:rsidRPr="002013A0" w:rsidRDefault="0054232E" w:rsidP="0054232E">
            <w:pPr>
              <w:pStyle w:val="NCDTableText"/>
              <w:ind w:right="576"/>
              <w:jc w:val="right"/>
            </w:pPr>
            <w:r>
              <w:t>–</w:t>
            </w:r>
            <w:r w:rsidR="00525794" w:rsidRPr="002013A0">
              <w:t>3.06%</w:t>
            </w:r>
          </w:p>
        </w:tc>
      </w:tr>
      <w:tr w:rsidR="00525794" w:rsidRPr="004F1B11" w14:paraId="71B18229" w14:textId="77777777" w:rsidTr="00B33BCC">
        <w:trPr>
          <w:trHeight w:val="300"/>
        </w:trPr>
        <w:tc>
          <w:tcPr>
            <w:tcW w:w="2865" w:type="dxa"/>
            <w:shd w:val="clear" w:color="auto" w:fill="auto"/>
            <w:vAlign w:val="center"/>
            <w:hideMark/>
          </w:tcPr>
          <w:p w14:paraId="0D0C3C3B" w14:textId="77777777" w:rsidR="00525794" w:rsidRPr="0054232E" w:rsidRDefault="00525794" w:rsidP="00587345">
            <w:pPr>
              <w:pStyle w:val="NCDTableText"/>
              <w:rPr>
                <w:b/>
              </w:rPr>
            </w:pPr>
            <w:r w:rsidRPr="0054232E">
              <w:rPr>
                <w:b/>
              </w:rPr>
              <w:t>2012</w:t>
            </w:r>
          </w:p>
        </w:tc>
        <w:tc>
          <w:tcPr>
            <w:tcW w:w="2070" w:type="dxa"/>
            <w:shd w:val="clear" w:color="auto" w:fill="auto"/>
            <w:noWrap/>
            <w:vAlign w:val="bottom"/>
            <w:hideMark/>
          </w:tcPr>
          <w:p w14:paraId="296F5D22" w14:textId="77777777" w:rsidR="00525794" w:rsidRPr="00E521B0" w:rsidRDefault="003165C7" w:rsidP="0054232E">
            <w:pPr>
              <w:pStyle w:val="NCDTableText"/>
              <w:ind w:right="288"/>
              <w:jc w:val="right"/>
            </w:pPr>
            <w:r>
              <w:t>$</w:t>
            </w:r>
            <w:r w:rsidR="00525794" w:rsidRPr="00E521B0">
              <w:t>105,187</w:t>
            </w:r>
          </w:p>
        </w:tc>
        <w:tc>
          <w:tcPr>
            <w:tcW w:w="2340" w:type="dxa"/>
            <w:shd w:val="clear" w:color="auto" w:fill="auto"/>
            <w:noWrap/>
            <w:vAlign w:val="center"/>
            <w:hideMark/>
          </w:tcPr>
          <w:p w14:paraId="3054A694" w14:textId="77777777" w:rsidR="00525794" w:rsidRPr="004F1B11" w:rsidRDefault="00525794" w:rsidP="0054232E">
            <w:pPr>
              <w:pStyle w:val="NCDTableText"/>
              <w:ind w:right="432"/>
              <w:jc w:val="right"/>
            </w:pPr>
            <w:r w:rsidRPr="004F1B11">
              <w:t>$86,543</w:t>
            </w:r>
          </w:p>
        </w:tc>
        <w:tc>
          <w:tcPr>
            <w:tcW w:w="2250" w:type="dxa"/>
            <w:shd w:val="clear" w:color="auto" w:fill="auto"/>
            <w:noWrap/>
            <w:vAlign w:val="center"/>
            <w:hideMark/>
          </w:tcPr>
          <w:p w14:paraId="3A874010" w14:textId="2FF044AE" w:rsidR="00525794" w:rsidRPr="002013A0" w:rsidRDefault="0054232E" w:rsidP="0054232E">
            <w:pPr>
              <w:pStyle w:val="NCDTableText"/>
              <w:ind w:right="576"/>
              <w:jc w:val="right"/>
            </w:pPr>
            <w:r>
              <w:t>–</w:t>
            </w:r>
            <w:r w:rsidR="00525794" w:rsidRPr="002013A0">
              <w:t>2.21%</w:t>
            </w:r>
          </w:p>
        </w:tc>
      </w:tr>
      <w:tr w:rsidR="00525794" w:rsidRPr="004F1B11" w14:paraId="263A9411" w14:textId="77777777" w:rsidTr="00B33BCC">
        <w:trPr>
          <w:trHeight w:val="300"/>
        </w:trPr>
        <w:tc>
          <w:tcPr>
            <w:tcW w:w="2865" w:type="dxa"/>
            <w:shd w:val="clear" w:color="auto" w:fill="auto"/>
            <w:vAlign w:val="center"/>
            <w:hideMark/>
          </w:tcPr>
          <w:p w14:paraId="41DB470C" w14:textId="77777777" w:rsidR="00525794" w:rsidRPr="0054232E" w:rsidRDefault="00525794" w:rsidP="00587345">
            <w:pPr>
              <w:pStyle w:val="NCDTableText"/>
              <w:rPr>
                <w:b/>
              </w:rPr>
            </w:pPr>
            <w:r w:rsidRPr="0054232E">
              <w:rPr>
                <w:b/>
              </w:rPr>
              <w:t>2013</w:t>
            </w:r>
          </w:p>
        </w:tc>
        <w:tc>
          <w:tcPr>
            <w:tcW w:w="2070" w:type="dxa"/>
            <w:shd w:val="clear" w:color="auto" w:fill="auto"/>
            <w:noWrap/>
            <w:vAlign w:val="bottom"/>
            <w:hideMark/>
          </w:tcPr>
          <w:p w14:paraId="14415D6C" w14:textId="77777777" w:rsidR="00525794" w:rsidRPr="00E521B0" w:rsidRDefault="003165C7" w:rsidP="0054232E">
            <w:pPr>
              <w:pStyle w:val="NCDTableText"/>
              <w:ind w:right="288"/>
              <w:jc w:val="right"/>
            </w:pPr>
            <w:r>
              <w:t>$</w:t>
            </w:r>
            <w:r w:rsidR="00525794" w:rsidRPr="00E521B0">
              <w:t>99,685</w:t>
            </w:r>
          </w:p>
        </w:tc>
        <w:tc>
          <w:tcPr>
            <w:tcW w:w="2340" w:type="dxa"/>
            <w:shd w:val="clear" w:color="auto" w:fill="auto"/>
            <w:noWrap/>
            <w:vAlign w:val="center"/>
            <w:hideMark/>
          </w:tcPr>
          <w:p w14:paraId="2AA9A558" w14:textId="77777777" w:rsidR="00525794" w:rsidRPr="004F1B11" w:rsidRDefault="00525794" w:rsidP="0054232E">
            <w:pPr>
              <w:pStyle w:val="NCDTableText"/>
              <w:ind w:right="432"/>
              <w:jc w:val="right"/>
            </w:pPr>
            <w:r w:rsidRPr="004F1B11">
              <w:t>$80,832</w:t>
            </w:r>
          </w:p>
        </w:tc>
        <w:tc>
          <w:tcPr>
            <w:tcW w:w="2250" w:type="dxa"/>
            <w:shd w:val="clear" w:color="auto" w:fill="auto"/>
            <w:noWrap/>
            <w:vAlign w:val="center"/>
            <w:hideMark/>
          </w:tcPr>
          <w:p w14:paraId="4938E1C8" w14:textId="7C8E7731" w:rsidR="00525794" w:rsidRPr="002013A0" w:rsidRDefault="0054232E" w:rsidP="0054232E">
            <w:pPr>
              <w:pStyle w:val="NCDTableText"/>
              <w:ind w:right="576"/>
              <w:jc w:val="right"/>
            </w:pPr>
            <w:r>
              <w:t>–</w:t>
            </w:r>
            <w:r w:rsidR="00525794" w:rsidRPr="002013A0">
              <w:t>6.60%</w:t>
            </w:r>
          </w:p>
        </w:tc>
      </w:tr>
      <w:tr w:rsidR="00525794" w:rsidRPr="004F1B11" w14:paraId="4AA402DF" w14:textId="77777777" w:rsidTr="00B33BCC">
        <w:trPr>
          <w:trHeight w:val="300"/>
        </w:trPr>
        <w:tc>
          <w:tcPr>
            <w:tcW w:w="2865" w:type="dxa"/>
            <w:shd w:val="clear" w:color="auto" w:fill="auto"/>
            <w:vAlign w:val="center"/>
            <w:hideMark/>
          </w:tcPr>
          <w:p w14:paraId="304F24EC" w14:textId="77777777" w:rsidR="00525794" w:rsidRPr="0054232E" w:rsidRDefault="00525794" w:rsidP="00587345">
            <w:pPr>
              <w:pStyle w:val="NCDTableText"/>
              <w:rPr>
                <w:b/>
              </w:rPr>
            </w:pPr>
            <w:r w:rsidRPr="0054232E">
              <w:rPr>
                <w:b/>
              </w:rPr>
              <w:t>2014</w:t>
            </w:r>
          </w:p>
        </w:tc>
        <w:tc>
          <w:tcPr>
            <w:tcW w:w="2070" w:type="dxa"/>
            <w:shd w:val="clear" w:color="auto" w:fill="auto"/>
            <w:noWrap/>
            <w:vAlign w:val="bottom"/>
            <w:hideMark/>
          </w:tcPr>
          <w:p w14:paraId="674835EB" w14:textId="77777777" w:rsidR="00525794" w:rsidRPr="00E521B0" w:rsidRDefault="003165C7" w:rsidP="0054232E">
            <w:pPr>
              <w:pStyle w:val="NCDTableText"/>
              <w:ind w:right="288"/>
              <w:jc w:val="right"/>
            </w:pPr>
            <w:r>
              <w:t>$</w:t>
            </w:r>
            <w:r w:rsidR="00525794" w:rsidRPr="00E521B0">
              <w:t>104,976</w:t>
            </w:r>
          </w:p>
        </w:tc>
        <w:tc>
          <w:tcPr>
            <w:tcW w:w="2340" w:type="dxa"/>
            <w:shd w:val="clear" w:color="auto" w:fill="auto"/>
            <w:noWrap/>
            <w:vAlign w:val="center"/>
            <w:hideMark/>
          </w:tcPr>
          <w:p w14:paraId="58495D73" w14:textId="77777777" w:rsidR="00525794" w:rsidRPr="004F1B11" w:rsidRDefault="00525794" w:rsidP="0054232E">
            <w:pPr>
              <w:pStyle w:val="NCDTableText"/>
              <w:ind w:right="432"/>
              <w:jc w:val="right"/>
            </w:pPr>
            <w:r w:rsidRPr="004F1B11">
              <w:t>$83,764</w:t>
            </w:r>
          </w:p>
        </w:tc>
        <w:tc>
          <w:tcPr>
            <w:tcW w:w="2250" w:type="dxa"/>
            <w:shd w:val="clear" w:color="auto" w:fill="auto"/>
            <w:noWrap/>
            <w:vAlign w:val="center"/>
            <w:hideMark/>
          </w:tcPr>
          <w:p w14:paraId="1192DFE5" w14:textId="77777777" w:rsidR="00525794" w:rsidRPr="002013A0" w:rsidRDefault="00525794" w:rsidP="0054232E">
            <w:pPr>
              <w:pStyle w:val="NCDTableText"/>
              <w:ind w:right="576"/>
              <w:jc w:val="right"/>
            </w:pPr>
            <w:r w:rsidRPr="002013A0">
              <w:t>3.63%</w:t>
            </w:r>
          </w:p>
        </w:tc>
      </w:tr>
      <w:tr w:rsidR="00525794" w:rsidRPr="004F1B11" w14:paraId="7481E860" w14:textId="77777777" w:rsidTr="00B33BCC">
        <w:trPr>
          <w:trHeight w:val="300"/>
        </w:trPr>
        <w:tc>
          <w:tcPr>
            <w:tcW w:w="2865" w:type="dxa"/>
            <w:shd w:val="clear" w:color="auto" w:fill="auto"/>
            <w:vAlign w:val="center"/>
            <w:hideMark/>
          </w:tcPr>
          <w:p w14:paraId="110F0513" w14:textId="77777777" w:rsidR="00525794" w:rsidRPr="0054232E" w:rsidRDefault="00525794" w:rsidP="00587345">
            <w:pPr>
              <w:pStyle w:val="NCDTableText"/>
              <w:rPr>
                <w:b/>
              </w:rPr>
            </w:pPr>
            <w:r w:rsidRPr="0054232E">
              <w:rPr>
                <w:b/>
              </w:rPr>
              <w:t>2015</w:t>
            </w:r>
          </w:p>
        </w:tc>
        <w:tc>
          <w:tcPr>
            <w:tcW w:w="2070" w:type="dxa"/>
            <w:shd w:val="clear" w:color="auto" w:fill="auto"/>
            <w:noWrap/>
            <w:vAlign w:val="bottom"/>
            <w:hideMark/>
          </w:tcPr>
          <w:p w14:paraId="08425823" w14:textId="77777777" w:rsidR="00525794" w:rsidRPr="00E521B0" w:rsidRDefault="003165C7" w:rsidP="0054232E">
            <w:pPr>
              <w:pStyle w:val="NCDTableText"/>
              <w:ind w:right="288"/>
              <w:jc w:val="right"/>
            </w:pPr>
            <w:r>
              <w:t>$</w:t>
            </w:r>
            <w:r w:rsidR="00525794" w:rsidRPr="00E521B0">
              <w:t>106,476</w:t>
            </w:r>
          </w:p>
        </w:tc>
        <w:tc>
          <w:tcPr>
            <w:tcW w:w="2340" w:type="dxa"/>
            <w:shd w:val="clear" w:color="auto" w:fill="auto"/>
            <w:noWrap/>
            <w:vAlign w:val="center"/>
            <w:hideMark/>
          </w:tcPr>
          <w:p w14:paraId="743BECF6" w14:textId="77777777" w:rsidR="00525794" w:rsidRPr="004F1B11" w:rsidRDefault="00525794" w:rsidP="0054232E">
            <w:pPr>
              <w:pStyle w:val="NCDTableText"/>
              <w:ind w:right="432"/>
              <w:jc w:val="right"/>
            </w:pPr>
            <w:r w:rsidRPr="004F1B11">
              <w:t>$84,860</w:t>
            </w:r>
          </w:p>
        </w:tc>
        <w:tc>
          <w:tcPr>
            <w:tcW w:w="2250" w:type="dxa"/>
            <w:shd w:val="clear" w:color="auto" w:fill="auto"/>
            <w:noWrap/>
            <w:vAlign w:val="center"/>
            <w:hideMark/>
          </w:tcPr>
          <w:p w14:paraId="39FE86B0" w14:textId="77777777" w:rsidR="00525794" w:rsidRPr="002013A0" w:rsidRDefault="00525794" w:rsidP="0054232E">
            <w:pPr>
              <w:pStyle w:val="NCDTableText"/>
              <w:ind w:right="576"/>
              <w:jc w:val="right"/>
            </w:pPr>
            <w:r w:rsidRPr="002013A0">
              <w:t>1.31%</w:t>
            </w:r>
          </w:p>
        </w:tc>
      </w:tr>
      <w:tr w:rsidR="00525794" w:rsidRPr="004F1B11" w14:paraId="79E823A1" w14:textId="77777777" w:rsidTr="00B33BCC">
        <w:trPr>
          <w:trHeight w:val="300"/>
        </w:trPr>
        <w:tc>
          <w:tcPr>
            <w:tcW w:w="2865" w:type="dxa"/>
            <w:shd w:val="clear" w:color="auto" w:fill="auto"/>
            <w:vAlign w:val="center"/>
            <w:hideMark/>
          </w:tcPr>
          <w:p w14:paraId="36BC8DEE" w14:textId="77777777" w:rsidR="00525794" w:rsidRPr="0054232E" w:rsidRDefault="00525794" w:rsidP="00587345">
            <w:pPr>
              <w:pStyle w:val="NCDTableText"/>
              <w:rPr>
                <w:b/>
              </w:rPr>
            </w:pPr>
            <w:r w:rsidRPr="0054232E">
              <w:rPr>
                <w:b/>
              </w:rPr>
              <w:t>2016</w:t>
            </w:r>
          </w:p>
        </w:tc>
        <w:tc>
          <w:tcPr>
            <w:tcW w:w="2070" w:type="dxa"/>
            <w:shd w:val="clear" w:color="auto" w:fill="auto"/>
            <w:noWrap/>
            <w:vAlign w:val="bottom"/>
            <w:hideMark/>
          </w:tcPr>
          <w:p w14:paraId="7A9DC264" w14:textId="77777777" w:rsidR="00525794" w:rsidRPr="00E521B0" w:rsidRDefault="003165C7" w:rsidP="0054232E">
            <w:pPr>
              <w:pStyle w:val="NCDTableText"/>
              <w:ind w:right="288"/>
              <w:jc w:val="right"/>
            </w:pPr>
            <w:r>
              <w:t>$</w:t>
            </w:r>
            <w:r w:rsidR="00525794" w:rsidRPr="00E521B0">
              <w:t>105,476</w:t>
            </w:r>
          </w:p>
        </w:tc>
        <w:tc>
          <w:tcPr>
            <w:tcW w:w="2340" w:type="dxa"/>
            <w:shd w:val="clear" w:color="auto" w:fill="auto"/>
            <w:noWrap/>
            <w:vAlign w:val="center"/>
            <w:hideMark/>
          </w:tcPr>
          <w:p w14:paraId="11377BDB" w14:textId="77777777" w:rsidR="00525794" w:rsidRPr="004F1B11" w:rsidRDefault="00525794" w:rsidP="0054232E">
            <w:pPr>
              <w:pStyle w:val="NCDTableText"/>
              <w:ind w:right="432"/>
              <w:jc w:val="right"/>
            </w:pPr>
            <w:r w:rsidRPr="004F1B11">
              <w:t>$83,016</w:t>
            </w:r>
          </w:p>
        </w:tc>
        <w:tc>
          <w:tcPr>
            <w:tcW w:w="2250" w:type="dxa"/>
            <w:shd w:val="clear" w:color="auto" w:fill="auto"/>
            <w:noWrap/>
            <w:vAlign w:val="center"/>
            <w:hideMark/>
          </w:tcPr>
          <w:p w14:paraId="1897280C" w14:textId="375A3494" w:rsidR="00525794" w:rsidRPr="002013A0" w:rsidRDefault="0054232E" w:rsidP="0054232E">
            <w:pPr>
              <w:pStyle w:val="NCDTableText"/>
              <w:ind w:right="576"/>
              <w:jc w:val="right"/>
            </w:pPr>
            <w:r>
              <w:t>–</w:t>
            </w:r>
            <w:r w:rsidR="00525794" w:rsidRPr="002013A0">
              <w:t>2.17%</w:t>
            </w:r>
          </w:p>
        </w:tc>
      </w:tr>
      <w:tr w:rsidR="00525794" w:rsidRPr="004F1B11" w14:paraId="37DFA49D" w14:textId="77777777" w:rsidTr="00B33BCC">
        <w:trPr>
          <w:trHeight w:val="315"/>
        </w:trPr>
        <w:tc>
          <w:tcPr>
            <w:tcW w:w="2865" w:type="dxa"/>
            <w:shd w:val="clear" w:color="auto" w:fill="auto"/>
            <w:vAlign w:val="center"/>
            <w:hideMark/>
          </w:tcPr>
          <w:p w14:paraId="59ABDE6F" w14:textId="77777777" w:rsidR="00525794" w:rsidRPr="0054232E" w:rsidRDefault="00525794" w:rsidP="00587345">
            <w:pPr>
              <w:pStyle w:val="NCDTableText"/>
              <w:rPr>
                <w:b/>
              </w:rPr>
            </w:pPr>
            <w:r w:rsidRPr="0054232E">
              <w:rPr>
                <w:b/>
              </w:rPr>
              <w:t>2017</w:t>
            </w:r>
          </w:p>
        </w:tc>
        <w:tc>
          <w:tcPr>
            <w:tcW w:w="2070" w:type="dxa"/>
            <w:shd w:val="clear" w:color="auto" w:fill="auto"/>
            <w:noWrap/>
            <w:vAlign w:val="bottom"/>
            <w:hideMark/>
          </w:tcPr>
          <w:p w14:paraId="31812769" w14:textId="77777777" w:rsidR="00525794" w:rsidRPr="00E521B0" w:rsidRDefault="003165C7" w:rsidP="0054232E">
            <w:pPr>
              <w:pStyle w:val="NCDTableText"/>
              <w:ind w:right="288"/>
              <w:jc w:val="right"/>
            </w:pPr>
            <w:r>
              <w:t>$</w:t>
            </w:r>
            <w:r w:rsidR="00525794" w:rsidRPr="00E521B0">
              <w:t>104,476</w:t>
            </w:r>
          </w:p>
        </w:tc>
        <w:tc>
          <w:tcPr>
            <w:tcW w:w="2340" w:type="dxa"/>
            <w:shd w:val="clear" w:color="auto" w:fill="auto"/>
            <w:noWrap/>
            <w:vAlign w:val="center"/>
            <w:hideMark/>
          </w:tcPr>
          <w:p w14:paraId="42D1ADE1" w14:textId="77777777" w:rsidR="00525794" w:rsidRPr="004F1B11" w:rsidRDefault="00525794" w:rsidP="0054232E">
            <w:pPr>
              <w:pStyle w:val="NCDTableText"/>
              <w:ind w:right="432"/>
              <w:jc w:val="right"/>
            </w:pPr>
            <w:r w:rsidRPr="004F1B11">
              <w:t>$80,514</w:t>
            </w:r>
          </w:p>
        </w:tc>
        <w:tc>
          <w:tcPr>
            <w:tcW w:w="2250" w:type="dxa"/>
            <w:shd w:val="clear" w:color="auto" w:fill="auto"/>
            <w:noWrap/>
            <w:vAlign w:val="center"/>
            <w:hideMark/>
          </w:tcPr>
          <w:p w14:paraId="01085633" w14:textId="04215652" w:rsidR="00525794" w:rsidRPr="002013A0" w:rsidRDefault="0054232E" w:rsidP="0054232E">
            <w:pPr>
              <w:pStyle w:val="NCDTableText"/>
              <w:ind w:right="576"/>
              <w:jc w:val="right"/>
            </w:pPr>
            <w:r>
              <w:t>–</w:t>
            </w:r>
            <w:r w:rsidR="00525794" w:rsidRPr="002013A0">
              <w:t>3.01%</w:t>
            </w:r>
          </w:p>
        </w:tc>
      </w:tr>
      <w:tr w:rsidR="00525794" w:rsidRPr="004F1B11" w14:paraId="1DB175B6" w14:textId="77777777" w:rsidTr="00B33BCC">
        <w:trPr>
          <w:trHeight w:val="336"/>
        </w:trPr>
        <w:tc>
          <w:tcPr>
            <w:tcW w:w="2865" w:type="dxa"/>
            <w:shd w:val="clear" w:color="auto" w:fill="auto"/>
            <w:vAlign w:val="bottom"/>
            <w:hideMark/>
          </w:tcPr>
          <w:p w14:paraId="19BAFCD2" w14:textId="77777777" w:rsidR="00525794" w:rsidRPr="0054232E" w:rsidRDefault="00525794" w:rsidP="00587345">
            <w:pPr>
              <w:pStyle w:val="NCDTableText"/>
              <w:rPr>
                <w:b/>
              </w:rPr>
            </w:pPr>
            <w:r w:rsidRPr="0054232E">
              <w:rPr>
                <w:b/>
              </w:rPr>
              <w:t xml:space="preserve">Annual Average </w:t>
            </w:r>
          </w:p>
        </w:tc>
        <w:tc>
          <w:tcPr>
            <w:tcW w:w="2070" w:type="dxa"/>
            <w:shd w:val="clear" w:color="auto" w:fill="auto"/>
            <w:noWrap/>
            <w:vAlign w:val="bottom"/>
            <w:hideMark/>
          </w:tcPr>
          <w:p w14:paraId="3581C4CE" w14:textId="77777777" w:rsidR="00525794" w:rsidRPr="00E521B0" w:rsidRDefault="00525794" w:rsidP="0054232E">
            <w:pPr>
              <w:pStyle w:val="NCDTableText"/>
              <w:ind w:right="288"/>
              <w:jc w:val="right"/>
            </w:pPr>
            <w:r w:rsidRPr="00E521B0">
              <w:t>$94,527.43</w:t>
            </w:r>
          </w:p>
        </w:tc>
        <w:tc>
          <w:tcPr>
            <w:tcW w:w="2340" w:type="dxa"/>
            <w:shd w:val="clear" w:color="auto" w:fill="auto"/>
            <w:noWrap/>
            <w:vAlign w:val="bottom"/>
            <w:hideMark/>
          </w:tcPr>
          <w:p w14:paraId="4E67D55F" w14:textId="77777777" w:rsidR="00525794" w:rsidRPr="004F1B11" w:rsidRDefault="00525794" w:rsidP="0054232E">
            <w:pPr>
              <w:pStyle w:val="NCDTableText"/>
              <w:ind w:right="432"/>
              <w:jc w:val="right"/>
            </w:pPr>
            <w:r w:rsidRPr="004F1B11">
              <w:t>$80,774.30</w:t>
            </w:r>
          </w:p>
        </w:tc>
        <w:tc>
          <w:tcPr>
            <w:tcW w:w="2250" w:type="dxa"/>
            <w:shd w:val="clear" w:color="auto" w:fill="auto"/>
            <w:noWrap/>
            <w:vAlign w:val="bottom"/>
            <w:hideMark/>
          </w:tcPr>
          <w:p w14:paraId="007182BE" w14:textId="77777777" w:rsidR="00525794" w:rsidRPr="002013A0" w:rsidRDefault="00525794" w:rsidP="0054232E">
            <w:pPr>
              <w:pStyle w:val="NCDTableText"/>
              <w:ind w:right="576"/>
              <w:jc w:val="right"/>
            </w:pPr>
            <w:r w:rsidRPr="002013A0">
              <w:t>0.38%</w:t>
            </w:r>
          </w:p>
        </w:tc>
      </w:tr>
      <w:tr w:rsidR="00525794" w:rsidRPr="004F1B11" w14:paraId="3913C9B1" w14:textId="77777777" w:rsidTr="00B33BCC">
        <w:trPr>
          <w:trHeight w:val="330"/>
        </w:trPr>
        <w:tc>
          <w:tcPr>
            <w:tcW w:w="2865" w:type="dxa"/>
            <w:shd w:val="clear" w:color="auto" w:fill="auto"/>
            <w:noWrap/>
            <w:vAlign w:val="bottom"/>
            <w:hideMark/>
          </w:tcPr>
          <w:p w14:paraId="3BFD93EC" w14:textId="77777777" w:rsidR="00525794" w:rsidRPr="0054232E" w:rsidRDefault="00525794" w:rsidP="00587345">
            <w:pPr>
              <w:pStyle w:val="NCDTableText"/>
              <w:rPr>
                <w:b/>
              </w:rPr>
            </w:pPr>
            <w:r w:rsidRPr="0054232E">
              <w:rPr>
                <w:b/>
              </w:rPr>
              <w:t>Change Between 2004 &amp; 2017</w:t>
            </w:r>
          </w:p>
        </w:tc>
        <w:tc>
          <w:tcPr>
            <w:tcW w:w="2070" w:type="dxa"/>
            <w:shd w:val="clear" w:color="auto" w:fill="auto"/>
            <w:noWrap/>
            <w:vAlign w:val="bottom"/>
            <w:hideMark/>
          </w:tcPr>
          <w:p w14:paraId="0A208AAF" w14:textId="77777777" w:rsidR="00525794" w:rsidRPr="00E521B0" w:rsidRDefault="00525794" w:rsidP="00587345">
            <w:pPr>
              <w:pStyle w:val="NCDTableText"/>
              <w:jc w:val="center"/>
              <w:rPr>
                <w:color w:val="000000"/>
              </w:rPr>
            </w:pPr>
          </w:p>
        </w:tc>
        <w:tc>
          <w:tcPr>
            <w:tcW w:w="2340" w:type="dxa"/>
            <w:shd w:val="clear" w:color="auto" w:fill="auto"/>
            <w:noWrap/>
            <w:vAlign w:val="bottom"/>
            <w:hideMark/>
          </w:tcPr>
          <w:p w14:paraId="1D751160" w14:textId="77777777" w:rsidR="00525794" w:rsidRPr="004F1B11" w:rsidRDefault="00525794" w:rsidP="00587345">
            <w:pPr>
              <w:pStyle w:val="NCDTableText"/>
              <w:jc w:val="center"/>
              <w:rPr>
                <w:color w:val="000000"/>
              </w:rPr>
            </w:pPr>
          </w:p>
        </w:tc>
        <w:tc>
          <w:tcPr>
            <w:tcW w:w="2250" w:type="dxa"/>
            <w:shd w:val="clear" w:color="auto" w:fill="auto"/>
            <w:noWrap/>
            <w:vAlign w:val="bottom"/>
            <w:hideMark/>
          </w:tcPr>
          <w:p w14:paraId="2F285363" w14:textId="77777777" w:rsidR="00525794" w:rsidRPr="003165C7" w:rsidRDefault="00525794" w:rsidP="0054232E">
            <w:pPr>
              <w:pStyle w:val="NCDTableText"/>
              <w:ind w:right="576"/>
              <w:jc w:val="right"/>
            </w:pPr>
            <w:r w:rsidRPr="003165C7">
              <w:t>1.35%</w:t>
            </w:r>
          </w:p>
        </w:tc>
      </w:tr>
    </w:tbl>
    <w:p w14:paraId="472D6524" w14:textId="77777777" w:rsidR="00525794" w:rsidRPr="008C0596" w:rsidRDefault="003C232E" w:rsidP="00587345">
      <w:pPr>
        <w:pStyle w:val="NCDTableSource"/>
      </w:pPr>
      <w:r>
        <w:t xml:space="preserve">Enacted Budget </w:t>
      </w:r>
      <w:r w:rsidR="00525794">
        <w:t>Data Source: OFCCP.</w:t>
      </w:r>
      <w:r w:rsidR="00525794" w:rsidRPr="008C0596">
        <w:rPr>
          <w:rStyle w:val="EndnoteReference"/>
        </w:rPr>
        <w:endnoteReference w:id="303"/>
      </w:r>
      <w:r w:rsidR="00525794" w:rsidRPr="008C0596">
        <w:t xml:space="preserve"> Constant dollar and yearly % changes are calculations </w:t>
      </w:r>
      <w:r>
        <w:t xml:space="preserve">by </w:t>
      </w:r>
      <w:r w:rsidR="00525794" w:rsidRPr="008C0596">
        <w:t>the researchers based on the Consumer Price Index (CPI) for each year utilizing 2004 as the base year.</w:t>
      </w:r>
    </w:p>
    <w:p w14:paraId="338DE7C0" w14:textId="77777777" w:rsidR="00525794" w:rsidRDefault="00525794" w:rsidP="00396A3D">
      <w:pPr>
        <w:pStyle w:val="NCDBodyText"/>
      </w:pPr>
      <w:r>
        <w:br w:type="page"/>
      </w:r>
    </w:p>
    <w:p w14:paraId="66008A23" w14:textId="77777777" w:rsidR="00525794" w:rsidRPr="009770A2" w:rsidRDefault="00525794" w:rsidP="00560B82">
      <w:pPr>
        <w:pStyle w:val="NCDTableHeader"/>
        <w:jc w:val="left"/>
      </w:pPr>
      <w:r>
        <w:lastRenderedPageBreak/>
        <w:t>Table E: OFCCP Staffing Levels 2004 to 2017</w:t>
      </w:r>
    </w:p>
    <w:tbl>
      <w:tblPr>
        <w:tblW w:w="9525" w:type="dxa"/>
        <w:tblInd w:w="1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4A0" w:firstRow="1" w:lastRow="0" w:firstColumn="1" w:lastColumn="0" w:noHBand="0" w:noVBand="1"/>
        <w:tblCaption w:val="Table E: OFCCP Staffing Levels 2004 to 2017"/>
        <w:tblDescription w:val="Fiscal Year Actual End of Fiscal Year Yearly FTE Change (actual) Yearly % Change&#10;2004 749  &#10;2005 691 –58 –7.74%&#10;2006 670 –21 –3.04%&#10;2007 625 –45 –6.72%&#10;2008 585 –40 –6.40%&#10;2009 622 37 6.32%&#10;2010 838 216 34.73%&#10;2011 788 –50 –5.97%&#10;2012 755 –33 –4.19%&#10;2013 729 –26 –3.44%&#10;2014 683 –46 –6.31%&#10;2015 621 –62 –9.08%&#10;2016 615 –6 –0.97%&#10;2017 556 –59 –9.59%&#10;Annual Average  529  &#10;Change Between 2004 &amp; 2017  –193 –25.77%&#10;Data Source: OFCCP;  Yearly change calculations by the researchers."/>
      </w:tblPr>
      <w:tblGrid>
        <w:gridCol w:w="2685"/>
        <w:gridCol w:w="2250"/>
        <w:gridCol w:w="2340"/>
        <w:gridCol w:w="2250"/>
      </w:tblGrid>
      <w:tr w:rsidR="00525794" w:rsidRPr="009770A2" w14:paraId="08DF9570" w14:textId="77777777" w:rsidTr="00B33BCC">
        <w:trPr>
          <w:trHeight w:val="537"/>
        </w:trPr>
        <w:tc>
          <w:tcPr>
            <w:tcW w:w="2685" w:type="dxa"/>
            <w:shd w:val="clear" w:color="auto" w:fill="auto"/>
            <w:noWrap/>
            <w:vAlign w:val="center"/>
            <w:hideMark/>
          </w:tcPr>
          <w:p w14:paraId="3DC0554E" w14:textId="77777777" w:rsidR="00525794" w:rsidRPr="009770A2" w:rsidRDefault="00525794" w:rsidP="00560B82">
            <w:pPr>
              <w:pStyle w:val="NCDTableHeader"/>
              <w:jc w:val="left"/>
            </w:pPr>
            <w:r>
              <w:t>Fiscal Year</w:t>
            </w:r>
          </w:p>
        </w:tc>
        <w:tc>
          <w:tcPr>
            <w:tcW w:w="2250" w:type="dxa"/>
            <w:shd w:val="clear" w:color="auto" w:fill="auto"/>
            <w:vAlign w:val="center"/>
            <w:hideMark/>
          </w:tcPr>
          <w:p w14:paraId="16955D17" w14:textId="77777777" w:rsidR="00525794" w:rsidRPr="009770A2" w:rsidRDefault="00525794" w:rsidP="00560B82">
            <w:pPr>
              <w:pStyle w:val="NCDTableHeader"/>
            </w:pPr>
            <w:r w:rsidRPr="009770A2">
              <w:t>Actual End of Fiscal Year</w:t>
            </w:r>
          </w:p>
        </w:tc>
        <w:tc>
          <w:tcPr>
            <w:tcW w:w="2340" w:type="dxa"/>
            <w:shd w:val="clear" w:color="auto" w:fill="auto"/>
            <w:vAlign w:val="center"/>
            <w:hideMark/>
          </w:tcPr>
          <w:p w14:paraId="7B210754" w14:textId="77777777" w:rsidR="00525794" w:rsidRPr="009770A2" w:rsidRDefault="00525794" w:rsidP="00560B82">
            <w:pPr>
              <w:pStyle w:val="NCDTableHeader"/>
            </w:pPr>
            <w:r w:rsidRPr="009770A2">
              <w:t>Yearly FTE Change (actual)</w:t>
            </w:r>
          </w:p>
        </w:tc>
        <w:tc>
          <w:tcPr>
            <w:tcW w:w="2250" w:type="dxa"/>
            <w:shd w:val="clear" w:color="auto" w:fill="auto"/>
            <w:vAlign w:val="center"/>
            <w:hideMark/>
          </w:tcPr>
          <w:p w14:paraId="3D2328C3" w14:textId="77777777" w:rsidR="00525794" w:rsidRPr="009770A2" w:rsidRDefault="00525794" w:rsidP="00560B82">
            <w:pPr>
              <w:pStyle w:val="NCDTableHeader"/>
            </w:pPr>
            <w:r w:rsidRPr="009770A2">
              <w:t>Yearly % Change</w:t>
            </w:r>
          </w:p>
        </w:tc>
      </w:tr>
      <w:tr w:rsidR="00525794" w:rsidRPr="009770A2" w14:paraId="4E43A4B7" w14:textId="77777777" w:rsidTr="00B33BCC">
        <w:trPr>
          <w:trHeight w:val="300"/>
        </w:trPr>
        <w:tc>
          <w:tcPr>
            <w:tcW w:w="2685" w:type="dxa"/>
            <w:shd w:val="clear" w:color="auto" w:fill="auto"/>
            <w:vAlign w:val="center"/>
            <w:hideMark/>
          </w:tcPr>
          <w:p w14:paraId="04749FF1" w14:textId="77777777" w:rsidR="00525794" w:rsidRPr="0054232E" w:rsidRDefault="00525794" w:rsidP="00D757DB">
            <w:pPr>
              <w:pStyle w:val="NCDTableText"/>
              <w:rPr>
                <w:b/>
              </w:rPr>
            </w:pPr>
            <w:r w:rsidRPr="0054232E">
              <w:rPr>
                <w:b/>
              </w:rPr>
              <w:t>2004</w:t>
            </w:r>
          </w:p>
        </w:tc>
        <w:tc>
          <w:tcPr>
            <w:tcW w:w="2250" w:type="dxa"/>
            <w:shd w:val="clear" w:color="auto" w:fill="auto"/>
            <w:noWrap/>
            <w:vAlign w:val="bottom"/>
            <w:hideMark/>
          </w:tcPr>
          <w:p w14:paraId="09288126" w14:textId="77777777" w:rsidR="00525794" w:rsidRPr="009770A2" w:rsidRDefault="00525794" w:rsidP="00D757DB">
            <w:pPr>
              <w:pStyle w:val="NCDTableText"/>
              <w:jc w:val="center"/>
            </w:pPr>
            <w:r w:rsidRPr="009770A2">
              <w:t>749</w:t>
            </w:r>
          </w:p>
        </w:tc>
        <w:tc>
          <w:tcPr>
            <w:tcW w:w="2340" w:type="dxa"/>
            <w:shd w:val="clear" w:color="auto" w:fill="auto"/>
            <w:noWrap/>
            <w:vAlign w:val="center"/>
            <w:hideMark/>
          </w:tcPr>
          <w:p w14:paraId="71EF42CD" w14:textId="3DBBD2B1" w:rsidR="00525794" w:rsidRPr="002013A0" w:rsidRDefault="00525794" w:rsidP="00D757DB">
            <w:pPr>
              <w:pStyle w:val="NCDTableText"/>
              <w:jc w:val="center"/>
            </w:pPr>
          </w:p>
        </w:tc>
        <w:tc>
          <w:tcPr>
            <w:tcW w:w="2250" w:type="dxa"/>
            <w:shd w:val="clear" w:color="auto" w:fill="auto"/>
            <w:noWrap/>
            <w:vAlign w:val="center"/>
            <w:hideMark/>
          </w:tcPr>
          <w:p w14:paraId="02E2B4ED" w14:textId="698EA6FE" w:rsidR="00525794" w:rsidRPr="002013A0" w:rsidRDefault="00525794" w:rsidP="00D757DB">
            <w:pPr>
              <w:pStyle w:val="NCDTableText"/>
              <w:jc w:val="center"/>
            </w:pPr>
          </w:p>
        </w:tc>
      </w:tr>
      <w:tr w:rsidR="00525794" w:rsidRPr="009770A2" w14:paraId="7E5D00ED" w14:textId="77777777" w:rsidTr="00B33BCC">
        <w:trPr>
          <w:trHeight w:val="300"/>
        </w:trPr>
        <w:tc>
          <w:tcPr>
            <w:tcW w:w="2685" w:type="dxa"/>
            <w:shd w:val="clear" w:color="auto" w:fill="auto"/>
            <w:vAlign w:val="center"/>
            <w:hideMark/>
          </w:tcPr>
          <w:p w14:paraId="1412D84D" w14:textId="77777777" w:rsidR="00525794" w:rsidRPr="0054232E" w:rsidRDefault="00525794" w:rsidP="00D757DB">
            <w:pPr>
              <w:pStyle w:val="NCDTableText"/>
              <w:rPr>
                <w:b/>
              </w:rPr>
            </w:pPr>
            <w:r w:rsidRPr="0054232E">
              <w:rPr>
                <w:b/>
              </w:rPr>
              <w:t>2005</w:t>
            </w:r>
          </w:p>
        </w:tc>
        <w:tc>
          <w:tcPr>
            <w:tcW w:w="2250" w:type="dxa"/>
            <w:shd w:val="clear" w:color="auto" w:fill="auto"/>
            <w:noWrap/>
            <w:vAlign w:val="bottom"/>
            <w:hideMark/>
          </w:tcPr>
          <w:p w14:paraId="3200C7F5" w14:textId="77777777" w:rsidR="00525794" w:rsidRPr="009770A2" w:rsidRDefault="00525794" w:rsidP="00D757DB">
            <w:pPr>
              <w:pStyle w:val="NCDTableText"/>
              <w:jc w:val="center"/>
            </w:pPr>
            <w:r w:rsidRPr="009770A2">
              <w:t>691</w:t>
            </w:r>
          </w:p>
        </w:tc>
        <w:tc>
          <w:tcPr>
            <w:tcW w:w="2340" w:type="dxa"/>
            <w:shd w:val="clear" w:color="auto" w:fill="auto"/>
            <w:noWrap/>
            <w:vAlign w:val="center"/>
            <w:hideMark/>
          </w:tcPr>
          <w:p w14:paraId="6303CE81" w14:textId="30EBC0A5" w:rsidR="00525794" w:rsidRPr="002013A0" w:rsidRDefault="00925508" w:rsidP="00925508">
            <w:pPr>
              <w:pStyle w:val="NCDTableText"/>
              <w:ind w:right="864"/>
              <w:jc w:val="right"/>
            </w:pPr>
            <w:r>
              <w:t>–</w:t>
            </w:r>
            <w:r w:rsidR="00525794" w:rsidRPr="002013A0">
              <w:t>58</w:t>
            </w:r>
          </w:p>
        </w:tc>
        <w:tc>
          <w:tcPr>
            <w:tcW w:w="2250" w:type="dxa"/>
            <w:shd w:val="clear" w:color="auto" w:fill="auto"/>
            <w:noWrap/>
            <w:vAlign w:val="center"/>
            <w:hideMark/>
          </w:tcPr>
          <w:p w14:paraId="2416162A" w14:textId="1DE90ADE" w:rsidR="00525794" w:rsidRPr="002013A0" w:rsidRDefault="00925508" w:rsidP="00925508">
            <w:pPr>
              <w:pStyle w:val="NCDTableText"/>
              <w:ind w:right="576"/>
              <w:jc w:val="right"/>
            </w:pPr>
            <w:r>
              <w:t>–</w:t>
            </w:r>
            <w:r w:rsidR="00525794" w:rsidRPr="002013A0">
              <w:t>7.74%</w:t>
            </w:r>
          </w:p>
        </w:tc>
      </w:tr>
      <w:tr w:rsidR="00525794" w:rsidRPr="009770A2" w14:paraId="03CB4239" w14:textId="77777777" w:rsidTr="00B33BCC">
        <w:trPr>
          <w:trHeight w:val="300"/>
        </w:trPr>
        <w:tc>
          <w:tcPr>
            <w:tcW w:w="2685" w:type="dxa"/>
            <w:shd w:val="clear" w:color="auto" w:fill="auto"/>
            <w:vAlign w:val="center"/>
            <w:hideMark/>
          </w:tcPr>
          <w:p w14:paraId="50F982BA" w14:textId="77777777" w:rsidR="00525794" w:rsidRPr="0054232E" w:rsidRDefault="00525794" w:rsidP="00D757DB">
            <w:pPr>
              <w:pStyle w:val="NCDTableText"/>
              <w:rPr>
                <w:b/>
              </w:rPr>
            </w:pPr>
            <w:r w:rsidRPr="0054232E">
              <w:rPr>
                <w:b/>
              </w:rPr>
              <w:t>2006</w:t>
            </w:r>
          </w:p>
        </w:tc>
        <w:tc>
          <w:tcPr>
            <w:tcW w:w="2250" w:type="dxa"/>
            <w:shd w:val="clear" w:color="auto" w:fill="auto"/>
            <w:noWrap/>
            <w:vAlign w:val="bottom"/>
            <w:hideMark/>
          </w:tcPr>
          <w:p w14:paraId="0F18F283" w14:textId="77777777" w:rsidR="00525794" w:rsidRPr="009770A2" w:rsidRDefault="00525794" w:rsidP="00D757DB">
            <w:pPr>
              <w:pStyle w:val="NCDTableText"/>
              <w:jc w:val="center"/>
            </w:pPr>
            <w:r w:rsidRPr="009770A2">
              <w:t>670</w:t>
            </w:r>
          </w:p>
        </w:tc>
        <w:tc>
          <w:tcPr>
            <w:tcW w:w="2340" w:type="dxa"/>
            <w:shd w:val="clear" w:color="auto" w:fill="auto"/>
            <w:noWrap/>
            <w:vAlign w:val="center"/>
            <w:hideMark/>
          </w:tcPr>
          <w:p w14:paraId="4B1C565E" w14:textId="3D63C088" w:rsidR="00525794" w:rsidRPr="002013A0" w:rsidRDefault="00925508" w:rsidP="00925508">
            <w:pPr>
              <w:pStyle w:val="NCDTableText"/>
              <w:ind w:right="864"/>
              <w:jc w:val="right"/>
            </w:pPr>
            <w:r>
              <w:t>–</w:t>
            </w:r>
            <w:r w:rsidR="00525794" w:rsidRPr="002013A0">
              <w:t>21</w:t>
            </w:r>
          </w:p>
        </w:tc>
        <w:tc>
          <w:tcPr>
            <w:tcW w:w="2250" w:type="dxa"/>
            <w:shd w:val="clear" w:color="auto" w:fill="auto"/>
            <w:noWrap/>
            <w:vAlign w:val="center"/>
            <w:hideMark/>
          </w:tcPr>
          <w:p w14:paraId="192A38A1" w14:textId="4FE081E7" w:rsidR="00525794" w:rsidRPr="002013A0" w:rsidRDefault="00925508" w:rsidP="00925508">
            <w:pPr>
              <w:pStyle w:val="NCDTableText"/>
              <w:ind w:right="576"/>
              <w:jc w:val="right"/>
            </w:pPr>
            <w:r>
              <w:t>–</w:t>
            </w:r>
            <w:r w:rsidR="00525794" w:rsidRPr="002013A0">
              <w:t>3.04%</w:t>
            </w:r>
          </w:p>
        </w:tc>
      </w:tr>
      <w:tr w:rsidR="00525794" w:rsidRPr="009770A2" w14:paraId="2C42ABE3" w14:textId="77777777" w:rsidTr="00B33BCC">
        <w:trPr>
          <w:trHeight w:val="300"/>
        </w:trPr>
        <w:tc>
          <w:tcPr>
            <w:tcW w:w="2685" w:type="dxa"/>
            <w:shd w:val="clear" w:color="auto" w:fill="auto"/>
            <w:vAlign w:val="center"/>
            <w:hideMark/>
          </w:tcPr>
          <w:p w14:paraId="27B82DFF" w14:textId="77777777" w:rsidR="00525794" w:rsidRPr="0054232E" w:rsidRDefault="00525794" w:rsidP="00D757DB">
            <w:pPr>
              <w:pStyle w:val="NCDTableText"/>
              <w:rPr>
                <w:b/>
              </w:rPr>
            </w:pPr>
            <w:r w:rsidRPr="0054232E">
              <w:rPr>
                <w:b/>
              </w:rPr>
              <w:t>2007</w:t>
            </w:r>
          </w:p>
        </w:tc>
        <w:tc>
          <w:tcPr>
            <w:tcW w:w="2250" w:type="dxa"/>
            <w:shd w:val="clear" w:color="auto" w:fill="auto"/>
            <w:noWrap/>
            <w:vAlign w:val="bottom"/>
            <w:hideMark/>
          </w:tcPr>
          <w:p w14:paraId="5FC94655" w14:textId="77777777" w:rsidR="00525794" w:rsidRPr="009770A2" w:rsidRDefault="00525794" w:rsidP="00D757DB">
            <w:pPr>
              <w:pStyle w:val="NCDTableText"/>
              <w:jc w:val="center"/>
            </w:pPr>
            <w:r w:rsidRPr="009770A2">
              <w:t>625</w:t>
            </w:r>
          </w:p>
        </w:tc>
        <w:tc>
          <w:tcPr>
            <w:tcW w:w="2340" w:type="dxa"/>
            <w:shd w:val="clear" w:color="auto" w:fill="auto"/>
            <w:noWrap/>
            <w:vAlign w:val="center"/>
            <w:hideMark/>
          </w:tcPr>
          <w:p w14:paraId="479C1BA5" w14:textId="7E1EC47E" w:rsidR="00525794" w:rsidRPr="002013A0" w:rsidRDefault="00925508" w:rsidP="00925508">
            <w:pPr>
              <w:pStyle w:val="NCDTableText"/>
              <w:ind w:right="864"/>
              <w:jc w:val="right"/>
            </w:pPr>
            <w:r>
              <w:t>–</w:t>
            </w:r>
            <w:r w:rsidR="00525794" w:rsidRPr="002013A0">
              <w:t>45</w:t>
            </w:r>
          </w:p>
        </w:tc>
        <w:tc>
          <w:tcPr>
            <w:tcW w:w="2250" w:type="dxa"/>
            <w:shd w:val="clear" w:color="auto" w:fill="auto"/>
            <w:noWrap/>
            <w:vAlign w:val="center"/>
            <w:hideMark/>
          </w:tcPr>
          <w:p w14:paraId="4ADD70F1" w14:textId="3E353566" w:rsidR="00525794" w:rsidRPr="002013A0" w:rsidRDefault="00925508" w:rsidP="00925508">
            <w:pPr>
              <w:pStyle w:val="NCDTableText"/>
              <w:ind w:right="576"/>
              <w:jc w:val="right"/>
            </w:pPr>
            <w:r>
              <w:t>–</w:t>
            </w:r>
            <w:r w:rsidR="00525794" w:rsidRPr="002013A0">
              <w:t>6.72%</w:t>
            </w:r>
          </w:p>
        </w:tc>
      </w:tr>
      <w:tr w:rsidR="00525794" w:rsidRPr="009770A2" w14:paraId="6BEE0AF8" w14:textId="77777777" w:rsidTr="00B33BCC">
        <w:trPr>
          <w:trHeight w:val="300"/>
        </w:trPr>
        <w:tc>
          <w:tcPr>
            <w:tcW w:w="2685" w:type="dxa"/>
            <w:shd w:val="clear" w:color="auto" w:fill="auto"/>
            <w:vAlign w:val="center"/>
            <w:hideMark/>
          </w:tcPr>
          <w:p w14:paraId="14C8F13E" w14:textId="77777777" w:rsidR="00525794" w:rsidRPr="0054232E" w:rsidRDefault="00525794" w:rsidP="00D757DB">
            <w:pPr>
              <w:pStyle w:val="NCDTableText"/>
              <w:rPr>
                <w:b/>
              </w:rPr>
            </w:pPr>
            <w:r w:rsidRPr="0054232E">
              <w:rPr>
                <w:b/>
              </w:rPr>
              <w:t>2008</w:t>
            </w:r>
          </w:p>
        </w:tc>
        <w:tc>
          <w:tcPr>
            <w:tcW w:w="2250" w:type="dxa"/>
            <w:shd w:val="clear" w:color="auto" w:fill="auto"/>
            <w:noWrap/>
            <w:vAlign w:val="bottom"/>
            <w:hideMark/>
          </w:tcPr>
          <w:p w14:paraId="7BDB9FD3" w14:textId="77777777" w:rsidR="00525794" w:rsidRPr="009770A2" w:rsidRDefault="00525794" w:rsidP="00D757DB">
            <w:pPr>
              <w:pStyle w:val="NCDTableText"/>
              <w:jc w:val="center"/>
            </w:pPr>
            <w:r w:rsidRPr="009770A2">
              <w:t>585</w:t>
            </w:r>
          </w:p>
        </w:tc>
        <w:tc>
          <w:tcPr>
            <w:tcW w:w="2340" w:type="dxa"/>
            <w:shd w:val="clear" w:color="auto" w:fill="auto"/>
            <w:noWrap/>
            <w:vAlign w:val="center"/>
            <w:hideMark/>
          </w:tcPr>
          <w:p w14:paraId="338F6CB8" w14:textId="2AD50050" w:rsidR="00525794" w:rsidRPr="002013A0" w:rsidRDefault="00925508" w:rsidP="00925508">
            <w:pPr>
              <w:pStyle w:val="NCDTableText"/>
              <w:ind w:right="864"/>
              <w:jc w:val="right"/>
            </w:pPr>
            <w:r>
              <w:t>–</w:t>
            </w:r>
            <w:r w:rsidR="00525794" w:rsidRPr="002013A0">
              <w:t>40</w:t>
            </w:r>
          </w:p>
        </w:tc>
        <w:tc>
          <w:tcPr>
            <w:tcW w:w="2250" w:type="dxa"/>
            <w:shd w:val="clear" w:color="auto" w:fill="auto"/>
            <w:noWrap/>
            <w:vAlign w:val="center"/>
            <w:hideMark/>
          </w:tcPr>
          <w:p w14:paraId="204AAD7B" w14:textId="48FCC0A9" w:rsidR="00525794" w:rsidRPr="002013A0" w:rsidRDefault="00925508" w:rsidP="00925508">
            <w:pPr>
              <w:pStyle w:val="NCDTableText"/>
              <w:ind w:right="576"/>
              <w:jc w:val="right"/>
            </w:pPr>
            <w:r>
              <w:t>–</w:t>
            </w:r>
            <w:r w:rsidR="00525794" w:rsidRPr="002013A0">
              <w:t>6.40%</w:t>
            </w:r>
          </w:p>
        </w:tc>
      </w:tr>
      <w:tr w:rsidR="00525794" w:rsidRPr="009770A2" w14:paraId="5B930B6C" w14:textId="77777777" w:rsidTr="00B33BCC">
        <w:trPr>
          <w:trHeight w:val="300"/>
        </w:trPr>
        <w:tc>
          <w:tcPr>
            <w:tcW w:w="2685" w:type="dxa"/>
            <w:shd w:val="clear" w:color="auto" w:fill="auto"/>
            <w:vAlign w:val="center"/>
            <w:hideMark/>
          </w:tcPr>
          <w:p w14:paraId="2627AA48" w14:textId="77777777" w:rsidR="00525794" w:rsidRPr="0054232E" w:rsidRDefault="00525794" w:rsidP="00D757DB">
            <w:pPr>
              <w:pStyle w:val="NCDTableText"/>
              <w:rPr>
                <w:b/>
              </w:rPr>
            </w:pPr>
            <w:r w:rsidRPr="0054232E">
              <w:rPr>
                <w:b/>
              </w:rPr>
              <w:t>2009</w:t>
            </w:r>
          </w:p>
        </w:tc>
        <w:tc>
          <w:tcPr>
            <w:tcW w:w="2250" w:type="dxa"/>
            <w:shd w:val="clear" w:color="auto" w:fill="auto"/>
            <w:noWrap/>
            <w:vAlign w:val="bottom"/>
            <w:hideMark/>
          </w:tcPr>
          <w:p w14:paraId="5ABC4C12" w14:textId="77777777" w:rsidR="00525794" w:rsidRPr="009770A2" w:rsidRDefault="00525794" w:rsidP="00D757DB">
            <w:pPr>
              <w:pStyle w:val="NCDTableText"/>
              <w:jc w:val="center"/>
            </w:pPr>
            <w:r w:rsidRPr="009770A2">
              <w:t>622</w:t>
            </w:r>
          </w:p>
        </w:tc>
        <w:tc>
          <w:tcPr>
            <w:tcW w:w="2340" w:type="dxa"/>
            <w:shd w:val="clear" w:color="auto" w:fill="auto"/>
            <w:noWrap/>
            <w:vAlign w:val="center"/>
            <w:hideMark/>
          </w:tcPr>
          <w:p w14:paraId="04BF260F" w14:textId="77777777" w:rsidR="00525794" w:rsidRPr="002013A0" w:rsidRDefault="00525794" w:rsidP="00925508">
            <w:pPr>
              <w:pStyle w:val="NCDTableText"/>
              <w:ind w:right="864"/>
              <w:jc w:val="right"/>
            </w:pPr>
            <w:r w:rsidRPr="002013A0">
              <w:t>37</w:t>
            </w:r>
          </w:p>
        </w:tc>
        <w:tc>
          <w:tcPr>
            <w:tcW w:w="2250" w:type="dxa"/>
            <w:shd w:val="clear" w:color="auto" w:fill="auto"/>
            <w:noWrap/>
            <w:vAlign w:val="center"/>
            <w:hideMark/>
          </w:tcPr>
          <w:p w14:paraId="3423C6EC" w14:textId="77777777" w:rsidR="00525794" w:rsidRPr="002013A0" w:rsidRDefault="00525794" w:rsidP="00925508">
            <w:pPr>
              <w:pStyle w:val="NCDTableText"/>
              <w:ind w:right="576"/>
              <w:jc w:val="right"/>
            </w:pPr>
            <w:r w:rsidRPr="002013A0">
              <w:t>6.32%</w:t>
            </w:r>
          </w:p>
        </w:tc>
      </w:tr>
      <w:tr w:rsidR="00525794" w:rsidRPr="009770A2" w14:paraId="5DB15BB1" w14:textId="77777777" w:rsidTr="00B33BCC">
        <w:trPr>
          <w:trHeight w:val="300"/>
        </w:trPr>
        <w:tc>
          <w:tcPr>
            <w:tcW w:w="2685" w:type="dxa"/>
            <w:shd w:val="clear" w:color="auto" w:fill="auto"/>
            <w:vAlign w:val="center"/>
            <w:hideMark/>
          </w:tcPr>
          <w:p w14:paraId="332A1736" w14:textId="77777777" w:rsidR="00525794" w:rsidRPr="0054232E" w:rsidRDefault="00525794" w:rsidP="00D757DB">
            <w:pPr>
              <w:pStyle w:val="NCDTableText"/>
              <w:rPr>
                <w:b/>
              </w:rPr>
            </w:pPr>
            <w:r w:rsidRPr="0054232E">
              <w:rPr>
                <w:b/>
              </w:rPr>
              <w:t>2010</w:t>
            </w:r>
          </w:p>
        </w:tc>
        <w:tc>
          <w:tcPr>
            <w:tcW w:w="2250" w:type="dxa"/>
            <w:shd w:val="clear" w:color="auto" w:fill="auto"/>
            <w:noWrap/>
            <w:vAlign w:val="bottom"/>
            <w:hideMark/>
          </w:tcPr>
          <w:p w14:paraId="70C93873" w14:textId="77777777" w:rsidR="00525794" w:rsidRPr="009770A2" w:rsidRDefault="00525794" w:rsidP="00D757DB">
            <w:pPr>
              <w:pStyle w:val="NCDTableText"/>
              <w:jc w:val="center"/>
            </w:pPr>
            <w:r w:rsidRPr="009770A2">
              <w:t>838</w:t>
            </w:r>
          </w:p>
        </w:tc>
        <w:tc>
          <w:tcPr>
            <w:tcW w:w="2340" w:type="dxa"/>
            <w:shd w:val="clear" w:color="auto" w:fill="auto"/>
            <w:noWrap/>
            <w:vAlign w:val="center"/>
            <w:hideMark/>
          </w:tcPr>
          <w:p w14:paraId="728778B4" w14:textId="77777777" w:rsidR="00525794" w:rsidRPr="002013A0" w:rsidRDefault="00525794" w:rsidP="00925508">
            <w:pPr>
              <w:pStyle w:val="NCDTableText"/>
              <w:ind w:right="864"/>
              <w:jc w:val="right"/>
            </w:pPr>
            <w:r w:rsidRPr="002013A0">
              <w:t>216</w:t>
            </w:r>
          </w:p>
        </w:tc>
        <w:tc>
          <w:tcPr>
            <w:tcW w:w="2250" w:type="dxa"/>
            <w:shd w:val="clear" w:color="auto" w:fill="auto"/>
            <w:noWrap/>
            <w:vAlign w:val="center"/>
            <w:hideMark/>
          </w:tcPr>
          <w:p w14:paraId="522E8501" w14:textId="77777777" w:rsidR="00525794" w:rsidRPr="002013A0" w:rsidRDefault="00525794" w:rsidP="00925508">
            <w:pPr>
              <w:pStyle w:val="NCDTableText"/>
              <w:ind w:right="576"/>
              <w:jc w:val="right"/>
            </w:pPr>
            <w:r w:rsidRPr="002013A0">
              <w:t>34.73%</w:t>
            </w:r>
          </w:p>
        </w:tc>
      </w:tr>
      <w:tr w:rsidR="00525794" w:rsidRPr="009770A2" w14:paraId="3DB152F0" w14:textId="77777777" w:rsidTr="00B33BCC">
        <w:trPr>
          <w:trHeight w:val="300"/>
        </w:trPr>
        <w:tc>
          <w:tcPr>
            <w:tcW w:w="2685" w:type="dxa"/>
            <w:shd w:val="clear" w:color="auto" w:fill="auto"/>
            <w:vAlign w:val="center"/>
            <w:hideMark/>
          </w:tcPr>
          <w:p w14:paraId="78177774" w14:textId="77777777" w:rsidR="00525794" w:rsidRPr="0054232E" w:rsidRDefault="00525794" w:rsidP="00D757DB">
            <w:pPr>
              <w:pStyle w:val="NCDTableText"/>
              <w:rPr>
                <w:b/>
              </w:rPr>
            </w:pPr>
            <w:r w:rsidRPr="0054232E">
              <w:rPr>
                <w:b/>
              </w:rPr>
              <w:t>2011</w:t>
            </w:r>
          </w:p>
        </w:tc>
        <w:tc>
          <w:tcPr>
            <w:tcW w:w="2250" w:type="dxa"/>
            <w:shd w:val="clear" w:color="auto" w:fill="auto"/>
            <w:noWrap/>
            <w:vAlign w:val="bottom"/>
            <w:hideMark/>
          </w:tcPr>
          <w:p w14:paraId="374E9B65" w14:textId="77777777" w:rsidR="00525794" w:rsidRPr="009770A2" w:rsidRDefault="00525794" w:rsidP="00D757DB">
            <w:pPr>
              <w:pStyle w:val="NCDTableText"/>
              <w:jc w:val="center"/>
            </w:pPr>
            <w:r w:rsidRPr="009770A2">
              <w:t>788</w:t>
            </w:r>
          </w:p>
        </w:tc>
        <w:tc>
          <w:tcPr>
            <w:tcW w:w="2340" w:type="dxa"/>
            <w:shd w:val="clear" w:color="auto" w:fill="auto"/>
            <w:noWrap/>
            <w:vAlign w:val="center"/>
            <w:hideMark/>
          </w:tcPr>
          <w:p w14:paraId="5DAC4E14" w14:textId="018D17C1" w:rsidR="00525794" w:rsidRPr="002013A0" w:rsidRDefault="00925508" w:rsidP="00925508">
            <w:pPr>
              <w:pStyle w:val="NCDTableText"/>
              <w:ind w:right="864"/>
              <w:jc w:val="right"/>
            </w:pPr>
            <w:r>
              <w:t>–</w:t>
            </w:r>
            <w:r w:rsidR="00525794" w:rsidRPr="002013A0">
              <w:t>50</w:t>
            </w:r>
          </w:p>
        </w:tc>
        <w:tc>
          <w:tcPr>
            <w:tcW w:w="2250" w:type="dxa"/>
            <w:shd w:val="clear" w:color="auto" w:fill="auto"/>
            <w:noWrap/>
            <w:vAlign w:val="center"/>
            <w:hideMark/>
          </w:tcPr>
          <w:p w14:paraId="363C2DAF" w14:textId="4C111A3E" w:rsidR="00525794" w:rsidRPr="002013A0" w:rsidRDefault="00925508" w:rsidP="00925508">
            <w:pPr>
              <w:pStyle w:val="NCDTableText"/>
              <w:ind w:right="576"/>
              <w:jc w:val="right"/>
            </w:pPr>
            <w:r>
              <w:t>–</w:t>
            </w:r>
            <w:r w:rsidR="00525794" w:rsidRPr="002013A0">
              <w:t>5.97%</w:t>
            </w:r>
          </w:p>
        </w:tc>
      </w:tr>
      <w:tr w:rsidR="00525794" w:rsidRPr="009770A2" w14:paraId="38764EF3" w14:textId="77777777" w:rsidTr="00B33BCC">
        <w:trPr>
          <w:trHeight w:val="300"/>
        </w:trPr>
        <w:tc>
          <w:tcPr>
            <w:tcW w:w="2685" w:type="dxa"/>
            <w:shd w:val="clear" w:color="auto" w:fill="auto"/>
            <w:vAlign w:val="center"/>
            <w:hideMark/>
          </w:tcPr>
          <w:p w14:paraId="56C79C26" w14:textId="77777777" w:rsidR="00525794" w:rsidRPr="0054232E" w:rsidRDefault="00525794" w:rsidP="00D757DB">
            <w:pPr>
              <w:pStyle w:val="NCDTableText"/>
              <w:rPr>
                <w:b/>
              </w:rPr>
            </w:pPr>
            <w:r w:rsidRPr="0054232E">
              <w:rPr>
                <w:b/>
              </w:rPr>
              <w:t>2012</w:t>
            </w:r>
          </w:p>
        </w:tc>
        <w:tc>
          <w:tcPr>
            <w:tcW w:w="2250" w:type="dxa"/>
            <w:shd w:val="clear" w:color="auto" w:fill="auto"/>
            <w:noWrap/>
            <w:vAlign w:val="bottom"/>
            <w:hideMark/>
          </w:tcPr>
          <w:p w14:paraId="42BE4B46" w14:textId="77777777" w:rsidR="00525794" w:rsidRPr="009770A2" w:rsidRDefault="00525794" w:rsidP="00D757DB">
            <w:pPr>
              <w:pStyle w:val="NCDTableText"/>
              <w:jc w:val="center"/>
            </w:pPr>
            <w:r w:rsidRPr="009770A2">
              <w:t>755</w:t>
            </w:r>
          </w:p>
        </w:tc>
        <w:tc>
          <w:tcPr>
            <w:tcW w:w="2340" w:type="dxa"/>
            <w:shd w:val="clear" w:color="auto" w:fill="auto"/>
            <w:noWrap/>
            <w:vAlign w:val="center"/>
            <w:hideMark/>
          </w:tcPr>
          <w:p w14:paraId="195AA4BC" w14:textId="31A9C403" w:rsidR="00525794" w:rsidRPr="002013A0" w:rsidRDefault="00925508" w:rsidP="00925508">
            <w:pPr>
              <w:pStyle w:val="NCDTableText"/>
              <w:ind w:right="864"/>
              <w:jc w:val="right"/>
            </w:pPr>
            <w:r>
              <w:t>–</w:t>
            </w:r>
            <w:r w:rsidR="00525794" w:rsidRPr="002013A0">
              <w:t>33</w:t>
            </w:r>
          </w:p>
        </w:tc>
        <w:tc>
          <w:tcPr>
            <w:tcW w:w="2250" w:type="dxa"/>
            <w:shd w:val="clear" w:color="auto" w:fill="auto"/>
            <w:noWrap/>
            <w:vAlign w:val="center"/>
            <w:hideMark/>
          </w:tcPr>
          <w:p w14:paraId="456E6DC7" w14:textId="7C1A3413" w:rsidR="00525794" w:rsidRPr="002013A0" w:rsidRDefault="00925508" w:rsidP="00925508">
            <w:pPr>
              <w:pStyle w:val="NCDTableText"/>
              <w:ind w:right="576"/>
              <w:jc w:val="right"/>
            </w:pPr>
            <w:r>
              <w:t>–</w:t>
            </w:r>
            <w:r w:rsidR="00525794" w:rsidRPr="002013A0">
              <w:t>4.19%</w:t>
            </w:r>
          </w:p>
        </w:tc>
      </w:tr>
      <w:tr w:rsidR="00525794" w:rsidRPr="009770A2" w14:paraId="290F2A3A" w14:textId="77777777" w:rsidTr="00B33BCC">
        <w:trPr>
          <w:trHeight w:val="300"/>
        </w:trPr>
        <w:tc>
          <w:tcPr>
            <w:tcW w:w="2685" w:type="dxa"/>
            <w:shd w:val="clear" w:color="auto" w:fill="auto"/>
            <w:vAlign w:val="center"/>
            <w:hideMark/>
          </w:tcPr>
          <w:p w14:paraId="2DBF8A15" w14:textId="77777777" w:rsidR="00525794" w:rsidRPr="0054232E" w:rsidRDefault="00525794" w:rsidP="00D757DB">
            <w:pPr>
              <w:pStyle w:val="NCDTableText"/>
              <w:rPr>
                <w:b/>
              </w:rPr>
            </w:pPr>
            <w:r w:rsidRPr="0054232E">
              <w:rPr>
                <w:b/>
              </w:rPr>
              <w:t>2013</w:t>
            </w:r>
          </w:p>
        </w:tc>
        <w:tc>
          <w:tcPr>
            <w:tcW w:w="2250" w:type="dxa"/>
            <w:shd w:val="clear" w:color="auto" w:fill="auto"/>
            <w:noWrap/>
            <w:vAlign w:val="bottom"/>
            <w:hideMark/>
          </w:tcPr>
          <w:p w14:paraId="28211E3F" w14:textId="77777777" w:rsidR="00525794" w:rsidRPr="009770A2" w:rsidRDefault="00525794" w:rsidP="00D757DB">
            <w:pPr>
              <w:pStyle w:val="NCDTableText"/>
              <w:jc w:val="center"/>
            </w:pPr>
            <w:r w:rsidRPr="009770A2">
              <w:t>729</w:t>
            </w:r>
          </w:p>
        </w:tc>
        <w:tc>
          <w:tcPr>
            <w:tcW w:w="2340" w:type="dxa"/>
            <w:shd w:val="clear" w:color="auto" w:fill="auto"/>
            <w:noWrap/>
            <w:vAlign w:val="center"/>
            <w:hideMark/>
          </w:tcPr>
          <w:p w14:paraId="19922FD4" w14:textId="777B9581" w:rsidR="00525794" w:rsidRPr="002013A0" w:rsidRDefault="00925508" w:rsidP="00925508">
            <w:pPr>
              <w:pStyle w:val="NCDTableText"/>
              <w:ind w:right="864"/>
              <w:jc w:val="right"/>
            </w:pPr>
            <w:r>
              <w:t>–</w:t>
            </w:r>
            <w:r w:rsidR="00525794" w:rsidRPr="002013A0">
              <w:t>26</w:t>
            </w:r>
          </w:p>
        </w:tc>
        <w:tc>
          <w:tcPr>
            <w:tcW w:w="2250" w:type="dxa"/>
            <w:shd w:val="clear" w:color="auto" w:fill="auto"/>
            <w:noWrap/>
            <w:vAlign w:val="center"/>
            <w:hideMark/>
          </w:tcPr>
          <w:p w14:paraId="1841A2CC" w14:textId="5C536555" w:rsidR="00525794" w:rsidRPr="002013A0" w:rsidRDefault="00925508" w:rsidP="00925508">
            <w:pPr>
              <w:pStyle w:val="NCDTableText"/>
              <w:ind w:right="576"/>
              <w:jc w:val="right"/>
            </w:pPr>
            <w:r>
              <w:t>–</w:t>
            </w:r>
            <w:r w:rsidR="00525794" w:rsidRPr="002013A0">
              <w:t>3.44%</w:t>
            </w:r>
          </w:p>
        </w:tc>
      </w:tr>
      <w:tr w:rsidR="00525794" w:rsidRPr="009770A2" w14:paraId="323B7796" w14:textId="77777777" w:rsidTr="00B33BCC">
        <w:trPr>
          <w:trHeight w:val="300"/>
        </w:trPr>
        <w:tc>
          <w:tcPr>
            <w:tcW w:w="2685" w:type="dxa"/>
            <w:shd w:val="clear" w:color="auto" w:fill="auto"/>
            <w:vAlign w:val="center"/>
            <w:hideMark/>
          </w:tcPr>
          <w:p w14:paraId="45D3BCCD" w14:textId="77777777" w:rsidR="00525794" w:rsidRPr="0054232E" w:rsidRDefault="00525794" w:rsidP="00D757DB">
            <w:pPr>
              <w:pStyle w:val="NCDTableText"/>
              <w:rPr>
                <w:b/>
              </w:rPr>
            </w:pPr>
            <w:r w:rsidRPr="0054232E">
              <w:rPr>
                <w:b/>
              </w:rPr>
              <w:t>2014</w:t>
            </w:r>
          </w:p>
        </w:tc>
        <w:tc>
          <w:tcPr>
            <w:tcW w:w="2250" w:type="dxa"/>
            <w:shd w:val="clear" w:color="auto" w:fill="auto"/>
            <w:noWrap/>
            <w:vAlign w:val="bottom"/>
            <w:hideMark/>
          </w:tcPr>
          <w:p w14:paraId="66FED41F" w14:textId="77777777" w:rsidR="00525794" w:rsidRPr="009770A2" w:rsidRDefault="00525794" w:rsidP="00D757DB">
            <w:pPr>
              <w:pStyle w:val="NCDTableText"/>
              <w:jc w:val="center"/>
            </w:pPr>
            <w:r w:rsidRPr="009770A2">
              <w:t>683</w:t>
            </w:r>
          </w:p>
        </w:tc>
        <w:tc>
          <w:tcPr>
            <w:tcW w:w="2340" w:type="dxa"/>
            <w:shd w:val="clear" w:color="auto" w:fill="auto"/>
            <w:noWrap/>
            <w:vAlign w:val="center"/>
            <w:hideMark/>
          </w:tcPr>
          <w:p w14:paraId="591C8652" w14:textId="7C0D698E" w:rsidR="00525794" w:rsidRPr="002013A0" w:rsidRDefault="00925508" w:rsidP="00925508">
            <w:pPr>
              <w:pStyle w:val="NCDTableText"/>
              <w:ind w:right="864"/>
              <w:jc w:val="right"/>
            </w:pPr>
            <w:r>
              <w:t>–</w:t>
            </w:r>
            <w:r w:rsidR="00525794" w:rsidRPr="002013A0">
              <w:t>46</w:t>
            </w:r>
          </w:p>
        </w:tc>
        <w:tc>
          <w:tcPr>
            <w:tcW w:w="2250" w:type="dxa"/>
            <w:shd w:val="clear" w:color="auto" w:fill="auto"/>
            <w:noWrap/>
            <w:vAlign w:val="center"/>
            <w:hideMark/>
          </w:tcPr>
          <w:p w14:paraId="3659E88F" w14:textId="2DFEDEC3" w:rsidR="00525794" w:rsidRPr="002013A0" w:rsidRDefault="00925508" w:rsidP="00925508">
            <w:pPr>
              <w:pStyle w:val="NCDTableText"/>
              <w:ind w:right="576"/>
              <w:jc w:val="right"/>
            </w:pPr>
            <w:r>
              <w:t>–</w:t>
            </w:r>
            <w:r w:rsidR="00525794" w:rsidRPr="002013A0">
              <w:t>6.31%</w:t>
            </w:r>
          </w:p>
        </w:tc>
      </w:tr>
      <w:tr w:rsidR="00525794" w:rsidRPr="009770A2" w14:paraId="485E003B" w14:textId="77777777" w:rsidTr="00B33BCC">
        <w:trPr>
          <w:trHeight w:val="300"/>
        </w:trPr>
        <w:tc>
          <w:tcPr>
            <w:tcW w:w="2685" w:type="dxa"/>
            <w:shd w:val="clear" w:color="auto" w:fill="auto"/>
            <w:vAlign w:val="center"/>
            <w:hideMark/>
          </w:tcPr>
          <w:p w14:paraId="2E6793D4" w14:textId="77777777" w:rsidR="00525794" w:rsidRPr="0054232E" w:rsidRDefault="00525794" w:rsidP="00D757DB">
            <w:pPr>
              <w:pStyle w:val="NCDTableText"/>
              <w:rPr>
                <w:b/>
              </w:rPr>
            </w:pPr>
            <w:r w:rsidRPr="0054232E">
              <w:rPr>
                <w:b/>
              </w:rPr>
              <w:t>2015</w:t>
            </w:r>
          </w:p>
        </w:tc>
        <w:tc>
          <w:tcPr>
            <w:tcW w:w="2250" w:type="dxa"/>
            <w:shd w:val="clear" w:color="auto" w:fill="auto"/>
            <w:noWrap/>
            <w:vAlign w:val="bottom"/>
            <w:hideMark/>
          </w:tcPr>
          <w:p w14:paraId="569EF9CA" w14:textId="77777777" w:rsidR="00525794" w:rsidRPr="009770A2" w:rsidRDefault="00525794" w:rsidP="00D757DB">
            <w:pPr>
              <w:pStyle w:val="NCDTableText"/>
              <w:jc w:val="center"/>
            </w:pPr>
            <w:r w:rsidRPr="009770A2">
              <w:t>621</w:t>
            </w:r>
          </w:p>
        </w:tc>
        <w:tc>
          <w:tcPr>
            <w:tcW w:w="2340" w:type="dxa"/>
            <w:shd w:val="clear" w:color="auto" w:fill="auto"/>
            <w:noWrap/>
            <w:vAlign w:val="center"/>
            <w:hideMark/>
          </w:tcPr>
          <w:p w14:paraId="2BE1A90E" w14:textId="30B9B89E" w:rsidR="00525794" w:rsidRPr="002013A0" w:rsidRDefault="00925508" w:rsidP="00925508">
            <w:pPr>
              <w:pStyle w:val="NCDTableText"/>
              <w:ind w:right="864"/>
              <w:jc w:val="right"/>
            </w:pPr>
            <w:r>
              <w:t>–</w:t>
            </w:r>
            <w:r w:rsidR="00525794" w:rsidRPr="002013A0">
              <w:t>62</w:t>
            </w:r>
          </w:p>
        </w:tc>
        <w:tc>
          <w:tcPr>
            <w:tcW w:w="2250" w:type="dxa"/>
            <w:shd w:val="clear" w:color="auto" w:fill="auto"/>
            <w:noWrap/>
            <w:vAlign w:val="center"/>
            <w:hideMark/>
          </w:tcPr>
          <w:p w14:paraId="0B1F3C6E" w14:textId="1E2F7EA4" w:rsidR="00525794" w:rsidRPr="002013A0" w:rsidRDefault="00925508" w:rsidP="00925508">
            <w:pPr>
              <w:pStyle w:val="NCDTableText"/>
              <w:ind w:right="576"/>
              <w:jc w:val="right"/>
            </w:pPr>
            <w:r>
              <w:t>–</w:t>
            </w:r>
            <w:r w:rsidR="00525794" w:rsidRPr="002013A0">
              <w:t>9.08%</w:t>
            </w:r>
          </w:p>
        </w:tc>
      </w:tr>
      <w:tr w:rsidR="00525794" w:rsidRPr="009770A2" w14:paraId="50B4B5C7" w14:textId="77777777" w:rsidTr="00B33BCC">
        <w:trPr>
          <w:trHeight w:val="300"/>
        </w:trPr>
        <w:tc>
          <w:tcPr>
            <w:tcW w:w="2685" w:type="dxa"/>
            <w:shd w:val="clear" w:color="auto" w:fill="auto"/>
            <w:vAlign w:val="center"/>
            <w:hideMark/>
          </w:tcPr>
          <w:p w14:paraId="593BC115" w14:textId="77777777" w:rsidR="00525794" w:rsidRPr="0054232E" w:rsidRDefault="00525794" w:rsidP="00D757DB">
            <w:pPr>
              <w:pStyle w:val="NCDTableText"/>
              <w:rPr>
                <w:b/>
              </w:rPr>
            </w:pPr>
            <w:r w:rsidRPr="0054232E">
              <w:rPr>
                <w:b/>
              </w:rPr>
              <w:t>2016</w:t>
            </w:r>
          </w:p>
        </w:tc>
        <w:tc>
          <w:tcPr>
            <w:tcW w:w="2250" w:type="dxa"/>
            <w:shd w:val="clear" w:color="auto" w:fill="auto"/>
            <w:noWrap/>
            <w:vAlign w:val="bottom"/>
            <w:hideMark/>
          </w:tcPr>
          <w:p w14:paraId="646B20D0" w14:textId="77777777" w:rsidR="00525794" w:rsidRPr="009770A2" w:rsidRDefault="00525794" w:rsidP="00D757DB">
            <w:pPr>
              <w:pStyle w:val="NCDTableText"/>
              <w:jc w:val="center"/>
            </w:pPr>
            <w:r w:rsidRPr="009770A2">
              <w:t>615</w:t>
            </w:r>
          </w:p>
        </w:tc>
        <w:tc>
          <w:tcPr>
            <w:tcW w:w="2340" w:type="dxa"/>
            <w:shd w:val="clear" w:color="auto" w:fill="auto"/>
            <w:noWrap/>
            <w:vAlign w:val="center"/>
            <w:hideMark/>
          </w:tcPr>
          <w:p w14:paraId="7CD6B1C3" w14:textId="07CCB2D5" w:rsidR="00525794" w:rsidRPr="002013A0" w:rsidRDefault="00925508" w:rsidP="00925508">
            <w:pPr>
              <w:pStyle w:val="NCDTableText"/>
              <w:ind w:right="864"/>
              <w:jc w:val="right"/>
            </w:pPr>
            <w:r>
              <w:t>–</w:t>
            </w:r>
            <w:r w:rsidR="00525794" w:rsidRPr="002013A0">
              <w:t>6</w:t>
            </w:r>
          </w:p>
        </w:tc>
        <w:tc>
          <w:tcPr>
            <w:tcW w:w="2250" w:type="dxa"/>
            <w:shd w:val="clear" w:color="auto" w:fill="auto"/>
            <w:noWrap/>
            <w:vAlign w:val="center"/>
            <w:hideMark/>
          </w:tcPr>
          <w:p w14:paraId="536E7CC0" w14:textId="45990214" w:rsidR="00525794" w:rsidRPr="002013A0" w:rsidRDefault="00925508" w:rsidP="00925508">
            <w:pPr>
              <w:pStyle w:val="NCDTableText"/>
              <w:ind w:right="576"/>
              <w:jc w:val="right"/>
            </w:pPr>
            <w:r>
              <w:t>–</w:t>
            </w:r>
            <w:r w:rsidR="00525794" w:rsidRPr="002013A0">
              <w:t>0.97%</w:t>
            </w:r>
          </w:p>
        </w:tc>
      </w:tr>
      <w:tr w:rsidR="00525794" w:rsidRPr="009770A2" w14:paraId="30973F13" w14:textId="77777777" w:rsidTr="00B33BCC">
        <w:trPr>
          <w:trHeight w:val="315"/>
        </w:trPr>
        <w:tc>
          <w:tcPr>
            <w:tcW w:w="2685" w:type="dxa"/>
            <w:shd w:val="clear" w:color="auto" w:fill="auto"/>
            <w:vAlign w:val="center"/>
            <w:hideMark/>
          </w:tcPr>
          <w:p w14:paraId="3FAE7FF0" w14:textId="77777777" w:rsidR="00525794" w:rsidRPr="0054232E" w:rsidRDefault="00525794" w:rsidP="00D757DB">
            <w:pPr>
              <w:pStyle w:val="NCDTableText"/>
              <w:rPr>
                <w:b/>
              </w:rPr>
            </w:pPr>
            <w:r w:rsidRPr="0054232E">
              <w:rPr>
                <w:b/>
              </w:rPr>
              <w:t>2017</w:t>
            </w:r>
          </w:p>
        </w:tc>
        <w:tc>
          <w:tcPr>
            <w:tcW w:w="2250" w:type="dxa"/>
            <w:shd w:val="clear" w:color="auto" w:fill="auto"/>
            <w:noWrap/>
            <w:vAlign w:val="bottom"/>
            <w:hideMark/>
          </w:tcPr>
          <w:p w14:paraId="246F0291" w14:textId="77777777" w:rsidR="00525794" w:rsidRPr="009770A2" w:rsidRDefault="00525794" w:rsidP="00D757DB">
            <w:pPr>
              <w:pStyle w:val="NCDTableText"/>
              <w:jc w:val="center"/>
            </w:pPr>
            <w:r w:rsidRPr="009770A2">
              <w:t>556</w:t>
            </w:r>
          </w:p>
        </w:tc>
        <w:tc>
          <w:tcPr>
            <w:tcW w:w="2340" w:type="dxa"/>
            <w:shd w:val="clear" w:color="auto" w:fill="auto"/>
            <w:noWrap/>
            <w:vAlign w:val="center"/>
            <w:hideMark/>
          </w:tcPr>
          <w:p w14:paraId="51C22920" w14:textId="248EC70A" w:rsidR="00525794" w:rsidRPr="002013A0" w:rsidRDefault="00925508" w:rsidP="00925508">
            <w:pPr>
              <w:pStyle w:val="NCDTableText"/>
              <w:ind w:right="864"/>
              <w:jc w:val="right"/>
            </w:pPr>
            <w:r>
              <w:t>–</w:t>
            </w:r>
            <w:r w:rsidR="00525794" w:rsidRPr="002013A0">
              <w:t>59</w:t>
            </w:r>
          </w:p>
        </w:tc>
        <w:tc>
          <w:tcPr>
            <w:tcW w:w="2250" w:type="dxa"/>
            <w:shd w:val="clear" w:color="auto" w:fill="auto"/>
            <w:noWrap/>
            <w:vAlign w:val="center"/>
            <w:hideMark/>
          </w:tcPr>
          <w:p w14:paraId="20B09029" w14:textId="614C7F82" w:rsidR="00525794" w:rsidRPr="002013A0" w:rsidRDefault="00925508" w:rsidP="00925508">
            <w:pPr>
              <w:pStyle w:val="NCDTableText"/>
              <w:ind w:right="576"/>
              <w:jc w:val="right"/>
            </w:pPr>
            <w:r>
              <w:t>–</w:t>
            </w:r>
            <w:r w:rsidR="00525794" w:rsidRPr="002013A0">
              <w:t>9.59%</w:t>
            </w:r>
          </w:p>
        </w:tc>
      </w:tr>
      <w:tr w:rsidR="00525794" w:rsidRPr="009770A2" w14:paraId="1B8D499C" w14:textId="77777777" w:rsidTr="00B33BCC">
        <w:trPr>
          <w:trHeight w:val="183"/>
        </w:trPr>
        <w:tc>
          <w:tcPr>
            <w:tcW w:w="2685" w:type="dxa"/>
            <w:shd w:val="clear" w:color="auto" w:fill="auto"/>
            <w:vAlign w:val="bottom"/>
            <w:hideMark/>
          </w:tcPr>
          <w:p w14:paraId="355B8F00" w14:textId="77777777" w:rsidR="00525794" w:rsidRPr="0054232E" w:rsidRDefault="00525794" w:rsidP="00D757DB">
            <w:pPr>
              <w:pStyle w:val="NCDTableText"/>
              <w:rPr>
                <w:b/>
              </w:rPr>
            </w:pPr>
            <w:r w:rsidRPr="0054232E">
              <w:rPr>
                <w:b/>
              </w:rPr>
              <w:t xml:space="preserve">Annual Average </w:t>
            </w:r>
          </w:p>
        </w:tc>
        <w:tc>
          <w:tcPr>
            <w:tcW w:w="2250" w:type="dxa"/>
            <w:shd w:val="clear" w:color="auto" w:fill="auto"/>
            <w:noWrap/>
            <w:vAlign w:val="bottom"/>
            <w:hideMark/>
          </w:tcPr>
          <w:p w14:paraId="1489B756" w14:textId="77777777" w:rsidR="00525794" w:rsidRPr="009770A2" w:rsidRDefault="00525794" w:rsidP="00D757DB">
            <w:pPr>
              <w:pStyle w:val="NCDTableText"/>
              <w:jc w:val="center"/>
            </w:pPr>
            <w:r w:rsidRPr="009770A2">
              <w:t>529</w:t>
            </w:r>
          </w:p>
        </w:tc>
        <w:tc>
          <w:tcPr>
            <w:tcW w:w="2340" w:type="dxa"/>
            <w:shd w:val="clear" w:color="auto" w:fill="auto"/>
            <w:noWrap/>
            <w:vAlign w:val="bottom"/>
            <w:hideMark/>
          </w:tcPr>
          <w:p w14:paraId="024B2AE6" w14:textId="77777777" w:rsidR="00525794" w:rsidRPr="002013A0" w:rsidRDefault="00525794" w:rsidP="00925508">
            <w:pPr>
              <w:pStyle w:val="NCDTableText"/>
              <w:ind w:right="864"/>
              <w:jc w:val="right"/>
            </w:pPr>
          </w:p>
        </w:tc>
        <w:tc>
          <w:tcPr>
            <w:tcW w:w="2250" w:type="dxa"/>
            <w:shd w:val="clear" w:color="auto" w:fill="auto"/>
            <w:noWrap/>
            <w:vAlign w:val="bottom"/>
            <w:hideMark/>
          </w:tcPr>
          <w:p w14:paraId="18B96611" w14:textId="77777777" w:rsidR="00525794" w:rsidRPr="002013A0" w:rsidRDefault="00525794" w:rsidP="00925508">
            <w:pPr>
              <w:pStyle w:val="NCDTableText"/>
              <w:ind w:right="576"/>
              <w:jc w:val="right"/>
            </w:pPr>
          </w:p>
        </w:tc>
      </w:tr>
      <w:tr w:rsidR="00525794" w:rsidRPr="009770A2" w14:paraId="0005A5F3" w14:textId="77777777" w:rsidTr="00B33BCC">
        <w:trPr>
          <w:trHeight w:val="330"/>
        </w:trPr>
        <w:tc>
          <w:tcPr>
            <w:tcW w:w="2685" w:type="dxa"/>
            <w:shd w:val="clear" w:color="auto" w:fill="auto"/>
            <w:noWrap/>
            <w:vAlign w:val="bottom"/>
            <w:hideMark/>
          </w:tcPr>
          <w:p w14:paraId="164DAF54" w14:textId="77777777" w:rsidR="00525794" w:rsidRPr="0054232E" w:rsidRDefault="00525794" w:rsidP="00D757DB">
            <w:pPr>
              <w:pStyle w:val="NCDTableText"/>
              <w:rPr>
                <w:b/>
              </w:rPr>
            </w:pPr>
            <w:r w:rsidRPr="0054232E">
              <w:rPr>
                <w:b/>
              </w:rPr>
              <w:t>Change Between 2004 &amp; 2017</w:t>
            </w:r>
          </w:p>
        </w:tc>
        <w:tc>
          <w:tcPr>
            <w:tcW w:w="2250" w:type="dxa"/>
            <w:shd w:val="clear" w:color="000000" w:fill="FFFFFF"/>
            <w:noWrap/>
            <w:vAlign w:val="bottom"/>
            <w:hideMark/>
          </w:tcPr>
          <w:p w14:paraId="3D4BF232" w14:textId="20A93E2F" w:rsidR="00525794" w:rsidRPr="009770A2" w:rsidRDefault="00525794" w:rsidP="00D757DB">
            <w:pPr>
              <w:pStyle w:val="NCDTableText"/>
              <w:jc w:val="center"/>
            </w:pPr>
          </w:p>
        </w:tc>
        <w:tc>
          <w:tcPr>
            <w:tcW w:w="2340" w:type="dxa"/>
            <w:shd w:val="clear" w:color="000000" w:fill="FFFFFF"/>
            <w:noWrap/>
            <w:vAlign w:val="bottom"/>
            <w:hideMark/>
          </w:tcPr>
          <w:p w14:paraId="25974959" w14:textId="214C6449" w:rsidR="00525794" w:rsidRPr="00565EF6" w:rsidRDefault="00925508" w:rsidP="00925508">
            <w:pPr>
              <w:pStyle w:val="NCDTableText"/>
              <w:ind w:right="864"/>
              <w:jc w:val="right"/>
            </w:pPr>
            <w:r>
              <w:t>–</w:t>
            </w:r>
            <w:r w:rsidR="00525794" w:rsidRPr="00565EF6">
              <w:t>193</w:t>
            </w:r>
          </w:p>
        </w:tc>
        <w:tc>
          <w:tcPr>
            <w:tcW w:w="2250" w:type="dxa"/>
            <w:shd w:val="clear" w:color="000000" w:fill="FFFFFF"/>
            <w:noWrap/>
            <w:vAlign w:val="bottom"/>
            <w:hideMark/>
          </w:tcPr>
          <w:p w14:paraId="37E5A55D" w14:textId="64C5B8BF" w:rsidR="00525794" w:rsidRPr="00565EF6" w:rsidRDefault="00925508" w:rsidP="00925508">
            <w:pPr>
              <w:pStyle w:val="NCDTableText"/>
              <w:ind w:right="576"/>
              <w:jc w:val="right"/>
            </w:pPr>
            <w:r>
              <w:t>–</w:t>
            </w:r>
            <w:r w:rsidR="00525794" w:rsidRPr="00565EF6">
              <w:t>25.77%</w:t>
            </w:r>
          </w:p>
        </w:tc>
      </w:tr>
    </w:tbl>
    <w:p w14:paraId="3C3B671A" w14:textId="77777777" w:rsidR="00296DA5" w:rsidRDefault="00525794" w:rsidP="00D757DB">
      <w:pPr>
        <w:pStyle w:val="NCDTableSource"/>
      </w:pPr>
      <w:r w:rsidRPr="008C0596">
        <w:t>Data Source: OFCCP</w:t>
      </w:r>
      <w:r w:rsidR="003C232E">
        <w:t>;</w:t>
      </w:r>
      <w:r>
        <w:rPr>
          <w:rStyle w:val="EndnoteReference"/>
        </w:rPr>
        <w:endnoteReference w:id="304"/>
      </w:r>
      <w:r w:rsidR="003C232E" w:rsidRPr="003C232E">
        <w:t xml:space="preserve"> Yearly change calculations by the researchers.</w:t>
      </w:r>
    </w:p>
    <w:p w14:paraId="3C0985CA" w14:textId="77777777" w:rsidR="00D757DB" w:rsidRDefault="00D757DB">
      <w:pPr>
        <w:spacing w:after="200"/>
        <w:rPr>
          <w:rFonts w:ascii="Arial" w:hAnsi="Arial" w:cs="Calibri"/>
          <w:color w:val="000000"/>
          <w:szCs w:val="24"/>
          <w:u w:color="000000"/>
          <w:bdr w:val="nil"/>
        </w:rPr>
      </w:pPr>
      <w:r>
        <w:br w:type="page"/>
      </w:r>
    </w:p>
    <w:p w14:paraId="13B076A0" w14:textId="17C357BC" w:rsidR="00525794" w:rsidRPr="0033221A" w:rsidRDefault="00525794" w:rsidP="00D757DB">
      <w:pPr>
        <w:pStyle w:val="NCDTableHeader"/>
        <w:jc w:val="left"/>
      </w:pPr>
      <w:r>
        <w:lastRenderedPageBreak/>
        <w:t>Table F: WHD Budget 2008 to 2016</w:t>
      </w:r>
    </w:p>
    <w:tbl>
      <w:tblPr>
        <w:tblW w:w="9525" w:type="dxa"/>
        <w:tblInd w:w="1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4A0" w:firstRow="1" w:lastRow="0" w:firstColumn="1" w:lastColumn="0" w:noHBand="0" w:noVBand="1"/>
        <w:tblCaption w:val="Table F: WHD Budget 2008 to 2016"/>
        <w:tblDescription w:val="Fiscal Year  Enacted&#10;($ in thousands) Constant 2000 Dollars Yearly % Change (Constant $)&#10;   &#10;2008 $175,658.00 $175,658.00 &#10;2009 $193,092.00 $193,781.43 10.32%&#10;2010 $227,262.00 $224,392.77 15.80%&#10;2011 $227,491.00 $217,745.68 –2.96%&#10;2012 $227,061.00 $212,927.67 –2.21%&#10;2013 $215,184.00 $198,876.88 –6.60%&#10;2014 $224,330.00 $204,020.18 2.59%&#10;2015 $227,500.00 $206,657.89 1.29%&#10;2016 $227,500.00 $204,083.35 –1.25%&#10;Annual Average $216,119.78 $204,238.20 2.12%&#10;% Change Between 2008 &amp; 2016   16.18%&#10;Data Source: WHD FY 2017 Budget Justification.  Constant dollar and yearly % changes are calculations of the researchers based on the Consumer Price Index (CPI) for each year utilizing 2008 as the base year."/>
      </w:tblPr>
      <w:tblGrid>
        <w:gridCol w:w="2685"/>
        <w:gridCol w:w="2250"/>
        <w:gridCol w:w="2340"/>
        <w:gridCol w:w="2250"/>
      </w:tblGrid>
      <w:tr w:rsidR="00525794" w:rsidRPr="004F1B11" w14:paraId="00F1EE2F" w14:textId="77777777" w:rsidTr="00B33BCC">
        <w:trPr>
          <w:trHeight w:val="614"/>
        </w:trPr>
        <w:tc>
          <w:tcPr>
            <w:tcW w:w="2685" w:type="dxa"/>
            <w:vMerge w:val="restart"/>
            <w:shd w:val="clear" w:color="auto" w:fill="auto"/>
            <w:noWrap/>
            <w:vAlign w:val="center"/>
            <w:hideMark/>
          </w:tcPr>
          <w:p w14:paraId="73C3A18D" w14:textId="77777777" w:rsidR="00525794" w:rsidRPr="00454B20" w:rsidRDefault="00525794" w:rsidP="00D757DB">
            <w:pPr>
              <w:pStyle w:val="NCDTableHeader"/>
              <w:jc w:val="left"/>
            </w:pPr>
            <w:r w:rsidRPr="00454B20">
              <w:t>Fiscal Year</w:t>
            </w:r>
          </w:p>
        </w:tc>
        <w:tc>
          <w:tcPr>
            <w:tcW w:w="2250" w:type="dxa"/>
            <w:vMerge w:val="restart"/>
            <w:shd w:val="clear" w:color="auto" w:fill="auto"/>
            <w:vAlign w:val="center"/>
            <w:hideMark/>
          </w:tcPr>
          <w:p w14:paraId="33199EBA" w14:textId="77777777" w:rsidR="00525794" w:rsidRPr="00454B20" w:rsidRDefault="00525794" w:rsidP="00D757DB">
            <w:pPr>
              <w:pStyle w:val="NCDTableHeader"/>
            </w:pPr>
            <w:r w:rsidRPr="00454B20">
              <w:t xml:space="preserve"> Enacted</w:t>
            </w:r>
          </w:p>
          <w:p w14:paraId="78EB0CD3" w14:textId="77777777" w:rsidR="00525794" w:rsidRPr="00454B20" w:rsidRDefault="00525794" w:rsidP="00D757DB">
            <w:pPr>
              <w:pStyle w:val="NCDTableHeader"/>
            </w:pPr>
            <w:r w:rsidRPr="00454B20">
              <w:t>(</w:t>
            </w:r>
            <w:r>
              <w:t xml:space="preserve">$ in </w:t>
            </w:r>
            <w:r w:rsidRPr="00454B20">
              <w:t>thousands)</w:t>
            </w:r>
          </w:p>
        </w:tc>
        <w:tc>
          <w:tcPr>
            <w:tcW w:w="2340" w:type="dxa"/>
            <w:vMerge w:val="restart"/>
            <w:shd w:val="clear" w:color="auto" w:fill="auto"/>
            <w:vAlign w:val="center"/>
            <w:hideMark/>
          </w:tcPr>
          <w:p w14:paraId="6C57F0E3" w14:textId="77777777" w:rsidR="00525794" w:rsidRPr="00454B20" w:rsidRDefault="00525794" w:rsidP="00D757DB">
            <w:pPr>
              <w:pStyle w:val="NCDTableHeader"/>
            </w:pPr>
            <w:r w:rsidRPr="00454B20">
              <w:t>Constant 2000 Dollars</w:t>
            </w:r>
          </w:p>
        </w:tc>
        <w:tc>
          <w:tcPr>
            <w:tcW w:w="2250" w:type="dxa"/>
            <w:vMerge w:val="restart"/>
            <w:shd w:val="clear" w:color="auto" w:fill="auto"/>
            <w:vAlign w:val="center"/>
            <w:hideMark/>
          </w:tcPr>
          <w:p w14:paraId="04C12696" w14:textId="77777777" w:rsidR="00525794" w:rsidRPr="00454B20" w:rsidRDefault="00525794" w:rsidP="00D757DB">
            <w:pPr>
              <w:pStyle w:val="NCDTableHeader"/>
            </w:pPr>
            <w:r w:rsidRPr="00454B20">
              <w:t>Yearly % Change (Constant $)</w:t>
            </w:r>
          </w:p>
        </w:tc>
      </w:tr>
      <w:tr w:rsidR="00525794" w:rsidRPr="004F1B11" w14:paraId="0B918C17" w14:textId="77777777" w:rsidTr="00B33BCC">
        <w:trPr>
          <w:trHeight w:val="537"/>
        </w:trPr>
        <w:tc>
          <w:tcPr>
            <w:tcW w:w="2685" w:type="dxa"/>
            <w:vMerge/>
            <w:shd w:val="clear" w:color="auto" w:fill="auto"/>
            <w:vAlign w:val="center"/>
            <w:hideMark/>
          </w:tcPr>
          <w:p w14:paraId="5C4B428F" w14:textId="77777777" w:rsidR="00525794" w:rsidRPr="00454B20" w:rsidRDefault="00525794" w:rsidP="00D757DB">
            <w:pPr>
              <w:pStyle w:val="NCDTableText"/>
              <w:rPr>
                <w:b/>
                <w:bCs/>
                <w:color w:val="000000"/>
              </w:rPr>
            </w:pPr>
          </w:p>
        </w:tc>
        <w:tc>
          <w:tcPr>
            <w:tcW w:w="2250" w:type="dxa"/>
            <w:vMerge/>
            <w:shd w:val="clear" w:color="auto" w:fill="auto"/>
            <w:vAlign w:val="center"/>
            <w:hideMark/>
          </w:tcPr>
          <w:p w14:paraId="4E455EB6" w14:textId="77777777" w:rsidR="00525794" w:rsidRPr="00454B20" w:rsidRDefault="00525794" w:rsidP="00D757DB">
            <w:pPr>
              <w:pStyle w:val="NCDTableText"/>
              <w:rPr>
                <w:b/>
                <w:bCs/>
                <w:color w:val="000000"/>
              </w:rPr>
            </w:pPr>
          </w:p>
        </w:tc>
        <w:tc>
          <w:tcPr>
            <w:tcW w:w="2340" w:type="dxa"/>
            <w:vMerge/>
            <w:shd w:val="clear" w:color="auto" w:fill="auto"/>
            <w:vAlign w:val="center"/>
            <w:hideMark/>
          </w:tcPr>
          <w:p w14:paraId="564F4D99" w14:textId="77777777" w:rsidR="00525794" w:rsidRPr="00454B20" w:rsidRDefault="00525794" w:rsidP="00D757DB">
            <w:pPr>
              <w:pStyle w:val="NCDTableText"/>
              <w:rPr>
                <w:b/>
                <w:bCs/>
                <w:color w:val="000000"/>
              </w:rPr>
            </w:pPr>
          </w:p>
        </w:tc>
        <w:tc>
          <w:tcPr>
            <w:tcW w:w="2250" w:type="dxa"/>
            <w:vMerge/>
            <w:shd w:val="clear" w:color="auto" w:fill="auto"/>
            <w:vAlign w:val="center"/>
            <w:hideMark/>
          </w:tcPr>
          <w:p w14:paraId="3B60CC7C" w14:textId="77777777" w:rsidR="00525794" w:rsidRPr="00454B20" w:rsidRDefault="00525794" w:rsidP="00D757DB">
            <w:pPr>
              <w:pStyle w:val="NCDTableText"/>
              <w:rPr>
                <w:b/>
                <w:bCs/>
                <w:color w:val="333333"/>
              </w:rPr>
            </w:pPr>
          </w:p>
        </w:tc>
      </w:tr>
      <w:tr w:rsidR="00525794" w:rsidRPr="004F1B11" w14:paraId="04C66BAA" w14:textId="77777777" w:rsidTr="00B33BCC">
        <w:trPr>
          <w:trHeight w:val="300"/>
        </w:trPr>
        <w:tc>
          <w:tcPr>
            <w:tcW w:w="2685" w:type="dxa"/>
            <w:shd w:val="clear" w:color="auto" w:fill="auto"/>
            <w:vAlign w:val="center"/>
            <w:hideMark/>
          </w:tcPr>
          <w:p w14:paraId="69B7F611" w14:textId="77777777" w:rsidR="00525794" w:rsidRPr="000332FA" w:rsidRDefault="00525794" w:rsidP="00D757DB">
            <w:pPr>
              <w:pStyle w:val="NCDTableText"/>
              <w:rPr>
                <w:b/>
              </w:rPr>
            </w:pPr>
            <w:r w:rsidRPr="000332FA">
              <w:rPr>
                <w:b/>
              </w:rPr>
              <w:t>2008</w:t>
            </w:r>
          </w:p>
        </w:tc>
        <w:tc>
          <w:tcPr>
            <w:tcW w:w="2250" w:type="dxa"/>
            <w:shd w:val="clear" w:color="auto" w:fill="auto"/>
            <w:noWrap/>
            <w:hideMark/>
          </w:tcPr>
          <w:p w14:paraId="5167CE5B" w14:textId="77777777" w:rsidR="00525794" w:rsidRPr="00454B20" w:rsidRDefault="00525794" w:rsidP="00D757DB">
            <w:pPr>
              <w:pStyle w:val="NCDTableText"/>
              <w:jc w:val="center"/>
            </w:pPr>
            <w:r w:rsidRPr="00454B20">
              <w:t>$175,658.00</w:t>
            </w:r>
          </w:p>
        </w:tc>
        <w:tc>
          <w:tcPr>
            <w:tcW w:w="2340" w:type="dxa"/>
            <w:shd w:val="clear" w:color="auto" w:fill="auto"/>
            <w:noWrap/>
            <w:hideMark/>
          </w:tcPr>
          <w:p w14:paraId="16644D48" w14:textId="77777777" w:rsidR="00525794" w:rsidRPr="00454B20" w:rsidRDefault="00525794" w:rsidP="00D757DB">
            <w:pPr>
              <w:pStyle w:val="NCDTableText"/>
              <w:jc w:val="center"/>
            </w:pPr>
            <w:r w:rsidRPr="00454B20">
              <w:t>$175,658.00</w:t>
            </w:r>
          </w:p>
        </w:tc>
        <w:tc>
          <w:tcPr>
            <w:tcW w:w="2250" w:type="dxa"/>
            <w:shd w:val="clear" w:color="auto" w:fill="auto"/>
            <w:noWrap/>
            <w:hideMark/>
          </w:tcPr>
          <w:p w14:paraId="20F57CEE" w14:textId="77777777" w:rsidR="00525794" w:rsidRPr="00F5069F" w:rsidRDefault="00525794" w:rsidP="000332FA">
            <w:pPr>
              <w:pStyle w:val="NCDTableText"/>
              <w:ind w:right="576"/>
              <w:jc w:val="right"/>
            </w:pPr>
          </w:p>
        </w:tc>
      </w:tr>
      <w:tr w:rsidR="00525794" w:rsidRPr="004F1B11" w14:paraId="71284B0A" w14:textId="77777777" w:rsidTr="00B33BCC">
        <w:trPr>
          <w:trHeight w:val="300"/>
        </w:trPr>
        <w:tc>
          <w:tcPr>
            <w:tcW w:w="2685" w:type="dxa"/>
            <w:shd w:val="clear" w:color="auto" w:fill="auto"/>
            <w:vAlign w:val="center"/>
            <w:hideMark/>
          </w:tcPr>
          <w:p w14:paraId="4B1D0AE2" w14:textId="77777777" w:rsidR="00525794" w:rsidRPr="000332FA" w:rsidRDefault="00525794" w:rsidP="00D757DB">
            <w:pPr>
              <w:pStyle w:val="NCDTableText"/>
              <w:rPr>
                <w:b/>
              </w:rPr>
            </w:pPr>
            <w:r w:rsidRPr="000332FA">
              <w:rPr>
                <w:b/>
              </w:rPr>
              <w:t>2009</w:t>
            </w:r>
          </w:p>
        </w:tc>
        <w:tc>
          <w:tcPr>
            <w:tcW w:w="2250" w:type="dxa"/>
            <w:shd w:val="clear" w:color="auto" w:fill="auto"/>
            <w:noWrap/>
            <w:hideMark/>
          </w:tcPr>
          <w:p w14:paraId="34376DCC" w14:textId="77777777" w:rsidR="00525794" w:rsidRPr="00454B20" w:rsidRDefault="00525794" w:rsidP="00D757DB">
            <w:pPr>
              <w:pStyle w:val="NCDTableText"/>
              <w:jc w:val="center"/>
            </w:pPr>
            <w:r w:rsidRPr="00454B20">
              <w:t>$193,092.00</w:t>
            </w:r>
          </w:p>
        </w:tc>
        <w:tc>
          <w:tcPr>
            <w:tcW w:w="2340" w:type="dxa"/>
            <w:shd w:val="clear" w:color="auto" w:fill="auto"/>
            <w:noWrap/>
            <w:hideMark/>
          </w:tcPr>
          <w:p w14:paraId="4D7C01F3" w14:textId="77777777" w:rsidR="00525794" w:rsidRPr="00454B20" w:rsidRDefault="00525794" w:rsidP="00D757DB">
            <w:pPr>
              <w:pStyle w:val="NCDTableText"/>
              <w:jc w:val="center"/>
            </w:pPr>
            <w:r w:rsidRPr="00454B20">
              <w:t>$193,781.43</w:t>
            </w:r>
          </w:p>
        </w:tc>
        <w:tc>
          <w:tcPr>
            <w:tcW w:w="2250" w:type="dxa"/>
            <w:shd w:val="clear" w:color="auto" w:fill="auto"/>
            <w:noWrap/>
            <w:hideMark/>
          </w:tcPr>
          <w:p w14:paraId="2963B520" w14:textId="77777777" w:rsidR="00525794" w:rsidRPr="00F5069F" w:rsidRDefault="00525794" w:rsidP="000332FA">
            <w:pPr>
              <w:pStyle w:val="NCDTableText"/>
              <w:ind w:right="576"/>
              <w:jc w:val="right"/>
            </w:pPr>
            <w:r w:rsidRPr="00F5069F">
              <w:t>10.32%</w:t>
            </w:r>
          </w:p>
        </w:tc>
      </w:tr>
      <w:tr w:rsidR="00525794" w:rsidRPr="004F1B11" w14:paraId="24B08D7E" w14:textId="77777777" w:rsidTr="00B33BCC">
        <w:trPr>
          <w:trHeight w:val="300"/>
        </w:trPr>
        <w:tc>
          <w:tcPr>
            <w:tcW w:w="2685" w:type="dxa"/>
            <w:shd w:val="clear" w:color="auto" w:fill="auto"/>
            <w:vAlign w:val="center"/>
            <w:hideMark/>
          </w:tcPr>
          <w:p w14:paraId="31D3A43D" w14:textId="77777777" w:rsidR="00525794" w:rsidRPr="000332FA" w:rsidRDefault="00525794" w:rsidP="00D757DB">
            <w:pPr>
              <w:pStyle w:val="NCDTableText"/>
              <w:rPr>
                <w:b/>
              </w:rPr>
            </w:pPr>
            <w:r w:rsidRPr="000332FA">
              <w:rPr>
                <w:b/>
              </w:rPr>
              <w:t>2010</w:t>
            </w:r>
          </w:p>
        </w:tc>
        <w:tc>
          <w:tcPr>
            <w:tcW w:w="2250" w:type="dxa"/>
            <w:shd w:val="clear" w:color="auto" w:fill="auto"/>
            <w:noWrap/>
            <w:hideMark/>
          </w:tcPr>
          <w:p w14:paraId="1F507754" w14:textId="77777777" w:rsidR="00525794" w:rsidRPr="00454B20" w:rsidRDefault="00525794" w:rsidP="00D757DB">
            <w:pPr>
              <w:pStyle w:val="NCDTableText"/>
              <w:jc w:val="center"/>
            </w:pPr>
            <w:r w:rsidRPr="00454B20">
              <w:t>$227,262.00</w:t>
            </w:r>
          </w:p>
        </w:tc>
        <w:tc>
          <w:tcPr>
            <w:tcW w:w="2340" w:type="dxa"/>
            <w:shd w:val="clear" w:color="auto" w:fill="auto"/>
            <w:noWrap/>
            <w:hideMark/>
          </w:tcPr>
          <w:p w14:paraId="6CFE89B6" w14:textId="77777777" w:rsidR="00525794" w:rsidRPr="00454B20" w:rsidRDefault="00525794" w:rsidP="00D757DB">
            <w:pPr>
              <w:pStyle w:val="NCDTableText"/>
              <w:jc w:val="center"/>
            </w:pPr>
            <w:r w:rsidRPr="00454B20">
              <w:t>$224,392.77</w:t>
            </w:r>
          </w:p>
        </w:tc>
        <w:tc>
          <w:tcPr>
            <w:tcW w:w="2250" w:type="dxa"/>
            <w:shd w:val="clear" w:color="auto" w:fill="auto"/>
            <w:noWrap/>
            <w:hideMark/>
          </w:tcPr>
          <w:p w14:paraId="7BF5EDCB" w14:textId="77777777" w:rsidR="00525794" w:rsidRPr="00F5069F" w:rsidRDefault="00525794" w:rsidP="000332FA">
            <w:pPr>
              <w:pStyle w:val="NCDTableText"/>
              <w:ind w:right="576"/>
              <w:jc w:val="right"/>
            </w:pPr>
            <w:r w:rsidRPr="00F5069F">
              <w:t>15.80%</w:t>
            </w:r>
          </w:p>
        </w:tc>
      </w:tr>
      <w:tr w:rsidR="00525794" w:rsidRPr="004F1B11" w14:paraId="4ABE37AD" w14:textId="77777777" w:rsidTr="00B33BCC">
        <w:trPr>
          <w:trHeight w:val="300"/>
        </w:trPr>
        <w:tc>
          <w:tcPr>
            <w:tcW w:w="2685" w:type="dxa"/>
            <w:shd w:val="clear" w:color="auto" w:fill="auto"/>
            <w:vAlign w:val="center"/>
            <w:hideMark/>
          </w:tcPr>
          <w:p w14:paraId="2430E148" w14:textId="77777777" w:rsidR="00525794" w:rsidRPr="000332FA" w:rsidRDefault="00525794" w:rsidP="00D757DB">
            <w:pPr>
              <w:pStyle w:val="NCDTableText"/>
              <w:rPr>
                <w:b/>
              </w:rPr>
            </w:pPr>
            <w:r w:rsidRPr="000332FA">
              <w:rPr>
                <w:b/>
              </w:rPr>
              <w:t>2011</w:t>
            </w:r>
          </w:p>
        </w:tc>
        <w:tc>
          <w:tcPr>
            <w:tcW w:w="2250" w:type="dxa"/>
            <w:shd w:val="clear" w:color="auto" w:fill="auto"/>
            <w:noWrap/>
            <w:hideMark/>
          </w:tcPr>
          <w:p w14:paraId="023F5E14" w14:textId="77777777" w:rsidR="00525794" w:rsidRPr="00454B20" w:rsidRDefault="00525794" w:rsidP="00D757DB">
            <w:pPr>
              <w:pStyle w:val="NCDTableText"/>
              <w:jc w:val="center"/>
            </w:pPr>
            <w:r w:rsidRPr="00454B20">
              <w:t>$227,491.00</w:t>
            </w:r>
          </w:p>
        </w:tc>
        <w:tc>
          <w:tcPr>
            <w:tcW w:w="2340" w:type="dxa"/>
            <w:shd w:val="clear" w:color="auto" w:fill="auto"/>
            <w:noWrap/>
            <w:hideMark/>
          </w:tcPr>
          <w:p w14:paraId="5408CD5A" w14:textId="77777777" w:rsidR="00525794" w:rsidRPr="00454B20" w:rsidRDefault="00525794" w:rsidP="00D757DB">
            <w:pPr>
              <w:pStyle w:val="NCDTableText"/>
              <w:jc w:val="center"/>
            </w:pPr>
            <w:r w:rsidRPr="00454B20">
              <w:t>$217,745.68</w:t>
            </w:r>
          </w:p>
        </w:tc>
        <w:tc>
          <w:tcPr>
            <w:tcW w:w="2250" w:type="dxa"/>
            <w:shd w:val="clear" w:color="auto" w:fill="auto"/>
            <w:noWrap/>
            <w:hideMark/>
          </w:tcPr>
          <w:p w14:paraId="70BAD65A" w14:textId="5CC23373" w:rsidR="00525794" w:rsidRPr="00F5069F" w:rsidRDefault="000332FA" w:rsidP="000332FA">
            <w:pPr>
              <w:pStyle w:val="NCDTableText"/>
              <w:ind w:right="576"/>
              <w:jc w:val="right"/>
            </w:pPr>
            <w:r>
              <w:t>–</w:t>
            </w:r>
            <w:r w:rsidR="00525794" w:rsidRPr="00F5069F">
              <w:t>2.96%</w:t>
            </w:r>
          </w:p>
        </w:tc>
      </w:tr>
      <w:tr w:rsidR="00525794" w:rsidRPr="004F1B11" w14:paraId="646CFABD" w14:textId="77777777" w:rsidTr="00B33BCC">
        <w:trPr>
          <w:trHeight w:val="300"/>
        </w:trPr>
        <w:tc>
          <w:tcPr>
            <w:tcW w:w="2685" w:type="dxa"/>
            <w:shd w:val="clear" w:color="auto" w:fill="auto"/>
            <w:vAlign w:val="center"/>
            <w:hideMark/>
          </w:tcPr>
          <w:p w14:paraId="7E6AC0C9" w14:textId="77777777" w:rsidR="00525794" w:rsidRPr="000332FA" w:rsidRDefault="00525794" w:rsidP="00D757DB">
            <w:pPr>
              <w:pStyle w:val="NCDTableText"/>
              <w:rPr>
                <w:b/>
              </w:rPr>
            </w:pPr>
            <w:r w:rsidRPr="000332FA">
              <w:rPr>
                <w:b/>
              </w:rPr>
              <w:t>2012</w:t>
            </w:r>
          </w:p>
        </w:tc>
        <w:tc>
          <w:tcPr>
            <w:tcW w:w="2250" w:type="dxa"/>
            <w:shd w:val="clear" w:color="auto" w:fill="auto"/>
            <w:noWrap/>
            <w:hideMark/>
          </w:tcPr>
          <w:p w14:paraId="6072D029" w14:textId="77777777" w:rsidR="00525794" w:rsidRPr="00454B20" w:rsidRDefault="00525794" w:rsidP="00D757DB">
            <w:pPr>
              <w:pStyle w:val="NCDTableText"/>
              <w:jc w:val="center"/>
            </w:pPr>
            <w:r w:rsidRPr="00454B20">
              <w:t>$227,061.00</w:t>
            </w:r>
          </w:p>
        </w:tc>
        <w:tc>
          <w:tcPr>
            <w:tcW w:w="2340" w:type="dxa"/>
            <w:shd w:val="clear" w:color="auto" w:fill="auto"/>
            <w:noWrap/>
            <w:hideMark/>
          </w:tcPr>
          <w:p w14:paraId="2FA89986" w14:textId="77777777" w:rsidR="00525794" w:rsidRPr="00454B20" w:rsidRDefault="00525794" w:rsidP="00D757DB">
            <w:pPr>
              <w:pStyle w:val="NCDTableText"/>
              <w:jc w:val="center"/>
            </w:pPr>
            <w:r w:rsidRPr="00454B20">
              <w:t>$212,927.67</w:t>
            </w:r>
          </w:p>
        </w:tc>
        <w:tc>
          <w:tcPr>
            <w:tcW w:w="2250" w:type="dxa"/>
            <w:shd w:val="clear" w:color="auto" w:fill="auto"/>
            <w:noWrap/>
            <w:hideMark/>
          </w:tcPr>
          <w:p w14:paraId="72168158" w14:textId="2F3F94D4" w:rsidR="00525794" w:rsidRPr="00F5069F" w:rsidRDefault="000332FA" w:rsidP="000332FA">
            <w:pPr>
              <w:pStyle w:val="NCDTableText"/>
              <w:ind w:right="576"/>
              <w:jc w:val="right"/>
            </w:pPr>
            <w:r>
              <w:t>–</w:t>
            </w:r>
            <w:r w:rsidR="00525794" w:rsidRPr="00F5069F">
              <w:t>2.21%</w:t>
            </w:r>
          </w:p>
        </w:tc>
      </w:tr>
      <w:tr w:rsidR="00525794" w:rsidRPr="004F1B11" w14:paraId="00420321" w14:textId="77777777" w:rsidTr="00B33BCC">
        <w:trPr>
          <w:trHeight w:val="300"/>
        </w:trPr>
        <w:tc>
          <w:tcPr>
            <w:tcW w:w="2685" w:type="dxa"/>
            <w:shd w:val="clear" w:color="auto" w:fill="auto"/>
            <w:vAlign w:val="center"/>
            <w:hideMark/>
          </w:tcPr>
          <w:p w14:paraId="43DC028C" w14:textId="77777777" w:rsidR="00525794" w:rsidRPr="000332FA" w:rsidRDefault="00525794" w:rsidP="00D757DB">
            <w:pPr>
              <w:pStyle w:val="NCDTableText"/>
              <w:rPr>
                <w:b/>
              </w:rPr>
            </w:pPr>
            <w:r w:rsidRPr="000332FA">
              <w:rPr>
                <w:b/>
              </w:rPr>
              <w:t>2013</w:t>
            </w:r>
          </w:p>
        </w:tc>
        <w:tc>
          <w:tcPr>
            <w:tcW w:w="2250" w:type="dxa"/>
            <w:shd w:val="clear" w:color="auto" w:fill="auto"/>
            <w:noWrap/>
            <w:hideMark/>
          </w:tcPr>
          <w:p w14:paraId="6A5A7F30" w14:textId="77777777" w:rsidR="00525794" w:rsidRPr="00454B20" w:rsidRDefault="00525794" w:rsidP="00D757DB">
            <w:pPr>
              <w:pStyle w:val="NCDTableText"/>
              <w:jc w:val="center"/>
            </w:pPr>
            <w:r w:rsidRPr="00454B20">
              <w:t>$215,184.00</w:t>
            </w:r>
          </w:p>
        </w:tc>
        <w:tc>
          <w:tcPr>
            <w:tcW w:w="2340" w:type="dxa"/>
            <w:shd w:val="clear" w:color="auto" w:fill="auto"/>
            <w:noWrap/>
            <w:hideMark/>
          </w:tcPr>
          <w:p w14:paraId="2CCE3579" w14:textId="77777777" w:rsidR="00525794" w:rsidRPr="00454B20" w:rsidRDefault="00525794" w:rsidP="00D757DB">
            <w:pPr>
              <w:pStyle w:val="NCDTableText"/>
              <w:jc w:val="center"/>
            </w:pPr>
            <w:r w:rsidRPr="00454B20">
              <w:t>$198,876.88</w:t>
            </w:r>
          </w:p>
        </w:tc>
        <w:tc>
          <w:tcPr>
            <w:tcW w:w="2250" w:type="dxa"/>
            <w:shd w:val="clear" w:color="auto" w:fill="auto"/>
            <w:noWrap/>
            <w:hideMark/>
          </w:tcPr>
          <w:p w14:paraId="7DE61F0C" w14:textId="0C379D91" w:rsidR="00525794" w:rsidRPr="00F5069F" w:rsidRDefault="000332FA" w:rsidP="000332FA">
            <w:pPr>
              <w:pStyle w:val="NCDTableText"/>
              <w:ind w:right="576"/>
              <w:jc w:val="right"/>
            </w:pPr>
            <w:r>
              <w:t>–</w:t>
            </w:r>
            <w:r w:rsidR="00525794" w:rsidRPr="00F5069F">
              <w:t>6.60%</w:t>
            </w:r>
          </w:p>
        </w:tc>
      </w:tr>
      <w:tr w:rsidR="00525794" w:rsidRPr="004F1B11" w14:paraId="0AF2FD3A" w14:textId="77777777" w:rsidTr="00B33BCC">
        <w:trPr>
          <w:trHeight w:val="300"/>
        </w:trPr>
        <w:tc>
          <w:tcPr>
            <w:tcW w:w="2685" w:type="dxa"/>
            <w:shd w:val="clear" w:color="auto" w:fill="auto"/>
            <w:vAlign w:val="center"/>
            <w:hideMark/>
          </w:tcPr>
          <w:p w14:paraId="7F7EAE86" w14:textId="77777777" w:rsidR="00525794" w:rsidRPr="000332FA" w:rsidRDefault="00525794" w:rsidP="00D757DB">
            <w:pPr>
              <w:pStyle w:val="NCDTableText"/>
              <w:rPr>
                <w:b/>
              </w:rPr>
            </w:pPr>
            <w:r w:rsidRPr="000332FA">
              <w:rPr>
                <w:b/>
              </w:rPr>
              <w:t>2014</w:t>
            </w:r>
          </w:p>
        </w:tc>
        <w:tc>
          <w:tcPr>
            <w:tcW w:w="2250" w:type="dxa"/>
            <w:shd w:val="clear" w:color="auto" w:fill="auto"/>
            <w:noWrap/>
            <w:hideMark/>
          </w:tcPr>
          <w:p w14:paraId="39FA4AF6" w14:textId="77777777" w:rsidR="00525794" w:rsidRPr="00454B20" w:rsidRDefault="00525794" w:rsidP="00D757DB">
            <w:pPr>
              <w:pStyle w:val="NCDTableText"/>
              <w:jc w:val="center"/>
            </w:pPr>
            <w:r w:rsidRPr="00454B20">
              <w:t>$224,330.00</w:t>
            </w:r>
          </w:p>
        </w:tc>
        <w:tc>
          <w:tcPr>
            <w:tcW w:w="2340" w:type="dxa"/>
            <w:shd w:val="clear" w:color="auto" w:fill="auto"/>
            <w:noWrap/>
            <w:hideMark/>
          </w:tcPr>
          <w:p w14:paraId="521A8008" w14:textId="77777777" w:rsidR="00525794" w:rsidRPr="00454B20" w:rsidRDefault="00525794" w:rsidP="00D757DB">
            <w:pPr>
              <w:pStyle w:val="NCDTableText"/>
              <w:jc w:val="center"/>
            </w:pPr>
            <w:r w:rsidRPr="00454B20">
              <w:t>$204,020.18</w:t>
            </w:r>
          </w:p>
        </w:tc>
        <w:tc>
          <w:tcPr>
            <w:tcW w:w="2250" w:type="dxa"/>
            <w:shd w:val="clear" w:color="auto" w:fill="auto"/>
            <w:noWrap/>
            <w:hideMark/>
          </w:tcPr>
          <w:p w14:paraId="5DAE8361" w14:textId="77777777" w:rsidR="00525794" w:rsidRPr="00F5069F" w:rsidRDefault="00525794" w:rsidP="000332FA">
            <w:pPr>
              <w:pStyle w:val="NCDTableText"/>
              <w:ind w:right="576"/>
              <w:jc w:val="right"/>
            </w:pPr>
            <w:r w:rsidRPr="00F5069F">
              <w:t>2.59%</w:t>
            </w:r>
          </w:p>
        </w:tc>
      </w:tr>
      <w:tr w:rsidR="00525794" w:rsidRPr="004F1B11" w14:paraId="5E5323AA" w14:textId="77777777" w:rsidTr="00B33BCC">
        <w:trPr>
          <w:trHeight w:val="300"/>
        </w:trPr>
        <w:tc>
          <w:tcPr>
            <w:tcW w:w="2685" w:type="dxa"/>
            <w:shd w:val="clear" w:color="auto" w:fill="auto"/>
            <w:vAlign w:val="center"/>
            <w:hideMark/>
          </w:tcPr>
          <w:p w14:paraId="26E95D82" w14:textId="77777777" w:rsidR="00525794" w:rsidRPr="000332FA" w:rsidRDefault="00525794" w:rsidP="00D757DB">
            <w:pPr>
              <w:pStyle w:val="NCDTableText"/>
              <w:rPr>
                <w:b/>
              </w:rPr>
            </w:pPr>
            <w:r w:rsidRPr="000332FA">
              <w:rPr>
                <w:b/>
              </w:rPr>
              <w:t>2015</w:t>
            </w:r>
          </w:p>
        </w:tc>
        <w:tc>
          <w:tcPr>
            <w:tcW w:w="2250" w:type="dxa"/>
            <w:shd w:val="clear" w:color="auto" w:fill="auto"/>
            <w:noWrap/>
            <w:hideMark/>
          </w:tcPr>
          <w:p w14:paraId="61B509FC" w14:textId="77777777" w:rsidR="00525794" w:rsidRPr="00454B20" w:rsidRDefault="00525794" w:rsidP="00D757DB">
            <w:pPr>
              <w:pStyle w:val="NCDTableText"/>
              <w:jc w:val="center"/>
            </w:pPr>
            <w:r w:rsidRPr="00454B20">
              <w:t>$227,500.00</w:t>
            </w:r>
          </w:p>
        </w:tc>
        <w:tc>
          <w:tcPr>
            <w:tcW w:w="2340" w:type="dxa"/>
            <w:shd w:val="clear" w:color="auto" w:fill="auto"/>
            <w:noWrap/>
            <w:hideMark/>
          </w:tcPr>
          <w:p w14:paraId="794CE681" w14:textId="77777777" w:rsidR="00525794" w:rsidRPr="00454B20" w:rsidRDefault="00525794" w:rsidP="00D757DB">
            <w:pPr>
              <w:pStyle w:val="NCDTableText"/>
              <w:jc w:val="center"/>
            </w:pPr>
            <w:r w:rsidRPr="00454B20">
              <w:t>$206,657.89</w:t>
            </w:r>
          </w:p>
        </w:tc>
        <w:tc>
          <w:tcPr>
            <w:tcW w:w="2250" w:type="dxa"/>
            <w:shd w:val="clear" w:color="auto" w:fill="auto"/>
            <w:noWrap/>
            <w:hideMark/>
          </w:tcPr>
          <w:p w14:paraId="1633DA87" w14:textId="77777777" w:rsidR="00525794" w:rsidRPr="00F5069F" w:rsidRDefault="00525794" w:rsidP="000332FA">
            <w:pPr>
              <w:pStyle w:val="NCDTableText"/>
              <w:ind w:right="576"/>
              <w:jc w:val="right"/>
            </w:pPr>
            <w:r w:rsidRPr="00F5069F">
              <w:t>1.29%</w:t>
            </w:r>
          </w:p>
        </w:tc>
      </w:tr>
      <w:tr w:rsidR="00525794" w:rsidRPr="004F1B11" w14:paraId="7C5FB633" w14:textId="77777777" w:rsidTr="00B33BCC">
        <w:trPr>
          <w:trHeight w:val="300"/>
        </w:trPr>
        <w:tc>
          <w:tcPr>
            <w:tcW w:w="2685" w:type="dxa"/>
            <w:shd w:val="clear" w:color="auto" w:fill="auto"/>
            <w:vAlign w:val="center"/>
            <w:hideMark/>
          </w:tcPr>
          <w:p w14:paraId="368C1A8F" w14:textId="77777777" w:rsidR="00525794" w:rsidRPr="000332FA" w:rsidRDefault="00525794" w:rsidP="00D757DB">
            <w:pPr>
              <w:pStyle w:val="NCDTableText"/>
              <w:rPr>
                <w:b/>
              </w:rPr>
            </w:pPr>
            <w:r w:rsidRPr="000332FA">
              <w:rPr>
                <w:b/>
              </w:rPr>
              <w:t>2016</w:t>
            </w:r>
          </w:p>
        </w:tc>
        <w:tc>
          <w:tcPr>
            <w:tcW w:w="2250" w:type="dxa"/>
            <w:shd w:val="clear" w:color="auto" w:fill="auto"/>
            <w:noWrap/>
            <w:hideMark/>
          </w:tcPr>
          <w:p w14:paraId="37E3A5B5" w14:textId="77777777" w:rsidR="00525794" w:rsidRPr="00454B20" w:rsidRDefault="00525794" w:rsidP="00D757DB">
            <w:pPr>
              <w:pStyle w:val="NCDTableText"/>
              <w:jc w:val="center"/>
            </w:pPr>
            <w:r w:rsidRPr="00454B20">
              <w:t>$227,500.00</w:t>
            </w:r>
          </w:p>
        </w:tc>
        <w:tc>
          <w:tcPr>
            <w:tcW w:w="2340" w:type="dxa"/>
            <w:shd w:val="clear" w:color="auto" w:fill="auto"/>
            <w:noWrap/>
            <w:hideMark/>
          </w:tcPr>
          <w:p w14:paraId="3358EEB7" w14:textId="77777777" w:rsidR="00525794" w:rsidRPr="00454B20" w:rsidRDefault="00525794" w:rsidP="00D757DB">
            <w:pPr>
              <w:pStyle w:val="NCDTableText"/>
              <w:jc w:val="center"/>
            </w:pPr>
            <w:r w:rsidRPr="00454B20">
              <w:t>$204,083.35</w:t>
            </w:r>
          </w:p>
        </w:tc>
        <w:tc>
          <w:tcPr>
            <w:tcW w:w="2250" w:type="dxa"/>
            <w:shd w:val="clear" w:color="auto" w:fill="auto"/>
            <w:noWrap/>
            <w:hideMark/>
          </w:tcPr>
          <w:p w14:paraId="75CAB3C6" w14:textId="5B95EF2F" w:rsidR="00525794" w:rsidRPr="00F5069F" w:rsidRDefault="000332FA" w:rsidP="000332FA">
            <w:pPr>
              <w:pStyle w:val="NCDTableText"/>
              <w:ind w:right="576"/>
              <w:jc w:val="right"/>
            </w:pPr>
            <w:r>
              <w:t>–</w:t>
            </w:r>
            <w:r w:rsidR="00525794" w:rsidRPr="00F5069F">
              <w:t>1.25%</w:t>
            </w:r>
          </w:p>
        </w:tc>
      </w:tr>
      <w:tr w:rsidR="00525794" w:rsidRPr="004F1B11" w14:paraId="369134BD" w14:textId="77777777" w:rsidTr="00B33BCC">
        <w:trPr>
          <w:trHeight w:val="219"/>
        </w:trPr>
        <w:tc>
          <w:tcPr>
            <w:tcW w:w="2685" w:type="dxa"/>
            <w:shd w:val="clear" w:color="auto" w:fill="auto"/>
            <w:vAlign w:val="bottom"/>
            <w:hideMark/>
          </w:tcPr>
          <w:p w14:paraId="7EDDCBB8" w14:textId="77777777" w:rsidR="00525794" w:rsidRPr="000332FA" w:rsidRDefault="00525794" w:rsidP="00D757DB">
            <w:pPr>
              <w:pStyle w:val="NCDTableText"/>
              <w:rPr>
                <w:b/>
              </w:rPr>
            </w:pPr>
            <w:r w:rsidRPr="000332FA">
              <w:rPr>
                <w:b/>
              </w:rPr>
              <w:t>Annual Average</w:t>
            </w:r>
          </w:p>
        </w:tc>
        <w:tc>
          <w:tcPr>
            <w:tcW w:w="2250" w:type="dxa"/>
            <w:shd w:val="clear" w:color="auto" w:fill="auto"/>
            <w:noWrap/>
            <w:hideMark/>
          </w:tcPr>
          <w:p w14:paraId="1DDD422A" w14:textId="77777777" w:rsidR="00525794" w:rsidRPr="00454B20" w:rsidRDefault="00525794" w:rsidP="00D757DB">
            <w:pPr>
              <w:pStyle w:val="NCDTableText"/>
              <w:jc w:val="center"/>
            </w:pPr>
            <w:r w:rsidRPr="00454B20">
              <w:t>$216,119.78</w:t>
            </w:r>
          </w:p>
        </w:tc>
        <w:tc>
          <w:tcPr>
            <w:tcW w:w="2340" w:type="dxa"/>
            <w:shd w:val="clear" w:color="auto" w:fill="auto"/>
            <w:noWrap/>
            <w:hideMark/>
          </w:tcPr>
          <w:p w14:paraId="4C400386" w14:textId="77777777" w:rsidR="00525794" w:rsidRPr="00454B20" w:rsidRDefault="00525794" w:rsidP="00D757DB">
            <w:pPr>
              <w:pStyle w:val="NCDTableText"/>
              <w:jc w:val="center"/>
            </w:pPr>
            <w:r w:rsidRPr="00454B20">
              <w:t>$204,238.20</w:t>
            </w:r>
          </w:p>
        </w:tc>
        <w:tc>
          <w:tcPr>
            <w:tcW w:w="2250" w:type="dxa"/>
            <w:shd w:val="clear" w:color="auto" w:fill="auto"/>
            <w:noWrap/>
            <w:hideMark/>
          </w:tcPr>
          <w:p w14:paraId="4ED40358" w14:textId="77777777" w:rsidR="00525794" w:rsidRPr="00F5069F" w:rsidRDefault="00525794" w:rsidP="000332FA">
            <w:pPr>
              <w:pStyle w:val="NCDTableText"/>
              <w:ind w:right="576"/>
              <w:jc w:val="right"/>
            </w:pPr>
            <w:r w:rsidRPr="00F5069F">
              <w:t>2.12%</w:t>
            </w:r>
          </w:p>
        </w:tc>
      </w:tr>
      <w:tr w:rsidR="00525794" w:rsidRPr="004F1B11" w14:paraId="7A0C2796" w14:textId="77777777" w:rsidTr="00B33BCC">
        <w:trPr>
          <w:trHeight w:val="330"/>
        </w:trPr>
        <w:tc>
          <w:tcPr>
            <w:tcW w:w="2685" w:type="dxa"/>
            <w:shd w:val="clear" w:color="auto" w:fill="auto"/>
            <w:noWrap/>
            <w:vAlign w:val="bottom"/>
            <w:hideMark/>
          </w:tcPr>
          <w:p w14:paraId="7BA11478" w14:textId="77777777" w:rsidR="00525794" w:rsidRPr="000332FA" w:rsidRDefault="00525794" w:rsidP="00D757DB">
            <w:pPr>
              <w:pStyle w:val="NCDTableText"/>
              <w:rPr>
                <w:b/>
              </w:rPr>
            </w:pPr>
            <w:r w:rsidRPr="000332FA">
              <w:rPr>
                <w:b/>
              </w:rPr>
              <w:t>% Change Between 2008 &amp; 2016</w:t>
            </w:r>
          </w:p>
        </w:tc>
        <w:tc>
          <w:tcPr>
            <w:tcW w:w="2250" w:type="dxa"/>
            <w:shd w:val="clear" w:color="auto" w:fill="auto"/>
            <w:noWrap/>
            <w:vAlign w:val="bottom"/>
            <w:hideMark/>
          </w:tcPr>
          <w:p w14:paraId="6D9B2951" w14:textId="77777777" w:rsidR="00525794" w:rsidRPr="00454B20" w:rsidRDefault="00525794" w:rsidP="00D757DB">
            <w:pPr>
              <w:pStyle w:val="NCDTableText"/>
              <w:jc w:val="center"/>
              <w:rPr>
                <w:color w:val="000000"/>
              </w:rPr>
            </w:pPr>
          </w:p>
        </w:tc>
        <w:tc>
          <w:tcPr>
            <w:tcW w:w="2340" w:type="dxa"/>
            <w:shd w:val="clear" w:color="auto" w:fill="auto"/>
            <w:noWrap/>
            <w:vAlign w:val="bottom"/>
            <w:hideMark/>
          </w:tcPr>
          <w:p w14:paraId="748CEDA7" w14:textId="77777777" w:rsidR="00525794" w:rsidRPr="00454B20" w:rsidRDefault="00525794" w:rsidP="00D757DB">
            <w:pPr>
              <w:pStyle w:val="NCDTableText"/>
              <w:jc w:val="center"/>
              <w:rPr>
                <w:color w:val="000000"/>
              </w:rPr>
            </w:pPr>
          </w:p>
        </w:tc>
        <w:tc>
          <w:tcPr>
            <w:tcW w:w="2250" w:type="dxa"/>
            <w:shd w:val="clear" w:color="auto" w:fill="auto"/>
            <w:noWrap/>
            <w:hideMark/>
          </w:tcPr>
          <w:p w14:paraId="5D8608CA" w14:textId="77777777" w:rsidR="00525794" w:rsidRPr="00F5069F" w:rsidRDefault="00525794" w:rsidP="000332FA">
            <w:pPr>
              <w:pStyle w:val="NCDTableText"/>
              <w:ind w:right="576"/>
              <w:jc w:val="right"/>
            </w:pPr>
            <w:r w:rsidRPr="00F5069F">
              <w:t>16.18%</w:t>
            </w:r>
          </w:p>
        </w:tc>
      </w:tr>
    </w:tbl>
    <w:p w14:paraId="6C135A3B" w14:textId="77777777" w:rsidR="00296DA5" w:rsidRDefault="00525794" w:rsidP="00D757DB">
      <w:pPr>
        <w:pStyle w:val="NCDTableSource"/>
      </w:pPr>
      <w:r w:rsidRPr="008C0596">
        <w:t xml:space="preserve">Data Source: </w:t>
      </w:r>
      <w:r>
        <w:t>WHD FY 2017 Budget Justification.</w:t>
      </w:r>
      <w:r w:rsidRPr="008C0596">
        <w:rPr>
          <w:rStyle w:val="EndnoteReference"/>
        </w:rPr>
        <w:endnoteReference w:id="305"/>
      </w:r>
      <w:r w:rsidRPr="008C0596">
        <w:t xml:space="preserve"> Constant dollar and yearly % changes are calculations of the researchers based on the Consumer Price Index (CPI) for each year utilizing 200</w:t>
      </w:r>
      <w:r>
        <w:t>8</w:t>
      </w:r>
      <w:r w:rsidRPr="008C0596">
        <w:t xml:space="preserve"> as the base year.</w:t>
      </w:r>
    </w:p>
    <w:p w14:paraId="4312EE43" w14:textId="77777777" w:rsidR="00D757DB" w:rsidRDefault="00D757DB">
      <w:pPr>
        <w:spacing w:after="200"/>
        <w:rPr>
          <w:rFonts w:ascii="Arial" w:eastAsia="Times New Roman" w:hAnsi="Arial"/>
          <w:b/>
          <w:sz w:val="28"/>
          <w:szCs w:val="32"/>
        </w:rPr>
      </w:pPr>
      <w:bookmarkStart w:id="95" w:name="_Toc520979985"/>
      <w:r>
        <w:br w:type="page"/>
      </w:r>
    </w:p>
    <w:p w14:paraId="4ED5FF0D" w14:textId="484B5F46" w:rsidR="00A07FB4" w:rsidRPr="00006E2F" w:rsidRDefault="003D249D" w:rsidP="00D757DB">
      <w:pPr>
        <w:pStyle w:val="Heading1"/>
      </w:pPr>
      <w:bookmarkStart w:id="96" w:name="_Toc526182134"/>
      <w:r>
        <w:lastRenderedPageBreak/>
        <w:t>Appendix</w:t>
      </w:r>
      <w:r w:rsidR="00644A41">
        <w:t xml:space="preserve"> </w:t>
      </w:r>
      <w:r w:rsidR="005F62F7">
        <w:t>B</w:t>
      </w:r>
      <w:r>
        <w:t xml:space="preserve">: </w:t>
      </w:r>
      <w:r w:rsidR="00006E2F">
        <w:t xml:space="preserve">Federal Disability </w:t>
      </w:r>
      <w:r w:rsidR="00D757DB">
        <w:br/>
      </w:r>
      <w:r w:rsidR="00006E2F">
        <w:t xml:space="preserve">Civil Rights Laws </w:t>
      </w:r>
      <w:r w:rsidR="008104BC">
        <w:t>Considered</w:t>
      </w:r>
      <w:bookmarkEnd w:id="95"/>
      <w:bookmarkEnd w:id="96"/>
    </w:p>
    <w:p w14:paraId="02A6666D" w14:textId="77777777" w:rsidR="003D249D" w:rsidRPr="00167B8A" w:rsidRDefault="003D249D" w:rsidP="002B6E53">
      <w:pPr>
        <w:pStyle w:val="Heading2"/>
      </w:pPr>
      <w:bookmarkStart w:id="97" w:name="_Toc526182135"/>
      <w:r w:rsidRPr="00167B8A">
        <w:t>The Architectural Barriers Act of 1968</w:t>
      </w:r>
      <w:bookmarkEnd w:id="97"/>
    </w:p>
    <w:p w14:paraId="790136A3" w14:textId="77777777" w:rsidR="00296DA5" w:rsidRDefault="003D249D" w:rsidP="00411C98">
      <w:pPr>
        <w:pStyle w:val="NCDBodyText"/>
        <w:spacing w:line="240" w:lineRule="auto"/>
      </w:pPr>
      <w:r w:rsidRPr="00167B8A">
        <w:t xml:space="preserve">The Architectural Barriers Act </w:t>
      </w:r>
      <w:r>
        <w:t>(ABA)</w:t>
      </w:r>
      <w:r w:rsidR="001428F5" w:rsidRPr="00260E5C">
        <w:rPr>
          <w:rStyle w:val="EndnoteReference"/>
          <w:rFonts w:cs="Arial"/>
        </w:rPr>
        <w:endnoteReference w:id="306"/>
      </w:r>
      <w:r w:rsidRPr="00260E5C">
        <w:t xml:space="preserve"> </w:t>
      </w:r>
      <w:r w:rsidRPr="00167B8A">
        <w:t>requires that buildings or facilities that were designed, built, or altered with federal dollars or leased by federal agencies after August 12, 1968</w:t>
      </w:r>
      <w:r w:rsidR="00D9600C">
        <w:t>,</w:t>
      </w:r>
      <w:r w:rsidRPr="00167B8A">
        <w:t xml:space="preserve"> be accessible. Covering a wide range of government facilities, including U.S. post offices, Veterans Affairs medical facilities, national parks, Social Security Administration offices, federal office buildings, U.S. courthouses, and federal prisons, it also applies to </w:t>
      </w:r>
      <w:r w:rsidR="00444926">
        <w:t>non</w:t>
      </w:r>
      <w:r w:rsidRPr="00167B8A">
        <w:t xml:space="preserve">government facilities that have received federal funding, such as schools, public housing, and mass transit systems. The </w:t>
      </w:r>
      <w:r w:rsidR="00260E5C">
        <w:t>ABA</w:t>
      </w:r>
      <w:r w:rsidRPr="00167B8A">
        <w:t xml:space="preserve"> is enforced by the U.S. Architectural and Transportation Barriers Compliance Board (Access Board) through the investigation of complaints.</w:t>
      </w:r>
    </w:p>
    <w:p w14:paraId="0BE7C7AE" w14:textId="3D797EC6" w:rsidR="003D249D" w:rsidRPr="00167B8A" w:rsidRDefault="003D249D" w:rsidP="002B6E53">
      <w:pPr>
        <w:pStyle w:val="Heading2"/>
      </w:pPr>
      <w:bookmarkStart w:id="98" w:name="_Toc526182136"/>
      <w:r w:rsidRPr="00167B8A">
        <w:t>The Rehabilitation Act of 1973</w:t>
      </w:r>
      <w:bookmarkEnd w:id="98"/>
    </w:p>
    <w:p w14:paraId="3433D662" w14:textId="77777777" w:rsidR="00296DA5" w:rsidRDefault="003D249D" w:rsidP="00411C98">
      <w:pPr>
        <w:pStyle w:val="NCDBodyText"/>
        <w:spacing w:line="240" w:lineRule="auto"/>
      </w:pPr>
      <w:r w:rsidRPr="00167B8A">
        <w:t>The Rehabilitation Act of 1973</w:t>
      </w:r>
      <w:r>
        <w:t>,</w:t>
      </w:r>
      <w:r w:rsidR="001428F5" w:rsidRPr="00B531F8">
        <w:rPr>
          <w:rStyle w:val="EndnoteReference"/>
          <w:rFonts w:eastAsia="Times New Roman" w:cs="Arial"/>
        </w:rPr>
        <w:endnoteReference w:id="307"/>
      </w:r>
      <w:r w:rsidRPr="00B531F8">
        <w:t xml:space="preserve"> </w:t>
      </w:r>
      <w:r>
        <w:t>as amended,</w:t>
      </w:r>
      <w:r w:rsidRPr="00167B8A">
        <w:t xml:space="preserve"> prohibits discrimination on the basis of disability in federal agencies, in programs receiving federal financial assistance, in federal employment, and in the employment practices of federal contractors.</w:t>
      </w:r>
      <w:r w:rsidR="00260E5C">
        <w:t xml:space="preserve"> Several important sections of the Act include the following</w:t>
      </w:r>
      <w:r w:rsidR="00D9600C">
        <w:t>:</w:t>
      </w:r>
    </w:p>
    <w:p w14:paraId="75D22F78" w14:textId="77777777" w:rsidR="00296DA5" w:rsidRDefault="00B531F8" w:rsidP="00411C98">
      <w:pPr>
        <w:pStyle w:val="NCDBodyText"/>
        <w:spacing w:line="240" w:lineRule="auto"/>
        <w:rPr>
          <w:lang w:val="en"/>
        </w:rPr>
      </w:pPr>
      <w:r>
        <w:rPr>
          <w:lang w:val="en"/>
        </w:rPr>
        <w:t>Section 501 prohibits federal agencies from discriminating in the hiring and employment of people with disabilities and requires the agencies to take affirmative action to hire, place</w:t>
      </w:r>
      <w:r w:rsidR="0071752A">
        <w:rPr>
          <w:lang w:val="en"/>
        </w:rPr>
        <w:t>,</w:t>
      </w:r>
      <w:r>
        <w:rPr>
          <w:lang w:val="en"/>
        </w:rPr>
        <w:t xml:space="preserve"> and advance employees with disabilities.</w:t>
      </w:r>
      <w:r w:rsidR="00260E5C">
        <w:rPr>
          <w:rStyle w:val="EndnoteReference"/>
          <w:rFonts w:cs="Arial"/>
          <w:lang w:val="en"/>
        </w:rPr>
        <w:endnoteReference w:id="308"/>
      </w:r>
    </w:p>
    <w:p w14:paraId="4F00D2ED" w14:textId="77777777" w:rsidR="00296DA5" w:rsidRDefault="00D41EDD" w:rsidP="00411C98">
      <w:pPr>
        <w:pStyle w:val="NCDBodyText"/>
        <w:spacing w:line="240" w:lineRule="auto"/>
        <w:rPr>
          <w:lang w:val="en"/>
        </w:rPr>
      </w:pPr>
      <w:r>
        <w:rPr>
          <w:lang w:val="en"/>
        </w:rPr>
        <w:t>Section</w:t>
      </w:r>
      <w:r w:rsidR="003D249D" w:rsidRPr="00167B8A">
        <w:rPr>
          <w:lang w:val="en"/>
        </w:rPr>
        <w:t xml:space="preserve"> 503 prohibits federal contractors and subcontractors from discriminating in employment against people with disabilities and requires these employers to take affirmative action to recruit, hire, promote, and retain employees with disabilities.</w:t>
      </w:r>
    </w:p>
    <w:p w14:paraId="7BF18054" w14:textId="77777777" w:rsidR="00296DA5" w:rsidRDefault="00D41EDD" w:rsidP="00411C98">
      <w:pPr>
        <w:pStyle w:val="NCDBodyText"/>
        <w:spacing w:line="240" w:lineRule="auto"/>
      </w:pPr>
      <w:r>
        <w:t>Section</w:t>
      </w:r>
      <w:r w:rsidR="003D249D" w:rsidRPr="00167B8A">
        <w:t xml:space="preserve"> 504 mandates that no qualified individual with a disability shall be </w:t>
      </w:r>
      <w:r w:rsidR="006474CA">
        <w:t>“</w:t>
      </w:r>
      <w:r w:rsidR="003D249D" w:rsidRPr="00167B8A">
        <w:t>excluded from the participation in, be denied the benefits of, or be subjected to discrimination under any program or activity</w:t>
      </w:r>
      <w:r w:rsidR="006474CA">
        <w:t>”</w:t>
      </w:r>
      <w:r w:rsidR="003D249D" w:rsidRPr="00167B8A">
        <w:t xml:space="preserve"> receiving federal financial assistance or conducted by a federal agency. Each federal agency establishes its own 504 regulations that apply to its programs and each federal agency is responsible for enforcing its own regulations. Requirements common to these regulations include reasonable accommodation for employees with disabilities; program accessibility; effective communication with people who have hearing or vision disabilities; and accessible new construction and alterations.</w:t>
      </w:r>
    </w:p>
    <w:p w14:paraId="5A8231DA" w14:textId="3982690C" w:rsidR="00296DA5" w:rsidRDefault="00D41EDD" w:rsidP="00411C98">
      <w:pPr>
        <w:pStyle w:val="NCDBodyText"/>
        <w:spacing w:line="240" w:lineRule="auto"/>
      </w:pPr>
      <w:r>
        <w:t>Section</w:t>
      </w:r>
      <w:r w:rsidR="003D249D" w:rsidRPr="00167B8A">
        <w:t xml:space="preserve"> 508 establishes requirements for electronic and information technology developed, maintained, procured, or used by the </w:t>
      </w:r>
      <w:r w:rsidR="00791726">
        <w:t>Federal Government</w:t>
      </w:r>
      <w:r w:rsidR="003D249D" w:rsidRPr="00167B8A">
        <w:t xml:space="preserve">. </w:t>
      </w:r>
      <w:r>
        <w:t>Section</w:t>
      </w:r>
      <w:r w:rsidR="003D249D" w:rsidRPr="00167B8A">
        <w:t xml:space="preserve"> 508 requires federal electronic and information technology to be accessible to people with disabilities, including employees and members of the public. </w:t>
      </w:r>
      <w:r w:rsidR="006474CA">
        <w:t>“</w:t>
      </w:r>
      <w:r w:rsidRPr="00260E5C">
        <w:t>Section</w:t>
      </w:r>
      <w:r w:rsidR="003D249D" w:rsidRPr="00260E5C">
        <w:t xml:space="preserve"> 508 was enacted to eliminate barriers in information technology, to make available new opportunities for people with disabilities and to encourage development of technologies that will help </w:t>
      </w:r>
      <w:r w:rsidR="003D249D" w:rsidRPr="00260E5C">
        <w:lastRenderedPageBreak/>
        <w:t xml:space="preserve">achieve these goals. </w:t>
      </w:r>
      <w:r w:rsidRPr="00260E5C">
        <w:t>Section</w:t>
      </w:r>
      <w:r w:rsidR="003D249D" w:rsidRPr="00260E5C">
        <w:t xml:space="preserve"> 508 requires that when federal agencies develop, procure, maintain, or use electronic and information technology, federal employees with disabilities have access to and use of information and data that is comparable to the access and use by federal employees who are not individuals with disabilities, unless an undue burden would be imposed on the agency. </w:t>
      </w:r>
      <w:r w:rsidRPr="00260E5C">
        <w:t>Section</w:t>
      </w:r>
      <w:r w:rsidR="003D249D" w:rsidRPr="00260E5C">
        <w:t xml:space="preserve"> 508 also requires that individuals with disabilities, who are members of the public seeking information or services from a federal agency, have access to and use of information and data that is comparable to that provided to the public who are not individuals with disabilities, unless an undue burden would be imposed on the agency.</w:t>
      </w:r>
      <w:r w:rsidR="006474CA">
        <w:t>”</w:t>
      </w:r>
      <w:r w:rsidR="003D249D" w:rsidRPr="00260E5C">
        <w:rPr>
          <w:rStyle w:val="EndnoteReference"/>
          <w:rFonts w:cs="Arial"/>
        </w:rPr>
        <w:endnoteReference w:id="309"/>
      </w:r>
      <w:r w:rsidR="003D249D" w:rsidRPr="00260E5C">
        <w:t xml:space="preserve"> Similar to </w:t>
      </w:r>
      <w:r w:rsidRPr="00260E5C">
        <w:t>Section</w:t>
      </w:r>
      <w:r w:rsidR="003D249D" w:rsidRPr="00260E5C">
        <w:t xml:space="preserve"> 504, each federal agency is charged with establishing and enforcing its 508 criteria.</w:t>
      </w:r>
    </w:p>
    <w:p w14:paraId="7BD3520B" w14:textId="7AD50DE0" w:rsidR="003D249D" w:rsidRPr="00167B8A" w:rsidRDefault="003D249D" w:rsidP="002B6E53">
      <w:pPr>
        <w:pStyle w:val="Heading2"/>
      </w:pPr>
      <w:bookmarkStart w:id="99" w:name="_Toc526182137"/>
      <w:r w:rsidRPr="00167B8A">
        <w:t>American</w:t>
      </w:r>
      <w:r>
        <w:t>s</w:t>
      </w:r>
      <w:r w:rsidRPr="00167B8A">
        <w:t xml:space="preserve"> with Disabilities Act</w:t>
      </w:r>
      <w:bookmarkEnd w:id="99"/>
    </w:p>
    <w:p w14:paraId="78DABF07" w14:textId="77777777" w:rsidR="00296DA5" w:rsidRDefault="003D249D" w:rsidP="00411C98">
      <w:pPr>
        <w:pStyle w:val="NCDBodyText"/>
        <w:spacing w:line="240" w:lineRule="auto"/>
      </w:pPr>
      <w:r w:rsidRPr="00167B8A">
        <w:t>The Americans with Disabilities Act</w:t>
      </w:r>
      <w:r>
        <w:t xml:space="preserve"> (ADA)</w:t>
      </w:r>
      <w:r w:rsidR="001428F5" w:rsidRPr="00B531F8">
        <w:rPr>
          <w:rStyle w:val="EndnoteReference"/>
          <w:rFonts w:cs="Arial"/>
        </w:rPr>
        <w:endnoteReference w:id="310"/>
      </w:r>
      <w:r w:rsidRPr="00167B8A">
        <w:t xml:space="preserve"> </w:t>
      </w:r>
      <w:r w:rsidR="00392C93">
        <w:t>of</w:t>
      </w:r>
      <w:r w:rsidRPr="00167B8A">
        <w:t xml:space="preserve"> 1990 </w:t>
      </w:r>
      <w:r w:rsidR="008104BC">
        <w:t xml:space="preserve">is </w:t>
      </w:r>
      <w:r w:rsidRPr="00167B8A">
        <w:t xml:space="preserve">heralded </w:t>
      </w:r>
      <w:r w:rsidR="008104BC">
        <w:t xml:space="preserve">as </w:t>
      </w:r>
      <w:r w:rsidRPr="00167B8A">
        <w:t>the nation</w:t>
      </w:r>
      <w:r w:rsidR="006474CA">
        <w:t>’</w:t>
      </w:r>
      <w:r w:rsidRPr="00167B8A">
        <w:t>s first comprehensive civil rights law addressing the needs of people with disabilities, prohibiting discrimination in employment, public services, public accommodations, and telecommunications. Modeled on the Civil Rights Act of 1964, the ADA gives recognition that discrimination based on disability is a violation of civil rights. The ADA affords protections to people with disabilities similar to those provided to people on the basis of race, color, sex, national origin, age, and religion, guaranteeing nondiscrimination on the basis of disability and equal opportunity in employment, state and local government services, transportation, public accommodations, and telecommunications.</w:t>
      </w:r>
    </w:p>
    <w:p w14:paraId="652B6E08" w14:textId="77777777" w:rsidR="00296DA5" w:rsidRDefault="003D249D" w:rsidP="00411C98">
      <w:pPr>
        <w:pStyle w:val="NCDBodyText"/>
        <w:spacing w:line="240" w:lineRule="auto"/>
        <w:rPr>
          <w:lang w:val="en"/>
        </w:rPr>
      </w:pPr>
      <w:r w:rsidRPr="00167B8A">
        <w:t>Title I of the ADA prohibits private employers, state and local governments, employment agencies</w:t>
      </w:r>
      <w:r w:rsidR="00A32575">
        <w:t>,</w:t>
      </w:r>
      <w:r w:rsidRPr="00167B8A">
        <w:t xml:space="preserve"> and labor unions from discriminating against qualified individuals with disabilities in job application procedures, hiring, firing, advancement, compensation, job training, and other terms, conditions, and privileges of employment. The ADA covers employers with 15 or more employees, including state and local governments. The </w:t>
      </w:r>
      <w:r w:rsidR="00673096">
        <w:t>EEOC</w:t>
      </w:r>
      <w:r w:rsidRPr="00167B8A">
        <w:t xml:space="preserve"> is charged with enforcement of Title I of the ADA.</w:t>
      </w:r>
    </w:p>
    <w:p w14:paraId="1BF86A66" w14:textId="77777777" w:rsidR="00296DA5" w:rsidRDefault="003D249D" w:rsidP="00411C98">
      <w:pPr>
        <w:pStyle w:val="NCDBodyText"/>
        <w:spacing w:line="240" w:lineRule="auto"/>
        <w:rPr>
          <w:rFonts w:eastAsia="Times New Roman"/>
        </w:rPr>
      </w:pPr>
      <w:r w:rsidRPr="00167B8A">
        <w:t xml:space="preserve">Title II of the ADA protects qualified individuals with disabilities from discrimination on the basis of disability in services, programs, and activities provided by state and local government entities. Title II extends the prohibition on discrimination established by </w:t>
      </w:r>
      <w:r w:rsidR="00D41EDD">
        <w:t>Section</w:t>
      </w:r>
      <w:r w:rsidRPr="00167B8A">
        <w:t xml:space="preserve"> 504 of the Rehabili</w:t>
      </w:r>
      <w:r>
        <w:t>tation Act of 1973, as amended</w:t>
      </w:r>
      <w:r>
        <w:rPr>
          <w:rStyle w:val="EndnoteReference"/>
          <w:rFonts w:cs="Arial"/>
        </w:rPr>
        <w:endnoteReference w:id="311"/>
      </w:r>
      <w:r w:rsidRPr="00167B8A">
        <w:t xml:space="preserve"> to all activities of state and local governments regardless of whether these entities receive </w:t>
      </w:r>
      <w:r w:rsidR="00A32575">
        <w:t>f</w:t>
      </w:r>
      <w:r w:rsidR="00A32575" w:rsidRPr="00167B8A">
        <w:t xml:space="preserve">ederal </w:t>
      </w:r>
      <w:r w:rsidRPr="00167B8A">
        <w:t xml:space="preserve">financial assistance. Except for matters involving public transportation services, the </w:t>
      </w:r>
      <w:r w:rsidR="008104BC">
        <w:t xml:space="preserve">DOJ </w:t>
      </w:r>
      <w:r w:rsidRPr="00167B8A">
        <w:t>is responsible for enforcement activities relat</w:t>
      </w:r>
      <w:r w:rsidR="008104BC">
        <w:t xml:space="preserve">ed to Title II, generally through </w:t>
      </w:r>
      <w:r w:rsidRPr="00167B8A">
        <w:t>DOJ</w:t>
      </w:r>
      <w:r w:rsidR="006474CA">
        <w:t>’</w:t>
      </w:r>
      <w:r w:rsidRPr="00167B8A">
        <w:t xml:space="preserve">s Civil Rights Division, Disability Rights </w:t>
      </w:r>
      <w:r w:rsidR="00D41EDD">
        <w:t>Section</w:t>
      </w:r>
      <w:r w:rsidRPr="00167B8A">
        <w:t xml:space="preserve">. </w:t>
      </w:r>
      <w:r w:rsidRPr="00167B8A">
        <w:rPr>
          <w:rFonts w:eastAsia="Times New Roman"/>
        </w:rPr>
        <w:t>Compliance and enforcement of Title II provisions covering public transportation services, such as city buses and public rail transi</w:t>
      </w:r>
      <w:r>
        <w:rPr>
          <w:rFonts w:eastAsia="Times New Roman"/>
        </w:rPr>
        <w:t>t (</w:t>
      </w:r>
      <w:r w:rsidR="00CF6EAA">
        <w:rPr>
          <w:rFonts w:eastAsia="Times New Roman"/>
        </w:rPr>
        <w:t xml:space="preserve">e.g., </w:t>
      </w:r>
      <w:r>
        <w:rPr>
          <w:rFonts w:eastAsia="Times New Roman"/>
        </w:rPr>
        <w:t>subways, and commuter rail</w:t>
      </w:r>
      <w:r w:rsidRPr="00167B8A">
        <w:rPr>
          <w:rFonts w:eastAsia="Times New Roman"/>
        </w:rPr>
        <w:t>)</w:t>
      </w:r>
      <w:r w:rsidR="009F6166">
        <w:rPr>
          <w:rFonts w:eastAsia="Times New Roman"/>
        </w:rPr>
        <w:t>,</w:t>
      </w:r>
      <w:r w:rsidRPr="00167B8A">
        <w:rPr>
          <w:rFonts w:eastAsia="Times New Roman"/>
        </w:rPr>
        <w:t xml:space="preserve"> are directed to the Federal Transit Administration, Department of Transportation, Office of Civil Rights.</w:t>
      </w:r>
    </w:p>
    <w:p w14:paraId="0F9926B8" w14:textId="77777777" w:rsidR="00296DA5" w:rsidRDefault="003D249D" w:rsidP="00411C98">
      <w:pPr>
        <w:pStyle w:val="NCDBodyText"/>
        <w:spacing w:line="240" w:lineRule="auto"/>
      </w:pPr>
      <w:r w:rsidRPr="00167B8A">
        <w:t>Title III of the ADA prohibits discrimination on the basis of disability in the activities of places of public accommodations, defined as businesses that are generally open to the public and that fall into one of 12 categories listed in the ADA, such as restaurants, movie theaters, schools, day care facilities, recreation facilities, and doctors</w:t>
      </w:r>
      <w:r w:rsidR="006474CA">
        <w:t>’</w:t>
      </w:r>
      <w:r w:rsidRPr="00167B8A">
        <w:t xml:space="preserve"> offices. Public accommodations must comply with basic nondiscrimination requirements that </w:t>
      </w:r>
      <w:r w:rsidRPr="00167B8A">
        <w:lastRenderedPageBreak/>
        <w:t>prohibit exclusion, segregation, and unequal treatment. Places of public accommodation also must comply with specific requirements related to architectural standards for new and altered buildings; reasonable modifications to policies, practices, and procedures; effective communication with people with hearing, vision, or speech disabilities; and other access requirements. Additionally, public accommodations must remove barriers in existing buildings where it is easy to do so without much difficulty or expense, given the public accommodation</w:t>
      </w:r>
      <w:r w:rsidR="006474CA">
        <w:t>’</w:t>
      </w:r>
      <w:r w:rsidRPr="00167B8A">
        <w:t>s resources. The Department of Justice is charged with enforcement of Title III.</w:t>
      </w:r>
    </w:p>
    <w:p w14:paraId="1BE4710D" w14:textId="77777777" w:rsidR="00296DA5" w:rsidRDefault="003D249D" w:rsidP="00411C98">
      <w:pPr>
        <w:pStyle w:val="NCDBodyText"/>
        <w:spacing w:line="240" w:lineRule="auto"/>
      </w:pPr>
      <w:r w:rsidRPr="00167B8A">
        <w:t>The ADA Amendments Act of 2008</w:t>
      </w:r>
      <w:r w:rsidRPr="00167B8A">
        <w:rPr>
          <w:rStyle w:val="EndnoteReference"/>
          <w:rFonts w:cs="Arial"/>
        </w:rPr>
        <w:endnoteReference w:id="312"/>
      </w:r>
      <w:r w:rsidRPr="00167B8A">
        <w:t xml:space="preserve"> (ADAAA), </w:t>
      </w:r>
      <w:r w:rsidR="008104BC">
        <w:t>re</w:t>
      </w:r>
      <w:r w:rsidRPr="00167B8A">
        <w:t xml:space="preserve">moved a number of unintended barriers and roadblocks to coverage under the original ADA and nullified judicial misinterpretations of </w:t>
      </w:r>
      <w:r w:rsidR="000918AA">
        <w:t>c</w:t>
      </w:r>
      <w:r w:rsidR="000918AA" w:rsidRPr="00167B8A">
        <w:t xml:space="preserve">ongressional </w:t>
      </w:r>
      <w:r w:rsidRPr="00167B8A">
        <w:t>intent. As described by the E</w:t>
      </w:r>
      <w:r>
        <w:t>EOC</w:t>
      </w:r>
      <w:r w:rsidR="001D3AA3">
        <w:rPr>
          <w:rFonts w:eastAsia="Times New Roman"/>
          <w:color w:val="333333"/>
          <w:lang w:val="en"/>
        </w:rPr>
        <w:t>, t</w:t>
      </w:r>
      <w:r w:rsidR="001D3AA3" w:rsidRPr="00167B8A">
        <w:rPr>
          <w:rFonts w:eastAsia="Times New Roman"/>
          <w:color w:val="333333"/>
          <w:lang w:val="en"/>
        </w:rPr>
        <w:t>he ADAAA</w:t>
      </w:r>
      <w:r>
        <w:t>:</w:t>
      </w:r>
    </w:p>
    <w:p w14:paraId="7C442120" w14:textId="77777777" w:rsidR="00296DA5" w:rsidRDefault="001D3AA3" w:rsidP="00411C98">
      <w:pPr>
        <w:pStyle w:val="NCDExtract"/>
        <w:spacing w:line="240" w:lineRule="auto"/>
        <w:rPr>
          <w:lang w:val="en"/>
        </w:rPr>
      </w:pPr>
      <w:r>
        <w:rPr>
          <w:lang w:val="en"/>
        </w:rPr>
        <w:t>e</w:t>
      </w:r>
      <w:r w:rsidR="003D249D" w:rsidRPr="00167B8A">
        <w:rPr>
          <w:lang w:val="en"/>
        </w:rPr>
        <w:t xml:space="preserve">mphasizes that the definition of disability should be construed in favor of broad coverage of individuals to the maximum extent permitted by the terms of the ADA and generally shall not require extensive analysis. The Act makes important changes to the definition of the term </w:t>
      </w:r>
      <w:r w:rsidR="006474CA">
        <w:rPr>
          <w:lang w:val="en"/>
        </w:rPr>
        <w:t>“</w:t>
      </w:r>
      <w:r w:rsidR="003D249D" w:rsidRPr="00167B8A">
        <w:rPr>
          <w:lang w:val="en"/>
        </w:rPr>
        <w:t>disability</w:t>
      </w:r>
      <w:r w:rsidR="006474CA">
        <w:rPr>
          <w:lang w:val="en"/>
        </w:rPr>
        <w:t>”</w:t>
      </w:r>
      <w:r w:rsidR="003D249D" w:rsidRPr="00167B8A">
        <w:rPr>
          <w:lang w:val="en"/>
        </w:rPr>
        <w:t xml:space="preserve"> by rejecting the holdings in several U.S. Supreme Court decisions and portions of EEOC</w:t>
      </w:r>
      <w:r w:rsidR="006474CA">
        <w:rPr>
          <w:lang w:val="en"/>
        </w:rPr>
        <w:t>’</w:t>
      </w:r>
      <w:r w:rsidR="003D249D" w:rsidRPr="00167B8A">
        <w:rPr>
          <w:lang w:val="en"/>
        </w:rPr>
        <w:t>s ADA regulations. The effect of these changes is to make it easier for an individual seeking protection under the ADA to establish that he or she has a disability within the meaning of the ADA</w:t>
      </w:r>
      <w:r>
        <w:rPr>
          <w:lang w:val="en"/>
        </w:rPr>
        <w:t>.</w:t>
      </w:r>
      <w:r w:rsidRPr="00167B8A">
        <w:rPr>
          <w:rStyle w:val="EndnoteReference"/>
        </w:rPr>
        <w:endnoteReference w:id="313"/>
      </w:r>
    </w:p>
    <w:p w14:paraId="0EBEEFD3" w14:textId="77777777" w:rsidR="00296DA5" w:rsidRDefault="003D249D" w:rsidP="00411C98">
      <w:pPr>
        <w:pStyle w:val="NCDBodyText"/>
        <w:spacing w:line="240" w:lineRule="auto"/>
        <w:rPr>
          <w:lang w:val="en"/>
        </w:rPr>
      </w:pPr>
      <w:r w:rsidRPr="00167B8A">
        <w:rPr>
          <w:lang w:val="en"/>
        </w:rPr>
        <w:t>The Act retains the ADA</w:t>
      </w:r>
      <w:r w:rsidR="006474CA">
        <w:rPr>
          <w:lang w:val="en"/>
        </w:rPr>
        <w:t>’</w:t>
      </w:r>
      <w:r w:rsidRPr="00167B8A">
        <w:rPr>
          <w:lang w:val="en"/>
        </w:rPr>
        <w:t xml:space="preserve">s basic definition of </w:t>
      </w:r>
      <w:r w:rsidR="006474CA">
        <w:rPr>
          <w:lang w:val="en"/>
        </w:rPr>
        <w:t>“</w:t>
      </w:r>
      <w:r w:rsidRPr="00167B8A">
        <w:rPr>
          <w:lang w:val="en"/>
        </w:rPr>
        <w:t>disability</w:t>
      </w:r>
      <w:r w:rsidR="006474CA">
        <w:rPr>
          <w:lang w:val="en"/>
        </w:rPr>
        <w:t>”</w:t>
      </w:r>
      <w:r w:rsidRPr="00167B8A">
        <w:rPr>
          <w:lang w:val="en"/>
        </w:rPr>
        <w:t xml:space="preserve"> as an impairment that substantially limits one or more major life activities, a record of such an impairment, or being regarded as having such an impairment. However, it changes the way that these statutory terms should be interpreted and most significantly directs EEOC to revise that portion of its regulations defining the term </w:t>
      </w:r>
      <w:r w:rsidR="006474CA">
        <w:rPr>
          <w:lang w:val="en"/>
        </w:rPr>
        <w:t>“</w:t>
      </w:r>
      <w:r w:rsidRPr="00167B8A">
        <w:rPr>
          <w:lang w:val="en"/>
        </w:rPr>
        <w:t>substantially limits</w:t>
      </w:r>
      <w:r w:rsidR="006474CA">
        <w:rPr>
          <w:lang w:val="en"/>
        </w:rPr>
        <w:t>”</w:t>
      </w:r>
      <w:r w:rsidR="00CF6EAA">
        <w:rPr>
          <w:lang w:val="en"/>
        </w:rPr>
        <w:t>;</w:t>
      </w:r>
      <w:r w:rsidRPr="00167B8A">
        <w:rPr>
          <w:lang w:val="en"/>
        </w:rPr>
        <w:t xml:space="preserve"> expands the definition of </w:t>
      </w:r>
      <w:r w:rsidR="006474CA">
        <w:rPr>
          <w:lang w:val="en"/>
        </w:rPr>
        <w:t>“</w:t>
      </w:r>
      <w:r w:rsidRPr="00167B8A">
        <w:rPr>
          <w:lang w:val="en"/>
        </w:rPr>
        <w:t>major life activities</w:t>
      </w:r>
      <w:r w:rsidR="006474CA">
        <w:rPr>
          <w:lang w:val="en"/>
        </w:rPr>
        <w:t>”</w:t>
      </w:r>
      <w:r w:rsidRPr="00167B8A">
        <w:rPr>
          <w:lang w:val="en"/>
        </w:rPr>
        <w:t xml:space="preserve"> by including two </w:t>
      </w:r>
      <w:proofErr w:type="spellStart"/>
      <w:r w:rsidR="00444926">
        <w:rPr>
          <w:lang w:val="en"/>
        </w:rPr>
        <w:t>non</w:t>
      </w:r>
      <w:r w:rsidRPr="00167B8A">
        <w:rPr>
          <w:lang w:val="en"/>
        </w:rPr>
        <w:t>exhaustive</w:t>
      </w:r>
      <w:proofErr w:type="spellEnd"/>
      <w:r w:rsidRPr="00167B8A">
        <w:rPr>
          <w:lang w:val="en"/>
        </w:rPr>
        <w:t xml:space="preserve"> lists; clarifies that an impairment that is episodic or in remission is a disability if it would substantially limit a major life activity when active; changes the definition of </w:t>
      </w:r>
      <w:r w:rsidR="006474CA">
        <w:rPr>
          <w:lang w:val="en"/>
        </w:rPr>
        <w:t>“</w:t>
      </w:r>
      <w:r w:rsidRPr="00167B8A">
        <w:rPr>
          <w:lang w:val="en"/>
        </w:rPr>
        <w:t>regarded as</w:t>
      </w:r>
      <w:r w:rsidR="006474CA">
        <w:rPr>
          <w:lang w:val="en"/>
        </w:rPr>
        <w:t>”</w:t>
      </w:r>
      <w:r w:rsidRPr="00167B8A">
        <w:rPr>
          <w:lang w:val="en"/>
        </w:rPr>
        <w:t xml:space="preserve"> so that it no longer requires a showing that the employer perceived the individual to be substantially limited in a major life activity, and instead says that an applicant or employee is </w:t>
      </w:r>
      <w:r w:rsidR="006474CA">
        <w:rPr>
          <w:lang w:val="en"/>
        </w:rPr>
        <w:t>“</w:t>
      </w:r>
      <w:r w:rsidRPr="00167B8A">
        <w:rPr>
          <w:lang w:val="en"/>
        </w:rPr>
        <w:t>regarded as</w:t>
      </w:r>
      <w:r w:rsidR="006474CA">
        <w:rPr>
          <w:lang w:val="en"/>
        </w:rPr>
        <w:t>”</w:t>
      </w:r>
      <w:r w:rsidRPr="00167B8A">
        <w:rPr>
          <w:lang w:val="en"/>
        </w:rPr>
        <w:t xml:space="preserve"> disabled if he or she is subject to an action prohibited by the ADA (e.g., failure to hire or termination) based on an impairment that is not transitory and minor).</w:t>
      </w:r>
    </w:p>
    <w:p w14:paraId="24BE2419" w14:textId="5CB7B59B" w:rsidR="003D249D" w:rsidRPr="00167B8A" w:rsidRDefault="003D249D" w:rsidP="002B6E53">
      <w:pPr>
        <w:pStyle w:val="Heading2"/>
      </w:pPr>
      <w:bookmarkStart w:id="100" w:name="_Toc526182138"/>
      <w:r>
        <w:t>Fair Labor Standards Act</w:t>
      </w:r>
      <w:bookmarkEnd w:id="100"/>
    </w:p>
    <w:p w14:paraId="6C4C36C9" w14:textId="77777777" w:rsidR="00296DA5" w:rsidRDefault="003D249D" w:rsidP="00411C98">
      <w:pPr>
        <w:pStyle w:val="NCDBodyText"/>
        <w:spacing w:line="240" w:lineRule="auto"/>
      </w:pPr>
      <w:r w:rsidRPr="00167B8A">
        <w:rPr>
          <w:lang w:val="en"/>
        </w:rPr>
        <w:t>The Fair Labor Standards Act (FLSA)</w:t>
      </w:r>
      <w:r w:rsidR="004B4C9D">
        <w:rPr>
          <w:lang w:val="en"/>
        </w:rPr>
        <w:t>,</w:t>
      </w:r>
      <w:r w:rsidR="001428F5" w:rsidRPr="00260E5C">
        <w:rPr>
          <w:rStyle w:val="EndnoteReference"/>
          <w:rFonts w:cs="Arial"/>
        </w:rPr>
        <w:endnoteReference w:id="314"/>
      </w:r>
      <w:r w:rsidRPr="00260E5C">
        <w:rPr>
          <w:lang w:val="en"/>
        </w:rPr>
        <w:t xml:space="preserve"> </w:t>
      </w:r>
      <w:r w:rsidRPr="00167B8A">
        <w:rPr>
          <w:lang w:val="en"/>
        </w:rPr>
        <w:t xml:space="preserve">enacted in 1938, establishes minimum wage, overtime pay, recordkeeping, and child labor standards affecting full-time and part-time workers in both the private sector and in federal, state, and local governments. The purpose of the FLSA was to eliminate </w:t>
      </w:r>
      <w:r w:rsidR="006474CA">
        <w:rPr>
          <w:lang w:val="en"/>
        </w:rPr>
        <w:t>“</w:t>
      </w:r>
      <w:r w:rsidRPr="00167B8A">
        <w:t>labor conditions detrimental to the maintenance of the minimum standard of living necessary for health, efficiency, and general well-being of workers.</w:t>
      </w:r>
      <w:r w:rsidR="006474CA">
        <w:t>”</w:t>
      </w:r>
      <w:r w:rsidRPr="00167B8A">
        <w:rPr>
          <w:rStyle w:val="EndnoteReference"/>
          <w:rFonts w:cs="Arial"/>
        </w:rPr>
        <w:endnoteReference w:id="315"/>
      </w:r>
    </w:p>
    <w:p w14:paraId="73311B05" w14:textId="4E033670" w:rsidR="003D249D" w:rsidRPr="00167B8A" w:rsidRDefault="003D249D" w:rsidP="002B6E53">
      <w:pPr>
        <w:pStyle w:val="Heading2"/>
      </w:pPr>
      <w:bookmarkStart w:id="101" w:name="_Toc526182139"/>
      <w:r>
        <w:lastRenderedPageBreak/>
        <w:t xml:space="preserve">Family </w:t>
      </w:r>
      <w:r w:rsidR="00A371DF">
        <w:t xml:space="preserve">and </w:t>
      </w:r>
      <w:r>
        <w:t>Medical Leave Act</w:t>
      </w:r>
      <w:bookmarkEnd w:id="101"/>
    </w:p>
    <w:p w14:paraId="714E1C15" w14:textId="4D794EB2" w:rsidR="00296DA5" w:rsidRPr="000332FA" w:rsidRDefault="003D249D" w:rsidP="00411C98">
      <w:pPr>
        <w:pStyle w:val="NCDBodyText"/>
        <w:spacing w:line="240" w:lineRule="auto"/>
        <w:rPr>
          <w:spacing w:val="-2"/>
          <w:lang w:val="en"/>
        </w:rPr>
      </w:pPr>
      <w:r w:rsidRPr="000332FA">
        <w:rPr>
          <w:spacing w:val="-2"/>
          <w:lang w:val="en"/>
        </w:rPr>
        <w:t>The Family</w:t>
      </w:r>
      <w:r w:rsidR="00A371DF" w:rsidRPr="000332FA">
        <w:rPr>
          <w:spacing w:val="-2"/>
          <w:lang w:val="en"/>
        </w:rPr>
        <w:t xml:space="preserve"> and</w:t>
      </w:r>
      <w:r w:rsidRPr="000332FA">
        <w:rPr>
          <w:spacing w:val="-2"/>
          <w:lang w:val="en"/>
        </w:rPr>
        <w:t xml:space="preserve"> Medical Leave Act (FMLA)</w:t>
      </w:r>
      <w:r w:rsidR="001428F5" w:rsidRPr="000332FA">
        <w:rPr>
          <w:rStyle w:val="EndnoteReference"/>
          <w:rFonts w:cs="Arial"/>
          <w:spacing w:val="-2"/>
        </w:rPr>
        <w:endnoteReference w:id="316"/>
      </w:r>
      <w:r w:rsidRPr="000332FA">
        <w:rPr>
          <w:spacing w:val="-2"/>
          <w:lang w:val="en"/>
        </w:rPr>
        <w:t xml:space="preserve"> of 1993</w:t>
      </w:r>
      <w:r w:rsidR="000E6112" w:rsidRPr="000332FA">
        <w:rPr>
          <w:spacing w:val="-2"/>
          <w:lang w:val="en"/>
        </w:rPr>
        <w:t>,</w:t>
      </w:r>
      <w:r w:rsidRPr="000332FA">
        <w:rPr>
          <w:spacing w:val="-2"/>
          <w:lang w:val="en"/>
        </w:rPr>
        <w:t xml:space="preserve"> as amended</w:t>
      </w:r>
      <w:r w:rsidR="000E6112" w:rsidRPr="000332FA">
        <w:rPr>
          <w:spacing w:val="-2"/>
          <w:lang w:val="en"/>
        </w:rPr>
        <w:t>,</w:t>
      </w:r>
      <w:r w:rsidRPr="000332FA">
        <w:rPr>
          <w:spacing w:val="-2"/>
          <w:lang w:val="en"/>
        </w:rPr>
        <w:t xml:space="preserve"> entitles eligible employees of covered employers to take unpaid, job-protected leave for specified family and medical reasons with continuation of group health insurance coverage under the same terms and conditions as if the employee had not taken leave. Eligible </w:t>
      </w:r>
      <w:r w:rsidR="005C6145" w:rsidRPr="000332FA">
        <w:rPr>
          <w:spacing w:val="-2"/>
          <w:lang w:val="en"/>
        </w:rPr>
        <w:t>employees are entitled to 12</w:t>
      </w:r>
      <w:r w:rsidRPr="000332FA">
        <w:rPr>
          <w:spacing w:val="-2"/>
          <w:lang w:val="en"/>
        </w:rPr>
        <w:t xml:space="preserve"> workweeks of leave i</w:t>
      </w:r>
      <w:r w:rsidR="008104BC" w:rsidRPr="000332FA">
        <w:rPr>
          <w:spacing w:val="-2"/>
          <w:lang w:val="en"/>
        </w:rPr>
        <w:t>n a 12-month period for</w:t>
      </w:r>
      <w:r w:rsidR="005C6145" w:rsidRPr="000332FA">
        <w:rPr>
          <w:spacing w:val="-2"/>
          <w:lang w:val="en"/>
        </w:rPr>
        <w:t xml:space="preserve"> </w:t>
      </w:r>
      <w:r w:rsidR="009A1515" w:rsidRPr="000332FA">
        <w:rPr>
          <w:spacing w:val="-2"/>
          <w:lang w:val="en"/>
        </w:rPr>
        <w:t>(</w:t>
      </w:r>
      <w:r w:rsidR="004B4C9D" w:rsidRPr="000332FA">
        <w:rPr>
          <w:spacing w:val="-2"/>
          <w:lang w:val="en"/>
        </w:rPr>
        <w:t>1</w:t>
      </w:r>
      <w:r w:rsidR="008104BC" w:rsidRPr="000332FA">
        <w:rPr>
          <w:spacing w:val="-2"/>
          <w:lang w:val="en"/>
        </w:rPr>
        <w:t>) t</w:t>
      </w:r>
      <w:r w:rsidRPr="000332FA">
        <w:rPr>
          <w:spacing w:val="-2"/>
          <w:lang w:val="en"/>
        </w:rPr>
        <w:t xml:space="preserve">he birth of a child and to care for the newborn within </w:t>
      </w:r>
      <w:r w:rsidR="008104BC" w:rsidRPr="000332FA">
        <w:rPr>
          <w:spacing w:val="-2"/>
          <w:lang w:val="en"/>
        </w:rPr>
        <w:t>a</w:t>
      </w:r>
      <w:r w:rsidRPr="000332FA">
        <w:rPr>
          <w:spacing w:val="-2"/>
          <w:lang w:val="en"/>
        </w:rPr>
        <w:t xml:space="preserve"> year of birth;</w:t>
      </w:r>
      <w:r w:rsidR="008104BC" w:rsidRPr="000332FA">
        <w:rPr>
          <w:spacing w:val="-2"/>
          <w:lang w:val="en"/>
        </w:rPr>
        <w:t xml:space="preserve"> </w:t>
      </w:r>
      <w:r w:rsidR="009A1515" w:rsidRPr="000332FA">
        <w:rPr>
          <w:spacing w:val="-2"/>
          <w:lang w:val="en"/>
        </w:rPr>
        <w:t>(</w:t>
      </w:r>
      <w:r w:rsidR="004B4C9D" w:rsidRPr="000332FA">
        <w:rPr>
          <w:spacing w:val="-2"/>
          <w:lang w:val="en"/>
        </w:rPr>
        <w:t>2</w:t>
      </w:r>
      <w:r w:rsidR="008104BC" w:rsidRPr="000332FA">
        <w:rPr>
          <w:spacing w:val="-2"/>
          <w:lang w:val="en"/>
        </w:rPr>
        <w:t>) after</w:t>
      </w:r>
      <w:r w:rsidRPr="000332FA">
        <w:rPr>
          <w:spacing w:val="-2"/>
          <w:lang w:val="en"/>
        </w:rPr>
        <w:t xml:space="preserve"> placement of a child for adoption or foster care and to care for the newly placed child </w:t>
      </w:r>
      <w:r w:rsidR="008104BC" w:rsidRPr="000332FA">
        <w:rPr>
          <w:spacing w:val="-2"/>
          <w:lang w:val="en"/>
        </w:rPr>
        <w:t xml:space="preserve">for </w:t>
      </w:r>
      <w:r w:rsidRPr="000332FA">
        <w:rPr>
          <w:spacing w:val="-2"/>
          <w:lang w:val="en"/>
        </w:rPr>
        <w:t xml:space="preserve">one year </w:t>
      </w:r>
      <w:r w:rsidR="008104BC" w:rsidRPr="000332FA">
        <w:rPr>
          <w:spacing w:val="-2"/>
          <w:lang w:val="en"/>
        </w:rPr>
        <w:t>from the</w:t>
      </w:r>
      <w:r w:rsidR="00716D6A" w:rsidRPr="000332FA">
        <w:rPr>
          <w:spacing w:val="-2"/>
          <w:lang w:val="en"/>
        </w:rPr>
        <w:t xml:space="preserve"> </w:t>
      </w:r>
      <w:r w:rsidRPr="000332FA">
        <w:rPr>
          <w:spacing w:val="-2"/>
          <w:lang w:val="en"/>
        </w:rPr>
        <w:t>placement;</w:t>
      </w:r>
      <w:r w:rsidR="005C6145" w:rsidRPr="000332FA">
        <w:rPr>
          <w:spacing w:val="-2"/>
          <w:lang w:val="en"/>
        </w:rPr>
        <w:t xml:space="preserve"> </w:t>
      </w:r>
      <w:r w:rsidR="000332FA" w:rsidRPr="000332FA">
        <w:rPr>
          <w:spacing w:val="-2"/>
          <w:lang w:val="en"/>
        </w:rPr>
        <w:br/>
      </w:r>
      <w:r w:rsidR="009A1515" w:rsidRPr="000332FA">
        <w:rPr>
          <w:spacing w:val="-2"/>
          <w:lang w:val="en"/>
        </w:rPr>
        <w:t>(</w:t>
      </w:r>
      <w:r w:rsidR="004B4C9D" w:rsidRPr="000332FA">
        <w:rPr>
          <w:spacing w:val="-2"/>
          <w:lang w:val="en"/>
        </w:rPr>
        <w:t>3</w:t>
      </w:r>
      <w:r w:rsidR="008104BC" w:rsidRPr="000332FA">
        <w:rPr>
          <w:spacing w:val="-2"/>
          <w:lang w:val="en"/>
        </w:rPr>
        <w:t>) t</w:t>
      </w:r>
      <w:r w:rsidRPr="000332FA">
        <w:rPr>
          <w:spacing w:val="-2"/>
          <w:lang w:val="en"/>
        </w:rPr>
        <w:t xml:space="preserve">o care </w:t>
      </w:r>
      <w:r w:rsidR="008104BC" w:rsidRPr="000332FA">
        <w:rPr>
          <w:spacing w:val="-2"/>
          <w:lang w:val="en"/>
        </w:rPr>
        <w:t>for a</w:t>
      </w:r>
      <w:r w:rsidRPr="000332FA">
        <w:rPr>
          <w:spacing w:val="-2"/>
          <w:lang w:val="en"/>
        </w:rPr>
        <w:t xml:space="preserve"> spouse, child, or parent who has a serious health condition;</w:t>
      </w:r>
      <w:r w:rsidR="005C6145" w:rsidRPr="000332FA">
        <w:rPr>
          <w:spacing w:val="-2"/>
          <w:lang w:val="en"/>
        </w:rPr>
        <w:t xml:space="preserve"> </w:t>
      </w:r>
      <w:r w:rsidR="009A1515" w:rsidRPr="000332FA">
        <w:rPr>
          <w:spacing w:val="-2"/>
          <w:lang w:val="en"/>
        </w:rPr>
        <w:t>(</w:t>
      </w:r>
      <w:r w:rsidR="004B4C9D" w:rsidRPr="000332FA">
        <w:rPr>
          <w:spacing w:val="-2"/>
          <w:lang w:val="en"/>
        </w:rPr>
        <w:t>4</w:t>
      </w:r>
      <w:r w:rsidR="008104BC" w:rsidRPr="000332FA">
        <w:rPr>
          <w:spacing w:val="-2"/>
          <w:lang w:val="en"/>
        </w:rPr>
        <w:t>) a</w:t>
      </w:r>
      <w:r w:rsidRPr="000332FA">
        <w:rPr>
          <w:spacing w:val="-2"/>
          <w:lang w:val="en"/>
        </w:rPr>
        <w:t xml:space="preserve"> serious health condition that makes the employee unable to perform the essential functions of his or her job;</w:t>
      </w:r>
      <w:r w:rsidR="005C6145" w:rsidRPr="000332FA">
        <w:rPr>
          <w:spacing w:val="-2"/>
          <w:lang w:val="en"/>
        </w:rPr>
        <w:t xml:space="preserve"> or </w:t>
      </w:r>
      <w:r w:rsidR="009A1515" w:rsidRPr="000332FA">
        <w:rPr>
          <w:spacing w:val="-2"/>
          <w:lang w:val="en"/>
        </w:rPr>
        <w:t>(</w:t>
      </w:r>
      <w:r w:rsidR="000F438F" w:rsidRPr="000332FA">
        <w:rPr>
          <w:spacing w:val="-2"/>
          <w:lang w:val="en"/>
        </w:rPr>
        <w:t>5</w:t>
      </w:r>
      <w:r w:rsidR="005C6145" w:rsidRPr="000332FA">
        <w:rPr>
          <w:spacing w:val="-2"/>
          <w:lang w:val="en"/>
        </w:rPr>
        <w:t>) a</w:t>
      </w:r>
      <w:r w:rsidRPr="000332FA">
        <w:rPr>
          <w:spacing w:val="-2"/>
          <w:lang w:val="en"/>
        </w:rPr>
        <w:t xml:space="preserve">ny </w:t>
      </w:r>
      <w:r w:rsidR="006474CA" w:rsidRPr="000332FA">
        <w:rPr>
          <w:spacing w:val="-2"/>
          <w:lang w:val="en"/>
        </w:rPr>
        <w:t>“</w:t>
      </w:r>
      <w:r w:rsidRPr="000332FA">
        <w:rPr>
          <w:spacing w:val="-2"/>
          <w:lang w:val="en"/>
        </w:rPr>
        <w:t>qualifying exigency</w:t>
      </w:r>
      <w:r w:rsidR="006474CA" w:rsidRPr="000332FA">
        <w:rPr>
          <w:spacing w:val="-2"/>
          <w:lang w:val="en"/>
        </w:rPr>
        <w:t>”</w:t>
      </w:r>
      <w:r w:rsidRPr="000332FA">
        <w:rPr>
          <w:spacing w:val="-2"/>
          <w:lang w:val="en"/>
        </w:rPr>
        <w:t xml:space="preserve"> arising out of the fact that the employee</w:t>
      </w:r>
      <w:r w:rsidR="006474CA" w:rsidRPr="000332FA">
        <w:rPr>
          <w:spacing w:val="-2"/>
          <w:lang w:val="en"/>
        </w:rPr>
        <w:t>’</w:t>
      </w:r>
      <w:r w:rsidRPr="000332FA">
        <w:rPr>
          <w:spacing w:val="-2"/>
          <w:lang w:val="en"/>
        </w:rPr>
        <w:t>s spouse, son, daughter, or parent is a covered military</w:t>
      </w:r>
      <w:r w:rsidR="005C6145" w:rsidRPr="000332FA">
        <w:rPr>
          <w:spacing w:val="-2"/>
          <w:lang w:val="en"/>
        </w:rPr>
        <w:t xml:space="preserve"> member on </w:t>
      </w:r>
      <w:r w:rsidR="006474CA" w:rsidRPr="000332FA">
        <w:rPr>
          <w:spacing w:val="-2"/>
          <w:lang w:val="en"/>
        </w:rPr>
        <w:t>“</w:t>
      </w:r>
      <w:r w:rsidR="005C6145" w:rsidRPr="000332FA">
        <w:rPr>
          <w:spacing w:val="-2"/>
          <w:lang w:val="en"/>
        </w:rPr>
        <w:t>covered active duty.</w:t>
      </w:r>
      <w:r w:rsidR="006474CA" w:rsidRPr="000332FA">
        <w:rPr>
          <w:spacing w:val="-2"/>
          <w:lang w:val="en"/>
        </w:rPr>
        <w:t>”</w:t>
      </w:r>
      <w:r w:rsidRPr="000332FA">
        <w:rPr>
          <w:spacing w:val="-2"/>
          <w:lang w:val="en"/>
        </w:rPr>
        <w:t xml:space="preserve"> </w:t>
      </w:r>
      <w:r w:rsidR="005C6145" w:rsidRPr="000332FA">
        <w:rPr>
          <w:bCs/>
          <w:spacing w:val="-2"/>
          <w:lang w:val="en"/>
        </w:rPr>
        <w:t xml:space="preserve">The FMLA also provides for </w:t>
      </w:r>
      <w:r w:rsidR="005C6145" w:rsidRPr="000332FA">
        <w:rPr>
          <w:spacing w:val="-2"/>
          <w:lang w:val="en"/>
        </w:rPr>
        <w:t>26</w:t>
      </w:r>
      <w:r w:rsidRPr="000332FA">
        <w:rPr>
          <w:spacing w:val="-2"/>
          <w:lang w:val="en"/>
        </w:rPr>
        <w:t xml:space="preserve"> workweeks of leave during a single</w:t>
      </w:r>
      <w:r w:rsidR="000332FA" w:rsidRPr="000332FA">
        <w:rPr>
          <w:spacing w:val="-2"/>
          <w:lang w:val="en"/>
        </w:rPr>
        <w:t xml:space="preserve"> </w:t>
      </w:r>
      <w:r w:rsidRPr="000332FA">
        <w:rPr>
          <w:spacing w:val="-2"/>
          <w:lang w:val="en"/>
        </w:rPr>
        <w:t>12-month period to care for a covered service member with a serious injury or illness if the eligible employee is the service member</w:t>
      </w:r>
      <w:r w:rsidR="006474CA" w:rsidRPr="000332FA">
        <w:rPr>
          <w:spacing w:val="-2"/>
          <w:lang w:val="en"/>
        </w:rPr>
        <w:t>’</w:t>
      </w:r>
      <w:r w:rsidRPr="000332FA">
        <w:rPr>
          <w:spacing w:val="-2"/>
          <w:lang w:val="en"/>
        </w:rPr>
        <w:t>s spouse, son, daughter, parent, or next o</w:t>
      </w:r>
      <w:r w:rsidR="005C6145" w:rsidRPr="000332FA">
        <w:rPr>
          <w:spacing w:val="-2"/>
          <w:lang w:val="en"/>
        </w:rPr>
        <w:t>f kin</w:t>
      </w:r>
      <w:r w:rsidRPr="000332FA">
        <w:rPr>
          <w:spacing w:val="-2"/>
          <w:lang w:val="en"/>
        </w:rPr>
        <w:t>.</w:t>
      </w:r>
    </w:p>
    <w:p w14:paraId="573DEFF1" w14:textId="3C97EF8F" w:rsidR="00296DA5" w:rsidRDefault="00D41EDD" w:rsidP="00411C98">
      <w:pPr>
        <w:pStyle w:val="NCDBodyText"/>
        <w:spacing w:line="240" w:lineRule="auto"/>
      </w:pPr>
      <w:r>
        <w:t>Section</w:t>
      </w:r>
      <w:r w:rsidR="003D249D" w:rsidRPr="00167B8A">
        <w:t xml:space="preserve"> 105 o</w:t>
      </w:r>
      <w:r w:rsidR="005C6145">
        <w:t xml:space="preserve">f the FMLA expressly prohibits </w:t>
      </w:r>
      <w:r w:rsidR="009A1515">
        <w:t>(</w:t>
      </w:r>
      <w:r w:rsidR="000F438F">
        <w:t>1</w:t>
      </w:r>
      <w:r w:rsidR="005C6145">
        <w:t>) a</w:t>
      </w:r>
      <w:r w:rsidR="003D249D" w:rsidRPr="00167B8A">
        <w:t>n employer from interfering with, restraining, or denying the exercise of, or the attempt to exercise, any FMLA r</w:t>
      </w:r>
      <w:r w:rsidR="005C6145">
        <w:t xml:space="preserve">ight; </w:t>
      </w:r>
      <w:r w:rsidR="00A62CBE">
        <w:br/>
      </w:r>
      <w:r w:rsidR="009A1515">
        <w:t>(</w:t>
      </w:r>
      <w:r w:rsidR="000F438F">
        <w:t>2</w:t>
      </w:r>
      <w:r w:rsidR="005C6145">
        <w:t>) a</w:t>
      </w:r>
      <w:r w:rsidR="003D249D" w:rsidRPr="00167B8A">
        <w:t>n employer from discriminating or retaliating against an employee or prospective employee for having exercised or attemp</w:t>
      </w:r>
      <w:r w:rsidR="003165C7">
        <w:t xml:space="preserve">ted to exercise any FMLA right; </w:t>
      </w:r>
      <w:r w:rsidR="009A1515">
        <w:t>(</w:t>
      </w:r>
      <w:r w:rsidR="000F438F">
        <w:t>3</w:t>
      </w:r>
      <w:r w:rsidR="003165C7">
        <w:t>) a</w:t>
      </w:r>
      <w:r w:rsidR="003D249D" w:rsidRPr="00167B8A">
        <w:t>n employer from discharging or in any other way discriminating against any person, whether or not an employee, for opposing or complaining about any unlawful practice under the FMLA</w:t>
      </w:r>
      <w:r w:rsidR="003165C7">
        <w:t>, or providing information or testifying in connection with an inquiry or proceeding related to a rights under the FMLA</w:t>
      </w:r>
      <w:r w:rsidR="003D249D" w:rsidRPr="00167B8A">
        <w:t xml:space="preserve">. </w:t>
      </w:r>
      <w:r w:rsidR="003165C7">
        <w:t>The Act also prohibits a</w:t>
      </w:r>
      <w:r w:rsidR="003D249D" w:rsidRPr="00167B8A">
        <w:t>ll persons, whether or not employers, from discharging or in any other way discriminating against any person, whether or not an employee, because that person has filed any charge</w:t>
      </w:r>
      <w:r w:rsidR="000753AA">
        <w:t xml:space="preserve"> or</w:t>
      </w:r>
      <w:r w:rsidR="000753AA" w:rsidRPr="00167B8A">
        <w:t xml:space="preserve"> </w:t>
      </w:r>
      <w:r w:rsidR="003D249D" w:rsidRPr="00167B8A">
        <w:t>has instituted, or caused to be instituted, any proceeding under or related to the FMLA</w:t>
      </w:r>
      <w:r w:rsidR="000E6112">
        <w:t>.</w:t>
      </w:r>
    </w:p>
    <w:p w14:paraId="4D4C7159" w14:textId="77777777" w:rsidR="00296DA5" w:rsidRDefault="003D249D" w:rsidP="00411C98">
      <w:pPr>
        <w:pStyle w:val="NCDBodyText"/>
        <w:spacing w:line="240" w:lineRule="auto"/>
      </w:pPr>
      <w:r w:rsidRPr="00167B8A">
        <w:t>Examples of pro</w:t>
      </w:r>
      <w:r w:rsidR="00260E5C">
        <w:t xml:space="preserve">hibited conduct include </w:t>
      </w:r>
      <w:r w:rsidRPr="00167B8A">
        <w:t>refusing to authorize FMLA leave for an eligible employee; discouraging an employee from using FMLA leave; manipulating an employee</w:t>
      </w:r>
      <w:r w:rsidR="006474CA">
        <w:t>’</w:t>
      </w:r>
      <w:r w:rsidRPr="00167B8A">
        <w:t>s work hours to avoid responsibilities under the FMLA; using an employee</w:t>
      </w:r>
      <w:r w:rsidR="006474CA">
        <w:t>’</w:t>
      </w:r>
      <w:r w:rsidRPr="00167B8A">
        <w:t xml:space="preserve">s request for, or use of, FMLA leave as a negative factor in employment actions, such as hiring, promotions, or disciplinary actions; or counting FMLA leave under </w:t>
      </w:r>
      <w:r w:rsidR="006474CA">
        <w:t>“</w:t>
      </w:r>
      <w:r w:rsidRPr="00167B8A">
        <w:t>no fault</w:t>
      </w:r>
      <w:r w:rsidR="006474CA">
        <w:t>”</w:t>
      </w:r>
      <w:r w:rsidRPr="00167B8A">
        <w:t xml:space="preserve"> attendance policies.</w:t>
      </w:r>
    </w:p>
    <w:p w14:paraId="7F463774" w14:textId="7E2ADC25" w:rsidR="003D249D" w:rsidRPr="002B6E53" w:rsidRDefault="003D249D" w:rsidP="002B6E53">
      <w:pPr>
        <w:pStyle w:val="Heading2"/>
      </w:pPr>
      <w:bookmarkStart w:id="102" w:name="_Toc526182140"/>
      <w:r w:rsidRPr="002B6E53">
        <w:t>Genetic Information Nondiscrimination Act</w:t>
      </w:r>
      <w:bookmarkEnd w:id="102"/>
    </w:p>
    <w:p w14:paraId="49366F7B" w14:textId="77777777" w:rsidR="00296DA5" w:rsidRDefault="003D249D" w:rsidP="00411C98">
      <w:pPr>
        <w:pStyle w:val="NCDBodyText"/>
        <w:spacing w:line="240" w:lineRule="auto"/>
        <w:rPr>
          <w:lang w:val="en"/>
        </w:rPr>
      </w:pPr>
      <w:r w:rsidRPr="00167B8A">
        <w:rPr>
          <w:lang w:val="en"/>
        </w:rPr>
        <w:t xml:space="preserve">The </w:t>
      </w:r>
      <w:r w:rsidRPr="00167B8A">
        <w:rPr>
          <w:color w:val="000000" w:themeColor="text1"/>
          <w:lang w:val="en"/>
        </w:rPr>
        <w:t>Genetic</w:t>
      </w:r>
      <w:r w:rsidR="00873BDB">
        <w:rPr>
          <w:color w:val="000000" w:themeColor="text1"/>
          <w:u w:val="single"/>
          <w:lang w:val="en"/>
        </w:rPr>
        <w:t xml:space="preserve"> </w:t>
      </w:r>
      <w:r w:rsidRPr="00167B8A">
        <w:rPr>
          <w:color w:val="000000" w:themeColor="text1"/>
          <w:lang w:val="en"/>
        </w:rPr>
        <w:t>Information Nondiscrimination Act (GINA)</w:t>
      </w:r>
      <w:r w:rsidR="001428F5" w:rsidRPr="00260E5C">
        <w:rPr>
          <w:rStyle w:val="EndnoteReference"/>
          <w:rFonts w:eastAsia="Times New Roman" w:cs="Arial"/>
          <w:lang w:val="en"/>
        </w:rPr>
        <w:endnoteReference w:id="317"/>
      </w:r>
      <w:r w:rsidRPr="00260E5C">
        <w:rPr>
          <w:color w:val="000000" w:themeColor="text1"/>
          <w:lang w:val="en"/>
        </w:rPr>
        <w:t xml:space="preserve"> </w:t>
      </w:r>
      <w:r w:rsidRPr="00167B8A">
        <w:rPr>
          <w:color w:val="000000" w:themeColor="text1"/>
          <w:lang w:val="en"/>
        </w:rPr>
        <w:t xml:space="preserve">was </w:t>
      </w:r>
      <w:r w:rsidRPr="00167B8A">
        <w:rPr>
          <w:lang w:val="en"/>
        </w:rPr>
        <w:t>signed into law on May 21, 2008</w:t>
      </w:r>
      <w:r w:rsidR="00D64E18">
        <w:rPr>
          <w:lang w:val="en"/>
        </w:rPr>
        <w:t>,</w:t>
      </w:r>
      <w:r w:rsidRPr="00167B8A">
        <w:rPr>
          <w:lang w:val="en"/>
        </w:rPr>
        <w:t xml:space="preserve"> to protect people against discrimination based on their genetic information in health coverage and in employment. GINA is divided into two titles. Title I of GINA prohibits discrimination based on genetic information in he</w:t>
      </w:r>
      <w:r w:rsidR="00873BDB">
        <w:rPr>
          <w:lang w:val="en"/>
        </w:rPr>
        <w:t>alth coverage</w:t>
      </w:r>
      <w:r w:rsidR="00CC120B">
        <w:rPr>
          <w:lang w:val="en"/>
        </w:rPr>
        <w:t>,</w:t>
      </w:r>
      <w:r w:rsidR="00873BDB">
        <w:rPr>
          <w:lang w:val="en"/>
        </w:rPr>
        <w:t xml:space="preserve"> while Title II </w:t>
      </w:r>
      <w:r w:rsidRPr="00167B8A">
        <w:rPr>
          <w:lang w:val="en"/>
        </w:rPr>
        <w:t>prohibits discrimination based on genetic information in employment. The Departme</w:t>
      </w:r>
      <w:r w:rsidR="00873BDB">
        <w:rPr>
          <w:lang w:val="en"/>
        </w:rPr>
        <w:t>nt of Health and Human Services</w:t>
      </w:r>
      <w:r w:rsidR="006474CA">
        <w:rPr>
          <w:lang w:val="en"/>
        </w:rPr>
        <w:t>’</w:t>
      </w:r>
      <w:r w:rsidRPr="00167B8A">
        <w:rPr>
          <w:lang w:val="en"/>
        </w:rPr>
        <w:t xml:space="preserve"> </w:t>
      </w:r>
      <w:r w:rsidR="00873BDB">
        <w:rPr>
          <w:lang w:val="en"/>
        </w:rPr>
        <w:t>Office of Civil Rights and</w:t>
      </w:r>
      <w:r w:rsidR="00873BDB" w:rsidRPr="00167B8A">
        <w:rPr>
          <w:lang w:val="en"/>
        </w:rPr>
        <w:t xml:space="preserve"> Centers for Medicare and Medicaid Services</w:t>
      </w:r>
      <w:r w:rsidR="00873BDB">
        <w:rPr>
          <w:lang w:val="en"/>
        </w:rPr>
        <w:t>,</w:t>
      </w:r>
      <w:r w:rsidR="00873BDB" w:rsidRPr="00167B8A">
        <w:rPr>
          <w:lang w:val="en"/>
        </w:rPr>
        <w:t xml:space="preserve"> </w:t>
      </w:r>
      <w:r w:rsidRPr="00167B8A">
        <w:rPr>
          <w:lang w:val="en"/>
        </w:rPr>
        <w:t xml:space="preserve">the Department of Labor, and </w:t>
      </w:r>
      <w:r w:rsidR="00873BDB">
        <w:rPr>
          <w:lang w:val="en"/>
        </w:rPr>
        <w:t xml:space="preserve">the Department of the Treasury </w:t>
      </w:r>
      <w:r w:rsidRPr="00167B8A">
        <w:rPr>
          <w:lang w:val="en"/>
        </w:rPr>
        <w:t xml:space="preserve">all have responsibility for issuing regulations under </w:t>
      </w:r>
      <w:r w:rsidR="00873BDB" w:rsidRPr="00167B8A">
        <w:rPr>
          <w:lang w:val="en"/>
        </w:rPr>
        <w:t xml:space="preserve">Title I </w:t>
      </w:r>
      <w:r w:rsidR="00873BDB">
        <w:rPr>
          <w:lang w:val="en"/>
        </w:rPr>
        <w:t xml:space="preserve">of </w:t>
      </w:r>
      <w:r w:rsidRPr="00167B8A">
        <w:rPr>
          <w:lang w:val="en"/>
        </w:rPr>
        <w:t xml:space="preserve">GINA to prohibit discrimination based on genetic information by group health plans and health insurance issuers. </w:t>
      </w:r>
      <w:r w:rsidRPr="00167B8A">
        <w:rPr>
          <w:lang w:val="en"/>
        </w:rPr>
        <w:lastRenderedPageBreak/>
        <w:t>Health and Human Services also coordinated with the EEOC</w:t>
      </w:r>
      <w:r w:rsidR="008F396F">
        <w:rPr>
          <w:lang w:val="en"/>
        </w:rPr>
        <w:t>—</w:t>
      </w:r>
      <w:r w:rsidRPr="00167B8A">
        <w:rPr>
          <w:lang w:val="en"/>
        </w:rPr>
        <w:t>which has responsibility</w:t>
      </w:r>
      <w:r w:rsidR="00BC52DB">
        <w:rPr>
          <w:lang w:val="en"/>
        </w:rPr>
        <w:t xml:space="preserve"> for</w:t>
      </w:r>
      <w:r w:rsidRPr="00167B8A">
        <w:rPr>
          <w:lang w:val="en"/>
        </w:rPr>
        <w:t xml:space="preserve"> issuing regulations under Title II </w:t>
      </w:r>
      <w:r w:rsidR="00873BDB">
        <w:rPr>
          <w:lang w:val="en"/>
        </w:rPr>
        <w:t xml:space="preserve">of </w:t>
      </w:r>
      <w:r w:rsidR="00873BDB" w:rsidRPr="00167B8A">
        <w:rPr>
          <w:lang w:val="en"/>
        </w:rPr>
        <w:t>GINA</w:t>
      </w:r>
      <w:r w:rsidR="008F396F">
        <w:rPr>
          <w:lang w:val="en"/>
        </w:rPr>
        <w:t>—</w:t>
      </w:r>
      <w:r w:rsidRPr="00167B8A">
        <w:rPr>
          <w:lang w:val="en"/>
        </w:rPr>
        <w:t>to prohibit discrimination based on genetic information by employers.</w:t>
      </w:r>
    </w:p>
    <w:p w14:paraId="158B049D" w14:textId="77777777" w:rsidR="00296DA5" w:rsidRPr="002B6E53" w:rsidRDefault="003D249D" w:rsidP="002B6E53">
      <w:pPr>
        <w:pStyle w:val="Heading2"/>
      </w:pPr>
      <w:bookmarkStart w:id="103" w:name="_Toc526182141"/>
      <w:r w:rsidRPr="00167B8A">
        <w:t>Work</w:t>
      </w:r>
      <w:r w:rsidR="00392C93">
        <w:t>force</w:t>
      </w:r>
      <w:r w:rsidRPr="00167B8A">
        <w:t xml:space="preserve"> </w:t>
      </w:r>
      <w:r>
        <w:t>Innovation</w:t>
      </w:r>
      <w:r w:rsidRPr="00167B8A">
        <w:t xml:space="preserve"> </w:t>
      </w:r>
      <w:r w:rsidR="008104BC">
        <w:t xml:space="preserve">and </w:t>
      </w:r>
      <w:r w:rsidRPr="00167B8A">
        <w:t>Opportunities Act</w:t>
      </w:r>
      <w:bookmarkEnd w:id="103"/>
    </w:p>
    <w:p w14:paraId="63D0FD4A" w14:textId="77777777" w:rsidR="00296DA5" w:rsidRDefault="003D249D" w:rsidP="00411C98">
      <w:pPr>
        <w:pStyle w:val="NCDBodyText"/>
        <w:spacing w:line="240" w:lineRule="auto"/>
        <w:rPr>
          <w:rFonts w:eastAsia="Times New Roman"/>
          <w:lang w:val="en"/>
        </w:rPr>
      </w:pPr>
      <w:r w:rsidRPr="00167B8A">
        <w:t>Passage of the bipartisan Workforce Innovation and Opportunity Act (WIOA)</w:t>
      </w:r>
      <w:r w:rsidR="001428F5" w:rsidRPr="00260E5C">
        <w:rPr>
          <w:rStyle w:val="EndnoteReference"/>
          <w:rFonts w:cs="Arial"/>
        </w:rPr>
        <w:endnoteReference w:id="318"/>
      </w:r>
      <w:r w:rsidRPr="00260E5C">
        <w:t xml:space="preserve"> </w:t>
      </w:r>
      <w:r w:rsidRPr="00167B8A">
        <w:t xml:space="preserve">of 2014 has firmly established employment of people with disabilities as a national priority. </w:t>
      </w:r>
      <w:r w:rsidR="00260E5C">
        <w:t>Of significant importance to this report, section 511 of WIOA</w:t>
      </w:r>
      <w:r w:rsidR="00392C93">
        <w:t xml:space="preserve"> </w:t>
      </w:r>
      <w:r w:rsidR="00BC52DB">
        <w:t>included specific new requirements prior to the payment of a subminimum wage</w:t>
      </w:r>
      <w:r w:rsidR="00260E5C">
        <w:t xml:space="preserve"> under Section 14(c) of the FLSA</w:t>
      </w:r>
      <w:r w:rsidR="00BC52DB">
        <w:t>. As the DOL states:</w:t>
      </w:r>
    </w:p>
    <w:p w14:paraId="698F58B5" w14:textId="77777777" w:rsidR="00296DA5" w:rsidRDefault="003D249D" w:rsidP="00411C98">
      <w:pPr>
        <w:pStyle w:val="NCDExtract"/>
        <w:spacing w:line="240" w:lineRule="auto"/>
      </w:pPr>
      <w:r w:rsidRPr="00167B8A">
        <w:t xml:space="preserve">WIOA is a comprehensive federal law, enacted on July 22, 2014, which is intended to streamline, consolidate, and improve workforce development and training services for various groups, including youth and workers with disabilities. Among other things, WIOA prohibits workers with disabilities who are age 24 or younger (youth) from being paid subminimum wages without completing various requirements designed to improve their access to competitive integrated employment, including transition services, vocational rehabilitation and career counseling services, before they are employed at a subminimum wage. WIOA also requires that all workers with disabilities, regardless of their age, who are paid a subminimum wage, receive regular career counseling and information about self-advocacy, self-determination, and peer mentoring training opportunities in their local area, every six months during the first year of employment and annually thereafter. These requirements . . . are in addition to, and do not replace, requirements of </w:t>
      </w:r>
      <w:r w:rsidR="00D41EDD">
        <w:t>Section</w:t>
      </w:r>
      <w:r w:rsidRPr="00167B8A">
        <w:t xml:space="preserve"> 14(c)</w:t>
      </w:r>
      <w:r w:rsidR="00873BDB">
        <w:t xml:space="preserve"> . . . </w:t>
      </w:r>
      <w:r w:rsidRPr="00167B8A">
        <w:t>.</w:t>
      </w:r>
      <w:r w:rsidRPr="00167B8A">
        <w:rPr>
          <w:vertAlign w:val="superscript"/>
        </w:rPr>
        <w:endnoteReference w:id="319"/>
      </w:r>
    </w:p>
    <w:p w14:paraId="02D6DB55" w14:textId="13B6DED5" w:rsidR="003D249D" w:rsidRDefault="00D24101" w:rsidP="00396A3D">
      <w:pPr>
        <w:pStyle w:val="NCDBodyText"/>
      </w:pPr>
      <w:r>
        <w:br w:type="page"/>
      </w:r>
    </w:p>
    <w:p w14:paraId="423C33D3" w14:textId="77777777" w:rsidR="002B6E53" w:rsidRDefault="002B6E53">
      <w:pPr>
        <w:spacing w:after="200"/>
        <w:rPr>
          <w:rFonts w:ascii="Arial" w:eastAsia="Times New Roman" w:hAnsi="Arial"/>
          <w:b/>
          <w:sz w:val="28"/>
          <w:szCs w:val="32"/>
        </w:rPr>
      </w:pPr>
      <w:bookmarkStart w:id="104" w:name="_Toc520979986"/>
      <w:r>
        <w:lastRenderedPageBreak/>
        <w:br w:type="page"/>
      </w:r>
    </w:p>
    <w:p w14:paraId="165E5334" w14:textId="2976CA67" w:rsidR="00396A3D" w:rsidRDefault="004128BC" w:rsidP="002B6E53">
      <w:pPr>
        <w:pStyle w:val="Heading1"/>
      </w:pPr>
      <w:bookmarkStart w:id="105" w:name="_Toc526182142"/>
      <w:r>
        <w:lastRenderedPageBreak/>
        <w:t xml:space="preserve">Appendix </w:t>
      </w:r>
      <w:r w:rsidR="005F62F7">
        <w:t>C</w:t>
      </w:r>
      <w:r>
        <w:t xml:space="preserve">: Overview of </w:t>
      </w:r>
      <w:r w:rsidR="00631E24" w:rsidRPr="00631E24">
        <w:rPr>
          <w:i/>
        </w:rPr>
        <w:t xml:space="preserve">Promises to Keep </w:t>
      </w:r>
      <w:r>
        <w:t xml:space="preserve">and Methodology </w:t>
      </w:r>
      <w:r w:rsidR="00A454C7">
        <w:t>U</w:t>
      </w:r>
      <w:r>
        <w:t xml:space="preserve">sed for the 2018 </w:t>
      </w:r>
      <w:r w:rsidR="00A454C7">
        <w:t xml:space="preserve">Progress </w:t>
      </w:r>
      <w:r>
        <w:t>Report</w:t>
      </w:r>
      <w:bookmarkEnd w:id="104"/>
      <w:bookmarkEnd w:id="105"/>
    </w:p>
    <w:p w14:paraId="6A8C948B" w14:textId="283C31A0" w:rsidR="00296DA5" w:rsidRDefault="00EA3127" w:rsidP="002B6E53">
      <w:pPr>
        <w:pStyle w:val="Heading3"/>
      </w:pPr>
      <w:bookmarkStart w:id="106" w:name="_Toc526182143"/>
      <w:r w:rsidRPr="00EA3127">
        <w:t xml:space="preserve">Overview of </w:t>
      </w:r>
      <w:r w:rsidR="00631E24" w:rsidRPr="00631E24">
        <w:t>Promises to Keep</w:t>
      </w:r>
      <w:bookmarkEnd w:id="106"/>
    </w:p>
    <w:p w14:paraId="595CFEE6" w14:textId="7BA96FD0" w:rsidR="00296DA5" w:rsidRDefault="00631E24" w:rsidP="00411C98">
      <w:pPr>
        <w:pStyle w:val="NCDBodyText"/>
        <w:spacing w:line="240" w:lineRule="auto"/>
      </w:pPr>
      <w:r w:rsidRPr="00631E24">
        <w:rPr>
          <w:i/>
        </w:rPr>
        <w:t>Promises to Keep</w:t>
      </w:r>
      <w:r w:rsidR="0015093A" w:rsidRPr="004B3FF5">
        <w:t xml:space="preserve"> took an in-depth look at the </w:t>
      </w:r>
      <w:r w:rsidR="00212424">
        <w:t xml:space="preserve">EEOC, DOJ, DOT, FCC, and to a degree the Access Board, all of which have a role in the </w:t>
      </w:r>
      <w:r w:rsidR="0015093A" w:rsidRPr="004B3FF5">
        <w:t xml:space="preserve">enforcement </w:t>
      </w:r>
      <w:r w:rsidR="00212424">
        <w:t xml:space="preserve">or implementation of </w:t>
      </w:r>
      <w:r w:rsidR="00063CCD">
        <w:t>the ADA</w:t>
      </w:r>
      <w:r w:rsidR="00212424">
        <w:t xml:space="preserve">. For that report, NCD researchers </w:t>
      </w:r>
      <w:r w:rsidR="0015093A" w:rsidRPr="004B3FF5">
        <w:t xml:space="preserve">developed </w:t>
      </w:r>
      <w:r w:rsidR="00212424">
        <w:t>and used the f</w:t>
      </w:r>
      <w:r w:rsidR="009A0668">
        <w:t>ollowing 11 elements to assess</w:t>
      </w:r>
      <w:r w:rsidR="00212424">
        <w:t xml:space="preserve"> the </w:t>
      </w:r>
      <w:r w:rsidR="0015093A" w:rsidRPr="004B3FF5">
        <w:t>ADA enforcement</w:t>
      </w:r>
      <w:r w:rsidR="00212424">
        <w:t xml:space="preserve"> by those agencies</w:t>
      </w:r>
      <w:r w:rsidR="00531E9D">
        <w:t>:</w:t>
      </w:r>
      <w:r w:rsidR="0015093A" w:rsidRPr="004B3FF5">
        <w:rPr>
          <w:rStyle w:val="EndnoteReference"/>
          <w:rFonts w:cs="Arial"/>
        </w:rPr>
        <w:endnoteReference w:id="320"/>
      </w:r>
    </w:p>
    <w:p w14:paraId="1DA22CCC" w14:textId="4179E19A" w:rsidR="00396A3D" w:rsidRDefault="0015093A" w:rsidP="00411C98">
      <w:pPr>
        <w:pStyle w:val="NCDExtract"/>
        <w:spacing w:after="120" w:line="240" w:lineRule="auto"/>
      </w:pPr>
      <w:r w:rsidRPr="004B3FF5">
        <w:rPr>
          <w:b/>
          <w:iCs/>
        </w:rPr>
        <w:t>Element 1:</w:t>
      </w:r>
      <w:r w:rsidR="002B6E53">
        <w:rPr>
          <w:iCs/>
        </w:rPr>
        <w:t xml:space="preserve"> </w:t>
      </w:r>
      <w:r w:rsidRPr="004B3FF5">
        <w:t>Proactive and reactive strategies. Proactive measures address compliance through efforts to educate, monitor, and prevent civil rights violations, and reactive measures aim to resolve and remedy complaints of civil rights violations after the fact.</w:t>
      </w:r>
    </w:p>
    <w:p w14:paraId="38E7094B" w14:textId="0BA59DCE" w:rsidR="00396A3D" w:rsidRDefault="0015093A" w:rsidP="00411C98">
      <w:pPr>
        <w:pStyle w:val="NCDExtract"/>
        <w:spacing w:after="120" w:line="240" w:lineRule="auto"/>
      </w:pPr>
      <w:r w:rsidRPr="004B3FF5">
        <w:rPr>
          <w:b/>
          <w:iCs/>
        </w:rPr>
        <w:t>Element 2:</w:t>
      </w:r>
      <w:r w:rsidRPr="004B3FF5">
        <w:t xml:space="preserve"> Communication with consumers and complainants. Communication must ensure that </w:t>
      </w:r>
      <w:r>
        <w:t>persons</w:t>
      </w:r>
      <w:r w:rsidRPr="004B3FF5">
        <w:t xml:space="preserve"> protected by the statute know where and how to file complaints of discrimination, how the enforcement agency operates, what to expect as possible outcomes, and the aims and limits of the enforcement mandate. Complainants should hear promptly from the agency following the initial filing and be regularly updated on the status of the complaint.</w:t>
      </w:r>
    </w:p>
    <w:p w14:paraId="7CD54332" w14:textId="7E0303CF" w:rsidR="00396A3D" w:rsidRDefault="0015093A" w:rsidP="00411C98">
      <w:pPr>
        <w:pStyle w:val="NCDExtract"/>
        <w:spacing w:after="120" w:line="240" w:lineRule="auto"/>
      </w:pPr>
      <w:r w:rsidRPr="004B3FF5">
        <w:rPr>
          <w:b/>
          <w:iCs/>
        </w:rPr>
        <w:t>Element 3</w:t>
      </w:r>
      <w:r w:rsidRPr="004B3FF5">
        <w:rPr>
          <w:b/>
        </w:rPr>
        <w:t>:</w:t>
      </w:r>
      <w:r w:rsidRPr="004B3FF5">
        <w:t xml:space="preserve"> Policy and sub</w:t>
      </w:r>
      <w:r w:rsidR="00050306">
        <w:t>-</w:t>
      </w:r>
      <w:r w:rsidRPr="004B3FF5">
        <w:t>regulatory guidance. Enforcement is advanced where agencies issue policy and sub</w:t>
      </w:r>
      <w:r w:rsidR="00050306">
        <w:t>-</w:t>
      </w:r>
      <w:r w:rsidRPr="004B3FF5">
        <w:t>regulatory guidance on issues of confusion or controversy as a means of providing advice to covered entities about actions for compliance and to assist the courts in the interpretation of the statute.</w:t>
      </w:r>
    </w:p>
    <w:p w14:paraId="6CF5E23E" w14:textId="69A5EA93" w:rsidR="00396A3D" w:rsidRDefault="0015093A" w:rsidP="00411C98">
      <w:pPr>
        <w:pStyle w:val="NCDExtract"/>
        <w:spacing w:after="120" w:line="240" w:lineRule="auto"/>
      </w:pPr>
      <w:r w:rsidRPr="004B3FF5">
        <w:rPr>
          <w:b/>
          <w:iCs/>
        </w:rPr>
        <w:t>Element 4</w:t>
      </w:r>
      <w:r w:rsidRPr="004B3FF5">
        <w:rPr>
          <w:b/>
        </w:rPr>
        <w:t>:</w:t>
      </w:r>
      <w:r w:rsidRPr="004B3FF5">
        <w:t xml:space="preserve"> Enforcement actions. Where violations of the statute are present, effective enforcement involves measures to obtain corrective action or mediated settlement, followed by more punitive measures such as fines or litigation where violations are not easily or promptly resolved.</w:t>
      </w:r>
    </w:p>
    <w:p w14:paraId="6FB0D895" w14:textId="310DEF8F" w:rsidR="00396A3D" w:rsidRDefault="0015093A" w:rsidP="00411C98">
      <w:pPr>
        <w:pStyle w:val="NCDExtract"/>
        <w:spacing w:after="120" w:line="240" w:lineRule="auto"/>
      </w:pPr>
      <w:r w:rsidRPr="004B3FF5">
        <w:rPr>
          <w:b/>
          <w:iCs/>
        </w:rPr>
        <w:t>Element 5</w:t>
      </w:r>
      <w:r w:rsidRPr="004B3FF5">
        <w:rPr>
          <w:b/>
        </w:rPr>
        <w:t>:</w:t>
      </w:r>
      <w:r w:rsidRPr="004B3FF5">
        <w:t xml:space="preserve"> Strategic litigation. Agency-initiated strategic litigation or amicus participation in litigation to implement enforcement is used where other measures have failed or to develop case law.</w:t>
      </w:r>
    </w:p>
    <w:p w14:paraId="1C9F22BD" w14:textId="2A6FF5DC" w:rsidR="00396A3D" w:rsidRDefault="0015093A" w:rsidP="00411C98">
      <w:pPr>
        <w:pStyle w:val="NCDExtract"/>
        <w:spacing w:after="120" w:line="240" w:lineRule="auto"/>
      </w:pPr>
      <w:r w:rsidRPr="004B3FF5">
        <w:rPr>
          <w:b/>
          <w:iCs/>
        </w:rPr>
        <w:t>Element 6:</w:t>
      </w:r>
      <w:r w:rsidR="002B6E53">
        <w:rPr>
          <w:iCs/>
        </w:rPr>
        <w:t xml:space="preserve"> </w:t>
      </w:r>
      <w:r w:rsidRPr="004B3FF5">
        <w:t>Timely resolution of complaints. Effective resolution of complaints involves their timely processing. There should be expeditious internal processing where complaints must be referred to other agencies for investigation.</w:t>
      </w:r>
    </w:p>
    <w:p w14:paraId="635BEB36" w14:textId="0A756D59" w:rsidR="00396A3D" w:rsidRDefault="0015093A" w:rsidP="00411C98">
      <w:pPr>
        <w:pStyle w:val="NCDExtract"/>
        <w:spacing w:after="120" w:line="240" w:lineRule="auto"/>
      </w:pPr>
      <w:r w:rsidRPr="004B3FF5">
        <w:rPr>
          <w:b/>
          <w:iCs/>
        </w:rPr>
        <w:t>Element 7</w:t>
      </w:r>
      <w:r w:rsidRPr="004B3FF5">
        <w:rPr>
          <w:b/>
        </w:rPr>
        <w:t xml:space="preserve">: </w:t>
      </w:r>
      <w:r w:rsidRPr="004B3FF5">
        <w:t>Competent and credible investigative processes. Effective enforcement includes investigative processes and outcomes that are thorough, well</w:t>
      </w:r>
      <w:r w:rsidR="004C3D5A">
        <w:t xml:space="preserve"> </w:t>
      </w:r>
      <w:r w:rsidRPr="004B3FF5">
        <w:t>documented, and competent and thus credible to complainants and covered entities alike.</w:t>
      </w:r>
    </w:p>
    <w:p w14:paraId="53CABBA6" w14:textId="09698A7B" w:rsidR="00296DA5" w:rsidRDefault="0015093A" w:rsidP="00411C98">
      <w:pPr>
        <w:pStyle w:val="NCDExtract"/>
        <w:spacing w:after="120" w:line="240" w:lineRule="auto"/>
      </w:pPr>
      <w:r w:rsidRPr="004B3FF5">
        <w:rPr>
          <w:b/>
          <w:iCs/>
        </w:rPr>
        <w:t>Element 8:</w:t>
      </w:r>
      <w:r w:rsidRPr="004B3FF5">
        <w:rPr>
          <w:iCs/>
        </w:rPr>
        <w:t xml:space="preserve"> </w:t>
      </w:r>
      <w:r w:rsidRPr="004B3FF5">
        <w:t xml:space="preserve">Technical assistance for protected persons and covered entities. Technical assistance, offered in a variety of modes and formats, </w:t>
      </w:r>
      <w:r w:rsidR="003F7D39">
        <w:t>helps</w:t>
      </w:r>
      <w:r w:rsidR="003F7D39" w:rsidRPr="004B3FF5">
        <w:t xml:space="preserve"> </w:t>
      </w:r>
      <w:r w:rsidRPr="004B3FF5">
        <w:t>covered entities and informs those protected by the statute of their rights.</w:t>
      </w:r>
    </w:p>
    <w:p w14:paraId="0DBB5550" w14:textId="77777777" w:rsidR="00296DA5" w:rsidRDefault="0015093A" w:rsidP="00411C98">
      <w:pPr>
        <w:pStyle w:val="NCDExtract"/>
        <w:spacing w:after="120" w:line="240" w:lineRule="auto"/>
      </w:pPr>
      <w:r w:rsidRPr="004B3FF5">
        <w:rPr>
          <w:b/>
        </w:rPr>
        <w:lastRenderedPageBreak/>
        <w:t>Element 9:</w:t>
      </w:r>
      <w:r w:rsidRPr="004B3FF5">
        <w:t xml:space="preserve"> Adequate agency resources. Resources include agency staff (investigators, attorneys, and others) adequate in number to the size of the compliance and complaint caseload; ongoing staff training provided on a regular basis; and data management systems and other support systems to enable efficient implementation of enforcement activities.</w:t>
      </w:r>
    </w:p>
    <w:p w14:paraId="20187566" w14:textId="77777777" w:rsidR="00296DA5" w:rsidRDefault="0015093A" w:rsidP="00411C98">
      <w:pPr>
        <w:pStyle w:val="NCDExtract"/>
        <w:spacing w:after="120" w:line="240" w:lineRule="auto"/>
      </w:pPr>
      <w:r w:rsidRPr="004B3FF5">
        <w:rPr>
          <w:b/>
        </w:rPr>
        <w:t>Element 10:</w:t>
      </w:r>
      <w:r w:rsidRPr="004B3FF5">
        <w:t xml:space="preserve"> Interagency collaboration and coordination. Appropriate collaboration and coordination affect enforcement where responsibilities are spread across different agencies or organizations, or where there are related activities or areas of jurisdiction.</w:t>
      </w:r>
    </w:p>
    <w:p w14:paraId="2B6A97FF" w14:textId="77777777" w:rsidR="00296DA5" w:rsidRDefault="0015093A" w:rsidP="00411C98">
      <w:pPr>
        <w:pStyle w:val="NCDExtract"/>
        <w:spacing w:after="120" w:line="240" w:lineRule="auto"/>
      </w:pPr>
      <w:r w:rsidRPr="004B3FF5">
        <w:rPr>
          <w:b/>
        </w:rPr>
        <w:t>Element 11:</w:t>
      </w:r>
      <w:r w:rsidRPr="004B3FF5">
        <w:t xml:space="preserve"> Outreach and consultation with the community. Regular outreach and consultation with the communities of persons protected by the statutes provide information about the key issues and problem areas of enforcement, how effectiveness is judged by consumers, and potential methods for improvement.</w:t>
      </w:r>
    </w:p>
    <w:p w14:paraId="025157D5" w14:textId="52D505CB" w:rsidR="00296DA5" w:rsidRDefault="00631E24" w:rsidP="00411C98">
      <w:pPr>
        <w:pStyle w:val="NCDBodyText"/>
        <w:spacing w:line="240" w:lineRule="auto"/>
      </w:pPr>
      <w:r w:rsidRPr="00631E24">
        <w:rPr>
          <w:i/>
        </w:rPr>
        <w:t>Promises to Keep</w:t>
      </w:r>
      <w:r w:rsidR="0015093A" w:rsidRPr="004B3FF5">
        <w:t xml:space="preserve"> concluded that </w:t>
      </w:r>
      <w:r w:rsidR="006474CA">
        <w:t>“</w:t>
      </w:r>
      <w:r w:rsidR="0015093A" w:rsidRPr="004B3FF5">
        <w:t>the federal agencies charged with enforcement and policy development under the ADA, to varying degrees, have been overly cautio</w:t>
      </w:r>
      <w:r w:rsidR="0015093A">
        <w:t>u</w:t>
      </w:r>
      <w:r w:rsidR="0015093A" w:rsidRPr="004B3FF5">
        <w:t>s, reactive, and lacking any coherent</w:t>
      </w:r>
      <w:r w:rsidR="00EA3127">
        <w:t xml:space="preserve"> and unifying national strategy,</w:t>
      </w:r>
      <w:r w:rsidR="006474CA">
        <w:t>”</w:t>
      </w:r>
      <w:r w:rsidR="0015093A" w:rsidRPr="004B3FF5">
        <w:rPr>
          <w:rStyle w:val="EndnoteReference"/>
          <w:rFonts w:cs="Arial"/>
        </w:rPr>
        <w:endnoteReference w:id="321"/>
      </w:r>
      <w:r w:rsidR="0015093A" w:rsidRPr="004B3FF5">
        <w:t xml:space="preserve"> </w:t>
      </w:r>
      <w:r w:rsidR="00EA3127">
        <w:t xml:space="preserve">and that there existed </w:t>
      </w:r>
      <w:r w:rsidR="006474CA">
        <w:t>“</w:t>
      </w:r>
      <w:r w:rsidR="0015093A" w:rsidRPr="004B3FF5">
        <w:t xml:space="preserve">variation in the degree to which the federal agencies [had] shown leadership, engaged in policy development, and sought to clarify </w:t>
      </w:r>
      <w:r w:rsidR="006474CA">
        <w:t>‘</w:t>
      </w:r>
      <w:r w:rsidR="0015093A" w:rsidRPr="004B3FF5">
        <w:t>frontier issues.</w:t>
      </w:r>
      <w:r w:rsidR="006474CA">
        <w:t>’”</w:t>
      </w:r>
      <w:r w:rsidR="0015093A" w:rsidRPr="004B3FF5">
        <w:rPr>
          <w:rStyle w:val="EndnoteReference"/>
          <w:rFonts w:cs="Arial"/>
        </w:rPr>
        <w:endnoteReference w:id="322"/>
      </w:r>
      <w:r w:rsidR="0015093A" w:rsidRPr="004B3FF5">
        <w:t xml:space="preserve"> </w:t>
      </w:r>
      <w:r w:rsidRPr="00631E24">
        <w:rPr>
          <w:i/>
        </w:rPr>
        <w:t>Promises to Keep</w:t>
      </w:r>
      <w:r w:rsidR="0015093A" w:rsidRPr="004B3FF5">
        <w:t xml:space="preserve"> went on to state that in some cases differences in agency leadership </w:t>
      </w:r>
      <w:r w:rsidR="006474CA">
        <w:t>“</w:t>
      </w:r>
      <w:r w:rsidR="0015093A" w:rsidRPr="004B3FF5">
        <w:t>appear to be related to the culture of the agency itself and how it has traditionally framed i</w:t>
      </w:r>
      <w:r w:rsidR="0015093A">
        <w:t>t</w:t>
      </w:r>
      <w:r w:rsidR="0015093A" w:rsidRPr="004B3FF5">
        <w:t>s mission and defined it</w:t>
      </w:r>
      <w:r w:rsidR="0015093A">
        <w:t>s</w:t>
      </w:r>
      <w:r w:rsidR="0015093A" w:rsidRPr="004B3FF5">
        <w:t xml:space="preserve"> constituency. In other cases, resource and administrative constraints, turf conflicts, and other forces within the agency appear to suppress or mute the rigor of civil rights enforcement.</w:t>
      </w:r>
      <w:r w:rsidR="006474CA">
        <w:t>”</w:t>
      </w:r>
      <w:r w:rsidR="0015093A" w:rsidRPr="004B3FF5">
        <w:rPr>
          <w:rStyle w:val="EndnoteReference"/>
          <w:rFonts w:cs="Arial"/>
        </w:rPr>
        <w:endnoteReference w:id="323"/>
      </w:r>
    </w:p>
    <w:p w14:paraId="620EF6CF" w14:textId="5FA96A4C" w:rsidR="00296DA5" w:rsidRDefault="00631E24" w:rsidP="00411C98">
      <w:pPr>
        <w:pStyle w:val="NCDBodyText"/>
        <w:spacing w:line="240" w:lineRule="auto"/>
        <w:rPr>
          <w:bCs/>
        </w:rPr>
      </w:pPr>
      <w:r w:rsidRPr="00631E24">
        <w:rPr>
          <w:i/>
        </w:rPr>
        <w:t>Promises to Keep</w:t>
      </w:r>
      <w:r w:rsidR="0015093A" w:rsidRPr="004B3FF5">
        <w:t xml:space="preserve"> included 23 recommendations related to the EEOC</w:t>
      </w:r>
      <w:r w:rsidR="0015093A" w:rsidRPr="004B3FF5">
        <w:rPr>
          <w:rStyle w:val="EndnoteReference"/>
          <w:rFonts w:cs="Arial"/>
        </w:rPr>
        <w:endnoteReference w:id="324"/>
      </w:r>
      <w:r w:rsidR="00EA3127">
        <w:t xml:space="preserve"> and three </w:t>
      </w:r>
      <w:r w:rsidR="0015093A" w:rsidRPr="004B3FF5">
        <w:t xml:space="preserve">recommendations </w:t>
      </w:r>
      <w:r w:rsidR="0015093A" w:rsidRPr="004B3FF5">
        <w:rPr>
          <w:bCs/>
        </w:rPr>
        <w:t>related to the Access Board</w:t>
      </w:r>
      <w:r w:rsidR="0015093A">
        <w:rPr>
          <w:bCs/>
        </w:rPr>
        <w:t>.</w:t>
      </w:r>
      <w:r w:rsidR="0015093A" w:rsidRPr="004B3FF5">
        <w:rPr>
          <w:rStyle w:val="EndnoteReference"/>
          <w:rFonts w:cs="Arial"/>
          <w:bCs/>
        </w:rPr>
        <w:endnoteReference w:id="325"/>
      </w:r>
    </w:p>
    <w:p w14:paraId="12CB3167" w14:textId="77777777" w:rsidR="00296DA5" w:rsidRDefault="00180507" w:rsidP="002B6E53">
      <w:pPr>
        <w:pStyle w:val="Heading3"/>
      </w:pPr>
      <w:bookmarkStart w:id="107" w:name="_Toc526182144"/>
      <w:r w:rsidRPr="00EA3127">
        <w:t xml:space="preserve">Methodology Used for the 2018 </w:t>
      </w:r>
      <w:r w:rsidR="00EA3127" w:rsidRPr="00EA3127">
        <w:t xml:space="preserve">Progress </w:t>
      </w:r>
      <w:r w:rsidRPr="00EA3127">
        <w:t>Report</w:t>
      </w:r>
      <w:bookmarkEnd w:id="107"/>
    </w:p>
    <w:p w14:paraId="75D66E1A" w14:textId="14A55200" w:rsidR="00296DA5" w:rsidRDefault="00180507" w:rsidP="00411C98">
      <w:pPr>
        <w:pStyle w:val="NCDBodyText"/>
        <w:spacing w:line="240" w:lineRule="auto"/>
      </w:pPr>
      <w:r w:rsidRPr="004B3FF5">
        <w:t xml:space="preserve">Looking back at </w:t>
      </w:r>
      <w:r w:rsidR="00631E24" w:rsidRPr="00631E24">
        <w:rPr>
          <w:i/>
        </w:rPr>
        <w:t>Promises to Keep</w:t>
      </w:r>
      <w:r w:rsidRPr="004B3FF5">
        <w:t>, while broadening the scope of</w:t>
      </w:r>
      <w:r w:rsidR="00212424">
        <w:t xml:space="preserve"> the</w:t>
      </w:r>
      <w:r w:rsidRPr="004B3FF5">
        <w:t xml:space="preserve"> analysis, the </w:t>
      </w:r>
      <w:r>
        <w:t>primary</w:t>
      </w:r>
      <w:r w:rsidRPr="004B3FF5">
        <w:t xml:space="preserve"> question for </w:t>
      </w:r>
      <w:r w:rsidR="00EA3127">
        <w:t xml:space="preserve">the 2018 Progress Report </w:t>
      </w:r>
      <w:r w:rsidR="00565EF6">
        <w:t>was</w:t>
      </w:r>
      <w:r w:rsidR="008F396F">
        <w:t>,</w:t>
      </w:r>
      <w:r w:rsidR="00565EF6">
        <w:t xml:space="preserve"> </w:t>
      </w:r>
      <w:r w:rsidR="008F396F">
        <w:t xml:space="preserve">How </w:t>
      </w:r>
      <w:r w:rsidR="00EA3127">
        <w:t>effective has the EEOC, DOL, and the Access Board been in the</w:t>
      </w:r>
      <w:r w:rsidRPr="004B3FF5">
        <w:t xml:space="preserve"> enforcement and implementation of federal laws</w:t>
      </w:r>
      <w:r w:rsidR="00EA3127">
        <w:t xml:space="preserve"> </w:t>
      </w:r>
      <w:r w:rsidR="008F396F">
        <w:t xml:space="preserve">that </w:t>
      </w:r>
      <w:r w:rsidR="00EA3127">
        <w:t>impact people with disabilities?</w:t>
      </w:r>
      <w:r w:rsidRPr="004B3FF5">
        <w:t xml:space="preserve"> To fo</w:t>
      </w:r>
      <w:r w:rsidR="00212424">
        <w:t>cus the analysis,</w:t>
      </w:r>
      <w:r w:rsidRPr="004B3FF5">
        <w:t xml:space="preserve"> the 11 elements developed in </w:t>
      </w:r>
      <w:r w:rsidR="00631E24" w:rsidRPr="00631E24">
        <w:rPr>
          <w:i/>
        </w:rPr>
        <w:t>Promises to Keep</w:t>
      </w:r>
      <w:r w:rsidRPr="004B3FF5">
        <w:t xml:space="preserve"> </w:t>
      </w:r>
      <w:r w:rsidR="00212424">
        <w:t>were rephrased into 11 questions to guide the research.</w:t>
      </w:r>
      <w:r w:rsidR="00392C93">
        <w:t xml:space="preserve"> </w:t>
      </w:r>
      <w:r w:rsidR="00212424">
        <w:t>R</w:t>
      </w:r>
      <w:r w:rsidRPr="004B3FF5">
        <w:t>esearchers reviewed agency reports, strategic plans, regulations, and sub-regulatory guidance; evaluated agency budget and staffing data; analyzed enforcement statistics when available and relevant; and examined agency involvement in administrative hearings and federal litigation, as relevant.</w:t>
      </w:r>
    </w:p>
    <w:p w14:paraId="56389F50" w14:textId="77777777" w:rsidR="00296DA5" w:rsidRDefault="00392C93" w:rsidP="00411C98">
      <w:pPr>
        <w:pStyle w:val="NCDBodyText"/>
        <w:spacing w:line="240" w:lineRule="auto"/>
      </w:pPr>
      <w:r>
        <w:t xml:space="preserve">Agency budgets were </w:t>
      </w:r>
      <w:r w:rsidRPr="004B3FF5">
        <w:t xml:space="preserve">analyzed to determine changes and the potential impact on </w:t>
      </w:r>
      <w:r>
        <w:t xml:space="preserve">the </w:t>
      </w:r>
      <w:r w:rsidRPr="004B3FF5">
        <w:t xml:space="preserve">enforcement of disability </w:t>
      </w:r>
      <w:r>
        <w:t xml:space="preserve">rights </w:t>
      </w:r>
      <w:r w:rsidR="00050306">
        <w:t xml:space="preserve">and programs. </w:t>
      </w:r>
      <w:r>
        <w:t>D</w:t>
      </w:r>
      <w:r w:rsidRPr="004B3FF5">
        <w:t>a</w:t>
      </w:r>
      <w:r>
        <w:t>ta on full-time equivalent (FTE</w:t>
      </w:r>
      <w:r w:rsidRPr="004B3FF5">
        <w:t>)</w:t>
      </w:r>
      <w:r>
        <w:t xml:space="preserve"> staff</w:t>
      </w:r>
      <w:r w:rsidRPr="004B3FF5">
        <w:t>, when available, was assessed for significant changes.</w:t>
      </w:r>
    </w:p>
    <w:p w14:paraId="45945049" w14:textId="77777777" w:rsidR="00296DA5" w:rsidRDefault="00392C93" w:rsidP="00411C98">
      <w:pPr>
        <w:pStyle w:val="NCDBodyText"/>
        <w:spacing w:line="240" w:lineRule="auto"/>
      </w:pPr>
      <w:r w:rsidRPr="004B3FF5">
        <w:t>For the EEOC, OFCCP, and WHD, data on complaints, investigations, and other enforcement information was analyzed. The EEOC</w:t>
      </w:r>
      <w:r>
        <w:t xml:space="preserve"> </w:t>
      </w:r>
      <w:r w:rsidRPr="004B3FF5">
        <w:t xml:space="preserve">provides significant data </w:t>
      </w:r>
      <w:r w:rsidR="00CD4C81">
        <w:t>online</w:t>
      </w:r>
      <w:r w:rsidRPr="004B3FF5">
        <w:t xml:space="preserve"> </w:t>
      </w:r>
      <w:r>
        <w:t>and</w:t>
      </w:r>
      <w:r w:rsidRPr="004B3FF5">
        <w:t xml:space="preserve"> in agency reports</w:t>
      </w:r>
      <w:r>
        <w:t xml:space="preserve"> charges</w:t>
      </w:r>
      <w:r w:rsidR="009A0668">
        <w:t xml:space="preserve">, resolution, and </w:t>
      </w:r>
      <w:r>
        <w:t>EEOC litigation</w:t>
      </w:r>
      <w:r w:rsidRPr="004B3FF5">
        <w:t xml:space="preserve">. OFCCP </w:t>
      </w:r>
      <w:r>
        <w:t xml:space="preserve">also </w:t>
      </w:r>
      <w:r w:rsidRPr="004B3FF5">
        <w:t xml:space="preserve">publishes </w:t>
      </w:r>
      <w:r w:rsidRPr="004B3FF5">
        <w:lastRenderedPageBreak/>
        <w:t xml:space="preserve">some data </w:t>
      </w:r>
      <w:r w:rsidR="00CD4C81">
        <w:t>online</w:t>
      </w:r>
      <w:r w:rsidRPr="004B3FF5">
        <w:t>,</w:t>
      </w:r>
      <w:r w:rsidRPr="004B3FF5">
        <w:rPr>
          <w:rStyle w:val="EndnoteReference"/>
          <w:rFonts w:cs="Arial"/>
        </w:rPr>
        <w:endnoteReference w:id="326"/>
      </w:r>
      <w:r w:rsidRPr="004B3FF5">
        <w:t xml:space="preserve"> and provided supplementary data</w:t>
      </w:r>
      <w:r>
        <w:t xml:space="preserve"> to the researchers</w:t>
      </w:r>
      <w:r w:rsidRPr="004B3FF5">
        <w:t xml:space="preserve"> on violations found during compliance </w:t>
      </w:r>
      <w:r>
        <w:t>reviews</w:t>
      </w:r>
      <w:r w:rsidRPr="004B3FF5">
        <w:t xml:space="preserve"> and</w:t>
      </w:r>
      <w:r>
        <w:t xml:space="preserve"> complaint</w:t>
      </w:r>
      <w:r w:rsidRPr="004B3FF5">
        <w:t xml:space="preserve"> investigations back to FY 2008. WHD provided information related to </w:t>
      </w:r>
      <w:r>
        <w:t>Section</w:t>
      </w:r>
      <w:r w:rsidR="009A0668">
        <w:t xml:space="preserve"> </w:t>
      </w:r>
      <w:r w:rsidRPr="004B3FF5">
        <w:t xml:space="preserve">14(c) applications and </w:t>
      </w:r>
      <w:r>
        <w:t>approval rates an</w:t>
      </w:r>
      <w:r w:rsidR="009A0668">
        <w:t>d</w:t>
      </w:r>
      <w:r>
        <w:t xml:space="preserve"> </w:t>
      </w:r>
      <w:r w:rsidRPr="004B3FF5">
        <w:t xml:space="preserve">investigations related to </w:t>
      </w:r>
      <w:r>
        <w:t>Section 14(c) and the FMLA</w:t>
      </w:r>
      <w:r w:rsidR="009A0668">
        <w:t>.</w:t>
      </w:r>
    </w:p>
    <w:p w14:paraId="4BF2E4F2" w14:textId="29CAF06C" w:rsidR="00296DA5" w:rsidRDefault="00392C93" w:rsidP="00411C98">
      <w:pPr>
        <w:pStyle w:val="NCDBodyText"/>
        <w:spacing w:line="240" w:lineRule="auto"/>
      </w:pPr>
      <w:r>
        <w:t xml:space="preserve">Researchers </w:t>
      </w:r>
      <w:r w:rsidRPr="004B3FF5">
        <w:t>interviewed and</w:t>
      </w:r>
      <w:r>
        <w:t>/or submitted written questions to agency leadership and staff. S</w:t>
      </w:r>
      <w:r w:rsidR="00EA3127" w:rsidRPr="00EA3127">
        <w:t>pecific interview questions, covering a range of issues, were developed based on the broade</w:t>
      </w:r>
      <w:r w:rsidR="009A0668">
        <w:t>r 11</w:t>
      </w:r>
      <w:r w:rsidR="00EA3127" w:rsidRPr="00EA3127">
        <w:t xml:space="preserve"> research questions</w:t>
      </w:r>
      <w:r w:rsidR="00EA3127">
        <w:t>.</w:t>
      </w:r>
      <w:r w:rsidR="00EA3127" w:rsidRPr="00EA3127">
        <w:t xml:space="preserve"> A number of the interview questions for the EEOC were related to the recommendations contained in </w:t>
      </w:r>
      <w:r w:rsidR="00631E24" w:rsidRPr="00631E24">
        <w:rPr>
          <w:i/>
        </w:rPr>
        <w:t>Promises to Keep</w:t>
      </w:r>
      <w:r>
        <w:t>.</w:t>
      </w:r>
      <w:r w:rsidR="009A0668">
        <w:t xml:space="preserve"> R</w:t>
      </w:r>
      <w:r w:rsidR="00180507" w:rsidRPr="004B3FF5">
        <w:t xml:space="preserve">elevant </w:t>
      </w:r>
      <w:r w:rsidR="009A0668">
        <w:t>GAO</w:t>
      </w:r>
      <w:r w:rsidR="00180507" w:rsidRPr="004B3FF5">
        <w:t xml:space="preserve"> reports were analyzed. Memoranda of Understanding </w:t>
      </w:r>
      <w:r w:rsidR="00180507">
        <w:t xml:space="preserve">between </w:t>
      </w:r>
      <w:r w:rsidR="00180507" w:rsidRPr="004B3FF5">
        <w:t xml:space="preserve">federal enforcement </w:t>
      </w:r>
      <w:r w:rsidR="00180507">
        <w:t>agencies</w:t>
      </w:r>
      <w:r w:rsidR="00180507" w:rsidRPr="004B3FF5">
        <w:t xml:space="preserve">, such as between the EEOC and </w:t>
      </w:r>
      <w:r w:rsidR="009A0668">
        <w:t>DOJ</w:t>
      </w:r>
      <w:r w:rsidR="00180507" w:rsidRPr="004B3FF5">
        <w:t>, were also reviewed.</w:t>
      </w:r>
      <w:r w:rsidR="00EA3127" w:rsidRPr="00EA3127">
        <w:t xml:space="preserve"> </w:t>
      </w:r>
      <w:r w:rsidR="00EA3127">
        <w:t>R</w:t>
      </w:r>
      <w:r w:rsidR="00EA3127" w:rsidRPr="004B3FF5">
        <w:t xml:space="preserve">esearchers reviewed major cases brought in the </w:t>
      </w:r>
      <w:r w:rsidR="001B2BDB">
        <w:t>U.S.</w:t>
      </w:r>
      <w:r w:rsidR="001B2BDB" w:rsidRPr="004B3FF5">
        <w:t xml:space="preserve"> </w:t>
      </w:r>
      <w:r w:rsidR="00EA3127" w:rsidRPr="004B3FF5">
        <w:t>Circuit Courts of Appeal and the U.S. Supreme Court. Lower federal court cases were also considered when relevant. The analysis of amici curi</w:t>
      </w:r>
      <w:r w:rsidR="001B2BDB">
        <w:t>a</w:t>
      </w:r>
      <w:r w:rsidR="00EA3127" w:rsidRPr="004B3FF5">
        <w:t xml:space="preserve">e briefs submitted by the EEOC were </w:t>
      </w:r>
      <w:r w:rsidR="00EA3127">
        <w:t>further</w:t>
      </w:r>
      <w:r w:rsidR="00EA3127" w:rsidRPr="004B3FF5">
        <w:t xml:space="preserve"> considered.</w:t>
      </w:r>
    </w:p>
    <w:p w14:paraId="579D1C2C" w14:textId="77777777" w:rsidR="00296DA5" w:rsidRDefault="00180507" w:rsidP="00411C98">
      <w:pPr>
        <w:pStyle w:val="NCDBodyText"/>
        <w:spacing w:line="240" w:lineRule="auto"/>
      </w:pPr>
      <w:r w:rsidRPr="004B3FF5">
        <w:t xml:space="preserve">Though </w:t>
      </w:r>
      <w:r>
        <w:t xml:space="preserve">data and </w:t>
      </w:r>
      <w:r w:rsidRPr="004B3FF5">
        <w:t xml:space="preserve">information </w:t>
      </w:r>
      <w:r w:rsidR="0055334C">
        <w:t>were</w:t>
      </w:r>
      <w:r w:rsidR="0055334C" w:rsidRPr="004B3FF5">
        <w:t xml:space="preserve"> </w:t>
      </w:r>
      <w:r w:rsidRPr="004B3FF5">
        <w:t xml:space="preserve">considered back to 2000, especially for the EEOC, the analyses for several other </w:t>
      </w:r>
      <w:r>
        <w:t xml:space="preserve">federal </w:t>
      </w:r>
      <w:r w:rsidRPr="004B3FF5">
        <w:t>agencies focuse</w:t>
      </w:r>
      <w:r w:rsidR="00392C93">
        <w:t>d</w:t>
      </w:r>
      <w:r w:rsidRPr="004B3FF5">
        <w:t xml:space="preserve"> on more recent efforts. </w:t>
      </w:r>
      <w:r>
        <w:t xml:space="preserve">To </w:t>
      </w:r>
      <w:r w:rsidRPr="004B3FF5">
        <w:t>guide the research</w:t>
      </w:r>
      <w:r w:rsidRPr="00EF0CAF">
        <w:t xml:space="preserve">, a project advisory group of </w:t>
      </w:r>
      <w:r w:rsidR="002721E7">
        <w:t xml:space="preserve">10 </w:t>
      </w:r>
      <w:r w:rsidRPr="00EF0CAF">
        <w:t>experts in disability</w:t>
      </w:r>
      <w:r w:rsidRPr="004B3FF5">
        <w:t xml:space="preserve"> rights, disability research, and disability and self-advocacy was established </w:t>
      </w:r>
      <w:r w:rsidR="002721E7">
        <w:t>that</w:t>
      </w:r>
      <w:r w:rsidR="002721E7" w:rsidRPr="004B3FF5">
        <w:t xml:space="preserve"> </w:t>
      </w:r>
      <w:r w:rsidRPr="004B3FF5">
        <w:t xml:space="preserve">provided advice on specific research questions, research methods, </w:t>
      </w:r>
      <w:r>
        <w:t>assistance to conduct the focus groups, and ideas for the organization of the report and the recommendations.</w:t>
      </w:r>
    </w:p>
    <w:p w14:paraId="2AF96694" w14:textId="4045FA38" w:rsidR="00180507" w:rsidRPr="004B3FF5" w:rsidRDefault="00180507" w:rsidP="002B6E53">
      <w:pPr>
        <w:pStyle w:val="Heading3"/>
      </w:pPr>
      <w:bookmarkStart w:id="108" w:name="_Toc526182145"/>
      <w:r w:rsidRPr="004B3FF5">
        <w:t>Focus Discussion Groups</w:t>
      </w:r>
      <w:bookmarkEnd w:id="108"/>
    </w:p>
    <w:p w14:paraId="7F2C2347" w14:textId="77777777" w:rsidR="00296DA5" w:rsidRDefault="00180507" w:rsidP="00411C98">
      <w:pPr>
        <w:pStyle w:val="NCDBodyText"/>
        <w:spacing w:line="240" w:lineRule="auto"/>
      </w:pPr>
      <w:r w:rsidRPr="004B3FF5">
        <w:t xml:space="preserve">Four focus discussion groups of </w:t>
      </w:r>
      <w:r>
        <w:t>people</w:t>
      </w:r>
      <w:r w:rsidRPr="004B3FF5">
        <w:t xml:space="preserve"> with disabilities </w:t>
      </w:r>
      <w:r w:rsidR="00C44051">
        <w:t>with prior</w:t>
      </w:r>
      <w:r w:rsidRPr="004B3FF5">
        <w:t xml:space="preserve"> interact</w:t>
      </w:r>
      <w:r>
        <w:t xml:space="preserve">ion </w:t>
      </w:r>
      <w:r w:rsidRPr="004B3FF5">
        <w:t xml:space="preserve">with </w:t>
      </w:r>
      <w:r w:rsidR="00EA3127">
        <w:t xml:space="preserve">the agencies under study were conducted </w:t>
      </w:r>
      <w:r w:rsidRPr="004B3FF5">
        <w:t xml:space="preserve">in February and March 2018. Three of the focus groups </w:t>
      </w:r>
      <w:r w:rsidR="007943AF">
        <w:t xml:space="preserve">were conducted </w:t>
      </w:r>
      <w:r w:rsidRPr="004B3FF5">
        <w:t xml:space="preserve">remotely through phone and </w:t>
      </w:r>
      <w:r w:rsidR="00CD4C81">
        <w:t>online</w:t>
      </w:r>
      <w:r w:rsidRPr="004B3FF5">
        <w:t xml:space="preserve"> video</w:t>
      </w:r>
      <w:r>
        <w:t xml:space="preserve">. </w:t>
      </w:r>
      <w:r w:rsidR="00C44051">
        <w:t>Person</w:t>
      </w:r>
      <w:r w:rsidRPr="004B3FF5">
        <w:t xml:space="preserve">s without video capability could participate solely by phone. A fourth focus discussion group </w:t>
      </w:r>
      <w:r w:rsidR="007943AF">
        <w:t>occurred</w:t>
      </w:r>
      <w:r w:rsidRPr="004B3FF5">
        <w:t xml:space="preserve"> in Decatur, GA. Announcements and solicitations seeking participants were sent out repeatedly to numerous networks</w:t>
      </w:r>
      <w:r w:rsidR="00C44051">
        <w:t>, including</w:t>
      </w:r>
      <w:r w:rsidR="007943AF">
        <w:t xml:space="preserve"> social media,</w:t>
      </w:r>
      <w:r w:rsidRPr="004B3FF5">
        <w:t xml:space="preserve"> used by, or associated with, the disability com</w:t>
      </w:r>
      <w:r w:rsidR="00C44051">
        <w:t>munity and disability advocates</w:t>
      </w:r>
      <w:r w:rsidRPr="004B3FF5">
        <w:t>.</w:t>
      </w:r>
    </w:p>
    <w:p w14:paraId="7A31D619" w14:textId="414E980E" w:rsidR="00396A3D" w:rsidRDefault="007943AF" w:rsidP="00411C98">
      <w:pPr>
        <w:pStyle w:val="NCDBodyText"/>
        <w:spacing w:line="240" w:lineRule="auto"/>
      </w:pPr>
      <w:r>
        <w:t>A total of 23</w:t>
      </w:r>
      <w:r w:rsidR="00180507" w:rsidRPr="004B3FF5">
        <w:t xml:space="preserve"> </w:t>
      </w:r>
      <w:r w:rsidR="00180507">
        <w:t>people</w:t>
      </w:r>
      <w:r w:rsidR="00180507" w:rsidRPr="004B3FF5">
        <w:t xml:space="preserve"> with disabilities participated, with 12 having engage</w:t>
      </w:r>
      <w:r w:rsidR="00180507">
        <w:t xml:space="preserve">d </w:t>
      </w:r>
      <w:r w:rsidR="00180507" w:rsidRPr="004B3FF5">
        <w:t xml:space="preserve">at some level in the </w:t>
      </w:r>
      <w:r>
        <w:t>EEOC charge process</w:t>
      </w:r>
      <w:r w:rsidR="009A0668">
        <w:t>.</w:t>
      </w:r>
      <w:r>
        <w:t xml:space="preserve"> Eleven </w:t>
      </w:r>
      <w:r w:rsidR="00180507" w:rsidRPr="004B3FF5">
        <w:t>participants had some engagement with t</w:t>
      </w:r>
      <w:r>
        <w:t xml:space="preserve">he Access Board or ODEP. Of the </w:t>
      </w:r>
      <w:r w:rsidR="00180507" w:rsidRPr="004B3FF5">
        <w:t xml:space="preserve">23 </w:t>
      </w:r>
      <w:r w:rsidR="00180507">
        <w:t xml:space="preserve">total </w:t>
      </w:r>
      <w:r w:rsidR="00180507" w:rsidRPr="004B3FF5">
        <w:t>participants, three had interacted with two of the agencies considered.</w:t>
      </w:r>
      <w:r w:rsidR="009A0668">
        <w:t xml:space="preserve"> </w:t>
      </w:r>
      <w:r w:rsidR="00C44051">
        <w:t xml:space="preserve">Given the small number of </w:t>
      </w:r>
      <w:r w:rsidR="00180507" w:rsidRPr="004B3FF5">
        <w:t xml:space="preserve">focus </w:t>
      </w:r>
      <w:r w:rsidR="00C44051">
        <w:t>group participants,</w:t>
      </w:r>
      <w:r w:rsidR="00180507" w:rsidRPr="004B3FF5">
        <w:t xml:space="preserve"> generalizations</w:t>
      </w:r>
      <w:r w:rsidR="00C44051">
        <w:t>,</w:t>
      </w:r>
      <w:r w:rsidR="00180507" w:rsidRPr="004B3FF5">
        <w:t xml:space="preserve"> </w:t>
      </w:r>
      <w:r w:rsidR="00C44051" w:rsidRPr="004B3FF5">
        <w:t>conclusions</w:t>
      </w:r>
      <w:r w:rsidR="001B2BDB">
        <w:t>,</w:t>
      </w:r>
      <w:r w:rsidR="00C44051" w:rsidRPr="004B3FF5">
        <w:t xml:space="preserve"> </w:t>
      </w:r>
      <w:r w:rsidR="00180507" w:rsidRPr="004B3FF5">
        <w:t>or categorization of issues with broad</w:t>
      </w:r>
      <w:r w:rsidR="00C44051">
        <w:t xml:space="preserve"> applicability is not possible </w:t>
      </w:r>
      <w:r w:rsidR="00180507" w:rsidRPr="004B3FF5">
        <w:t>about enforcement</w:t>
      </w:r>
      <w:r w:rsidR="00C44051">
        <w:t xml:space="preserve"> or implementation efforts based on the responses.</w:t>
      </w:r>
    </w:p>
    <w:p w14:paraId="02F8091D" w14:textId="77777777" w:rsidR="00296DA5" w:rsidRDefault="00AE2E80" w:rsidP="002B6E53">
      <w:pPr>
        <w:pStyle w:val="NCDBodyText"/>
      </w:pPr>
      <w:r>
        <w:br w:type="page"/>
      </w:r>
    </w:p>
    <w:p w14:paraId="6938E86E" w14:textId="77777777" w:rsidR="00411C98" w:rsidRDefault="00411C98">
      <w:pPr>
        <w:spacing w:after="200"/>
        <w:rPr>
          <w:rFonts w:ascii="Arial" w:eastAsiaTheme="minorHAnsi" w:hAnsi="Arial" w:cs="Arial"/>
          <w:b/>
          <w:sz w:val="36"/>
          <w:szCs w:val="32"/>
        </w:rPr>
      </w:pPr>
      <w:bookmarkStart w:id="109" w:name="_Toc520979987"/>
      <w:r>
        <w:lastRenderedPageBreak/>
        <w:br w:type="page"/>
      </w:r>
    </w:p>
    <w:p w14:paraId="4A6FE8D9" w14:textId="77573FD6" w:rsidR="00296DA5" w:rsidRDefault="00DF24CF" w:rsidP="002B6E53">
      <w:pPr>
        <w:pStyle w:val="Heading1"/>
      </w:pPr>
      <w:bookmarkStart w:id="110" w:name="_Toc526182146"/>
      <w:r>
        <w:lastRenderedPageBreak/>
        <w:t>Appendix D: Reply of the Department of Labor’s Civil Rights Center to Research Questions</w:t>
      </w:r>
      <w:bookmarkEnd w:id="110"/>
    </w:p>
    <w:p w14:paraId="1C527877" w14:textId="3B4B14F6" w:rsidR="00296DA5" w:rsidRDefault="00DF24CF" w:rsidP="00411C98">
      <w:pPr>
        <w:pStyle w:val="NCDNumberedLevel1"/>
        <w:spacing w:line="240" w:lineRule="auto"/>
        <w:ind w:left="360"/>
        <w:rPr>
          <w:rFonts w:eastAsiaTheme="minorHAnsi"/>
        </w:rPr>
      </w:pPr>
      <w:r>
        <w:t>What is CRC’s mission?</w:t>
      </w:r>
    </w:p>
    <w:p w14:paraId="26F81836" w14:textId="77777777" w:rsidR="00296DA5" w:rsidRDefault="00DF24CF" w:rsidP="00411C98">
      <w:pPr>
        <w:pStyle w:val="NCDNumberedLevel1"/>
        <w:numPr>
          <w:ilvl w:val="0"/>
          <w:numId w:val="0"/>
        </w:numPr>
        <w:spacing w:line="240" w:lineRule="auto"/>
        <w:ind w:left="360"/>
      </w:pPr>
      <w:r>
        <w:t>The mission of the Civil Rights Center (CRC) is to promote justice and equal opportunity by acting with impartiality and integrity in administering and enforcing various civil rights laws. These laws protect:</w:t>
      </w:r>
    </w:p>
    <w:p w14:paraId="327F5EAD" w14:textId="77777777" w:rsidR="00296DA5" w:rsidRPr="00B92D24" w:rsidRDefault="00DF24CF" w:rsidP="00411C98">
      <w:pPr>
        <w:pStyle w:val="NCDBulletsLevel2"/>
        <w:spacing w:line="240" w:lineRule="auto"/>
      </w:pPr>
      <w:r w:rsidRPr="00B92D24">
        <w:t>Department of Labor (DOL) employees and applicants for DOL employment. These issues are handled by CRC’s internal program.</w:t>
      </w:r>
    </w:p>
    <w:p w14:paraId="087E1F55" w14:textId="77777777" w:rsidR="00296DA5" w:rsidRDefault="00DF24CF" w:rsidP="00411C98">
      <w:pPr>
        <w:pStyle w:val="NCDBulletsLevel2"/>
        <w:spacing w:line="240" w:lineRule="auto"/>
      </w:pPr>
      <w:r>
        <w:t>Individuals who apply to, participate in, work for, or come into contact with programs and activities that are conducted by or receive financial assistance from DOL, or, under certain circumstances, from other Federal agencies. With regard to disability, CRC also has jurisdiction over complaints regarding programs, services, and regulatory activities relating to labor and the workforce that are operated by public entities. These issues are handled by CRC’s external program.</w:t>
      </w:r>
    </w:p>
    <w:p w14:paraId="212F6F43" w14:textId="77777777" w:rsidR="00296DA5" w:rsidRDefault="00DF24CF" w:rsidP="00411C98">
      <w:pPr>
        <w:pStyle w:val="NCDNumberedLevel1"/>
        <w:numPr>
          <w:ilvl w:val="0"/>
          <w:numId w:val="0"/>
        </w:numPr>
        <w:spacing w:line="240" w:lineRule="auto"/>
        <w:ind w:left="360"/>
      </w:pPr>
      <w:r>
        <w:t>CRC carries out its mission by investigating and adjudicating discrimination complaints, conducting compliance reviews, providing technical assistance and training, and developing and publishing civil rights regulations, policies, and guidance.</w:t>
      </w:r>
    </w:p>
    <w:p w14:paraId="37E185C3" w14:textId="77777777" w:rsidR="00296DA5" w:rsidRDefault="00DF24CF" w:rsidP="00411C98">
      <w:pPr>
        <w:pStyle w:val="NCDNumberedLevel1"/>
        <w:numPr>
          <w:ilvl w:val="0"/>
          <w:numId w:val="0"/>
        </w:numPr>
        <w:spacing w:line="240" w:lineRule="auto"/>
        <w:ind w:left="360"/>
      </w:pPr>
      <w:r>
        <w:t>The responses below relate to CRC’s external program unless indicated otherwise.</w:t>
      </w:r>
    </w:p>
    <w:p w14:paraId="4F755D61" w14:textId="77777777" w:rsidR="00296DA5" w:rsidRDefault="00DF24CF" w:rsidP="00411C98">
      <w:pPr>
        <w:pStyle w:val="NCDNumberedLevel1"/>
        <w:spacing w:line="240" w:lineRule="auto"/>
        <w:ind w:left="360"/>
      </w:pPr>
      <w:r>
        <w:t>What is CRC’s process for compliance with section 508 of the Rehabilitation Act, especially in regard to agency websites?</w:t>
      </w:r>
    </w:p>
    <w:p w14:paraId="6F6CF97B" w14:textId="77777777" w:rsidR="00296DA5" w:rsidRDefault="00DF24CF" w:rsidP="00411C98">
      <w:pPr>
        <w:pStyle w:val="NCDNumberedLevel1"/>
        <w:numPr>
          <w:ilvl w:val="0"/>
          <w:numId w:val="0"/>
        </w:numPr>
        <w:spacing w:line="240" w:lineRule="auto"/>
        <w:ind w:left="360"/>
      </w:pPr>
      <w:r>
        <w:t>CRC’s Office of External Enforcement (OEE) accepts complaints regarding compliance by DOL agencies with Section 508 of the Rehabilitation Act and handles them through its regular complaint process. Additionally, CRC representatives provide guidance, when requested, to other Departmental agencies on compliance with section 508, particularly as it relates to websites and other technology.</w:t>
      </w:r>
    </w:p>
    <w:p w14:paraId="1BBA260D" w14:textId="648C24CF" w:rsidR="00DF24CF" w:rsidRDefault="00DF24CF" w:rsidP="00411C98">
      <w:pPr>
        <w:pStyle w:val="NCDNumberedLevel1"/>
        <w:spacing w:line="240" w:lineRule="auto"/>
        <w:ind w:left="360"/>
      </w:pPr>
      <w:r>
        <w:t>How is information provided in an accessible manner for charging parties or complainants with disabilities? How is information provided to the general public in an accessible manner, including when conducting training?</w:t>
      </w:r>
    </w:p>
    <w:p w14:paraId="53EB5452" w14:textId="77777777" w:rsidR="00296DA5" w:rsidRDefault="00DF24CF" w:rsidP="00411C98">
      <w:pPr>
        <w:pStyle w:val="NCDNumberedLevel1"/>
        <w:numPr>
          <w:ilvl w:val="0"/>
          <w:numId w:val="0"/>
        </w:numPr>
        <w:spacing w:line="240" w:lineRule="auto"/>
        <w:ind w:left="360"/>
      </w:pPr>
      <w:r>
        <w:t xml:space="preserve">Under 29 CFR 38.35, recipients of Title I federal financial assistance are required to provide initial and continuing notice about equal opportunity requirements (“Equal Opportunity is the Law”) including providing effective communication (auxiliary aids and services) to registrants, applicants, and eligible applications/registrants, applicants for employment and employees and participants with disabilities. CRC’s website provides information to the general public about the agency’s internal and external jurisdiction, including how to file a complaint directly with CRC by mail or </w:t>
      </w:r>
      <w:r>
        <w:lastRenderedPageBreak/>
        <w:t>electronically. CRC is working to improve the full accessibility of the website. CRC staff are required to include the number for the Federal Relay Service in their e-mail signatures and on all correspondence that includes a voice telephone number. CRC provides auxiliary aids and services upon request. CRC recently changed its website and intake letter to ensure that individuals with disabilities are aware of this availability and how to request it. CRC also provides training and technical assistance for stakeholders (see response to Q. #27 below).</w:t>
      </w:r>
    </w:p>
    <w:p w14:paraId="7E581998" w14:textId="77777777" w:rsidR="00296DA5" w:rsidRDefault="00DF24CF" w:rsidP="00411C98">
      <w:pPr>
        <w:pStyle w:val="NCDNumberedLevel1"/>
        <w:spacing w:line="240" w:lineRule="auto"/>
        <w:ind w:left="360"/>
      </w:pPr>
      <w:r>
        <w:t>What disability-related laws does CRC investigate?</w:t>
      </w:r>
    </w:p>
    <w:p w14:paraId="3BC21409" w14:textId="1B00BEEA" w:rsidR="00DF24CF" w:rsidRDefault="00DF24CF" w:rsidP="00411C98">
      <w:pPr>
        <w:pStyle w:val="NCDNumberedLevel1"/>
        <w:numPr>
          <w:ilvl w:val="0"/>
          <w:numId w:val="0"/>
        </w:numPr>
        <w:spacing w:line="240" w:lineRule="auto"/>
        <w:ind w:left="360"/>
      </w:pPr>
      <w:r>
        <w:t>CRC’s external program investigates/implements the following laws:</w:t>
      </w:r>
    </w:p>
    <w:p w14:paraId="1F876427" w14:textId="77777777" w:rsidR="00DF24CF" w:rsidRDefault="00DF24CF" w:rsidP="00411C98">
      <w:pPr>
        <w:pStyle w:val="NCDBulletsLevel2"/>
        <w:spacing w:line="240" w:lineRule="auto"/>
      </w:pPr>
      <w:r>
        <w:t>Title II of the Americans with Disabilities Act (ADA Title II), and its implementing regulations at 28 CFR Part 35.</w:t>
      </w:r>
    </w:p>
    <w:p w14:paraId="2819FF91" w14:textId="77777777" w:rsidR="00DF24CF" w:rsidRDefault="00DF24CF" w:rsidP="00411C98">
      <w:pPr>
        <w:pStyle w:val="NCDBulletsLevel2"/>
        <w:spacing w:line="240" w:lineRule="auto"/>
      </w:pPr>
      <w:r>
        <w:t>Section 504 of the Rehabilitation Act of 1973 (Section 504), and DOL’s implementing regulations at 29 CFR Parts 32 and 33.</w:t>
      </w:r>
    </w:p>
    <w:p w14:paraId="086E1786" w14:textId="77777777" w:rsidR="00DF24CF" w:rsidRDefault="00DF24CF" w:rsidP="00411C98">
      <w:pPr>
        <w:pStyle w:val="NCDBulletsLevel2"/>
        <w:spacing w:line="240" w:lineRule="auto"/>
      </w:pPr>
      <w:r>
        <w:t>Section 508 of the Rehabilitation Act of 1973 (Section 508).</w:t>
      </w:r>
    </w:p>
    <w:p w14:paraId="02892BDA" w14:textId="77777777" w:rsidR="00DF24CF" w:rsidRDefault="00DF24CF" w:rsidP="00411C98">
      <w:pPr>
        <w:pStyle w:val="NCDBulletsLevel2"/>
        <w:spacing w:line="240" w:lineRule="auto"/>
      </w:pPr>
      <w:r>
        <w:t>Section 188 of the Workforce Innovation and Opportunity Act (WIOA Section 188); its implementing regulations at 29 CFR Part 38; its predecessor, Section 188 of the Workforce Investment Act (WIA Section 188); and the regulations implementing WIA Section 188, at 29 CFR Part 37.</w:t>
      </w:r>
    </w:p>
    <w:p w14:paraId="28197182" w14:textId="77777777" w:rsidR="00296DA5" w:rsidRDefault="00DF24CF" w:rsidP="00411C98">
      <w:pPr>
        <w:pStyle w:val="NCDBulletsLevel2"/>
        <w:spacing w:line="240" w:lineRule="auto"/>
      </w:pPr>
      <w:r>
        <w:t>Executive Order 13160, which prohibits discrimination on the basis of disability, among others, in federally-conducted education and training programs and activities.</w:t>
      </w:r>
    </w:p>
    <w:p w14:paraId="524F4053" w14:textId="77777777" w:rsidR="00296DA5" w:rsidRDefault="00DF24CF" w:rsidP="00411C98">
      <w:pPr>
        <w:pStyle w:val="NCDNumberedLevel1"/>
        <w:spacing w:line="240" w:lineRule="auto"/>
        <w:ind w:left="360"/>
      </w:pPr>
      <w:r>
        <w:t>What are the overall enforcement and investigatory outcomes of the CRC in regard to disability since 2008?</w:t>
      </w:r>
    </w:p>
    <w:p w14:paraId="1A383E57" w14:textId="77777777" w:rsidR="00296DA5" w:rsidRDefault="00DF24CF" w:rsidP="00411C98">
      <w:pPr>
        <w:pStyle w:val="NCDNumberedLevel1"/>
        <w:numPr>
          <w:ilvl w:val="0"/>
          <w:numId w:val="0"/>
        </w:numPr>
        <w:spacing w:line="240" w:lineRule="auto"/>
        <w:ind w:left="360"/>
      </w:pPr>
      <w:r>
        <w:t>CRC maintains case records pursuant to DOL’s record retention schedule; thus, we are able to highlight cases since FY 2013.</w:t>
      </w:r>
    </w:p>
    <w:p w14:paraId="24E1BD3B" w14:textId="77777777" w:rsidR="00296DA5" w:rsidRDefault="00DF24CF" w:rsidP="00411C98">
      <w:pPr>
        <w:pStyle w:val="NCDBodyText"/>
        <w:spacing w:line="240" w:lineRule="auto"/>
      </w:pPr>
      <w:r>
        <w:t>Specific examples of notable investigatory and enforcement outcomes for disability-related cases in recent fiscal years include:</w:t>
      </w:r>
    </w:p>
    <w:p w14:paraId="7A2755C5" w14:textId="7ABC4CF8" w:rsidR="00DF24CF" w:rsidRDefault="00DF24CF" w:rsidP="00411C98">
      <w:pPr>
        <w:pStyle w:val="NCDBulletsLevel1"/>
        <w:spacing w:line="240" w:lineRule="auto"/>
      </w:pPr>
      <w:r>
        <w:t>FY 2014: CRC entered into a Conciliation Agreement</w:t>
      </w:r>
      <w:r>
        <w:rPr>
          <w:rStyle w:val="EndnoteReference"/>
        </w:rPr>
        <w:endnoteReference w:id="327"/>
      </w:r>
      <w:r>
        <w:t xml:space="preserve"> with a workforce development center, pursuant to which the center agreed that it would not require persons who have, or are perceived to have, disabilities to be assessed for or participate in disability-specific services before, or as a condition of, receiving any services that are not disability-specific.</w:t>
      </w:r>
    </w:p>
    <w:p w14:paraId="47688CDF" w14:textId="77777777" w:rsidR="00396A3D" w:rsidRDefault="00DF24CF" w:rsidP="00411C98">
      <w:pPr>
        <w:pStyle w:val="NCDBulletsLevel1"/>
        <w:spacing w:line="240" w:lineRule="auto"/>
      </w:pPr>
      <w:r>
        <w:t>FY 2015: CRC entered into a Conciliation Agreement, consolidating five separate complaints, with a residential job training program. The program agreed that it would conduct appropriate assessments before rejecting applicants or dismissing participants on the basis that they posed a direct threat as the result of a disability or medical condition, and that it would revise its policies and procedures related to direct threats.</w:t>
      </w:r>
    </w:p>
    <w:p w14:paraId="2653CCDF" w14:textId="0CA23F71" w:rsidR="00DF24CF" w:rsidRDefault="00DF24CF" w:rsidP="00411C98">
      <w:pPr>
        <w:pStyle w:val="NCDBulletsLevel1"/>
        <w:spacing w:line="240" w:lineRule="auto"/>
      </w:pPr>
      <w:r>
        <w:lastRenderedPageBreak/>
        <w:t>FY 2016: CRC issued an Initial Determination finding that a county had engaged in disparate treatment of customers with disabilities, by denying them training funds (to avoid what the county believed would be negative performance results), and by steering them to other entities for separate services. The Determination also found that the county had retaliated against employees for protesting this treatment of customers with disabilities.</w:t>
      </w:r>
      <w:r>
        <w:rPr>
          <w:rStyle w:val="EndnoteReference"/>
        </w:rPr>
        <w:endnoteReference w:id="328"/>
      </w:r>
    </w:p>
    <w:p w14:paraId="0E99B471" w14:textId="77777777" w:rsidR="00396A3D" w:rsidRDefault="00DF24CF" w:rsidP="00411C98">
      <w:pPr>
        <w:pStyle w:val="NCDBulletsLevel1"/>
        <w:spacing w:line="240" w:lineRule="auto"/>
      </w:pPr>
      <w:r>
        <w:t>FY 2017: CRC issued an Initial Determination finding that a service provider had discriminated against a participant in a job training program by putting her on leave without pay and attempting to transfer her to a new host agency. CRC eventually entered into a Conciliation Agreement under which the service provider was required to retain experts to evaluate the participation of people with disabilities in its programs, as well as to provide back pay and interest to the Complainant.</w:t>
      </w:r>
    </w:p>
    <w:p w14:paraId="49EB4DC6" w14:textId="072D71F8" w:rsidR="00296DA5" w:rsidRDefault="00DF24CF" w:rsidP="00411C98">
      <w:pPr>
        <w:pStyle w:val="NCDBulletsLevel1"/>
        <w:spacing w:line="240" w:lineRule="auto"/>
      </w:pPr>
      <w:r>
        <w:t xml:space="preserve">FY 2018: CRC entered into Settlement Agreements with two related State agencies in a case involving a deaf worker’s compensation claimant. As with the FY 2017 Agreement discussed </w:t>
      </w:r>
      <w:r w:rsidR="00F370C7">
        <w:t>previously</w:t>
      </w:r>
      <w:r>
        <w:t>, these Agreements required the agencies to retain experts to evaluate their disability-related policies, practices, and procedures</w:t>
      </w:r>
      <w:r w:rsidR="0077686E">
        <w:t>—</w:t>
      </w:r>
      <w:r>
        <w:t>in</w:t>
      </w:r>
      <w:r w:rsidR="0077686E">
        <w:br/>
      </w:r>
      <w:r>
        <w:t>this case, those related to the workers’ compensation claims filing process and the processes for providing equally effective communications with persons with disabilities. The Agreements also required the agencies to submit to CRC for approval proposed changes to their policies, practices, and procedures, to train their employees, and to conduct outreach to local organizations, including advocacy organizations representing people who are deaf and hard of hearing. Finally, one of the agencies was required to pay compensatory damages to the claimant.</w:t>
      </w:r>
    </w:p>
    <w:p w14:paraId="0B3539DA" w14:textId="0614ABEF" w:rsidR="00DF24CF" w:rsidRDefault="00DF24CF" w:rsidP="00B92D24">
      <w:pPr>
        <w:pStyle w:val="NCDTableHeader"/>
        <w:spacing w:after="200"/>
      </w:pPr>
      <w:r>
        <w:t>Other resolutions of disability-related cases from FY 2013 through FY 2018, Q.2:</w:t>
      </w:r>
    </w:p>
    <w:tbl>
      <w:tblPr>
        <w:tblStyle w:val="TableGrid"/>
        <w:tblW w:w="93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Caption w:val="Other resolutions of disability-related cases from FY 2013 through FY 2018, Q.2:"/>
        <w:tblDescription w:val="FY Initial Determinations /&#10;Letters of Finding&#10;finding violation(s) Final Determinations&#10;finding no reasonable cause&#10;to believe a violation took place Conciliation/&#10;Settlement Agreements –&#10;disability-related relief Conciliation/&#10;Settlement Agreements – no disability-related relief*&#10;2013 1 1  &#10;2014  5 2 (1 discussed previously under FY 2014) 1&#10;2015  4 8** 2&#10;2016 2  1 2 2&#10;2017 1 (discussed previously) 12 3 (1 discussed previously) 2&#10;2018 (Qs. 1 and 2)  8 2 (discussed previously) &#10;"/>
      </w:tblPr>
      <w:tblGrid>
        <w:gridCol w:w="891"/>
        <w:gridCol w:w="1998"/>
        <w:gridCol w:w="2140"/>
        <w:gridCol w:w="2101"/>
        <w:gridCol w:w="2230"/>
      </w:tblGrid>
      <w:tr w:rsidR="00F370C7" w14:paraId="0620D110" w14:textId="77777777" w:rsidTr="00D60B76">
        <w:trPr>
          <w:tblHeader/>
          <w:jc w:val="center"/>
        </w:trPr>
        <w:tc>
          <w:tcPr>
            <w:tcW w:w="0" w:type="auto"/>
            <w:vAlign w:val="bottom"/>
            <w:hideMark/>
          </w:tcPr>
          <w:p w14:paraId="579F4632" w14:textId="77777777" w:rsidR="00DF24CF" w:rsidRPr="00656EBF" w:rsidRDefault="00DF24CF" w:rsidP="00411C98">
            <w:pPr>
              <w:pStyle w:val="NCDTableHeader"/>
              <w:spacing w:line="240" w:lineRule="auto"/>
            </w:pPr>
            <w:r w:rsidRPr="00656EBF">
              <w:t>FY</w:t>
            </w:r>
          </w:p>
        </w:tc>
        <w:tc>
          <w:tcPr>
            <w:tcW w:w="0" w:type="auto"/>
            <w:vAlign w:val="bottom"/>
            <w:hideMark/>
          </w:tcPr>
          <w:p w14:paraId="1454CFD2" w14:textId="2342DEF6" w:rsidR="00DF24CF" w:rsidRPr="00D443C0" w:rsidRDefault="00DF24CF" w:rsidP="00411C98">
            <w:pPr>
              <w:pStyle w:val="NCDTableHeader"/>
              <w:spacing w:line="240" w:lineRule="auto"/>
              <w:rPr>
                <w:rFonts w:ascii="Arial Bold" w:hAnsi="Arial Bold"/>
                <w:spacing w:val="-4"/>
              </w:rPr>
            </w:pPr>
            <w:r w:rsidRPr="00D443C0">
              <w:rPr>
                <w:rFonts w:ascii="Arial Bold" w:hAnsi="Arial Bold"/>
                <w:spacing w:val="-4"/>
              </w:rPr>
              <w:t>Initial Determinations</w:t>
            </w:r>
            <w:r w:rsidR="002C1E9B" w:rsidRPr="00D443C0">
              <w:rPr>
                <w:rFonts w:ascii="Arial Bold" w:hAnsi="Arial Bold"/>
                <w:spacing w:val="-4"/>
                <w:sz w:val="4"/>
                <w:szCs w:val="4"/>
              </w:rPr>
              <w:t xml:space="preserve"> </w:t>
            </w:r>
            <w:r w:rsidRPr="00D443C0">
              <w:rPr>
                <w:rFonts w:ascii="Arial Bold" w:hAnsi="Arial Bold"/>
                <w:spacing w:val="-4"/>
              </w:rPr>
              <w:t>/</w:t>
            </w:r>
          </w:p>
          <w:p w14:paraId="14B57519" w14:textId="77777777" w:rsidR="00DF24CF" w:rsidRPr="002C1E9B" w:rsidRDefault="00DF24CF" w:rsidP="00411C98">
            <w:pPr>
              <w:pStyle w:val="NCDTableHeader"/>
              <w:spacing w:line="240" w:lineRule="auto"/>
              <w:rPr>
                <w:rFonts w:ascii="Arial Bold" w:hAnsi="Arial Bold"/>
              </w:rPr>
            </w:pPr>
            <w:r w:rsidRPr="002C1E9B">
              <w:rPr>
                <w:rFonts w:ascii="Arial Bold" w:hAnsi="Arial Bold"/>
              </w:rPr>
              <w:t>Letters of Finding</w:t>
            </w:r>
          </w:p>
          <w:p w14:paraId="1059F057" w14:textId="77777777" w:rsidR="00DF24CF" w:rsidRPr="00656EBF" w:rsidRDefault="00DF24CF" w:rsidP="00411C98">
            <w:pPr>
              <w:pStyle w:val="NCDTableHeader"/>
              <w:spacing w:line="240" w:lineRule="auto"/>
            </w:pPr>
            <w:r w:rsidRPr="002C1E9B">
              <w:rPr>
                <w:rFonts w:ascii="Arial Bold" w:hAnsi="Arial Bold"/>
              </w:rPr>
              <w:t>finding violation(s)</w:t>
            </w:r>
          </w:p>
        </w:tc>
        <w:tc>
          <w:tcPr>
            <w:tcW w:w="0" w:type="auto"/>
            <w:vAlign w:val="bottom"/>
            <w:hideMark/>
          </w:tcPr>
          <w:p w14:paraId="6565EC2E" w14:textId="77777777" w:rsidR="00DF24CF" w:rsidRPr="00656EBF" w:rsidRDefault="00DF24CF" w:rsidP="00411C98">
            <w:pPr>
              <w:pStyle w:val="NCDTableHeader"/>
              <w:spacing w:line="240" w:lineRule="auto"/>
            </w:pPr>
            <w:r w:rsidRPr="00656EBF">
              <w:t>Final Determinations</w:t>
            </w:r>
          </w:p>
          <w:p w14:paraId="122291DB" w14:textId="77777777" w:rsidR="00DF24CF" w:rsidRPr="00656EBF" w:rsidRDefault="00DF24CF" w:rsidP="00411C98">
            <w:pPr>
              <w:pStyle w:val="NCDTableHeader"/>
              <w:spacing w:line="240" w:lineRule="auto"/>
            </w:pPr>
            <w:r w:rsidRPr="00656EBF">
              <w:t>finding no reasonable cause</w:t>
            </w:r>
          </w:p>
          <w:p w14:paraId="53423CAC" w14:textId="77777777" w:rsidR="00DF24CF" w:rsidRPr="00656EBF" w:rsidRDefault="00DF24CF" w:rsidP="00411C98">
            <w:pPr>
              <w:pStyle w:val="NCDTableHeader"/>
              <w:spacing w:line="240" w:lineRule="auto"/>
            </w:pPr>
            <w:r w:rsidRPr="00656EBF">
              <w:t>to believe a violation took place</w:t>
            </w:r>
          </w:p>
        </w:tc>
        <w:tc>
          <w:tcPr>
            <w:tcW w:w="0" w:type="auto"/>
            <w:vAlign w:val="bottom"/>
            <w:hideMark/>
          </w:tcPr>
          <w:p w14:paraId="4084376A" w14:textId="62501DA5" w:rsidR="00DF24CF" w:rsidRPr="00656EBF" w:rsidRDefault="00DF24CF" w:rsidP="00411C98">
            <w:pPr>
              <w:pStyle w:val="NCDTableHeader"/>
              <w:spacing w:line="240" w:lineRule="auto"/>
            </w:pPr>
            <w:r w:rsidRPr="00656EBF">
              <w:t>Conciliation/</w:t>
            </w:r>
            <w:r w:rsidR="00A62CBE">
              <w:br/>
            </w:r>
            <w:r w:rsidRPr="00656EBF">
              <w:t>Settlement Agreements</w:t>
            </w:r>
            <w:r w:rsidR="00D443C0">
              <w:t>—</w:t>
            </w:r>
          </w:p>
          <w:p w14:paraId="2B4EBA92" w14:textId="77777777" w:rsidR="00DF24CF" w:rsidRPr="00656EBF" w:rsidRDefault="00DF24CF" w:rsidP="00411C98">
            <w:pPr>
              <w:pStyle w:val="NCDTableHeader"/>
              <w:spacing w:line="240" w:lineRule="auto"/>
            </w:pPr>
            <w:r w:rsidRPr="00656EBF">
              <w:t>disability-related relief</w:t>
            </w:r>
          </w:p>
        </w:tc>
        <w:tc>
          <w:tcPr>
            <w:tcW w:w="0" w:type="auto"/>
            <w:vAlign w:val="bottom"/>
            <w:hideMark/>
          </w:tcPr>
          <w:p w14:paraId="06583D72" w14:textId="7AA0EED2" w:rsidR="00DF24CF" w:rsidRPr="00D60B76" w:rsidRDefault="00DF24CF" w:rsidP="00411C98">
            <w:pPr>
              <w:pStyle w:val="NCDTableHeader"/>
              <w:spacing w:line="240" w:lineRule="auto"/>
              <w:rPr>
                <w:rFonts w:ascii="Arial Bold" w:hAnsi="Arial Bold"/>
              </w:rPr>
            </w:pPr>
            <w:r w:rsidRPr="00D60B76">
              <w:rPr>
                <w:rFonts w:ascii="Arial Bold" w:hAnsi="Arial Bold"/>
              </w:rPr>
              <w:t>Conciliation/</w:t>
            </w:r>
          </w:p>
          <w:p w14:paraId="023A000E" w14:textId="099620EC" w:rsidR="00DF24CF" w:rsidRPr="00D60B76" w:rsidRDefault="00DF24CF" w:rsidP="00D443C0">
            <w:pPr>
              <w:pStyle w:val="NCDTableHeader"/>
              <w:spacing w:line="240" w:lineRule="auto"/>
              <w:rPr>
                <w:rFonts w:ascii="Arial Bold" w:hAnsi="Arial Bold"/>
              </w:rPr>
            </w:pPr>
            <w:r w:rsidRPr="00D60B76">
              <w:rPr>
                <w:rFonts w:ascii="Arial Bold" w:hAnsi="Arial Bold"/>
              </w:rPr>
              <w:t>Settlement Agreements</w:t>
            </w:r>
            <w:r w:rsidR="00D443C0" w:rsidRPr="00D60B76">
              <w:rPr>
                <w:rFonts w:ascii="Arial Bold" w:hAnsi="Arial Bold"/>
              </w:rPr>
              <w:t>—</w:t>
            </w:r>
            <w:r w:rsidRPr="00D60B76">
              <w:rPr>
                <w:rFonts w:ascii="Arial Bold" w:hAnsi="Arial Bold"/>
              </w:rPr>
              <w:t>no disability-related relief*</w:t>
            </w:r>
          </w:p>
        </w:tc>
      </w:tr>
      <w:tr w:rsidR="00F370C7" w14:paraId="2D62310C" w14:textId="77777777" w:rsidTr="00D60B76">
        <w:trPr>
          <w:jc w:val="center"/>
        </w:trPr>
        <w:tc>
          <w:tcPr>
            <w:tcW w:w="0" w:type="auto"/>
            <w:vAlign w:val="center"/>
            <w:hideMark/>
          </w:tcPr>
          <w:p w14:paraId="3400FA3A" w14:textId="77777777" w:rsidR="00DF24CF" w:rsidRPr="00656EBF" w:rsidRDefault="00DF24CF" w:rsidP="00411C98">
            <w:pPr>
              <w:pStyle w:val="NCDTableText"/>
              <w:spacing w:line="240" w:lineRule="auto"/>
            </w:pPr>
            <w:r w:rsidRPr="00656EBF">
              <w:t>2013</w:t>
            </w:r>
          </w:p>
        </w:tc>
        <w:tc>
          <w:tcPr>
            <w:tcW w:w="0" w:type="auto"/>
            <w:vAlign w:val="center"/>
            <w:hideMark/>
          </w:tcPr>
          <w:p w14:paraId="248C625F" w14:textId="77777777" w:rsidR="00DF24CF" w:rsidRPr="00656EBF" w:rsidRDefault="00DF24CF" w:rsidP="00411C98">
            <w:pPr>
              <w:pStyle w:val="NCDTableText"/>
              <w:spacing w:line="240" w:lineRule="auto"/>
            </w:pPr>
            <w:r w:rsidRPr="00656EBF">
              <w:t>1</w:t>
            </w:r>
          </w:p>
        </w:tc>
        <w:tc>
          <w:tcPr>
            <w:tcW w:w="0" w:type="auto"/>
            <w:vAlign w:val="center"/>
            <w:hideMark/>
          </w:tcPr>
          <w:p w14:paraId="38A6A2E7" w14:textId="77777777" w:rsidR="00DF24CF" w:rsidRPr="00656EBF" w:rsidRDefault="00DF24CF" w:rsidP="00411C98">
            <w:pPr>
              <w:pStyle w:val="NCDTableText"/>
              <w:spacing w:line="240" w:lineRule="auto"/>
            </w:pPr>
            <w:r w:rsidRPr="00656EBF">
              <w:t>1</w:t>
            </w:r>
          </w:p>
        </w:tc>
        <w:tc>
          <w:tcPr>
            <w:tcW w:w="0" w:type="auto"/>
            <w:vAlign w:val="center"/>
          </w:tcPr>
          <w:p w14:paraId="6BC44594" w14:textId="77777777" w:rsidR="00DF24CF" w:rsidRPr="00656EBF" w:rsidRDefault="00DF24CF" w:rsidP="00411C98">
            <w:pPr>
              <w:pStyle w:val="NCDTableText"/>
              <w:spacing w:line="240" w:lineRule="auto"/>
            </w:pPr>
          </w:p>
        </w:tc>
        <w:tc>
          <w:tcPr>
            <w:tcW w:w="0" w:type="auto"/>
            <w:vAlign w:val="center"/>
          </w:tcPr>
          <w:p w14:paraId="63AE3633" w14:textId="77777777" w:rsidR="00DF24CF" w:rsidRPr="00656EBF" w:rsidRDefault="00DF24CF" w:rsidP="00411C98">
            <w:pPr>
              <w:pStyle w:val="NCDTableText"/>
              <w:spacing w:line="240" w:lineRule="auto"/>
            </w:pPr>
          </w:p>
        </w:tc>
      </w:tr>
      <w:tr w:rsidR="00F370C7" w14:paraId="28A9580F" w14:textId="77777777" w:rsidTr="00D60B76">
        <w:trPr>
          <w:jc w:val="center"/>
        </w:trPr>
        <w:tc>
          <w:tcPr>
            <w:tcW w:w="0" w:type="auto"/>
            <w:vAlign w:val="center"/>
            <w:hideMark/>
          </w:tcPr>
          <w:p w14:paraId="2B007021" w14:textId="77777777" w:rsidR="00DF24CF" w:rsidRPr="00656EBF" w:rsidRDefault="00DF24CF" w:rsidP="00411C98">
            <w:pPr>
              <w:pStyle w:val="NCDTableText"/>
              <w:spacing w:line="240" w:lineRule="auto"/>
            </w:pPr>
            <w:r w:rsidRPr="00656EBF">
              <w:t>2014</w:t>
            </w:r>
          </w:p>
        </w:tc>
        <w:tc>
          <w:tcPr>
            <w:tcW w:w="0" w:type="auto"/>
            <w:vAlign w:val="center"/>
          </w:tcPr>
          <w:p w14:paraId="4ADA6280" w14:textId="77777777" w:rsidR="00DF24CF" w:rsidRPr="00656EBF" w:rsidRDefault="00DF24CF" w:rsidP="00411C98">
            <w:pPr>
              <w:pStyle w:val="NCDTableText"/>
              <w:spacing w:line="240" w:lineRule="auto"/>
            </w:pPr>
          </w:p>
        </w:tc>
        <w:tc>
          <w:tcPr>
            <w:tcW w:w="0" w:type="auto"/>
            <w:vAlign w:val="center"/>
            <w:hideMark/>
          </w:tcPr>
          <w:p w14:paraId="3701B167" w14:textId="77777777" w:rsidR="00DF24CF" w:rsidRPr="00656EBF" w:rsidRDefault="00DF24CF" w:rsidP="00411C98">
            <w:pPr>
              <w:pStyle w:val="NCDTableText"/>
              <w:spacing w:line="240" w:lineRule="auto"/>
            </w:pPr>
            <w:r w:rsidRPr="00656EBF">
              <w:t>5</w:t>
            </w:r>
          </w:p>
        </w:tc>
        <w:tc>
          <w:tcPr>
            <w:tcW w:w="0" w:type="auto"/>
            <w:vAlign w:val="center"/>
            <w:hideMark/>
          </w:tcPr>
          <w:p w14:paraId="56FF7B48" w14:textId="625C5FB9" w:rsidR="00DF24CF" w:rsidRPr="00656EBF" w:rsidRDefault="00DF24CF" w:rsidP="00411C98">
            <w:pPr>
              <w:pStyle w:val="NCDTableText"/>
              <w:spacing w:line="240" w:lineRule="auto"/>
            </w:pPr>
            <w:r w:rsidRPr="00656EBF">
              <w:t xml:space="preserve">2 (1 discussed </w:t>
            </w:r>
            <w:r w:rsidR="00F370C7">
              <w:t>previously</w:t>
            </w:r>
            <w:r w:rsidR="00F370C7" w:rsidRPr="00656EBF">
              <w:t xml:space="preserve"> </w:t>
            </w:r>
            <w:r w:rsidRPr="00656EBF">
              <w:t>under FY 2014)</w:t>
            </w:r>
          </w:p>
        </w:tc>
        <w:tc>
          <w:tcPr>
            <w:tcW w:w="0" w:type="auto"/>
            <w:vAlign w:val="center"/>
            <w:hideMark/>
          </w:tcPr>
          <w:p w14:paraId="22296235" w14:textId="77777777" w:rsidR="00DF24CF" w:rsidRPr="00656EBF" w:rsidRDefault="00DF24CF" w:rsidP="00411C98">
            <w:pPr>
              <w:pStyle w:val="NCDTableText"/>
              <w:spacing w:line="240" w:lineRule="auto"/>
            </w:pPr>
            <w:r w:rsidRPr="00656EBF">
              <w:t>1</w:t>
            </w:r>
          </w:p>
        </w:tc>
      </w:tr>
      <w:tr w:rsidR="00F370C7" w14:paraId="43DECCB7" w14:textId="77777777" w:rsidTr="00D60B76">
        <w:trPr>
          <w:jc w:val="center"/>
        </w:trPr>
        <w:tc>
          <w:tcPr>
            <w:tcW w:w="0" w:type="auto"/>
            <w:vAlign w:val="center"/>
            <w:hideMark/>
          </w:tcPr>
          <w:p w14:paraId="03A3F1E6" w14:textId="77777777" w:rsidR="00DF24CF" w:rsidRPr="00656EBF" w:rsidRDefault="00DF24CF" w:rsidP="00411C98">
            <w:pPr>
              <w:pStyle w:val="NCDTableText"/>
              <w:spacing w:line="240" w:lineRule="auto"/>
            </w:pPr>
            <w:r w:rsidRPr="00656EBF">
              <w:t>2015</w:t>
            </w:r>
          </w:p>
        </w:tc>
        <w:tc>
          <w:tcPr>
            <w:tcW w:w="0" w:type="auto"/>
            <w:vAlign w:val="center"/>
          </w:tcPr>
          <w:p w14:paraId="4383ABBE" w14:textId="77777777" w:rsidR="00DF24CF" w:rsidRPr="00656EBF" w:rsidRDefault="00DF24CF" w:rsidP="00411C98">
            <w:pPr>
              <w:pStyle w:val="NCDTableText"/>
              <w:spacing w:line="240" w:lineRule="auto"/>
            </w:pPr>
          </w:p>
        </w:tc>
        <w:tc>
          <w:tcPr>
            <w:tcW w:w="0" w:type="auto"/>
            <w:vAlign w:val="center"/>
            <w:hideMark/>
          </w:tcPr>
          <w:p w14:paraId="2D6071CA" w14:textId="77777777" w:rsidR="00DF24CF" w:rsidRPr="00656EBF" w:rsidRDefault="00DF24CF" w:rsidP="00411C98">
            <w:pPr>
              <w:pStyle w:val="NCDTableText"/>
              <w:spacing w:line="240" w:lineRule="auto"/>
            </w:pPr>
            <w:r w:rsidRPr="00656EBF">
              <w:t>4</w:t>
            </w:r>
          </w:p>
        </w:tc>
        <w:tc>
          <w:tcPr>
            <w:tcW w:w="0" w:type="auto"/>
            <w:vAlign w:val="center"/>
            <w:hideMark/>
          </w:tcPr>
          <w:p w14:paraId="67FA1D16" w14:textId="77777777" w:rsidR="00DF24CF" w:rsidRPr="00656EBF" w:rsidRDefault="00DF24CF" w:rsidP="00411C98">
            <w:pPr>
              <w:pStyle w:val="NCDTableText"/>
              <w:spacing w:line="240" w:lineRule="auto"/>
            </w:pPr>
            <w:r w:rsidRPr="00656EBF">
              <w:t>8**</w:t>
            </w:r>
          </w:p>
        </w:tc>
        <w:tc>
          <w:tcPr>
            <w:tcW w:w="0" w:type="auto"/>
            <w:vAlign w:val="center"/>
            <w:hideMark/>
          </w:tcPr>
          <w:p w14:paraId="013AB282" w14:textId="77777777" w:rsidR="00DF24CF" w:rsidRPr="00656EBF" w:rsidRDefault="00DF24CF" w:rsidP="00411C98">
            <w:pPr>
              <w:pStyle w:val="NCDTableText"/>
              <w:spacing w:line="240" w:lineRule="auto"/>
            </w:pPr>
            <w:r w:rsidRPr="00656EBF">
              <w:t>2</w:t>
            </w:r>
          </w:p>
        </w:tc>
      </w:tr>
      <w:tr w:rsidR="00F370C7" w14:paraId="599B7A75" w14:textId="77777777" w:rsidTr="00D60B76">
        <w:trPr>
          <w:jc w:val="center"/>
        </w:trPr>
        <w:tc>
          <w:tcPr>
            <w:tcW w:w="0" w:type="auto"/>
            <w:vAlign w:val="center"/>
            <w:hideMark/>
          </w:tcPr>
          <w:p w14:paraId="556057C1" w14:textId="77777777" w:rsidR="00DF24CF" w:rsidRPr="00656EBF" w:rsidRDefault="00DF24CF" w:rsidP="00411C98">
            <w:pPr>
              <w:pStyle w:val="NCDTableText"/>
              <w:spacing w:line="240" w:lineRule="auto"/>
            </w:pPr>
            <w:r w:rsidRPr="00656EBF">
              <w:t>2016</w:t>
            </w:r>
          </w:p>
        </w:tc>
        <w:tc>
          <w:tcPr>
            <w:tcW w:w="0" w:type="auto"/>
            <w:vAlign w:val="center"/>
            <w:hideMark/>
          </w:tcPr>
          <w:p w14:paraId="6C137328" w14:textId="77777777" w:rsidR="00DF24CF" w:rsidRPr="00656EBF" w:rsidRDefault="00DF24CF" w:rsidP="00411C98">
            <w:pPr>
              <w:pStyle w:val="NCDTableText"/>
              <w:spacing w:line="240" w:lineRule="auto"/>
            </w:pPr>
            <w:r w:rsidRPr="00656EBF">
              <w:t xml:space="preserve">2 </w:t>
            </w:r>
          </w:p>
        </w:tc>
        <w:tc>
          <w:tcPr>
            <w:tcW w:w="0" w:type="auto"/>
            <w:vAlign w:val="center"/>
            <w:hideMark/>
          </w:tcPr>
          <w:p w14:paraId="4135C2E3" w14:textId="77777777" w:rsidR="00DF24CF" w:rsidRPr="00656EBF" w:rsidRDefault="00DF24CF" w:rsidP="00411C98">
            <w:pPr>
              <w:pStyle w:val="NCDTableText"/>
              <w:spacing w:line="240" w:lineRule="auto"/>
            </w:pPr>
            <w:r w:rsidRPr="00656EBF">
              <w:t>1</w:t>
            </w:r>
          </w:p>
        </w:tc>
        <w:tc>
          <w:tcPr>
            <w:tcW w:w="0" w:type="auto"/>
            <w:vAlign w:val="center"/>
            <w:hideMark/>
          </w:tcPr>
          <w:p w14:paraId="468253F5" w14:textId="77777777" w:rsidR="00DF24CF" w:rsidRPr="00656EBF" w:rsidRDefault="00DF24CF" w:rsidP="00411C98">
            <w:pPr>
              <w:pStyle w:val="NCDTableText"/>
              <w:spacing w:line="240" w:lineRule="auto"/>
            </w:pPr>
            <w:r w:rsidRPr="00656EBF">
              <w:t>2</w:t>
            </w:r>
          </w:p>
        </w:tc>
        <w:tc>
          <w:tcPr>
            <w:tcW w:w="0" w:type="auto"/>
            <w:vAlign w:val="center"/>
            <w:hideMark/>
          </w:tcPr>
          <w:p w14:paraId="10DBC183" w14:textId="77777777" w:rsidR="00DF24CF" w:rsidRPr="00656EBF" w:rsidRDefault="00DF24CF" w:rsidP="00411C98">
            <w:pPr>
              <w:pStyle w:val="NCDTableText"/>
              <w:spacing w:line="240" w:lineRule="auto"/>
            </w:pPr>
            <w:r w:rsidRPr="00656EBF">
              <w:t>2</w:t>
            </w:r>
          </w:p>
        </w:tc>
      </w:tr>
      <w:tr w:rsidR="00F370C7" w14:paraId="60980D34" w14:textId="77777777" w:rsidTr="00D60B76">
        <w:trPr>
          <w:jc w:val="center"/>
        </w:trPr>
        <w:tc>
          <w:tcPr>
            <w:tcW w:w="0" w:type="auto"/>
            <w:vAlign w:val="center"/>
            <w:hideMark/>
          </w:tcPr>
          <w:p w14:paraId="3CB5B95D" w14:textId="77777777" w:rsidR="00DF24CF" w:rsidRPr="00656EBF" w:rsidRDefault="00DF24CF" w:rsidP="00411C98">
            <w:pPr>
              <w:pStyle w:val="NCDTableText"/>
              <w:pageBreakBefore/>
              <w:spacing w:line="240" w:lineRule="auto"/>
            </w:pPr>
            <w:r w:rsidRPr="00656EBF">
              <w:lastRenderedPageBreak/>
              <w:t>2017</w:t>
            </w:r>
          </w:p>
        </w:tc>
        <w:tc>
          <w:tcPr>
            <w:tcW w:w="0" w:type="auto"/>
            <w:vAlign w:val="center"/>
            <w:hideMark/>
          </w:tcPr>
          <w:p w14:paraId="2294FCFA" w14:textId="0CD12DF4" w:rsidR="00DF24CF" w:rsidRPr="00656EBF" w:rsidRDefault="00DF24CF" w:rsidP="00411C98">
            <w:pPr>
              <w:pStyle w:val="NCDTableText"/>
              <w:spacing w:line="240" w:lineRule="auto"/>
            </w:pPr>
            <w:r w:rsidRPr="00656EBF">
              <w:t xml:space="preserve">1 (discussed </w:t>
            </w:r>
            <w:r w:rsidR="00F370C7">
              <w:t>previously</w:t>
            </w:r>
            <w:r w:rsidRPr="00656EBF">
              <w:t>)</w:t>
            </w:r>
          </w:p>
        </w:tc>
        <w:tc>
          <w:tcPr>
            <w:tcW w:w="0" w:type="auto"/>
            <w:vAlign w:val="center"/>
            <w:hideMark/>
          </w:tcPr>
          <w:p w14:paraId="48B9D4A4" w14:textId="77777777" w:rsidR="00DF24CF" w:rsidRPr="00656EBF" w:rsidRDefault="00DF24CF" w:rsidP="00411C98">
            <w:pPr>
              <w:pStyle w:val="NCDTableText"/>
              <w:spacing w:line="240" w:lineRule="auto"/>
            </w:pPr>
            <w:r w:rsidRPr="00656EBF">
              <w:t>12</w:t>
            </w:r>
          </w:p>
        </w:tc>
        <w:tc>
          <w:tcPr>
            <w:tcW w:w="0" w:type="auto"/>
            <w:vAlign w:val="center"/>
            <w:hideMark/>
          </w:tcPr>
          <w:p w14:paraId="1C1F7EE8" w14:textId="4FDC92C7" w:rsidR="00DF24CF" w:rsidRPr="00656EBF" w:rsidRDefault="00DF24CF" w:rsidP="00411C98">
            <w:pPr>
              <w:pStyle w:val="NCDTableText"/>
              <w:spacing w:line="240" w:lineRule="auto"/>
            </w:pPr>
            <w:r w:rsidRPr="00656EBF">
              <w:t xml:space="preserve">3 (1 discussed </w:t>
            </w:r>
            <w:r w:rsidR="00F370C7">
              <w:t>previously</w:t>
            </w:r>
            <w:r w:rsidRPr="00656EBF">
              <w:t>)</w:t>
            </w:r>
          </w:p>
        </w:tc>
        <w:tc>
          <w:tcPr>
            <w:tcW w:w="0" w:type="auto"/>
            <w:vAlign w:val="center"/>
            <w:hideMark/>
          </w:tcPr>
          <w:p w14:paraId="7F545043" w14:textId="77777777" w:rsidR="00DF24CF" w:rsidRPr="00656EBF" w:rsidRDefault="00DF24CF" w:rsidP="00411C98">
            <w:pPr>
              <w:pStyle w:val="NCDTableText"/>
              <w:spacing w:line="240" w:lineRule="auto"/>
            </w:pPr>
            <w:r w:rsidRPr="00656EBF">
              <w:t>2</w:t>
            </w:r>
          </w:p>
        </w:tc>
      </w:tr>
      <w:tr w:rsidR="00F370C7" w14:paraId="726E373B" w14:textId="77777777" w:rsidTr="00D60B76">
        <w:trPr>
          <w:jc w:val="center"/>
        </w:trPr>
        <w:tc>
          <w:tcPr>
            <w:tcW w:w="0" w:type="auto"/>
            <w:vAlign w:val="center"/>
            <w:hideMark/>
          </w:tcPr>
          <w:p w14:paraId="443F6F43" w14:textId="77777777" w:rsidR="00DF24CF" w:rsidRPr="00656EBF" w:rsidRDefault="00DF24CF" w:rsidP="00411C98">
            <w:pPr>
              <w:pStyle w:val="NCDTableText"/>
              <w:spacing w:line="240" w:lineRule="auto"/>
            </w:pPr>
            <w:r w:rsidRPr="00656EBF">
              <w:t>2018 (Qs. 1 and 2)</w:t>
            </w:r>
          </w:p>
        </w:tc>
        <w:tc>
          <w:tcPr>
            <w:tcW w:w="0" w:type="auto"/>
            <w:vAlign w:val="center"/>
          </w:tcPr>
          <w:p w14:paraId="509C4258" w14:textId="77777777" w:rsidR="00DF24CF" w:rsidRPr="00656EBF" w:rsidRDefault="00DF24CF" w:rsidP="00411C98">
            <w:pPr>
              <w:pStyle w:val="NCDTableText"/>
              <w:spacing w:line="240" w:lineRule="auto"/>
            </w:pPr>
          </w:p>
        </w:tc>
        <w:tc>
          <w:tcPr>
            <w:tcW w:w="0" w:type="auto"/>
            <w:vAlign w:val="center"/>
            <w:hideMark/>
          </w:tcPr>
          <w:p w14:paraId="15A9FE1E" w14:textId="77777777" w:rsidR="00DF24CF" w:rsidRPr="00656EBF" w:rsidRDefault="00DF24CF" w:rsidP="00411C98">
            <w:pPr>
              <w:pStyle w:val="NCDTableText"/>
              <w:spacing w:line="240" w:lineRule="auto"/>
            </w:pPr>
            <w:r w:rsidRPr="00656EBF">
              <w:t>8</w:t>
            </w:r>
          </w:p>
        </w:tc>
        <w:tc>
          <w:tcPr>
            <w:tcW w:w="0" w:type="auto"/>
            <w:vAlign w:val="center"/>
            <w:hideMark/>
          </w:tcPr>
          <w:p w14:paraId="358677B3" w14:textId="5BF7AB6A" w:rsidR="00DF24CF" w:rsidRPr="00656EBF" w:rsidRDefault="00DF24CF" w:rsidP="00411C98">
            <w:pPr>
              <w:pStyle w:val="NCDTableText"/>
              <w:spacing w:line="240" w:lineRule="auto"/>
            </w:pPr>
            <w:r w:rsidRPr="00656EBF">
              <w:t xml:space="preserve">2 (discussed </w:t>
            </w:r>
            <w:r w:rsidR="00F370C7">
              <w:t>previously</w:t>
            </w:r>
            <w:r w:rsidRPr="00656EBF">
              <w:t>)</w:t>
            </w:r>
          </w:p>
        </w:tc>
        <w:tc>
          <w:tcPr>
            <w:tcW w:w="0" w:type="auto"/>
            <w:vAlign w:val="center"/>
          </w:tcPr>
          <w:p w14:paraId="02AAEDB7" w14:textId="77777777" w:rsidR="00DF24CF" w:rsidRPr="00656EBF" w:rsidRDefault="00DF24CF" w:rsidP="00411C98">
            <w:pPr>
              <w:pStyle w:val="NCDTableText"/>
              <w:spacing w:line="240" w:lineRule="auto"/>
            </w:pPr>
          </w:p>
        </w:tc>
      </w:tr>
    </w:tbl>
    <w:p w14:paraId="00EA121A" w14:textId="77777777" w:rsidR="00296DA5" w:rsidRDefault="00DF24CF" w:rsidP="00411C98">
      <w:pPr>
        <w:pStyle w:val="NCDTableSource"/>
        <w:spacing w:line="240" w:lineRule="auto"/>
      </w:pPr>
      <w:r w:rsidRPr="00656EBF">
        <w:t>*Although these cases originally raised disability-related allegations, CRC did not find any substantive violations of disability nondiscrimination law.</w:t>
      </w:r>
      <w:r>
        <w:t xml:space="preserve"> </w:t>
      </w:r>
      <w:r w:rsidRPr="00656EBF">
        <w:t>Rather, the agreements were based on CRC</w:t>
      </w:r>
      <w:r>
        <w:t>’</w:t>
      </w:r>
      <w:r w:rsidRPr="00656EBF">
        <w:t>s findings that the relevant respondents had violated technical requirements, such as those requiring them to retain demographic data for a particular period of time.</w:t>
      </w:r>
    </w:p>
    <w:p w14:paraId="5E1B4F69" w14:textId="77777777" w:rsidR="00296DA5" w:rsidRDefault="00DF24CF" w:rsidP="00411C98">
      <w:pPr>
        <w:pStyle w:val="NCDTableSource"/>
        <w:spacing w:after="200" w:line="240" w:lineRule="auto"/>
      </w:pPr>
      <w:r w:rsidRPr="00656EBF">
        <w:t xml:space="preserve">**This number includes the five consolidated cases discussed </w:t>
      </w:r>
      <w:r w:rsidR="00F370C7">
        <w:t>previously</w:t>
      </w:r>
      <w:r w:rsidRPr="00656EBF">
        <w:t>, as well as three agreements resolving three additional cases.</w:t>
      </w:r>
    </w:p>
    <w:p w14:paraId="34777F27" w14:textId="4F89D2F6" w:rsidR="00296DA5" w:rsidRDefault="00DF24CF" w:rsidP="00D60B76">
      <w:pPr>
        <w:pStyle w:val="NCDNumberedLevel1"/>
        <w:spacing w:after="160" w:line="240" w:lineRule="auto"/>
        <w:ind w:left="360"/>
      </w:pPr>
      <w:r>
        <w:t>How does the CRC assess, investigate, and adjudicate complaints of discrimination of a person with a disability?</w:t>
      </w:r>
    </w:p>
    <w:p w14:paraId="619A6DC0" w14:textId="77777777" w:rsidR="00296DA5" w:rsidRDefault="00DF24CF" w:rsidP="00D60B76">
      <w:pPr>
        <w:pStyle w:val="NCDNumberedLevel1"/>
        <w:numPr>
          <w:ilvl w:val="0"/>
          <w:numId w:val="0"/>
        </w:numPr>
        <w:spacing w:after="160" w:line="240" w:lineRule="auto"/>
        <w:ind w:left="360"/>
      </w:pPr>
      <w:r>
        <w:t>CRC receives complaints, including disability-related complaints, either directly from complainants / their representatives, or through referral from other Federal departments and agencies.</w:t>
      </w:r>
    </w:p>
    <w:p w14:paraId="23D32E22" w14:textId="77777777" w:rsidR="00296DA5" w:rsidRDefault="00DF24CF" w:rsidP="00D60B76">
      <w:pPr>
        <w:pStyle w:val="NCDNumberedLevel1"/>
        <w:numPr>
          <w:ilvl w:val="0"/>
          <w:numId w:val="0"/>
        </w:numPr>
        <w:spacing w:after="160" w:line="240" w:lineRule="auto"/>
        <w:ind w:left="360"/>
      </w:pPr>
      <w:r>
        <w:t>Each complaint is initially assessed by a CRC Intake Equal Opportunity Specialist (EOS) to determine appropriate action, including whether the complaint should be accepted for investigation. This assessment considers four main criteria: (1) whether the complaint is complete; (2) whether it was filed timely; (3) whether it alleges discrimination on a basis prohibited by a law enforced by CRC (or retaliation for activity protected by one or more of such laws); and (4) whether CRC has jurisdiction over the entity alleged to have discriminated / retaliated.</w:t>
      </w:r>
    </w:p>
    <w:p w14:paraId="75477D1C" w14:textId="77777777" w:rsidR="00296DA5" w:rsidRDefault="00DF24CF" w:rsidP="00D60B76">
      <w:pPr>
        <w:pStyle w:val="NCDNumberedLevel1"/>
        <w:numPr>
          <w:ilvl w:val="0"/>
          <w:numId w:val="0"/>
        </w:numPr>
        <w:spacing w:after="160" w:line="240" w:lineRule="auto"/>
        <w:ind w:left="360"/>
      </w:pPr>
      <w:r>
        <w:t>With regard to completeness and timeliness, where a complaint is not complete, the Section 504 and WIOA Section 188 regulations require CRC to make reasonable efforts to obtain the missing information. Therefore, before closing a complaint under these circumstances, CRC will contact the Complainant to seek whatever information has not been provided, such as by asking the Complainant to complete CRC’s Complaint Information Form (CIF) or to respond to an individually-drafted Intake Questionnaire. Similarly, if a complaint is untimely filed, CRC will invite the Complainant to explain the late filing; the Director has authority to extend the filing period for good cause. However, if it does not receive the necessary information, CRC will close the complaint with an explanatory letter.</w:t>
      </w:r>
    </w:p>
    <w:p w14:paraId="1B369A63" w14:textId="626F90B3" w:rsidR="00296DA5" w:rsidRDefault="00DF24CF" w:rsidP="00411C98">
      <w:pPr>
        <w:pStyle w:val="NCDNumberedLevel1"/>
        <w:numPr>
          <w:ilvl w:val="0"/>
          <w:numId w:val="0"/>
        </w:numPr>
        <w:spacing w:line="240" w:lineRule="auto"/>
        <w:ind w:left="360"/>
      </w:pPr>
      <w:r>
        <w:lastRenderedPageBreak/>
        <w:t xml:space="preserve">With regard to jurisdiction, the statutory jurisdiction of CRC’s external program that most directly impacts individuals with disabilities is described in our response to Question 4. A large majority of the complaints CRC receives, including those alleging disability discrimination, fall outside of its jurisdiction. Where possible, those complaints are transferred to an appropriate Federal, State, or local authority. CRC also has joint or dual jurisdiction with other Federal agencies (such as the Equal Employment Opportunity Commission) over certain complaints and will refer such complaints to such other agencies under circumstances specified by regulation </w:t>
      </w:r>
      <w:r w:rsidR="009D3737">
        <w:br/>
      </w:r>
      <w:r>
        <w:t xml:space="preserve">and send a letter to the complainant indicating why CRC made the referral. </w:t>
      </w:r>
      <w:r w:rsidR="009D3737">
        <w:br/>
      </w:r>
      <w:r>
        <w:t>See, e.g., 29 CFR 38.80-81.</w:t>
      </w:r>
    </w:p>
    <w:p w14:paraId="1E758AAE" w14:textId="77777777" w:rsidR="00296DA5" w:rsidRDefault="00DF24CF" w:rsidP="00411C98">
      <w:pPr>
        <w:pStyle w:val="NCDNumberedLevel1"/>
        <w:numPr>
          <w:ilvl w:val="0"/>
          <w:numId w:val="0"/>
        </w:numPr>
        <w:spacing w:line="240" w:lineRule="auto"/>
        <w:ind w:left="360"/>
      </w:pPr>
      <w:r>
        <w:t xml:space="preserve">Complaints that satisfy the four criteria listed </w:t>
      </w:r>
      <w:r w:rsidR="00F370C7">
        <w:t xml:space="preserve">previously </w:t>
      </w:r>
      <w:r>
        <w:t>in this response, and that are not required to be transferred to another Federal agency, are accepted for investigation / attempted resolution except in rare cases, such as those in which CRC has already issued a decision regarding the same facts or those in which the facts alleged by the Complainant, even if true, would not constitute a violation of the laws enforced by CRC. CRC sends letters to Complainants in these cases, or otherwise communicates in the method requested by a Complainant with a disability, explaining why their complaints will not be accepted for investigation.</w:t>
      </w:r>
    </w:p>
    <w:p w14:paraId="656424B7" w14:textId="77777777" w:rsidR="00296DA5" w:rsidRDefault="00DF24CF" w:rsidP="00411C98">
      <w:pPr>
        <w:pStyle w:val="NCDNumberedLevel1"/>
        <w:numPr>
          <w:ilvl w:val="0"/>
          <w:numId w:val="0"/>
        </w:numPr>
        <w:spacing w:line="240" w:lineRule="auto"/>
        <w:ind w:left="360"/>
      </w:pPr>
      <w:r>
        <w:t>Once accepted, individual complaints are usually investigated through written questions and/or telephone interviews. For Complainants with disabilities, CRC gives primary consideration to the communication method requested by the individual with a disability. For example, in one individual disability case, CRC conducted calls via videophone, providing both American Sign Language interpreters and Certified Deaf Interpreters at the Complainant’s request.</w:t>
      </w:r>
    </w:p>
    <w:p w14:paraId="59A069F8" w14:textId="77777777" w:rsidR="00296DA5" w:rsidRDefault="00DF24CF" w:rsidP="00411C98">
      <w:pPr>
        <w:pStyle w:val="NCDNumberedLevel1"/>
        <w:numPr>
          <w:ilvl w:val="0"/>
          <w:numId w:val="0"/>
        </w:numPr>
        <w:spacing w:line="240" w:lineRule="auto"/>
        <w:ind w:left="360"/>
      </w:pPr>
      <w:r>
        <w:t>CRC makes every effort to conduct on-site investigations of complaints alleging systemic discrimination. In recent years, the vast majority of such allegations that related to disability have involved statewide systems for filing benefits-related claims and appeals, such as those for unemployment insurance (UI) or workers’ compensation. However, these cases are comparatively rare. Most disability complaints that CRC receives contain individual allegations.</w:t>
      </w:r>
    </w:p>
    <w:p w14:paraId="0CC684AE" w14:textId="77777777" w:rsidR="00296DA5" w:rsidRDefault="00DF24CF" w:rsidP="00411C98">
      <w:pPr>
        <w:pStyle w:val="NCDNumberedLevel1"/>
        <w:numPr>
          <w:ilvl w:val="0"/>
          <w:numId w:val="0"/>
        </w:numPr>
        <w:spacing w:line="240" w:lineRule="auto"/>
        <w:ind w:left="360"/>
      </w:pPr>
      <w:r>
        <w:t>When CRC has investigated a complaint and, based on the evidence, finds no reasonable cause to believe that a violation has taken place, CRC will close a case by issuing a Final Determination explaining the agency’s reasoning. For a discussion of adjudication and resolution where a violation has been found, see our response to Question 9.</w:t>
      </w:r>
    </w:p>
    <w:p w14:paraId="4DD8B943" w14:textId="77777777" w:rsidR="00296DA5" w:rsidRDefault="00DF24CF" w:rsidP="00411C98">
      <w:pPr>
        <w:pStyle w:val="NCDNumberedLevel1"/>
        <w:spacing w:line="240" w:lineRule="auto"/>
        <w:ind w:left="360"/>
      </w:pPr>
      <w:r>
        <w:t>Does CRC’s process for enforcing Section 188 of the Workforce Innovation and Opportunity Act differ from the general investigation and enforcement processes?</w:t>
      </w:r>
    </w:p>
    <w:p w14:paraId="013F7143" w14:textId="77777777" w:rsidR="00296DA5" w:rsidRDefault="00DF24CF" w:rsidP="00411C98">
      <w:pPr>
        <w:pStyle w:val="NCDNumberedLevel1"/>
        <w:numPr>
          <w:ilvl w:val="0"/>
          <w:numId w:val="0"/>
        </w:numPr>
        <w:spacing w:line="240" w:lineRule="auto"/>
        <w:ind w:left="360"/>
      </w:pPr>
      <w:r>
        <w:t>No, it does not. CRC uses the same process for enforcing WIOA Section 188 (specified in the regulations at 29 CFR Part 38) as it uses to enforce other statutes, including Section 504 and ADA Title II.</w:t>
      </w:r>
    </w:p>
    <w:p w14:paraId="22311B0F" w14:textId="77777777" w:rsidR="003C5E89" w:rsidRDefault="003C5E89">
      <w:pPr>
        <w:spacing w:after="200"/>
        <w:rPr>
          <w:rFonts w:ascii="Arial" w:hAnsi="Arial" w:cs="Arial"/>
          <w:szCs w:val="24"/>
        </w:rPr>
      </w:pPr>
      <w:r>
        <w:br w:type="page"/>
      </w:r>
    </w:p>
    <w:p w14:paraId="7462F275" w14:textId="7A802C51" w:rsidR="00296DA5" w:rsidRDefault="00DF24CF" w:rsidP="00411C98">
      <w:pPr>
        <w:pStyle w:val="NCDNumberedLevel1"/>
        <w:spacing w:line="240" w:lineRule="auto"/>
        <w:ind w:left="360"/>
      </w:pPr>
      <w:r>
        <w:lastRenderedPageBreak/>
        <w:t>How are investigations prioritized? How are investigators assigned to a charge?</w:t>
      </w:r>
    </w:p>
    <w:p w14:paraId="764883D9" w14:textId="77777777" w:rsidR="00296DA5" w:rsidRDefault="00DF24CF" w:rsidP="00411C98">
      <w:pPr>
        <w:pStyle w:val="NCDNumberedLevel1"/>
        <w:numPr>
          <w:ilvl w:val="0"/>
          <w:numId w:val="0"/>
        </w:numPr>
        <w:spacing w:line="240" w:lineRule="auto"/>
        <w:ind w:left="360"/>
      </w:pPr>
      <w:r>
        <w:t>Since at least 2013 to the present, the highest priority for investigation has been given to complaints alleging systemic discrimination, particularly those involving disability. The more complex cases are assigned to the more experienced investigators to the extent possible; otherwise, cases are assigned to investigators on a rotating basis in the order in which the cases are identified as suitable for investigation.</w:t>
      </w:r>
    </w:p>
    <w:p w14:paraId="5F2C8BC3" w14:textId="77777777" w:rsidR="00296DA5" w:rsidRDefault="00DF24CF" w:rsidP="00411C98">
      <w:pPr>
        <w:pStyle w:val="NCDNumberedLevel1"/>
        <w:spacing w:line="240" w:lineRule="auto"/>
        <w:ind w:left="360"/>
      </w:pPr>
      <w:r>
        <w:t>When a CRC investigation identifies a violation, what is the procedure for resolving the violation?</w:t>
      </w:r>
    </w:p>
    <w:p w14:paraId="0B545F22" w14:textId="77777777" w:rsidR="00296DA5" w:rsidRDefault="00DF24CF" w:rsidP="00411C98">
      <w:pPr>
        <w:pStyle w:val="NCDNumberedLevel1"/>
        <w:numPr>
          <w:ilvl w:val="0"/>
          <w:numId w:val="0"/>
        </w:numPr>
        <w:spacing w:line="240" w:lineRule="auto"/>
        <w:ind w:left="360"/>
      </w:pPr>
      <w:r>
        <w:t>Generally, where CRC’s interactions with the Respondent during the investigation have indicated that the Respondent may be open to a voluntary resolution, then CRC will contact the Respondent and offer the opportunity to enter into a settlement agreement before the issuance of a formal decision finding a violation. Such an agreement will require the Respondent to make changes in order to prevent future discrimination, as well as providing appropriate individual relief to the Complainant(s). If the Respondent is not interested in voluntary resolution, or if negotiations are unsuccessful, CRC has the option of issuing a formal Initial Determination or Letter of Findings discussing its reasons for concluding that the Respondent has violated the law. Both the Complainant(s) and the Respondent will receive copies of such formal documents. At that point, the Respondent has another opportunity for voluntary compliance through the signing of a Conciliation Agreement.</w:t>
      </w:r>
    </w:p>
    <w:p w14:paraId="27857167" w14:textId="77777777" w:rsidR="00296DA5" w:rsidRDefault="00DF24CF" w:rsidP="00411C98">
      <w:pPr>
        <w:pStyle w:val="NCDNumberedLevel1"/>
        <w:spacing w:line="240" w:lineRule="auto"/>
        <w:ind w:left="360"/>
      </w:pPr>
      <w:r>
        <w:t>When a CRC investigation identifies a violation and a resolution is not achieved, what is the process for enforcement, including DOL enforcement or referral to another agency (e.g., DOJ)? What remedies are available?</w:t>
      </w:r>
    </w:p>
    <w:p w14:paraId="7E808085" w14:textId="77777777" w:rsidR="00296DA5" w:rsidRDefault="00DF24CF" w:rsidP="00411C98">
      <w:pPr>
        <w:pStyle w:val="NCDNumberedLevel1"/>
        <w:numPr>
          <w:ilvl w:val="0"/>
          <w:numId w:val="0"/>
        </w:numPr>
        <w:spacing w:line="240" w:lineRule="auto"/>
        <w:ind w:left="720" w:hanging="360"/>
      </w:pPr>
      <w:r>
        <w:t>(a) With respect to ADA Title II cases, if the public entity declines to enter into voluntary compliance negotiations or if negotiations are unsuccessful, the matter is referred to the Attorney General with a recommendation for appropriate action.</w:t>
      </w:r>
    </w:p>
    <w:p w14:paraId="63CE57EF" w14:textId="455C3C42" w:rsidR="00DF24CF" w:rsidRDefault="00DF24CF" w:rsidP="00411C98">
      <w:pPr>
        <w:pStyle w:val="NCDNumberedLevel1"/>
        <w:numPr>
          <w:ilvl w:val="0"/>
          <w:numId w:val="0"/>
        </w:numPr>
        <w:spacing w:line="240" w:lineRule="auto"/>
        <w:ind w:left="720" w:hanging="360"/>
      </w:pPr>
      <w:r>
        <w:t>(b) With respect to cases under WIOA Section 188, if the CRC Director concludes that compliance cannot be secured by voluntary means, the Director must either:</w:t>
      </w:r>
    </w:p>
    <w:p w14:paraId="7E105911" w14:textId="77777777" w:rsidR="00DF24CF" w:rsidRDefault="00DF24CF" w:rsidP="00411C98">
      <w:pPr>
        <w:pStyle w:val="NCDNumberedLevel1"/>
        <w:numPr>
          <w:ilvl w:val="0"/>
          <w:numId w:val="0"/>
        </w:numPr>
        <w:spacing w:line="240" w:lineRule="auto"/>
        <w:ind w:left="720"/>
      </w:pPr>
      <w:r>
        <w:t>(i) Issue a final determination of a violation pursuant to 29 CFR §38.96;</w:t>
      </w:r>
    </w:p>
    <w:p w14:paraId="5435DAEF" w14:textId="77777777" w:rsidR="00DF24CF" w:rsidRDefault="00DF24CF" w:rsidP="00411C98">
      <w:pPr>
        <w:pStyle w:val="NCDNumberedLevel1"/>
        <w:numPr>
          <w:ilvl w:val="0"/>
          <w:numId w:val="0"/>
        </w:numPr>
        <w:spacing w:line="240" w:lineRule="auto"/>
        <w:ind w:left="1080" w:hanging="360"/>
      </w:pPr>
      <w:r>
        <w:t>(ii) Refer the matter to the Attorney General with a recommendation that an appropriate civil action be instituted; or</w:t>
      </w:r>
    </w:p>
    <w:p w14:paraId="311CE31C" w14:textId="77777777" w:rsidR="00DF24CF" w:rsidRDefault="00DF24CF" w:rsidP="00411C98">
      <w:pPr>
        <w:pStyle w:val="NCDNumberedLevel1"/>
        <w:numPr>
          <w:ilvl w:val="0"/>
          <w:numId w:val="0"/>
        </w:numPr>
        <w:spacing w:line="240" w:lineRule="auto"/>
        <w:ind w:left="1080" w:hanging="360"/>
      </w:pPr>
      <w:r>
        <w:t>(iii) Take such other action as may be provided by law.</w:t>
      </w:r>
    </w:p>
    <w:p w14:paraId="0C53C488" w14:textId="77777777" w:rsidR="00296DA5" w:rsidRDefault="00DF24CF" w:rsidP="00411C98">
      <w:pPr>
        <w:pStyle w:val="NCDNumberedLevel1"/>
        <w:numPr>
          <w:ilvl w:val="0"/>
          <w:numId w:val="0"/>
        </w:numPr>
        <w:spacing w:line="240" w:lineRule="auto"/>
        <w:ind w:left="1080" w:hanging="360"/>
      </w:pPr>
      <w:r>
        <w:t>29 CFR §38.95.</w:t>
      </w:r>
    </w:p>
    <w:p w14:paraId="6A1803F4" w14:textId="77777777" w:rsidR="003C5E89" w:rsidRDefault="003C5E89">
      <w:pPr>
        <w:spacing w:after="200"/>
        <w:rPr>
          <w:rFonts w:ascii="Arial" w:hAnsi="Arial" w:cs="Arial"/>
          <w:szCs w:val="24"/>
        </w:rPr>
      </w:pPr>
      <w:r>
        <w:br w:type="page"/>
      </w:r>
    </w:p>
    <w:p w14:paraId="3B1623F4" w14:textId="50E7DD0C" w:rsidR="00396A3D" w:rsidRDefault="00DF24CF" w:rsidP="00411C98">
      <w:pPr>
        <w:pStyle w:val="NCDNumberedLevel1"/>
        <w:numPr>
          <w:ilvl w:val="0"/>
          <w:numId w:val="0"/>
        </w:numPr>
        <w:spacing w:line="240" w:lineRule="auto"/>
        <w:ind w:left="360"/>
      </w:pPr>
      <w:r>
        <w:lastRenderedPageBreak/>
        <w:t xml:space="preserve">If compliance is not achieved after issuance of a final determination of a violation, or if a conciliation agreement is </w:t>
      </w:r>
      <w:proofErr w:type="spellStart"/>
      <w:r>
        <w:t>breached</w:t>
      </w:r>
      <w:proofErr w:type="spellEnd"/>
      <w:r>
        <w:t>, the Secretary of Labor may:</w:t>
      </w:r>
    </w:p>
    <w:p w14:paraId="69F53538" w14:textId="626440C8" w:rsidR="00DF24CF" w:rsidRDefault="00DF24CF" w:rsidP="00411C98">
      <w:pPr>
        <w:pStyle w:val="NCDBulletsLevel2"/>
        <w:spacing w:line="240" w:lineRule="auto"/>
      </w:pPr>
      <w:r>
        <w:t>Suspend, terminate, deny, or discontinue WIOA Title I financial assistance, in whole or in part (after the opportunity for a hearing) or</w:t>
      </w:r>
    </w:p>
    <w:p w14:paraId="2BA8361D" w14:textId="77777777" w:rsidR="00396A3D" w:rsidRDefault="00DF24CF" w:rsidP="00411C98">
      <w:pPr>
        <w:pStyle w:val="NCDBulletsLevel2"/>
        <w:spacing w:line="240" w:lineRule="auto"/>
      </w:pPr>
      <w:r>
        <w:t xml:space="preserve">Take the same actions described in (b)(ii) and (b)(iii) </w:t>
      </w:r>
      <w:r w:rsidR="00F370C7">
        <w:t>previously</w:t>
      </w:r>
      <w:r>
        <w:t>.</w:t>
      </w:r>
    </w:p>
    <w:p w14:paraId="236F9793" w14:textId="77777777" w:rsidR="00296DA5" w:rsidRDefault="00DF24CF" w:rsidP="00411C98">
      <w:pPr>
        <w:pStyle w:val="NCDNumberedLevel1"/>
        <w:numPr>
          <w:ilvl w:val="0"/>
          <w:numId w:val="0"/>
        </w:numPr>
        <w:spacing w:line="240" w:lineRule="auto"/>
        <w:ind w:left="720" w:hanging="360"/>
      </w:pPr>
      <w:r>
        <w:t>(c) With respect to cases under Section 504, where a recipient of federal financial assistance is found to have discriminated against individuals on the basis of disability, the recipient may be required to take such remedial action as CRC</w:t>
      </w:r>
      <w:r>
        <w:rPr>
          <w:rStyle w:val="EndnoteReference"/>
        </w:rPr>
        <w:endnoteReference w:id="329"/>
      </w:r>
      <w:r>
        <w:t xml:space="preserve"> deems necessary to overcome the effects of the discrimination. Additionally, where another recipient exercises control over the recipient that has discriminated, either or both recipients may be required to take remedial action. 29 CFR §32.6. If the relevant recipients fail or refuse to do so, the options available to CRC and DOL are similar to those under WIOA Section 188. See 29 CFR §32.46.</w:t>
      </w:r>
    </w:p>
    <w:p w14:paraId="7DE23A80" w14:textId="77777777" w:rsidR="00296DA5" w:rsidRDefault="00DF24CF" w:rsidP="00411C98">
      <w:pPr>
        <w:pStyle w:val="NCDNumberedLevel1"/>
        <w:spacing w:line="240" w:lineRule="auto"/>
        <w:ind w:left="360"/>
      </w:pPr>
      <w:r>
        <w:t>What is the role of mediation in the CRC complaint handling process related to disability discrimination? How does the CRC encourage the use of mediation by both the charging party and the covered entity? Under what circumstances are professional or private mediators or DOL staff mediators used?</w:t>
      </w:r>
    </w:p>
    <w:p w14:paraId="206B614C" w14:textId="62BD4E43" w:rsidR="00DF24CF" w:rsidRDefault="00DF24CF" w:rsidP="00411C98">
      <w:pPr>
        <w:pStyle w:val="NCDNumberedLevel1"/>
        <w:numPr>
          <w:ilvl w:val="0"/>
          <w:numId w:val="0"/>
        </w:numPr>
        <w:spacing w:line="240" w:lineRule="auto"/>
        <w:ind w:left="360"/>
      </w:pPr>
      <w:r>
        <w:t>In cases deemed appropriate by the CRC Director, CRC may offer Complainants and Respondents the option of alternative dispute resolution (ADR). In such circumstances:</w:t>
      </w:r>
    </w:p>
    <w:p w14:paraId="52805E93" w14:textId="6CACD4BE" w:rsidR="00DF24CF" w:rsidRDefault="008249C6" w:rsidP="00411C98">
      <w:pPr>
        <w:pStyle w:val="NCDNumberedLevel1"/>
        <w:numPr>
          <w:ilvl w:val="0"/>
          <w:numId w:val="0"/>
        </w:numPr>
        <w:spacing w:line="240" w:lineRule="auto"/>
        <w:ind w:left="720" w:hanging="360"/>
      </w:pPr>
      <w:r>
        <w:t xml:space="preserve">(a) </w:t>
      </w:r>
      <w:r w:rsidR="00DF24CF">
        <w:t>ADR is voluntary; consent must be given by the Complainant and Respondent before the ADR process will proceed.</w:t>
      </w:r>
    </w:p>
    <w:p w14:paraId="21B90F90" w14:textId="42FAB71F" w:rsidR="00DF24CF" w:rsidRDefault="008249C6" w:rsidP="00411C98">
      <w:pPr>
        <w:pStyle w:val="NCDNumberedLevel1"/>
        <w:numPr>
          <w:ilvl w:val="0"/>
          <w:numId w:val="0"/>
        </w:numPr>
        <w:spacing w:line="240" w:lineRule="auto"/>
        <w:ind w:left="720" w:hanging="360"/>
      </w:pPr>
      <w:r>
        <w:t xml:space="preserve">(b) </w:t>
      </w:r>
      <w:r w:rsidR="00DF24CF">
        <w:t>The ADR will be conducted under the guidance of the Director.</w:t>
      </w:r>
    </w:p>
    <w:p w14:paraId="5396B8D7" w14:textId="2F36E837" w:rsidR="00DF24CF" w:rsidRDefault="008249C6" w:rsidP="00411C98">
      <w:pPr>
        <w:pStyle w:val="NCDNumberedLevel1"/>
        <w:numPr>
          <w:ilvl w:val="0"/>
          <w:numId w:val="0"/>
        </w:numPr>
        <w:spacing w:line="240" w:lineRule="auto"/>
        <w:ind w:left="720" w:hanging="360"/>
      </w:pPr>
      <w:r>
        <w:t xml:space="preserve">(c) </w:t>
      </w:r>
      <w:r w:rsidR="00DF24CF">
        <w:t>ADR may take place at any time after a complaint has been filed, as deemed appropriate by the Director.</w:t>
      </w:r>
    </w:p>
    <w:p w14:paraId="5CD379EF" w14:textId="081713FF" w:rsidR="00296DA5" w:rsidRDefault="008249C6" w:rsidP="00411C98">
      <w:pPr>
        <w:pStyle w:val="NCDNumberedLevel1"/>
        <w:numPr>
          <w:ilvl w:val="0"/>
          <w:numId w:val="0"/>
        </w:numPr>
        <w:spacing w:line="240" w:lineRule="auto"/>
        <w:ind w:left="720" w:hanging="360"/>
      </w:pPr>
      <w:r>
        <w:t xml:space="preserve">(d) </w:t>
      </w:r>
      <w:r w:rsidR="00DF24CF">
        <w:t>CRC will not suspend its investigation and complaint processes during ADR.</w:t>
      </w:r>
      <w:r w:rsidR="002009A9">
        <w:br/>
      </w:r>
      <w:r w:rsidR="00DF24CF">
        <w:t>[29 CFR §38.85]</w:t>
      </w:r>
    </w:p>
    <w:p w14:paraId="0068F7AC" w14:textId="77777777" w:rsidR="00296DA5" w:rsidRDefault="00DF24CF" w:rsidP="00411C98">
      <w:pPr>
        <w:pStyle w:val="NCDNumberedLevel1"/>
        <w:numPr>
          <w:ilvl w:val="0"/>
          <w:numId w:val="0"/>
        </w:numPr>
        <w:spacing w:line="240" w:lineRule="auto"/>
        <w:ind w:left="360"/>
      </w:pPr>
      <w:r>
        <w:t>In its letters notifying Complainants and Respondents that a particular complaint is being accepted for investigation, CRC includes the following statement:</w:t>
      </w:r>
    </w:p>
    <w:p w14:paraId="485F4D9C" w14:textId="77777777" w:rsidR="00296DA5" w:rsidRDefault="00DF24CF" w:rsidP="00411C98">
      <w:pPr>
        <w:pStyle w:val="NCDExtract"/>
        <w:spacing w:line="240" w:lineRule="auto"/>
        <w:ind w:left="1080"/>
      </w:pPr>
      <w:r>
        <w:t>CRC encourages early settlement of complaints. If you wish to settle this complaint, either now or at any point before CRC issues a written decision, please inform CRC. CRC will conduct discussions, or take other appropriate steps, to ensure that all necessary issues are addressed effectively in any conciliation/settlement agreement.</w:t>
      </w:r>
    </w:p>
    <w:p w14:paraId="78B78416" w14:textId="77777777" w:rsidR="00296DA5" w:rsidRDefault="00DF24CF" w:rsidP="00411C98">
      <w:pPr>
        <w:pStyle w:val="NCDNumberedLevel1"/>
        <w:numPr>
          <w:ilvl w:val="0"/>
          <w:numId w:val="0"/>
        </w:numPr>
        <w:spacing w:line="240" w:lineRule="auto"/>
        <w:ind w:left="360"/>
      </w:pPr>
      <w:r>
        <w:t>If both the Complainant and the Respondent indicate an interest in settlement at the acceptance phase, CRC will conduct ADR or use another appropriate resolution method.</w:t>
      </w:r>
    </w:p>
    <w:p w14:paraId="1CB2C5D3" w14:textId="77777777" w:rsidR="00296DA5" w:rsidRDefault="00DF24CF" w:rsidP="00411C98">
      <w:pPr>
        <w:pStyle w:val="NCDNumberedLevel1"/>
        <w:numPr>
          <w:ilvl w:val="0"/>
          <w:numId w:val="0"/>
        </w:numPr>
        <w:spacing w:line="240" w:lineRule="auto"/>
        <w:ind w:left="360"/>
      </w:pPr>
      <w:r>
        <w:lastRenderedPageBreak/>
        <w:t>CRC does not use formal mediation for its external cases, through either professional or private mediators or DOL staff mediators.</w:t>
      </w:r>
    </w:p>
    <w:p w14:paraId="11B16649" w14:textId="77777777" w:rsidR="00296DA5" w:rsidRDefault="00DF24CF" w:rsidP="00411C98">
      <w:pPr>
        <w:pStyle w:val="NCDNumberedLevel1"/>
        <w:numPr>
          <w:ilvl w:val="0"/>
          <w:numId w:val="0"/>
        </w:numPr>
        <w:spacing w:line="240" w:lineRule="auto"/>
        <w:ind w:left="360"/>
      </w:pPr>
      <w:r>
        <w:t>The aforementioned does not preclude CRC from handling negotiations with Respondents where it believes a violation of the law may have taken place, in order to ensure that all necessary actions are taken to prevent future discrimination. CRC does consult with Complainants to clarify what their desired resolution would be in a particular case before entering into such negotiations. However, as the CRC represents the interests of the United States, the Complainants are not signatories to such agreements, and the final decision re: the terms of the agreements lies with CRC.</w:t>
      </w:r>
    </w:p>
    <w:p w14:paraId="6E58555D" w14:textId="77777777" w:rsidR="00296DA5" w:rsidRDefault="00DF24CF" w:rsidP="00411C98">
      <w:pPr>
        <w:pStyle w:val="NCDNumberedLevel1"/>
        <w:spacing w:line="240" w:lineRule="auto"/>
        <w:ind w:left="360"/>
      </w:pPr>
      <w:r>
        <w:t>To what extent does CRC pursue agency-initiated compliance reviews or investigations or Secretary’s charges in the absence of a complaint of disability discrimination? What is the process for such agency-initiated investigations?</w:t>
      </w:r>
    </w:p>
    <w:p w14:paraId="356F4FAA" w14:textId="77777777" w:rsidR="00296DA5" w:rsidRDefault="00DF24CF" w:rsidP="00411C98">
      <w:pPr>
        <w:pStyle w:val="NCDNumberedLevel1"/>
        <w:numPr>
          <w:ilvl w:val="0"/>
          <w:numId w:val="0"/>
        </w:numPr>
        <w:spacing w:line="240" w:lineRule="auto"/>
        <w:ind w:left="360"/>
        <w:rPr>
          <w:bCs/>
        </w:rPr>
      </w:pPr>
      <w:r>
        <w:t>CRC’s Office of Compliance Assistance and Policy (OCAP) is generally responsible for conducting compliance reviews of entities that are within the jurisdiction of CRC’s external program. However, the enactment of WIOA in FY 2014 required OCAP not only to promulgate new implementing regulations for the statute’s nondiscrimination provisions, but also to provide considerable amounts of training and compliance assistance to State and local Equal Opportunity (EO) Officers</w:t>
      </w:r>
      <w:r>
        <w:rPr>
          <w:rStyle w:val="EndnoteReference"/>
        </w:rPr>
        <w:endnoteReference w:id="330"/>
      </w:r>
      <w:r>
        <w:t xml:space="preserve"> regarding these new regulations. These efforts consumed significant OCAP resources during the relevant period, limiting OCAP’s (and CRC’s) ability to conduct compliance reviews over the past several years. The procedures for conducting compliance reviews are set forth in 29 CFR </w:t>
      </w:r>
      <w:r>
        <w:rPr>
          <w:bCs/>
        </w:rPr>
        <w:t>§§ 38.62-38.64. The procedures include such steps as notification letters; submission of information, records, and/or data; desk audits and/or on-site visits, depending upon the subject of the review; and issuance of a written document summarizing the findings of the review.</w:t>
      </w:r>
    </w:p>
    <w:p w14:paraId="3ADD8FF8" w14:textId="77777777" w:rsidR="00296DA5" w:rsidRDefault="00DF24CF" w:rsidP="00411C98">
      <w:pPr>
        <w:pStyle w:val="NCDNumberedLevel1"/>
        <w:spacing w:line="240" w:lineRule="auto"/>
        <w:ind w:left="360"/>
      </w:pPr>
      <w:r>
        <w:t>To what extent does CRC use “testing” or other methods to identify disability discrimination?</w:t>
      </w:r>
    </w:p>
    <w:p w14:paraId="65BD5054" w14:textId="77777777" w:rsidR="00296DA5" w:rsidRDefault="00DF24CF" w:rsidP="00411C98">
      <w:pPr>
        <w:pStyle w:val="NCDNumberedLevel1"/>
        <w:numPr>
          <w:ilvl w:val="0"/>
          <w:numId w:val="0"/>
        </w:numPr>
        <w:spacing w:line="240" w:lineRule="auto"/>
        <w:ind w:left="360"/>
      </w:pPr>
      <w:r>
        <w:t>To date, CRC has not used unidentified “testers” for on-site visits in disability cases. To the extent that OEE has investigated disability cases on site, its investigators have identified themselves when arriving at Respondents’ facilities.</w:t>
      </w:r>
    </w:p>
    <w:p w14:paraId="12E4EF9E" w14:textId="76CA35DF" w:rsidR="00296DA5" w:rsidRDefault="00DF24CF" w:rsidP="00411C98">
      <w:pPr>
        <w:pStyle w:val="NCDNumberedLevel1"/>
        <w:numPr>
          <w:ilvl w:val="0"/>
          <w:numId w:val="0"/>
        </w:numPr>
        <w:spacing w:line="240" w:lineRule="auto"/>
        <w:ind w:left="360"/>
      </w:pPr>
      <w:r>
        <w:t>In past cases involving respondents’ on-line systems for benefits claims and appeals processing (</w:t>
      </w:r>
      <w:r w:rsidR="00631E24" w:rsidRPr="00631E24">
        <w:rPr>
          <w:i/>
        </w:rPr>
        <w:t>e.g.</w:t>
      </w:r>
      <w:r>
        <w:t>, for state UI benefits), CRC has sought and obtained access to respondents’ systems and reviewed them from the perspective of a customer, using screen reader software such as Job Access With Speech (JAWS).</w:t>
      </w:r>
    </w:p>
    <w:p w14:paraId="09C0BF93" w14:textId="77777777" w:rsidR="00296DA5" w:rsidRDefault="00DF24CF" w:rsidP="00411C98">
      <w:pPr>
        <w:pStyle w:val="NCDNumberedLevel1"/>
        <w:spacing w:line="240" w:lineRule="auto"/>
        <w:ind w:left="360"/>
      </w:pPr>
      <w:r>
        <w:t>Are there methods by which more urgent or significant complaints are “triaged” or prioritized for different handling?</w:t>
      </w:r>
    </w:p>
    <w:p w14:paraId="166A7F46" w14:textId="6D0F19C9" w:rsidR="00296DA5" w:rsidRDefault="00DF24CF" w:rsidP="00411C98">
      <w:pPr>
        <w:pStyle w:val="NCDNumberedLevel1"/>
        <w:numPr>
          <w:ilvl w:val="0"/>
          <w:numId w:val="0"/>
        </w:numPr>
        <w:spacing w:line="240" w:lineRule="auto"/>
        <w:ind w:left="360"/>
      </w:pPr>
      <w:r>
        <w:t xml:space="preserve">The CRC Director and the Chief of OEE have the authority to triage or prioritize incoming complaints, including those related to disability. Since at least 2013 to the present, the highest priority has been given to complaints alleging systemic discrimination, particularly those based on disability. As noted </w:t>
      </w:r>
      <w:r w:rsidR="00F370C7">
        <w:t xml:space="preserve">previously </w:t>
      </w:r>
      <w:r>
        <w:t xml:space="preserve">in our </w:t>
      </w:r>
      <w:r>
        <w:lastRenderedPageBreak/>
        <w:t xml:space="preserve">response to Question 6, CRC generally prefers to investigate such complaints </w:t>
      </w:r>
      <w:r w:rsidR="009D3737">
        <w:br/>
      </w:r>
      <w:r>
        <w:t>on site.</w:t>
      </w:r>
    </w:p>
    <w:p w14:paraId="5EA0F701" w14:textId="77777777" w:rsidR="00296DA5" w:rsidRDefault="00DF24CF" w:rsidP="00411C98">
      <w:pPr>
        <w:pStyle w:val="NCDNumberedLevel1"/>
        <w:spacing w:line="240" w:lineRule="auto"/>
        <w:ind w:left="360"/>
      </w:pPr>
      <w:r>
        <w:t>What is the process by which the CRC engages in conciliation after a “cause” finding?</w:t>
      </w:r>
    </w:p>
    <w:p w14:paraId="48CF8875" w14:textId="77777777" w:rsidR="00296DA5" w:rsidRDefault="00DF24CF" w:rsidP="00411C98">
      <w:pPr>
        <w:pStyle w:val="NCDNumberedLevel1"/>
        <w:numPr>
          <w:ilvl w:val="0"/>
          <w:numId w:val="0"/>
        </w:numPr>
        <w:spacing w:line="240" w:lineRule="auto"/>
        <w:ind w:left="360"/>
      </w:pPr>
      <w:r>
        <w:t>See response to Question 9.</w:t>
      </w:r>
    </w:p>
    <w:p w14:paraId="1FE22A4A" w14:textId="6030BD00" w:rsidR="00DF24CF" w:rsidRDefault="00DF24CF" w:rsidP="00411C98">
      <w:pPr>
        <w:pStyle w:val="NCDNumberedLevel1"/>
        <w:spacing w:line="240" w:lineRule="auto"/>
        <w:ind w:left="360"/>
      </w:pPr>
      <w:r>
        <w:t>What is the process by which the CRC interacts with other federal agencies to enforce disability civil rights laws, especially with Department of Labor’s OFCCP and WHD, the Department of Education, and the Department of Justice? What is the process by which the CRC engages with the Department of Justice over potential litigation of disability rights complaints?</w:t>
      </w:r>
    </w:p>
    <w:p w14:paraId="1AC7E4F9" w14:textId="77777777" w:rsidR="00396A3D" w:rsidRDefault="00DF24CF" w:rsidP="00411C98">
      <w:pPr>
        <w:pStyle w:val="NCDNumberedLevel1"/>
        <w:numPr>
          <w:ilvl w:val="0"/>
          <w:numId w:val="0"/>
        </w:numPr>
        <w:spacing w:line="240" w:lineRule="auto"/>
        <w:ind w:left="360"/>
        <w:rPr>
          <w:bCs/>
        </w:rPr>
      </w:pPr>
      <w:r>
        <w:t xml:space="preserve">CRC receives complaint referrals from other federal agencies, particularly the U.S. Department of Justice (DOJ). It also refers or transfers complaints, including disability complaints, to other federal agencies (including within DOL) where CRC does not have jurisdiction, or where CRC and the other agency have dual jurisdiction over the complaint. See 29 CFR 38.81(c); see also response to Question 6. With regard to individual employment complaints alleging disability discrimination over which CRC would otherwise have jurisdiction, CRC is required to notify the Complainant that the complaint will be forwarded to the EEOC for investigation and processing unless the Complainant specifies a preference for CRC to handle. See 29 CFR </w:t>
      </w:r>
      <w:r>
        <w:rPr>
          <w:bCs/>
        </w:rPr>
        <w:t>§1640.6. CRC occasionally has informal discussions with other agencies, such as the Department of Education, regarding the agencies’ respective handling of particular types of complaints, including disability-related complaints.</w:t>
      </w:r>
    </w:p>
    <w:p w14:paraId="5465087B" w14:textId="03F9C0D8" w:rsidR="00296DA5" w:rsidRDefault="00DF24CF" w:rsidP="00411C98">
      <w:pPr>
        <w:pStyle w:val="NCDNumberedLevel1"/>
        <w:numPr>
          <w:ilvl w:val="0"/>
          <w:numId w:val="0"/>
        </w:numPr>
        <w:spacing w:line="240" w:lineRule="auto"/>
        <w:ind w:left="360"/>
      </w:pPr>
      <w:r>
        <w:t xml:space="preserve">With regard to potential litigation by DOJ of disability rights complaints under the laws enforced by CRC: over the past several years, the process has consisted of informal discussion by staff-level employees and managers of each agency of the relative strengths and weaknesses of a particular case, along with review by DOJ of relevant documentation. As of the date of these responses, the referral process in disability rights cases has not progressed beyond this point. If DOJ expresses an interest in litigation of a particular case, the case will go through a formal referral process, pursuant to the regulations implementing the statute(s) </w:t>
      </w:r>
      <w:r w:rsidR="0076033E">
        <w:br/>
      </w:r>
      <w:r>
        <w:t>at issue.</w:t>
      </w:r>
    </w:p>
    <w:p w14:paraId="6EE1B9E6" w14:textId="77777777" w:rsidR="00296DA5" w:rsidRDefault="00DF24CF" w:rsidP="00411C98">
      <w:pPr>
        <w:pStyle w:val="NCDNumberedLevel1"/>
        <w:spacing w:line="240" w:lineRule="auto"/>
        <w:ind w:left="360"/>
      </w:pPr>
      <w:r>
        <w:t>What is CRC’s policy for providing reasonable accommodations during the investigations process (e.g. to assist a charging party with a disability? During mediation or settlement discussions?)</w:t>
      </w:r>
    </w:p>
    <w:p w14:paraId="3F2CCAE7" w14:textId="4D2C0CA3" w:rsidR="00296DA5" w:rsidRDefault="00DF24CF" w:rsidP="00411C98">
      <w:pPr>
        <w:pStyle w:val="NCDNumberedLevel1"/>
        <w:numPr>
          <w:ilvl w:val="0"/>
          <w:numId w:val="0"/>
        </w:numPr>
        <w:spacing w:line="240" w:lineRule="auto"/>
        <w:ind w:left="360"/>
      </w:pPr>
      <w:r>
        <w:t>CRC conducts most of its investigations of individual complaints on a long-distance basis (</w:t>
      </w:r>
      <w:r w:rsidR="00631E24" w:rsidRPr="00631E24">
        <w:rPr>
          <w:i/>
        </w:rPr>
        <w:t>i.e.</w:t>
      </w:r>
      <w:r>
        <w:t>, not on site). Therefore, its focus during the investigation is largely related to providing equally effective communications for Complainants with disabilities. See discussion in our response to Question 6. To the extent that a Complainant (or a representative of a Respondent) who has a disability requests reasonable accommodations, CRC will make every effort to provide such accommodations.</w:t>
      </w:r>
    </w:p>
    <w:p w14:paraId="662E325D" w14:textId="77777777" w:rsidR="00296DA5" w:rsidRDefault="00DF24CF" w:rsidP="00411C98">
      <w:pPr>
        <w:pStyle w:val="NCDNumberedLevel1"/>
        <w:spacing w:line="240" w:lineRule="auto"/>
        <w:ind w:left="360"/>
      </w:pPr>
      <w:r>
        <w:lastRenderedPageBreak/>
        <w:t>How does CRC provide training on investigations, negotiations, and enforcement action for CRC staff on disability-based discrimination?</w:t>
      </w:r>
    </w:p>
    <w:p w14:paraId="1645F4DA" w14:textId="77777777" w:rsidR="00296DA5" w:rsidRDefault="00DF24CF" w:rsidP="00411C98">
      <w:pPr>
        <w:pStyle w:val="NCDNumberedLevel1"/>
        <w:numPr>
          <w:ilvl w:val="0"/>
          <w:numId w:val="0"/>
        </w:numPr>
        <w:spacing w:line="240" w:lineRule="auto"/>
        <w:ind w:left="360"/>
      </w:pPr>
      <w:r>
        <w:t>During FY 2015, CRC developed and presented an intensive four-day Training Academy for OEE staff, and followed up with several stand-alone training sessions. This training was designed to bolster staff knowledge of rigorous methods of conducting effective investigations, as well as substantive knowledge; it was taught by experts from DOJ’s Civil Rights Division, DOL’s own Office of the Solicitor, and other Federal agencies. Subjects covered included disability-based discrimination. Since that time, CRC has provided substantive training, and training on investigative and enforcement methods, to OEE staff on an ongoing basis. For example, CRC takes advantage of periodic training sessions offered by DOJ.</w:t>
      </w:r>
    </w:p>
    <w:p w14:paraId="67B70ED9" w14:textId="77777777" w:rsidR="00296DA5" w:rsidRDefault="00DF24CF" w:rsidP="00411C98">
      <w:pPr>
        <w:pStyle w:val="NCDNumberedLevel1"/>
        <w:numPr>
          <w:ilvl w:val="0"/>
          <w:numId w:val="0"/>
        </w:numPr>
        <w:spacing w:line="240" w:lineRule="auto"/>
        <w:ind w:left="360"/>
      </w:pPr>
      <w:r>
        <w:t>In December 2017, OEE staff attended CRC’s State Level Equal Opportunity Officer Conference (training) which included a session by the U.S. Access Board and a disability roundtable (in conjunction with ODEP) about the disability-related nondiscrimination provisions in the Section 188 regulations. The Acting Chief of OEE also held a mandatory training for OEE staff in November 2017 about the requirements in the Section 188 regulations as they relate to individuals with disabilities.</w:t>
      </w:r>
    </w:p>
    <w:p w14:paraId="40743051" w14:textId="77777777" w:rsidR="00296DA5" w:rsidRDefault="00DF24CF" w:rsidP="00411C98">
      <w:pPr>
        <w:pStyle w:val="NCDNumberedLevel1"/>
        <w:spacing w:line="240" w:lineRule="auto"/>
        <w:ind w:left="360"/>
      </w:pPr>
      <w:r>
        <w:t>What information does CRC provide to the public on its investigation and enforcement process and procedures for disability-based complaints?</w:t>
      </w:r>
    </w:p>
    <w:p w14:paraId="58EFF791" w14:textId="538E5C35" w:rsidR="00296DA5" w:rsidRDefault="00DF24CF" w:rsidP="00411C98">
      <w:pPr>
        <w:pStyle w:val="NCDNumberedLevel1"/>
        <w:numPr>
          <w:ilvl w:val="0"/>
          <w:numId w:val="0"/>
        </w:numPr>
        <w:spacing w:line="240" w:lineRule="auto"/>
        <w:ind w:left="360"/>
      </w:pPr>
      <w:r>
        <w:t xml:space="preserve">See CRC website at </w:t>
      </w:r>
      <w:hyperlink r:id="rId17" w:tooltip="www.dol.gov/crc" w:history="1">
        <w:r w:rsidRPr="0021142D">
          <w:rPr>
            <w:rStyle w:val="Hyperlink"/>
          </w:rPr>
          <w:t>www.dol.gov/crc</w:t>
        </w:r>
      </w:hyperlink>
      <w:r w:rsidRPr="00656EBF">
        <w:t xml:space="preserve">, </w:t>
      </w:r>
      <w:r>
        <w:t>“</w:t>
      </w:r>
      <w:r w:rsidRPr="00656EBF">
        <w:t xml:space="preserve">External </w:t>
      </w:r>
      <w:r>
        <w:t xml:space="preserve">Enforcement.” The investigation and enforcement processes are described in the WIOA nondiscrimination regulations at 29 CFR </w:t>
      </w:r>
      <w:r>
        <w:rPr>
          <w:bCs/>
        </w:rPr>
        <w:t xml:space="preserve">§38.69 </w:t>
      </w:r>
      <w:r w:rsidRPr="000D055F">
        <w:rPr>
          <w:bCs/>
        </w:rPr>
        <w:t>et seq</w:t>
      </w:r>
      <w:r>
        <w:rPr>
          <w:bCs/>
        </w:rPr>
        <w:t>.</w:t>
      </w:r>
    </w:p>
    <w:p w14:paraId="61C231B9" w14:textId="77777777" w:rsidR="00296DA5" w:rsidRDefault="00DF24CF" w:rsidP="00411C98">
      <w:pPr>
        <w:pStyle w:val="NCDNumberedLevel1"/>
        <w:spacing w:line="240" w:lineRule="auto"/>
        <w:ind w:left="360"/>
      </w:pPr>
      <w:r>
        <w:t>What are the overall enforcement and investigatory outcomes of the CRC in regards to disability since 2008?</w:t>
      </w:r>
    </w:p>
    <w:p w14:paraId="30F8135B" w14:textId="77777777" w:rsidR="00296DA5" w:rsidRDefault="00DF24CF" w:rsidP="00411C98">
      <w:pPr>
        <w:pStyle w:val="NCDNumberedLevel1"/>
        <w:numPr>
          <w:ilvl w:val="0"/>
          <w:numId w:val="0"/>
        </w:numPr>
        <w:spacing w:line="240" w:lineRule="auto"/>
        <w:ind w:left="360"/>
      </w:pPr>
      <w:r>
        <w:t>See response to Question 5.</w:t>
      </w:r>
    </w:p>
    <w:p w14:paraId="255DDEC0" w14:textId="77777777" w:rsidR="00296DA5" w:rsidRDefault="00DF24CF" w:rsidP="00411C98">
      <w:pPr>
        <w:pStyle w:val="NCDNumberedLevel1"/>
        <w:spacing w:line="240" w:lineRule="auto"/>
        <w:ind w:left="360"/>
      </w:pPr>
      <w:r>
        <w:t>How long do complaint investigations, resolutions, and enforcement actions take?</w:t>
      </w:r>
    </w:p>
    <w:p w14:paraId="68A9EF3D" w14:textId="77777777" w:rsidR="00296DA5" w:rsidRDefault="00DF24CF" w:rsidP="00411C98">
      <w:pPr>
        <w:pStyle w:val="NCDNumberedLevel1"/>
        <w:numPr>
          <w:ilvl w:val="0"/>
          <w:numId w:val="0"/>
        </w:numPr>
        <w:spacing w:line="240" w:lineRule="auto"/>
        <w:ind w:left="360"/>
      </w:pPr>
      <w:r>
        <w:t>OEE’s focus during the past several fiscal years has been on clearing a backlog of cases. In addition, the complexity of each complaint, and hence of the relevant complaint investigation and resolution process, varies widely. However, CRC does have standard performance expectations for its investigators, including expectations regarding how long each step in the investigative process should take, time frames for submission of drafts of Initial and Final Determinations, and target dates for achieving resolution following the issuance of an Initial Determination.</w:t>
      </w:r>
    </w:p>
    <w:p w14:paraId="2B52AB04" w14:textId="77777777" w:rsidR="00296DA5" w:rsidRDefault="00DF24CF" w:rsidP="00411C98">
      <w:pPr>
        <w:pStyle w:val="NCDNumberedLevel1"/>
        <w:spacing w:line="240" w:lineRule="auto"/>
        <w:ind w:left="360"/>
      </w:pPr>
      <w:r>
        <w:t>How timely, at what stages, and by what methods are complainants informed of progress and outcomes of their complaints?</w:t>
      </w:r>
    </w:p>
    <w:p w14:paraId="0D3FEF6D" w14:textId="77777777" w:rsidR="00296DA5" w:rsidRDefault="00DF24CF" w:rsidP="00411C98">
      <w:pPr>
        <w:pStyle w:val="NCDNumberedLevel1"/>
        <w:numPr>
          <w:ilvl w:val="0"/>
          <w:numId w:val="0"/>
        </w:numPr>
        <w:spacing w:line="240" w:lineRule="auto"/>
        <w:ind w:left="360"/>
      </w:pPr>
      <w:r>
        <w:t xml:space="preserve">Under CRC’s intake procedures and the Section 188 regulations, Complainants are to be notified about the status of their complaints, including whether or not the complaint will be accepted and investigated by CRC. Notifications are customarily </w:t>
      </w:r>
      <w:r>
        <w:lastRenderedPageBreak/>
        <w:t>accomplished by either postal mail or email, depending on how the complainant has contacted CRC. If a Complainant with a disability has requested a particular communication method, CRC will give primary consideration to that method. When a complaint has been accepted for investigation, the Complainant is usually contacted during the investigation to answer questions and provide documentary evidence, as described in our response to Question 6. They are also contacted to the extent appropriate during any attempted resolution of a case. See our response to Question 11. If CRC issues a written Determination or Letter of Findings on a case, the Complainant will receive a copy. The Complainant will also be notified if voluntary resolution has been reached in a case.</w:t>
      </w:r>
    </w:p>
    <w:p w14:paraId="2DC02BC9" w14:textId="77777777" w:rsidR="00296DA5" w:rsidRDefault="00DF24CF" w:rsidP="00411C98">
      <w:pPr>
        <w:pStyle w:val="NCDNumberedLevel1"/>
        <w:spacing w:line="240" w:lineRule="auto"/>
        <w:ind w:left="360"/>
      </w:pPr>
      <w:r>
        <w:t>How has the CRC adjusted its enforcement strategies to address new and emerging employment models, such as online job advertising, telecommuting/work-at-home jobs, and the “gig” economy?</w:t>
      </w:r>
    </w:p>
    <w:p w14:paraId="38F5FEB8" w14:textId="77777777" w:rsidR="00296DA5" w:rsidRDefault="00DF24CF" w:rsidP="00411C98">
      <w:pPr>
        <w:pStyle w:val="NCDNumberedLevel1"/>
        <w:numPr>
          <w:ilvl w:val="0"/>
          <w:numId w:val="0"/>
        </w:numPr>
        <w:spacing w:line="240" w:lineRule="auto"/>
        <w:ind w:left="360"/>
      </w:pPr>
      <w:r>
        <w:t>CRC’s jurisdiction is focused largely on the workforce development system and similar State and local entitles that provide employment-related services to individual customers. Therefore, subjects such as telecommuting/work-at-home jobs and the “gig” economy usually do not arise as issues related to potential discrimination in CRC cases. CRC addresses online job advertising to the extent that State and local entities under its jurisdiction provide such advertising through the workforce development system. For example, in collaboration with DOL’s Employment and Training Administration (ETA), CRC issued several guidance documents to covered entities, cautioning them that excluding unemployed individuals (especially the long-term unemployed) and those with negative credit histories from employment opportunities, including through electronic job banks/screening processes, may have a disparate impact on members of particular protected groups, including those with disabilities.</w:t>
      </w:r>
    </w:p>
    <w:p w14:paraId="4EBCC9F0" w14:textId="77777777" w:rsidR="00296DA5" w:rsidRDefault="00DF24CF" w:rsidP="00411C98">
      <w:pPr>
        <w:pStyle w:val="NCDNumberedLevel1"/>
        <w:numPr>
          <w:ilvl w:val="0"/>
          <w:numId w:val="0"/>
        </w:numPr>
        <w:spacing w:line="240" w:lineRule="auto"/>
        <w:ind w:left="360"/>
      </w:pPr>
      <w:r>
        <w:t>Similarly, as discussed in our answers to other questions, CRC has adjusted its enforcement strategy to prioritize systemic cases, particularly those alleging discrimination against individuals with disabilities. The majority of those cases have involved online systems for filing employment-related benefits claims and appeals, particularly with regard to UI. As with the two topics mentioned previously in this response, CRC has partnered with ETA to issue a guidance document emphasizing the need to ensure that such systems are accessible to those with disabilities, as well as members of other groups.</w:t>
      </w:r>
    </w:p>
    <w:p w14:paraId="65715093" w14:textId="77777777" w:rsidR="00296DA5" w:rsidRDefault="00DF24CF" w:rsidP="00411C98">
      <w:pPr>
        <w:pStyle w:val="NCDNumberedLevel1"/>
        <w:spacing w:line="240" w:lineRule="auto"/>
        <w:ind w:left="360"/>
      </w:pPr>
      <w:r>
        <w:t>To what extent are enforcement priorities and strategies established by CRC? What are the specific enforcement priorities related to people with disabilities?</w:t>
      </w:r>
    </w:p>
    <w:p w14:paraId="240713FD" w14:textId="77777777" w:rsidR="00296DA5" w:rsidRDefault="00DF24CF" w:rsidP="00411C98">
      <w:pPr>
        <w:pStyle w:val="NCDNumberedLevel1"/>
        <w:numPr>
          <w:ilvl w:val="0"/>
          <w:numId w:val="0"/>
        </w:numPr>
        <w:spacing w:line="240" w:lineRule="auto"/>
        <w:ind w:left="360"/>
      </w:pPr>
      <w:r>
        <w:t>See responses to Questions 8 and 14.</w:t>
      </w:r>
    </w:p>
    <w:p w14:paraId="3183C311" w14:textId="77777777" w:rsidR="00296DA5" w:rsidRDefault="00DF24CF" w:rsidP="00411C98">
      <w:pPr>
        <w:pStyle w:val="NCDNumberedLevel1"/>
        <w:spacing w:line="240" w:lineRule="auto"/>
        <w:ind w:left="360"/>
      </w:pPr>
      <w:r>
        <w:t>Has the CRC developed a strategic plan? If so, how has the plan been implemented?</w:t>
      </w:r>
    </w:p>
    <w:p w14:paraId="5AC7B00F" w14:textId="77777777" w:rsidR="00296DA5" w:rsidRDefault="00DF24CF" w:rsidP="00411C98">
      <w:pPr>
        <w:pStyle w:val="NCDNumberedLevel1"/>
        <w:numPr>
          <w:ilvl w:val="0"/>
          <w:numId w:val="0"/>
        </w:numPr>
        <w:spacing w:line="240" w:lineRule="auto"/>
        <w:ind w:left="360"/>
      </w:pPr>
      <w:r>
        <w:t xml:space="preserve">CRC is a component agency of DOL’s Office of the Assistant Secretary for Administration and Management (OASAM). As such, CRC provides direct support </w:t>
      </w:r>
      <w:r>
        <w:lastRenderedPageBreak/>
        <w:t>and contributes to DOL’s strategic goals and objectives. CRC has an Operating Plan for each fiscal year that contains performance measures and milestones. Since FY 2016, for its external enforcement program, CRC has prioritized case processing efficiency, and implementation of WIOA Section 188. Both the milestones/benchmarks that were established and the targets that were set for key performance indicators reflect this prioritization in the Operating Plans for FYs 16, 17 and 18.</w:t>
      </w:r>
    </w:p>
    <w:p w14:paraId="43FCACBC" w14:textId="26DF2CD5" w:rsidR="00DF24CF" w:rsidRDefault="00DF24CF" w:rsidP="00411C98">
      <w:pPr>
        <w:pStyle w:val="NCDNumberedLevel1"/>
        <w:spacing w:line="240" w:lineRule="auto"/>
        <w:ind w:left="360"/>
      </w:pPr>
      <w:r>
        <w:t>What is the process by which the CRC identifies issues for, and develops and publicizes, policy and sub-regulatory guidance?</w:t>
      </w:r>
    </w:p>
    <w:p w14:paraId="4F7B6F67" w14:textId="77777777" w:rsidR="00DF24CF" w:rsidRDefault="00DF24CF" w:rsidP="00411C98">
      <w:pPr>
        <w:pStyle w:val="NCDNumberedLevel1"/>
        <w:numPr>
          <w:ilvl w:val="0"/>
          <w:numId w:val="0"/>
        </w:numPr>
        <w:spacing w:line="240" w:lineRule="auto"/>
        <w:ind w:left="360"/>
      </w:pPr>
      <w:r>
        <w:t>CRC’s OCAP is responsible for developing, and working with other DOL agencies to develop, policy documents and sub-regulatory guidance for the external program. As discussed in our answer to Question 12, OCAP has been primarily focused for the past few fiscal years on promulgating regulations implementing WIOA Section 188, as well as on providing training and compliance assistance regarding those new regulations. CRC has partnered with other DOL agencies to develop and issue such documents as the guidance documents discussed in our response to Question 23. CRC has also partnered with DOL’s Office of Disability Employment Policy (ODEP) and other DOL agencies to issue a Section 188 Disability Reference Guide for entities within the nation’s workforce development system. The Reference Guide is a document established through the collaborative efforts of multiple agencies within DOL as well as the National Disability Institute’s Lead Center. The Guide is designed to assist American Job Centers (AJCs) by providing promising practices (as collected through state memorandum of agreement plans, the National Association of State Workforce Agencies, and Disability Employment Initiative grantees) that correlate with specific nondiscrimination and equal opportunity requirements of WIOA Section 188 and its implementing regulations. While the Guide is focused on AJC programs, it is also a useful tool for any entity that desires to ensure nondiscrimination and equal opportunity for individuals with disabilities in the workforce development system. CRC and its partner agencies are in the process of revising and updating the Guide. These guidance documents are issued to appropriate stakeholders within the workforce development system, and are also posted on DOL’s website.</w:t>
      </w:r>
    </w:p>
    <w:p w14:paraId="321CE0E2" w14:textId="77777777" w:rsidR="00296DA5" w:rsidRDefault="00DF24CF" w:rsidP="00411C98">
      <w:pPr>
        <w:pStyle w:val="NCDNumberedLevel1"/>
        <w:numPr>
          <w:ilvl w:val="0"/>
          <w:numId w:val="0"/>
        </w:numPr>
        <w:spacing w:line="240" w:lineRule="auto"/>
        <w:ind w:left="360"/>
      </w:pPr>
      <w:r>
        <w:t>CRC intends to identify topics for future policy and guidance documents by tracking emerging issues that are raised in requests for compliance assistance and training, as well as those identified in complaints or complaint investigations. CRC will also continue to partner with other DOL agencies to pinpoint appropriate issues for sub-regulatory guidance and other policy documents.</w:t>
      </w:r>
    </w:p>
    <w:p w14:paraId="3145EDEB" w14:textId="77777777" w:rsidR="00296DA5" w:rsidRDefault="00DF24CF" w:rsidP="00411C98">
      <w:pPr>
        <w:pStyle w:val="NCDNumberedLevel1"/>
        <w:spacing w:line="240" w:lineRule="auto"/>
        <w:ind w:left="360"/>
      </w:pPr>
      <w:r>
        <w:t>What training does the CRC offer or conduct for people with disabilities, their family and friends, and service providers about disability rights laws it enforces?</w:t>
      </w:r>
    </w:p>
    <w:p w14:paraId="3EDA8358" w14:textId="77777777" w:rsidR="00296DA5" w:rsidRDefault="00DF24CF" w:rsidP="00411C98">
      <w:pPr>
        <w:pStyle w:val="NCDNumberedLevel1"/>
        <w:numPr>
          <w:ilvl w:val="0"/>
          <w:numId w:val="0"/>
        </w:numPr>
        <w:spacing w:line="240" w:lineRule="auto"/>
        <w:ind w:left="360"/>
        <w:rPr>
          <w:color w:val="FF0000"/>
        </w:rPr>
      </w:pPr>
      <w:r>
        <w:t>CRC has provided webinars specifically for, or that include, people with disabilities, their advocates, and service providers about the Section 188 regulations. CRC has also presented in-person training about other disability-related topics at conferences for those service providers and others within the workforce development system</w:t>
      </w:r>
      <w:r w:rsidRPr="000D055F">
        <w:rPr>
          <w:color w:val="FF0000"/>
        </w:rPr>
        <w:t>.</w:t>
      </w:r>
    </w:p>
    <w:p w14:paraId="3A10F8F1" w14:textId="77777777" w:rsidR="00296DA5" w:rsidRDefault="00DF24CF" w:rsidP="00411C98">
      <w:pPr>
        <w:pStyle w:val="NCDNumberedLevel1"/>
        <w:spacing w:line="240" w:lineRule="auto"/>
        <w:ind w:left="360"/>
      </w:pPr>
      <w:r>
        <w:lastRenderedPageBreak/>
        <w:t>What training does the CRC offer or conduct for covered entities about the disability rights laws it enforces?</w:t>
      </w:r>
    </w:p>
    <w:p w14:paraId="654B1466" w14:textId="77777777" w:rsidR="00296DA5" w:rsidRDefault="00DF24CF" w:rsidP="00411C98">
      <w:pPr>
        <w:pStyle w:val="NCDNumberedLevel1"/>
        <w:numPr>
          <w:ilvl w:val="0"/>
          <w:numId w:val="0"/>
        </w:numPr>
        <w:spacing w:line="240" w:lineRule="auto"/>
        <w:ind w:left="360"/>
      </w:pPr>
      <w:r>
        <w:t>CRC provides webinars and in person trainings at conferences about the disability rights laws it enforces upon request, and as resources permit.</w:t>
      </w:r>
    </w:p>
    <w:p w14:paraId="03BFAA24" w14:textId="77777777" w:rsidR="00296DA5" w:rsidRDefault="00DF24CF" w:rsidP="00411C98">
      <w:pPr>
        <w:pStyle w:val="NCDNumberedLevel1"/>
        <w:spacing w:line="240" w:lineRule="auto"/>
        <w:ind w:left="360"/>
      </w:pPr>
      <w:r>
        <w:t>How does the CRC publicize the outcomes of its investigations and cases?</w:t>
      </w:r>
    </w:p>
    <w:p w14:paraId="6A93709D" w14:textId="77777777" w:rsidR="00296DA5" w:rsidRDefault="00DF24CF" w:rsidP="00411C98">
      <w:pPr>
        <w:pStyle w:val="NCDNumberedLevel1"/>
        <w:numPr>
          <w:ilvl w:val="0"/>
          <w:numId w:val="0"/>
        </w:numPr>
        <w:spacing w:line="240" w:lineRule="auto"/>
        <w:ind w:left="360"/>
      </w:pPr>
      <w:r>
        <w:t>CRC publicizes appropriate cases in which conciliation or settlement agreements have been reached, through posting on its website and issuance of press releases. CRC does not publicize the completion of investigations, or the issuance of Initial Determinations or Letters of Finding, because those cases have not yet reached resolution.</w:t>
      </w:r>
    </w:p>
    <w:p w14:paraId="7A08FA24" w14:textId="77777777" w:rsidR="00296DA5" w:rsidRDefault="00DF24CF" w:rsidP="00411C98">
      <w:pPr>
        <w:pStyle w:val="NCDNumberedLevel1"/>
        <w:spacing w:line="240" w:lineRule="auto"/>
        <w:ind w:left="360"/>
      </w:pPr>
      <w:r>
        <w:t>How does the CRC assess the effectiveness of its dissemination methods?</w:t>
      </w:r>
    </w:p>
    <w:p w14:paraId="21CA6945" w14:textId="77777777" w:rsidR="00296DA5" w:rsidRDefault="00DF24CF" w:rsidP="00411C98">
      <w:pPr>
        <w:pStyle w:val="NCDNumberedLevel1"/>
        <w:numPr>
          <w:ilvl w:val="0"/>
          <w:numId w:val="0"/>
        </w:numPr>
        <w:spacing w:line="240" w:lineRule="auto"/>
        <w:ind w:left="360"/>
      </w:pPr>
      <w:r>
        <w:t>A comparison of the number of comments received after publication of the Notice of Proposed Rulemaking (NPRM) to implement WIOA Section 188 and the number of comments received after publication of the Interim Final Rule to implement WIA Section 188 (the predecessor to WIOA Section 188) reflects the vast increase in CRC’s public profile over a period of approximately twenty years. After the WIA Section 188 Interim Final Rule was published in November 1999,</w:t>
      </w:r>
      <w:r>
        <w:rPr>
          <w:rStyle w:val="EndnoteReference"/>
        </w:rPr>
        <w:endnoteReference w:id="331"/>
      </w:r>
      <w:r>
        <w:t xml:space="preserve"> CRC received about 15 comments on the rule, largely from State and local workforce agencies. By contrast, CRC received 360 comments on the WIOA Section 188 NPRM.</w:t>
      </w:r>
      <w:r>
        <w:rPr>
          <w:rStyle w:val="EndnoteReference"/>
        </w:rPr>
        <w:endnoteReference w:id="332"/>
      </w:r>
      <w:r>
        <w:t xml:space="preserve"> These comments came from a wide variety of stakeholders, including State and local agencies; religious organizations; labor organizations; and civil rights and advocacy groups, such as language access organizations and disability rights organizations.</w:t>
      </w:r>
    </w:p>
    <w:p w14:paraId="2EDD7D1B" w14:textId="77777777" w:rsidR="00296DA5" w:rsidRDefault="00DF24CF" w:rsidP="00411C98">
      <w:pPr>
        <w:pStyle w:val="NCDNumberedLevel1"/>
        <w:spacing w:line="240" w:lineRule="auto"/>
        <w:ind w:left="360"/>
      </w:pPr>
      <w:r>
        <w:t>What barriers exist that hinder the ability of the CRC to fulfill its mission?</w:t>
      </w:r>
    </w:p>
    <w:p w14:paraId="049F9D31" w14:textId="775D3066" w:rsidR="00296DA5" w:rsidRDefault="00DF24CF" w:rsidP="00411C98">
      <w:pPr>
        <w:pStyle w:val="NCDNumberedLevel1"/>
        <w:numPr>
          <w:ilvl w:val="0"/>
          <w:numId w:val="0"/>
        </w:numPr>
        <w:spacing w:line="240" w:lineRule="auto"/>
        <w:ind w:left="360"/>
      </w:pPr>
      <w:r>
        <w:t>As noted in the preamble to the final rule implementing WIOA Section 188, CRC is particularly concerned about the increased integration of, and in some instances complete shift to, online service delivery models in the workforce development system. See 81 FR 87130, “Implementation of the Nondiscrimination and Equal Opportunity Provisions of the Workforce Innovation and Opportunity Act,” at 87136, “Increased Provision of Services Using Technology, Including the Internet.” A 2012 Pew Research Center study cited in that preamble concluded that adults with disabilities were significantly less likely to use the Internet than adults without disabilities. In addition, complaint investigations conducted by CRC have indicated that implementation of such online service delivery models does not always adequately take into consideration the needs of individuals with disabilities. At its current resource levels, CRC cannot initiate many compliance reviews of the online systems of covered entities to determine whether those systems provide sufficient/ meaningful access. We are therefore reliant on individuals and advocacy organizations to file complaints bringing to our attention allegations of potential discrimination in such systems, prompting us to conduct appropriate investigations.</w:t>
      </w:r>
    </w:p>
    <w:p w14:paraId="167596A2" w14:textId="77777777" w:rsidR="003C5E89" w:rsidRDefault="003C5E89">
      <w:pPr>
        <w:spacing w:after="200"/>
        <w:rPr>
          <w:rFonts w:ascii="Arial" w:hAnsi="Arial" w:cs="Arial"/>
          <w:szCs w:val="24"/>
        </w:rPr>
      </w:pPr>
      <w:r>
        <w:br w:type="page"/>
      </w:r>
    </w:p>
    <w:p w14:paraId="03F82A97" w14:textId="365C8560" w:rsidR="00296DA5" w:rsidRDefault="00DF24CF" w:rsidP="00411C98">
      <w:pPr>
        <w:pStyle w:val="NCDNumberedLevel1"/>
        <w:spacing w:line="240" w:lineRule="auto"/>
        <w:ind w:left="360"/>
      </w:pPr>
      <w:r>
        <w:lastRenderedPageBreak/>
        <w:t>What changes have occurred in staffing levels since 2008?</w:t>
      </w:r>
    </w:p>
    <w:p w14:paraId="61B7BBBD" w14:textId="77777777" w:rsidR="00296DA5" w:rsidRDefault="00DF24CF" w:rsidP="00411C98">
      <w:pPr>
        <w:pStyle w:val="NCDNumberedLevel1"/>
        <w:numPr>
          <w:ilvl w:val="0"/>
          <w:numId w:val="0"/>
        </w:numPr>
        <w:spacing w:line="240" w:lineRule="auto"/>
        <w:ind w:left="360"/>
      </w:pPr>
      <w:r>
        <w:t>As of 9/30/2010, CRC’s OEE had a total of 11 staff members, including eight (8) Equal Opportunity Specialists, two (2) Equal Opportunity Assistants, and one (1) Supervisory Equal Opportunity Specialist. OCAP had two (2) Equal Opportunity Specialists, one (1) Equal Opportunity Assistant, one (1) Special Assistant, one (1) Senior Policy Advisor, and one (1) Supervisory Equal Opportunity Specialist.</w:t>
      </w:r>
    </w:p>
    <w:p w14:paraId="79104D9E" w14:textId="77777777" w:rsidR="00296DA5" w:rsidRDefault="00DF24CF" w:rsidP="00411C98">
      <w:pPr>
        <w:pStyle w:val="NCDNumberedLevel1"/>
        <w:numPr>
          <w:ilvl w:val="0"/>
          <w:numId w:val="0"/>
        </w:numPr>
        <w:spacing w:line="240" w:lineRule="auto"/>
        <w:ind w:left="360"/>
      </w:pPr>
      <w:r>
        <w:t>As of the beginning of Q3, FY 2018, the nine (9) full-time staff members that comprise OEE include seven (7) Equal Opportunity Specialists, and two (2) Equal Opportunity Assistants. The OEE Supervisory Equal Opportunity Specialist position is currently vacant but the position is expected to be filled prior to the end of the fiscal year. In OCAP, there are a total of 6 full-time staff, including one (1) Bilingual Administrative Support Specialist, two (2) Equal Opportunity Specialists, two (2) Senior Policy Advisors, and one (1) Supervisory Equal Opportunity Specialist.</w:t>
      </w:r>
    </w:p>
    <w:p w14:paraId="710F879B" w14:textId="77777777" w:rsidR="00296DA5" w:rsidRDefault="00DF24CF" w:rsidP="00411C98">
      <w:pPr>
        <w:pStyle w:val="NCDNumberedLevel1"/>
        <w:spacing w:line="240" w:lineRule="auto"/>
        <w:ind w:left="360"/>
      </w:pPr>
      <w:r>
        <w:t xml:space="preserve">What additional steps, not covered previously, has CRC taken in response to the recommendations in the 2000 NCD Report, </w:t>
      </w:r>
      <w:r w:rsidRPr="000D055F">
        <w:t>Promises to Keep</w:t>
      </w:r>
      <w:r>
        <w:t>?</w:t>
      </w:r>
    </w:p>
    <w:p w14:paraId="4B1B02D0" w14:textId="77777777" w:rsidR="00296DA5" w:rsidRDefault="00DF24CF" w:rsidP="00411C98">
      <w:pPr>
        <w:pStyle w:val="NCDNumberedLevel1"/>
        <w:numPr>
          <w:ilvl w:val="0"/>
          <w:numId w:val="0"/>
        </w:numPr>
        <w:spacing w:line="240" w:lineRule="auto"/>
        <w:ind w:left="360"/>
      </w:pPr>
      <w:r>
        <w:t xml:space="preserve">Recommendation 18 in the 2000 NCD Report, </w:t>
      </w:r>
      <w:r w:rsidRPr="000D055F">
        <w:t>Promises to Keep</w:t>
      </w:r>
      <w:r>
        <w:t>, suggested that the seven designated agencies under Title II of the ADA (which includes DOL) should refer Title II cases suitable for litigation to the Department of Justice. This issue is discussed in our response to question 16.</w:t>
      </w:r>
    </w:p>
    <w:p w14:paraId="681C7462" w14:textId="77777777" w:rsidR="00296DA5" w:rsidRDefault="00DF24CF" w:rsidP="00411C98">
      <w:pPr>
        <w:pStyle w:val="NCDNumberedLevel1"/>
        <w:spacing w:line="240" w:lineRule="auto"/>
        <w:ind w:left="360"/>
      </w:pPr>
      <w:r>
        <w:t>How does CRC identify issues for, and develop and publicize, policy and sub-regulatory guidance and case outcomes? How does CRC assess the effectiveness of its dissemination efforts?</w:t>
      </w:r>
    </w:p>
    <w:p w14:paraId="5971F710" w14:textId="77777777" w:rsidR="00296DA5" w:rsidRDefault="00DF24CF" w:rsidP="00411C98">
      <w:pPr>
        <w:pStyle w:val="NCDNumberedLevel1"/>
        <w:numPr>
          <w:ilvl w:val="0"/>
          <w:numId w:val="0"/>
        </w:numPr>
        <w:spacing w:line="240" w:lineRule="auto"/>
        <w:ind w:left="360"/>
      </w:pPr>
      <w:r>
        <w:t>See responses to questions 26, 29 and 30.</w:t>
      </w:r>
    </w:p>
    <w:p w14:paraId="5B04DD26" w14:textId="77777777" w:rsidR="00296DA5" w:rsidRDefault="00DF24CF" w:rsidP="00411C98">
      <w:pPr>
        <w:pStyle w:val="NCDNumberedLevel1"/>
        <w:spacing w:line="240" w:lineRule="auto"/>
        <w:ind w:left="360"/>
      </w:pPr>
      <w:r>
        <w:t>What are the regulatory goals of the CRC for the next two years? What are the sub-regulatory guidance goals of CRC for the next two years?</w:t>
      </w:r>
    </w:p>
    <w:p w14:paraId="22AC8D8C" w14:textId="77777777" w:rsidR="00296DA5" w:rsidRDefault="00DF24CF" w:rsidP="00411C98">
      <w:pPr>
        <w:pStyle w:val="NCDNumberedLevel1"/>
        <w:numPr>
          <w:ilvl w:val="0"/>
          <w:numId w:val="0"/>
        </w:numPr>
        <w:spacing w:line="240" w:lineRule="auto"/>
        <w:ind w:left="360"/>
      </w:pPr>
      <w:r>
        <w:t xml:space="preserve">Promulgation of the regulations implementing WIOA Section 188 has been CRC’s primary regulatory goal and activity for the past several fiscal years. Now that the WIOA Section 188 final rule has been published, CRC’s next regulatory goal is the rescission of the outdated regulations implementing the nondiscrimination and equal opportunity provisions of the Job Training Partnership Act (the predecessor to WIA). This Act </w:t>
      </w:r>
      <w:proofErr w:type="spellStart"/>
      <w:r>
        <w:t>sunsetted</w:t>
      </w:r>
      <w:proofErr w:type="spellEnd"/>
      <w:r>
        <w:t xml:space="preserve"> on July 1, 2000; therefore, its implementing regulations (published at 29 CFR Part 34) are appropriate for rescission.</w:t>
      </w:r>
    </w:p>
    <w:p w14:paraId="5C579B70" w14:textId="64A4D5D7" w:rsidR="00396A3D" w:rsidRDefault="00DF24CF" w:rsidP="00411C98">
      <w:pPr>
        <w:pStyle w:val="NCDNumberedLevel1"/>
        <w:numPr>
          <w:ilvl w:val="0"/>
          <w:numId w:val="0"/>
        </w:numPr>
        <w:spacing w:line="240" w:lineRule="auto"/>
        <w:ind w:left="360"/>
      </w:pPr>
      <w:r>
        <w:t>With regard to sub-regulatory guidance, CRC’s goals for the next two years are not yet defined. However, an enforcement strategy for OCAP is to be developed by the end of FY 2018, per CRC’s Operating Plan. This strategy may include the development of such guidance.</w:t>
      </w:r>
    </w:p>
    <w:bookmarkEnd w:id="109"/>
    <w:p w14:paraId="44219486" w14:textId="1C64A696" w:rsidR="00180507" w:rsidRPr="002B49A0" w:rsidRDefault="00180507" w:rsidP="00396A3D">
      <w:pPr>
        <w:pStyle w:val="NCDBodyText"/>
      </w:pPr>
      <w:r>
        <w:br w:type="page"/>
      </w:r>
    </w:p>
    <w:p w14:paraId="574BB9A3" w14:textId="25E71F06" w:rsidR="005B32E2" w:rsidRPr="00062AEE" w:rsidRDefault="00FA03F2" w:rsidP="00961FB9">
      <w:pPr>
        <w:pStyle w:val="Heading1"/>
      </w:pPr>
      <w:bookmarkStart w:id="111" w:name="_Toc512560124"/>
      <w:bookmarkStart w:id="112" w:name="_Toc520979988"/>
      <w:bookmarkStart w:id="113" w:name="_Toc526182147"/>
      <w:r w:rsidRPr="00573C0E">
        <w:lastRenderedPageBreak/>
        <w:t>Endnotes</w:t>
      </w:r>
      <w:bookmarkEnd w:id="7"/>
      <w:bookmarkEnd w:id="111"/>
      <w:bookmarkEnd w:id="112"/>
      <w:bookmarkEnd w:id="113"/>
    </w:p>
    <w:sectPr w:rsidR="005B32E2" w:rsidRPr="00062AEE" w:rsidSect="00BD6637">
      <w:footerReference w:type="default" r:id="rId18"/>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EA7DE" w14:textId="77777777" w:rsidR="001D77A3" w:rsidRDefault="001D77A3" w:rsidP="00841C72">
      <w:pPr>
        <w:spacing w:after="0" w:line="240" w:lineRule="auto"/>
      </w:pPr>
      <w:r>
        <w:separator/>
      </w:r>
    </w:p>
  </w:endnote>
  <w:endnote w:type="continuationSeparator" w:id="0">
    <w:p w14:paraId="5CD4A6C6" w14:textId="77777777" w:rsidR="001D77A3" w:rsidRDefault="001D77A3" w:rsidP="00841C72">
      <w:pPr>
        <w:spacing w:after="0" w:line="240" w:lineRule="auto"/>
      </w:pPr>
      <w:r>
        <w:continuationSeparator/>
      </w:r>
    </w:p>
  </w:endnote>
  <w:endnote w:id="1">
    <w:p w14:paraId="5949FC36" w14:textId="448BDA05" w:rsidR="005E3498" w:rsidRPr="008C557F" w:rsidRDefault="005E3498" w:rsidP="00BA0761">
      <w:pPr>
        <w:pStyle w:val="EndnoteText"/>
        <w:rPr>
          <w:rFonts w:cs="Arial"/>
          <w:szCs w:val="24"/>
        </w:rPr>
      </w:pPr>
      <w:r w:rsidRPr="008920BA">
        <w:rPr>
          <w:rStyle w:val="EndnoteReference"/>
          <w:rFonts w:cs="Arial"/>
          <w:szCs w:val="24"/>
        </w:rPr>
        <w:endnoteRef/>
      </w:r>
      <w:r w:rsidRPr="007D40A9">
        <w:t xml:space="preserve"> </w:t>
      </w:r>
      <w:r>
        <w:rPr>
          <w:rFonts w:cs="Arial"/>
          <w:szCs w:val="24"/>
        </w:rPr>
        <w:t xml:space="preserve">Americans with Disabilities Act of 1990, Pub. L. No. 101-336, 104 Stat. 327 (1990); 42 U.S.C. § 12101, </w:t>
      </w:r>
      <w:r w:rsidRPr="00631E24">
        <w:rPr>
          <w:rFonts w:cs="Arial"/>
          <w:i/>
          <w:szCs w:val="24"/>
        </w:rPr>
        <w:t>et seq.</w:t>
      </w:r>
      <w:r>
        <w:rPr>
          <w:rFonts w:cs="Arial"/>
          <w:szCs w:val="24"/>
        </w:rPr>
        <w:t xml:space="preserve"> (2008).</w:t>
      </w:r>
    </w:p>
  </w:endnote>
  <w:endnote w:id="2">
    <w:p w14:paraId="065D87BA" w14:textId="57AA6C43"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National Coun</w:t>
      </w:r>
      <w:r>
        <w:rPr>
          <w:rFonts w:cs="Arial"/>
          <w:szCs w:val="24"/>
        </w:rPr>
        <w:t xml:space="preserve">cil </w:t>
      </w:r>
      <w:r w:rsidRPr="008920BA">
        <w:rPr>
          <w:rFonts w:cs="Arial"/>
          <w:szCs w:val="24"/>
        </w:rPr>
        <w:t>on Disability</w:t>
      </w:r>
      <w:r>
        <w:rPr>
          <w:rFonts w:cs="Arial"/>
          <w:szCs w:val="24"/>
        </w:rPr>
        <w:t>. 2000.</w:t>
      </w:r>
      <w:r w:rsidRPr="008920BA">
        <w:rPr>
          <w:rFonts w:cs="Arial"/>
          <w:szCs w:val="24"/>
        </w:rPr>
        <w:t xml:space="preserve"> </w:t>
      </w:r>
      <w:r w:rsidRPr="00631E24">
        <w:rPr>
          <w:rFonts w:cs="Arial"/>
          <w:i/>
          <w:szCs w:val="24"/>
        </w:rPr>
        <w:t>Promises to Keep: A Decade of Federal Enforcement of the Americans with Disabilities Act</w:t>
      </w:r>
      <w:r>
        <w:rPr>
          <w:rFonts w:cs="Arial"/>
          <w:szCs w:val="24"/>
        </w:rPr>
        <w:t xml:space="preserve">. Washington, DC: National Council on Disability, </w:t>
      </w:r>
      <w:r w:rsidRPr="008920BA">
        <w:rPr>
          <w:rFonts w:cs="Arial"/>
          <w:szCs w:val="24"/>
        </w:rPr>
        <w:t>20</w:t>
      </w:r>
      <w:r>
        <w:rPr>
          <w:rFonts w:cs="Arial"/>
          <w:szCs w:val="24"/>
        </w:rPr>
        <w:t xml:space="preserve">. </w:t>
      </w:r>
      <w:hyperlink r:id="rId1" w:tooltip="https://ncd.gov/rawmedia_repository/497e788f_1ab2_4ae2_b240_4aefa363230c.pdf" w:history="1">
        <w:r w:rsidRPr="0088669B">
          <w:rPr>
            <w:rStyle w:val="Hyperlink"/>
            <w:rFonts w:cs="Arial"/>
            <w:szCs w:val="24"/>
          </w:rPr>
          <w:t>https://ncd.gov/rawmedia_repository/497e788f_1ab2_4ae2_b240_4aefa363230c.pdf</w:t>
        </w:r>
      </w:hyperlink>
      <w:r>
        <w:rPr>
          <w:rFonts w:cs="Arial"/>
          <w:szCs w:val="24"/>
        </w:rPr>
        <w:t xml:space="preserve">. </w:t>
      </w:r>
    </w:p>
  </w:endnote>
  <w:endnote w:id="3">
    <w:p w14:paraId="4D2C9175" w14:textId="77777777" w:rsidR="005E3498" w:rsidRPr="00B720D1" w:rsidRDefault="005E3498" w:rsidP="00BA0761">
      <w:pPr>
        <w:pStyle w:val="EndnoteText"/>
        <w:rPr>
          <w:rFonts w:cs="Arial"/>
          <w:szCs w:val="24"/>
        </w:rPr>
      </w:pPr>
      <w:r w:rsidRPr="00B720D1">
        <w:rPr>
          <w:rStyle w:val="EndnoteReference"/>
          <w:rFonts w:cs="Arial"/>
          <w:szCs w:val="24"/>
        </w:rPr>
        <w:endnoteRef/>
      </w:r>
      <w:r w:rsidRPr="00B720D1">
        <w:rPr>
          <w:rFonts w:cs="Arial"/>
          <w:szCs w:val="24"/>
        </w:rPr>
        <w:t xml:space="preserve"> </w:t>
      </w:r>
      <w:r w:rsidRPr="00B720D1">
        <w:rPr>
          <w:rFonts w:cs="Arial"/>
          <w:szCs w:val="24"/>
        </w:rPr>
        <w:t>Ibid., 1.</w:t>
      </w:r>
    </w:p>
  </w:endnote>
  <w:endnote w:id="4">
    <w:p w14:paraId="41D519C2" w14:textId="77777777" w:rsidR="005E3498" w:rsidRPr="00B720D1" w:rsidRDefault="005E3498" w:rsidP="00BA0761">
      <w:pPr>
        <w:pStyle w:val="EndnoteText"/>
        <w:rPr>
          <w:rFonts w:cs="Arial"/>
          <w:szCs w:val="24"/>
        </w:rPr>
      </w:pPr>
      <w:r w:rsidRPr="00B720D1">
        <w:rPr>
          <w:rStyle w:val="EndnoteReference"/>
          <w:rFonts w:cs="Arial"/>
          <w:szCs w:val="24"/>
        </w:rPr>
        <w:endnoteRef/>
      </w:r>
      <w:r w:rsidRPr="00B720D1">
        <w:rPr>
          <w:rFonts w:cs="Arial"/>
          <w:szCs w:val="24"/>
        </w:rPr>
        <w:t xml:space="preserve"> </w:t>
      </w:r>
      <w:r w:rsidRPr="00B720D1">
        <w:rPr>
          <w:rFonts w:cs="Arial"/>
          <w:szCs w:val="24"/>
        </w:rPr>
        <w:t>Ibid., 2.</w:t>
      </w:r>
    </w:p>
  </w:endnote>
  <w:endnote w:id="5">
    <w:p w14:paraId="274A02AB" w14:textId="77777777" w:rsidR="005E3498" w:rsidRPr="00B720D1" w:rsidRDefault="005E3498" w:rsidP="00BA0761">
      <w:pPr>
        <w:pStyle w:val="EndnoteText"/>
        <w:rPr>
          <w:rFonts w:cs="Arial"/>
          <w:szCs w:val="24"/>
        </w:rPr>
      </w:pPr>
      <w:r w:rsidRPr="00B720D1">
        <w:rPr>
          <w:rStyle w:val="EndnoteReference"/>
          <w:rFonts w:cs="Arial"/>
          <w:szCs w:val="24"/>
        </w:rPr>
        <w:endnoteRef/>
      </w:r>
      <w:r w:rsidRPr="00B720D1">
        <w:rPr>
          <w:rFonts w:cs="Arial"/>
          <w:szCs w:val="24"/>
        </w:rPr>
        <w:t xml:space="preserve"> Ibid.</w:t>
      </w:r>
    </w:p>
  </w:endnote>
  <w:endnote w:id="6">
    <w:p w14:paraId="5D550FC5" w14:textId="4C54C98D" w:rsidR="005E3498" w:rsidRPr="008920BA" w:rsidRDefault="005E3498" w:rsidP="00BA0761">
      <w:pPr>
        <w:pStyle w:val="EndnoteText"/>
        <w:rPr>
          <w:rFonts w:cs="Arial"/>
          <w:szCs w:val="24"/>
        </w:rPr>
      </w:pPr>
      <w:r w:rsidRPr="00B720D1">
        <w:rPr>
          <w:rStyle w:val="EndnoteReference"/>
          <w:rFonts w:cs="Arial"/>
          <w:szCs w:val="24"/>
        </w:rPr>
        <w:endnoteRef/>
      </w:r>
      <w:r w:rsidRPr="00B720D1">
        <w:rPr>
          <w:rFonts w:cs="Arial"/>
          <w:szCs w:val="24"/>
        </w:rPr>
        <w:t xml:space="preserve"> </w:t>
      </w:r>
      <w:r w:rsidRPr="00B720D1">
        <w:rPr>
          <w:rFonts w:cs="Arial"/>
          <w:szCs w:val="24"/>
        </w:rPr>
        <w:t>Ibid., 5</w:t>
      </w:r>
      <w:r>
        <w:rPr>
          <w:rFonts w:cs="Arial"/>
          <w:szCs w:val="24"/>
        </w:rPr>
        <w:t>–</w:t>
      </w:r>
      <w:r w:rsidRPr="00B720D1">
        <w:rPr>
          <w:rFonts w:cs="Arial"/>
          <w:szCs w:val="24"/>
        </w:rPr>
        <w:t>6.</w:t>
      </w:r>
    </w:p>
  </w:endnote>
  <w:endnote w:id="7">
    <w:p w14:paraId="234AD481" w14:textId="7F8378C6" w:rsidR="005E3498" w:rsidRDefault="005E3498" w:rsidP="00BA0761">
      <w:pPr>
        <w:pStyle w:val="EndnoteText"/>
      </w:pPr>
      <w:r>
        <w:rPr>
          <w:rStyle w:val="EndnoteReference"/>
        </w:rPr>
        <w:endnoteRef/>
      </w:r>
      <w:r>
        <w:t xml:space="preserve"> </w:t>
      </w:r>
      <w:r w:rsidRPr="00025019">
        <w:rPr>
          <w:rFonts w:cs="Arial"/>
          <w:szCs w:val="24"/>
        </w:rPr>
        <w:t>ADA</w:t>
      </w:r>
      <w:r>
        <w:rPr>
          <w:rFonts w:cs="Arial"/>
          <w:szCs w:val="24"/>
        </w:rPr>
        <w:t xml:space="preserve"> Amendments Act of 2008, </w:t>
      </w:r>
      <w:r w:rsidRPr="008920BA">
        <w:rPr>
          <w:rFonts w:cs="Arial"/>
          <w:szCs w:val="24"/>
        </w:rPr>
        <w:t>Pub. L. No. 110-325,</w:t>
      </w:r>
      <w:r>
        <w:rPr>
          <w:rFonts w:cs="Arial"/>
          <w:szCs w:val="24"/>
        </w:rPr>
        <w:t xml:space="preserve"> 122 Stat. 3553</w:t>
      </w:r>
      <w:r w:rsidRPr="008920BA">
        <w:rPr>
          <w:rFonts w:cs="Arial"/>
          <w:szCs w:val="24"/>
        </w:rPr>
        <w:t>; 154 Cong. Rec. H8,286</w:t>
      </w:r>
      <w:r>
        <w:rPr>
          <w:rFonts w:cs="Arial"/>
          <w:szCs w:val="24"/>
        </w:rPr>
        <w:t>–</w:t>
      </w:r>
      <w:r w:rsidRPr="008920BA">
        <w:rPr>
          <w:rFonts w:cs="Arial"/>
          <w:szCs w:val="24"/>
        </w:rPr>
        <w:t>8,398 (2008), Cong. Rec., S8,342</w:t>
      </w:r>
      <w:r>
        <w:rPr>
          <w:rFonts w:cs="Arial"/>
          <w:szCs w:val="24"/>
        </w:rPr>
        <w:t>–</w:t>
      </w:r>
      <w:r w:rsidRPr="008920BA">
        <w:rPr>
          <w:rFonts w:cs="Arial"/>
          <w:szCs w:val="24"/>
        </w:rPr>
        <w:t>8,356 (2008).</w:t>
      </w:r>
    </w:p>
  </w:endnote>
  <w:endnote w:id="8">
    <w:p w14:paraId="08C72DD6" w14:textId="77777777" w:rsidR="005E3498" w:rsidRDefault="005E3498" w:rsidP="00BA0761">
      <w:pPr>
        <w:pStyle w:val="EndnoteText"/>
      </w:pPr>
      <w:r>
        <w:rPr>
          <w:rStyle w:val="EndnoteReference"/>
        </w:rPr>
        <w:endnoteRef/>
      </w:r>
      <w:r>
        <w:t xml:space="preserve"> </w:t>
      </w:r>
      <w:r w:rsidRPr="00A3345A">
        <w:rPr>
          <w:rFonts w:cs="Arial"/>
          <w:szCs w:val="24"/>
        </w:rPr>
        <w:t>Genetic Information Nondis</w:t>
      </w:r>
      <w:r>
        <w:rPr>
          <w:rFonts w:cs="Arial"/>
          <w:szCs w:val="24"/>
        </w:rPr>
        <w:t>c</w:t>
      </w:r>
      <w:r w:rsidRPr="00A3345A">
        <w:rPr>
          <w:rFonts w:cs="Arial"/>
          <w:szCs w:val="24"/>
        </w:rPr>
        <w:t>r</w:t>
      </w:r>
      <w:r>
        <w:rPr>
          <w:rFonts w:cs="Arial"/>
          <w:szCs w:val="24"/>
        </w:rPr>
        <w:t>i</w:t>
      </w:r>
      <w:r w:rsidRPr="00A3345A">
        <w:rPr>
          <w:rFonts w:cs="Arial"/>
          <w:szCs w:val="24"/>
        </w:rPr>
        <w:t>mination Act</w:t>
      </w:r>
      <w:r>
        <w:rPr>
          <w:rFonts w:cs="Arial"/>
          <w:szCs w:val="24"/>
        </w:rPr>
        <w:t xml:space="preserve"> of 2008</w:t>
      </w:r>
      <w:r w:rsidRPr="00A3345A">
        <w:rPr>
          <w:rFonts w:cs="Arial"/>
          <w:szCs w:val="24"/>
        </w:rPr>
        <w:t xml:space="preserve">, Pub. </w:t>
      </w:r>
      <w:r w:rsidRPr="00A3345A">
        <w:rPr>
          <w:rFonts w:cs="Arial"/>
          <w:szCs w:val="24"/>
        </w:rPr>
        <w:t>L. No. 110-2</w:t>
      </w:r>
      <w:r>
        <w:rPr>
          <w:rFonts w:cs="Arial"/>
          <w:szCs w:val="24"/>
        </w:rPr>
        <w:t>3</w:t>
      </w:r>
      <w:r w:rsidRPr="00A3345A">
        <w:rPr>
          <w:rFonts w:cs="Arial"/>
          <w:szCs w:val="24"/>
        </w:rPr>
        <w:t>3, 122 Stat. 881 (2008).</w:t>
      </w:r>
    </w:p>
  </w:endnote>
  <w:endnote w:id="9">
    <w:p w14:paraId="5C361D78" w14:textId="77777777" w:rsidR="005E3498" w:rsidRDefault="005E3498" w:rsidP="00BA0761">
      <w:pPr>
        <w:pStyle w:val="EndnoteText"/>
      </w:pPr>
      <w:r>
        <w:rPr>
          <w:rStyle w:val="EndnoteReference"/>
        </w:rPr>
        <w:endnoteRef/>
      </w:r>
      <w:r>
        <w:t xml:space="preserve"> </w:t>
      </w:r>
      <w:r w:rsidRPr="00B26C83">
        <w:rPr>
          <w:rFonts w:cs="Arial"/>
          <w:szCs w:val="24"/>
        </w:rPr>
        <w:t>Workforce Innovation and Opportunity Act</w:t>
      </w:r>
      <w:r>
        <w:rPr>
          <w:rFonts w:cs="Arial"/>
          <w:szCs w:val="24"/>
        </w:rPr>
        <w:t>,</w:t>
      </w:r>
      <w:r w:rsidRPr="00B26C83">
        <w:rPr>
          <w:rFonts w:cs="Arial"/>
          <w:szCs w:val="24"/>
        </w:rPr>
        <w:t xml:space="preserve"> Pub. </w:t>
      </w:r>
      <w:r w:rsidRPr="00B26C83">
        <w:rPr>
          <w:rFonts w:cs="Arial"/>
          <w:szCs w:val="24"/>
        </w:rPr>
        <w:t>L. No</w:t>
      </w:r>
      <w:r>
        <w:rPr>
          <w:rFonts w:cs="Arial"/>
          <w:szCs w:val="24"/>
        </w:rPr>
        <w:t>.</w:t>
      </w:r>
      <w:r w:rsidRPr="00B26C83">
        <w:rPr>
          <w:rFonts w:cs="Arial"/>
          <w:szCs w:val="24"/>
        </w:rPr>
        <w:t xml:space="preserve"> 113-12</w:t>
      </w:r>
      <w:r>
        <w:rPr>
          <w:rFonts w:cs="Arial"/>
          <w:szCs w:val="24"/>
        </w:rPr>
        <w:t>8, 128 Stat. 1425 (2014).</w:t>
      </w:r>
    </w:p>
  </w:endnote>
  <w:endnote w:id="10">
    <w:p w14:paraId="23155D50" w14:textId="67FE7A2F" w:rsidR="005E3498" w:rsidRPr="008920BA" w:rsidRDefault="005E3498" w:rsidP="00BA0761">
      <w:pPr>
        <w:pStyle w:val="EndnoteText"/>
        <w:rPr>
          <w:rFonts w:cs="Arial"/>
          <w:szCs w:val="24"/>
        </w:rPr>
      </w:pPr>
      <w:r w:rsidRPr="008920BA">
        <w:rPr>
          <w:rStyle w:val="EndnoteReference"/>
          <w:rFonts w:cs="Arial"/>
          <w:szCs w:val="24"/>
        </w:rPr>
        <w:endnoteRef/>
      </w:r>
      <w:r>
        <w:rPr>
          <w:rFonts w:cs="Arial"/>
          <w:szCs w:val="24"/>
        </w:rPr>
        <w:t xml:space="preserve"> Barry, Dan. 2016. </w:t>
      </w:r>
      <w:r w:rsidRPr="00631E24">
        <w:rPr>
          <w:rFonts w:cs="Arial"/>
          <w:i/>
          <w:szCs w:val="24"/>
        </w:rPr>
        <w:t>The Boys in the Bunkhouse.</w:t>
      </w:r>
      <w:r>
        <w:rPr>
          <w:rFonts w:cs="Arial"/>
          <w:szCs w:val="24"/>
        </w:rPr>
        <w:t xml:space="preserve"> New York: </w:t>
      </w:r>
      <w:r w:rsidRPr="008920BA">
        <w:rPr>
          <w:rFonts w:cs="Arial"/>
          <w:szCs w:val="24"/>
        </w:rPr>
        <w:t>HarperCollins.</w:t>
      </w:r>
    </w:p>
  </w:endnote>
  <w:endnote w:id="11">
    <w:p w14:paraId="05A97BF1" w14:textId="06714DEC" w:rsidR="005E3498" w:rsidRDefault="005E3498" w:rsidP="00BA0761">
      <w:pPr>
        <w:pStyle w:val="EndnoteText"/>
      </w:pPr>
      <w:r>
        <w:rPr>
          <w:rStyle w:val="EndnoteReference"/>
        </w:rPr>
        <w:endnoteRef/>
      </w:r>
      <w:r>
        <w:t xml:space="preserve"> </w:t>
      </w:r>
      <w:r w:rsidRPr="00B720D1">
        <w:rPr>
          <w:rFonts w:cs="Arial"/>
          <w:szCs w:val="24"/>
        </w:rPr>
        <w:t>Dart,</w:t>
      </w:r>
      <w:r>
        <w:rPr>
          <w:rFonts w:cs="Arial"/>
          <w:szCs w:val="24"/>
        </w:rPr>
        <w:t xml:space="preserve"> Justin.</w:t>
      </w:r>
      <w:r w:rsidRPr="00B720D1">
        <w:rPr>
          <w:rFonts w:cs="Arial"/>
          <w:szCs w:val="24"/>
        </w:rPr>
        <w:t xml:space="preserve"> Feb</w:t>
      </w:r>
      <w:r>
        <w:rPr>
          <w:rFonts w:cs="Arial"/>
          <w:szCs w:val="24"/>
        </w:rPr>
        <w:t>.</w:t>
      </w:r>
      <w:r w:rsidRPr="00B720D1">
        <w:rPr>
          <w:rFonts w:cs="Arial"/>
          <w:szCs w:val="24"/>
        </w:rPr>
        <w:t xml:space="preserve"> 6, 1992</w:t>
      </w:r>
      <w:r>
        <w:rPr>
          <w:rFonts w:cs="Arial"/>
          <w:szCs w:val="24"/>
        </w:rPr>
        <w:t xml:space="preserve">. </w:t>
      </w:r>
      <w:r>
        <w:rPr>
          <w:rFonts w:cs="Arial"/>
          <w:szCs w:val="24"/>
        </w:rPr>
        <w:t xml:space="preserve">“Related Quotes by Justin Dart.” Speech given in Toronto, Canada. </w:t>
      </w:r>
      <w:hyperlink r:id="rId2" w:tooltip="http://mn.gov/mnddc/ada-legacy/pdf/related-quotes-by-justin-dart.pdf" w:history="1">
        <w:r w:rsidRPr="00B720D1">
          <w:rPr>
            <w:rStyle w:val="Hyperlink"/>
            <w:rFonts w:cs="Arial"/>
            <w:szCs w:val="24"/>
          </w:rPr>
          <w:t>http://mn.gov/mnddc/ada-legacy/pdf/related-quotes-by-justin-dart.pdf</w:t>
        </w:r>
      </w:hyperlink>
      <w:r w:rsidRPr="00B720D1">
        <w:rPr>
          <w:rFonts w:cs="Arial"/>
          <w:szCs w:val="24"/>
        </w:rPr>
        <w:t>.</w:t>
      </w:r>
      <w:r>
        <w:t xml:space="preserve"> </w:t>
      </w:r>
      <w:r w:rsidRPr="00F370C7">
        <w:rPr>
          <w:rFonts w:cs="Arial"/>
          <w:szCs w:val="24"/>
        </w:rPr>
        <w:t>(</w:t>
      </w:r>
      <w:r w:rsidRPr="00B720D1">
        <w:rPr>
          <w:rFonts w:cs="Arial"/>
          <w:szCs w:val="24"/>
        </w:rPr>
        <w:t xml:space="preserve">Accessed June 24, </w:t>
      </w:r>
      <w:r>
        <w:rPr>
          <w:rFonts w:cs="Arial"/>
          <w:szCs w:val="24"/>
        </w:rPr>
        <w:t>2018).</w:t>
      </w:r>
    </w:p>
  </w:endnote>
  <w:endnote w:id="12">
    <w:p w14:paraId="520470AA" w14:textId="77777777" w:rsidR="005E3498" w:rsidRPr="008920BA" w:rsidRDefault="005E3498" w:rsidP="00BA0761">
      <w:pPr>
        <w:autoSpaceDE w:val="0"/>
        <w:autoSpaceDN w:val="0"/>
        <w:adjustRightInd w:val="0"/>
        <w:spacing w:after="200" w:line="240" w:lineRule="auto"/>
        <w:rPr>
          <w:rFonts w:ascii="Arial" w:hAnsi="Arial" w:cs="Arial"/>
          <w:szCs w:val="24"/>
        </w:rPr>
      </w:pPr>
      <w:r w:rsidRPr="008920BA">
        <w:rPr>
          <w:rStyle w:val="EndnoteReference"/>
          <w:rFonts w:cs="Arial"/>
          <w:szCs w:val="24"/>
        </w:rPr>
        <w:endnoteRef/>
      </w:r>
      <w:r w:rsidRPr="008920BA">
        <w:rPr>
          <w:rFonts w:ascii="Arial" w:hAnsi="Arial" w:cs="Arial"/>
          <w:szCs w:val="24"/>
        </w:rPr>
        <w:t xml:space="preserve"> </w:t>
      </w:r>
      <w:r>
        <w:rPr>
          <w:rFonts w:ascii="Arial" w:hAnsi="Arial" w:cs="Arial"/>
          <w:szCs w:val="24"/>
        </w:rPr>
        <w:t xml:space="preserve">Civil Rights Act of 1964, Pub. </w:t>
      </w:r>
      <w:r>
        <w:rPr>
          <w:rFonts w:ascii="Arial" w:hAnsi="Arial" w:cs="Arial"/>
          <w:szCs w:val="24"/>
        </w:rPr>
        <w:t>L. No. 88-352, 78 Stat. 241 (1964).</w:t>
      </w:r>
    </w:p>
  </w:endnote>
  <w:endnote w:id="13">
    <w:p w14:paraId="0F6318BB" w14:textId="4C8552F3"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U.S</w:t>
      </w:r>
      <w:r>
        <w:rPr>
          <w:rFonts w:cs="Arial"/>
          <w:szCs w:val="24"/>
        </w:rPr>
        <w:t>.</w:t>
      </w:r>
      <w:r w:rsidRPr="008920BA">
        <w:rPr>
          <w:rFonts w:cs="Arial"/>
          <w:szCs w:val="24"/>
        </w:rPr>
        <w:t xml:space="preserve"> Equal Emp</w:t>
      </w:r>
      <w:r>
        <w:rPr>
          <w:rFonts w:cs="Arial"/>
          <w:szCs w:val="24"/>
        </w:rPr>
        <w:t xml:space="preserve">loyment Opportunity Commission. </w:t>
      </w:r>
      <w:r w:rsidRPr="00631E24">
        <w:rPr>
          <w:rFonts w:cs="Arial"/>
          <w:i/>
          <w:szCs w:val="24"/>
        </w:rPr>
        <w:t>Strategic Plan for Fiscal Year 2012–2016</w:t>
      </w:r>
      <w:r w:rsidRPr="008920BA">
        <w:rPr>
          <w:rFonts w:cs="Arial"/>
          <w:szCs w:val="24"/>
        </w:rPr>
        <w:t xml:space="preserve">, 6. </w:t>
      </w:r>
      <w:hyperlink r:id="rId3" w:tooltip="https://www.eeoc.gov/eeoc/plan/upload/strategic_plan_12to16.pdf" w:history="1">
        <w:r w:rsidRPr="0088669B">
          <w:rPr>
            <w:rStyle w:val="Hyperlink"/>
            <w:rFonts w:cs="Arial"/>
            <w:szCs w:val="24"/>
          </w:rPr>
          <w:t>https://www.eeoc.gov/eeoc/plan/upload/strategic_plan_12to16.pdf</w:t>
        </w:r>
      </w:hyperlink>
      <w:r>
        <w:rPr>
          <w:rFonts w:cs="Arial"/>
          <w:szCs w:val="24"/>
        </w:rPr>
        <w:t xml:space="preserve">. </w:t>
      </w:r>
    </w:p>
  </w:endnote>
  <w:endnote w:id="14">
    <w:p w14:paraId="67B871C8" w14:textId="51D5616C"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U.S. Equal Employment Opportunity Commission</w:t>
      </w:r>
      <w:r>
        <w:rPr>
          <w:rFonts w:cs="Arial"/>
          <w:szCs w:val="24"/>
        </w:rPr>
        <w:t>.</w:t>
      </w:r>
      <w:r w:rsidRPr="008920BA">
        <w:rPr>
          <w:rFonts w:cs="Arial"/>
          <w:szCs w:val="24"/>
        </w:rPr>
        <w:t xml:space="preserve"> </w:t>
      </w:r>
      <w:r w:rsidRPr="00631E24">
        <w:rPr>
          <w:rFonts w:cs="Arial"/>
          <w:i/>
          <w:szCs w:val="24"/>
        </w:rPr>
        <w:t>2017 Performance and Accountability Report</w:t>
      </w:r>
      <w:r>
        <w:rPr>
          <w:rFonts w:cs="Arial"/>
          <w:szCs w:val="24"/>
        </w:rPr>
        <w:t>, Appendix A, 87–88.</w:t>
      </w:r>
      <w:r w:rsidRPr="008920BA">
        <w:rPr>
          <w:rFonts w:cs="Arial"/>
          <w:szCs w:val="24"/>
        </w:rPr>
        <w:t xml:space="preserve"> </w:t>
      </w:r>
      <w:hyperlink r:id="rId4" w:tooltip="https://www.eeoc.gov/eeoc/plan/2017par.cfm" w:history="1">
        <w:r w:rsidRPr="008920BA">
          <w:rPr>
            <w:rStyle w:val="Hyperlink"/>
            <w:rFonts w:cs="Arial"/>
            <w:szCs w:val="24"/>
          </w:rPr>
          <w:t>https://www.eeoc.gov/eeoc/plan/2017par.cfm</w:t>
        </w:r>
      </w:hyperlink>
      <w:r>
        <w:rPr>
          <w:rStyle w:val="Hyperlink"/>
          <w:rFonts w:cs="Arial"/>
          <w:szCs w:val="24"/>
        </w:rPr>
        <w:t>.</w:t>
      </w:r>
    </w:p>
  </w:endnote>
  <w:endnote w:id="15">
    <w:p w14:paraId="29F1FA2C" w14:textId="77777777" w:rsidR="005E3498" w:rsidRDefault="005E3498" w:rsidP="00BA0761">
      <w:pPr>
        <w:pStyle w:val="EndnoteText"/>
      </w:pPr>
      <w:r>
        <w:rPr>
          <w:rStyle w:val="EndnoteReference"/>
        </w:rPr>
        <w:endnoteRef/>
      </w:r>
      <w:r>
        <w:t xml:space="preserve"> </w:t>
      </w:r>
      <w:r>
        <w:rPr>
          <w:rFonts w:cs="Arial"/>
          <w:szCs w:val="24"/>
        </w:rPr>
        <w:t>76 Fed. Reg. 16,</w:t>
      </w:r>
      <w:r w:rsidRPr="00FF744D">
        <w:rPr>
          <w:rFonts w:cs="Arial"/>
          <w:szCs w:val="24"/>
        </w:rPr>
        <w:t>978</w:t>
      </w:r>
      <w:r>
        <w:rPr>
          <w:rFonts w:cs="Arial"/>
          <w:szCs w:val="24"/>
        </w:rPr>
        <w:t xml:space="preserve"> (March 25, 2011).</w:t>
      </w:r>
    </w:p>
  </w:endnote>
  <w:endnote w:id="16">
    <w:p w14:paraId="43172EC5" w14:textId="77777777" w:rsidR="005E3498" w:rsidRPr="00B720D1"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B720D1">
        <w:rPr>
          <w:rFonts w:cs="Arial"/>
          <w:szCs w:val="24"/>
        </w:rPr>
        <w:t>Ibid.</w:t>
      </w:r>
    </w:p>
  </w:endnote>
  <w:endnote w:id="17">
    <w:p w14:paraId="6B6A0BAA" w14:textId="77777777" w:rsidR="005E3498" w:rsidRPr="00B720D1" w:rsidRDefault="005E3498" w:rsidP="00BA0761">
      <w:pPr>
        <w:pStyle w:val="EndnoteText"/>
        <w:rPr>
          <w:rFonts w:cs="Arial"/>
          <w:szCs w:val="24"/>
        </w:rPr>
      </w:pPr>
      <w:r w:rsidRPr="00B720D1">
        <w:rPr>
          <w:rStyle w:val="EndnoteReference"/>
          <w:rFonts w:cs="Arial"/>
          <w:szCs w:val="24"/>
        </w:rPr>
        <w:endnoteRef/>
      </w:r>
      <w:r w:rsidRPr="00B720D1">
        <w:rPr>
          <w:rFonts w:cs="Arial"/>
          <w:szCs w:val="24"/>
        </w:rPr>
        <w:t xml:space="preserve"> Ibid.</w:t>
      </w:r>
    </w:p>
  </w:endnote>
  <w:endnote w:id="18">
    <w:p w14:paraId="5E4E5944" w14:textId="77777777" w:rsidR="005E3498" w:rsidRPr="00B720D1" w:rsidRDefault="005E3498" w:rsidP="00BA0761">
      <w:pPr>
        <w:pStyle w:val="EndnoteText"/>
        <w:rPr>
          <w:rFonts w:cs="Arial"/>
          <w:szCs w:val="24"/>
        </w:rPr>
      </w:pPr>
      <w:r w:rsidRPr="00B720D1">
        <w:rPr>
          <w:rStyle w:val="EndnoteReference"/>
          <w:rFonts w:cs="Arial"/>
          <w:szCs w:val="24"/>
        </w:rPr>
        <w:endnoteRef/>
      </w:r>
      <w:r w:rsidRPr="00B720D1">
        <w:rPr>
          <w:rFonts w:cs="Arial"/>
          <w:szCs w:val="24"/>
        </w:rPr>
        <w:t xml:space="preserve"> Ibid.</w:t>
      </w:r>
    </w:p>
  </w:endnote>
  <w:endnote w:id="19">
    <w:p w14:paraId="7EC35DBE" w14:textId="77777777" w:rsidR="005E3498" w:rsidRPr="008920BA" w:rsidRDefault="005E3498" w:rsidP="00BA0761">
      <w:pPr>
        <w:pStyle w:val="EndnoteText"/>
        <w:rPr>
          <w:rFonts w:cs="Arial"/>
          <w:szCs w:val="24"/>
        </w:rPr>
      </w:pPr>
      <w:r w:rsidRPr="00B720D1">
        <w:rPr>
          <w:rStyle w:val="EndnoteReference"/>
          <w:rFonts w:cs="Arial"/>
          <w:szCs w:val="24"/>
        </w:rPr>
        <w:endnoteRef/>
      </w:r>
      <w:r w:rsidRPr="00B720D1">
        <w:rPr>
          <w:rFonts w:cs="Arial"/>
          <w:szCs w:val="24"/>
        </w:rPr>
        <w:t xml:space="preserve"> Ibid.</w:t>
      </w:r>
    </w:p>
  </w:endnote>
  <w:endnote w:id="20">
    <w:p w14:paraId="27F02C46" w14:textId="08A34DC3" w:rsidR="005E3498" w:rsidRPr="004128BC" w:rsidRDefault="005E3498" w:rsidP="00BA0761">
      <w:pPr>
        <w:pStyle w:val="EndnoteText"/>
        <w:rPr>
          <w:rFonts w:cs="Arial"/>
          <w:szCs w:val="24"/>
        </w:rPr>
      </w:pPr>
      <w:r w:rsidRPr="00FF7110">
        <w:rPr>
          <w:rStyle w:val="EndnoteReference"/>
          <w:rFonts w:cs="Arial"/>
          <w:szCs w:val="24"/>
        </w:rPr>
        <w:endnoteRef/>
      </w:r>
      <w:r w:rsidRPr="004128BC">
        <w:rPr>
          <w:rFonts w:cs="Arial"/>
          <w:szCs w:val="24"/>
        </w:rPr>
        <w:t xml:space="preserve"> Examples included by the EEOC in the list </w:t>
      </w:r>
      <w:r>
        <w:rPr>
          <w:rFonts w:cs="Arial"/>
          <w:szCs w:val="24"/>
        </w:rPr>
        <w:t>include the following:</w:t>
      </w:r>
      <w:r w:rsidRPr="004128BC">
        <w:rPr>
          <w:rFonts w:cs="Arial"/>
          <w:szCs w:val="24"/>
        </w:rPr>
        <w:t xml:space="preserve"> </w:t>
      </w:r>
      <w:r>
        <w:rPr>
          <w:rFonts w:cs="Arial"/>
          <w:szCs w:val="24"/>
        </w:rPr>
        <w:t>“</w:t>
      </w:r>
      <w:r w:rsidRPr="004128BC">
        <w:rPr>
          <w:rFonts w:cs="Arial"/>
          <w:szCs w:val="24"/>
        </w:rPr>
        <w:t>Deafness substantially limits hearing; blindness substantially limits seeing; an intellectual disability (formerly termed mental retardation) substantially limits brain function; partially or completely missing limbs or mobility impairments requiring the use of a wheelchair substantially limit musculoskeletal function; autism substantially limits brain function; cancer substantially limits normal cell growth; cerebral palsy substantially limits brain function; diabetes substantially limits endocrine function; epilepsy substantially limits neurological function; Human Immunodeficiency Virus (HIV) infection substantially limits immune function; multiple sclerosis substantially limits neurological function; muscular dystrophy substantially limits neurological function; and major depressive disorder, bipolar disorder, post-traumatic stress disorder, obsessive compulsive disorder, and schizophrenia substantially limit brain function.</w:t>
      </w:r>
      <w:r>
        <w:rPr>
          <w:rFonts w:cs="Arial"/>
          <w:szCs w:val="24"/>
        </w:rPr>
        <w:t>”</w:t>
      </w:r>
      <w:r w:rsidRPr="004128BC">
        <w:rPr>
          <w:rFonts w:cs="Arial"/>
          <w:szCs w:val="24"/>
        </w:rPr>
        <w:t xml:space="preserve"> </w:t>
      </w:r>
      <w:r w:rsidRPr="004128BC">
        <w:rPr>
          <w:rFonts w:cs="Arial"/>
          <w:szCs w:val="24"/>
        </w:rPr>
        <w:t>29 C.F.R. § 1630.2</w:t>
      </w:r>
      <w:r>
        <w:rPr>
          <w:rFonts w:cs="Arial"/>
          <w:szCs w:val="24"/>
        </w:rPr>
        <w:t>.</w:t>
      </w:r>
    </w:p>
  </w:endnote>
  <w:endnote w:id="21">
    <w:p w14:paraId="43DF42C9"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C557F">
        <w:rPr>
          <w:rFonts w:cs="Arial"/>
          <w:szCs w:val="24"/>
        </w:rPr>
        <w:t xml:space="preserve">29 C.F.R. </w:t>
      </w:r>
      <w:r>
        <w:rPr>
          <w:rFonts w:cs="Arial"/>
          <w:szCs w:val="24"/>
        </w:rPr>
        <w:t>Part</w:t>
      </w:r>
      <w:r w:rsidRPr="008C557F">
        <w:rPr>
          <w:rFonts w:cs="Arial"/>
          <w:szCs w:val="24"/>
        </w:rPr>
        <w:t xml:space="preserve"> 1630, App.</w:t>
      </w:r>
    </w:p>
  </w:endnote>
  <w:endnote w:id="22">
    <w:p w14:paraId="6711EC30" w14:textId="0CD153FE" w:rsidR="005E3498" w:rsidRPr="000456A0" w:rsidRDefault="005E3498" w:rsidP="00BA0761">
      <w:pPr>
        <w:pStyle w:val="EndnoteText"/>
        <w:rPr>
          <w:rFonts w:cs="Arial"/>
          <w:szCs w:val="24"/>
        </w:rPr>
      </w:pPr>
      <w:r w:rsidRPr="000456A0">
        <w:rPr>
          <w:rStyle w:val="EndnoteReference"/>
          <w:rFonts w:cs="Arial"/>
          <w:szCs w:val="24"/>
        </w:rPr>
        <w:endnoteRef/>
      </w:r>
      <w:r w:rsidRPr="000456A0">
        <w:rPr>
          <w:rFonts w:cs="Arial"/>
          <w:szCs w:val="24"/>
        </w:rPr>
        <w:t xml:space="preserve"> </w:t>
      </w:r>
      <w:r>
        <w:rPr>
          <w:rFonts w:cs="Arial"/>
          <w:szCs w:val="24"/>
        </w:rPr>
        <w:t>U.S. Equal Employment Opportunity Commission.</w:t>
      </w:r>
      <w:r w:rsidRPr="000456A0">
        <w:rPr>
          <w:rFonts w:cs="Arial"/>
          <w:szCs w:val="24"/>
        </w:rPr>
        <w:t xml:space="preserve"> </w:t>
      </w:r>
      <w:r>
        <w:rPr>
          <w:rFonts w:cs="Arial"/>
          <w:szCs w:val="24"/>
        </w:rPr>
        <w:t>“</w:t>
      </w:r>
      <w:r w:rsidRPr="000456A0">
        <w:rPr>
          <w:rFonts w:cs="Arial"/>
          <w:szCs w:val="24"/>
        </w:rPr>
        <w:t>What You Should Know About EEOC Regulations, Sub</w:t>
      </w:r>
      <w:r>
        <w:rPr>
          <w:rFonts w:cs="Arial"/>
          <w:szCs w:val="24"/>
        </w:rPr>
        <w:t>-</w:t>
      </w:r>
      <w:r w:rsidRPr="000456A0">
        <w:rPr>
          <w:rFonts w:cs="Arial"/>
          <w:szCs w:val="24"/>
        </w:rPr>
        <w:t>regulatory Guidan</w:t>
      </w:r>
      <w:r>
        <w:rPr>
          <w:rFonts w:cs="Arial"/>
          <w:szCs w:val="24"/>
        </w:rPr>
        <w:t xml:space="preserve">ce and Other Resource Documents.” </w:t>
      </w:r>
      <w:hyperlink r:id="rId5" w:tooltip="https://www1.eeoc.gov/eeoc/newsroom/wysk/regulations_guidance_resources.cfm?renderforprint=1" w:history="1">
        <w:r w:rsidRPr="0056736C">
          <w:rPr>
            <w:rStyle w:val="Hyperlink"/>
            <w:rFonts w:cs="Arial"/>
            <w:szCs w:val="24"/>
          </w:rPr>
          <w:t>https://www1.eeoc.gov//eeoc/newsroom/wysk/regulations_guidance_resources.cfm?renderforprint=1</w:t>
        </w:r>
      </w:hyperlink>
      <w:r>
        <w:rPr>
          <w:rFonts w:cs="Arial"/>
          <w:szCs w:val="24"/>
        </w:rPr>
        <w:t>.</w:t>
      </w:r>
      <w:r w:rsidRPr="00387559">
        <w:rPr>
          <w:rFonts w:cs="Arial"/>
          <w:szCs w:val="24"/>
        </w:rPr>
        <w:t xml:space="preserve"> </w:t>
      </w:r>
      <w:r>
        <w:rPr>
          <w:rFonts w:cs="Arial"/>
          <w:szCs w:val="24"/>
        </w:rPr>
        <w:t>(Accessed June 23, 2018).</w:t>
      </w:r>
    </w:p>
  </w:endnote>
  <w:endnote w:id="23">
    <w:p w14:paraId="359EDF1B" w14:textId="77777777" w:rsidR="005E3498" w:rsidRDefault="005E3498" w:rsidP="00BA0761">
      <w:pPr>
        <w:pStyle w:val="EndnoteText"/>
      </w:pPr>
      <w:r>
        <w:rPr>
          <w:rStyle w:val="EndnoteReference"/>
        </w:rPr>
        <w:endnoteRef/>
      </w:r>
      <w:r>
        <w:t xml:space="preserve"> </w:t>
      </w:r>
      <w:r w:rsidRPr="008C557F">
        <w:rPr>
          <w:rFonts w:cs="Arial"/>
          <w:szCs w:val="24"/>
        </w:rPr>
        <w:t>Ibid.</w:t>
      </w:r>
    </w:p>
  </w:endnote>
  <w:endnote w:id="24">
    <w:p w14:paraId="2AE1D757" w14:textId="12EC0C82" w:rsidR="005E3498" w:rsidRPr="008920BA" w:rsidRDefault="005E3498" w:rsidP="00BA0761">
      <w:pPr>
        <w:spacing w:after="200" w:line="240" w:lineRule="auto"/>
        <w:rPr>
          <w:rFonts w:ascii="Arial" w:hAnsi="Arial" w:cs="Arial"/>
          <w:szCs w:val="24"/>
        </w:rPr>
      </w:pPr>
      <w:r w:rsidRPr="008920BA">
        <w:rPr>
          <w:rStyle w:val="EndnoteReference"/>
          <w:rFonts w:cs="Arial"/>
          <w:szCs w:val="24"/>
        </w:rPr>
        <w:endnoteRef/>
      </w:r>
      <w:r w:rsidRPr="008920BA">
        <w:rPr>
          <w:rFonts w:ascii="Arial" w:hAnsi="Arial" w:cs="Arial"/>
          <w:szCs w:val="24"/>
        </w:rPr>
        <w:t xml:space="preserve"> </w:t>
      </w:r>
      <w:r>
        <w:rPr>
          <w:rFonts w:ascii="Arial" w:hAnsi="Arial" w:cs="Arial"/>
          <w:szCs w:val="24"/>
        </w:rPr>
        <w:t>U.S. Equal Employment Opportunity Commission. “</w:t>
      </w:r>
      <w:r w:rsidRPr="008920BA">
        <w:rPr>
          <w:rFonts w:ascii="Arial" w:hAnsi="Arial" w:cs="Arial"/>
          <w:szCs w:val="24"/>
        </w:rPr>
        <w:t xml:space="preserve">General </w:t>
      </w:r>
      <w:r>
        <w:rPr>
          <w:rFonts w:ascii="Arial" w:hAnsi="Arial" w:cs="Arial"/>
          <w:szCs w:val="24"/>
        </w:rPr>
        <w:t xml:space="preserve">Fact Sheet on ADAAA Regulations.” </w:t>
      </w:r>
      <w:hyperlink r:id="rId6" w:tooltip="https://www.eeoc.gov/laws/regulations/adaaa_fact_sheet.cfm" w:history="1">
        <w:r w:rsidRPr="008920BA">
          <w:rPr>
            <w:rStyle w:val="Hyperlink"/>
            <w:rFonts w:cs="Arial"/>
            <w:szCs w:val="24"/>
          </w:rPr>
          <w:t>https://www.eeoc.gov/laws/regulations/adaaa_fact_sheet.cfm</w:t>
        </w:r>
      </w:hyperlink>
      <w:r>
        <w:rPr>
          <w:rFonts w:ascii="Arial" w:hAnsi="Arial" w:cs="Arial"/>
          <w:szCs w:val="24"/>
        </w:rPr>
        <w:t>.</w:t>
      </w:r>
      <w:r w:rsidRPr="00387559">
        <w:rPr>
          <w:rFonts w:ascii="Arial" w:hAnsi="Arial" w:cs="Arial"/>
          <w:szCs w:val="24"/>
        </w:rPr>
        <w:t xml:space="preserve"> </w:t>
      </w:r>
      <w:r>
        <w:rPr>
          <w:rFonts w:ascii="Arial" w:hAnsi="Arial" w:cs="Arial"/>
          <w:szCs w:val="24"/>
        </w:rPr>
        <w:t>(Accessed June 23, 2018). U</w:t>
      </w:r>
      <w:r w:rsidRPr="00EB526B">
        <w:rPr>
          <w:rFonts w:ascii="Arial" w:hAnsi="Arial" w:cs="Arial"/>
          <w:szCs w:val="24"/>
        </w:rPr>
        <w:t>.S. Equal Employment Opportunity Commission</w:t>
      </w:r>
      <w:r>
        <w:rPr>
          <w:rFonts w:ascii="Arial" w:hAnsi="Arial" w:cs="Arial"/>
          <w:szCs w:val="24"/>
        </w:rPr>
        <w:t>.</w:t>
      </w:r>
      <w:r w:rsidRPr="008920BA">
        <w:rPr>
          <w:rFonts w:ascii="Arial" w:hAnsi="Arial" w:cs="Arial"/>
          <w:szCs w:val="24"/>
        </w:rPr>
        <w:t xml:space="preserve"> </w:t>
      </w:r>
      <w:r>
        <w:rPr>
          <w:rFonts w:ascii="Arial" w:hAnsi="Arial" w:cs="Arial"/>
          <w:szCs w:val="24"/>
        </w:rPr>
        <w:t xml:space="preserve">“General Q&amp;As on ADAAA.” </w:t>
      </w:r>
      <w:hyperlink r:id="rId7" w:tooltip="https://www.eeoc.gov/laws/regulations/ada_qa_final_rule.cfm" w:history="1">
        <w:r w:rsidRPr="008920BA">
          <w:rPr>
            <w:rStyle w:val="Hyperlink"/>
            <w:rFonts w:cs="Arial"/>
            <w:szCs w:val="24"/>
          </w:rPr>
          <w:t>https://www.eeoc.gov/laws/regulations/ada_qa_final_rule.cfm</w:t>
        </w:r>
      </w:hyperlink>
      <w:r>
        <w:rPr>
          <w:rFonts w:ascii="Arial" w:hAnsi="Arial" w:cs="Arial"/>
          <w:szCs w:val="24"/>
        </w:rPr>
        <w:t>. (Accessed June 23, 2018). U</w:t>
      </w:r>
      <w:r w:rsidRPr="00EB526B">
        <w:rPr>
          <w:rFonts w:ascii="Arial" w:hAnsi="Arial" w:cs="Arial"/>
          <w:szCs w:val="24"/>
        </w:rPr>
        <w:t>.S. Equal Employment Opportunity Commission</w:t>
      </w:r>
      <w:r>
        <w:rPr>
          <w:rFonts w:ascii="Arial" w:hAnsi="Arial" w:cs="Arial"/>
          <w:szCs w:val="24"/>
        </w:rPr>
        <w:t>.</w:t>
      </w:r>
      <w:r w:rsidRPr="00EB526B">
        <w:rPr>
          <w:rFonts w:ascii="Arial" w:hAnsi="Arial" w:cs="Arial"/>
          <w:szCs w:val="24"/>
        </w:rPr>
        <w:t xml:space="preserve"> </w:t>
      </w:r>
      <w:r>
        <w:rPr>
          <w:rFonts w:ascii="Arial" w:hAnsi="Arial" w:cs="Arial"/>
          <w:szCs w:val="24"/>
        </w:rPr>
        <w:t xml:space="preserve">Small Business Q&amp;As on ADAAA. </w:t>
      </w:r>
      <w:hyperlink r:id="rId8" w:tooltip="https://www.eeoc.gov/laws/regulations/adaaa_qa_small_business.cfm" w:history="1">
        <w:r w:rsidRPr="008920BA">
          <w:rPr>
            <w:rStyle w:val="Hyperlink"/>
            <w:rFonts w:cs="Arial"/>
            <w:szCs w:val="24"/>
          </w:rPr>
          <w:t>https://www.eeoc.gov/laws/regulations/adaaa_qa_small_business.cfm</w:t>
        </w:r>
      </w:hyperlink>
      <w:r>
        <w:rPr>
          <w:rStyle w:val="Hyperlink"/>
          <w:rFonts w:cs="Arial"/>
          <w:szCs w:val="24"/>
        </w:rPr>
        <w:t>.</w:t>
      </w:r>
      <w:r w:rsidRPr="00387559">
        <w:rPr>
          <w:rFonts w:ascii="Arial" w:hAnsi="Arial" w:cs="Arial"/>
          <w:szCs w:val="24"/>
        </w:rPr>
        <w:t xml:space="preserve"> </w:t>
      </w:r>
      <w:r>
        <w:rPr>
          <w:rFonts w:ascii="Arial" w:hAnsi="Arial" w:cs="Arial"/>
          <w:szCs w:val="24"/>
        </w:rPr>
        <w:t>(Accessed June 23, 2018).</w:t>
      </w:r>
    </w:p>
  </w:endnote>
  <w:endnote w:id="25">
    <w:p w14:paraId="350EF7DA" w14:textId="38649765" w:rsidR="005E3498" w:rsidRPr="008920BA" w:rsidRDefault="005E3498" w:rsidP="00BA0761">
      <w:pPr>
        <w:spacing w:after="200" w:line="240" w:lineRule="auto"/>
        <w:rPr>
          <w:rFonts w:ascii="Arial" w:hAnsi="Arial" w:cs="Arial"/>
          <w:szCs w:val="24"/>
        </w:rPr>
      </w:pPr>
      <w:r w:rsidRPr="008920BA">
        <w:rPr>
          <w:rStyle w:val="EndnoteReference"/>
          <w:rFonts w:cs="Arial"/>
          <w:szCs w:val="24"/>
        </w:rPr>
        <w:endnoteRef/>
      </w:r>
      <w:r>
        <w:rPr>
          <w:rFonts w:ascii="Arial" w:hAnsi="Arial" w:cs="Arial"/>
          <w:szCs w:val="24"/>
        </w:rPr>
        <w:t xml:space="preserve"> </w:t>
      </w:r>
      <w:r>
        <w:rPr>
          <w:rFonts w:ascii="Arial" w:hAnsi="Arial" w:cs="Arial"/>
          <w:szCs w:val="24"/>
        </w:rPr>
        <w:t xml:space="preserve">U.S. Equal Employment Opportunity Commission. “Living with HIV.” </w:t>
      </w:r>
      <w:hyperlink r:id="rId9" w:tooltip="https://www.eeoc.gov/eeoc/publications/hiv_individual.cfm" w:history="1">
        <w:r w:rsidRPr="008920BA">
          <w:rPr>
            <w:rStyle w:val="Hyperlink"/>
            <w:rFonts w:cs="Arial"/>
            <w:szCs w:val="24"/>
          </w:rPr>
          <w:t>https://www.eeoc.gov/eeoc/publications/hiv_individual.cfm</w:t>
        </w:r>
      </w:hyperlink>
      <w:r>
        <w:rPr>
          <w:rStyle w:val="Hyperlink"/>
          <w:rFonts w:cs="Arial"/>
          <w:szCs w:val="24"/>
        </w:rPr>
        <w:t>.</w:t>
      </w:r>
      <w:r w:rsidRPr="00387559">
        <w:rPr>
          <w:rFonts w:ascii="Arial" w:hAnsi="Arial" w:cs="Arial"/>
          <w:szCs w:val="24"/>
        </w:rPr>
        <w:t xml:space="preserve"> </w:t>
      </w:r>
      <w:r>
        <w:rPr>
          <w:rFonts w:ascii="Arial" w:hAnsi="Arial" w:cs="Arial"/>
          <w:szCs w:val="24"/>
        </w:rPr>
        <w:t>(Accessed June 23, 2018).</w:t>
      </w:r>
    </w:p>
  </w:endnote>
  <w:endnote w:id="26">
    <w:p w14:paraId="1A473878" w14:textId="15544C20" w:rsidR="005E3498" w:rsidRPr="008920BA" w:rsidRDefault="005E3498" w:rsidP="00BA0761">
      <w:pPr>
        <w:spacing w:after="200" w:line="240" w:lineRule="auto"/>
        <w:rPr>
          <w:rFonts w:ascii="Arial" w:hAnsi="Arial" w:cs="Arial"/>
          <w:szCs w:val="24"/>
        </w:rPr>
      </w:pPr>
      <w:r w:rsidRPr="008920BA">
        <w:rPr>
          <w:rStyle w:val="EndnoteReference"/>
          <w:rFonts w:cs="Arial"/>
          <w:szCs w:val="24"/>
        </w:rPr>
        <w:endnoteRef/>
      </w:r>
      <w:r w:rsidRPr="008920BA">
        <w:rPr>
          <w:rFonts w:ascii="Arial" w:hAnsi="Arial" w:cs="Arial"/>
          <w:szCs w:val="24"/>
        </w:rPr>
        <w:t xml:space="preserve"> </w:t>
      </w:r>
      <w:r w:rsidRPr="00362BAA">
        <w:rPr>
          <w:rFonts w:ascii="Arial" w:hAnsi="Arial" w:cs="Arial"/>
          <w:szCs w:val="24"/>
        </w:rPr>
        <w:t>U.S. Equal Employment Opportunity Commission</w:t>
      </w:r>
      <w:r>
        <w:rPr>
          <w:rFonts w:ascii="Arial" w:hAnsi="Arial" w:cs="Arial"/>
          <w:szCs w:val="24"/>
        </w:rPr>
        <w:t>. “</w:t>
      </w:r>
      <w:r w:rsidRPr="008920BA">
        <w:rPr>
          <w:rFonts w:ascii="Arial" w:hAnsi="Arial" w:cs="Arial"/>
          <w:szCs w:val="24"/>
        </w:rPr>
        <w:t>Helping P</w:t>
      </w:r>
      <w:r>
        <w:rPr>
          <w:rFonts w:ascii="Arial" w:hAnsi="Arial" w:cs="Arial"/>
          <w:szCs w:val="24"/>
        </w:rPr>
        <w:t xml:space="preserve">atients Living with HIV at Work.” </w:t>
      </w:r>
      <w:hyperlink r:id="rId10" w:tooltip="https://www.eeoc.gov/eeoc/publications/hiv_doctors.cfm" w:history="1">
        <w:r w:rsidRPr="008920BA">
          <w:rPr>
            <w:rStyle w:val="Hyperlink"/>
            <w:rFonts w:cs="Arial"/>
            <w:szCs w:val="24"/>
          </w:rPr>
          <w:t>https://www.eeoc.gov/eeoc/publications/hiv_doctors.cfm</w:t>
        </w:r>
      </w:hyperlink>
      <w:r>
        <w:rPr>
          <w:rStyle w:val="Hyperlink"/>
          <w:rFonts w:cs="Arial"/>
          <w:szCs w:val="24"/>
        </w:rPr>
        <w:t>.</w:t>
      </w:r>
      <w:r w:rsidRPr="00387559">
        <w:rPr>
          <w:rFonts w:ascii="Arial" w:hAnsi="Arial" w:cs="Arial"/>
          <w:szCs w:val="24"/>
        </w:rPr>
        <w:t xml:space="preserve"> </w:t>
      </w:r>
      <w:r>
        <w:rPr>
          <w:rFonts w:ascii="Arial" w:hAnsi="Arial" w:cs="Arial"/>
          <w:szCs w:val="24"/>
        </w:rPr>
        <w:t>(Accessed June 23, 2018).</w:t>
      </w:r>
    </w:p>
  </w:endnote>
  <w:endnote w:id="27">
    <w:p w14:paraId="394E1801" w14:textId="096C7D1D" w:rsidR="005E3498" w:rsidRPr="008920BA" w:rsidRDefault="005E3498" w:rsidP="00BA0761">
      <w:pPr>
        <w:spacing w:after="200" w:line="240" w:lineRule="auto"/>
        <w:rPr>
          <w:rFonts w:ascii="Arial" w:hAnsi="Arial" w:cs="Arial"/>
          <w:szCs w:val="24"/>
        </w:rPr>
      </w:pPr>
      <w:r w:rsidRPr="008920BA">
        <w:rPr>
          <w:rStyle w:val="EndnoteReference"/>
          <w:rFonts w:cs="Arial"/>
          <w:szCs w:val="24"/>
        </w:rPr>
        <w:endnoteRef/>
      </w:r>
      <w:r w:rsidRPr="008920BA">
        <w:rPr>
          <w:rFonts w:ascii="Arial" w:hAnsi="Arial" w:cs="Arial"/>
          <w:szCs w:val="24"/>
        </w:rPr>
        <w:t xml:space="preserve"> </w:t>
      </w:r>
      <w:r w:rsidRPr="00362BAA">
        <w:rPr>
          <w:rFonts w:ascii="Arial" w:hAnsi="Arial" w:cs="Arial"/>
          <w:szCs w:val="24"/>
        </w:rPr>
        <w:t>U.S. Equal Employment Opportunity Commission</w:t>
      </w:r>
      <w:r>
        <w:rPr>
          <w:rFonts w:ascii="Arial" w:hAnsi="Arial" w:cs="Arial"/>
          <w:szCs w:val="24"/>
        </w:rPr>
        <w:t>. May 9, 2016. “</w:t>
      </w:r>
      <w:r w:rsidRPr="008920BA">
        <w:rPr>
          <w:rFonts w:ascii="Arial" w:hAnsi="Arial" w:cs="Arial"/>
          <w:szCs w:val="24"/>
        </w:rPr>
        <w:t>Empl</w:t>
      </w:r>
      <w:r>
        <w:rPr>
          <w:rFonts w:ascii="Arial" w:hAnsi="Arial" w:cs="Arial"/>
          <w:szCs w:val="24"/>
        </w:rPr>
        <w:t>oyer Provided L</w:t>
      </w:r>
      <w:r w:rsidRPr="008920BA">
        <w:rPr>
          <w:rFonts w:ascii="Arial" w:hAnsi="Arial" w:cs="Arial"/>
          <w:szCs w:val="24"/>
        </w:rPr>
        <w:t>eave</w:t>
      </w:r>
      <w:r>
        <w:rPr>
          <w:rFonts w:ascii="Arial" w:hAnsi="Arial" w:cs="Arial"/>
          <w:szCs w:val="24"/>
        </w:rPr>
        <w:t xml:space="preserve"> and the Americans with Disabilities Act.” </w:t>
      </w:r>
      <w:hyperlink r:id="rId11" w:tooltip="https://www.eeoc.gov/eeoc/publications/ada-leave.cfm" w:history="1">
        <w:r w:rsidRPr="008920BA">
          <w:rPr>
            <w:rStyle w:val="Hyperlink"/>
            <w:rFonts w:cs="Arial"/>
            <w:szCs w:val="24"/>
          </w:rPr>
          <w:t>https://www.eeoc.gov/eeoc/publications/ada-leave.cfm</w:t>
        </w:r>
      </w:hyperlink>
      <w:r>
        <w:rPr>
          <w:rStyle w:val="Hyperlink"/>
          <w:rFonts w:cs="Arial"/>
          <w:szCs w:val="24"/>
        </w:rPr>
        <w:t>.</w:t>
      </w:r>
    </w:p>
  </w:endnote>
  <w:endnote w:id="28">
    <w:p w14:paraId="69E7DF4B" w14:textId="2D968D39" w:rsidR="005E3498" w:rsidRPr="001A456E" w:rsidRDefault="005E3498" w:rsidP="00BA0761">
      <w:pPr>
        <w:spacing w:after="200" w:line="240" w:lineRule="auto"/>
        <w:rPr>
          <w:rFonts w:ascii="Arial" w:eastAsiaTheme="minorHAnsi" w:hAnsi="Arial" w:cs="Arial"/>
          <w:szCs w:val="24"/>
        </w:rPr>
      </w:pPr>
      <w:r w:rsidRPr="008920BA">
        <w:rPr>
          <w:rStyle w:val="EndnoteReference"/>
          <w:rFonts w:cs="Arial"/>
          <w:szCs w:val="24"/>
        </w:rPr>
        <w:endnoteRef/>
      </w:r>
      <w:r w:rsidRPr="008920BA">
        <w:rPr>
          <w:rFonts w:ascii="Arial" w:hAnsi="Arial" w:cs="Arial"/>
          <w:szCs w:val="24"/>
        </w:rPr>
        <w:t xml:space="preserve"> </w:t>
      </w:r>
      <w:r w:rsidRPr="00362BAA">
        <w:rPr>
          <w:rFonts w:ascii="Arial" w:hAnsi="Arial" w:cs="Arial"/>
          <w:szCs w:val="24"/>
        </w:rPr>
        <w:t>U.S. Equal Employment Opportunity Commission</w:t>
      </w:r>
      <w:r>
        <w:rPr>
          <w:rFonts w:ascii="Arial" w:hAnsi="Arial" w:cs="Arial"/>
          <w:szCs w:val="24"/>
        </w:rPr>
        <w:t>. (All of the following accessed June 23, 2018). “</w:t>
      </w:r>
      <w:r w:rsidRPr="001A456E">
        <w:rPr>
          <w:rFonts w:ascii="Arial" w:hAnsi="Arial" w:cs="Arial"/>
          <w:szCs w:val="24"/>
        </w:rPr>
        <w:t xml:space="preserve">EEO Laws for Employees Affected by the </w:t>
      </w:r>
      <w:r w:rsidRPr="001A456E">
        <w:rPr>
          <w:rFonts w:ascii="Arial" w:hAnsi="Arial" w:cs="Arial"/>
          <w:szCs w:val="24"/>
        </w:rPr>
        <w:t>Zika Virus</w:t>
      </w:r>
      <w:r>
        <w:rPr>
          <w:rFonts w:ascii="Arial" w:hAnsi="Arial" w:cs="Arial"/>
          <w:szCs w:val="24"/>
        </w:rPr>
        <w:t xml:space="preserve">,” </w:t>
      </w:r>
      <w:hyperlink r:id="rId12" w:tooltip="https://www.eeoc.gov/eeoc/publications/zika-eeo-laws.cfm" w:history="1">
        <w:r w:rsidRPr="008920BA">
          <w:rPr>
            <w:rStyle w:val="Hyperlink"/>
            <w:rFonts w:cs="Arial"/>
            <w:szCs w:val="24"/>
          </w:rPr>
          <w:t>https://www.eeoc.gov/eeoc/publications/zika-eeo-laws.cfm</w:t>
        </w:r>
      </w:hyperlink>
      <w:r>
        <w:rPr>
          <w:rFonts w:ascii="Arial" w:hAnsi="Arial" w:cs="Arial"/>
          <w:szCs w:val="24"/>
        </w:rPr>
        <w:t>;</w:t>
      </w:r>
      <w:r w:rsidRPr="008920BA">
        <w:rPr>
          <w:rFonts w:ascii="Arial" w:hAnsi="Arial" w:cs="Arial"/>
          <w:szCs w:val="24"/>
        </w:rPr>
        <w:t xml:space="preserve"> </w:t>
      </w:r>
      <w:r>
        <w:rPr>
          <w:rFonts w:ascii="Arial" w:hAnsi="Arial" w:cs="Arial"/>
          <w:szCs w:val="24"/>
        </w:rPr>
        <w:t>“</w:t>
      </w:r>
      <w:r w:rsidRPr="001A456E">
        <w:rPr>
          <w:rFonts w:ascii="Arial" w:hAnsi="Arial" w:cs="Arial"/>
          <w:szCs w:val="24"/>
        </w:rPr>
        <w:t>Questions and Answers About Deafness and Hearing Impairments in the Workplace and the Americans with Disabilities Act</w:t>
      </w:r>
      <w:r>
        <w:rPr>
          <w:rFonts w:ascii="Arial" w:hAnsi="Arial" w:cs="Arial"/>
          <w:szCs w:val="24"/>
        </w:rPr>
        <w:t>,”</w:t>
      </w:r>
      <w:r w:rsidRPr="001A456E">
        <w:rPr>
          <w:rFonts w:ascii="Arial" w:hAnsi="Arial" w:cs="Arial"/>
          <w:szCs w:val="24"/>
        </w:rPr>
        <w:t xml:space="preserve"> </w:t>
      </w:r>
      <w:hyperlink r:id="rId13" w:tooltip="https://www.eeoc.gov/eeoc/publications/qa_deafness.cfm" w:history="1">
        <w:r w:rsidRPr="008920BA">
          <w:rPr>
            <w:rStyle w:val="Hyperlink"/>
            <w:rFonts w:cs="Arial"/>
            <w:szCs w:val="24"/>
          </w:rPr>
          <w:t>https://www.eeoc.gov/eeoc/publications/qa_deafness.cfm</w:t>
        </w:r>
      </w:hyperlink>
      <w:r>
        <w:rPr>
          <w:rFonts w:ascii="Arial" w:hAnsi="Arial" w:cs="Arial"/>
          <w:szCs w:val="24"/>
        </w:rPr>
        <w:t>; “</w:t>
      </w:r>
      <w:r w:rsidRPr="001A456E">
        <w:rPr>
          <w:rFonts w:ascii="Arial" w:hAnsi="Arial" w:cs="Arial"/>
          <w:szCs w:val="24"/>
        </w:rPr>
        <w:t>Questions &amp; Answers About Blindness and Vision Impairments in the Workplace and the Americans with Disabilities Act (ADA)</w:t>
      </w:r>
      <w:r>
        <w:rPr>
          <w:rFonts w:ascii="Arial" w:hAnsi="Arial" w:cs="Arial"/>
          <w:szCs w:val="24"/>
        </w:rPr>
        <w:t xml:space="preserve">,” </w:t>
      </w:r>
      <w:hyperlink r:id="rId14" w:tooltip="https://www.eeoc.gov/eeoc/publications/qa_vision.cfm" w:history="1">
        <w:r w:rsidRPr="008920BA">
          <w:rPr>
            <w:rStyle w:val="Hyperlink"/>
            <w:rFonts w:cs="Arial"/>
            <w:szCs w:val="24"/>
          </w:rPr>
          <w:t>https://www.eeoc.gov/eeoc/publications/qa_vision.cfm</w:t>
        </w:r>
      </w:hyperlink>
      <w:r>
        <w:rPr>
          <w:rFonts w:ascii="Arial" w:hAnsi="Arial" w:cs="Arial"/>
          <w:szCs w:val="24"/>
        </w:rPr>
        <w:t>;</w:t>
      </w:r>
      <w:r w:rsidRPr="008920BA">
        <w:rPr>
          <w:rFonts w:ascii="Arial" w:hAnsi="Arial" w:cs="Arial"/>
          <w:szCs w:val="24"/>
        </w:rPr>
        <w:t xml:space="preserve"> </w:t>
      </w:r>
      <w:r>
        <w:rPr>
          <w:rFonts w:ascii="Arial" w:hAnsi="Arial" w:cs="Arial"/>
          <w:szCs w:val="24"/>
        </w:rPr>
        <w:t>“</w:t>
      </w:r>
      <w:r w:rsidRPr="001A456E">
        <w:rPr>
          <w:rFonts w:ascii="Arial" w:hAnsi="Arial" w:cs="Arial"/>
          <w:szCs w:val="24"/>
        </w:rPr>
        <w:t>Questions &amp; Answers About Diabetes in the Workplace and the Americans with Disabilities Act (ADA)</w:t>
      </w:r>
      <w:r>
        <w:rPr>
          <w:rFonts w:ascii="Arial" w:hAnsi="Arial" w:cs="Arial"/>
          <w:szCs w:val="24"/>
        </w:rPr>
        <w:t>,”</w:t>
      </w:r>
      <w:r w:rsidRPr="008920BA" w:rsidDel="00FE7A31">
        <w:rPr>
          <w:rFonts w:ascii="Arial" w:hAnsi="Arial" w:cs="Arial"/>
          <w:szCs w:val="24"/>
        </w:rPr>
        <w:t xml:space="preserve"> </w:t>
      </w:r>
      <w:hyperlink r:id="rId15" w:tooltip="https://www.eeoc.gov/laws/types/diabetes.cfm" w:history="1">
        <w:r w:rsidRPr="0032098F">
          <w:rPr>
            <w:rStyle w:val="Hyperlink"/>
            <w:rFonts w:cs="Arial"/>
            <w:szCs w:val="24"/>
          </w:rPr>
          <w:t>https://www.eeoc.gov/laws/types/diabetes.cfm</w:t>
        </w:r>
      </w:hyperlink>
      <w:r>
        <w:rPr>
          <w:rStyle w:val="Hyperlink"/>
          <w:rFonts w:cs="Arial"/>
          <w:szCs w:val="24"/>
        </w:rPr>
        <w:t>;</w:t>
      </w:r>
      <w:r>
        <w:rPr>
          <w:rFonts w:ascii="Arial" w:hAnsi="Arial" w:cs="Arial"/>
          <w:szCs w:val="24"/>
        </w:rPr>
        <w:t xml:space="preserve"> “</w:t>
      </w:r>
      <w:r w:rsidRPr="001A456E">
        <w:rPr>
          <w:rFonts w:ascii="Arial" w:hAnsi="Arial" w:cs="Arial"/>
          <w:szCs w:val="24"/>
        </w:rPr>
        <w:t>Questions &amp; Answers About Epilepsy in the Workplace and the Americans with Disabilities Act (ADA)</w:t>
      </w:r>
      <w:r>
        <w:rPr>
          <w:rFonts w:ascii="Arial" w:hAnsi="Arial" w:cs="Arial"/>
          <w:szCs w:val="24"/>
        </w:rPr>
        <w:t xml:space="preserve">,” </w:t>
      </w:r>
      <w:hyperlink r:id="rId16" w:tooltip="https://www.eeoc.gov/laws/types/epilepsy.cfm" w:history="1">
        <w:r w:rsidRPr="008920BA">
          <w:rPr>
            <w:rStyle w:val="Hyperlink"/>
            <w:rFonts w:cs="Arial"/>
            <w:szCs w:val="24"/>
          </w:rPr>
          <w:t>https://www.eeoc.gov/laws/types/epilepsy.cfm</w:t>
        </w:r>
      </w:hyperlink>
      <w:r>
        <w:rPr>
          <w:rFonts w:ascii="Arial" w:hAnsi="Arial" w:cs="Arial"/>
          <w:szCs w:val="24"/>
        </w:rPr>
        <w:t>; “</w:t>
      </w:r>
      <w:r w:rsidRPr="001A456E">
        <w:rPr>
          <w:rFonts w:ascii="Arial" w:hAnsi="Arial" w:cs="Arial"/>
          <w:szCs w:val="24"/>
        </w:rPr>
        <w:t>Questions &amp; Answers About Persons with Intellectual Disabilities in the Workplace and the Americans with Disabilities Act (ADA)</w:t>
      </w:r>
      <w:r>
        <w:rPr>
          <w:rFonts w:ascii="Arial" w:hAnsi="Arial" w:cs="Arial"/>
          <w:szCs w:val="24"/>
        </w:rPr>
        <w:t xml:space="preserve">,” </w:t>
      </w:r>
      <w:hyperlink r:id="rId17" w:tooltip="https://www.eeoc.gov/laws/types/intellectual_disabilities.cfm" w:history="1">
        <w:r w:rsidRPr="008920BA">
          <w:rPr>
            <w:rStyle w:val="Hyperlink"/>
            <w:rFonts w:cs="Arial"/>
            <w:szCs w:val="24"/>
          </w:rPr>
          <w:t>https://www.eeoc.gov/laws/types/intellectual_disabilities.cfm</w:t>
        </w:r>
      </w:hyperlink>
      <w:r>
        <w:rPr>
          <w:rFonts w:ascii="Arial" w:hAnsi="Arial" w:cs="Arial"/>
          <w:szCs w:val="24"/>
        </w:rPr>
        <w:t>;</w:t>
      </w:r>
      <w:r w:rsidRPr="008920BA">
        <w:rPr>
          <w:rFonts w:ascii="Arial" w:hAnsi="Arial" w:cs="Arial"/>
          <w:szCs w:val="24"/>
        </w:rPr>
        <w:t xml:space="preserve"> </w:t>
      </w:r>
      <w:r>
        <w:rPr>
          <w:rFonts w:ascii="Arial" w:hAnsi="Arial" w:cs="Arial"/>
          <w:szCs w:val="24"/>
        </w:rPr>
        <w:t>“</w:t>
      </w:r>
      <w:r w:rsidRPr="001A456E">
        <w:rPr>
          <w:rFonts w:ascii="Arial" w:hAnsi="Arial" w:cs="Arial"/>
          <w:szCs w:val="24"/>
        </w:rPr>
        <w:t>Questions &amp; Answers About Cancer in the Workplace and the Americans with Disabilities Act (ADA)</w:t>
      </w:r>
      <w:r>
        <w:rPr>
          <w:rFonts w:ascii="Arial" w:hAnsi="Arial" w:cs="Arial"/>
          <w:szCs w:val="24"/>
        </w:rPr>
        <w:t xml:space="preserve">,” </w:t>
      </w:r>
      <w:hyperlink r:id="rId18" w:tooltip="https://www.eeoc.gov/laws/types/cancer.cfm" w:history="1">
        <w:r w:rsidRPr="008920BA">
          <w:rPr>
            <w:rStyle w:val="Hyperlink"/>
            <w:rFonts w:cs="Arial"/>
            <w:szCs w:val="24"/>
          </w:rPr>
          <w:t>https://www.eeoc.gov/laws/types/cancer.cfm</w:t>
        </w:r>
      </w:hyperlink>
      <w:r>
        <w:rPr>
          <w:rStyle w:val="Hyperlink"/>
          <w:rFonts w:cs="Arial"/>
          <w:szCs w:val="24"/>
        </w:rPr>
        <w:t>;</w:t>
      </w:r>
      <w:r>
        <w:rPr>
          <w:rStyle w:val="Hyperlink"/>
          <w:rFonts w:cs="Arial"/>
          <w:szCs w:val="24"/>
          <w:u w:val="none"/>
        </w:rPr>
        <w:t xml:space="preserve"> </w:t>
      </w:r>
      <w:r w:rsidRPr="009D3737">
        <w:rPr>
          <w:rStyle w:val="Hyperlink"/>
          <w:rFonts w:cs="Arial"/>
          <w:color w:val="auto"/>
          <w:szCs w:val="24"/>
          <w:u w:val="none"/>
        </w:rPr>
        <w:t>““</w:t>
      </w:r>
      <w:r>
        <w:rPr>
          <w:rStyle w:val="Hyperlink"/>
          <w:rFonts w:cs="Arial"/>
          <w:color w:val="auto"/>
          <w:szCs w:val="24"/>
          <w:u w:val="none"/>
        </w:rPr>
        <w:t>D</w:t>
      </w:r>
      <w:r w:rsidRPr="001A456E">
        <w:rPr>
          <w:rStyle w:val="Hyperlink"/>
          <w:rFonts w:cs="Arial"/>
          <w:color w:val="auto"/>
          <w:szCs w:val="24"/>
          <w:u w:val="none"/>
        </w:rPr>
        <w:t>epression, PTSD, &amp; Other Mental Health Conditions in the Workplace: Your Legal Rights</w:t>
      </w:r>
      <w:r>
        <w:rPr>
          <w:rStyle w:val="Hyperlink"/>
          <w:rFonts w:cs="Arial"/>
          <w:color w:val="auto"/>
          <w:szCs w:val="24"/>
          <w:u w:val="none"/>
        </w:rPr>
        <w:t>,”</w:t>
      </w:r>
      <w:r w:rsidRPr="0092497A">
        <w:rPr>
          <w:rStyle w:val="Hyperlink"/>
          <w:rFonts w:cs="Arial"/>
          <w:color w:val="auto"/>
          <w:szCs w:val="24"/>
          <w:u w:val="none"/>
        </w:rPr>
        <w:t xml:space="preserve"> </w:t>
      </w:r>
      <w:hyperlink r:id="rId19" w:tooltip="https://www.eeoc.gov/eeoc/publications/mental_health.cfm" w:history="1">
        <w:r w:rsidRPr="008920BA">
          <w:rPr>
            <w:rStyle w:val="Hyperlink"/>
            <w:rFonts w:cs="Arial"/>
            <w:szCs w:val="24"/>
          </w:rPr>
          <w:t>https://www.eeoc.gov/eeoc/publications/mental_health.cfm</w:t>
        </w:r>
      </w:hyperlink>
      <w:r>
        <w:rPr>
          <w:rStyle w:val="Hyperlink"/>
          <w:rFonts w:cs="Arial"/>
          <w:szCs w:val="24"/>
        </w:rPr>
        <w:t>.</w:t>
      </w:r>
    </w:p>
  </w:endnote>
  <w:endnote w:id="29">
    <w:p w14:paraId="7F6E3CC6" w14:textId="0163761E" w:rsidR="005E3498" w:rsidRPr="007A73BA" w:rsidRDefault="005E3498" w:rsidP="00BA0761">
      <w:pPr>
        <w:pStyle w:val="EndnoteText"/>
        <w:rPr>
          <w:rFonts w:cs="Arial"/>
          <w:szCs w:val="24"/>
        </w:rPr>
      </w:pPr>
      <w:r>
        <w:rPr>
          <w:rStyle w:val="EndnoteReference"/>
        </w:rPr>
        <w:endnoteRef/>
      </w:r>
      <w:r>
        <w:t xml:space="preserve"> </w:t>
      </w:r>
      <w:r w:rsidRPr="007A73BA">
        <w:rPr>
          <w:rFonts w:cs="Arial"/>
          <w:szCs w:val="24"/>
        </w:rPr>
        <w:t>U.S. Equal Employment Opportunity Commission</w:t>
      </w:r>
      <w:r>
        <w:rPr>
          <w:rFonts w:cs="Arial"/>
          <w:szCs w:val="24"/>
        </w:rPr>
        <w:t>.</w:t>
      </w:r>
      <w:r w:rsidRPr="007A73BA">
        <w:rPr>
          <w:rFonts w:cs="Arial"/>
          <w:szCs w:val="24"/>
        </w:rPr>
        <w:t xml:space="preserve"> </w:t>
      </w:r>
      <w:r>
        <w:rPr>
          <w:rFonts w:cs="Arial"/>
          <w:szCs w:val="24"/>
        </w:rPr>
        <w:t>“</w:t>
      </w:r>
      <w:r w:rsidRPr="007A73BA">
        <w:rPr>
          <w:rFonts w:cs="Arial"/>
          <w:szCs w:val="24"/>
        </w:rPr>
        <w:t>The Mental Health Provider</w:t>
      </w:r>
      <w:r>
        <w:rPr>
          <w:rFonts w:cs="Arial"/>
          <w:szCs w:val="24"/>
        </w:rPr>
        <w:t>’</w:t>
      </w:r>
      <w:r w:rsidRPr="007A73BA">
        <w:rPr>
          <w:rFonts w:cs="Arial"/>
          <w:szCs w:val="24"/>
        </w:rPr>
        <w:t>s Role in a Client</w:t>
      </w:r>
      <w:r>
        <w:rPr>
          <w:rFonts w:cs="Arial"/>
          <w:szCs w:val="24"/>
        </w:rPr>
        <w:t>’</w:t>
      </w:r>
      <w:r w:rsidRPr="007A73BA">
        <w:rPr>
          <w:rFonts w:cs="Arial"/>
          <w:szCs w:val="24"/>
        </w:rPr>
        <w:t>s Request for a R</w:t>
      </w:r>
      <w:r>
        <w:rPr>
          <w:rFonts w:cs="Arial"/>
          <w:szCs w:val="24"/>
        </w:rPr>
        <w:t xml:space="preserve">easonable Accommodation at Work.” </w:t>
      </w:r>
      <w:hyperlink r:id="rId20" w:tooltip="https://www.eeoc.gov/eeoc/publications/ada_mental_health_provider.cfm" w:history="1">
        <w:r w:rsidRPr="007A73BA">
          <w:rPr>
            <w:rStyle w:val="Hyperlink"/>
            <w:rFonts w:cs="Arial"/>
            <w:szCs w:val="24"/>
          </w:rPr>
          <w:t>https://www.eeoc.gov/eeoc/publications/ada_mental_health_provider.cfm</w:t>
        </w:r>
      </w:hyperlink>
      <w:r w:rsidRPr="007A73BA">
        <w:rPr>
          <w:rFonts w:cs="Arial"/>
          <w:szCs w:val="24"/>
        </w:rPr>
        <w:t xml:space="preserve">. </w:t>
      </w:r>
      <w:r w:rsidRPr="00F370C7">
        <w:rPr>
          <w:rFonts w:cs="Arial"/>
          <w:szCs w:val="24"/>
        </w:rPr>
        <w:t xml:space="preserve">(Accessed June 25, </w:t>
      </w:r>
      <w:r>
        <w:rPr>
          <w:rFonts w:cs="Arial"/>
          <w:szCs w:val="24"/>
        </w:rPr>
        <w:t>2018).</w:t>
      </w:r>
    </w:p>
  </w:endnote>
  <w:endnote w:id="30">
    <w:p w14:paraId="431E73C9" w14:textId="77777777" w:rsidR="005E3498" w:rsidRPr="008920BA" w:rsidRDefault="005E3498" w:rsidP="00BA0761">
      <w:pPr>
        <w:pStyle w:val="EndnoteText"/>
        <w:rPr>
          <w:rFonts w:cs="Arial"/>
          <w:szCs w:val="24"/>
        </w:rPr>
      </w:pPr>
      <w:r w:rsidRPr="008920BA">
        <w:rPr>
          <w:rStyle w:val="EndnoteReference"/>
          <w:rFonts w:cs="Arial"/>
          <w:szCs w:val="24"/>
        </w:rPr>
        <w:endnoteRef/>
      </w:r>
      <w:r>
        <w:rPr>
          <w:rFonts w:cs="Arial"/>
          <w:szCs w:val="24"/>
        </w:rPr>
        <w:t xml:space="preserve"> </w:t>
      </w:r>
      <w:r>
        <w:rPr>
          <w:rFonts w:cs="Arial"/>
          <w:szCs w:val="24"/>
        </w:rPr>
        <w:t>75 Fed.</w:t>
      </w:r>
      <w:r w:rsidRPr="008920BA">
        <w:rPr>
          <w:rFonts w:cs="Arial"/>
          <w:szCs w:val="24"/>
        </w:rPr>
        <w:t xml:space="preserve"> Reg. 68</w:t>
      </w:r>
      <w:r>
        <w:rPr>
          <w:rFonts w:cs="Arial"/>
          <w:szCs w:val="24"/>
        </w:rPr>
        <w:t>,</w:t>
      </w:r>
      <w:r w:rsidRPr="008920BA">
        <w:rPr>
          <w:rFonts w:cs="Arial"/>
          <w:szCs w:val="24"/>
        </w:rPr>
        <w:t>912</w:t>
      </w:r>
      <w:r>
        <w:rPr>
          <w:rFonts w:cs="Arial"/>
          <w:szCs w:val="24"/>
        </w:rPr>
        <w:t xml:space="preserve"> (Nov. 9, 2010).</w:t>
      </w:r>
    </w:p>
  </w:endnote>
  <w:endnote w:id="31">
    <w:p w14:paraId="024CC99A" w14:textId="77777777" w:rsidR="005E3498" w:rsidRPr="0040350B"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C557F">
        <w:rPr>
          <w:rFonts w:cs="Arial"/>
          <w:szCs w:val="24"/>
        </w:rPr>
        <w:t>Ibid.</w:t>
      </w:r>
      <w:r w:rsidRPr="0040350B">
        <w:t xml:space="preserve"> </w:t>
      </w:r>
    </w:p>
  </w:endnote>
  <w:endnote w:id="32">
    <w:p w14:paraId="56DEDBC8" w14:textId="77777777" w:rsidR="005E3498" w:rsidRPr="008C557F" w:rsidRDefault="005E3498" w:rsidP="00BA0761">
      <w:pPr>
        <w:pStyle w:val="EndnoteText"/>
        <w:rPr>
          <w:rFonts w:cs="Arial"/>
          <w:szCs w:val="24"/>
        </w:rPr>
      </w:pPr>
      <w:r w:rsidRPr="008C557F">
        <w:rPr>
          <w:rStyle w:val="EndnoteReference"/>
          <w:rFonts w:cs="Arial"/>
          <w:szCs w:val="24"/>
        </w:rPr>
        <w:endnoteRef/>
      </w:r>
      <w:r w:rsidRPr="008C557F">
        <w:rPr>
          <w:rFonts w:cs="Arial"/>
          <w:szCs w:val="24"/>
        </w:rPr>
        <w:t xml:space="preserve"> Ibid.</w:t>
      </w:r>
    </w:p>
  </w:endnote>
  <w:endnote w:id="33">
    <w:p w14:paraId="3EA26266" w14:textId="77777777" w:rsidR="005E3498" w:rsidRPr="008C557F" w:rsidRDefault="005E3498" w:rsidP="00BA0761">
      <w:pPr>
        <w:pStyle w:val="EndnoteText"/>
        <w:rPr>
          <w:rFonts w:cs="Arial"/>
          <w:szCs w:val="24"/>
        </w:rPr>
      </w:pPr>
      <w:r w:rsidRPr="008C557F">
        <w:rPr>
          <w:rStyle w:val="EndnoteReference"/>
          <w:rFonts w:cs="Arial"/>
          <w:szCs w:val="24"/>
        </w:rPr>
        <w:endnoteRef/>
      </w:r>
      <w:r w:rsidRPr="008C557F">
        <w:rPr>
          <w:rFonts w:cs="Arial"/>
          <w:szCs w:val="24"/>
        </w:rPr>
        <w:t xml:space="preserve"> Ibid.</w:t>
      </w:r>
    </w:p>
  </w:endnote>
  <w:endnote w:id="34">
    <w:p w14:paraId="76A5AC42" w14:textId="77777777" w:rsidR="005E3498" w:rsidRDefault="005E3498" w:rsidP="00BA0761">
      <w:pPr>
        <w:pStyle w:val="EndnoteText"/>
      </w:pPr>
      <w:r>
        <w:rPr>
          <w:rStyle w:val="EndnoteReference"/>
        </w:rPr>
        <w:endnoteRef/>
      </w:r>
      <w:r>
        <w:t xml:space="preserve"> </w:t>
      </w:r>
      <w:r w:rsidRPr="008C557F">
        <w:rPr>
          <w:rFonts w:cs="Arial"/>
          <w:szCs w:val="24"/>
        </w:rPr>
        <w:t>AARP v. EEOC</w:t>
      </w:r>
      <w:r w:rsidRPr="00362BAA">
        <w:rPr>
          <w:rFonts w:cs="Arial"/>
          <w:szCs w:val="24"/>
        </w:rPr>
        <w:t>,</w:t>
      </w:r>
      <w:r w:rsidRPr="00BB16B0">
        <w:rPr>
          <w:rFonts w:cs="Arial"/>
          <w:szCs w:val="24"/>
        </w:rPr>
        <w:t xml:space="preserve"> 267 F.Supp.3d 14, 20</w:t>
      </w:r>
      <w:r>
        <w:rPr>
          <w:rFonts w:cs="Arial"/>
          <w:szCs w:val="24"/>
        </w:rPr>
        <w:t xml:space="preserve"> (D.D.C. 2017)</w:t>
      </w:r>
      <w:r w:rsidRPr="00BB16B0">
        <w:rPr>
          <w:rFonts w:cs="Arial"/>
          <w:szCs w:val="24"/>
        </w:rPr>
        <w:t>.</w:t>
      </w:r>
    </w:p>
  </w:endnote>
  <w:endnote w:id="35">
    <w:p w14:paraId="4CCE4B93" w14:textId="77777777" w:rsidR="005E3498" w:rsidRDefault="005E3498" w:rsidP="00BA0761">
      <w:pPr>
        <w:pStyle w:val="EndnoteText"/>
      </w:pPr>
      <w:r>
        <w:rPr>
          <w:rStyle w:val="EndnoteReference"/>
        </w:rPr>
        <w:endnoteRef/>
      </w:r>
      <w:r>
        <w:t xml:space="preserve"> </w:t>
      </w:r>
      <w:r w:rsidRPr="0072531C">
        <w:rPr>
          <w:rFonts w:cs="Arial"/>
          <w:szCs w:val="24"/>
        </w:rPr>
        <w:t>Ibid.</w:t>
      </w:r>
      <w:r w:rsidRPr="00BB16B0">
        <w:rPr>
          <w:rFonts w:cs="Arial"/>
          <w:szCs w:val="24"/>
        </w:rPr>
        <w:t xml:space="preserve"> Specifically, the Affordable Care Act amended the Health Insurance Portability and Accountability Act (HIPAA).</w:t>
      </w:r>
    </w:p>
  </w:endnote>
  <w:endnote w:id="36">
    <w:p w14:paraId="213619F3"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81 Fed. Reg. 31</w:t>
      </w:r>
      <w:r>
        <w:rPr>
          <w:rFonts w:cs="Arial"/>
          <w:szCs w:val="24"/>
        </w:rPr>
        <w:t>,</w:t>
      </w:r>
      <w:r w:rsidRPr="008920BA">
        <w:rPr>
          <w:rFonts w:cs="Arial"/>
          <w:szCs w:val="24"/>
        </w:rPr>
        <w:t>143</w:t>
      </w:r>
      <w:r>
        <w:rPr>
          <w:rFonts w:cs="Arial"/>
          <w:szCs w:val="24"/>
        </w:rPr>
        <w:t xml:space="preserve"> &amp;</w:t>
      </w:r>
      <w:r w:rsidRPr="008920BA">
        <w:rPr>
          <w:rFonts w:cs="Arial"/>
          <w:szCs w:val="24"/>
        </w:rPr>
        <w:t xml:space="preserve"> 31</w:t>
      </w:r>
      <w:r>
        <w:rPr>
          <w:rFonts w:cs="Arial"/>
          <w:szCs w:val="24"/>
        </w:rPr>
        <w:t>,</w:t>
      </w:r>
      <w:r w:rsidRPr="008920BA">
        <w:rPr>
          <w:rFonts w:cs="Arial"/>
          <w:szCs w:val="24"/>
        </w:rPr>
        <w:t>126</w:t>
      </w:r>
      <w:r>
        <w:rPr>
          <w:rFonts w:cs="Arial"/>
          <w:szCs w:val="24"/>
        </w:rPr>
        <w:t xml:space="preserve"> (May 17, 2016).</w:t>
      </w:r>
    </w:p>
  </w:endnote>
  <w:endnote w:id="37">
    <w:p w14:paraId="338E470F"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C557F">
        <w:rPr>
          <w:rFonts w:cs="Arial"/>
          <w:szCs w:val="24"/>
        </w:rPr>
        <w:t>Ibid.</w:t>
      </w:r>
    </w:p>
  </w:endnote>
  <w:endnote w:id="38">
    <w:p w14:paraId="7448E4BC" w14:textId="1BB8E56E" w:rsidR="005E3498" w:rsidRPr="00BB16B0" w:rsidRDefault="005E3498" w:rsidP="00BA0761">
      <w:pPr>
        <w:pStyle w:val="EndnoteText"/>
        <w:rPr>
          <w:rFonts w:cs="Arial"/>
          <w:szCs w:val="24"/>
        </w:rPr>
      </w:pPr>
      <w:r w:rsidRPr="008C557F">
        <w:rPr>
          <w:rStyle w:val="EndnoteReference"/>
        </w:rPr>
        <w:endnoteRef/>
      </w:r>
      <w:r w:rsidRPr="008C557F">
        <w:t xml:space="preserve"> </w:t>
      </w:r>
      <w:r w:rsidRPr="008C557F">
        <w:rPr>
          <w:rFonts w:cs="Arial"/>
          <w:szCs w:val="24"/>
        </w:rPr>
        <w:t>AARP</w:t>
      </w:r>
      <w:r w:rsidRPr="00631E24">
        <w:rPr>
          <w:rFonts w:cs="Arial"/>
          <w:i/>
          <w:szCs w:val="24"/>
        </w:rPr>
        <w:t xml:space="preserve">, </w:t>
      </w:r>
      <w:r w:rsidRPr="00BB16B0">
        <w:rPr>
          <w:rFonts w:cs="Arial"/>
          <w:szCs w:val="24"/>
        </w:rPr>
        <w:t xml:space="preserve">267 F.Supp.3d </w:t>
      </w:r>
      <w:r>
        <w:rPr>
          <w:rFonts w:cs="Arial"/>
          <w:szCs w:val="24"/>
        </w:rPr>
        <w:t xml:space="preserve">at </w:t>
      </w:r>
      <w:r w:rsidRPr="00BB16B0">
        <w:rPr>
          <w:rFonts w:cs="Arial"/>
          <w:szCs w:val="24"/>
        </w:rPr>
        <w:t>21</w:t>
      </w:r>
      <w:r>
        <w:rPr>
          <w:rFonts w:cs="Arial"/>
          <w:szCs w:val="24"/>
        </w:rPr>
        <w:t>.</w:t>
      </w:r>
    </w:p>
  </w:endnote>
  <w:endnote w:id="39">
    <w:p w14:paraId="2B7BFBC8" w14:textId="04818315" w:rsidR="005E3498" w:rsidRPr="008920BA" w:rsidRDefault="005E3498" w:rsidP="00BA0761">
      <w:pPr>
        <w:pStyle w:val="EndnoteText"/>
        <w:rPr>
          <w:rFonts w:cs="Arial"/>
          <w:szCs w:val="24"/>
        </w:rPr>
      </w:pPr>
      <w:r w:rsidRPr="008C557F">
        <w:rPr>
          <w:rStyle w:val="EndnoteReference"/>
          <w:rFonts w:cs="Arial"/>
          <w:szCs w:val="24"/>
        </w:rPr>
        <w:endnoteRef/>
      </w:r>
      <w:r w:rsidRPr="008C557F">
        <w:rPr>
          <w:rFonts w:cs="Arial"/>
          <w:szCs w:val="24"/>
        </w:rPr>
        <w:t xml:space="preserve"> Ibid</w:t>
      </w:r>
      <w:r w:rsidRPr="00631E24">
        <w:rPr>
          <w:rFonts w:cs="Arial"/>
          <w:i/>
          <w:szCs w:val="24"/>
        </w:rPr>
        <w:t>.</w:t>
      </w:r>
    </w:p>
  </w:endnote>
  <w:endnote w:id="40">
    <w:p w14:paraId="4E76E852" w14:textId="77777777" w:rsidR="005E3498" w:rsidRPr="000424A3" w:rsidRDefault="005E3498" w:rsidP="00BA0761">
      <w:pPr>
        <w:pStyle w:val="EndnoteText"/>
      </w:pPr>
      <w:r>
        <w:rPr>
          <w:rStyle w:val="EndnoteReference"/>
        </w:rPr>
        <w:endnoteRef/>
      </w:r>
      <w:r>
        <w:t xml:space="preserve"> </w:t>
      </w:r>
      <w:r w:rsidRPr="000424A3">
        <w:rPr>
          <w:rFonts w:cs="Arial"/>
          <w:szCs w:val="24"/>
        </w:rPr>
        <w:t>29 U.S.C.</w:t>
      </w:r>
      <w:r>
        <w:rPr>
          <w:rFonts w:cs="Arial"/>
          <w:szCs w:val="24"/>
        </w:rPr>
        <w:t xml:space="preserve"> §</w:t>
      </w:r>
      <w:r w:rsidRPr="000424A3">
        <w:rPr>
          <w:rFonts w:cs="Arial"/>
          <w:szCs w:val="24"/>
        </w:rPr>
        <w:t xml:space="preserve"> 791</w:t>
      </w:r>
      <w:r>
        <w:rPr>
          <w:rFonts w:cs="Arial"/>
          <w:szCs w:val="24"/>
        </w:rPr>
        <w:t>.</w:t>
      </w:r>
    </w:p>
  </w:endnote>
  <w:endnote w:id="41">
    <w:p w14:paraId="42BB6243" w14:textId="36C555F8" w:rsidR="005E3498" w:rsidRPr="0011139E" w:rsidRDefault="005E3498" w:rsidP="00BA0761">
      <w:pPr>
        <w:pStyle w:val="EndnoteText"/>
        <w:rPr>
          <w:rStyle w:val="paperstitle1"/>
          <w:rFonts w:ascii="Arial" w:hAnsi="Arial" w:cs="Arial"/>
          <w:b w:val="0"/>
          <w:bCs w:val="0"/>
          <w:color w:val="auto"/>
          <w:szCs w:val="24"/>
        </w:rPr>
      </w:pPr>
      <w:r w:rsidRPr="00556403">
        <w:rPr>
          <w:rStyle w:val="EndnoteReference"/>
        </w:rPr>
        <w:endnoteRef/>
      </w:r>
      <w:r w:rsidRPr="00556403">
        <w:t xml:space="preserve"> </w:t>
      </w:r>
      <w:r w:rsidRPr="0011139E">
        <w:rPr>
          <w:rStyle w:val="paperstitle1"/>
          <w:rFonts w:ascii="Arial" w:hAnsi="Arial" w:cs="Arial"/>
          <w:b w:val="0"/>
          <w:bCs w:val="0"/>
          <w:color w:val="auto"/>
          <w:szCs w:val="24"/>
        </w:rPr>
        <w:t>Executive Order 13548 (July 26, 2010).</w:t>
      </w:r>
    </w:p>
  </w:endnote>
  <w:endnote w:id="42">
    <w:p w14:paraId="29B58154"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79 Fed. Reg. 27</w:t>
      </w:r>
      <w:r>
        <w:rPr>
          <w:rFonts w:cs="Arial"/>
          <w:szCs w:val="24"/>
        </w:rPr>
        <w:t>,</w:t>
      </w:r>
      <w:r w:rsidRPr="008920BA">
        <w:rPr>
          <w:rFonts w:cs="Arial"/>
          <w:szCs w:val="24"/>
        </w:rPr>
        <w:t>824</w:t>
      </w:r>
      <w:r>
        <w:rPr>
          <w:rFonts w:cs="Arial"/>
          <w:szCs w:val="24"/>
        </w:rPr>
        <w:t xml:space="preserve"> (May 15, 2014).</w:t>
      </w:r>
    </w:p>
  </w:endnote>
  <w:endnote w:id="43">
    <w:p w14:paraId="332F36F4"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8</w:t>
      </w:r>
      <w:r>
        <w:rPr>
          <w:rFonts w:cs="Arial"/>
          <w:szCs w:val="24"/>
        </w:rPr>
        <w:t xml:space="preserve">1 </w:t>
      </w:r>
      <w:r w:rsidRPr="008920BA">
        <w:rPr>
          <w:rFonts w:cs="Arial"/>
          <w:szCs w:val="24"/>
        </w:rPr>
        <w:t>Fed. Reg.</w:t>
      </w:r>
      <w:r>
        <w:rPr>
          <w:rFonts w:cs="Arial"/>
          <w:szCs w:val="24"/>
        </w:rPr>
        <w:t xml:space="preserve"> 9,126 (Feb. 24, 2016).</w:t>
      </w:r>
    </w:p>
  </w:endnote>
  <w:endnote w:id="44">
    <w:p w14:paraId="355BF466"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82 Fed. Reg. 654</w:t>
      </w:r>
      <w:r>
        <w:rPr>
          <w:rFonts w:cs="Arial"/>
          <w:szCs w:val="24"/>
        </w:rPr>
        <w:t xml:space="preserve"> (Jan 3, 2017).</w:t>
      </w:r>
    </w:p>
  </w:endnote>
  <w:endnote w:id="45">
    <w:p w14:paraId="23BBCB04" w14:textId="31C8D64E"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C557F">
        <w:rPr>
          <w:rFonts w:cs="Arial"/>
          <w:szCs w:val="24"/>
        </w:rPr>
        <w:t>Ibid.</w:t>
      </w:r>
      <w:r w:rsidRPr="00D75CA1">
        <w:t xml:space="preserve"> </w:t>
      </w:r>
      <w:r w:rsidRPr="00D75CA1">
        <w:rPr>
          <w:rFonts w:cs="Arial"/>
          <w:szCs w:val="24"/>
        </w:rPr>
        <w:t xml:space="preserve">Personal assistance services are services that help someone perform basic activities </w:t>
      </w:r>
      <w:r>
        <w:rPr>
          <w:rFonts w:cs="Arial"/>
          <w:szCs w:val="24"/>
        </w:rPr>
        <w:t>such as</w:t>
      </w:r>
      <w:r w:rsidRPr="00D75CA1">
        <w:rPr>
          <w:rFonts w:cs="Arial"/>
          <w:szCs w:val="24"/>
        </w:rPr>
        <w:t xml:space="preserve"> eating and using the restroom. They are not the same as s</w:t>
      </w:r>
      <w:r>
        <w:rPr>
          <w:rFonts w:cs="Arial"/>
          <w:szCs w:val="24"/>
        </w:rPr>
        <w:t>ervices that help the person</w:t>
      </w:r>
      <w:r w:rsidRPr="00D75CA1">
        <w:rPr>
          <w:rFonts w:cs="Arial"/>
          <w:szCs w:val="24"/>
        </w:rPr>
        <w:t xml:space="preserve"> perform job-related tasks, such as sign lang</w:t>
      </w:r>
      <w:r>
        <w:rPr>
          <w:rFonts w:cs="Arial"/>
          <w:szCs w:val="24"/>
        </w:rPr>
        <w:t>uage interpreters or readers for person</w:t>
      </w:r>
      <w:r w:rsidRPr="00D75CA1">
        <w:rPr>
          <w:rFonts w:cs="Arial"/>
          <w:szCs w:val="24"/>
        </w:rPr>
        <w:t>s who are blind or have learning disabilities</w:t>
      </w:r>
      <w:r>
        <w:rPr>
          <w:rFonts w:cs="Arial"/>
          <w:szCs w:val="24"/>
        </w:rPr>
        <w:t>.</w:t>
      </w:r>
    </w:p>
  </w:endnote>
  <w:endnote w:id="46">
    <w:p w14:paraId="766829BF" w14:textId="13E97365"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National Coun</w:t>
      </w:r>
      <w:r>
        <w:rPr>
          <w:rFonts w:cs="Arial"/>
          <w:szCs w:val="24"/>
        </w:rPr>
        <w:t>cil</w:t>
      </w:r>
      <w:r w:rsidRPr="008920BA">
        <w:rPr>
          <w:rFonts w:cs="Arial"/>
          <w:szCs w:val="24"/>
        </w:rPr>
        <w:t xml:space="preserve"> on Disability</w:t>
      </w:r>
      <w:r>
        <w:rPr>
          <w:rFonts w:cs="Arial"/>
          <w:szCs w:val="24"/>
        </w:rPr>
        <w:t>.</w:t>
      </w:r>
      <w:r w:rsidRPr="008920BA">
        <w:rPr>
          <w:rFonts w:cs="Arial"/>
          <w:szCs w:val="24"/>
        </w:rPr>
        <w:t xml:space="preserve"> </w:t>
      </w:r>
      <w:r w:rsidRPr="00631E24">
        <w:rPr>
          <w:rFonts w:cs="Arial"/>
          <w:i/>
          <w:szCs w:val="24"/>
        </w:rPr>
        <w:t>Promises to Keep,</w:t>
      </w:r>
      <w:r w:rsidRPr="008920BA">
        <w:rPr>
          <w:rFonts w:cs="Arial"/>
          <w:szCs w:val="24"/>
        </w:rPr>
        <w:t xml:space="preserve"> 163.</w:t>
      </w:r>
    </w:p>
  </w:endnote>
  <w:endnote w:id="47">
    <w:p w14:paraId="151687AA" w14:textId="76FEB6C8"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556403">
        <w:rPr>
          <w:rFonts w:cs="Arial"/>
          <w:szCs w:val="24"/>
        </w:rPr>
        <w:t>U.S. Equal Employment Opportunity</w:t>
      </w:r>
      <w:r w:rsidRPr="00F77D72">
        <w:rPr>
          <w:rFonts w:cs="Arial"/>
          <w:szCs w:val="24"/>
        </w:rPr>
        <w:t xml:space="preserve">. </w:t>
      </w:r>
      <w:r w:rsidRPr="00631E24">
        <w:rPr>
          <w:rFonts w:cs="Arial"/>
          <w:i/>
          <w:szCs w:val="24"/>
        </w:rPr>
        <w:t xml:space="preserve">Strategic Plan: FY 2018–2022, </w:t>
      </w:r>
      <w:r w:rsidRPr="00F77D72">
        <w:rPr>
          <w:rFonts w:cs="Arial"/>
          <w:szCs w:val="24"/>
        </w:rPr>
        <w:t xml:space="preserve">2. </w:t>
      </w:r>
      <w:hyperlink r:id="rId21" w:tooltip="https://www.eeoc.gov/eeoc/plan/strategic_plan_18-22.cfm" w:history="1">
        <w:r w:rsidRPr="00F77D72">
          <w:rPr>
            <w:rStyle w:val="Hyperlink"/>
            <w:rFonts w:cs="Arial"/>
            <w:szCs w:val="24"/>
          </w:rPr>
          <w:t>https://www.eeoc.gov/eeoc/plan/strategic_plan_18-22.cfm</w:t>
        </w:r>
      </w:hyperlink>
      <w:r w:rsidRPr="00556403">
        <w:rPr>
          <w:rStyle w:val="Hyperlink"/>
          <w:rFonts w:cs="Arial"/>
          <w:szCs w:val="24"/>
        </w:rPr>
        <w:t>.</w:t>
      </w:r>
      <w:r w:rsidRPr="00F77D72">
        <w:rPr>
          <w:rFonts w:cs="Arial"/>
          <w:szCs w:val="24"/>
        </w:rPr>
        <w:t xml:space="preserve"> </w:t>
      </w:r>
      <w:r w:rsidRPr="0011139E">
        <w:rPr>
          <w:rFonts w:cs="Arial"/>
          <w:szCs w:val="24"/>
        </w:rPr>
        <w:t xml:space="preserve">(Accessed June 25, </w:t>
      </w:r>
      <w:r>
        <w:rPr>
          <w:rFonts w:cs="Arial"/>
          <w:szCs w:val="24"/>
        </w:rPr>
        <w:t>2018).</w:t>
      </w:r>
    </w:p>
  </w:endnote>
  <w:endnote w:id="48">
    <w:p w14:paraId="1C5F413A" w14:textId="346A70C7" w:rsidR="005E3498" w:rsidRPr="00F77D72"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11139E">
        <w:rPr>
          <w:rFonts w:cs="Arial"/>
          <w:szCs w:val="24"/>
        </w:rPr>
        <w:t>Ibid</w:t>
      </w:r>
      <w:r w:rsidRPr="00631E24">
        <w:rPr>
          <w:rFonts w:cs="Arial"/>
          <w:i/>
          <w:szCs w:val="24"/>
        </w:rPr>
        <w:t>.</w:t>
      </w:r>
    </w:p>
  </w:endnote>
  <w:endnote w:id="49">
    <w:p w14:paraId="0D5617F4" w14:textId="6DED66BE"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556403">
        <w:rPr>
          <w:rFonts w:cs="Arial"/>
          <w:szCs w:val="24"/>
        </w:rPr>
        <w:t>U.S. Equal Employment Opportunity</w:t>
      </w:r>
      <w:r w:rsidRPr="00F77D72">
        <w:rPr>
          <w:rFonts w:cs="Arial"/>
          <w:szCs w:val="24"/>
        </w:rPr>
        <w:t xml:space="preserve">. </w:t>
      </w:r>
      <w:r w:rsidRPr="00631E24">
        <w:rPr>
          <w:rFonts w:cs="Arial"/>
          <w:i/>
          <w:szCs w:val="24"/>
        </w:rPr>
        <w:t>Strategic Plan: FY 2012–2016</w:t>
      </w:r>
      <w:r w:rsidRPr="00F77D72">
        <w:rPr>
          <w:rFonts w:cs="Arial"/>
          <w:szCs w:val="24"/>
        </w:rPr>
        <w:t xml:space="preserve">, 11. </w:t>
      </w:r>
      <w:hyperlink r:id="rId22" w:tooltip="https://www.eeoc.gov/eeoc/plan/strategic_plan_12to16.cfm" w:history="1">
        <w:r w:rsidRPr="00F77D72">
          <w:rPr>
            <w:rStyle w:val="Hyperlink"/>
            <w:rFonts w:cs="Arial"/>
            <w:szCs w:val="24"/>
          </w:rPr>
          <w:t>https://www.eeoc.gov/eeoc/plan/strategic_plan_12to16.cfm</w:t>
        </w:r>
      </w:hyperlink>
      <w:r w:rsidRPr="00556403">
        <w:rPr>
          <w:rStyle w:val="Hyperlink"/>
          <w:rFonts w:cs="Arial"/>
          <w:szCs w:val="24"/>
        </w:rPr>
        <w:t>.</w:t>
      </w:r>
      <w:r w:rsidRPr="0011139E">
        <w:rPr>
          <w:rFonts w:cs="Arial"/>
          <w:szCs w:val="24"/>
        </w:rPr>
        <w:t xml:space="preserve"> (Accessed June 25, </w:t>
      </w:r>
      <w:r>
        <w:rPr>
          <w:rFonts w:cs="Arial"/>
          <w:szCs w:val="24"/>
        </w:rPr>
        <w:t>2018).</w:t>
      </w:r>
      <w:r w:rsidRPr="0011139E">
        <w:rPr>
          <w:rFonts w:cs="Arial"/>
          <w:szCs w:val="24"/>
        </w:rPr>
        <w:t xml:space="preserve"> </w:t>
      </w:r>
    </w:p>
  </w:endnote>
  <w:endnote w:id="50">
    <w:p w14:paraId="3AE1A2DD" w14:textId="0D87B64D"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F77D72">
        <w:rPr>
          <w:rFonts w:cs="Arial"/>
          <w:szCs w:val="24"/>
        </w:rPr>
        <w:t xml:space="preserve">U.S. Equal Employment Opportunity Commission. </w:t>
      </w:r>
      <w:r w:rsidRPr="00631E24">
        <w:rPr>
          <w:rFonts w:cs="Arial"/>
          <w:i/>
          <w:szCs w:val="24"/>
        </w:rPr>
        <w:t>Strategic Enforcement Plan: FY 2017–2021</w:t>
      </w:r>
      <w:r w:rsidRPr="00F77D72">
        <w:rPr>
          <w:rFonts w:cs="Arial"/>
          <w:szCs w:val="24"/>
        </w:rPr>
        <w:t xml:space="preserve">, 6. </w:t>
      </w:r>
      <w:hyperlink r:id="rId23" w:tooltip="https://www.eeoc.gov/eeoc/plan/sep-2017.cfm" w:history="1">
        <w:r w:rsidRPr="00F77D72">
          <w:rPr>
            <w:rStyle w:val="Hyperlink"/>
            <w:rFonts w:cs="Arial"/>
            <w:szCs w:val="24"/>
          </w:rPr>
          <w:t>https://www.eeoc.gov/eeoc/plan/sep-2017.cfm</w:t>
        </w:r>
      </w:hyperlink>
      <w:r w:rsidRPr="00556403">
        <w:rPr>
          <w:rFonts w:cs="Arial"/>
          <w:szCs w:val="24"/>
        </w:rPr>
        <w:t>.</w:t>
      </w:r>
      <w:r w:rsidRPr="0011139E">
        <w:rPr>
          <w:rFonts w:cs="Arial"/>
          <w:szCs w:val="24"/>
        </w:rPr>
        <w:t xml:space="preserve"> (Accessed June 25, </w:t>
      </w:r>
      <w:r>
        <w:rPr>
          <w:rFonts w:cs="Arial"/>
          <w:szCs w:val="24"/>
        </w:rPr>
        <w:t>2018).</w:t>
      </w:r>
      <w:r w:rsidRPr="0011139E">
        <w:rPr>
          <w:rFonts w:cs="Arial"/>
          <w:szCs w:val="24"/>
        </w:rPr>
        <w:t xml:space="preserve"> </w:t>
      </w:r>
    </w:p>
  </w:endnote>
  <w:endnote w:id="51">
    <w:p w14:paraId="7D31CD1A" w14:textId="10FB3EB3"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556403">
        <w:rPr>
          <w:rFonts w:cs="Arial"/>
          <w:szCs w:val="24"/>
        </w:rPr>
        <w:t>U.S. Equal Employment Opportunity</w:t>
      </w:r>
      <w:r w:rsidRPr="00F77D72">
        <w:rPr>
          <w:rFonts w:cs="Arial"/>
          <w:szCs w:val="24"/>
        </w:rPr>
        <w:t xml:space="preserve"> Commission. </w:t>
      </w:r>
      <w:r w:rsidRPr="00631E24">
        <w:rPr>
          <w:rFonts w:cs="Arial"/>
          <w:i/>
          <w:szCs w:val="24"/>
        </w:rPr>
        <w:t>Strategic Enforcement Plan: FY 2013–2016.</w:t>
      </w:r>
      <w:r w:rsidRPr="00F77D72">
        <w:rPr>
          <w:rFonts w:cs="Arial"/>
          <w:szCs w:val="24"/>
        </w:rPr>
        <w:t xml:space="preserve"> </w:t>
      </w:r>
      <w:hyperlink r:id="rId24" w:tooltip="https://www.eeoc.gov/eeoc/plan/sep.cfm" w:history="1">
        <w:r w:rsidRPr="00F77D72">
          <w:rPr>
            <w:rStyle w:val="Hyperlink"/>
            <w:rFonts w:cs="Arial"/>
            <w:szCs w:val="24"/>
          </w:rPr>
          <w:t>https://www.eeoc.gov/eeoc/plan/sep.cfm</w:t>
        </w:r>
      </w:hyperlink>
      <w:r w:rsidRPr="00556403">
        <w:rPr>
          <w:rFonts w:cs="Arial"/>
          <w:szCs w:val="24"/>
        </w:rPr>
        <w:t xml:space="preserve">. </w:t>
      </w:r>
      <w:r w:rsidRPr="0011139E">
        <w:rPr>
          <w:rFonts w:cs="Arial"/>
          <w:szCs w:val="24"/>
        </w:rPr>
        <w:t xml:space="preserve">(Accessed June 25, </w:t>
      </w:r>
      <w:r>
        <w:rPr>
          <w:rFonts w:cs="Arial"/>
          <w:szCs w:val="24"/>
        </w:rPr>
        <w:t>2018).</w:t>
      </w:r>
    </w:p>
  </w:endnote>
  <w:endnote w:id="52">
    <w:p w14:paraId="7A964FF5" w14:textId="0BE8A2C9" w:rsidR="005E3498" w:rsidRPr="007A73BA" w:rsidRDefault="005E3498" w:rsidP="00BA0761">
      <w:pPr>
        <w:pStyle w:val="EndnoteText"/>
      </w:pPr>
      <w:r w:rsidRPr="00556403">
        <w:rPr>
          <w:rStyle w:val="EndnoteReference"/>
          <w:szCs w:val="24"/>
        </w:rPr>
        <w:endnoteRef/>
      </w:r>
      <w:r w:rsidRPr="0011139E">
        <w:rPr>
          <w:szCs w:val="24"/>
        </w:rPr>
        <w:t xml:space="preserve"> </w:t>
      </w:r>
      <w:r w:rsidRPr="00556403">
        <w:rPr>
          <w:rFonts w:cs="Arial"/>
          <w:szCs w:val="24"/>
        </w:rPr>
        <w:t>U.S. Equal Employment Opportunity Commission</w:t>
      </w:r>
      <w:r w:rsidRPr="00F77D72">
        <w:rPr>
          <w:rFonts w:cs="Arial"/>
          <w:szCs w:val="24"/>
        </w:rPr>
        <w:t xml:space="preserve">. </w:t>
      </w:r>
      <w:r w:rsidRPr="00631E24">
        <w:rPr>
          <w:rFonts w:cs="Arial"/>
          <w:i/>
          <w:szCs w:val="24"/>
        </w:rPr>
        <w:t>Strategic Enforcement Plan: FY 2017</w:t>
      </w:r>
      <w:r w:rsidRPr="00F77D72">
        <w:rPr>
          <w:rFonts w:cs="Arial"/>
          <w:szCs w:val="24"/>
        </w:rPr>
        <w:t>, 9.</w:t>
      </w:r>
      <w:r w:rsidRPr="0011139E">
        <w:rPr>
          <w:rFonts w:cs="Arial"/>
          <w:szCs w:val="24"/>
        </w:rPr>
        <w:t xml:space="preserve"> (Accessed June 25, </w:t>
      </w:r>
      <w:r>
        <w:rPr>
          <w:rFonts w:cs="Arial"/>
          <w:szCs w:val="24"/>
        </w:rPr>
        <w:t>2018).</w:t>
      </w:r>
    </w:p>
  </w:endnote>
  <w:endnote w:id="53">
    <w:p w14:paraId="73867166" w14:textId="32CE070F" w:rsidR="005E3498" w:rsidRDefault="005E3498" w:rsidP="00BA0761">
      <w:pPr>
        <w:pStyle w:val="EndnoteText"/>
      </w:pPr>
      <w:r>
        <w:rPr>
          <w:rStyle w:val="EndnoteReference"/>
        </w:rPr>
        <w:endnoteRef/>
      </w:r>
      <w:r>
        <w:t xml:space="preserve"> </w:t>
      </w:r>
      <w:r w:rsidRPr="008920BA">
        <w:rPr>
          <w:rFonts w:cs="Arial"/>
          <w:szCs w:val="24"/>
        </w:rPr>
        <w:t>National Coun</w:t>
      </w:r>
      <w:r>
        <w:rPr>
          <w:rFonts w:cs="Arial"/>
          <w:szCs w:val="24"/>
        </w:rPr>
        <w:t>cil</w:t>
      </w:r>
      <w:r w:rsidRPr="008920BA">
        <w:rPr>
          <w:rFonts w:cs="Arial"/>
          <w:szCs w:val="24"/>
        </w:rPr>
        <w:t xml:space="preserve"> on Disability</w:t>
      </w:r>
      <w:r>
        <w:rPr>
          <w:rFonts w:cs="Arial"/>
          <w:szCs w:val="24"/>
        </w:rPr>
        <w:t>.</w:t>
      </w:r>
      <w:r w:rsidRPr="008920BA">
        <w:rPr>
          <w:rFonts w:cs="Arial"/>
          <w:szCs w:val="24"/>
        </w:rPr>
        <w:t xml:space="preserve"> </w:t>
      </w:r>
      <w:r w:rsidRPr="00631E24">
        <w:rPr>
          <w:rFonts w:cs="Arial"/>
          <w:i/>
          <w:szCs w:val="24"/>
        </w:rPr>
        <w:t>Promises to Keep</w:t>
      </w:r>
      <w:r w:rsidRPr="00A33CE5">
        <w:rPr>
          <w:rFonts w:cs="Arial"/>
          <w:szCs w:val="24"/>
        </w:rPr>
        <w:t>, 163.</w:t>
      </w:r>
    </w:p>
  </w:endnote>
  <w:endnote w:id="54">
    <w:p w14:paraId="07B93897" w14:textId="77777777" w:rsidR="005E3498" w:rsidRDefault="005E3498" w:rsidP="00BA0761">
      <w:pPr>
        <w:pStyle w:val="EndnoteText"/>
      </w:pPr>
      <w:r>
        <w:rPr>
          <w:rStyle w:val="EndnoteReference"/>
        </w:rPr>
        <w:endnoteRef/>
      </w:r>
      <w:r>
        <w:t xml:space="preserve"> </w:t>
      </w:r>
      <w:r w:rsidRPr="008C557F">
        <w:rPr>
          <w:rFonts w:cs="Arial"/>
          <w:szCs w:val="24"/>
        </w:rPr>
        <w:t>Ibid.,</w:t>
      </w:r>
      <w:r w:rsidRPr="000332BD">
        <w:rPr>
          <w:rFonts w:cs="Arial"/>
          <w:szCs w:val="24"/>
        </w:rPr>
        <w:t xml:space="preserve"> 241.</w:t>
      </w:r>
    </w:p>
  </w:endnote>
  <w:endnote w:id="55">
    <w:p w14:paraId="67BCA6EF" w14:textId="6A8164A8"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B82FFE">
        <w:rPr>
          <w:rFonts w:cs="Arial"/>
          <w:szCs w:val="24"/>
        </w:rPr>
        <w:t>U.S. Equal Employment Opportunity Commission</w:t>
      </w:r>
      <w:r>
        <w:rPr>
          <w:rFonts w:cs="Arial"/>
          <w:szCs w:val="24"/>
        </w:rPr>
        <w:t>.</w:t>
      </w:r>
      <w:r w:rsidRPr="00B82FFE">
        <w:rPr>
          <w:rFonts w:cs="Arial"/>
          <w:szCs w:val="24"/>
        </w:rPr>
        <w:t xml:space="preserve"> </w:t>
      </w:r>
      <w:r w:rsidRPr="00631E24">
        <w:rPr>
          <w:rFonts w:cs="Arial"/>
          <w:i/>
          <w:szCs w:val="24"/>
        </w:rPr>
        <w:t>Strategic Enforcement Plan: FY 2017</w:t>
      </w:r>
      <w:r>
        <w:rPr>
          <w:rFonts w:cs="Arial"/>
          <w:szCs w:val="24"/>
        </w:rPr>
        <w:t>, 6.</w:t>
      </w:r>
    </w:p>
  </w:endnote>
  <w:endnote w:id="56">
    <w:p w14:paraId="4B5D13DD" w14:textId="65E2F7B4" w:rsidR="005E3498" w:rsidRDefault="005E3498" w:rsidP="00BA0761">
      <w:pPr>
        <w:pStyle w:val="EndnoteText"/>
      </w:pPr>
      <w:r>
        <w:rPr>
          <w:rStyle w:val="EndnoteReference"/>
        </w:rPr>
        <w:endnoteRef/>
      </w:r>
      <w:r>
        <w:t xml:space="preserve"> </w:t>
      </w:r>
      <w:r w:rsidRPr="008920BA">
        <w:rPr>
          <w:rFonts w:cs="Arial"/>
          <w:szCs w:val="24"/>
        </w:rPr>
        <w:t>National Coun</w:t>
      </w:r>
      <w:r>
        <w:rPr>
          <w:rFonts w:cs="Arial"/>
          <w:szCs w:val="24"/>
        </w:rPr>
        <w:t>cil</w:t>
      </w:r>
      <w:r w:rsidRPr="008920BA">
        <w:rPr>
          <w:rFonts w:cs="Arial"/>
          <w:szCs w:val="24"/>
        </w:rPr>
        <w:t xml:space="preserve"> on Disability</w:t>
      </w:r>
      <w:r>
        <w:rPr>
          <w:rFonts w:cs="Arial"/>
          <w:szCs w:val="24"/>
        </w:rPr>
        <w:t>.</w:t>
      </w:r>
      <w:r w:rsidRPr="008920BA">
        <w:rPr>
          <w:rFonts w:cs="Arial"/>
          <w:szCs w:val="24"/>
        </w:rPr>
        <w:t xml:space="preserve"> </w:t>
      </w:r>
      <w:r w:rsidRPr="00631E24">
        <w:rPr>
          <w:rFonts w:cs="Arial"/>
          <w:i/>
          <w:szCs w:val="24"/>
        </w:rPr>
        <w:t>Promises to Keep</w:t>
      </w:r>
      <w:r>
        <w:rPr>
          <w:rFonts w:cs="Arial"/>
          <w:szCs w:val="24"/>
        </w:rPr>
        <w:t>, A-12</w:t>
      </w:r>
      <w:r w:rsidRPr="00AD1839">
        <w:rPr>
          <w:rFonts w:cs="Arial"/>
          <w:szCs w:val="24"/>
        </w:rPr>
        <w:t>.</w:t>
      </w:r>
    </w:p>
  </w:endnote>
  <w:endnote w:id="57">
    <w:p w14:paraId="4CCFD47C" w14:textId="161B513A"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Calculations based on EEOC enforcement data</w:t>
      </w:r>
      <w:r>
        <w:rPr>
          <w:rFonts w:cs="Arial"/>
          <w:szCs w:val="24"/>
        </w:rPr>
        <w:t>.</w:t>
      </w:r>
      <w:r w:rsidRPr="008920BA">
        <w:rPr>
          <w:rFonts w:cs="Arial"/>
          <w:szCs w:val="24"/>
        </w:rPr>
        <w:t xml:space="preserve"> </w:t>
      </w:r>
      <w:hyperlink r:id="rId25" w:tooltip="https://www.eeoc.gov/eeoc/statistics/enforcement/index.cfm" w:history="1">
        <w:r w:rsidRPr="0088669B">
          <w:rPr>
            <w:rStyle w:val="Hyperlink"/>
            <w:rFonts w:cs="Arial"/>
            <w:szCs w:val="24"/>
          </w:rPr>
          <w:t>https://www.eeoc.gov/eeoc/statistics/enforcement/index.cfm</w:t>
        </w:r>
      </w:hyperlink>
      <w:r>
        <w:rPr>
          <w:rStyle w:val="Hyperlink"/>
          <w:rFonts w:cs="Arial"/>
          <w:szCs w:val="24"/>
        </w:rPr>
        <w:t>.</w:t>
      </w:r>
    </w:p>
  </w:endnote>
  <w:endnote w:id="58">
    <w:p w14:paraId="5C1772A9" w14:textId="0E89C7F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Title VII of the Civil Rights Act of 1964, as amended, prohibits discrimination in employment based on race, sex, religion, color, and national origin, while the Age Discrimination and Employment Act prohibits discrimination for individuals age 40 or older. C</w:t>
      </w:r>
      <w:r w:rsidRPr="008920BA">
        <w:rPr>
          <w:rFonts w:cs="Arial"/>
          <w:szCs w:val="24"/>
        </w:rPr>
        <w:t>har</w:t>
      </w:r>
      <w:r>
        <w:rPr>
          <w:rFonts w:cs="Arial"/>
          <w:szCs w:val="24"/>
        </w:rPr>
        <w:t xml:space="preserve">ges based on color increased by </w:t>
      </w:r>
      <w:r w:rsidRPr="008920BA">
        <w:rPr>
          <w:rFonts w:cs="Arial"/>
          <w:szCs w:val="24"/>
        </w:rPr>
        <w:t>102</w:t>
      </w:r>
      <w:r>
        <w:rPr>
          <w:rFonts w:cs="Arial"/>
          <w:szCs w:val="24"/>
        </w:rPr>
        <w:t xml:space="preserve"> percent</w:t>
      </w:r>
      <w:r w:rsidRPr="008920BA">
        <w:rPr>
          <w:rFonts w:cs="Arial"/>
          <w:szCs w:val="24"/>
        </w:rPr>
        <w:t xml:space="preserve"> comparing the 2000</w:t>
      </w:r>
      <w:r>
        <w:rPr>
          <w:rFonts w:cs="Arial"/>
          <w:szCs w:val="24"/>
        </w:rPr>
        <w:t>–</w:t>
      </w:r>
      <w:r w:rsidRPr="008920BA">
        <w:rPr>
          <w:rFonts w:cs="Arial"/>
          <w:szCs w:val="24"/>
        </w:rPr>
        <w:t>2008 and 2009</w:t>
      </w:r>
      <w:r>
        <w:rPr>
          <w:rFonts w:cs="Arial"/>
          <w:szCs w:val="24"/>
        </w:rPr>
        <w:t>–</w:t>
      </w:r>
      <w:r w:rsidRPr="008920BA">
        <w:rPr>
          <w:rFonts w:cs="Arial"/>
          <w:szCs w:val="24"/>
        </w:rPr>
        <w:t>2017 periods</w:t>
      </w:r>
      <w:r>
        <w:rPr>
          <w:rFonts w:cs="Arial"/>
          <w:szCs w:val="24"/>
        </w:rPr>
        <w:t>, but the increase in the number of charges based on color was 13,265 compared with an 85,236 increase in charges based on disability. Because GINA did not go into effect until 2009, comparing those increases against the ADA would not yield a meaningful comparison.</w:t>
      </w:r>
    </w:p>
  </w:endnote>
  <w:endnote w:id="59">
    <w:p w14:paraId="0A96A087" w14:textId="5B398C10" w:rsidR="005E3498" w:rsidRDefault="005E3498" w:rsidP="00BA0761">
      <w:pPr>
        <w:pStyle w:val="EndnoteText"/>
      </w:pPr>
      <w:r>
        <w:rPr>
          <w:rStyle w:val="EndnoteReference"/>
        </w:rPr>
        <w:endnoteRef/>
      </w:r>
      <w:r>
        <w:t xml:space="preserve"> </w:t>
      </w:r>
      <w:r w:rsidRPr="00276926">
        <w:rPr>
          <w:rFonts w:cs="Arial"/>
          <w:szCs w:val="24"/>
        </w:rPr>
        <w:t xml:space="preserve">The largest disability category for which charges are filed with the EEOC is </w:t>
      </w:r>
      <w:r>
        <w:rPr>
          <w:rFonts w:cs="Arial"/>
          <w:szCs w:val="24"/>
        </w:rPr>
        <w:t>“</w:t>
      </w:r>
      <w:r w:rsidRPr="00276926">
        <w:rPr>
          <w:rFonts w:cs="Arial"/>
          <w:szCs w:val="24"/>
        </w:rPr>
        <w:t>other disabilities,</w:t>
      </w:r>
      <w:r>
        <w:rPr>
          <w:rFonts w:cs="Arial"/>
          <w:szCs w:val="24"/>
        </w:rPr>
        <w:t>”</w:t>
      </w:r>
      <w:r w:rsidRPr="00276926">
        <w:rPr>
          <w:rFonts w:cs="Arial"/>
          <w:szCs w:val="24"/>
        </w:rPr>
        <w:t xml:space="preserve"> identified in 31 percent of all ADA charges received by the EEOC since 2000.</w:t>
      </w:r>
    </w:p>
  </w:endnote>
  <w:endnote w:id="60">
    <w:p w14:paraId="4F991A6F" w14:textId="56C91131"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The EEOC reports zero PTSD cases in</w:t>
      </w:r>
      <w:r>
        <w:rPr>
          <w:rFonts w:cs="Arial"/>
          <w:szCs w:val="24"/>
        </w:rPr>
        <w:t xml:space="preserve"> FY 2000–2003</w:t>
      </w:r>
      <w:r w:rsidRPr="008920BA">
        <w:rPr>
          <w:rFonts w:cs="Arial"/>
          <w:szCs w:val="24"/>
        </w:rPr>
        <w:t>.</w:t>
      </w:r>
    </w:p>
  </w:endnote>
  <w:endnote w:id="61">
    <w:p w14:paraId="3F97E16D" w14:textId="1C1BD021" w:rsidR="005E3498" w:rsidRPr="00AD1839" w:rsidRDefault="005E3498" w:rsidP="00BA0761">
      <w:pPr>
        <w:pStyle w:val="EndnoteText"/>
        <w:rPr>
          <w:rFonts w:cs="Arial"/>
          <w:szCs w:val="24"/>
        </w:rPr>
      </w:pPr>
      <w:r w:rsidRPr="00AD1839">
        <w:rPr>
          <w:rStyle w:val="EndnoteReference"/>
          <w:rFonts w:cs="Arial"/>
          <w:szCs w:val="24"/>
        </w:rPr>
        <w:endnoteRef/>
      </w:r>
      <w:r>
        <w:rPr>
          <w:rFonts w:cs="Arial"/>
          <w:szCs w:val="24"/>
        </w:rPr>
        <w:t xml:space="preserve"> </w:t>
      </w:r>
      <w:r>
        <w:rPr>
          <w:rFonts w:cs="Arial"/>
          <w:szCs w:val="24"/>
        </w:rPr>
        <w:t>U.S. Equal Employment Opportunity Commission. “Definitions of Terms.”</w:t>
      </w:r>
      <w:r w:rsidRPr="00AD1839">
        <w:rPr>
          <w:rFonts w:cs="Arial"/>
          <w:szCs w:val="24"/>
        </w:rPr>
        <w:t xml:space="preserve"> </w:t>
      </w:r>
      <w:hyperlink r:id="rId26" w:tooltip="https://www.eeoc.gov/eeoc/statistics/enforcement/definitions.cfm" w:history="1">
        <w:r w:rsidRPr="0092497A">
          <w:rPr>
            <w:rStyle w:val="Hyperlink"/>
            <w:rFonts w:cs="Arial"/>
            <w:szCs w:val="24"/>
          </w:rPr>
          <w:t>https://www.eeoc.gov/eeoc/statistics/enforcement/definitions.cfm</w:t>
        </w:r>
      </w:hyperlink>
      <w:r>
        <w:rPr>
          <w:rFonts w:cs="Arial"/>
          <w:szCs w:val="24"/>
        </w:rPr>
        <w:t xml:space="preserve">. “Merit resolutions” </w:t>
      </w:r>
      <w:r w:rsidRPr="00E52184">
        <w:rPr>
          <w:rFonts w:cs="Arial"/>
          <w:szCs w:val="24"/>
        </w:rPr>
        <w:t xml:space="preserve">include </w:t>
      </w:r>
      <w:r>
        <w:rPr>
          <w:rFonts w:cs="Arial"/>
          <w:szCs w:val="24"/>
        </w:rPr>
        <w:t>“</w:t>
      </w:r>
      <w:r w:rsidRPr="00E52184">
        <w:rPr>
          <w:rFonts w:cs="Arial"/>
          <w:szCs w:val="24"/>
        </w:rPr>
        <w:t>negotiated settlements, withdrawals with benefits, successful conciliations, and unsuccessful conciliations</w:t>
      </w:r>
      <w:r>
        <w:rPr>
          <w:rFonts w:cs="Arial"/>
          <w:szCs w:val="24"/>
        </w:rPr>
        <w:t>.”</w:t>
      </w:r>
    </w:p>
  </w:endnote>
  <w:endnote w:id="62">
    <w:p w14:paraId="40AFE8EA" w14:textId="08945D03" w:rsidR="005E3498" w:rsidRPr="002B34DD" w:rsidRDefault="005E3498" w:rsidP="00BA0761">
      <w:pPr>
        <w:pStyle w:val="EndnoteText"/>
        <w:rPr>
          <w:rFonts w:cs="Arial"/>
          <w:szCs w:val="24"/>
        </w:rPr>
      </w:pPr>
      <w:r>
        <w:rPr>
          <w:rStyle w:val="EndnoteReference"/>
        </w:rPr>
        <w:endnoteRef/>
      </w:r>
      <w:r>
        <w:t xml:space="preserve"> </w:t>
      </w:r>
      <w:r w:rsidRPr="008920BA">
        <w:rPr>
          <w:rFonts w:cs="Arial"/>
          <w:szCs w:val="24"/>
        </w:rPr>
        <w:t>Calculations ba</w:t>
      </w:r>
      <w:r>
        <w:rPr>
          <w:rFonts w:cs="Arial"/>
          <w:szCs w:val="24"/>
        </w:rPr>
        <w:t>sed on EEOC enforcement data.</w:t>
      </w:r>
      <w:r w:rsidRPr="008920BA">
        <w:rPr>
          <w:rFonts w:cs="Arial"/>
          <w:szCs w:val="24"/>
        </w:rPr>
        <w:t xml:space="preserve"> </w:t>
      </w:r>
      <w:hyperlink r:id="rId27" w:tooltip="https://www.eeoc.gov/eeoc/statistics/enforcement/index.cfm" w:history="1">
        <w:r w:rsidRPr="0088669B">
          <w:rPr>
            <w:rStyle w:val="Hyperlink"/>
            <w:rFonts w:cs="Arial"/>
            <w:szCs w:val="24"/>
          </w:rPr>
          <w:t>https://www.eeoc.gov/eeoc/statistics/enforcement/index.cfm</w:t>
        </w:r>
      </w:hyperlink>
      <w:r>
        <w:rPr>
          <w:rStyle w:val="Hyperlink"/>
          <w:rFonts w:cs="Arial"/>
          <w:szCs w:val="24"/>
        </w:rPr>
        <w:t>.</w:t>
      </w:r>
    </w:p>
  </w:endnote>
  <w:endnote w:id="63">
    <w:p w14:paraId="37873C70" w14:textId="0FBDAF17" w:rsidR="005E3498" w:rsidRPr="0011139E" w:rsidRDefault="005E3498" w:rsidP="00BA0761">
      <w:pPr>
        <w:pStyle w:val="EndnoteText"/>
        <w:rPr>
          <w:szCs w:val="24"/>
        </w:rPr>
      </w:pPr>
      <w:r w:rsidRPr="00556403">
        <w:rPr>
          <w:rStyle w:val="EndnoteReference"/>
          <w:szCs w:val="24"/>
        </w:rPr>
        <w:endnoteRef/>
      </w:r>
      <w:r w:rsidRPr="0011139E">
        <w:rPr>
          <w:szCs w:val="24"/>
        </w:rPr>
        <w:t xml:space="preserve"> </w:t>
      </w:r>
      <w:r w:rsidRPr="00556403">
        <w:rPr>
          <w:rFonts w:cs="Arial"/>
          <w:szCs w:val="24"/>
        </w:rPr>
        <w:t>National Coun</w:t>
      </w:r>
      <w:r w:rsidRPr="00F77D72">
        <w:rPr>
          <w:rFonts w:cs="Arial"/>
          <w:szCs w:val="24"/>
        </w:rPr>
        <w:t xml:space="preserve">cil on Disability. </w:t>
      </w:r>
      <w:r w:rsidRPr="00631E24">
        <w:rPr>
          <w:rFonts w:cs="Arial"/>
          <w:i/>
          <w:szCs w:val="24"/>
        </w:rPr>
        <w:t>Promises to Keep</w:t>
      </w:r>
      <w:r w:rsidRPr="00F77D72">
        <w:rPr>
          <w:rFonts w:cs="Arial"/>
          <w:szCs w:val="24"/>
        </w:rPr>
        <w:t>, 182–188.</w:t>
      </w:r>
    </w:p>
  </w:endnote>
  <w:endnote w:id="64">
    <w:p w14:paraId="5A266FF3" w14:textId="4B1F9BFE" w:rsidR="005E3498" w:rsidRPr="0065115D" w:rsidRDefault="005E3498" w:rsidP="00BA0761">
      <w:pPr>
        <w:pStyle w:val="EndnoteText"/>
        <w:rPr>
          <w:rFonts w:cs="Arial"/>
          <w:szCs w:val="24"/>
        </w:rPr>
      </w:pPr>
      <w:r w:rsidRPr="00556403">
        <w:rPr>
          <w:rStyle w:val="EndnoteReference"/>
          <w:szCs w:val="24"/>
        </w:rPr>
        <w:endnoteRef/>
      </w:r>
      <w:r w:rsidRPr="0011139E">
        <w:rPr>
          <w:szCs w:val="24"/>
        </w:rPr>
        <w:t xml:space="preserve"> </w:t>
      </w:r>
      <w:r w:rsidRPr="00556403">
        <w:rPr>
          <w:rFonts w:cs="Arial"/>
          <w:szCs w:val="24"/>
        </w:rPr>
        <w:t>U.S. Equal Employment Opportunity Commission</w:t>
      </w:r>
      <w:r w:rsidRPr="00F77D72">
        <w:rPr>
          <w:rFonts w:cs="Arial"/>
          <w:szCs w:val="24"/>
        </w:rPr>
        <w:t xml:space="preserve">. “Questions and Answers About Mediation.” </w:t>
      </w:r>
      <w:hyperlink r:id="rId28" w:tooltip="https://www.eeoc.gov/eeoc/mediation/qanda.cfm" w:history="1">
        <w:r w:rsidRPr="00F77D72">
          <w:rPr>
            <w:rStyle w:val="Hyperlink"/>
            <w:rFonts w:cs="Arial"/>
            <w:szCs w:val="24"/>
          </w:rPr>
          <w:t>https://www.eeoc.gov/eeoc/mediation/qanda.cfm</w:t>
        </w:r>
      </w:hyperlink>
      <w:r w:rsidRPr="00556403">
        <w:rPr>
          <w:rStyle w:val="Hyperlink"/>
          <w:rFonts w:cs="Arial"/>
          <w:szCs w:val="24"/>
        </w:rPr>
        <w:t>.</w:t>
      </w:r>
      <w:r w:rsidRPr="00F77D72">
        <w:rPr>
          <w:rFonts w:cs="Arial"/>
          <w:szCs w:val="24"/>
        </w:rPr>
        <w:t xml:space="preserve"> </w:t>
      </w:r>
      <w:r w:rsidRPr="0011139E">
        <w:rPr>
          <w:rFonts w:cs="Arial"/>
          <w:szCs w:val="24"/>
        </w:rPr>
        <w:t xml:space="preserve">(Accessed June 25, </w:t>
      </w:r>
      <w:r>
        <w:rPr>
          <w:rFonts w:cs="Arial"/>
          <w:szCs w:val="24"/>
        </w:rPr>
        <w:t>2018).</w:t>
      </w:r>
      <w:r w:rsidRPr="0011139E">
        <w:rPr>
          <w:rFonts w:cs="Arial"/>
          <w:szCs w:val="24"/>
        </w:rPr>
        <w:t xml:space="preserve"> </w:t>
      </w:r>
      <w:r w:rsidRPr="00F77D72">
        <w:rPr>
          <w:rFonts w:cs="Arial"/>
          <w:szCs w:val="24"/>
        </w:rPr>
        <w:t>Researchers interviews with EEOC staff.</w:t>
      </w:r>
    </w:p>
  </w:endnote>
  <w:endnote w:id="65">
    <w:p w14:paraId="0FA1A043" w14:textId="77777777" w:rsidR="005E3498" w:rsidRDefault="005E3498" w:rsidP="00BA0761">
      <w:pPr>
        <w:pStyle w:val="EndnoteText"/>
      </w:pPr>
      <w:r>
        <w:rPr>
          <w:rStyle w:val="EndnoteReference"/>
        </w:rPr>
        <w:endnoteRef/>
      </w:r>
      <w:r>
        <w:t xml:space="preserve"> </w:t>
      </w:r>
      <w:r>
        <w:rPr>
          <w:rFonts w:cs="Arial"/>
          <w:szCs w:val="24"/>
        </w:rPr>
        <w:t>Ibid.</w:t>
      </w:r>
      <w:r>
        <w:t xml:space="preserve"> </w:t>
      </w:r>
    </w:p>
  </w:endnote>
  <w:endnote w:id="66">
    <w:p w14:paraId="468DDBCB" w14:textId="77777777" w:rsidR="005E3498" w:rsidRDefault="005E3498" w:rsidP="00BA0761">
      <w:pPr>
        <w:pStyle w:val="EndnoteText"/>
      </w:pPr>
      <w:r>
        <w:rPr>
          <w:rStyle w:val="EndnoteReference"/>
        </w:rPr>
        <w:endnoteRef/>
      </w:r>
      <w:r>
        <w:t xml:space="preserve"> </w:t>
      </w:r>
      <w:r w:rsidRPr="00A027EB">
        <w:rPr>
          <w:rFonts w:cs="Arial"/>
          <w:szCs w:val="24"/>
        </w:rPr>
        <w:t xml:space="preserve">Researchers did not look into whether any variation exists </w:t>
      </w:r>
      <w:r>
        <w:rPr>
          <w:rFonts w:cs="Arial"/>
          <w:szCs w:val="24"/>
        </w:rPr>
        <w:t>between</w:t>
      </w:r>
      <w:r w:rsidRPr="00A027EB">
        <w:rPr>
          <w:rFonts w:cs="Arial"/>
          <w:szCs w:val="24"/>
        </w:rPr>
        <w:t xml:space="preserve"> the quality of </w:t>
      </w:r>
      <w:r>
        <w:rPr>
          <w:rFonts w:cs="Arial"/>
          <w:szCs w:val="24"/>
        </w:rPr>
        <w:t xml:space="preserve">the </w:t>
      </w:r>
      <w:r w:rsidRPr="00A027EB">
        <w:rPr>
          <w:rFonts w:cs="Arial"/>
          <w:szCs w:val="24"/>
        </w:rPr>
        <w:t>EEOC and contract mediators.</w:t>
      </w:r>
    </w:p>
  </w:endnote>
  <w:endnote w:id="67">
    <w:p w14:paraId="4B35D017" w14:textId="31AE9034"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 Equal Employment Opportunity Commission.</w:t>
      </w:r>
      <w:r w:rsidRPr="008920BA">
        <w:rPr>
          <w:rFonts w:cs="Arial"/>
          <w:szCs w:val="24"/>
        </w:rPr>
        <w:t xml:space="preserve"> </w:t>
      </w:r>
      <w:r w:rsidRPr="00631E24">
        <w:rPr>
          <w:rFonts w:cs="Arial"/>
          <w:i/>
          <w:szCs w:val="24"/>
        </w:rPr>
        <w:t>Strategic Enforcement Plan: FY 2017</w:t>
      </w:r>
      <w:r w:rsidRPr="008920BA">
        <w:rPr>
          <w:rFonts w:cs="Arial"/>
          <w:szCs w:val="24"/>
        </w:rPr>
        <w:t>, 9</w:t>
      </w:r>
      <w:r>
        <w:rPr>
          <w:rFonts w:cs="Arial"/>
          <w:szCs w:val="24"/>
        </w:rPr>
        <w:t>–</w:t>
      </w:r>
      <w:r w:rsidRPr="008920BA">
        <w:rPr>
          <w:rFonts w:cs="Arial"/>
          <w:szCs w:val="24"/>
        </w:rPr>
        <w:t>10.</w:t>
      </w:r>
    </w:p>
  </w:endnote>
  <w:endnote w:id="68">
    <w:p w14:paraId="6A7CD7EC" w14:textId="047A9C29" w:rsidR="005E3498" w:rsidRPr="008920BA" w:rsidRDefault="005E3498" w:rsidP="00BA0761">
      <w:pPr>
        <w:spacing w:after="200" w:line="240" w:lineRule="auto"/>
        <w:rPr>
          <w:rFonts w:ascii="Arial" w:hAnsi="Arial" w:cs="Arial"/>
          <w:szCs w:val="24"/>
        </w:rPr>
      </w:pPr>
      <w:r w:rsidRPr="008920BA">
        <w:rPr>
          <w:rStyle w:val="EndnoteReference"/>
          <w:rFonts w:cs="Arial"/>
          <w:szCs w:val="24"/>
        </w:rPr>
        <w:endnoteRef/>
      </w:r>
      <w:r>
        <w:rPr>
          <w:rFonts w:ascii="Arial" w:hAnsi="Arial" w:cs="Arial"/>
          <w:szCs w:val="24"/>
        </w:rPr>
        <w:t xml:space="preserve"> </w:t>
      </w:r>
      <w:r>
        <w:rPr>
          <w:rFonts w:ascii="Arial" w:hAnsi="Arial" w:cs="Arial"/>
          <w:szCs w:val="24"/>
        </w:rPr>
        <w:t xml:space="preserve">U.S. Equal Employment Opportunity Commission. Public Portal. </w:t>
      </w:r>
      <w:hyperlink r:id="rId29" w:history="1">
        <w:r w:rsidRPr="008920BA">
          <w:rPr>
            <w:rStyle w:val="Hyperlink"/>
            <w:rFonts w:cs="Arial"/>
            <w:szCs w:val="24"/>
          </w:rPr>
          <w:t>https://publicportal.eeoc.gov/portal/Login.aspx?ReturnUrl=%2fportal%2f</w:t>
        </w:r>
      </w:hyperlink>
      <w:r>
        <w:rPr>
          <w:rStyle w:val="Hyperlink"/>
          <w:rFonts w:cs="Arial"/>
          <w:szCs w:val="24"/>
        </w:rPr>
        <w:t>.</w:t>
      </w:r>
      <w:r w:rsidRPr="00D7064E">
        <w:rPr>
          <w:rFonts w:ascii="Arial" w:hAnsi="Arial" w:cs="Arial"/>
          <w:szCs w:val="24"/>
        </w:rPr>
        <w:t xml:space="preserve"> </w:t>
      </w:r>
      <w:r>
        <w:rPr>
          <w:rFonts w:ascii="Arial" w:hAnsi="Arial" w:cs="Arial"/>
          <w:szCs w:val="24"/>
        </w:rPr>
        <w:t>(Accessed April 3, 2018).</w:t>
      </w:r>
    </w:p>
  </w:endnote>
  <w:endnote w:id="69">
    <w:p w14:paraId="52746335" w14:textId="7480066E" w:rsidR="005E3498" w:rsidRPr="008920BA" w:rsidRDefault="005E3498" w:rsidP="00BA0761">
      <w:pPr>
        <w:spacing w:after="200" w:line="240" w:lineRule="auto"/>
        <w:rPr>
          <w:rFonts w:ascii="Arial" w:hAnsi="Arial" w:cs="Arial"/>
          <w:szCs w:val="24"/>
        </w:rPr>
      </w:pPr>
      <w:r w:rsidRPr="008920BA">
        <w:rPr>
          <w:rStyle w:val="EndnoteReference"/>
          <w:rFonts w:cs="Arial"/>
          <w:szCs w:val="24"/>
        </w:rPr>
        <w:endnoteRef/>
      </w:r>
      <w:r w:rsidRPr="008920BA">
        <w:rPr>
          <w:rFonts w:ascii="Arial" w:hAnsi="Arial" w:cs="Arial"/>
          <w:szCs w:val="24"/>
        </w:rPr>
        <w:t xml:space="preserve"> </w:t>
      </w:r>
      <w:r>
        <w:rPr>
          <w:rFonts w:ascii="Arial" w:hAnsi="Arial" w:cs="Arial"/>
          <w:szCs w:val="24"/>
        </w:rPr>
        <w:t>U.S. Equal Employment Opportunity Commission.</w:t>
      </w:r>
      <w:r w:rsidRPr="008920BA">
        <w:rPr>
          <w:rFonts w:ascii="Arial" w:hAnsi="Arial" w:cs="Arial"/>
          <w:szCs w:val="24"/>
        </w:rPr>
        <w:t xml:space="preserve"> </w:t>
      </w:r>
      <w:r>
        <w:rPr>
          <w:rFonts w:ascii="Arial" w:hAnsi="Arial" w:cs="Arial"/>
          <w:szCs w:val="24"/>
        </w:rPr>
        <w:t>“</w:t>
      </w:r>
      <w:r w:rsidRPr="008920BA">
        <w:rPr>
          <w:rFonts w:ascii="Arial" w:hAnsi="Arial" w:cs="Arial"/>
          <w:szCs w:val="24"/>
        </w:rPr>
        <w:t>How to File a Charge of Employment Discrimination</w:t>
      </w:r>
      <w:r>
        <w:rPr>
          <w:rFonts w:ascii="Arial" w:hAnsi="Arial" w:cs="Arial"/>
          <w:szCs w:val="24"/>
        </w:rPr>
        <w:t xml:space="preserve">.” </w:t>
      </w:r>
      <w:hyperlink r:id="rId30" w:tooltip="https://www.eeoc.gov/employees/howtofile.cfm" w:history="1">
        <w:r w:rsidRPr="008920BA">
          <w:rPr>
            <w:rStyle w:val="Hyperlink"/>
            <w:rFonts w:cs="Arial"/>
            <w:szCs w:val="24"/>
          </w:rPr>
          <w:t>https://www.eeoc.gov/employees/howtofile.cfm</w:t>
        </w:r>
      </w:hyperlink>
      <w:r>
        <w:rPr>
          <w:rStyle w:val="Hyperlink"/>
          <w:rFonts w:cs="Arial"/>
          <w:szCs w:val="24"/>
        </w:rPr>
        <w:t>.</w:t>
      </w:r>
      <w:r w:rsidRPr="009703CC">
        <w:rPr>
          <w:rStyle w:val="Hyperlink"/>
          <w:rFonts w:cs="Arial"/>
          <w:szCs w:val="24"/>
          <w:u w:val="none"/>
        </w:rPr>
        <w:t xml:space="preserve"> </w:t>
      </w:r>
      <w:r>
        <w:rPr>
          <w:rFonts w:ascii="Arial" w:hAnsi="Arial" w:cs="Arial"/>
          <w:szCs w:val="24"/>
        </w:rPr>
        <w:t>(Accessed June 25, 2018).</w:t>
      </w:r>
    </w:p>
  </w:endnote>
  <w:endnote w:id="70">
    <w:p w14:paraId="560EC65D" w14:textId="3A09DD6A" w:rsidR="005E3498" w:rsidRPr="0011139E" w:rsidRDefault="005E3498" w:rsidP="00BA0761">
      <w:pPr>
        <w:pStyle w:val="EndnoteText"/>
        <w:rPr>
          <w:szCs w:val="24"/>
        </w:rPr>
      </w:pPr>
      <w:r w:rsidRPr="00556403">
        <w:rPr>
          <w:rStyle w:val="EndnoteReference"/>
          <w:szCs w:val="24"/>
        </w:rPr>
        <w:endnoteRef/>
      </w:r>
      <w:r w:rsidRPr="0011139E">
        <w:rPr>
          <w:szCs w:val="24"/>
        </w:rPr>
        <w:t xml:space="preserve"> </w:t>
      </w:r>
      <w:r w:rsidRPr="00556403">
        <w:rPr>
          <w:rFonts w:cs="Arial"/>
          <w:szCs w:val="24"/>
        </w:rPr>
        <w:t xml:space="preserve">The webpage of the California Department of Fair Employment and </w:t>
      </w:r>
      <w:r w:rsidRPr="00F77D72">
        <w:rPr>
          <w:rFonts w:cs="Arial"/>
          <w:szCs w:val="24"/>
        </w:rPr>
        <w:t xml:space="preserve">Housing provides a good example. </w:t>
      </w:r>
      <w:hyperlink r:id="rId31" w:tooltip="https://www.dfeh.ca.gov/complaint-process/file-a-complaint/" w:history="1">
        <w:r w:rsidRPr="00F77D72">
          <w:rPr>
            <w:rStyle w:val="Hyperlink"/>
            <w:rFonts w:cs="Arial"/>
            <w:szCs w:val="24"/>
          </w:rPr>
          <w:t>https://www.dfeh.ca.gov/complaint-process/file-a-complaint/</w:t>
        </w:r>
      </w:hyperlink>
      <w:r w:rsidRPr="00556403">
        <w:rPr>
          <w:rStyle w:val="Hyperlink"/>
          <w:rFonts w:cs="Arial"/>
          <w:szCs w:val="24"/>
        </w:rPr>
        <w:t>.</w:t>
      </w:r>
      <w:r w:rsidRPr="00F77D72">
        <w:rPr>
          <w:rStyle w:val="Hyperlink"/>
          <w:rFonts w:cs="Arial"/>
          <w:szCs w:val="24"/>
        </w:rPr>
        <w:t xml:space="preserve"> </w:t>
      </w:r>
      <w:r w:rsidRPr="0011139E">
        <w:rPr>
          <w:rFonts w:cs="Arial"/>
          <w:szCs w:val="24"/>
        </w:rPr>
        <w:t xml:space="preserve">(Accessed June 25, </w:t>
      </w:r>
      <w:r>
        <w:rPr>
          <w:rFonts w:cs="Arial"/>
          <w:szCs w:val="24"/>
        </w:rPr>
        <w:t>2018).</w:t>
      </w:r>
    </w:p>
  </w:endnote>
  <w:endnote w:id="71">
    <w:p w14:paraId="0FDCBD06" w14:textId="1D9680C8" w:rsidR="005E3498" w:rsidRPr="00556403" w:rsidRDefault="005E3498" w:rsidP="00BA0761">
      <w:pPr>
        <w:pStyle w:val="EndnoteText"/>
        <w:rPr>
          <w:rFonts w:cs="Arial"/>
          <w:szCs w:val="24"/>
        </w:rPr>
      </w:pPr>
      <w:r w:rsidRPr="00556403">
        <w:rPr>
          <w:rStyle w:val="EndnoteReference"/>
          <w:szCs w:val="24"/>
        </w:rPr>
        <w:endnoteRef/>
      </w:r>
      <w:r w:rsidRPr="0011139E">
        <w:rPr>
          <w:szCs w:val="24"/>
        </w:rPr>
        <w:t xml:space="preserve"> </w:t>
      </w:r>
      <w:r w:rsidRPr="00556403">
        <w:rPr>
          <w:rFonts w:cs="Arial"/>
          <w:szCs w:val="24"/>
        </w:rPr>
        <w:t>Internal Revenue Service provides such videos</w:t>
      </w:r>
      <w:r w:rsidRPr="00F77D72">
        <w:rPr>
          <w:rFonts w:cs="Arial"/>
          <w:szCs w:val="24"/>
        </w:rPr>
        <w:t xml:space="preserve">. </w:t>
      </w:r>
      <w:hyperlink r:id="rId32" w:tooltip="https://www.irs.gov/newsroom/videos-american-sign-language-asl" w:history="1">
        <w:r w:rsidRPr="00F77D72">
          <w:rPr>
            <w:rStyle w:val="Hyperlink"/>
            <w:rFonts w:cs="Arial"/>
            <w:szCs w:val="24"/>
          </w:rPr>
          <w:t>https://www.irs.gov/newsroom/videos-american-sign-language-asl</w:t>
        </w:r>
      </w:hyperlink>
      <w:r w:rsidRPr="00556403">
        <w:rPr>
          <w:rFonts w:cs="Arial"/>
          <w:szCs w:val="24"/>
        </w:rPr>
        <w:t xml:space="preserve">. </w:t>
      </w:r>
      <w:r w:rsidRPr="0011139E">
        <w:rPr>
          <w:rFonts w:cs="Arial"/>
          <w:szCs w:val="24"/>
        </w:rPr>
        <w:t xml:space="preserve">(Accessed June 25, </w:t>
      </w:r>
      <w:r>
        <w:rPr>
          <w:rFonts w:cs="Arial"/>
          <w:szCs w:val="24"/>
        </w:rPr>
        <w:t>2018).</w:t>
      </w:r>
    </w:p>
  </w:endnote>
  <w:endnote w:id="72">
    <w:p w14:paraId="224C3D7D"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29 C.F.R. § 1601.74</w:t>
      </w:r>
      <w:r>
        <w:rPr>
          <w:rFonts w:cs="Arial"/>
          <w:szCs w:val="24"/>
        </w:rPr>
        <w:t>. The regulations list 122 FEPAs, but note changes to agencies may occur. The EEOC reported to NCD that there are currently 92 FEPAs.</w:t>
      </w:r>
    </w:p>
  </w:endnote>
  <w:endnote w:id="73">
    <w:p w14:paraId="61DFA1A0" w14:textId="1BBFB68C"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EEOC regulations on certification require </w:t>
      </w:r>
      <w:r>
        <w:rPr>
          <w:rFonts w:cs="Arial"/>
          <w:szCs w:val="24"/>
        </w:rPr>
        <w:t xml:space="preserve">that </w:t>
      </w:r>
      <w:r w:rsidRPr="008920BA">
        <w:rPr>
          <w:rFonts w:cs="Arial"/>
          <w:szCs w:val="24"/>
        </w:rPr>
        <w:t xml:space="preserve">the EEOC accept at least 95 percent of the </w:t>
      </w:r>
      <w:r>
        <w:rPr>
          <w:rFonts w:cs="Arial"/>
          <w:szCs w:val="24"/>
        </w:rPr>
        <w:t>“</w:t>
      </w:r>
      <w:r w:rsidRPr="008920BA">
        <w:rPr>
          <w:rFonts w:cs="Arial"/>
          <w:szCs w:val="24"/>
        </w:rPr>
        <w:t>findings and resolutions</w:t>
      </w:r>
      <w:r>
        <w:rPr>
          <w:rFonts w:cs="Arial"/>
          <w:szCs w:val="24"/>
        </w:rPr>
        <w:t>”</w:t>
      </w:r>
      <w:r w:rsidRPr="008920BA">
        <w:rPr>
          <w:rFonts w:cs="Arial"/>
          <w:szCs w:val="24"/>
        </w:rPr>
        <w:t xml:space="preserve"> of the FEPA. </w:t>
      </w:r>
      <w:r w:rsidRPr="008920BA">
        <w:rPr>
          <w:rFonts w:cs="Arial"/>
          <w:szCs w:val="24"/>
        </w:rPr>
        <w:t xml:space="preserve">29 C.F.R. § 1601.75(c). The EEOC is required to evaluate the FEPA at least once every three years and </w:t>
      </w:r>
      <w:r>
        <w:rPr>
          <w:rFonts w:cs="Arial"/>
          <w:szCs w:val="24"/>
        </w:rPr>
        <w:t xml:space="preserve">to </w:t>
      </w:r>
      <w:r w:rsidRPr="008920BA">
        <w:rPr>
          <w:rFonts w:cs="Arial"/>
          <w:szCs w:val="24"/>
        </w:rPr>
        <w:t>conduct an inquiry if the EEOC rejects more than 5 percent of the FEPA findings at the end of the year, or 20 percent or more of the findings within two consecutive quarters. 29 C.F.R. § 1601.78.</w:t>
      </w:r>
    </w:p>
  </w:endnote>
  <w:endnote w:id="74">
    <w:p w14:paraId="5B486053" w14:textId="344BA1B4"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National Council on Disability.</w:t>
      </w:r>
      <w:r w:rsidRPr="008920BA">
        <w:rPr>
          <w:rFonts w:cs="Arial"/>
          <w:szCs w:val="24"/>
        </w:rPr>
        <w:t xml:space="preserve"> </w:t>
      </w:r>
      <w:r w:rsidRPr="00631E24">
        <w:rPr>
          <w:rFonts w:cs="Arial"/>
          <w:i/>
          <w:szCs w:val="24"/>
        </w:rPr>
        <w:t>Promises to Keep</w:t>
      </w:r>
      <w:r w:rsidRPr="008920BA">
        <w:rPr>
          <w:rFonts w:cs="Arial"/>
          <w:szCs w:val="24"/>
        </w:rPr>
        <w:t>, 188.</w:t>
      </w:r>
    </w:p>
  </w:endnote>
  <w:endnote w:id="75">
    <w:p w14:paraId="02A42AE5" w14:textId="38907EB5" w:rsidR="005E3498" w:rsidRPr="00556403" w:rsidRDefault="005E3498" w:rsidP="00BA0761">
      <w:pPr>
        <w:pStyle w:val="EndnoteText"/>
        <w:rPr>
          <w:rFonts w:cs="Arial"/>
          <w:color w:val="0000FF"/>
          <w:szCs w:val="24"/>
          <w:u w:val="single"/>
        </w:rPr>
      </w:pPr>
      <w:r w:rsidRPr="00556403">
        <w:rPr>
          <w:rStyle w:val="EndnoteReference"/>
          <w:rFonts w:cs="Arial"/>
          <w:szCs w:val="24"/>
        </w:rPr>
        <w:endnoteRef/>
      </w:r>
      <w:r w:rsidRPr="00556403">
        <w:rPr>
          <w:rFonts w:cs="Arial"/>
          <w:szCs w:val="24"/>
        </w:rPr>
        <w:t xml:space="preserve"> </w:t>
      </w:r>
      <w:r w:rsidRPr="00F77D72">
        <w:rPr>
          <w:rFonts w:cs="Arial"/>
          <w:szCs w:val="24"/>
        </w:rPr>
        <w:t xml:space="preserve">U.S. Equal Employment Opportunity Commission. “Fair Employment Practices Agencies (FEPAs) and Dual Filing.” </w:t>
      </w:r>
      <w:hyperlink r:id="rId33" w:tooltip="https://www.eeoc.gov/employees/fepa.cfm" w:history="1">
        <w:r w:rsidRPr="00F77D72">
          <w:rPr>
            <w:rStyle w:val="Hyperlink"/>
            <w:rFonts w:cs="Arial"/>
            <w:szCs w:val="24"/>
          </w:rPr>
          <w:t>https://www.eeoc.gov/employees/fepa.cfm</w:t>
        </w:r>
      </w:hyperlink>
      <w:r w:rsidRPr="00556403">
        <w:rPr>
          <w:rStyle w:val="Hyperlink"/>
          <w:rFonts w:cs="Arial"/>
          <w:szCs w:val="24"/>
        </w:rPr>
        <w:t>.</w:t>
      </w:r>
      <w:r w:rsidRPr="00F77D72">
        <w:rPr>
          <w:rStyle w:val="Hyperlink"/>
          <w:rFonts w:cs="Arial"/>
          <w:szCs w:val="24"/>
        </w:rPr>
        <w:t xml:space="preserve"> </w:t>
      </w:r>
      <w:r w:rsidRPr="0011139E">
        <w:rPr>
          <w:rFonts w:cs="Arial"/>
          <w:szCs w:val="24"/>
        </w:rPr>
        <w:t xml:space="preserve">(Accessed June 25, </w:t>
      </w:r>
      <w:r>
        <w:rPr>
          <w:rFonts w:cs="Arial"/>
          <w:szCs w:val="24"/>
        </w:rPr>
        <w:t>2018).</w:t>
      </w:r>
    </w:p>
  </w:endnote>
  <w:endnote w:id="76">
    <w:p w14:paraId="6F0E4564" w14:textId="6888D96F"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The Flesch-Kincaid Grade-Level (FKGL) is </w:t>
      </w:r>
      <w:r>
        <w:rPr>
          <w:rFonts w:cs="Arial"/>
          <w:szCs w:val="24"/>
        </w:rPr>
        <w:t>“</w:t>
      </w:r>
      <w:r w:rsidRPr="008920BA">
        <w:rPr>
          <w:rFonts w:cs="Arial"/>
          <w:szCs w:val="24"/>
        </w:rPr>
        <w:t>one of the most widely used</w:t>
      </w:r>
      <w:r>
        <w:rPr>
          <w:rFonts w:cs="Arial"/>
          <w:szCs w:val="24"/>
        </w:rPr>
        <w:t>”</w:t>
      </w:r>
      <w:r w:rsidRPr="008920BA">
        <w:rPr>
          <w:rFonts w:cs="Arial"/>
          <w:szCs w:val="24"/>
        </w:rPr>
        <w:t xml:space="preserve"> automated readability tools.</w:t>
      </w:r>
      <w:r>
        <w:rPr>
          <w:rFonts w:cs="Arial"/>
          <w:szCs w:val="24"/>
        </w:rPr>
        <w:t>”</w:t>
      </w:r>
      <w:r w:rsidRPr="008920BA">
        <w:rPr>
          <w:rFonts w:cs="Arial"/>
          <w:szCs w:val="24"/>
        </w:rPr>
        <w:t xml:space="preserve"> </w:t>
      </w:r>
      <w:r w:rsidRPr="008920BA">
        <w:rPr>
          <w:rFonts w:cs="Arial"/>
          <w:szCs w:val="24"/>
        </w:rPr>
        <w:t>U.S. Government Accountability Office</w:t>
      </w:r>
      <w:r>
        <w:rPr>
          <w:rFonts w:cs="Arial"/>
          <w:szCs w:val="24"/>
        </w:rPr>
        <w:t>. 2016.</w:t>
      </w:r>
      <w:r w:rsidRPr="008920BA">
        <w:rPr>
          <w:rFonts w:cs="Arial"/>
          <w:szCs w:val="24"/>
        </w:rPr>
        <w:t xml:space="preserve"> </w:t>
      </w:r>
      <w:r w:rsidRPr="00631E24">
        <w:rPr>
          <w:rFonts w:cs="Arial"/>
          <w:i/>
          <w:szCs w:val="24"/>
        </w:rPr>
        <w:t>Equal Employment Opportunity: Strengthening Oversight Could Improve Federal Contractor Nondiscrimination Compliance.</w:t>
      </w:r>
      <w:r>
        <w:rPr>
          <w:rFonts w:cs="Arial"/>
          <w:szCs w:val="24"/>
        </w:rPr>
        <w:t xml:space="preserve">” Washington, DC: U.S. Government Accountability Office, </w:t>
      </w:r>
      <w:r w:rsidRPr="008920BA">
        <w:rPr>
          <w:rFonts w:cs="Arial"/>
          <w:szCs w:val="24"/>
        </w:rPr>
        <w:t xml:space="preserve">4, </w:t>
      </w:r>
      <w:r w:rsidRPr="009F1DEB">
        <w:rPr>
          <w:rFonts w:cs="Arial"/>
          <w:szCs w:val="24"/>
        </w:rPr>
        <w:t>n. 9.</w:t>
      </w:r>
    </w:p>
  </w:endnote>
  <w:endnote w:id="77">
    <w:p w14:paraId="118901FF" w14:textId="52F8FDFF"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 xml:space="preserve">Twelve FEPAs were randomly selected, and their websites were reviewed. </w:t>
      </w:r>
      <w:r w:rsidRPr="008920BA">
        <w:rPr>
          <w:rFonts w:cs="Arial"/>
          <w:szCs w:val="24"/>
        </w:rPr>
        <w:t xml:space="preserve">The </w:t>
      </w:r>
      <w:r>
        <w:rPr>
          <w:rFonts w:cs="Arial"/>
          <w:szCs w:val="24"/>
        </w:rPr>
        <w:t>following FEPA websites had no clear indication of any</w:t>
      </w:r>
      <w:r w:rsidRPr="008920BA">
        <w:rPr>
          <w:rFonts w:cs="Arial"/>
          <w:szCs w:val="24"/>
        </w:rPr>
        <w:t xml:space="preserve"> workshare arrangement with the EEOC</w:t>
      </w:r>
      <w:r>
        <w:rPr>
          <w:rFonts w:cs="Arial"/>
          <w:szCs w:val="24"/>
        </w:rPr>
        <w:t xml:space="preserve">: </w:t>
      </w:r>
      <w:r w:rsidRPr="008920BA">
        <w:rPr>
          <w:rFonts w:cs="Arial"/>
          <w:szCs w:val="24"/>
        </w:rPr>
        <w:t>Alaska Commission for Human Rights, Kansas Human Rights Commission, New Hampshire Commission for Human Rights, New Mexico Human Rights Commission, Ohio Civil Rights Commission, St. Louis (MO) Civil Rights Enforcement Agency, Utah Industrial Commissio</w:t>
      </w:r>
      <w:r>
        <w:rPr>
          <w:rFonts w:cs="Arial"/>
          <w:szCs w:val="24"/>
        </w:rPr>
        <w:t>n, Anti–Discrimination Division.</w:t>
      </w:r>
      <w:r w:rsidRPr="008920BA">
        <w:rPr>
          <w:rFonts w:cs="Arial"/>
          <w:szCs w:val="24"/>
        </w:rPr>
        <w:t xml:space="preserve"> </w:t>
      </w:r>
      <w:r>
        <w:rPr>
          <w:rFonts w:cs="Arial"/>
          <w:szCs w:val="24"/>
        </w:rPr>
        <w:t>The following FEPA websites had minimum mention</w:t>
      </w:r>
      <w:r w:rsidRPr="008920BA">
        <w:rPr>
          <w:rFonts w:cs="Arial"/>
          <w:szCs w:val="24"/>
        </w:rPr>
        <w:t xml:space="preserve"> of a role for the EEOC</w:t>
      </w:r>
      <w:r>
        <w:rPr>
          <w:rFonts w:cs="Arial"/>
          <w:szCs w:val="24"/>
        </w:rPr>
        <w:t xml:space="preserve">: </w:t>
      </w:r>
      <w:r w:rsidRPr="008920BA">
        <w:rPr>
          <w:rFonts w:cs="Arial"/>
          <w:szCs w:val="24"/>
        </w:rPr>
        <w:t xml:space="preserve">Dade County (FL) Fair Housing and Employment Commission, Fort Dodge–Webster County (IA) Human Rights Commission. The </w:t>
      </w:r>
      <w:r>
        <w:rPr>
          <w:rFonts w:cs="Arial"/>
          <w:szCs w:val="24"/>
        </w:rPr>
        <w:t xml:space="preserve">following FEPA websites </w:t>
      </w:r>
      <w:r w:rsidRPr="008920BA">
        <w:rPr>
          <w:rFonts w:cs="Arial"/>
          <w:szCs w:val="24"/>
        </w:rPr>
        <w:t xml:space="preserve">did </w:t>
      </w:r>
      <w:r>
        <w:rPr>
          <w:rFonts w:cs="Arial"/>
          <w:szCs w:val="24"/>
        </w:rPr>
        <w:t xml:space="preserve">mention </w:t>
      </w:r>
      <w:r w:rsidRPr="008920BA">
        <w:rPr>
          <w:rFonts w:cs="Arial"/>
          <w:szCs w:val="24"/>
        </w:rPr>
        <w:t>the work</w:t>
      </w:r>
      <w:r>
        <w:rPr>
          <w:rFonts w:cs="Arial"/>
          <w:szCs w:val="24"/>
        </w:rPr>
        <w:t xml:space="preserve">share agreement with the EEOC: </w:t>
      </w:r>
      <w:r w:rsidRPr="008920BA">
        <w:rPr>
          <w:rFonts w:cs="Arial"/>
          <w:szCs w:val="24"/>
        </w:rPr>
        <w:t>Anchorage (AK) Equal Rights Commission, California Department of Fair Employment and Housing, and the Idaho Human Rights Commission</w:t>
      </w:r>
      <w:r>
        <w:rPr>
          <w:rFonts w:cs="Arial"/>
          <w:szCs w:val="24"/>
        </w:rPr>
        <w:t xml:space="preserve">. </w:t>
      </w:r>
      <w:r w:rsidRPr="008920BA">
        <w:rPr>
          <w:rFonts w:cs="Arial"/>
          <w:szCs w:val="24"/>
        </w:rPr>
        <w:t xml:space="preserve">The Anchorage Equal Rights Commission was the most clear and succinct, informing the public that </w:t>
      </w:r>
      <w:r>
        <w:rPr>
          <w:rFonts w:cs="Arial"/>
          <w:szCs w:val="24"/>
        </w:rPr>
        <w:t>“t</w:t>
      </w:r>
      <w:r w:rsidRPr="008920BA">
        <w:rPr>
          <w:rFonts w:cs="Arial"/>
          <w:szCs w:val="24"/>
        </w:rPr>
        <w:t>he AERC also enforces the Americans with Disabilities Act of 1990 (ADA</w:t>
      </w:r>
      <w:r>
        <w:rPr>
          <w:rFonts w:cs="Arial"/>
          <w:szCs w:val="24"/>
        </w:rPr>
        <w:t>–</w:t>
      </w:r>
      <w:r w:rsidRPr="008920BA">
        <w:rPr>
          <w:rFonts w:cs="Arial"/>
          <w:szCs w:val="24"/>
        </w:rPr>
        <w:t>Title I) and Title VII of the Civil Rights Act of 1964 through a work-share agreement with the federal Equal Employment Opportunity Commission (EEOC)</w:t>
      </w:r>
      <w:r>
        <w:rPr>
          <w:rFonts w:cs="Arial"/>
          <w:szCs w:val="24"/>
        </w:rPr>
        <w:t>.”</w:t>
      </w:r>
      <w:r w:rsidRPr="00F3319B">
        <w:t xml:space="preserve"> </w:t>
      </w:r>
      <w:hyperlink r:id="rId34" w:tooltip="https://www.muni.org/Departments/AERC/Pages/aboutus.aspx" w:history="1">
        <w:r w:rsidRPr="0056736C">
          <w:rPr>
            <w:rStyle w:val="Hyperlink"/>
            <w:rFonts w:cs="Arial"/>
            <w:szCs w:val="24"/>
          </w:rPr>
          <w:t>https://www.muni.org/Departments/AERC/Pages/aboutus.aspx</w:t>
        </w:r>
      </w:hyperlink>
      <w:r>
        <w:rPr>
          <w:rStyle w:val="Hyperlink"/>
          <w:rFonts w:cs="Arial"/>
          <w:szCs w:val="24"/>
        </w:rPr>
        <w:t>.</w:t>
      </w:r>
      <w:r>
        <w:rPr>
          <w:rFonts w:cs="Arial"/>
          <w:szCs w:val="24"/>
        </w:rPr>
        <w:t xml:space="preserve"> </w:t>
      </w:r>
    </w:p>
  </w:endnote>
  <w:endnote w:id="78">
    <w:p w14:paraId="501E56FF" w14:textId="1519721B"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2B34DD">
        <w:rPr>
          <w:rFonts w:cs="Arial"/>
          <w:szCs w:val="24"/>
        </w:rPr>
        <w:t xml:space="preserve">Benaugh v. Ohio Civil Rights </w:t>
      </w:r>
      <w:r>
        <w:rPr>
          <w:rFonts w:cs="Arial"/>
          <w:szCs w:val="24"/>
        </w:rPr>
        <w:t>’</w:t>
      </w:r>
      <w:r w:rsidRPr="002B34DD">
        <w:rPr>
          <w:rFonts w:cs="Arial"/>
          <w:szCs w:val="24"/>
        </w:rPr>
        <w:t>Comm</w:t>
      </w:r>
      <w:r>
        <w:rPr>
          <w:rFonts w:cs="Arial"/>
          <w:szCs w:val="24"/>
        </w:rPr>
        <w:t>’</w:t>
      </w:r>
      <w:r w:rsidRPr="002B34DD">
        <w:rPr>
          <w:rFonts w:cs="Arial"/>
          <w:szCs w:val="24"/>
        </w:rPr>
        <w:t>n</w:t>
      </w:r>
      <w:r>
        <w:rPr>
          <w:rFonts w:cs="Arial"/>
          <w:szCs w:val="24"/>
        </w:rPr>
        <w:t xml:space="preserve">, 278 F. App’x 501, 509–510 </w:t>
      </w:r>
      <w:r w:rsidRPr="008920BA">
        <w:rPr>
          <w:rFonts w:cs="Arial"/>
          <w:szCs w:val="24"/>
        </w:rPr>
        <w:t>(6th Cir. 2008)</w:t>
      </w:r>
      <w:r>
        <w:rPr>
          <w:rFonts w:cs="Arial"/>
          <w:szCs w:val="24"/>
        </w:rPr>
        <w:t>.</w:t>
      </w:r>
    </w:p>
  </w:endnote>
  <w:endnote w:id="79">
    <w:p w14:paraId="36FC59CA" w14:textId="038ADD68"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National Council on Disability.</w:t>
      </w:r>
      <w:r w:rsidRPr="008920BA">
        <w:rPr>
          <w:rFonts w:cs="Arial"/>
          <w:szCs w:val="24"/>
        </w:rPr>
        <w:t xml:space="preserve"> </w:t>
      </w:r>
      <w:r w:rsidRPr="00631E24">
        <w:rPr>
          <w:rFonts w:cs="Arial"/>
          <w:i/>
          <w:szCs w:val="24"/>
        </w:rPr>
        <w:t>Promises to Keep</w:t>
      </w:r>
      <w:r w:rsidRPr="008920BA">
        <w:rPr>
          <w:rFonts w:cs="Arial"/>
          <w:szCs w:val="24"/>
        </w:rPr>
        <w:t>, 199.</w:t>
      </w:r>
    </w:p>
  </w:endnote>
  <w:endnote w:id="80">
    <w:p w14:paraId="0A0D7C78" w14:textId="32BAB223"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 Equal Employment Opportunity Commission. July 7, 2016.</w:t>
      </w:r>
      <w:r w:rsidRPr="008920BA">
        <w:rPr>
          <w:rFonts w:cs="Arial"/>
          <w:szCs w:val="24"/>
        </w:rPr>
        <w:t xml:space="preserve"> </w:t>
      </w:r>
      <w:r w:rsidRPr="00631E24">
        <w:rPr>
          <w:rFonts w:cs="Arial"/>
          <w:i/>
          <w:szCs w:val="24"/>
        </w:rPr>
        <w:t>Advancing Opportunity, A Review of Systemic Programs</w:t>
      </w:r>
      <w:r>
        <w:rPr>
          <w:rFonts w:cs="Arial"/>
          <w:szCs w:val="24"/>
        </w:rPr>
        <w:t xml:space="preserve">, 10–11. </w:t>
      </w:r>
      <w:hyperlink r:id="rId35" w:tooltip="https://www.eeoc.gov/eeoc/systemic/review/" w:history="1">
        <w:r w:rsidRPr="008B50BA">
          <w:rPr>
            <w:rStyle w:val="Hyperlink"/>
            <w:rFonts w:cs="Arial"/>
            <w:szCs w:val="24"/>
          </w:rPr>
          <w:t>https://www.eeoc.gov/eeoc/systemic/review/</w:t>
        </w:r>
      </w:hyperlink>
      <w:r>
        <w:rPr>
          <w:rFonts w:cs="Arial"/>
          <w:szCs w:val="24"/>
        </w:rPr>
        <w:t xml:space="preserve">. </w:t>
      </w:r>
    </w:p>
  </w:endnote>
  <w:endnote w:id="81">
    <w:p w14:paraId="426CB227"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1C65EB">
        <w:rPr>
          <w:rFonts w:cs="Arial"/>
          <w:szCs w:val="24"/>
        </w:rPr>
        <w:t>Ibid.</w:t>
      </w:r>
    </w:p>
  </w:endnote>
  <w:endnote w:id="82">
    <w:p w14:paraId="5EFB6299" w14:textId="0ECA9D66" w:rsidR="005E3498" w:rsidRPr="000332BD" w:rsidRDefault="005E3498" w:rsidP="00BA0761">
      <w:pPr>
        <w:pStyle w:val="EndnoteText"/>
        <w:rPr>
          <w:rFonts w:cs="Arial"/>
          <w:szCs w:val="24"/>
        </w:rPr>
      </w:pPr>
      <w:r>
        <w:rPr>
          <w:rStyle w:val="EndnoteReference"/>
        </w:rPr>
        <w:endnoteRef/>
      </w:r>
      <w:r>
        <w:t xml:space="preserve"> </w:t>
      </w:r>
      <w:r>
        <w:rPr>
          <w:rFonts w:cs="Arial"/>
          <w:szCs w:val="24"/>
        </w:rPr>
        <w:t xml:space="preserve">U.S. Equal Employment Opportunity Commission. September 30, 2015. </w:t>
      </w:r>
      <w:r w:rsidRPr="00631E24">
        <w:rPr>
          <w:rFonts w:cs="Arial"/>
          <w:i/>
          <w:szCs w:val="24"/>
        </w:rPr>
        <w:t>Quality Practices for Effective Investigations and Conciliations</w:t>
      </w:r>
      <w:r>
        <w:rPr>
          <w:rFonts w:cs="Arial"/>
          <w:szCs w:val="24"/>
        </w:rPr>
        <w:t xml:space="preserve">. </w:t>
      </w:r>
      <w:hyperlink r:id="rId36" w:tooltip="https://www.eeoc.gov/eeoc/plan/quality_enforcement_practices.cfm" w:history="1">
        <w:r w:rsidRPr="0032098F">
          <w:rPr>
            <w:rStyle w:val="Hyperlink"/>
            <w:rFonts w:cs="Arial"/>
            <w:szCs w:val="24"/>
          </w:rPr>
          <w:t>https://www.eeoc.gov/eeoc/plan/quality_enforcement_practices.cfm</w:t>
        </w:r>
      </w:hyperlink>
      <w:r>
        <w:rPr>
          <w:rStyle w:val="Hyperlink"/>
          <w:rFonts w:cs="Arial"/>
          <w:szCs w:val="24"/>
        </w:rPr>
        <w:t>.</w:t>
      </w:r>
      <w:r>
        <w:rPr>
          <w:rFonts w:cs="Arial"/>
          <w:szCs w:val="24"/>
        </w:rPr>
        <w:t xml:space="preserve"> </w:t>
      </w:r>
    </w:p>
  </w:endnote>
  <w:endnote w:id="83">
    <w:p w14:paraId="6D027F04" w14:textId="77777777" w:rsidR="005E3498" w:rsidRPr="001C65EB" w:rsidRDefault="005E3498" w:rsidP="00BA0761">
      <w:pPr>
        <w:pStyle w:val="EndnoteText"/>
      </w:pPr>
      <w:r w:rsidRPr="001C65EB">
        <w:rPr>
          <w:rStyle w:val="EndnoteReference"/>
        </w:rPr>
        <w:endnoteRef/>
      </w:r>
      <w:r w:rsidRPr="001C65EB">
        <w:t xml:space="preserve"> </w:t>
      </w:r>
      <w:r w:rsidRPr="001C65EB">
        <w:rPr>
          <w:rFonts w:cs="Arial"/>
          <w:szCs w:val="24"/>
        </w:rPr>
        <w:t>Ibid.</w:t>
      </w:r>
    </w:p>
  </w:endnote>
  <w:endnote w:id="84">
    <w:p w14:paraId="13CFAAD3" w14:textId="77777777" w:rsidR="005E3498" w:rsidRDefault="005E3498" w:rsidP="00BA0761">
      <w:pPr>
        <w:pStyle w:val="EndnoteText"/>
      </w:pPr>
      <w:r w:rsidRPr="001C65EB">
        <w:rPr>
          <w:rStyle w:val="EndnoteReference"/>
        </w:rPr>
        <w:endnoteRef/>
      </w:r>
      <w:r w:rsidRPr="001C65EB">
        <w:t xml:space="preserve"> </w:t>
      </w:r>
      <w:r w:rsidRPr="001C65EB">
        <w:rPr>
          <w:rFonts w:cs="Arial"/>
          <w:szCs w:val="24"/>
        </w:rPr>
        <w:t>Ibid.</w:t>
      </w:r>
    </w:p>
  </w:endnote>
  <w:endnote w:id="85">
    <w:p w14:paraId="20D9298F" w14:textId="4D67DC3F"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 Equal Employment Opportunity Commission</w:t>
      </w:r>
      <w:r w:rsidRPr="008920BA">
        <w:rPr>
          <w:rFonts w:cs="Arial"/>
          <w:szCs w:val="24"/>
        </w:rPr>
        <w:t xml:space="preserve">, </w:t>
      </w:r>
      <w:r w:rsidRPr="00631E24">
        <w:rPr>
          <w:rFonts w:cs="Arial"/>
          <w:i/>
          <w:szCs w:val="24"/>
        </w:rPr>
        <w:t>Strategic Enforcement Plan: FY 2017</w:t>
      </w:r>
      <w:r w:rsidRPr="008920BA">
        <w:rPr>
          <w:rFonts w:cs="Arial"/>
          <w:szCs w:val="24"/>
        </w:rPr>
        <w:t>, 10.</w:t>
      </w:r>
    </w:p>
  </w:endnote>
  <w:endnote w:id="86">
    <w:p w14:paraId="461C22AC" w14:textId="77777777" w:rsidR="005E3498" w:rsidRPr="001C65EB" w:rsidRDefault="005E3498" w:rsidP="00BA0761">
      <w:pPr>
        <w:pStyle w:val="EndnoteText"/>
        <w:rPr>
          <w:rFonts w:cs="Arial"/>
          <w:szCs w:val="24"/>
        </w:rPr>
      </w:pPr>
      <w:r w:rsidRPr="001C65EB">
        <w:rPr>
          <w:rStyle w:val="EndnoteReference"/>
          <w:rFonts w:cs="Arial"/>
          <w:szCs w:val="24"/>
        </w:rPr>
        <w:endnoteRef/>
      </w:r>
      <w:r w:rsidRPr="001C65EB">
        <w:rPr>
          <w:rFonts w:cs="Arial"/>
          <w:szCs w:val="24"/>
        </w:rPr>
        <w:t xml:space="preserve"> Ibid.</w:t>
      </w:r>
    </w:p>
  </w:endnote>
  <w:endnote w:id="87">
    <w:p w14:paraId="406B0484" w14:textId="77777777" w:rsidR="005E3498" w:rsidRPr="001C65EB" w:rsidRDefault="005E3498" w:rsidP="00BA0761">
      <w:pPr>
        <w:pStyle w:val="EndnoteText"/>
        <w:rPr>
          <w:rFonts w:cs="Arial"/>
          <w:szCs w:val="24"/>
        </w:rPr>
      </w:pPr>
      <w:r w:rsidRPr="001C65EB">
        <w:rPr>
          <w:rStyle w:val="EndnoteReference"/>
          <w:rFonts w:cs="Arial"/>
          <w:szCs w:val="24"/>
        </w:rPr>
        <w:endnoteRef/>
      </w:r>
      <w:r w:rsidRPr="001C65EB">
        <w:rPr>
          <w:rFonts w:cs="Arial"/>
          <w:szCs w:val="24"/>
        </w:rPr>
        <w:t xml:space="preserve"> Ibid.</w:t>
      </w:r>
    </w:p>
  </w:endnote>
  <w:endnote w:id="88">
    <w:p w14:paraId="6499023C" w14:textId="2E01ECE9" w:rsidR="005E3498" w:rsidRPr="008920BA" w:rsidRDefault="005E3498" w:rsidP="00BA0761">
      <w:pPr>
        <w:pStyle w:val="EndnoteText"/>
        <w:rPr>
          <w:rFonts w:cs="Arial"/>
          <w:szCs w:val="24"/>
        </w:rPr>
      </w:pPr>
      <w:r w:rsidRPr="001C65EB">
        <w:rPr>
          <w:rStyle w:val="EndnoteReference"/>
          <w:rFonts w:cs="Arial"/>
          <w:szCs w:val="24"/>
        </w:rPr>
        <w:endnoteRef/>
      </w:r>
      <w:r w:rsidRPr="001C65EB">
        <w:rPr>
          <w:rFonts w:cs="Arial"/>
          <w:szCs w:val="24"/>
        </w:rPr>
        <w:t xml:space="preserve"> </w:t>
      </w:r>
      <w:r w:rsidRPr="001C65EB">
        <w:rPr>
          <w:rFonts w:cs="Arial"/>
          <w:szCs w:val="24"/>
        </w:rPr>
        <w:t>Ibid.</w:t>
      </w:r>
      <w:r>
        <w:rPr>
          <w:rFonts w:cs="Arial"/>
          <w:szCs w:val="24"/>
        </w:rPr>
        <w:t>, and data provided by the EEOC.</w:t>
      </w:r>
    </w:p>
  </w:endnote>
  <w:endnote w:id="89">
    <w:p w14:paraId="5CF7A02C" w14:textId="77777777" w:rsidR="005E3498" w:rsidRDefault="005E3498" w:rsidP="00BA0761">
      <w:pPr>
        <w:pStyle w:val="EndnoteText"/>
      </w:pPr>
      <w:r>
        <w:rPr>
          <w:rStyle w:val="EndnoteReference"/>
        </w:rPr>
        <w:endnoteRef/>
      </w:r>
      <w:r>
        <w:t xml:space="preserve"> </w:t>
      </w:r>
      <w:r w:rsidRPr="000424A3">
        <w:rPr>
          <w:rFonts w:cs="Arial"/>
          <w:szCs w:val="24"/>
        </w:rPr>
        <w:t xml:space="preserve">ADA Amendments Act of 2008, Pub. </w:t>
      </w:r>
      <w:r w:rsidRPr="000424A3">
        <w:rPr>
          <w:rFonts w:cs="Arial"/>
          <w:szCs w:val="24"/>
        </w:rPr>
        <w:t xml:space="preserve">L. No. 110-325, </w:t>
      </w:r>
      <w:r>
        <w:rPr>
          <w:rFonts w:cs="Arial"/>
          <w:szCs w:val="24"/>
        </w:rPr>
        <w:t>§ 2, 122 Stat. 3553.</w:t>
      </w:r>
    </w:p>
  </w:endnote>
  <w:endnote w:id="90">
    <w:p w14:paraId="22C892CD" w14:textId="17275D41"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National Council on Disability.</w:t>
      </w:r>
      <w:r w:rsidRPr="008920BA">
        <w:rPr>
          <w:rFonts w:cs="Arial"/>
          <w:szCs w:val="24"/>
        </w:rPr>
        <w:t xml:space="preserve"> </w:t>
      </w:r>
      <w:r w:rsidRPr="00631E24">
        <w:rPr>
          <w:rFonts w:cs="Arial"/>
          <w:i/>
          <w:szCs w:val="24"/>
        </w:rPr>
        <w:t>Promises to Keep</w:t>
      </w:r>
      <w:r w:rsidRPr="008920BA">
        <w:rPr>
          <w:rFonts w:cs="Arial"/>
          <w:szCs w:val="24"/>
        </w:rPr>
        <w:t>, 193.</w:t>
      </w:r>
    </w:p>
  </w:endnote>
  <w:endnote w:id="91">
    <w:p w14:paraId="03B47BA6" w14:textId="395B2B7C" w:rsidR="005E3498" w:rsidRPr="0040400C" w:rsidRDefault="005E3498" w:rsidP="00BA0761">
      <w:pPr>
        <w:pStyle w:val="EndnoteText"/>
        <w:rPr>
          <w:rFonts w:cs="Arial"/>
          <w:szCs w:val="24"/>
        </w:rPr>
      </w:pPr>
      <w:r w:rsidRPr="0040400C">
        <w:rPr>
          <w:rStyle w:val="EndnoteReference"/>
          <w:rFonts w:cs="Arial"/>
          <w:szCs w:val="24"/>
        </w:rPr>
        <w:endnoteRef/>
      </w:r>
      <w:r w:rsidRPr="0040400C">
        <w:rPr>
          <w:rFonts w:cs="Arial"/>
          <w:szCs w:val="24"/>
        </w:rPr>
        <w:t xml:space="preserve"> According to the EEOC, approval of the Commissions is required when </w:t>
      </w:r>
      <w:r>
        <w:rPr>
          <w:rFonts w:cs="Arial"/>
          <w:szCs w:val="24"/>
        </w:rPr>
        <w:t>(</w:t>
      </w:r>
      <w:r w:rsidRPr="0040400C">
        <w:rPr>
          <w:rFonts w:cs="Arial"/>
          <w:szCs w:val="24"/>
        </w:rPr>
        <w:t xml:space="preserve">1) a case may involve a major expenditure of EEOC resources, including staffing and staff time, and/or expenses associated with extensive discovery or expert witnesses; </w:t>
      </w:r>
      <w:r>
        <w:rPr>
          <w:rFonts w:cs="Arial"/>
          <w:szCs w:val="24"/>
        </w:rPr>
        <w:t>(</w:t>
      </w:r>
      <w:r w:rsidRPr="0040400C">
        <w:rPr>
          <w:rFonts w:cs="Arial"/>
          <w:szCs w:val="24"/>
        </w:rPr>
        <w:t xml:space="preserve">2) a case presents an issue in a developing area of law where the Commission has not adopted a position through regulation, policy guidance, Commission decision, or compliance manuals, or where the Commission has only recently adopted a position; </w:t>
      </w:r>
      <w:r>
        <w:rPr>
          <w:rFonts w:cs="Arial"/>
          <w:szCs w:val="24"/>
        </w:rPr>
        <w:t>(</w:t>
      </w:r>
      <w:r w:rsidRPr="0040400C">
        <w:rPr>
          <w:rFonts w:cs="Arial"/>
          <w:szCs w:val="24"/>
        </w:rPr>
        <w:t>3) a case where the General Counsel reasonably believes to be appropriate for submission for Commission consideration, for example, because of a likelihood for public controversy; and 4) participation as a friend of the court (amicus curiae).</w:t>
      </w:r>
    </w:p>
  </w:endnote>
  <w:endnote w:id="92">
    <w:p w14:paraId="3DF8331F" w14:textId="48FAF426"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The EEOC Office of General Counsel publishes an annual report on litigation activity</w:t>
      </w:r>
      <w:r>
        <w:rPr>
          <w:rFonts w:cs="Arial"/>
          <w:szCs w:val="24"/>
        </w:rPr>
        <w:t>,</w:t>
      </w:r>
      <w:r w:rsidRPr="008920BA">
        <w:rPr>
          <w:rFonts w:cs="Arial"/>
          <w:szCs w:val="24"/>
        </w:rPr>
        <w:t xml:space="preserve"> </w:t>
      </w:r>
      <w:hyperlink r:id="rId37" w:tooltip="https://www.eeoc.gov/eeoc/litigation/reports/index.cfm" w:history="1">
        <w:r w:rsidRPr="008920BA">
          <w:rPr>
            <w:rStyle w:val="Hyperlink"/>
            <w:rFonts w:cs="Arial"/>
            <w:szCs w:val="24"/>
          </w:rPr>
          <w:t>https://www.eeoc.gov/eeoc/litigation/reports/index.cfm</w:t>
        </w:r>
      </w:hyperlink>
      <w:r>
        <w:rPr>
          <w:rFonts w:cs="Arial"/>
          <w:szCs w:val="24"/>
        </w:rPr>
        <w:t>. The</w:t>
      </w:r>
      <w:r w:rsidRPr="008920BA">
        <w:rPr>
          <w:rFonts w:cs="Arial"/>
          <w:szCs w:val="24"/>
        </w:rPr>
        <w:t xml:space="preserve"> last publicly available </w:t>
      </w:r>
      <w:r>
        <w:rPr>
          <w:rFonts w:cs="Arial"/>
          <w:szCs w:val="24"/>
        </w:rPr>
        <w:t>report at the time of research for this report covered</w:t>
      </w:r>
      <w:r w:rsidRPr="008920BA">
        <w:rPr>
          <w:rFonts w:cs="Arial"/>
          <w:szCs w:val="24"/>
        </w:rPr>
        <w:t xml:space="preserve"> FY 201</w:t>
      </w:r>
      <w:r>
        <w:rPr>
          <w:rFonts w:cs="Arial"/>
          <w:szCs w:val="24"/>
        </w:rPr>
        <w:t>6</w:t>
      </w:r>
      <w:r w:rsidRPr="008920BA">
        <w:rPr>
          <w:rFonts w:cs="Arial"/>
          <w:szCs w:val="24"/>
        </w:rPr>
        <w:t>.</w:t>
      </w:r>
      <w:r>
        <w:rPr>
          <w:rFonts w:cs="Arial"/>
          <w:szCs w:val="24"/>
        </w:rPr>
        <w:t xml:space="preserve"> A subsequent report was published for FY 2017.</w:t>
      </w:r>
      <w:r w:rsidRPr="008920BA">
        <w:rPr>
          <w:rFonts w:cs="Arial"/>
          <w:szCs w:val="24"/>
        </w:rPr>
        <w:t xml:space="preserve"> </w:t>
      </w:r>
      <w:r>
        <w:rPr>
          <w:rFonts w:cs="Arial"/>
          <w:szCs w:val="24"/>
        </w:rPr>
        <w:t>The statistical analysis is based on information provided in these annual reports.</w:t>
      </w:r>
    </w:p>
  </w:endnote>
  <w:endnote w:id="93">
    <w:p w14:paraId="75CDFF5B" w14:textId="13E7BDCB" w:rsidR="005E3498" w:rsidRDefault="005E3498" w:rsidP="00BA0761">
      <w:pPr>
        <w:pStyle w:val="EndnoteText"/>
      </w:pPr>
      <w:r>
        <w:rPr>
          <w:rStyle w:val="EndnoteReference"/>
        </w:rPr>
        <w:endnoteRef/>
      </w:r>
      <w:r>
        <w:t xml:space="preserve"> </w:t>
      </w:r>
      <w:r>
        <w:rPr>
          <w:rFonts w:cs="Arial"/>
          <w:szCs w:val="24"/>
        </w:rPr>
        <w:t xml:space="preserve">U.S. Equal Employment Opportunity Commission. </w:t>
      </w:r>
      <w:r w:rsidRPr="00631E24">
        <w:rPr>
          <w:rFonts w:cs="Arial"/>
          <w:i/>
          <w:szCs w:val="24"/>
        </w:rPr>
        <w:t>Strategic Enforcement Plan FY 2017,</w:t>
      </w:r>
      <w:r>
        <w:rPr>
          <w:rFonts w:cs="Arial"/>
          <w:szCs w:val="24"/>
        </w:rPr>
        <w:t xml:space="preserve"> </w:t>
      </w:r>
      <w:r w:rsidRPr="00B37FFB">
        <w:rPr>
          <w:rFonts w:cs="Arial"/>
          <w:szCs w:val="24"/>
        </w:rPr>
        <w:t>4</w:t>
      </w:r>
      <w:r>
        <w:rPr>
          <w:rFonts w:cs="Arial"/>
          <w:szCs w:val="24"/>
        </w:rPr>
        <w:t>–</w:t>
      </w:r>
      <w:r w:rsidRPr="00B37FFB">
        <w:rPr>
          <w:rFonts w:cs="Arial"/>
          <w:szCs w:val="24"/>
        </w:rPr>
        <w:t>5.</w:t>
      </w:r>
    </w:p>
  </w:endnote>
  <w:endnote w:id="94">
    <w:p w14:paraId="7ACA30C1" w14:textId="1BCAEDB2"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E</w:t>
      </w:r>
      <w:r w:rsidRPr="005F62F7">
        <w:rPr>
          <w:rFonts w:cs="Arial"/>
          <w:szCs w:val="24"/>
        </w:rPr>
        <w:t>EOC v. Hill Country Farms d/b/a as Henry</w:t>
      </w:r>
      <w:r>
        <w:rPr>
          <w:rFonts w:cs="Arial"/>
          <w:szCs w:val="24"/>
        </w:rPr>
        <w:t>’</w:t>
      </w:r>
      <w:r w:rsidRPr="005F62F7">
        <w:rPr>
          <w:rFonts w:cs="Arial"/>
          <w:szCs w:val="24"/>
        </w:rPr>
        <w:t>s Turkey Service</w:t>
      </w:r>
      <w:r>
        <w:rPr>
          <w:rFonts w:cs="Arial"/>
          <w:szCs w:val="24"/>
        </w:rPr>
        <w:t xml:space="preserve">, </w:t>
      </w:r>
      <w:r w:rsidRPr="008920BA">
        <w:rPr>
          <w:rFonts w:cs="Arial"/>
          <w:szCs w:val="24"/>
        </w:rPr>
        <w:t>899 F. Supp. 2d 827 (S.D. Iowa 2012), aff</w:t>
      </w:r>
      <w:r>
        <w:rPr>
          <w:rFonts w:cs="Arial"/>
          <w:szCs w:val="24"/>
        </w:rPr>
        <w:t>’</w:t>
      </w:r>
      <w:r w:rsidRPr="008920BA">
        <w:rPr>
          <w:rFonts w:cs="Arial"/>
          <w:szCs w:val="24"/>
        </w:rPr>
        <w:t>d, 56</w:t>
      </w:r>
      <w:r>
        <w:rPr>
          <w:rFonts w:cs="Arial"/>
          <w:szCs w:val="24"/>
        </w:rPr>
        <w:t>4 F. ’</w:t>
      </w:r>
      <w:r>
        <w:rPr>
          <w:rFonts w:cs="Arial"/>
          <w:szCs w:val="24"/>
        </w:rPr>
        <w:t>App’x 868 (8th Cir. 2014).</w:t>
      </w:r>
    </w:p>
  </w:endnote>
  <w:endnote w:id="95">
    <w:p w14:paraId="39BD4F21" w14:textId="3A5C6533" w:rsidR="005E3498" w:rsidRPr="0011139E" w:rsidRDefault="005E3498" w:rsidP="00BA0761">
      <w:pPr>
        <w:pStyle w:val="EndnoteText"/>
        <w:rPr>
          <w:rFonts w:cs="Arial"/>
          <w:szCs w:val="24"/>
          <w:lang w:val="es-ES"/>
        </w:rPr>
      </w:pPr>
      <w:r>
        <w:rPr>
          <w:rStyle w:val="EndnoteReference"/>
        </w:rPr>
        <w:endnoteRef/>
      </w:r>
      <w:r>
        <w:t xml:space="preserve"> </w:t>
      </w:r>
      <w:r>
        <w:rPr>
          <w:rFonts w:cs="Arial"/>
          <w:szCs w:val="24"/>
        </w:rPr>
        <w:t>U.S. Equal Employment Opportunity Commission. September 17, 2015.</w:t>
      </w:r>
      <w:r w:rsidRPr="00B733B4">
        <w:rPr>
          <w:rFonts w:cs="Arial"/>
          <w:szCs w:val="24"/>
        </w:rPr>
        <w:t xml:space="preserve"> </w:t>
      </w:r>
      <w:r>
        <w:rPr>
          <w:rFonts w:cs="Arial"/>
          <w:szCs w:val="24"/>
        </w:rPr>
        <w:t>“</w:t>
      </w:r>
      <w:r w:rsidRPr="001C65EB">
        <w:rPr>
          <w:rFonts w:cs="Arial"/>
          <w:szCs w:val="24"/>
        </w:rPr>
        <w:t>Press Release, Henry</w:t>
      </w:r>
      <w:r>
        <w:rPr>
          <w:rFonts w:cs="Arial"/>
          <w:szCs w:val="24"/>
        </w:rPr>
        <w:t>’</w:t>
      </w:r>
      <w:r w:rsidRPr="001C65EB">
        <w:rPr>
          <w:rFonts w:cs="Arial"/>
          <w:szCs w:val="24"/>
        </w:rPr>
        <w:t>s Turkey Service, Heirs Must Turn over Almost $600,000 Owed to Disabled Workers</w:t>
      </w:r>
      <w:r>
        <w:rPr>
          <w:rFonts w:cs="Arial"/>
          <w:szCs w:val="24"/>
        </w:rPr>
        <w:t xml:space="preserve">.” </w:t>
      </w:r>
      <w:hyperlink r:id="rId38" w:tooltip="https://www.eeoc.gov/eeoc/newsroom/release/9-17-15b.cfm" w:history="1">
        <w:r w:rsidRPr="0011139E">
          <w:rPr>
            <w:rStyle w:val="Hyperlink"/>
            <w:rFonts w:cs="Arial"/>
            <w:szCs w:val="24"/>
            <w:lang w:val="es-ES"/>
          </w:rPr>
          <w:t>https://www.eeoc.gov/eeoc/newsroom/release/9-17-15b.cfm</w:t>
        </w:r>
      </w:hyperlink>
      <w:r w:rsidRPr="0011139E">
        <w:rPr>
          <w:rStyle w:val="Hyperlink"/>
          <w:rFonts w:cs="Arial"/>
          <w:szCs w:val="24"/>
          <w:lang w:val="es-ES"/>
        </w:rPr>
        <w:t>.</w:t>
      </w:r>
    </w:p>
  </w:endnote>
  <w:endnote w:id="96">
    <w:p w14:paraId="2E9177EF" w14:textId="77777777" w:rsidR="005E3498" w:rsidRPr="0011139E" w:rsidRDefault="005E3498" w:rsidP="00BA0761">
      <w:pPr>
        <w:pStyle w:val="EndnoteText"/>
        <w:rPr>
          <w:lang w:val="es-ES"/>
        </w:rPr>
      </w:pPr>
      <w:r>
        <w:rPr>
          <w:rStyle w:val="EndnoteReference"/>
        </w:rPr>
        <w:endnoteRef/>
      </w:r>
      <w:r w:rsidRPr="0011139E">
        <w:rPr>
          <w:lang w:val="es-ES"/>
        </w:rPr>
        <w:t xml:space="preserve"> </w:t>
      </w:r>
      <w:r w:rsidRPr="0011139E">
        <w:rPr>
          <w:rFonts w:cs="Arial"/>
          <w:szCs w:val="24"/>
          <w:lang w:val="es-ES"/>
        </w:rPr>
        <w:t>Ibid.</w:t>
      </w:r>
    </w:p>
  </w:endnote>
  <w:endnote w:id="97">
    <w:p w14:paraId="1DB2E896"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5F62F7">
        <w:rPr>
          <w:rFonts w:cs="Arial"/>
          <w:szCs w:val="24"/>
        </w:rPr>
        <w:t>EEOC v. United Airlines</w:t>
      </w:r>
      <w:r>
        <w:rPr>
          <w:rFonts w:cs="Arial"/>
          <w:szCs w:val="24"/>
        </w:rPr>
        <w:t>,</w:t>
      </w:r>
      <w:r w:rsidRPr="005F62F7">
        <w:rPr>
          <w:rFonts w:cs="Arial"/>
          <w:szCs w:val="24"/>
        </w:rPr>
        <w:t xml:space="preserve"> </w:t>
      </w:r>
      <w:r w:rsidRPr="008920BA">
        <w:rPr>
          <w:rFonts w:cs="Arial"/>
          <w:szCs w:val="24"/>
        </w:rPr>
        <w:t>693 F.3d 760 (7th Cir. 2012)</w:t>
      </w:r>
      <w:r>
        <w:rPr>
          <w:rFonts w:cs="Arial"/>
          <w:szCs w:val="24"/>
        </w:rPr>
        <w:t>.</w:t>
      </w:r>
    </w:p>
  </w:endnote>
  <w:endnote w:id="98">
    <w:p w14:paraId="73919762"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2C7E88">
        <w:rPr>
          <w:rFonts w:cs="Arial"/>
          <w:szCs w:val="24"/>
        </w:rPr>
        <w:t xml:space="preserve">EEOC v. </w:t>
      </w:r>
      <w:r w:rsidRPr="002C7E88">
        <w:rPr>
          <w:rFonts w:cs="Arial"/>
          <w:szCs w:val="24"/>
        </w:rPr>
        <w:t>Humiston-Kelling</w:t>
      </w:r>
      <w:r>
        <w:rPr>
          <w:rFonts w:cs="Arial"/>
          <w:szCs w:val="24"/>
        </w:rPr>
        <w:t xml:space="preserve">, </w:t>
      </w:r>
      <w:r w:rsidRPr="008920BA">
        <w:rPr>
          <w:rFonts w:cs="Arial"/>
          <w:szCs w:val="24"/>
        </w:rPr>
        <w:t>227 F.3d 1024 (7th Cir. 2000)</w:t>
      </w:r>
      <w:r>
        <w:rPr>
          <w:rFonts w:cs="Arial"/>
          <w:szCs w:val="24"/>
        </w:rPr>
        <w:t>.</w:t>
      </w:r>
    </w:p>
  </w:endnote>
  <w:endnote w:id="99">
    <w:p w14:paraId="33698316" w14:textId="2531B254"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2C7E88">
        <w:rPr>
          <w:rFonts w:cs="Arial"/>
          <w:szCs w:val="24"/>
        </w:rPr>
        <w:t>EEOC v. St. Joseph</w:t>
      </w:r>
      <w:r>
        <w:rPr>
          <w:rFonts w:cs="Arial"/>
          <w:szCs w:val="24"/>
        </w:rPr>
        <w:t>’</w:t>
      </w:r>
      <w:r w:rsidRPr="002C7E88">
        <w:rPr>
          <w:rFonts w:cs="Arial"/>
          <w:szCs w:val="24"/>
        </w:rPr>
        <w:t>s Hospital</w:t>
      </w:r>
      <w:r>
        <w:rPr>
          <w:rFonts w:cs="Arial"/>
          <w:szCs w:val="24"/>
        </w:rPr>
        <w:t xml:space="preserve">, </w:t>
      </w:r>
      <w:r>
        <w:rPr>
          <w:rFonts w:cs="Arial"/>
          <w:bCs/>
          <w:color w:val="222222"/>
          <w:szCs w:val="24"/>
        </w:rPr>
        <w:t>842 F.3d 1333,</w:t>
      </w:r>
      <w:r w:rsidRPr="00D70AA0">
        <w:t xml:space="preserve"> </w:t>
      </w:r>
      <w:r w:rsidRPr="00D70AA0">
        <w:rPr>
          <w:rFonts w:cs="Arial"/>
          <w:bCs/>
          <w:color w:val="222222"/>
          <w:szCs w:val="24"/>
        </w:rPr>
        <w:t>1345</w:t>
      </w:r>
      <w:r>
        <w:rPr>
          <w:rFonts w:cs="Arial"/>
          <w:bCs/>
          <w:color w:val="222222"/>
          <w:szCs w:val="24"/>
        </w:rPr>
        <w:t xml:space="preserve"> (11th Cir. 2016).</w:t>
      </w:r>
    </w:p>
  </w:endnote>
  <w:endnote w:id="100">
    <w:p w14:paraId="71D6BFD3" w14:textId="77777777" w:rsidR="005E3498" w:rsidRPr="00C92F15" w:rsidRDefault="005E3498" w:rsidP="00BA0761">
      <w:pPr>
        <w:pStyle w:val="EndnoteText"/>
        <w:rPr>
          <w:rFonts w:cs="Arial"/>
          <w:szCs w:val="24"/>
        </w:rPr>
      </w:pPr>
      <w:r w:rsidRPr="00C92F15">
        <w:rPr>
          <w:rStyle w:val="EndnoteReference"/>
          <w:rFonts w:cs="Arial"/>
          <w:szCs w:val="24"/>
        </w:rPr>
        <w:endnoteRef/>
      </w:r>
      <w:r w:rsidRPr="00C92F15">
        <w:rPr>
          <w:rFonts w:cs="Arial"/>
          <w:szCs w:val="24"/>
        </w:rPr>
        <w:t xml:space="preserve"> </w:t>
      </w:r>
      <w:r w:rsidRPr="002C7E88">
        <w:rPr>
          <w:rFonts w:cs="Arial"/>
          <w:szCs w:val="24"/>
        </w:rPr>
        <w:t>EEOC v. The Picture People, Inc</w:t>
      </w:r>
      <w:r>
        <w:rPr>
          <w:rFonts w:cs="Arial"/>
          <w:szCs w:val="24"/>
        </w:rPr>
        <w:t xml:space="preserve">., </w:t>
      </w:r>
      <w:r w:rsidRPr="00C92F15">
        <w:rPr>
          <w:rFonts w:cs="Arial"/>
          <w:bCs/>
          <w:color w:val="222222"/>
          <w:szCs w:val="24"/>
        </w:rPr>
        <w:t>684 F.3d 981 (10th Cir. 2012)</w:t>
      </w:r>
      <w:r>
        <w:rPr>
          <w:rFonts w:cs="Arial"/>
          <w:bCs/>
          <w:color w:val="222222"/>
          <w:szCs w:val="24"/>
        </w:rPr>
        <w:t>.</w:t>
      </w:r>
    </w:p>
  </w:endnote>
  <w:endnote w:id="101">
    <w:p w14:paraId="568A03E0" w14:textId="77777777" w:rsidR="005E3498" w:rsidRDefault="005E3498" w:rsidP="00BA0761">
      <w:pPr>
        <w:pStyle w:val="EndnoteText"/>
      </w:pPr>
      <w:r>
        <w:rPr>
          <w:rStyle w:val="EndnoteReference"/>
        </w:rPr>
        <w:endnoteRef/>
      </w:r>
      <w:r>
        <w:t xml:space="preserve"> </w:t>
      </w:r>
      <w:r w:rsidRPr="00B82FFE">
        <w:rPr>
          <w:rFonts w:cs="Arial"/>
          <w:szCs w:val="24"/>
        </w:rPr>
        <w:t>EEOC v. AutoZone, Inc.</w:t>
      </w:r>
      <w:r>
        <w:rPr>
          <w:rFonts w:cs="Arial"/>
          <w:szCs w:val="24"/>
        </w:rPr>
        <w:t xml:space="preserve">, </w:t>
      </w:r>
      <w:r w:rsidRPr="00273119">
        <w:rPr>
          <w:rFonts w:cs="Arial"/>
          <w:color w:val="333333"/>
          <w:szCs w:val="24"/>
          <w:lang w:val="en"/>
        </w:rPr>
        <w:t>707 F.3d 824 (7th Cir. 2013)</w:t>
      </w:r>
      <w:r>
        <w:rPr>
          <w:rFonts w:cs="Arial"/>
          <w:color w:val="333333"/>
          <w:szCs w:val="24"/>
          <w:lang w:val="en"/>
        </w:rPr>
        <w:t>.</w:t>
      </w:r>
    </w:p>
  </w:endnote>
  <w:endnote w:id="102">
    <w:p w14:paraId="07C39CE4" w14:textId="77777777" w:rsidR="005E3498" w:rsidRDefault="005E3498" w:rsidP="00BA0761">
      <w:pPr>
        <w:pStyle w:val="EndnoteText"/>
      </w:pPr>
      <w:r>
        <w:rPr>
          <w:rStyle w:val="EndnoteReference"/>
        </w:rPr>
        <w:endnoteRef/>
      </w:r>
      <w:r>
        <w:t xml:space="preserve"> </w:t>
      </w:r>
      <w:r w:rsidRPr="005F62F7">
        <w:rPr>
          <w:rFonts w:cs="Arial"/>
          <w:szCs w:val="24"/>
        </w:rPr>
        <w:t>EEOC v. LHC Group, Inc.,</w:t>
      </w:r>
      <w:r>
        <w:t xml:space="preserve"> </w:t>
      </w:r>
      <w:r w:rsidRPr="00273119">
        <w:rPr>
          <w:rFonts w:cs="Arial"/>
          <w:color w:val="222222"/>
          <w:szCs w:val="24"/>
        </w:rPr>
        <w:t xml:space="preserve">773 F.3d 688 </w:t>
      </w:r>
      <w:r w:rsidRPr="00273119">
        <w:rPr>
          <w:rFonts w:cs="Arial"/>
          <w:szCs w:val="24"/>
        </w:rPr>
        <w:t>(5th Cir. 2014)</w:t>
      </w:r>
      <w:r>
        <w:rPr>
          <w:rFonts w:cs="Arial"/>
          <w:szCs w:val="24"/>
        </w:rPr>
        <w:t>.</w:t>
      </w:r>
    </w:p>
  </w:endnote>
  <w:endnote w:id="103">
    <w:p w14:paraId="76669B9C" w14:textId="69D1C479"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5F62F7">
        <w:rPr>
          <w:rFonts w:cs="Arial"/>
          <w:szCs w:val="24"/>
        </w:rPr>
        <w:t>EEOC v. Womble</w:t>
      </w:r>
      <w:r>
        <w:rPr>
          <w:rFonts w:cs="Arial"/>
          <w:szCs w:val="24"/>
        </w:rPr>
        <w:t xml:space="preserve"> Carlyle, </w:t>
      </w:r>
      <w:r>
        <w:rPr>
          <w:rFonts w:cs="Arial"/>
          <w:szCs w:val="24"/>
        </w:rPr>
        <w:t xml:space="preserve">Sandridge &amp; Rice, LLP, 616 F. </w:t>
      </w:r>
      <w:r w:rsidRPr="005F62F7">
        <w:rPr>
          <w:rFonts w:cs="Arial"/>
          <w:szCs w:val="24"/>
        </w:rPr>
        <w:t>App</w:t>
      </w:r>
      <w:r>
        <w:rPr>
          <w:rFonts w:cs="Arial"/>
          <w:szCs w:val="24"/>
        </w:rPr>
        <w:t>’</w:t>
      </w:r>
      <w:r w:rsidRPr="005F62F7">
        <w:rPr>
          <w:rFonts w:cs="Arial"/>
          <w:szCs w:val="24"/>
        </w:rPr>
        <w:t xml:space="preserve">x. 588 </w:t>
      </w:r>
      <w:r>
        <w:rPr>
          <w:rFonts w:cs="Arial"/>
          <w:bCs/>
          <w:color w:val="222222"/>
          <w:szCs w:val="24"/>
        </w:rPr>
        <w:t>(4th Cir. 2015).</w:t>
      </w:r>
    </w:p>
  </w:endnote>
  <w:endnote w:id="104">
    <w:p w14:paraId="596CA622"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 xml:space="preserve">EEOC v. AutoZone, Inc., </w:t>
      </w:r>
      <w:r w:rsidRPr="008920BA">
        <w:rPr>
          <w:rFonts w:cs="Arial"/>
          <w:bCs/>
          <w:color w:val="222222"/>
          <w:szCs w:val="24"/>
        </w:rPr>
        <w:t>809 F.3d 916 (7th Cir. 2016)</w:t>
      </w:r>
      <w:r>
        <w:rPr>
          <w:rFonts w:cs="Arial"/>
          <w:bCs/>
          <w:color w:val="222222"/>
          <w:szCs w:val="24"/>
        </w:rPr>
        <w:t>.</w:t>
      </w:r>
    </w:p>
  </w:endnote>
  <w:endnote w:id="105">
    <w:p w14:paraId="382E46EF"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5F62F7">
        <w:rPr>
          <w:rFonts w:cs="Arial"/>
          <w:szCs w:val="24"/>
        </w:rPr>
        <w:t xml:space="preserve">EEOC v. </w:t>
      </w:r>
      <w:r>
        <w:rPr>
          <w:rFonts w:cs="Arial"/>
          <w:szCs w:val="24"/>
        </w:rPr>
        <w:t xml:space="preserve">Ford Motor Company, </w:t>
      </w:r>
      <w:r w:rsidRPr="008920BA">
        <w:rPr>
          <w:rFonts w:cs="Arial"/>
          <w:bCs/>
          <w:color w:val="222222"/>
          <w:szCs w:val="24"/>
        </w:rPr>
        <w:t>782 F.3d 753 (6th Cir. 2015)</w:t>
      </w:r>
      <w:r>
        <w:rPr>
          <w:rFonts w:cs="Arial"/>
          <w:bCs/>
          <w:color w:val="222222"/>
          <w:szCs w:val="24"/>
        </w:rPr>
        <w:t>.</w:t>
      </w:r>
    </w:p>
  </w:endnote>
  <w:endnote w:id="106">
    <w:p w14:paraId="62641DD5" w14:textId="3BC389D6" w:rsidR="005E3498" w:rsidRPr="004D5E12" w:rsidRDefault="005E3498" w:rsidP="00BA0761">
      <w:pPr>
        <w:pStyle w:val="EndnoteText"/>
        <w:rPr>
          <w:rFonts w:cs="Arial"/>
          <w:szCs w:val="24"/>
        </w:rPr>
      </w:pPr>
      <w:r>
        <w:rPr>
          <w:rStyle w:val="EndnoteReference"/>
        </w:rPr>
        <w:endnoteRef/>
      </w:r>
      <w:r>
        <w:t xml:space="preserve"> </w:t>
      </w:r>
      <w:r w:rsidRPr="00A65D88">
        <w:rPr>
          <w:rFonts w:cs="Arial"/>
          <w:szCs w:val="24"/>
        </w:rPr>
        <w:t xml:space="preserve">Ibid., </w:t>
      </w:r>
      <w:r w:rsidRPr="006D1E04">
        <w:rPr>
          <w:rFonts w:cs="Arial"/>
          <w:szCs w:val="24"/>
        </w:rPr>
        <w:t xml:space="preserve">782 F.3d </w:t>
      </w:r>
      <w:r>
        <w:rPr>
          <w:rFonts w:cs="Arial"/>
          <w:szCs w:val="24"/>
        </w:rPr>
        <w:t xml:space="preserve">at </w:t>
      </w:r>
      <w:r w:rsidRPr="00A65D88">
        <w:rPr>
          <w:rFonts w:cs="Arial"/>
          <w:szCs w:val="24"/>
        </w:rPr>
        <w:t>757</w:t>
      </w:r>
      <w:r>
        <w:rPr>
          <w:rFonts w:cs="Arial"/>
          <w:szCs w:val="24"/>
        </w:rPr>
        <w:t>–</w:t>
      </w:r>
      <w:r w:rsidRPr="00A65D88">
        <w:rPr>
          <w:rFonts w:cs="Arial"/>
          <w:szCs w:val="24"/>
        </w:rPr>
        <w:t>58.</w:t>
      </w:r>
    </w:p>
  </w:endnote>
  <w:endnote w:id="107">
    <w:p w14:paraId="35D95A82"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C4BEC">
        <w:rPr>
          <w:rFonts w:cs="Arial"/>
          <w:szCs w:val="24"/>
        </w:rPr>
        <w:t>EEOC v. Old Dominion Freight Line, Inc</w:t>
      </w:r>
      <w:r>
        <w:t>.,</w:t>
      </w:r>
      <w:r>
        <w:rPr>
          <w:rFonts w:cs="Arial"/>
          <w:szCs w:val="24"/>
        </w:rPr>
        <w:t xml:space="preserve"> No. 2:11</w:t>
      </w:r>
      <w:r w:rsidRPr="005F62F7">
        <w:rPr>
          <w:rFonts w:cs="Arial"/>
          <w:szCs w:val="24"/>
        </w:rPr>
        <w:t>–CV–</w:t>
      </w:r>
      <w:r>
        <w:rPr>
          <w:rFonts w:cs="Arial"/>
          <w:szCs w:val="24"/>
        </w:rPr>
        <w:t xml:space="preserve">02153, </w:t>
      </w:r>
      <w:r w:rsidRPr="005F62F7">
        <w:rPr>
          <w:rFonts w:cs="Arial"/>
          <w:szCs w:val="24"/>
        </w:rPr>
        <w:t>2015 WL 3895095</w:t>
      </w:r>
      <w:r>
        <w:rPr>
          <w:rFonts w:cs="Arial"/>
          <w:szCs w:val="24"/>
        </w:rPr>
        <w:t>,</w:t>
      </w:r>
      <w:r w:rsidRPr="005F62F7">
        <w:rPr>
          <w:rFonts w:cs="Arial"/>
          <w:szCs w:val="24"/>
        </w:rPr>
        <w:t xml:space="preserve"> (W.D. Ark. June 24, 2015).</w:t>
      </w:r>
    </w:p>
  </w:endnote>
  <w:endnote w:id="108">
    <w:p w14:paraId="6E71F6CE"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C4BEC">
        <w:rPr>
          <w:rFonts w:cs="Arial"/>
          <w:szCs w:val="24"/>
        </w:rPr>
        <w:t>Hosanna-Tabor Evangelical Lutheran Church v. EEOC</w:t>
      </w:r>
      <w:r>
        <w:rPr>
          <w:rStyle w:val="y0nh2b"/>
          <w:rFonts w:cs="Arial"/>
          <w:szCs w:val="24"/>
        </w:rPr>
        <w:t xml:space="preserve">, </w:t>
      </w:r>
      <w:r>
        <w:rPr>
          <w:rStyle w:val="y0nh2b"/>
          <w:rFonts w:cs="Arial"/>
          <w:color w:val="222222"/>
          <w:szCs w:val="24"/>
        </w:rPr>
        <w:t>565 U.S. 171 (2012).</w:t>
      </w:r>
    </w:p>
  </w:endnote>
  <w:endnote w:id="109">
    <w:p w14:paraId="251624EA" w14:textId="51F4D523" w:rsidR="005E3498" w:rsidRPr="0011139E" w:rsidRDefault="005E3498" w:rsidP="00BA0761">
      <w:pPr>
        <w:pStyle w:val="EndnoteText"/>
        <w:rPr>
          <w:lang w:val="es-ES"/>
        </w:rPr>
      </w:pPr>
      <w:r>
        <w:rPr>
          <w:rStyle w:val="EndnoteReference"/>
        </w:rPr>
        <w:endnoteRef/>
      </w:r>
      <w:r>
        <w:t xml:space="preserve"> </w:t>
      </w:r>
      <w:r>
        <w:rPr>
          <w:rFonts w:cs="Arial"/>
          <w:szCs w:val="24"/>
        </w:rPr>
        <w:t>U.S. Equal Employment Opportunity Commission. November 15, 2016.</w:t>
      </w:r>
      <w:r w:rsidRPr="000B6F46">
        <w:rPr>
          <w:rFonts w:cs="Arial"/>
          <w:szCs w:val="24"/>
        </w:rPr>
        <w:t xml:space="preserve"> </w:t>
      </w:r>
      <w:r w:rsidRPr="00631E24">
        <w:rPr>
          <w:rFonts w:cs="Arial"/>
          <w:i/>
          <w:szCs w:val="24"/>
        </w:rPr>
        <w:t>FY 2016 Performance Accountability Report</w:t>
      </w:r>
      <w:r>
        <w:rPr>
          <w:rFonts w:cs="Arial"/>
          <w:szCs w:val="24"/>
        </w:rPr>
        <w:t>, 38.</w:t>
      </w:r>
      <w:r w:rsidRPr="000B6F46">
        <w:rPr>
          <w:rFonts w:cs="Arial"/>
          <w:szCs w:val="24"/>
        </w:rPr>
        <w:t xml:space="preserve"> </w:t>
      </w:r>
      <w:hyperlink r:id="rId39" w:tooltip="https://www.eeoc.gov/eeoc/plan/upload/2016par.pdf" w:history="1">
        <w:r w:rsidRPr="0011139E">
          <w:rPr>
            <w:rStyle w:val="Hyperlink"/>
            <w:rFonts w:cs="Arial"/>
            <w:szCs w:val="24"/>
            <w:lang w:val="es-ES"/>
          </w:rPr>
          <w:t>https://www.eeoc.gov/eeoc/plan/upload/2016par.pdf</w:t>
        </w:r>
      </w:hyperlink>
      <w:r w:rsidRPr="0011139E">
        <w:rPr>
          <w:lang w:val="es-ES"/>
        </w:rPr>
        <w:t>.</w:t>
      </w:r>
    </w:p>
  </w:endnote>
  <w:endnote w:id="110">
    <w:p w14:paraId="5D92E405" w14:textId="77777777" w:rsidR="005E3498" w:rsidRPr="0011139E" w:rsidRDefault="005E3498" w:rsidP="00BA0761">
      <w:pPr>
        <w:pStyle w:val="EndnoteText"/>
        <w:rPr>
          <w:rFonts w:cs="Arial"/>
          <w:szCs w:val="24"/>
          <w:lang w:val="es-ES"/>
        </w:rPr>
      </w:pPr>
      <w:r w:rsidRPr="008920BA">
        <w:rPr>
          <w:rStyle w:val="EndnoteReference"/>
          <w:rFonts w:cs="Arial"/>
          <w:szCs w:val="24"/>
        </w:rPr>
        <w:endnoteRef/>
      </w:r>
      <w:r w:rsidRPr="0011139E">
        <w:rPr>
          <w:rFonts w:cs="Arial"/>
          <w:szCs w:val="24"/>
          <w:lang w:val="es-ES"/>
        </w:rPr>
        <w:t xml:space="preserve"> </w:t>
      </w:r>
      <w:r w:rsidRPr="0011139E">
        <w:rPr>
          <w:rFonts w:cs="Arial"/>
          <w:szCs w:val="24"/>
          <w:lang w:val="es-ES"/>
        </w:rPr>
        <w:t xml:space="preserve">Ibid. </w:t>
      </w:r>
    </w:p>
  </w:endnote>
  <w:endnote w:id="111">
    <w:p w14:paraId="67428ACD"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5F62F7">
        <w:rPr>
          <w:rFonts w:cs="Arial"/>
          <w:szCs w:val="24"/>
        </w:rPr>
        <w:t>Barlia v. MWI Veterinary Supply</w:t>
      </w:r>
      <w:r>
        <w:rPr>
          <w:rFonts w:cs="Arial"/>
          <w:szCs w:val="24"/>
        </w:rPr>
        <w:t xml:space="preserve">, </w:t>
      </w:r>
      <w:r>
        <w:rPr>
          <w:rFonts w:cs="Arial"/>
          <w:szCs w:val="24"/>
        </w:rPr>
        <w:t xml:space="preserve">479 F.Appx. 439 </w:t>
      </w:r>
      <w:r w:rsidRPr="008920BA">
        <w:rPr>
          <w:rFonts w:cs="Arial"/>
          <w:szCs w:val="24"/>
        </w:rPr>
        <w:t>(6th Cir. 2018)</w:t>
      </w:r>
      <w:r>
        <w:rPr>
          <w:rFonts w:cs="Arial"/>
          <w:szCs w:val="24"/>
        </w:rPr>
        <w:t>.</w:t>
      </w:r>
    </w:p>
  </w:endnote>
  <w:endnote w:id="112">
    <w:p w14:paraId="7ED3C564" w14:textId="0DE7BFDD" w:rsidR="005E3498" w:rsidRPr="00A76D68" w:rsidRDefault="005E3498" w:rsidP="00BA0761">
      <w:pPr>
        <w:pStyle w:val="EndnoteText"/>
        <w:rPr>
          <w:rFonts w:cs="Arial"/>
          <w:szCs w:val="24"/>
        </w:rPr>
      </w:pPr>
      <w:r>
        <w:rPr>
          <w:rStyle w:val="EndnoteReference"/>
        </w:rPr>
        <w:endnoteRef/>
      </w:r>
      <w:r>
        <w:t xml:space="preserve"> </w:t>
      </w:r>
      <w:r w:rsidRPr="000424A3">
        <w:rPr>
          <w:rFonts w:cs="Arial"/>
          <w:szCs w:val="24"/>
        </w:rPr>
        <w:t>National Council on Disability</w:t>
      </w:r>
      <w:r>
        <w:rPr>
          <w:rFonts w:cs="Arial"/>
          <w:szCs w:val="24"/>
        </w:rPr>
        <w:t>.</w:t>
      </w:r>
      <w:r w:rsidRPr="000424A3">
        <w:rPr>
          <w:rFonts w:cs="Arial"/>
          <w:szCs w:val="24"/>
        </w:rPr>
        <w:t xml:space="preserve"> </w:t>
      </w:r>
      <w:r w:rsidRPr="00631E24">
        <w:rPr>
          <w:rFonts w:cs="Arial"/>
          <w:i/>
          <w:szCs w:val="24"/>
        </w:rPr>
        <w:t>Promises to Keep</w:t>
      </w:r>
      <w:r w:rsidRPr="000424A3">
        <w:rPr>
          <w:rFonts w:cs="Arial"/>
          <w:szCs w:val="24"/>
        </w:rPr>
        <w:t xml:space="preserve">, </w:t>
      </w:r>
      <w:r w:rsidRPr="00A76D68">
        <w:rPr>
          <w:rFonts w:cs="Arial"/>
          <w:szCs w:val="24"/>
        </w:rPr>
        <w:t>391</w:t>
      </w:r>
      <w:r>
        <w:rPr>
          <w:rFonts w:cs="Arial"/>
          <w:szCs w:val="24"/>
        </w:rPr>
        <w:t>–</w:t>
      </w:r>
      <w:r w:rsidRPr="00A76D68">
        <w:rPr>
          <w:rFonts w:cs="Arial"/>
          <w:szCs w:val="24"/>
        </w:rPr>
        <w:t>392.</w:t>
      </w:r>
    </w:p>
  </w:endnote>
  <w:endnote w:id="113">
    <w:p w14:paraId="1D489540" w14:textId="77777777" w:rsidR="005E3498" w:rsidRPr="00837C44" w:rsidRDefault="005E3498" w:rsidP="00BA0761">
      <w:pPr>
        <w:pStyle w:val="EndnoteText"/>
        <w:rPr>
          <w:szCs w:val="24"/>
        </w:rPr>
      </w:pPr>
      <w:r w:rsidRPr="00837C44">
        <w:rPr>
          <w:rStyle w:val="EndnoteReference"/>
          <w:szCs w:val="24"/>
        </w:rPr>
        <w:endnoteRef/>
      </w:r>
      <w:r w:rsidRPr="00837C44">
        <w:rPr>
          <w:szCs w:val="24"/>
        </w:rPr>
        <w:t xml:space="preserve"> </w:t>
      </w:r>
      <w:r w:rsidRPr="007943AF">
        <w:rPr>
          <w:rFonts w:cs="Arial"/>
          <w:szCs w:val="24"/>
        </w:rPr>
        <w:t>42 U.S.C. § 2000e-5, incorporated by reference in 42 U.S.C. § 12117(a).</w:t>
      </w:r>
    </w:p>
  </w:endnote>
  <w:endnote w:id="114">
    <w:p w14:paraId="04927EE9" w14:textId="02C37E52" w:rsidR="005E3498" w:rsidRDefault="005E3498" w:rsidP="00BA0761">
      <w:pPr>
        <w:pStyle w:val="EndnoteText"/>
      </w:pPr>
      <w:r>
        <w:rPr>
          <w:rStyle w:val="EndnoteReference"/>
        </w:rPr>
        <w:endnoteRef/>
      </w:r>
      <w:r>
        <w:t xml:space="preserve"> </w:t>
      </w:r>
      <w:r w:rsidRPr="007943AF">
        <w:rPr>
          <w:rFonts w:cs="Arial"/>
          <w:szCs w:val="24"/>
        </w:rPr>
        <w:t>Memo</w:t>
      </w:r>
      <w:r>
        <w:rPr>
          <w:rFonts w:cs="Arial"/>
          <w:szCs w:val="24"/>
        </w:rPr>
        <w:t xml:space="preserve">randum of Understanding </w:t>
      </w:r>
      <w:r>
        <w:rPr>
          <w:rFonts w:cs="Arial"/>
          <w:szCs w:val="24"/>
        </w:rPr>
        <w:t xml:space="preserve">Between </w:t>
      </w:r>
      <w:r w:rsidRPr="007943AF">
        <w:rPr>
          <w:rFonts w:cs="Arial"/>
          <w:szCs w:val="24"/>
        </w:rPr>
        <w:t>the U.S. Equal Employ</w:t>
      </w:r>
      <w:r>
        <w:rPr>
          <w:rFonts w:cs="Arial"/>
          <w:szCs w:val="24"/>
        </w:rPr>
        <w:t>ment Opportunity Commission and</w:t>
      </w:r>
      <w:r w:rsidRPr="007943AF">
        <w:rPr>
          <w:rFonts w:cs="Arial"/>
          <w:szCs w:val="24"/>
        </w:rPr>
        <w:t xml:space="preserve"> the U.S. Department </w:t>
      </w:r>
      <w:r>
        <w:rPr>
          <w:rFonts w:cs="Arial"/>
          <w:szCs w:val="24"/>
        </w:rPr>
        <w:t>o</w:t>
      </w:r>
      <w:r w:rsidRPr="007943AF">
        <w:rPr>
          <w:rFonts w:cs="Arial"/>
          <w:szCs w:val="24"/>
        </w:rPr>
        <w:t xml:space="preserve">f </w:t>
      </w:r>
      <w:r>
        <w:rPr>
          <w:rFonts w:cs="Arial"/>
          <w:szCs w:val="24"/>
        </w:rPr>
        <w:t xml:space="preserve">Justice–Civil Rights Division </w:t>
      </w:r>
      <w:r w:rsidRPr="007943AF">
        <w:rPr>
          <w:rFonts w:cs="Arial"/>
          <w:szCs w:val="24"/>
        </w:rPr>
        <w:t>Regarding ADA and GINA Em</w:t>
      </w:r>
      <w:r>
        <w:rPr>
          <w:rFonts w:cs="Arial"/>
          <w:szCs w:val="24"/>
        </w:rPr>
        <w:t xml:space="preserve">ployment Discrimination Charges </w:t>
      </w:r>
      <w:r w:rsidRPr="007943AF">
        <w:rPr>
          <w:rFonts w:cs="Arial"/>
          <w:szCs w:val="24"/>
        </w:rPr>
        <w:t>Against State and Local Governments</w:t>
      </w:r>
      <w:r>
        <w:rPr>
          <w:rFonts w:cs="Arial"/>
          <w:szCs w:val="24"/>
        </w:rPr>
        <w:t xml:space="preserve">. July 23, 2015. </w:t>
      </w:r>
      <w:hyperlink r:id="rId40" w:tooltip="https://www.eeoc.gov/laws/mous/eeoc-doj-ada-gina.cfm" w:history="1">
        <w:r w:rsidRPr="0032098F">
          <w:rPr>
            <w:rStyle w:val="Hyperlink"/>
            <w:rFonts w:cs="Arial"/>
            <w:szCs w:val="24"/>
          </w:rPr>
          <w:t>https://www.eeoc.gov/laws/mous/eeoc-doj-ada-gina.cfm</w:t>
        </w:r>
      </w:hyperlink>
      <w:r>
        <w:rPr>
          <w:rFonts w:cs="Arial"/>
          <w:szCs w:val="24"/>
        </w:rPr>
        <w:t>.</w:t>
      </w:r>
    </w:p>
  </w:endnote>
  <w:endnote w:id="115">
    <w:p w14:paraId="031B6F24" w14:textId="6D0D280C" w:rsidR="005E3498" w:rsidRDefault="005E3498" w:rsidP="00BA0761">
      <w:pPr>
        <w:pStyle w:val="EndnoteText"/>
      </w:pPr>
      <w:r>
        <w:rPr>
          <w:rStyle w:val="EndnoteReference"/>
        </w:rPr>
        <w:endnoteRef/>
      </w:r>
      <w:r>
        <w:t xml:space="preserve"> </w:t>
      </w:r>
      <w:r w:rsidRPr="00D70AA0">
        <w:rPr>
          <w:rFonts w:cs="Arial"/>
          <w:szCs w:val="24"/>
        </w:rPr>
        <w:t>U.S. Department of Justice and the U.S. Equal Employment Opportunity Commission, Brief for the United States as Ami</w:t>
      </w:r>
      <w:r>
        <w:rPr>
          <w:rFonts w:cs="Arial"/>
          <w:szCs w:val="24"/>
        </w:rPr>
        <w:t>c</w:t>
      </w:r>
      <w:r w:rsidRPr="00D70AA0">
        <w:rPr>
          <w:rFonts w:cs="Arial"/>
          <w:szCs w:val="24"/>
        </w:rPr>
        <w:t>us Curiae Sup</w:t>
      </w:r>
      <w:r>
        <w:rPr>
          <w:rFonts w:cs="Arial"/>
          <w:szCs w:val="24"/>
        </w:rPr>
        <w:t xml:space="preserve">porting Neither Party in </w:t>
      </w:r>
      <w:r>
        <w:rPr>
          <w:rFonts w:cs="Arial"/>
          <w:szCs w:val="24"/>
        </w:rPr>
        <w:t>Dagher v. Washington Metropolitan Area Transit Authority, No. 17-2005</w:t>
      </w:r>
      <w:r w:rsidRPr="00D70AA0">
        <w:rPr>
          <w:rFonts w:cs="Arial"/>
          <w:szCs w:val="24"/>
        </w:rPr>
        <w:t xml:space="preserve"> </w:t>
      </w:r>
      <w:r>
        <w:rPr>
          <w:rFonts w:cs="Arial"/>
          <w:szCs w:val="24"/>
        </w:rPr>
        <w:t xml:space="preserve">(4th Cir.), brief </w:t>
      </w:r>
      <w:r w:rsidRPr="00D70AA0">
        <w:rPr>
          <w:rFonts w:cs="Arial"/>
          <w:szCs w:val="24"/>
        </w:rPr>
        <w:t xml:space="preserve">filed </w:t>
      </w:r>
      <w:r>
        <w:rPr>
          <w:rFonts w:cs="Arial"/>
          <w:szCs w:val="24"/>
        </w:rPr>
        <w:t xml:space="preserve">Feb. 8, 2018. </w:t>
      </w:r>
      <w:hyperlink r:id="rId41" w:tooltip="https://www.justice.gov/crt/case-document/dagher-v-washington-metropolitan-area-transit-authority-brief-amicus" w:history="1">
        <w:r w:rsidRPr="004807DD">
          <w:rPr>
            <w:rStyle w:val="Hyperlink"/>
            <w:rFonts w:cs="Arial"/>
            <w:szCs w:val="24"/>
          </w:rPr>
          <w:t>https://www.justice.gov/crt/case-document/dagher-v-washington-metropolitan-area-transit-authority-brief-amicus</w:t>
        </w:r>
      </w:hyperlink>
      <w:r>
        <w:rPr>
          <w:rFonts w:cs="Arial"/>
          <w:szCs w:val="24"/>
        </w:rPr>
        <w:t xml:space="preserve">. </w:t>
      </w:r>
    </w:p>
  </w:endnote>
  <w:endnote w:id="116">
    <w:p w14:paraId="4E8357EC" w14:textId="7A18D63F" w:rsidR="005E3498" w:rsidRPr="0011139E" w:rsidRDefault="005E3498" w:rsidP="00BA0761">
      <w:pPr>
        <w:pStyle w:val="EndnoteText"/>
        <w:rPr>
          <w:szCs w:val="24"/>
        </w:rPr>
      </w:pPr>
      <w:r w:rsidRPr="00556403">
        <w:rPr>
          <w:rStyle w:val="EndnoteReference"/>
          <w:szCs w:val="24"/>
        </w:rPr>
        <w:endnoteRef/>
      </w:r>
      <w:r w:rsidRPr="0011139E">
        <w:rPr>
          <w:szCs w:val="24"/>
        </w:rPr>
        <w:t xml:space="preserve"> </w:t>
      </w:r>
      <w:r w:rsidRPr="00556403">
        <w:rPr>
          <w:rFonts w:cs="Arial"/>
          <w:kern w:val="36"/>
          <w:szCs w:val="24"/>
          <w:lang w:val="en"/>
        </w:rPr>
        <w:t xml:space="preserve">Memorandum of Understanding </w:t>
      </w:r>
      <w:r w:rsidRPr="00556403">
        <w:rPr>
          <w:rFonts w:cs="Arial"/>
          <w:kern w:val="36"/>
          <w:szCs w:val="24"/>
          <w:lang w:val="en"/>
        </w:rPr>
        <w:t xml:space="preserve">Between </w:t>
      </w:r>
      <w:r w:rsidRPr="00F77D72">
        <w:rPr>
          <w:rFonts w:cs="Arial"/>
          <w:kern w:val="36"/>
          <w:szCs w:val="24"/>
          <w:lang w:val="en"/>
        </w:rPr>
        <w:t xml:space="preserve">the U.S. Department of Labor, Wage and Hour Division and The U.S. Equal Employment Opportunity Commission. </w:t>
      </w:r>
      <w:hyperlink r:id="rId42" w:tooltip="https://www.eeoc.gov/laws/mous/dol_wagediv_eeoc.cfm" w:history="1">
        <w:r w:rsidRPr="00F77D72">
          <w:rPr>
            <w:rStyle w:val="Hyperlink"/>
            <w:rFonts w:cs="Arial"/>
            <w:szCs w:val="24"/>
          </w:rPr>
          <w:t>https://www.eeoc.gov/laws/mous/dol_wagediv_eeoc.cfm</w:t>
        </w:r>
      </w:hyperlink>
      <w:r w:rsidRPr="00556403">
        <w:rPr>
          <w:rFonts w:cs="Arial"/>
          <w:szCs w:val="24"/>
        </w:rPr>
        <w:t>.</w:t>
      </w:r>
      <w:r w:rsidRPr="0011139E">
        <w:rPr>
          <w:rFonts w:cs="Arial"/>
          <w:szCs w:val="24"/>
        </w:rPr>
        <w:t xml:space="preserve"> (Accessed June 23, </w:t>
      </w:r>
      <w:r>
        <w:rPr>
          <w:rFonts w:cs="Arial"/>
          <w:szCs w:val="24"/>
        </w:rPr>
        <w:t>2018).</w:t>
      </w:r>
    </w:p>
  </w:endnote>
  <w:endnote w:id="117">
    <w:p w14:paraId="1FD0DA25"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41 C.F.R. </w:t>
      </w:r>
      <w:r w:rsidRPr="008920BA">
        <w:rPr>
          <w:rFonts w:cs="Arial"/>
          <w:szCs w:val="24"/>
        </w:rPr>
        <w:t>Part 60-742; 29 C.F.R. Part 1641</w:t>
      </w:r>
      <w:r>
        <w:rPr>
          <w:rFonts w:cs="Arial"/>
          <w:szCs w:val="24"/>
        </w:rPr>
        <w:t>.</w:t>
      </w:r>
    </w:p>
  </w:endnote>
  <w:endnote w:id="118">
    <w:p w14:paraId="2A4D8D04" w14:textId="49AC0BEF" w:rsidR="005E3498" w:rsidRDefault="005E3498" w:rsidP="00BA0761">
      <w:pPr>
        <w:pStyle w:val="EndnoteText"/>
      </w:pPr>
      <w:r>
        <w:rPr>
          <w:rStyle w:val="EndnoteReference"/>
        </w:rPr>
        <w:endnoteRef/>
      </w:r>
      <w:r>
        <w:t xml:space="preserve"> </w:t>
      </w:r>
      <w:r w:rsidRPr="00B82FFE">
        <w:rPr>
          <w:rFonts w:cs="Arial"/>
          <w:szCs w:val="24"/>
        </w:rPr>
        <w:t xml:space="preserve">Memorandum of Understanding </w:t>
      </w:r>
      <w:r w:rsidRPr="00B82FFE">
        <w:rPr>
          <w:rFonts w:cs="Arial"/>
          <w:szCs w:val="24"/>
        </w:rPr>
        <w:t xml:space="preserve">Between </w:t>
      </w:r>
      <w:r>
        <w:rPr>
          <w:rFonts w:cs="Arial"/>
          <w:szCs w:val="24"/>
        </w:rPr>
        <w:t>t</w:t>
      </w:r>
      <w:r w:rsidRPr="00B82FFE">
        <w:rPr>
          <w:rFonts w:cs="Arial"/>
          <w:szCs w:val="24"/>
        </w:rPr>
        <w:t xml:space="preserve">he U.S. Department of Labor, </w:t>
      </w:r>
      <w:r>
        <w:rPr>
          <w:rFonts w:cs="Arial"/>
          <w:szCs w:val="24"/>
        </w:rPr>
        <w:t xml:space="preserve">Office of Federal Contract Compliance Programs </w:t>
      </w:r>
      <w:r w:rsidRPr="00B82FFE">
        <w:rPr>
          <w:rFonts w:cs="Arial"/>
          <w:szCs w:val="24"/>
        </w:rPr>
        <w:t xml:space="preserve">and </w:t>
      </w:r>
      <w:r>
        <w:rPr>
          <w:rFonts w:cs="Arial"/>
          <w:szCs w:val="24"/>
        </w:rPr>
        <w:t>t</w:t>
      </w:r>
      <w:r w:rsidRPr="00B82FFE">
        <w:rPr>
          <w:rFonts w:cs="Arial"/>
          <w:szCs w:val="24"/>
        </w:rPr>
        <w:t>he U.S. Equal Employment Opportunity Commission</w:t>
      </w:r>
      <w:r>
        <w:rPr>
          <w:rFonts w:cs="Arial"/>
          <w:szCs w:val="24"/>
        </w:rPr>
        <w:t xml:space="preserve">. </w:t>
      </w:r>
      <w:r w:rsidRPr="00B82FFE">
        <w:rPr>
          <w:rFonts w:cs="Arial"/>
          <w:szCs w:val="24"/>
        </w:rPr>
        <w:t>Nov</w:t>
      </w:r>
      <w:r>
        <w:rPr>
          <w:rFonts w:cs="Arial"/>
          <w:szCs w:val="24"/>
        </w:rPr>
        <w:t>ember</w:t>
      </w:r>
      <w:r w:rsidRPr="00B82FFE">
        <w:rPr>
          <w:rFonts w:cs="Arial"/>
          <w:szCs w:val="24"/>
        </w:rPr>
        <w:t xml:space="preserve"> 9, 2011</w:t>
      </w:r>
      <w:r>
        <w:rPr>
          <w:rFonts w:cs="Arial"/>
          <w:szCs w:val="24"/>
        </w:rPr>
        <w:t>.</w:t>
      </w:r>
      <w:r w:rsidRPr="00B82FFE">
        <w:rPr>
          <w:rFonts w:cs="Arial"/>
          <w:szCs w:val="24"/>
        </w:rPr>
        <w:t xml:space="preserve"> </w:t>
      </w:r>
      <w:hyperlink r:id="rId43" w:tooltip="https://www.eeoc.gov/laws/mous/eeoc_ofccp.cfm" w:history="1">
        <w:r w:rsidRPr="00B82FFE">
          <w:rPr>
            <w:rStyle w:val="Hyperlink"/>
            <w:rFonts w:cs="Arial"/>
            <w:szCs w:val="24"/>
          </w:rPr>
          <w:t>https://www.eeoc.gov/laws/mous/eeoc_ofccp.cfm</w:t>
        </w:r>
      </w:hyperlink>
      <w:r>
        <w:t>.</w:t>
      </w:r>
    </w:p>
  </w:endnote>
  <w:endnote w:id="119">
    <w:p w14:paraId="7C27A88B" w14:textId="5E7C9EA7" w:rsidR="005E3498" w:rsidRDefault="005E3498" w:rsidP="00BA0761">
      <w:pPr>
        <w:pStyle w:val="EndnoteText"/>
      </w:pPr>
      <w:r>
        <w:rPr>
          <w:rStyle w:val="EndnoteReference"/>
        </w:rPr>
        <w:endnoteRef/>
      </w:r>
      <w:r>
        <w:t xml:space="preserve"> </w:t>
      </w:r>
      <w:r>
        <w:rPr>
          <w:rFonts w:cs="Arial"/>
          <w:szCs w:val="24"/>
        </w:rPr>
        <w:t>National Council on Disability.</w:t>
      </w:r>
      <w:r w:rsidRPr="00DC5231">
        <w:rPr>
          <w:rFonts w:cs="Arial"/>
          <w:szCs w:val="24"/>
        </w:rPr>
        <w:t xml:space="preserve"> </w:t>
      </w:r>
      <w:r w:rsidRPr="00631E24">
        <w:rPr>
          <w:rFonts w:cs="Arial"/>
          <w:i/>
          <w:szCs w:val="24"/>
        </w:rPr>
        <w:t>Promises to Keep</w:t>
      </w:r>
      <w:r w:rsidRPr="00DC5231">
        <w:rPr>
          <w:rFonts w:cs="Arial"/>
          <w:szCs w:val="24"/>
        </w:rPr>
        <w:t>,</w:t>
      </w:r>
      <w:r>
        <w:rPr>
          <w:rFonts w:cs="Arial"/>
          <w:szCs w:val="24"/>
        </w:rPr>
        <w:t xml:space="preserve"> A-12–A-13.</w:t>
      </w:r>
    </w:p>
  </w:endnote>
  <w:endnote w:id="120">
    <w:p w14:paraId="1879D163" w14:textId="3613992F" w:rsidR="005E3498" w:rsidRPr="00556403" w:rsidRDefault="005E3498" w:rsidP="00BA0761">
      <w:pPr>
        <w:pStyle w:val="EndnoteText"/>
        <w:rPr>
          <w:rFonts w:cs="Arial"/>
          <w:szCs w:val="24"/>
        </w:rPr>
      </w:pPr>
      <w:r w:rsidRPr="00556403">
        <w:rPr>
          <w:rStyle w:val="EndnoteReference"/>
          <w:szCs w:val="24"/>
        </w:rPr>
        <w:endnoteRef/>
      </w:r>
      <w:r w:rsidRPr="0011139E">
        <w:rPr>
          <w:szCs w:val="24"/>
        </w:rPr>
        <w:t xml:space="preserve"> </w:t>
      </w:r>
      <w:r w:rsidRPr="00556403">
        <w:rPr>
          <w:rFonts w:cs="Arial"/>
          <w:szCs w:val="24"/>
        </w:rPr>
        <w:t>U.S. Equal Employment Opportunity Commission</w:t>
      </w:r>
      <w:r w:rsidRPr="00F77D72">
        <w:rPr>
          <w:rFonts w:cs="Arial"/>
          <w:szCs w:val="24"/>
        </w:rPr>
        <w:t xml:space="preserve">. “No-Cost Outreach Programs.” </w:t>
      </w:r>
      <w:hyperlink r:id="rId44" w:tooltip="https://www.eeoc.gov/eeoc/outreach/nocost.cfm" w:history="1">
        <w:r w:rsidRPr="00F77D72">
          <w:rPr>
            <w:rStyle w:val="Hyperlink"/>
            <w:rFonts w:cs="Arial"/>
            <w:szCs w:val="24"/>
          </w:rPr>
          <w:t>https://www.eeoc.gov/eeoc/outreach/nocost.cfm</w:t>
        </w:r>
      </w:hyperlink>
      <w:r w:rsidRPr="00556403">
        <w:rPr>
          <w:rFonts w:cs="Arial"/>
          <w:szCs w:val="24"/>
        </w:rPr>
        <w:t xml:space="preserve">. </w:t>
      </w:r>
      <w:r w:rsidRPr="0011139E">
        <w:rPr>
          <w:rFonts w:cs="Arial"/>
          <w:szCs w:val="24"/>
        </w:rPr>
        <w:t xml:space="preserve">(Accessed June 25, </w:t>
      </w:r>
      <w:r>
        <w:rPr>
          <w:rFonts w:cs="Arial"/>
          <w:szCs w:val="24"/>
        </w:rPr>
        <w:t>2018).</w:t>
      </w:r>
    </w:p>
  </w:endnote>
  <w:endnote w:id="121">
    <w:p w14:paraId="1462843B" w14:textId="23FA7E46" w:rsidR="005E3498" w:rsidRPr="00556403" w:rsidRDefault="005E3498" w:rsidP="00BA0761">
      <w:pPr>
        <w:pStyle w:val="EndnoteText"/>
        <w:rPr>
          <w:szCs w:val="24"/>
        </w:rPr>
      </w:pPr>
      <w:r w:rsidRPr="00556403">
        <w:rPr>
          <w:rStyle w:val="EndnoteReference"/>
          <w:szCs w:val="24"/>
        </w:rPr>
        <w:endnoteRef/>
      </w:r>
      <w:r w:rsidRPr="0011139E">
        <w:rPr>
          <w:szCs w:val="24"/>
        </w:rPr>
        <w:t xml:space="preserve"> </w:t>
      </w:r>
      <w:r w:rsidRPr="00556403">
        <w:rPr>
          <w:rFonts w:cs="Arial"/>
          <w:szCs w:val="24"/>
        </w:rPr>
        <w:t>U.S. Equal Employment Opportunity Commission</w:t>
      </w:r>
      <w:r w:rsidRPr="00F77D72">
        <w:rPr>
          <w:rFonts w:cs="Arial"/>
          <w:szCs w:val="24"/>
        </w:rPr>
        <w:t>. “Training Institute.”</w:t>
      </w:r>
      <w:r>
        <w:rPr>
          <w:rFonts w:cs="Arial"/>
          <w:szCs w:val="24"/>
        </w:rPr>
        <w:t xml:space="preserve"> </w:t>
      </w:r>
      <w:hyperlink r:id="rId45" w:tooltip="https://eeotraining.eeoc.gov/profile/web/index.cfm?PKwebID=0x2547cce5&amp;varPage=speakers" w:history="1">
        <w:r w:rsidRPr="00F77D72">
          <w:rPr>
            <w:rStyle w:val="Hyperlink"/>
            <w:rFonts w:cs="Arial"/>
            <w:szCs w:val="24"/>
          </w:rPr>
          <w:t>https://eeotraining.eeoc.gov/profile/web/index.cfm?PKwebID=0x2547cce5&amp;varPage=speakers</w:t>
        </w:r>
      </w:hyperlink>
      <w:r w:rsidRPr="00556403">
        <w:rPr>
          <w:rFonts w:cs="Arial"/>
          <w:szCs w:val="24"/>
        </w:rPr>
        <w:t xml:space="preserve">. </w:t>
      </w:r>
      <w:r w:rsidRPr="0011139E">
        <w:rPr>
          <w:rFonts w:cs="Arial"/>
          <w:szCs w:val="24"/>
        </w:rPr>
        <w:t xml:space="preserve">(Accessed June 25, </w:t>
      </w:r>
      <w:r>
        <w:rPr>
          <w:rFonts w:cs="Arial"/>
          <w:szCs w:val="24"/>
        </w:rPr>
        <w:t>2018).</w:t>
      </w:r>
    </w:p>
  </w:endnote>
  <w:endnote w:id="122">
    <w:p w14:paraId="227786EE" w14:textId="7827D19C" w:rsidR="005E3498" w:rsidRPr="00F77D72" w:rsidRDefault="005E3498" w:rsidP="00BA0761">
      <w:pPr>
        <w:pStyle w:val="EndnoteText"/>
        <w:rPr>
          <w:rFonts w:cs="Arial"/>
          <w:szCs w:val="24"/>
        </w:rPr>
      </w:pPr>
      <w:r w:rsidRPr="00556403">
        <w:rPr>
          <w:rStyle w:val="EndnoteReference"/>
          <w:szCs w:val="24"/>
        </w:rPr>
        <w:endnoteRef/>
      </w:r>
      <w:r w:rsidRPr="0011139E">
        <w:rPr>
          <w:szCs w:val="24"/>
        </w:rPr>
        <w:t xml:space="preserve"> </w:t>
      </w:r>
      <w:r w:rsidRPr="00556403">
        <w:rPr>
          <w:rFonts w:cs="Arial"/>
          <w:szCs w:val="24"/>
        </w:rPr>
        <w:t>U.S. Equal Employment Opportunity Commission</w:t>
      </w:r>
      <w:r w:rsidRPr="00F77D72">
        <w:rPr>
          <w:rFonts w:cs="Arial"/>
          <w:szCs w:val="24"/>
        </w:rPr>
        <w:t xml:space="preserve">. </w:t>
      </w:r>
      <w:r w:rsidRPr="00631E24">
        <w:rPr>
          <w:rFonts w:cs="Arial"/>
          <w:i/>
          <w:szCs w:val="24"/>
        </w:rPr>
        <w:t>Strategic Plan FY 2012</w:t>
      </w:r>
      <w:r w:rsidRPr="00F77D72">
        <w:rPr>
          <w:rFonts w:cs="Arial"/>
          <w:szCs w:val="24"/>
        </w:rPr>
        <w:t xml:space="preserve">, 27. U.S. Equal Employment Opportunity Commission. </w:t>
      </w:r>
      <w:r w:rsidRPr="00631E24">
        <w:rPr>
          <w:rFonts w:cs="Arial"/>
          <w:i/>
          <w:szCs w:val="24"/>
        </w:rPr>
        <w:t>Strategic Plan for FY 2018</w:t>
      </w:r>
      <w:r w:rsidRPr="00F77D72">
        <w:rPr>
          <w:rFonts w:cs="Arial"/>
          <w:szCs w:val="24"/>
        </w:rPr>
        <w:t>, 10.</w:t>
      </w:r>
    </w:p>
  </w:endnote>
  <w:endnote w:id="123">
    <w:p w14:paraId="5E80147A" w14:textId="37F1A2AF" w:rsidR="005E3498" w:rsidRPr="00F77D72"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U.S. Equal Employment Opportunity Commission, Office of General Counsel</w:t>
      </w:r>
      <w:r w:rsidRPr="00F77D72">
        <w:rPr>
          <w:rFonts w:cs="Arial"/>
          <w:szCs w:val="24"/>
        </w:rPr>
        <w:t xml:space="preserve">. </w:t>
      </w:r>
      <w:r w:rsidRPr="00631E24">
        <w:rPr>
          <w:rFonts w:cs="Arial"/>
          <w:i/>
          <w:szCs w:val="24"/>
        </w:rPr>
        <w:t>Fiscal Year 2015 Annual Report</w:t>
      </w:r>
      <w:r w:rsidRPr="00F77D72">
        <w:rPr>
          <w:rFonts w:cs="Arial"/>
          <w:szCs w:val="24"/>
        </w:rPr>
        <w:t>. Prior Office of General Counsel Annual Reports were used to obtain budget and staffing data.</w:t>
      </w:r>
    </w:p>
  </w:endnote>
  <w:endnote w:id="124">
    <w:p w14:paraId="729E791D" w14:textId="0F167FE3"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F77D72">
        <w:rPr>
          <w:rFonts w:cs="Arial"/>
          <w:szCs w:val="24"/>
        </w:rPr>
        <w:t xml:space="preserve">Employment and Training Administration. “Mission Statement.” </w:t>
      </w:r>
      <w:hyperlink r:id="rId46" w:tooltip="https://www.doleta.gov/etainfo/mission.cfm" w:history="1">
        <w:r w:rsidRPr="00F77D72">
          <w:rPr>
            <w:rStyle w:val="Hyperlink"/>
            <w:rFonts w:cs="Arial"/>
            <w:szCs w:val="24"/>
          </w:rPr>
          <w:t>https://www.doleta.gov/etainfo/mission.cfm</w:t>
        </w:r>
      </w:hyperlink>
      <w:r w:rsidRPr="00556403">
        <w:rPr>
          <w:rFonts w:cs="Arial"/>
          <w:szCs w:val="24"/>
        </w:rPr>
        <w:t xml:space="preserve">. </w:t>
      </w:r>
      <w:r w:rsidRPr="0011139E">
        <w:rPr>
          <w:rFonts w:cs="Arial"/>
          <w:szCs w:val="24"/>
        </w:rPr>
        <w:t xml:space="preserve">(Accessed June 24, </w:t>
      </w:r>
      <w:r>
        <w:rPr>
          <w:rFonts w:cs="Arial"/>
          <w:szCs w:val="24"/>
        </w:rPr>
        <w:t>2018).</w:t>
      </w:r>
    </w:p>
  </w:endnote>
  <w:endnote w:id="125">
    <w:p w14:paraId="449943D9" w14:textId="2E342686" w:rsidR="005E3498" w:rsidRDefault="005E3498" w:rsidP="00BA0761">
      <w:pPr>
        <w:pStyle w:val="EndnoteText"/>
      </w:pPr>
      <w:r w:rsidRPr="00556403">
        <w:rPr>
          <w:rStyle w:val="EndnoteReference"/>
          <w:szCs w:val="24"/>
        </w:rPr>
        <w:endnoteRef/>
      </w:r>
      <w:r w:rsidRPr="0011139E">
        <w:rPr>
          <w:szCs w:val="24"/>
        </w:rPr>
        <w:t xml:space="preserve"> </w:t>
      </w:r>
      <w:r w:rsidRPr="00556403">
        <w:rPr>
          <w:rFonts w:cs="Arial"/>
          <w:szCs w:val="24"/>
        </w:rPr>
        <w:t>Workforce Innovation Opportunity</w:t>
      </w:r>
      <w:r w:rsidRPr="00F77D72">
        <w:rPr>
          <w:rFonts w:cs="Arial"/>
          <w:szCs w:val="24"/>
        </w:rPr>
        <w:t xml:space="preserve"> Act, Pub. L. 113-128, § 188, 128 Stat. 1425, </w:t>
      </w:r>
      <w:r>
        <w:rPr>
          <w:rFonts w:cs="Arial"/>
          <w:szCs w:val="24"/>
        </w:rPr>
        <w:t xml:space="preserve">1597–98 </w:t>
      </w:r>
      <w:r w:rsidRPr="0086227B">
        <w:rPr>
          <w:rFonts w:cs="Arial"/>
          <w:szCs w:val="24"/>
        </w:rPr>
        <w:t>(2014)</w:t>
      </w:r>
      <w:r>
        <w:rPr>
          <w:rFonts w:cs="Arial"/>
          <w:szCs w:val="24"/>
        </w:rPr>
        <w:t>.</w:t>
      </w:r>
    </w:p>
  </w:endnote>
  <w:endnote w:id="126">
    <w:p w14:paraId="46CCAE7A" w14:textId="195BE094" w:rsidR="005E3498" w:rsidRDefault="005E3498" w:rsidP="00BA0761">
      <w:pPr>
        <w:spacing w:after="200" w:line="240" w:lineRule="auto"/>
      </w:pPr>
      <w:r>
        <w:rPr>
          <w:rStyle w:val="EndnoteReference"/>
        </w:rPr>
        <w:endnoteRef/>
      </w:r>
      <w:r>
        <w:t xml:space="preserve"> </w:t>
      </w:r>
      <w:r>
        <w:rPr>
          <w:rFonts w:ascii="Arial" w:hAnsi="Arial" w:cs="Arial"/>
        </w:rPr>
        <w:t>Employment and Training Administration. “</w:t>
      </w:r>
      <w:r w:rsidRPr="009C6244">
        <w:rPr>
          <w:rFonts w:ascii="Arial" w:hAnsi="Arial" w:cs="Arial"/>
        </w:rPr>
        <w:t>Expanding Apprenticeship for Individuals with Disabilities</w:t>
      </w:r>
      <w:r>
        <w:rPr>
          <w:rFonts w:ascii="Arial" w:hAnsi="Arial" w:cs="Arial"/>
        </w:rPr>
        <w:t xml:space="preserve">.” </w:t>
      </w:r>
      <w:hyperlink r:id="rId47" w:tooltip="https://apprenticeshipusa.workforcegps.org/resources/2017/03/10/16/09/Expanding-Apprenticeship-for-Individuals-with-Disabilities" w:history="1">
        <w:r w:rsidRPr="007943AF">
          <w:rPr>
            <w:rStyle w:val="Hyperlink"/>
            <w:rFonts w:cs="Arial"/>
          </w:rPr>
          <w:t>https://apprenticeshipusa.workforcegps.org/resources/2017/03/10/16/09/Expanding-Apprenticeship-for-Individuals-with-Disabilities</w:t>
        </w:r>
      </w:hyperlink>
      <w:r>
        <w:rPr>
          <w:rFonts w:ascii="Arial" w:hAnsi="Arial" w:cs="Arial"/>
        </w:rPr>
        <w:t>.</w:t>
      </w:r>
      <w:r w:rsidRPr="002E2545">
        <w:rPr>
          <w:rFonts w:ascii="Arial" w:hAnsi="Arial" w:cs="Arial"/>
          <w:szCs w:val="24"/>
        </w:rPr>
        <w:t xml:space="preserve"> </w:t>
      </w:r>
      <w:r>
        <w:rPr>
          <w:rFonts w:ascii="Arial" w:hAnsi="Arial" w:cs="Arial"/>
          <w:szCs w:val="24"/>
        </w:rPr>
        <w:t>(Accessed June 24, 2018).</w:t>
      </w:r>
      <w:r>
        <w:rPr>
          <w:rFonts w:ascii="Arial" w:hAnsi="Arial" w:cs="Arial"/>
        </w:rPr>
        <w:t xml:space="preserve"> Office of Disability Employment Policy. “Apprenticeship.” </w:t>
      </w:r>
      <w:hyperlink r:id="rId48" w:tooltip="https://www.dol.gov/odep/topics/youth/Apprenticeship.htm" w:history="1">
        <w:r w:rsidRPr="007943AF">
          <w:rPr>
            <w:rStyle w:val="Hyperlink"/>
            <w:rFonts w:cs="Arial"/>
          </w:rPr>
          <w:t>https://www.dol.gov/odep/topics/youth/Apprenticeship.htm</w:t>
        </w:r>
      </w:hyperlink>
      <w:r w:rsidRPr="007943AF">
        <w:rPr>
          <w:rFonts w:ascii="Arial" w:hAnsi="Arial" w:cs="Arial"/>
        </w:rPr>
        <w:t>.</w:t>
      </w:r>
      <w:r>
        <w:rPr>
          <w:rFonts w:ascii="Arial" w:hAnsi="Arial" w:cs="Arial"/>
        </w:rPr>
        <w:t xml:space="preserve"> </w:t>
      </w:r>
      <w:r>
        <w:rPr>
          <w:rFonts w:ascii="Arial" w:hAnsi="Arial" w:cs="Arial"/>
          <w:szCs w:val="24"/>
        </w:rPr>
        <w:t>(Accessed June 24, 2018).</w:t>
      </w:r>
    </w:p>
  </w:endnote>
  <w:endnote w:id="127">
    <w:p w14:paraId="354E6593" w14:textId="16A3351D" w:rsidR="005E3498" w:rsidRPr="00DC5231" w:rsidRDefault="005E3498" w:rsidP="00BA0761">
      <w:pPr>
        <w:pStyle w:val="Default"/>
        <w:spacing w:after="200"/>
      </w:pPr>
      <w:r>
        <w:rPr>
          <w:rStyle w:val="EndnoteReference"/>
        </w:rPr>
        <w:endnoteRef/>
      </w:r>
      <w:r>
        <w:rPr>
          <w:sz w:val="26"/>
          <w:szCs w:val="26"/>
        </w:rPr>
        <w:t xml:space="preserve"> </w:t>
      </w:r>
      <w:r w:rsidRPr="00DC5231">
        <w:rPr>
          <w:rFonts w:ascii="Arial" w:hAnsi="Arial" w:cs="Arial"/>
          <w:color w:val="auto"/>
        </w:rPr>
        <w:t>Chamberlain,</w:t>
      </w:r>
      <w:r>
        <w:rPr>
          <w:rFonts w:ascii="Arial" w:hAnsi="Arial" w:cs="Arial"/>
          <w:color w:val="auto"/>
        </w:rPr>
        <w:t xml:space="preserve"> Anne,</w:t>
      </w:r>
      <w:r w:rsidRPr="00DC5231">
        <w:rPr>
          <w:rFonts w:ascii="Arial" w:hAnsi="Arial" w:cs="Arial"/>
          <w:color w:val="auto"/>
        </w:rPr>
        <w:t xml:space="preserve"> </w:t>
      </w:r>
      <w:r w:rsidRPr="0011139E">
        <w:rPr>
          <w:rFonts w:ascii="Arial" w:hAnsi="Arial" w:cs="Arial"/>
          <w:color w:val="auto"/>
        </w:rPr>
        <w:t>et al.</w:t>
      </w:r>
      <w:r>
        <w:rPr>
          <w:rFonts w:ascii="Arial" w:hAnsi="Arial" w:cs="Arial"/>
          <w:color w:val="auto"/>
        </w:rPr>
        <w:t xml:space="preserve"> 2017.</w:t>
      </w:r>
      <w:r>
        <w:rPr>
          <w:rFonts w:ascii="Arial" w:hAnsi="Arial" w:cs="Arial"/>
        </w:rPr>
        <w:t xml:space="preserve"> </w:t>
      </w:r>
      <w:r w:rsidRPr="00631E24">
        <w:rPr>
          <w:rFonts w:ascii="Arial" w:hAnsi="Arial" w:cs="Arial"/>
          <w:i/>
        </w:rPr>
        <w:t>Evaluating the Accessibility of American Job Centers for People with Disabilities, Final Report</w:t>
      </w:r>
      <w:r>
        <w:rPr>
          <w:rFonts w:ascii="Arial" w:hAnsi="Arial" w:cs="Arial"/>
        </w:rPr>
        <w:t xml:space="preserve">. Washington, DC: U.S. Department of Labor. </w:t>
      </w:r>
      <w:hyperlink r:id="rId49" w:tooltip="http://www.impaqint.com/sites/default/files/files/AJC-Accessibility-Study.pdf" w:history="1">
        <w:r w:rsidRPr="008B50BA">
          <w:rPr>
            <w:rStyle w:val="Hyperlink"/>
            <w:rFonts w:cs="Arial"/>
          </w:rPr>
          <w:t>http://www.impaqint.com/sites/default/files/files/AJC-Accessibility-Study.pdf</w:t>
        </w:r>
      </w:hyperlink>
      <w:r>
        <w:rPr>
          <w:rFonts w:ascii="Arial" w:hAnsi="Arial" w:cs="Arial"/>
        </w:rPr>
        <w:t xml:space="preserve">. </w:t>
      </w:r>
    </w:p>
  </w:endnote>
  <w:endnote w:id="128">
    <w:p w14:paraId="1B9B776B" w14:textId="293351E8" w:rsidR="005E3498" w:rsidRPr="0011139E" w:rsidRDefault="005E3498" w:rsidP="00BA0761">
      <w:pPr>
        <w:pStyle w:val="EndnoteText"/>
        <w:rPr>
          <w:szCs w:val="24"/>
        </w:rPr>
      </w:pPr>
      <w:r w:rsidRPr="00556403">
        <w:rPr>
          <w:rStyle w:val="EndnoteReference"/>
          <w:szCs w:val="24"/>
        </w:rPr>
        <w:endnoteRef/>
      </w:r>
      <w:r w:rsidRPr="0011139E">
        <w:rPr>
          <w:szCs w:val="24"/>
        </w:rPr>
        <w:t xml:space="preserve"> </w:t>
      </w:r>
      <w:r w:rsidRPr="00556403">
        <w:rPr>
          <w:rFonts w:cs="Arial"/>
          <w:szCs w:val="24"/>
        </w:rPr>
        <w:t xml:space="preserve">Extensive information on the WIOA performance measures is available at </w:t>
      </w:r>
      <w:r w:rsidRPr="00F77D72">
        <w:rPr>
          <w:rFonts w:cs="Arial"/>
          <w:szCs w:val="24"/>
        </w:rPr>
        <w:t xml:space="preserve">Department of Labor Performance and Results. </w:t>
      </w:r>
      <w:hyperlink r:id="rId50" w:tooltip="http://www.doleta.gov/performance" w:history="1">
        <w:r w:rsidRPr="00F77D72">
          <w:rPr>
            <w:rStyle w:val="Hyperlink"/>
            <w:rFonts w:cs="Arial"/>
            <w:szCs w:val="24"/>
          </w:rPr>
          <w:t>www.doleta.gov/performance</w:t>
        </w:r>
      </w:hyperlink>
      <w:r w:rsidRPr="00556403">
        <w:rPr>
          <w:rFonts w:cs="Arial"/>
          <w:szCs w:val="24"/>
        </w:rPr>
        <w:t>.</w:t>
      </w:r>
      <w:r w:rsidRPr="00F77D72">
        <w:rPr>
          <w:rFonts w:cs="Arial"/>
          <w:szCs w:val="24"/>
        </w:rPr>
        <w:t xml:space="preserve"> </w:t>
      </w:r>
      <w:r w:rsidRPr="0011139E">
        <w:rPr>
          <w:rFonts w:cs="Arial"/>
          <w:szCs w:val="24"/>
        </w:rPr>
        <w:t xml:space="preserve">(Accessed June 25, </w:t>
      </w:r>
      <w:r>
        <w:rPr>
          <w:rFonts w:cs="Arial"/>
          <w:szCs w:val="24"/>
        </w:rPr>
        <w:t>2018).</w:t>
      </w:r>
    </w:p>
  </w:endnote>
  <w:endnote w:id="129">
    <w:p w14:paraId="3641147F" w14:textId="77777777" w:rsidR="005E3498" w:rsidRPr="00F77D72" w:rsidRDefault="005E3498" w:rsidP="00BA0761">
      <w:pPr>
        <w:pStyle w:val="EndnoteText"/>
        <w:rPr>
          <w:rFonts w:cs="Arial"/>
          <w:szCs w:val="24"/>
        </w:rPr>
      </w:pPr>
      <w:r w:rsidRPr="00556403">
        <w:rPr>
          <w:rStyle w:val="EndnoteReference"/>
          <w:szCs w:val="24"/>
        </w:rPr>
        <w:endnoteRef/>
      </w:r>
      <w:r w:rsidRPr="0011139E">
        <w:rPr>
          <w:szCs w:val="24"/>
        </w:rPr>
        <w:t xml:space="preserve"> </w:t>
      </w:r>
      <w:r w:rsidRPr="00556403">
        <w:rPr>
          <w:rFonts w:cs="Arial"/>
          <w:szCs w:val="24"/>
        </w:rPr>
        <w:t>The reporting categories are Physical/Chronic Health Condition; Physical/Mobility Impairment; Mental or Psychiatric disability;</w:t>
      </w:r>
      <w:r w:rsidRPr="00F77D72">
        <w:rPr>
          <w:rFonts w:cs="Arial"/>
          <w:szCs w:val="24"/>
        </w:rPr>
        <w:t xml:space="preserve"> Vision-related disability; Hearing-related disability; Learning disability; Cognitive/Intellectual disability; Participant did not disclose type of disability.</w:t>
      </w:r>
    </w:p>
  </w:endnote>
  <w:endnote w:id="130">
    <w:p w14:paraId="79BC10B1" w14:textId="1CF9AFCC"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F77D72">
        <w:rPr>
          <w:rFonts w:cs="Arial"/>
          <w:szCs w:val="24"/>
        </w:rPr>
        <w:t xml:space="preserve">Office of Disability Employment Policy. “ODEP Year by Year: 2001.” </w:t>
      </w:r>
      <w:hyperlink r:id="rId51" w:tooltip="https://www.dol.gov/odep/history/2001.htm" w:history="1">
        <w:r w:rsidRPr="00F77D72">
          <w:rPr>
            <w:rStyle w:val="Hyperlink"/>
            <w:rFonts w:cs="Arial"/>
            <w:szCs w:val="24"/>
          </w:rPr>
          <w:t>https://www.dol.gov/odep/history/2001.htm</w:t>
        </w:r>
      </w:hyperlink>
      <w:r w:rsidRPr="00556403">
        <w:rPr>
          <w:rFonts w:cs="Arial"/>
          <w:szCs w:val="24"/>
        </w:rPr>
        <w:t>.</w:t>
      </w:r>
      <w:r w:rsidRPr="0011139E">
        <w:rPr>
          <w:rFonts w:cs="Arial"/>
          <w:szCs w:val="24"/>
        </w:rPr>
        <w:t xml:space="preserve"> (Accessed June 25, </w:t>
      </w:r>
      <w:r>
        <w:rPr>
          <w:rFonts w:cs="Arial"/>
          <w:szCs w:val="24"/>
        </w:rPr>
        <w:t>2018).</w:t>
      </w:r>
    </w:p>
  </w:endnote>
  <w:endnote w:id="131">
    <w:p w14:paraId="3ED95E39" w14:textId="78D648FC" w:rsidR="005E3498" w:rsidRPr="00F77D72" w:rsidRDefault="005E3498" w:rsidP="00BA0761">
      <w:pPr>
        <w:pStyle w:val="EndnoteText"/>
        <w:rPr>
          <w:rFonts w:cs="Arial"/>
          <w:szCs w:val="24"/>
        </w:rPr>
      </w:pPr>
      <w:r w:rsidRPr="00556403">
        <w:rPr>
          <w:rStyle w:val="EndnoteReference"/>
          <w:szCs w:val="24"/>
        </w:rPr>
        <w:endnoteRef/>
      </w:r>
      <w:r w:rsidRPr="0011139E">
        <w:rPr>
          <w:szCs w:val="24"/>
        </w:rPr>
        <w:t xml:space="preserve"> </w:t>
      </w:r>
      <w:r w:rsidRPr="00556403">
        <w:rPr>
          <w:rFonts w:cs="Arial"/>
          <w:szCs w:val="24"/>
        </w:rPr>
        <w:t>National Coun</w:t>
      </w:r>
      <w:r>
        <w:rPr>
          <w:rFonts w:cs="Arial"/>
          <w:szCs w:val="24"/>
        </w:rPr>
        <w:t>cil</w:t>
      </w:r>
      <w:r w:rsidRPr="00F77D72">
        <w:rPr>
          <w:rFonts w:cs="Arial"/>
          <w:szCs w:val="24"/>
        </w:rPr>
        <w:t xml:space="preserve"> on </w:t>
      </w:r>
      <w:r w:rsidRPr="00F77D72">
        <w:rPr>
          <w:rFonts w:cs="Arial"/>
          <w:szCs w:val="24"/>
        </w:rPr>
        <w:t xml:space="preserve">Disability, </w:t>
      </w:r>
      <w:r w:rsidRPr="00631E24">
        <w:rPr>
          <w:rFonts w:cs="Arial"/>
          <w:i/>
          <w:szCs w:val="24"/>
        </w:rPr>
        <w:t>Promises to Keep</w:t>
      </w:r>
      <w:r w:rsidRPr="00F77D72">
        <w:rPr>
          <w:rFonts w:cs="Arial"/>
          <w:szCs w:val="24"/>
        </w:rPr>
        <w:t>, 2000, 363.</w:t>
      </w:r>
    </w:p>
  </w:endnote>
  <w:endnote w:id="132">
    <w:p w14:paraId="3400775E" w14:textId="5F81250F"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F77D72">
        <w:rPr>
          <w:rFonts w:cs="Arial"/>
          <w:szCs w:val="24"/>
        </w:rPr>
        <w:t xml:space="preserve">Office of Disability Employment Policy, “About ODEP.” </w:t>
      </w:r>
      <w:hyperlink r:id="rId52" w:tooltip="https://www.dol.gov/odep/about/" w:history="1">
        <w:r w:rsidRPr="00F77D72">
          <w:rPr>
            <w:rStyle w:val="Hyperlink"/>
            <w:rFonts w:cs="Arial"/>
            <w:szCs w:val="24"/>
          </w:rPr>
          <w:t>https://www.dol.gov/odep/about/</w:t>
        </w:r>
      </w:hyperlink>
      <w:r w:rsidRPr="00556403">
        <w:rPr>
          <w:rFonts w:cs="Arial"/>
          <w:szCs w:val="24"/>
        </w:rPr>
        <w:t xml:space="preserve">. </w:t>
      </w:r>
      <w:r w:rsidRPr="0011139E">
        <w:rPr>
          <w:rFonts w:cs="Arial"/>
          <w:szCs w:val="24"/>
        </w:rPr>
        <w:t xml:space="preserve">(Accessed June 23, </w:t>
      </w:r>
      <w:r>
        <w:rPr>
          <w:rFonts w:cs="Arial"/>
          <w:szCs w:val="24"/>
        </w:rPr>
        <w:t>2018).</w:t>
      </w:r>
    </w:p>
  </w:endnote>
  <w:endnote w:id="133">
    <w:p w14:paraId="10F00FA4" w14:textId="77777777" w:rsidR="005E3498" w:rsidRPr="00F77D72"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F77D72">
        <w:rPr>
          <w:rFonts w:cs="Arial"/>
          <w:szCs w:val="24"/>
        </w:rPr>
        <w:t>Ibid.</w:t>
      </w:r>
    </w:p>
  </w:endnote>
  <w:endnote w:id="134">
    <w:p w14:paraId="6494CCC9"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7D5059">
        <w:rPr>
          <w:rFonts w:cs="Arial"/>
          <w:szCs w:val="24"/>
        </w:rPr>
        <w:t>Ibid.</w:t>
      </w:r>
    </w:p>
  </w:endnote>
  <w:endnote w:id="135">
    <w:p w14:paraId="3B811C6D" w14:textId="77777777" w:rsidR="005E3498" w:rsidRPr="0072415B" w:rsidRDefault="005E3498" w:rsidP="00BA0761">
      <w:pPr>
        <w:pStyle w:val="EndnoteText"/>
        <w:rPr>
          <w:rFonts w:cs="Arial"/>
          <w:szCs w:val="24"/>
        </w:rPr>
      </w:pPr>
      <w:r w:rsidRPr="0072415B">
        <w:rPr>
          <w:rStyle w:val="EndnoteReference"/>
          <w:rFonts w:cs="Arial"/>
          <w:szCs w:val="24"/>
        </w:rPr>
        <w:endnoteRef/>
      </w:r>
      <w:r w:rsidRPr="0072415B">
        <w:rPr>
          <w:rFonts w:cs="Arial"/>
          <w:szCs w:val="24"/>
        </w:rPr>
        <w:t xml:space="preserve"> Ibid.</w:t>
      </w:r>
    </w:p>
  </w:endnote>
  <w:endnote w:id="136">
    <w:p w14:paraId="632C6088" w14:textId="5FFCCA6A" w:rsidR="005E3498" w:rsidRPr="00556403" w:rsidRDefault="005E3498" w:rsidP="00BA0761">
      <w:pPr>
        <w:pStyle w:val="EndnoteText"/>
        <w:rPr>
          <w:rFonts w:cs="Arial"/>
          <w:szCs w:val="24"/>
        </w:rPr>
      </w:pPr>
      <w:r w:rsidRPr="0072415B">
        <w:rPr>
          <w:rStyle w:val="EndnoteReference"/>
          <w:rFonts w:cs="Arial"/>
          <w:szCs w:val="24"/>
        </w:rPr>
        <w:endnoteRef/>
      </w:r>
      <w:r w:rsidRPr="0072415B">
        <w:rPr>
          <w:rFonts w:cs="Arial"/>
          <w:szCs w:val="24"/>
        </w:rPr>
        <w:t xml:space="preserve"> </w:t>
      </w:r>
      <w:r w:rsidRPr="0072415B">
        <w:rPr>
          <w:rFonts w:cs="Arial"/>
          <w:szCs w:val="24"/>
        </w:rPr>
        <w:t>U.S. Department</w:t>
      </w:r>
      <w:r>
        <w:rPr>
          <w:rFonts w:cs="Arial"/>
          <w:szCs w:val="24"/>
        </w:rPr>
        <w:t xml:space="preserve"> of Labor,</w:t>
      </w:r>
      <w:r w:rsidRPr="0072415B">
        <w:rPr>
          <w:rFonts w:cs="Arial"/>
          <w:szCs w:val="24"/>
        </w:rPr>
        <w:t xml:space="preserve"> </w:t>
      </w:r>
      <w:r w:rsidRPr="00631E24">
        <w:rPr>
          <w:rFonts w:cs="Arial"/>
          <w:i/>
          <w:szCs w:val="24"/>
        </w:rPr>
        <w:t>FY 2018–22 Strategic Plan</w:t>
      </w:r>
      <w:r w:rsidRPr="0072415B">
        <w:rPr>
          <w:rFonts w:cs="Arial"/>
          <w:szCs w:val="24"/>
        </w:rPr>
        <w:t>, 14</w:t>
      </w:r>
      <w:r>
        <w:rPr>
          <w:rFonts w:cs="Arial"/>
          <w:szCs w:val="24"/>
        </w:rPr>
        <w:t>.</w:t>
      </w:r>
      <w:r>
        <w:t xml:space="preserve"> </w:t>
      </w:r>
      <w:hyperlink r:id="rId53" w:tooltip="https://www.dol.gov/sites/default/files/budget/2019/FY2018-2022StrategicPlan.pdf" w:history="1">
        <w:r w:rsidRPr="00766300">
          <w:rPr>
            <w:rStyle w:val="Hyperlink"/>
            <w:rFonts w:cs="Arial"/>
            <w:szCs w:val="24"/>
          </w:rPr>
          <w:t>https://www.dol.gov/sites/default/files/budget/2019/FY2018-2022StrategicPlan.pdf</w:t>
        </w:r>
      </w:hyperlink>
      <w:r>
        <w:rPr>
          <w:rFonts w:cs="Arial"/>
          <w:szCs w:val="24"/>
        </w:rPr>
        <w:t xml:space="preserve">. </w:t>
      </w:r>
      <w:r w:rsidRPr="0011139E">
        <w:rPr>
          <w:rFonts w:cs="Arial"/>
          <w:szCs w:val="24"/>
        </w:rPr>
        <w:t xml:space="preserve">(Accessed June 25, </w:t>
      </w:r>
      <w:r>
        <w:rPr>
          <w:rFonts w:cs="Arial"/>
          <w:szCs w:val="24"/>
        </w:rPr>
        <w:t>2018).</w:t>
      </w:r>
    </w:p>
  </w:endnote>
  <w:endnote w:id="137">
    <w:p w14:paraId="38802091" w14:textId="4B96A368" w:rsidR="005E3498" w:rsidRPr="0072415B" w:rsidRDefault="005E3498" w:rsidP="00BA0761">
      <w:pPr>
        <w:pStyle w:val="EndnoteText"/>
        <w:rPr>
          <w:rFonts w:cs="Arial"/>
          <w:szCs w:val="24"/>
        </w:rPr>
      </w:pPr>
      <w:r w:rsidRPr="0072415B">
        <w:rPr>
          <w:rStyle w:val="EndnoteReference"/>
          <w:rFonts w:cs="Arial"/>
          <w:szCs w:val="24"/>
        </w:rPr>
        <w:endnoteRef/>
      </w:r>
      <w:r w:rsidRPr="0072415B">
        <w:rPr>
          <w:rFonts w:cs="Arial"/>
          <w:szCs w:val="24"/>
        </w:rPr>
        <w:t xml:space="preserve"> </w:t>
      </w:r>
      <w:r w:rsidRPr="0072415B">
        <w:rPr>
          <w:rFonts w:cs="Arial"/>
          <w:szCs w:val="24"/>
        </w:rPr>
        <w:t>Ibid., 14</w:t>
      </w:r>
      <w:r>
        <w:rPr>
          <w:rFonts w:cs="Arial"/>
          <w:szCs w:val="24"/>
        </w:rPr>
        <w:t>–</w:t>
      </w:r>
      <w:r w:rsidRPr="0072415B">
        <w:rPr>
          <w:rFonts w:cs="Arial"/>
          <w:szCs w:val="24"/>
        </w:rPr>
        <w:t>15.</w:t>
      </w:r>
    </w:p>
  </w:endnote>
  <w:endnote w:id="138">
    <w:p w14:paraId="266E2861" w14:textId="4CC02DB8" w:rsidR="005E3498" w:rsidRPr="00556403" w:rsidRDefault="005E3498" w:rsidP="00BA0761">
      <w:pPr>
        <w:pStyle w:val="EndnoteText"/>
        <w:rPr>
          <w:rFonts w:cs="Arial"/>
          <w:color w:val="0000FF"/>
          <w:szCs w:val="24"/>
          <w:u w:val="single"/>
        </w:rPr>
      </w:pPr>
      <w:r w:rsidRPr="00556403">
        <w:rPr>
          <w:rStyle w:val="EndnoteReference"/>
          <w:rFonts w:cs="Arial"/>
          <w:szCs w:val="24"/>
        </w:rPr>
        <w:endnoteRef/>
      </w:r>
      <w:r w:rsidRPr="00556403">
        <w:rPr>
          <w:rFonts w:cs="Arial"/>
          <w:szCs w:val="24"/>
        </w:rPr>
        <w:t xml:space="preserve"> Office of Disability Emplo</w:t>
      </w:r>
      <w:r w:rsidRPr="00F77D72">
        <w:rPr>
          <w:rFonts w:cs="Arial"/>
          <w:szCs w:val="24"/>
        </w:rPr>
        <w:t xml:space="preserve">yment Policy, “ODEP Year by Year: 2009.” </w:t>
      </w:r>
      <w:r w:rsidRPr="00556403">
        <w:rPr>
          <w:rStyle w:val="Hyperlink"/>
          <w:rFonts w:cs="Arial"/>
          <w:szCs w:val="24"/>
        </w:rPr>
        <w:t>https://ww</w:t>
      </w:r>
      <w:r w:rsidRPr="00F77D72">
        <w:rPr>
          <w:rStyle w:val="Hyperlink"/>
          <w:rFonts w:cs="Arial"/>
          <w:szCs w:val="24"/>
        </w:rPr>
        <w:t>w.dol.gov/odep/history/2009.htm.</w:t>
      </w:r>
      <w:r w:rsidRPr="0011139E">
        <w:rPr>
          <w:rFonts w:cs="Arial"/>
          <w:szCs w:val="24"/>
        </w:rPr>
        <w:t xml:space="preserve"> </w:t>
      </w:r>
      <w:r w:rsidRPr="0011139E">
        <w:rPr>
          <w:rFonts w:cs="Arial"/>
          <w:szCs w:val="24"/>
        </w:rPr>
        <w:t xml:space="preserve">(Accessed June 25, </w:t>
      </w:r>
      <w:r>
        <w:rPr>
          <w:rFonts w:cs="Arial"/>
          <w:szCs w:val="24"/>
        </w:rPr>
        <w:t>2018).</w:t>
      </w:r>
    </w:p>
  </w:endnote>
  <w:endnote w:id="139">
    <w:p w14:paraId="6B0FD293" w14:textId="77777777"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Ibid.</w:t>
      </w:r>
    </w:p>
  </w:endnote>
  <w:endnote w:id="140">
    <w:p w14:paraId="590E3A3A" w14:textId="22A1A3DA"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Office of Disability Employme</w:t>
      </w:r>
      <w:r w:rsidRPr="00F77D72">
        <w:rPr>
          <w:rFonts w:cs="Arial"/>
          <w:szCs w:val="24"/>
        </w:rPr>
        <w:t xml:space="preserve">nt Policy, “ODEP Year by Year: 2010.” </w:t>
      </w:r>
      <w:hyperlink r:id="rId54" w:tooltip="https://www.dol.gov/odep/history/2010.htm" w:history="1">
        <w:r w:rsidRPr="00F77D72">
          <w:rPr>
            <w:rStyle w:val="Hyperlink"/>
            <w:rFonts w:cs="Arial"/>
            <w:szCs w:val="24"/>
          </w:rPr>
          <w:t>https://www.dol.gov/odep/history/2010.htm</w:t>
        </w:r>
      </w:hyperlink>
      <w:r w:rsidRPr="00556403">
        <w:rPr>
          <w:rFonts w:cs="Arial"/>
          <w:szCs w:val="24"/>
        </w:rPr>
        <w:t xml:space="preserve">. </w:t>
      </w:r>
      <w:r w:rsidRPr="0011139E">
        <w:rPr>
          <w:rFonts w:cs="Arial"/>
          <w:szCs w:val="24"/>
        </w:rPr>
        <w:t xml:space="preserve">(Accessed June 25, </w:t>
      </w:r>
      <w:r>
        <w:rPr>
          <w:rFonts w:cs="Arial"/>
          <w:szCs w:val="24"/>
        </w:rPr>
        <w:t>2018).</w:t>
      </w:r>
    </w:p>
  </w:endnote>
  <w:endnote w:id="141">
    <w:p w14:paraId="11DCA168" w14:textId="6682FA8C"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Office of Disability Employme</w:t>
      </w:r>
      <w:r w:rsidRPr="00F77D72">
        <w:rPr>
          <w:rFonts w:cs="Arial"/>
          <w:szCs w:val="24"/>
        </w:rPr>
        <w:t xml:space="preserve">nt Policy, “ODEP Year by Year: 2011.” </w:t>
      </w:r>
      <w:hyperlink r:id="rId55" w:tooltip="https://www.dol.gov/odep/history/2011.htm" w:history="1">
        <w:r w:rsidRPr="00F77D72">
          <w:rPr>
            <w:rStyle w:val="Hyperlink"/>
            <w:rFonts w:cs="Arial"/>
            <w:szCs w:val="24"/>
          </w:rPr>
          <w:t>https://www.dol.gov/odep/history/2011.htm</w:t>
        </w:r>
      </w:hyperlink>
      <w:r w:rsidRPr="00556403">
        <w:rPr>
          <w:rFonts w:cs="Arial"/>
          <w:szCs w:val="24"/>
        </w:rPr>
        <w:t xml:space="preserve">. </w:t>
      </w:r>
      <w:r w:rsidRPr="0011139E">
        <w:rPr>
          <w:rFonts w:cs="Arial"/>
          <w:szCs w:val="24"/>
        </w:rPr>
        <w:t xml:space="preserve">(Accessed June 25, </w:t>
      </w:r>
      <w:r>
        <w:rPr>
          <w:rFonts w:cs="Arial"/>
          <w:szCs w:val="24"/>
        </w:rPr>
        <w:t>2018).</w:t>
      </w:r>
    </w:p>
  </w:endnote>
  <w:endnote w:id="142">
    <w:p w14:paraId="5828E08E" w14:textId="5FB572E9" w:rsidR="005E3498" w:rsidRPr="00556403" w:rsidRDefault="005E3498" w:rsidP="00BA0761">
      <w:pPr>
        <w:pStyle w:val="EndnoteText"/>
        <w:rPr>
          <w:rFonts w:cs="Arial"/>
          <w:i/>
          <w:szCs w:val="24"/>
        </w:rPr>
      </w:pPr>
      <w:r w:rsidRPr="00556403">
        <w:rPr>
          <w:rStyle w:val="EndnoteReference"/>
          <w:rFonts w:cs="Arial"/>
          <w:szCs w:val="24"/>
        </w:rPr>
        <w:endnoteRef/>
      </w:r>
      <w:r w:rsidRPr="00556403">
        <w:rPr>
          <w:rFonts w:cs="Arial"/>
          <w:szCs w:val="24"/>
        </w:rPr>
        <w:t xml:space="preserve"> </w:t>
      </w:r>
      <w:r w:rsidRPr="00F77D72">
        <w:rPr>
          <w:rFonts w:cs="Arial"/>
          <w:szCs w:val="24"/>
        </w:rPr>
        <w:t xml:space="preserve">Office of Disability Employment Policy, “ODEP Year by Year: 2012.” </w:t>
      </w:r>
      <w:hyperlink r:id="rId56" w:tooltip="https://www.dol.gov/odep/history/2012.htm" w:history="1">
        <w:r w:rsidRPr="00F77D72">
          <w:rPr>
            <w:rStyle w:val="Hyperlink"/>
            <w:rFonts w:cs="Arial"/>
            <w:szCs w:val="24"/>
          </w:rPr>
          <w:t>https://www.dol.gov/odep/history/2012.htm</w:t>
        </w:r>
      </w:hyperlink>
      <w:r w:rsidRPr="00556403">
        <w:rPr>
          <w:rFonts w:cs="Arial"/>
          <w:szCs w:val="24"/>
        </w:rPr>
        <w:t>.</w:t>
      </w:r>
      <w:r w:rsidRPr="0011139E">
        <w:rPr>
          <w:rFonts w:cs="Arial"/>
          <w:szCs w:val="24"/>
        </w:rPr>
        <w:t xml:space="preserve"> </w:t>
      </w:r>
      <w:r w:rsidRPr="0011139E">
        <w:rPr>
          <w:rFonts w:cs="Arial"/>
          <w:szCs w:val="24"/>
        </w:rPr>
        <w:t xml:space="preserve">(Accessed June 25, </w:t>
      </w:r>
      <w:r>
        <w:rPr>
          <w:rFonts w:cs="Arial"/>
          <w:szCs w:val="24"/>
        </w:rPr>
        <w:t>2018).</w:t>
      </w:r>
    </w:p>
  </w:endnote>
  <w:endnote w:id="143">
    <w:p w14:paraId="333B9642" w14:textId="77777777" w:rsidR="005E3498" w:rsidRPr="00556403" w:rsidRDefault="005E3498" w:rsidP="00BA0761">
      <w:pPr>
        <w:pStyle w:val="EndnoteText"/>
        <w:rPr>
          <w:rFonts w:cs="Arial"/>
          <w:i/>
          <w:szCs w:val="24"/>
        </w:rPr>
      </w:pPr>
      <w:r w:rsidRPr="00556403">
        <w:rPr>
          <w:rStyle w:val="EndnoteReference"/>
          <w:rFonts w:cs="Arial"/>
          <w:szCs w:val="24"/>
        </w:rPr>
        <w:endnoteRef/>
      </w:r>
      <w:r w:rsidRPr="00556403">
        <w:rPr>
          <w:rFonts w:cs="Arial"/>
          <w:szCs w:val="24"/>
        </w:rPr>
        <w:t xml:space="preserve"> </w:t>
      </w:r>
      <w:r w:rsidRPr="0011139E">
        <w:rPr>
          <w:rFonts w:cs="Arial"/>
          <w:szCs w:val="24"/>
        </w:rPr>
        <w:t>Ibid</w:t>
      </w:r>
      <w:r w:rsidRPr="00556403">
        <w:rPr>
          <w:rFonts w:cs="Arial"/>
          <w:i/>
          <w:szCs w:val="24"/>
        </w:rPr>
        <w:t>.</w:t>
      </w:r>
    </w:p>
  </w:endnote>
  <w:endnote w:id="144">
    <w:p w14:paraId="10002052" w14:textId="4AEAECC7"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556403">
        <w:rPr>
          <w:rFonts w:cs="Arial"/>
          <w:szCs w:val="24"/>
        </w:rPr>
        <w:t>Office of Disability Employment Policy</w:t>
      </w:r>
      <w:r w:rsidRPr="00F77D72">
        <w:rPr>
          <w:rFonts w:cs="Arial"/>
          <w:szCs w:val="24"/>
        </w:rPr>
        <w:t xml:space="preserve">. “ODEP Year by Year: 2013.” </w:t>
      </w:r>
      <w:hyperlink r:id="rId57" w:tooltip="https://www.dol.gov/odep/history/2013.htm" w:history="1">
        <w:r w:rsidRPr="00F77D72">
          <w:rPr>
            <w:rStyle w:val="Hyperlink"/>
            <w:rFonts w:cs="Arial"/>
            <w:szCs w:val="24"/>
          </w:rPr>
          <w:t>https://www.dol.gov/odep/history/2013.htm</w:t>
        </w:r>
      </w:hyperlink>
      <w:r w:rsidRPr="00556403">
        <w:rPr>
          <w:rFonts w:cs="Arial"/>
          <w:szCs w:val="24"/>
        </w:rPr>
        <w:t>.</w:t>
      </w:r>
      <w:r w:rsidRPr="0011139E">
        <w:rPr>
          <w:rFonts w:cs="Arial"/>
          <w:szCs w:val="24"/>
        </w:rPr>
        <w:t xml:space="preserve"> (Accessed June 25, </w:t>
      </w:r>
      <w:r>
        <w:rPr>
          <w:rFonts w:cs="Arial"/>
          <w:szCs w:val="24"/>
        </w:rPr>
        <w:t>2018).</w:t>
      </w:r>
    </w:p>
  </w:endnote>
  <w:endnote w:id="145">
    <w:p w14:paraId="6FE4A20F" w14:textId="2DF1C6E5"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556403">
        <w:rPr>
          <w:rFonts w:cs="Arial"/>
          <w:szCs w:val="24"/>
        </w:rPr>
        <w:t>Off</w:t>
      </w:r>
      <w:r w:rsidRPr="00F77D72">
        <w:rPr>
          <w:rFonts w:cs="Arial"/>
          <w:szCs w:val="24"/>
        </w:rPr>
        <w:t xml:space="preserve">ice of Disability Employment Policy. “ODEP Year by Year: 2014.” </w:t>
      </w:r>
      <w:hyperlink r:id="rId58" w:tooltip="https://www.dol.gov/odep/history/2014.htm" w:history="1">
        <w:r w:rsidRPr="00F77D72">
          <w:rPr>
            <w:rStyle w:val="Hyperlink"/>
            <w:rFonts w:cs="Arial"/>
            <w:szCs w:val="24"/>
          </w:rPr>
          <w:t>https://www.dol.gov/odep/history/2014.htm</w:t>
        </w:r>
      </w:hyperlink>
      <w:r w:rsidRPr="00556403">
        <w:rPr>
          <w:rFonts w:cs="Arial"/>
          <w:szCs w:val="24"/>
        </w:rPr>
        <w:t xml:space="preserve">. </w:t>
      </w:r>
      <w:r w:rsidRPr="0011139E">
        <w:rPr>
          <w:rFonts w:cs="Arial"/>
          <w:szCs w:val="24"/>
        </w:rPr>
        <w:t xml:space="preserve">(Accessed June 25, </w:t>
      </w:r>
      <w:r>
        <w:rPr>
          <w:rFonts w:cs="Arial"/>
          <w:szCs w:val="24"/>
        </w:rPr>
        <w:t>2018).</w:t>
      </w:r>
    </w:p>
  </w:endnote>
  <w:endnote w:id="146">
    <w:p w14:paraId="312A0319" w14:textId="33AC306B" w:rsidR="005E3498" w:rsidRPr="0011139E" w:rsidRDefault="005E3498" w:rsidP="00BA0761">
      <w:pPr>
        <w:pStyle w:val="EndnoteText"/>
        <w:rPr>
          <w:rFonts w:cs="Arial"/>
          <w:szCs w:val="24"/>
        </w:rPr>
      </w:pPr>
      <w:r w:rsidRPr="00556403">
        <w:rPr>
          <w:rStyle w:val="EndnoteReference"/>
          <w:rFonts w:cs="Arial"/>
          <w:szCs w:val="24"/>
        </w:rPr>
        <w:endnoteRef/>
      </w:r>
      <w:r w:rsidRPr="0011139E">
        <w:rPr>
          <w:rFonts w:cs="Arial"/>
          <w:szCs w:val="24"/>
        </w:rPr>
        <w:t xml:space="preserve"> </w:t>
      </w:r>
      <w:r w:rsidRPr="00556403">
        <w:rPr>
          <w:rFonts w:cs="Arial"/>
          <w:szCs w:val="24"/>
        </w:rPr>
        <w:t>Office of Disability Employment Po</w:t>
      </w:r>
      <w:r w:rsidRPr="00F77D72">
        <w:rPr>
          <w:rFonts w:cs="Arial"/>
          <w:szCs w:val="24"/>
        </w:rPr>
        <w:t xml:space="preserve">licy. “ODEP Year by Year: 2015.” </w:t>
      </w:r>
      <w:hyperlink r:id="rId59" w:tooltip="https://www.dol.gov/odep/history/2015.htm" w:history="1">
        <w:r w:rsidRPr="00F77D72">
          <w:rPr>
            <w:rStyle w:val="Hyperlink"/>
            <w:rFonts w:cs="Arial"/>
            <w:szCs w:val="24"/>
          </w:rPr>
          <w:t>https://www.dol.gov/odep/history/2015.htm</w:t>
        </w:r>
      </w:hyperlink>
      <w:r w:rsidRPr="00556403">
        <w:rPr>
          <w:rFonts w:cs="Arial"/>
          <w:szCs w:val="24"/>
        </w:rPr>
        <w:t>.</w:t>
      </w:r>
      <w:r w:rsidRPr="0011139E">
        <w:rPr>
          <w:rFonts w:cs="Arial"/>
          <w:szCs w:val="24"/>
        </w:rPr>
        <w:t xml:space="preserve"> (Accessed June 25, </w:t>
      </w:r>
      <w:r>
        <w:rPr>
          <w:rFonts w:cs="Arial"/>
          <w:szCs w:val="24"/>
        </w:rPr>
        <w:t>2018).</w:t>
      </w:r>
    </w:p>
  </w:endnote>
  <w:endnote w:id="147">
    <w:p w14:paraId="33C5B46B" w14:textId="77777777" w:rsidR="005E3498" w:rsidRPr="00F77D72"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Ibid</w:t>
      </w:r>
      <w:r w:rsidRPr="00F77D72">
        <w:rPr>
          <w:rFonts w:cs="Arial"/>
          <w:szCs w:val="24"/>
        </w:rPr>
        <w:t>.</w:t>
      </w:r>
    </w:p>
  </w:endnote>
  <w:endnote w:id="148">
    <w:p w14:paraId="42A73AA6" w14:textId="7ADA0C15"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556403">
        <w:rPr>
          <w:rFonts w:cs="Arial"/>
          <w:szCs w:val="24"/>
        </w:rPr>
        <w:t>ODEP Year by Year</w:t>
      </w:r>
      <w:r w:rsidRPr="00F77D72">
        <w:rPr>
          <w:rFonts w:cs="Arial"/>
          <w:szCs w:val="24"/>
        </w:rPr>
        <w:t xml:space="preserve">. </w:t>
      </w:r>
      <w:hyperlink r:id="rId60" w:tooltip="https://www.dol.gov/odep/history/" w:history="1">
        <w:r w:rsidRPr="00F77D72">
          <w:rPr>
            <w:rStyle w:val="Hyperlink"/>
            <w:rFonts w:cs="Arial"/>
            <w:szCs w:val="24"/>
          </w:rPr>
          <w:t>https://www.dol.gov/odep/history/</w:t>
        </w:r>
      </w:hyperlink>
      <w:r w:rsidRPr="00556403">
        <w:rPr>
          <w:rFonts w:cs="Arial"/>
          <w:szCs w:val="24"/>
        </w:rPr>
        <w:t xml:space="preserve">. </w:t>
      </w:r>
    </w:p>
  </w:endnote>
  <w:endnote w:id="149">
    <w:p w14:paraId="2481BA9D" w14:textId="6ACAF14C"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F77D72">
        <w:rPr>
          <w:rFonts w:cs="Arial"/>
          <w:szCs w:val="24"/>
        </w:rPr>
        <w:t xml:space="preserve">U.S. Department of Labor. “FY 2019 Congressional Budget Justification,”ODEP-9. </w:t>
      </w:r>
      <w:hyperlink r:id="rId61" w:tooltip="https://www.dol.gov/sites/default/files/budget/2019/CBJ-2019-V3-03.pdf" w:history="1">
        <w:r w:rsidRPr="00F77D72">
          <w:rPr>
            <w:rStyle w:val="Hyperlink"/>
            <w:rFonts w:cs="Arial"/>
            <w:szCs w:val="24"/>
          </w:rPr>
          <w:t>https://www.dol.gov/sites/default/files/budget/2019/CBJ-2019-V3-03.pdf</w:t>
        </w:r>
      </w:hyperlink>
      <w:r w:rsidRPr="00556403">
        <w:rPr>
          <w:rFonts w:cs="Arial"/>
          <w:szCs w:val="24"/>
        </w:rPr>
        <w:t xml:space="preserve">. </w:t>
      </w:r>
      <w:r w:rsidRPr="0011139E">
        <w:rPr>
          <w:rFonts w:cs="Arial"/>
          <w:szCs w:val="24"/>
        </w:rPr>
        <w:t xml:space="preserve">(Accessed June 25, </w:t>
      </w:r>
      <w:r>
        <w:rPr>
          <w:rFonts w:cs="Arial"/>
          <w:szCs w:val="24"/>
        </w:rPr>
        <w:t>2018).</w:t>
      </w:r>
    </w:p>
  </w:endnote>
  <w:endnote w:id="150">
    <w:p w14:paraId="1FE0D761" w14:textId="5803649F"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556403">
        <w:rPr>
          <w:rFonts w:cs="Arial"/>
          <w:szCs w:val="24"/>
        </w:rPr>
        <w:t>U.S. Department of Labor</w:t>
      </w:r>
      <w:r w:rsidRPr="00F77D72">
        <w:rPr>
          <w:rFonts w:cs="Arial"/>
          <w:szCs w:val="24"/>
        </w:rPr>
        <w:t xml:space="preserve">. “FY 2018 Budget in Brief,” 35. </w:t>
      </w:r>
      <w:hyperlink r:id="rId62" w:tooltip="https://www.dol.gov/sites/default/files/FY2018BIB.pdf" w:history="1">
        <w:r w:rsidRPr="00F77D72">
          <w:rPr>
            <w:rStyle w:val="Hyperlink"/>
            <w:rFonts w:cs="Arial"/>
            <w:szCs w:val="24"/>
          </w:rPr>
          <w:t>https://www.dol.gov/sites/default/files/FY2018BIB.pdf</w:t>
        </w:r>
      </w:hyperlink>
      <w:r w:rsidRPr="00556403">
        <w:rPr>
          <w:rFonts w:cs="Arial"/>
          <w:szCs w:val="24"/>
        </w:rPr>
        <w:t>.</w:t>
      </w:r>
      <w:r w:rsidRPr="0011139E">
        <w:rPr>
          <w:rFonts w:cs="Arial"/>
          <w:szCs w:val="24"/>
        </w:rPr>
        <w:t xml:space="preserve"> (Accessed June 15, </w:t>
      </w:r>
      <w:r>
        <w:rPr>
          <w:rFonts w:cs="Arial"/>
          <w:szCs w:val="24"/>
        </w:rPr>
        <w:t>2018).</w:t>
      </w:r>
    </w:p>
  </w:endnote>
  <w:endnote w:id="151">
    <w:p w14:paraId="0FB35C83" w14:textId="03F921C1"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ODEP and </w:t>
      </w:r>
      <w:r>
        <w:rPr>
          <w:rFonts w:cs="Arial"/>
          <w:szCs w:val="24"/>
        </w:rPr>
        <w:t xml:space="preserve">WHD </w:t>
      </w:r>
      <w:r w:rsidRPr="008920BA">
        <w:rPr>
          <w:rFonts w:cs="Arial"/>
          <w:szCs w:val="24"/>
        </w:rPr>
        <w:t xml:space="preserve">worked closely to manage the Advisory Committee on Increasing Competitive Integrated Employment for Individuals with Disabilities. ODEP worked with the </w:t>
      </w:r>
      <w:r>
        <w:rPr>
          <w:rFonts w:cs="Arial"/>
          <w:szCs w:val="24"/>
        </w:rPr>
        <w:t xml:space="preserve">OFCCP </w:t>
      </w:r>
      <w:r w:rsidRPr="008920BA">
        <w:rPr>
          <w:rFonts w:cs="Arial"/>
          <w:szCs w:val="24"/>
        </w:rPr>
        <w:t xml:space="preserve">to develop regulations under </w:t>
      </w:r>
      <w:r>
        <w:rPr>
          <w:rFonts w:cs="Arial"/>
          <w:szCs w:val="24"/>
        </w:rPr>
        <w:t>Section</w:t>
      </w:r>
      <w:r w:rsidRPr="008920BA">
        <w:rPr>
          <w:rFonts w:cs="Arial"/>
          <w:szCs w:val="24"/>
        </w:rPr>
        <w:t xml:space="preserve"> 503 and to provide </w:t>
      </w:r>
      <w:r>
        <w:rPr>
          <w:rFonts w:cs="Arial"/>
          <w:szCs w:val="24"/>
        </w:rPr>
        <w:t>technical assistance</w:t>
      </w:r>
      <w:r w:rsidRPr="008920BA">
        <w:rPr>
          <w:rFonts w:cs="Arial"/>
          <w:szCs w:val="24"/>
        </w:rPr>
        <w:t xml:space="preserve">. </w:t>
      </w:r>
    </w:p>
  </w:endnote>
  <w:endnote w:id="152">
    <w:p w14:paraId="6EF0D0DF" w14:textId="397FACE4"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For example, ODEP works with the </w:t>
      </w:r>
      <w:r w:rsidRPr="000A4259">
        <w:rPr>
          <w:rFonts w:cs="Arial"/>
          <w:szCs w:val="24"/>
        </w:rPr>
        <w:t>Department of Education</w:t>
      </w:r>
      <w:r>
        <w:rPr>
          <w:rFonts w:cs="Arial"/>
          <w:szCs w:val="24"/>
        </w:rPr>
        <w:t>’</w:t>
      </w:r>
      <w:r w:rsidRPr="000A4259">
        <w:rPr>
          <w:rFonts w:cs="Arial"/>
          <w:szCs w:val="24"/>
        </w:rPr>
        <w:t xml:space="preserve">s </w:t>
      </w:r>
      <w:r w:rsidRPr="008920BA">
        <w:rPr>
          <w:rFonts w:cs="Arial"/>
          <w:szCs w:val="24"/>
        </w:rPr>
        <w:t>Office of Special Educati</w:t>
      </w:r>
      <w:r>
        <w:rPr>
          <w:rFonts w:cs="Arial"/>
          <w:szCs w:val="24"/>
        </w:rPr>
        <w:t xml:space="preserve">on and Rehabilitation Services and Rehabilitation Services Administration </w:t>
      </w:r>
      <w:r w:rsidRPr="008920BA">
        <w:rPr>
          <w:rFonts w:cs="Arial"/>
          <w:szCs w:val="24"/>
        </w:rPr>
        <w:t xml:space="preserve">on youth transition issues. ODEP works with RSA on enhancing career pathway opportunities and on WIOA issues, customized employment, and discovery. </w:t>
      </w:r>
    </w:p>
  </w:endnote>
  <w:endnote w:id="153">
    <w:p w14:paraId="2789FF90" w14:textId="721871FA" w:rsidR="005E3498" w:rsidRPr="008920BA" w:rsidRDefault="005E3498" w:rsidP="00BA0761">
      <w:pPr>
        <w:pStyle w:val="Default"/>
        <w:spacing w:after="200"/>
        <w:rPr>
          <w:rFonts w:ascii="Arial" w:eastAsiaTheme="minorHAnsi" w:hAnsi="Arial" w:cs="Arial"/>
        </w:rPr>
      </w:pPr>
      <w:r w:rsidRPr="008920BA">
        <w:rPr>
          <w:rStyle w:val="EndnoteReference"/>
          <w:rFonts w:cs="Arial"/>
        </w:rPr>
        <w:endnoteRef/>
      </w:r>
      <w:r w:rsidRPr="008920BA">
        <w:rPr>
          <w:rFonts w:ascii="Arial" w:hAnsi="Arial" w:cs="Arial"/>
        </w:rPr>
        <w:t xml:space="preserve"> Participating agencies should include</w:t>
      </w:r>
      <w:r>
        <w:rPr>
          <w:rFonts w:ascii="Arial" w:hAnsi="Arial" w:cs="Arial"/>
        </w:rPr>
        <w:t xml:space="preserve"> the</w:t>
      </w:r>
      <w:r w:rsidRPr="008920BA">
        <w:rPr>
          <w:rFonts w:ascii="Arial" w:hAnsi="Arial" w:cs="Arial"/>
        </w:rPr>
        <w:t xml:space="preserve"> </w:t>
      </w:r>
      <w:r w:rsidRPr="00256897">
        <w:rPr>
          <w:rFonts w:ascii="Arial" w:hAnsi="Arial" w:cs="Arial"/>
        </w:rPr>
        <w:t>Rehabilitation Services Administration</w:t>
      </w:r>
      <w:r w:rsidRPr="008920BA">
        <w:rPr>
          <w:rFonts w:ascii="Arial" w:hAnsi="Arial" w:cs="Arial"/>
        </w:rPr>
        <w:t xml:space="preserve"> and </w:t>
      </w:r>
      <w:r>
        <w:rPr>
          <w:rFonts w:ascii="Arial" w:hAnsi="Arial" w:cs="Arial"/>
        </w:rPr>
        <w:t xml:space="preserve">the </w:t>
      </w:r>
      <w:r w:rsidRPr="008920BA">
        <w:rPr>
          <w:rFonts w:ascii="Arial" w:hAnsi="Arial" w:cs="Arial"/>
        </w:rPr>
        <w:t>Office of Special Education Programs</w:t>
      </w:r>
      <w:r>
        <w:rPr>
          <w:rFonts w:ascii="Arial" w:hAnsi="Arial" w:cs="Arial"/>
        </w:rPr>
        <w:t xml:space="preserve"> at the Department of Education;</w:t>
      </w:r>
      <w:r w:rsidRPr="008920BA">
        <w:rPr>
          <w:rFonts w:ascii="Arial" w:hAnsi="Arial" w:cs="Arial"/>
        </w:rPr>
        <w:t xml:space="preserve"> </w:t>
      </w:r>
      <w:r>
        <w:rPr>
          <w:rFonts w:ascii="Arial" w:hAnsi="Arial" w:cs="Arial"/>
        </w:rPr>
        <w:t xml:space="preserve">the </w:t>
      </w:r>
      <w:r w:rsidRPr="008920BA">
        <w:rPr>
          <w:rFonts w:ascii="Arial" w:hAnsi="Arial" w:cs="Arial"/>
        </w:rPr>
        <w:t xml:space="preserve">Vocational Rehabilitation and Employment </w:t>
      </w:r>
      <w:r>
        <w:rPr>
          <w:rFonts w:ascii="Arial" w:hAnsi="Arial" w:cs="Arial"/>
        </w:rPr>
        <w:t>program at the Department of Veterans Affairs;</w:t>
      </w:r>
      <w:r w:rsidRPr="008920BA">
        <w:rPr>
          <w:rFonts w:ascii="Arial" w:hAnsi="Arial" w:cs="Arial"/>
        </w:rPr>
        <w:t xml:space="preserve"> the EEOC</w:t>
      </w:r>
      <w:r>
        <w:rPr>
          <w:rFonts w:ascii="Arial" w:hAnsi="Arial" w:cs="Arial"/>
        </w:rPr>
        <w:t>;</w:t>
      </w:r>
      <w:r w:rsidRPr="008920BA">
        <w:rPr>
          <w:rFonts w:ascii="Arial" w:hAnsi="Arial" w:cs="Arial"/>
        </w:rPr>
        <w:t xml:space="preserve"> </w:t>
      </w:r>
      <w:r>
        <w:rPr>
          <w:rFonts w:ascii="Arial" w:hAnsi="Arial" w:cs="Arial"/>
        </w:rPr>
        <w:t>DOJ’s</w:t>
      </w:r>
      <w:r w:rsidRPr="008920BA">
        <w:rPr>
          <w:rFonts w:ascii="Arial" w:hAnsi="Arial" w:cs="Arial"/>
        </w:rPr>
        <w:t xml:space="preserve"> Civil Rights Division</w:t>
      </w:r>
      <w:r>
        <w:rPr>
          <w:rFonts w:ascii="Arial" w:hAnsi="Arial" w:cs="Arial"/>
        </w:rPr>
        <w:t xml:space="preserve">; </w:t>
      </w:r>
      <w:r w:rsidRPr="008920BA">
        <w:rPr>
          <w:rFonts w:ascii="Arial" w:hAnsi="Arial" w:cs="Arial"/>
        </w:rPr>
        <w:t>Centers for Medicare and Medicaid Ser</w:t>
      </w:r>
      <w:r w:rsidRPr="008920BA">
        <w:rPr>
          <w:rFonts w:ascii="Arial" w:hAnsi="Arial" w:cs="Arial"/>
        </w:rPr>
        <w:softHyphen/>
        <w:t>vices, Substance Abuse and Mental Health Services Administration, and Administration on Community Living</w:t>
      </w:r>
      <w:r>
        <w:rPr>
          <w:rFonts w:ascii="Arial" w:hAnsi="Arial" w:cs="Arial"/>
        </w:rPr>
        <w:t xml:space="preserve"> at the </w:t>
      </w:r>
      <w:r w:rsidRPr="008920BA">
        <w:rPr>
          <w:rFonts w:ascii="Arial" w:hAnsi="Arial" w:cs="Arial"/>
        </w:rPr>
        <w:t xml:space="preserve">Department of Health </w:t>
      </w:r>
      <w:r>
        <w:rPr>
          <w:rFonts w:ascii="Arial" w:hAnsi="Arial" w:cs="Arial"/>
        </w:rPr>
        <w:t>and Human Services;</w:t>
      </w:r>
      <w:r w:rsidRPr="008920BA">
        <w:rPr>
          <w:rFonts w:ascii="Arial" w:hAnsi="Arial" w:cs="Arial"/>
        </w:rPr>
        <w:t xml:space="preserve"> </w:t>
      </w:r>
      <w:r>
        <w:rPr>
          <w:rFonts w:ascii="Arial" w:hAnsi="Arial" w:cs="Arial"/>
        </w:rPr>
        <w:t xml:space="preserve">Social Security Administration; </w:t>
      </w:r>
      <w:r w:rsidRPr="008920BA">
        <w:rPr>
          <w:rFonts w:ascii="Arial" w:hAnsi="Arial" w:cs="Arial"/>
        </w:rPr>
        <w:t>Office of Personnel Management</w:t>
      </w:r>
      <w:r>
        <w:rPr>
          <w:rFonts w:ascii="Arial" w:hAnsi="Arial" w:cs="Arial"/>
        </w:rPr>
        <w:t>; along with ETA, OFCCP, and WHD</w:t>
      </w:r>
      <w:r w:rsidRPr="008920BA">
        <w:rPr>
          <w:rFonts w:ascii="Arial" w:hAnsi="Arial" w:cs="Arial"/>
        </w:rPr>
        <w:t>.</w:t>
      </w:r>
    </w:p>
  </w:endnote>
  <w:endnote w:id="154">
    <w:p w14:paraId="741DF739" w14:textId="65FB842A" w:rsidR="005E3498" w:rsidRPr="00556403" w:rsidRDefault="005E3498" w:rsidP="00BA0761">
      <w:pPr>
        <w:pStyle w:val="EndnoteText"/>
        <w:rPr>
          <w:rFonts w:cs="Arial"/>
          <w:szCs w:val="24"/>
        </w:rPr>
      </w:pPr>
      <w:r w:rsidRPr="00DF3717">
        <w:rPr>
          <w:rStyle w:val="EndnoteReference"/>
          <w:rFonts w:cs="Arial"/>
          <w:szCs w:val="24"/>
        </w:rPr>
        <w:endnoteRef/>
      </w:r>
      <w:r w:rsidRPr="00DF3717">
        <w:rPr>
          <w:rFonts w:cs="Arial"/>
          <w:szCs w:val="24"/>
        </w:rPr>
        <w:t xml:space="preserve"> </w:t>
      </w:r>
      <w:r w:rsidRPr="00DF3717">
        <w:rPr>
          <w:rFonts w:cs="Arial"/>
          <w:szCs w:val="24"/>
        </w:rPr>
        <w:t>U</w:t>
      </w:r>
      <w:r>
        <w:rPr>
          <w:rFonts w:cs="Arial"/>
          <w:szCs w:val="24"/>
        </w:rPr>
        <w:t>.S. Department of Labor. “</w:t>
      </w:r>
      <w:r w:rsidRPr="0072415B">
        <w:rPr>
          <w:rFonts w:cs="Arial"/>
          <w:szCs w:val="24"/>
        </w:rPr>
        <w:t>FY 201</w:t>
      </w:r>
      <w:r>
        <w:rPr>
          <w:rFonts w:cs="Arial"/>
          <w:szCs w:val="24"/>
        </w:rPr>
        <w:t>7</w:t>
      </w:r>
      <w:r w:rsidRPr="0072415B">
        <w:rPr>
          <w:rFonts w:cs="Arial"/>
          <w:szCs w:val="24"/>
        </w:rPr>
        <w:t xml:space="preserve"> Congressional Budget Justification: </w:t>
      </w:r>
      <w:r>
        <w:rPr>
          <w:rFonts w:cs="Arial"/>
          <w:szCs w:val="24"/>
        </w:rPr>
        <w:t xml:space="preserve">Office of </w:t>
      </w:r>
      <w:r w:rsidRPr="00556403">
        <w:rPr>
          <w:rFonts w:cs="Arial"/>
          <w:szCs w:val="24"/>
        </w:rPr>
        <w:t xml:space="preserve">Disability Employment </w:t>
      </w:r>
      <w:r w:rsidRPr="00F77D72">
        <w:rPr>
          <w:rFonts w:cs="Arial"/>
          <w:szCs w:val="24"/>
        </w:rPr>
        <w:t xml:space="preserve">Policy.” </w:t>
      </w:r>
      <w:hyperlink r:id="rId63" w:tooltip="https://www.dol.gov/sites/default/files/documents/general/budget/CBJ-2017-V3-03.pdf" w:history="1">
        <w:r w:rsidRPr="00F77D72">
          <w:rPr>
            <w:rStyle w:val="Hyperlink"/>
            <w:rFonts w:cs="Arial"/>
            <w:szCs w:val="24"/>
          </w:rPr>
          <w:t>https://www.dol.gov/sites/default/files/documents/general/budget/CBJ-2017-V3-03.pdf</w:t>
        </w:r>
      </w:hyperlink>
      <w:r w:rsidRPr="00556403">
        <w:rPr>
          <w:rFonts w:cs="Arial"/>
          <w:szCs w:val="24"/>
        </w:rPr>
        <w:t xml:space="preserve">. </w:t>
      </w:r>
      <w:r w:rsidRPr="0011139E">
        <w:rPr>
          <w:rFonts w:cs="Arial"/>
          <w:szCs w:val="24"/>
        </w:rPr>
        <w:t xml:space="preserve">(Accessed June 25, </w:t>
      </w:r>
      <w:r>
        <w:rPr>
          <w:rFonts w:cs="Arial"/>
          <w:szCs w:val="24"/>
        </w:rPr>
        <w:t>2018).</w:t>
      </w:r>
    </w:p>
  </w:endnote>
  <w:endnote w:id="155">
    <w:p w14:paraId="3CA24396" w14:textId="739FA9E3" w:rsidR="005E3498" w:rsidRPr="00F77D72"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F77D72">
        <w:rPr>
          <w:rFonts w:cs="Arial"/>
          <w:szCs w:val="24"/>
        </w:rPr>
        <w:t xml:space="preserve">U.S. Department of Labor. “FY 2018 Congressional Budget Justification: Office of Disability Employment Policy,” ODEP-17. </w:t>
      </w:r>
      <w:hyperlink r:id="rId64" w:tooltip="https://www.dol.gov/sites/default/files/CBJ-2018-V3-03.pdf" w:history="1">
        <w:r w:rsidRPr="00F77D72">
          <w:rPr>
            <w:rStyle w:val="Hyperlink"/>
            <w:rFonts w:cs="Arial"/>
            <w:szCs w:val="24"/>
          </w:rPr>
          <w:t>https://www.dol.gov/sites/default/files/CBJ-2018-V3-03.pdf</w:t>
        </w:r>
      </w:hyperlink>
      <w:r w:rsidRPr="00556403">
        <w:rPr>
          <w:rFonts w:cs="Arial"/>
          <w:szCs w:val="24"/>
        </w:rPr>
        <w:t>.</w:t>
      </w:r>
      <w:r w:rsidRPr="00F77D72">
        <w:rPr>
          <w:rFonts w:cs="Arial"/>
          <w:szCs w:val="24"/>
        </w:rPr>
        <w:t xml:space="preserve"> </w:t>
      </w:r>
    </w:p>
  </w:endnote>
  <w:endnote w:id="156">
    <w:p w14:paraId="3807B154" w14:textId="500A17BE" w:rsidR="005E3498" w:rsidRPr="00556403" w:rsidRDefault="005E3498" w:rsidP="00BA0761">
      <w:pPr>
        <w:pStyle w:val="EndnoteText"/>
        <w:rPr>
          <w:rFonts w:cs="Arial"/>
          <w:i/>
          <w:szCs w:val="24"/>
          <w:highlight w:val="red"/>
        </w:rPr>
      </w:pPr>
      <w:r w:rsidRPr="00556403">
        <w:rPr>
          <w:rStyle w:val="EndnoteReference"/>
          <w:rFonts w:cs="Arial"/>
          <w:szCs w:val="24"/>
        </w:rPr>
        <w:endnoteRef/>
      </w:r>
      <w:r w:rsidRPr="00556403">
        <w:rPr>
          <w:rFonts w:cs="Arial"/>
          <w:szCs w:val="24"/>
        </w:rPr>
        <w:t xml:space="preserve"> </w:t>
      </w:r>
      <w:r w:rsidRPr="00556403">
        <w:rPr>
          <w:rFonts w:cs="Arial"/>
          <w:szCs w:val="24"/>
        </w:rPr>
        <w:t>Job Accommodation Network</w:t>
      </w:r>
      <w:r w:rsidRPr="00F77D72">
        <w:rPr>
          <w:rFonts w:cs="Arial"/>
          <w:szCs w:val="24"/>
        </w:rPr>
        <w:t xml:space="preserve">. “About JAN.” </w:t>
      </w:r>
      <w:hyperlink r:id="rId65" w:tooltip="https://askjan.org/links/about.htm" w:history="1">
        <w:r w:rsidRPr="00F77D72">
          <w:rPr>
            <w:rStyle w:val="Hyperlink"/>
            <w:rFonts w:cs="Arial"/>
            <w:szCs w:val="24"/>
          </w:rPr>
          <w:t>https://askjan.org/links/about.htm</w:t>
        </w:r>
      </w:hyperlink>
      <w:r w:rsidRPr="00556403">
        <w:rPr>
          <w:rFonts w:cs="Arial"/>
          <w:szCs w:val="24"/>
        </w:rPr>
        <w:t xml:space="preserve">. </w:t>
      </w:r>
      <w:r w:rsidRPr="0011139E">
        <w:rPr>
          <w:rFonts w:cs="Arial"/>
          <w:szCs w:val="24"/>
        </w:rPr>
        <w:t xml:space="preserve">(Accessed June 24, </w:t>
      </w:r>
      <w:r>
        <w:rPr>
          <w:rFonts w:cs="Arial"/>
          <w:szCs w:val="24"/>
        </w:rPr>
        <w:t>2018).</w:t>
      </w:r>
    </w:p>
  </w:endnote>
  <w:endnote w:id="157">
    <w:p w14:paraId="1A2AA335" w14:textId="361EA8BF" w:rsidR="005E3498" w:rsidRPr="00556403" w:rsidRDefault="005E3498" w:rsidP="00BA0761">
      <w:pPr>
        <w:pStyle w:val="EndnoteText"/>
        <w:rPr>
          <w:rFonts w:cs="Arial"/>
          <w:szCs w:val="24"/>
        </w:rPr>
      </w:pPr>
      <w:r w:rsidRPr="00556403">
        <w:rPr>
          <w:rStyle w:val="EndnoteReference"/>
          <w:rFonts w:cs="Arial"/>
          <w:szCs w:val="24"/>
        </w:rPr>
        <w:endnoteRef/>
      </w:r>
      <w:r w:rsidRPr="00556403">
        <w:rPr>
          <w:rFonts w:cs="Arial"/>
          <w:szCs w:val="24"/>
        </w:rPr>
        <w:t xml:space="preserve"> </w:t>
      </w:r>
      <w:r w:rsidRPr="00556403">
        <w:rPr>
          <w:rFonts w:cs="Arial"/>
          <w:szCs w:val="24"/>
        </w:rPr>
        <w:t>Partnership on Employment an</w:t>
      </w:r>
      <w:r w:rsidRPr="00F77D72">
        <w:rPr>
          <w:rFonts w:cs="Arial"/>
          <w:szCs w:val="24"/>
        </w:rPr>
        <w:t xml:space="preserve">d Accessible Technology. “Policy Matters.” </w:t>
      </w:r>
      <w:hyperlink r:id="rId66" w:tooltip="http://www.peatworks.org/policy-matters" w:history="1">
        <w:r w:rsidRPr="00F77D72">
          <w:rPr>
            <w:rStyle w:val="Hyperlink"/>
            <w:rFonts w:cs="Arial"/>
            <w:szCs w:val="24"/>
          </w:rPr>
          <w:t>http://www.peatworks.org/policy-matters</w:t>
        </w:r>
      </w:hyperlink>
      <w:r w:rsidRPr="00556403">
        <w:rPr>
          <w:rFonts w:cs="Arial"/>
          <w:szCs w:val="24"/>
        </w:rPr>
        <w:t>.</w:t>
      </w:r>
      <w:r w:rsidRPr="0011139E">
        <w:rPr>
          <w:rFonts w:cs="Arial"/>
          <w:szCs w:val="24"/>
        </w:rPr>
        <w:t xml:space="preserve"> (Accessed June 24, </w:t>
      </w:r>
      <w:r>
        <w:rPr>
          <w:rFonts w:cs="Arial"/>
          <w:szCs w:val="24"/>
        </w:rPr>
        <w:t>2018).</w:t>
      </w:r>
    </w:p>
  </w:endnote>
  <w:endnote w:id="158">
    <w:p w14:paraId="70C3EADD" w14:textId="21D51F69" w:rsidR="005E3498" w:rsidRPr="008920BA" w:rsidRDefault="005E3498" w:rsidP="00BA0761">
      <w:pPr>
        <w:pStyle w:val="EndnoteText"/>
        <w:rPr>
          <w:rFonts w:cs="Arial"/>
          <w:szCs w:val="24"/>
        </w:rPr>
      </w:pPr>
      <w:r w:rsidRPr="008920BA">
        <w:rPr>
          <w:rStyle w:val="EndnoteReference"/>
          <w:rFonts w:cs="Arial"/>
          <w:szCs w:val="24"/>
        </w:rPr>
        <w:endnoteRef/>
      </w:r>
      <w:r>
        <w:rPr>
          <w:rFonts w:cs="Arial"/>
          <w:szCs w:val="24"/>
        </w:rPr>
        <w:t xml:space="preserve"> </w:t>
      </w:r>
      <w:r>
        <w:rPr>
          <w:rFonts w:cs="Arial"/>
          <w:szCs w:val="24"/>
        </w:rPr>
        <w:t>U.S. Department of Labor.</w:t>
      </w:r>
      <w:r w:rsidRPr="008920BA">
        <w:rPr>
          <w:rFonts w:cs="Arial"/>
          <w:szCs w:val="24"/>
        </w:rPr>
        <w:t xml:space="preserve"> </w:t>
      </w:r>
      <w:r>
        <w:rPr>
          <w:rFonts w:cs="Arial"/>
          <w:szCs w:val="24"/>
        </w:rPr>
        <w:t>“FY 2018 Budget Justification,” ODEP-17.</w:t>
      </w:r>
      <w:r w:rsidRPr="00675BB0">
        <w:t xml:space="preserve"> </w:t>
      </w:r>
    </w:p>
  </w:endnote>
  <w:endnote w:id="159">
    <w:p w14:paraId="27160C7C"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DF3717">
        <w:rPr>
          <w:rFonts w:cs="Arial"/>
          <w:szCs w:val="24"/>
        </w:rPr>
        <w:t>Ibid.</w:t>
      </w:r>
    </w:p>
  </w:endnote>
  <w:endnote w:id="160">
    <w:p w14:paraId="13E9AF9D" w14:textId="77777777" w:rsidR="005E3498" w:rsidRPr="00050306" w:rsidRDefault="005E3498" w:rsidP="00BA0761">
      <w:pPr>
        <w:pStyle w:val="EndnoteText"/>
        <w:rPr>
          <w:rFonts w:cs="Arial"/>
          <w:szCs w:val="24"/>
        </w:rPr>
      </w:pPr>
      <w:r w:rsidRPr="00050306">
        <w:rPr>
          <w:rStyle w:val="EndnoteReference"/>
          <w:rFonts w:cs="Arial"/>
          <w:szCs w:val="24"/>
        </w:rPr>
        <w:endnoteRef/>
      </w:r>
      <w:r w:rsidRPr="00050306">
        <w:rPr>
          <w:rFonts w:cs="Arial"/>
          <w:szCs w:val="24"/>
        </w:rPr>
        <w:t xml:space="preserve"> Outreach a</w:t>
      </w:r>
      <w:r>
        <w:rPr>
          <w:rFonts w:cs="Arial"/>
          <w:szCs w:val="24"/>
        </w:rPr>
        <w:t>n</w:t>
      </w:r>
      <w:r w:rsidRPr="00050306">
        <w:rPr>
          <w:rFonts w:cs="Arial"/>
          <w:szCs w:val="24"/>
        </w:rPr>
        <w:t>d technical assistance statistics were provided by ODEP.</w:t>
      </w:r>
    </w:p>
  </w:endnote>
  <w:endnote w:id="161">
    <w:p w14:paraId="0702E737" w14:textId="0822D52A"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 Department of Labor. “</w:t>
      </w:r>
      <w:r w:rsidRPr="008920BA">
        <w:rPr>
          <w:rFonts w:cs="Arial"/>
          <w:szCs w:val="24"/>
        </w:rPr>
        <w:t xml:space="preserve">FY 2018 </w:t>
      </w:r>
      <w:r>
        <w:rPr>
          <w:rFonts w:cs="Arial"/>
          <w:szCs w:val="24"/>
        </w:rPr>
        <w:t>Budget Justification.”</w:t>
      </w:r>
    </w:p>
  </w:endnote>
  <w:endnote w:id="162">
    <w:p w14:paraId="156CDFE8" w14:textId="6B0084FC"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Consoli</w:t>
      </w:r>
      <w:r>
        <w:rPr>
          <w:rFonts w:cs="Arial"/>
          <w:szCs w:val="24"/>
        </w:rPr>
        <w:t xml:space="preserve">dated Appropriations Act, 2018, Division H, Title I, Pub. L. No. 115-141, </w:t>
      </w:r>
      <w:r w:rsidRPr="00F36AED">
        <w:rPr>
          <w:rFonts w:cs="Arial"/>
          <w:szCs w:val="24"/>
        </w:rPr>
        <w:t>132 Stat</w:t>
      </w:r>
      <w:r>
        <w:rPr>
          <w:rFonts w:cs="Arial"/>
          <w:szCs w:val="24"/>
        </w:rPr>
        <w:t>.</w:t>
      </w:r>
      <w:r w:rsidRPr="00F36AED">
        <w:rPr>
          <w:rFonts w:cs="Arial"/>
          <w:szCs w:val="24"/>
        </w:rPr>
        <w:t xml:space="preserve"> 348</w:t>
      </w:r>
      <w:r>
        <w:rPr>
          <w:rFonts w:cs="Arial"/>
          <w:szCs w:val="24"/>
        </w:rPr>
        <w:t xml:space="preserve">, 706. </w:t>
      </w:r>
      <w:hyperlink r:id="rId67" w:tooltip="https://www.gpo.gov/fdsys/pkg/BILLS-115hr1625enr/html/BILLS-115hr1625enr.htm" w:history="1">
        <w:r w:rsidRPr="008B50BA">
          <w:rPr>
            <w:rStyle w:val="Hyperlink"/>
            <w:rFonts w:cs="Arial"/>
            <w:szCs w:val="24"/>
          </w:rPr>
          <w:t>https://www.gpo.gov/fdsys/pkg/BILLS-115hr1625enr/html/BILLS-115hr1625enr.htm</w:t>
        </w:r>
      </w:hyperlink>
      <w:r>
        <w:rPr>
          <w:rFonts w:cs="Arial"/>
          <w:szCs w:val="24"/>
        </w:rPr>
        <w:t xml:space="preserve">. </w:t>
      </w:r>
    </w:p>
  </w:endnote>
  <w:endnote w:id="163">
    <w:p w14:paraId="0CD6803B" w14:textId="4B5FDE4F"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 Department of Labor. “</w:t>
      </w:r>
      <w:r w:rsidRPr="008920BA">
        <w:rPr>
          <w:rFonts w:cs="Arial"/>
          <w:szCs w:val="24"/>
        </w:rPr>
        <w:t>FY 2018 Budget Justification</w:t>
      </w:r>
      <w:r>
        <w:rPr>
          <w:rFonts w:cs="Arial"/>
          <w:szCs w:val="24"/>
        </w:rPr>
        <w:t>,” ODEP-2.</w:t>
      </w:r>
    </w:p>
  </w:endnote>
  <w:endnote w:id="164">
    <w:p w14:paraId="1C020CB6" w14:textId="0A8EF90A"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 Department of Labor. “</w:t>
      </w:r>
      <w:r w:rsidRPr="008920BA">
        <w:rPr>
          <w:rFonts w:cs="Arial"/>
          <w:szCs w:val="24"/>
        </w:rPr>
        <w:t>FY 2019 Cong</w:t>
      </w:r>
      <w:r>
        <w:rPr>
          <w:rFonts w:cs="Arial"/>
          <w:szCs w:val="24"/>
        </w:rPr>
        <w:t xml:space="preserve">ressional Budget Justification,” ODEP-2. </w:t>
      </w:r>
      <w:hyperlink r:id="rId68" w:tooltip="https://www.dol.gov/sites/default/files/budget/2019/CBJ-2019-V3-03.pdf" w:history="1">
        <w:r w:rsidRPr="008920BA">
          <w:rPr>
            <w:rStyle w:val="Hyperlink"/>
            <w:rFonts w:cs="Arial"/>
            <w:szCs w:val="24"/>
          </w:rPr>
          <w:t>https://www.dol.gov/sites/default/files/budget/2019/CBJ-2019-V3-03.pdf</w:t>
        </w:r>
      </w:hyperlink>
      <w:r w:rsidRPr="008920BA">
        <w:rPr>
          <w:rFonts w:cs="Arial"/>
          <w:szCs w:val="24"/>
        </w:rPr>
        <w:t>.</w:t>
      </w:r>
    </w:p>
  </w:endnote>
  <w:endnote w:id="165">
    <w:p w14:paraId="15AE5B37" w14:textId="77777777" w:rsidR="005E3498" w:rsidRPr="001404BF" w:rsidRDefault="005E3498" w:rsidP="00BA0761">
      <w:pPr>
        <w:pStyle w:val="EndnoteText"/>
        <w:rPr>
          <w:rFonts w:cs="Arial"/>
          <w:szCs w:val="24"/>
        </w:rPr>
      </w:pPr>
      <w:r w:rsidRPr="001404BF">
        <w:rPr>
          <w:rStyle w:val="EndnoteReference"/>
          <w:rFonts w:cs="Arial"/>
          <w:szCs w:val="24"/>
        </w:rPr>
        <w:endnoteRef/>
      </w:r>
      <w:r w:rsidRPr="001404BF">
        <w:rPr>
          <w:rFonts w:cs="Arial"/>
          <w:szCs w:val="24"/>
        </w:rPr>
        <w:t xml:space="preserve"> </w:t>
      </w:r>
      <w:r w:rsidRPr="001404BF">
        <w:rPr>
          <w:rFonts w:cs="Arial"/>
          <w:szCs w:val="24"/>
        </w:rPr>
        <w:t>Ibid., ODEP-4.</w:t>
      </w:r>
    </w:p>
  </w:endnote>
  <w:endnote w:id="166">
    <w:p w14:paraId="5CEE1031" w14:textId="77777777" w:rsidR="005E3498" w:rsidRPr="001404BF" w:rsidRDefault="005E3498" w:rsidP="00BA0761">
      <w:pPr>
        <w:pStyle w:val="EndnoteText"/>
        <w:rPr>
          <w:rFonts w:cs="Arial"/>
          <w:szCs w:val="24"/>
        </w:rPr>
      </w:pPr>
      <w:r w:rsidRPr="001404BF">
        <w:rPr>
          <w:rStyle w:val="EndnoteReference"/>
          <w:rFonts w:cs="Arial"/>
          <w:szCs w:val="24"/>
        </w:rPr>
        <w:endnoteRef/>
      </w:r>
      <w:r w:rsidRPr="001404BF">
        <w:rPr>
          <w:rFonts w:cs="Arial"/>
          <w:szCs w:val="24"/>
        </w:rPr>
        <w:t xml:space="preserve"> </w:t>
      </w:r>
      <w:r w:rsidRPr="001404BF">
        <w:rPr>
          <w:rFonts w:cs="Arial"/>
          <w:szCs w:val="24"/>
        </w:rPr>
        <w:t>Ibid., ODEP-8.</w:t>
      </w:r>
    </w:p>
  </w:endnote>
  <w:endnote w:id="167">
    <w:p w14:paraId="33EFFF05" w14:textId="77777777" w:rsidR="005E3498" w:rsidRPr="001404BF" w:rsidRDefault="005E3498" w:rsidP="00BA0761">
      <w:pPr>
        <w:pStyle w:val="EndnoteText"/>
        <w:rPr>
          <w:rFonts w:cs="Arial"/>
          <w:szCs w:val="24"/>
        </w:rPr>
      </w:pPr>
      <w:r w:rsidRPr="001404BF">
        <w:rPr>
          <w:rStyle w:val="EndnoteReference"/>
          <w:rFonts w:cs="Arial"/>
          <w:szCs w:val="24"/>
        </w:rPr>
        <w:endnoteRef/>
      </w:r>
      <w:r w:rsidRPr="001404BF">
        <w:rPr>
          <w:rFonts w:cs="Arial"/>
          <w:szCs w:val="24"/>
        </w:rPr>
        <w:t xml:space="preserve"> </w:t>
      </w:r>
      <w:r w:rsidRPr="001404BF">
        <w:rPr>
          <w:rFonts w:cs="Arial"/>
          <w:szCs w:val="24"/>
        </w:rPr>
        <w:t>Ibid., ODEP-6.</w:t>
      </w:r>
    </w:p>
  </w:endnote>
  <w:endnote w:id="168">
    <w:p w14:paraId="191726C7" w14:textId="77777777" w:rsidR="005E3498" w:rsidRPr="00A81749" w:rsidRDefault="005E3498" w:rsidP="00BA0761">
      <w:pPr>
        <w:pStyle w:val="EndnoteText"/>
        <w:rPr>
          <w:rFonts w:cs="Arial"/>
          <w:szCs w:val="24"/>
          <w:highlight w:val="red"/>
        </w:rPr>
      </w:pPr>
      <w:r w:rsidRPr="001404BF">
        <w:rPr>
          <w:rStyle w:val="EndnoteReference"/>
          <w:rFonts w:cs="Arial"/>
          <w:szCs w:val="24"/>
        </w:rPr>
        <w:endnoteRef/>
      </w:r>
      <w:r w:rsidRPr="001404BF">
        <w:rPr>
          <w:rFonts w:cs="Arial"/>
          <w:szCs w:val="24"/>
        </w:rPr>
        <w:t xml:space="preserve"> Ibid.</w:t>
      </w:r>
    </w:p>
  </w:endnote>
  <w:endnote w:id="169">
    <w:p w14:paraId="28377078" w14:textId="4D50B0FA" w:rsidR="005E3498" w:rsidRPr="00F36AED"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National Coun</w:t>
      </w:r>
      <w:r>
        <w:rPr>
          <w:rFonts w:cs="Arial"/>
          <w:szCs w:val="24"/>
        </w:rPr>
        <w:t>ci</w:t>
      </w:r>
      <w:r w:rsidRPr="008920BA">
        <w:rPr>
          <w:rFonts w:cs="Arial"/>
          <w:szCs w:val="24"/>
        </w:rPr>
        <w:t>l on Disability</w:t>
      </w:r>
      <w:r>
        <w:rPr>
          <w:rFonts w:cs="Arial"/>
          <w:szCs w:val="24"/>
        </w:rPr>
        <w:t>.</w:t>
      </w:r>
      <w:r w:rsidRPr="008920BA">
        <w:rPr>
          <w:rFonts w:cs="Arial"/>
          <w:szCs w:val="24"/>
        </w:rPr>
        <w:t xml:space="preserve"> </w:t>
      </w:r>
      <w:r w:rsidRPr="008920BA">
        <w:rPr>
          <w:rFonts w:cs="Arial"/>
          <w:i/>
          <w:szCs w:val="24"/>
        </w:rPr>
        <w:t>Promises to Keep</w:t>
      </w:r>
      <w:r w:rsidRPr="00F36AED">
        <w:rPr>
          <w:rFonts w:cs="Arial"/>
          <w:szCs w:val="24"/>
        </w:rPr>
        <w:t>, 190</w:t>
      </w:r>
      <w:r>
        <w:rPr>
          <w:rFonts w:cs="Arial"/>
          <w:szCs w:val="24"/>
        </w:rPr>
        <w:t>–</w:t>
      </w:r>
      <w:r w:rsidRPr="00F36AED">
        <w:rPr>
          <w:rFonts w:cs="Arial"/>
          <w:szCs w:val="24"/>
        </w:rPr>
        <w:t>192.</w:t>
      </w:r>
    </w:p>
  </w:endnote>
  <w:endnote w:id="170">
    <w:p w14:paraId="71E26CB4" w14:textId="2BA24B00" w:rsidR="005E3498" w:rsidRDefault="005E3498" w:rsidP="00BA0761">
      <w:pPr>
        <w:pStyle w:val="EndnoteText"/>
      </w:pPr>
      <w:r>
        <w:rPr>
          <w:rStyle w:val="EndnoteReference"/>
        </w:rPr>
        <w:endnoteRef/>
      </w:r>
      <w:r>
        <w:t xml:space="preserve"> </w:t>
      </w:r>
      <w:r w:rsidRPr="00721317">
        <w:rPr>
          <w:rFonts w:cs="Arial"/>
          <w:color w:val="000000"/>
          <w:szCs w:val="24"/>
        </w:rPr>
        <w:t>Vietnam Era Veterans</w:t>
      </w:r>
      <w:r>
        <w:rPr>
          <w:rFonts w:cs="Arial"/>
          <w:color w:val="000000"/>
          <w:szCs w:val="24"/>
        </w:rPr>
        <w:t>’</w:t>
      </w:r>
      <w:r w:rsidRPr="00721317">
        <w:rPr>
          <w:rFonts w:cs="Arial"/>
          <w:color w:val="000000"/>
          <w:szCs w:val="24"/>
        </w:rPr>
        <w:t xml:space="preserve"> Readjustment Assistance Act</w:t>
      </w:r>
      <w:r>
        <w:rPr>
          <w:rFonts w:cs="Arial"/>
          <w:color w:val="000000"/>
          <w:szCs w:val="24"/>
        </w:rPr>
        <w:t>,</w:t>
      </w:r>
      <w:r w:rsidRPr="00721317">
        <w:rPr>
          <w:rFonts w:cs="Arial"/>
          <w:color w:val="000000"/>
          <w:szCs w:val="24"/>
        </w:rPr>
        <w:t xml:space="preserve"> </w:t>
      </w:r>
      <w:r>
        <w:rPr>
          <w:rFonts w:cs="Arial"/>
          <w:szCs w:val="24"/>
        </w:rPr>
        <w:t>Pub. L. No. 93-508</w:t>
      </w:r>
      <w:r w:rsidRPr="00721317">
        <w:rPr>
          <w:rFonts w:cs="Arial"/>
          <w:szCs w:val="24"/>
        </w:rPr>
        <w:t xml:space="preserve">, </w:t>
      </w:r>
      <w:r>
        <w:rPr>
          <w:rFonts w:cs="Arial"/>
          <w:szCs w:val="24"/>
        </w:rPr>
        <w:t>88</w:t>
      </w:r>
      <w:r w:rsidRPr="00721317">
        <w:rPr>
          <w:rFonts w:cs="Arial"/>
          <w:szCs w:val="24"/>
        </w:rPr>
        <w:t xml:space="preserve"> Stat. </w:t>
      </w:r>
      <w:r>
        <w:rPr>
          <w:rFonts w:cs="Arial"/>
          <w:szCs w:val="24"/>
        </w:rPr>
        <w:t xml:space="preserve">1578 </w:t>
      </w:r>
      <w:r w:rsidRPr="00721317">
        <w:rPr>
          <w:rFonts w:cs="Arial"/>
          <w:szCs w:val="24"/>
        </w:rPr>
        <w:t>(19</w:t>
      </w:r>
      <w:r>
        <w:rPr>
          <w:rFonts w:cs="Arial"/>
          <w:szCs w:val="24"/>
        </w:rPr>
        <w:t>74</w:t>
      </w:r>
      <w:r w:rsidRPr="00721317">
        <w:rPr>
          <w:rFonts w:cs="Arial"/>
          <w:szCs w:val="24"/>
        </w:rPr>
        <w:t xml:space="preserve">); </w:t>
      </w:r>
      <w:r>
        <w:rPr>
          <w:rFonts w:cs="Arial"/>
          <w:szCs w:val="24"/>
        </w:rPr>
        <w:t>38</w:t>
      </w:r>
      <w:r w:rsidRPr="00721317">
        <w:rPr>
          <w:rFonts w:cs="Arial"/>
          <w:szCs w:val="24"/>
        </w:rPr>
        <w:t xml:space="preserve"> U.S.C. §</w:t>
      </w:r>
      <w:r>
        <w:rPr>
          <w:rFonts w:cs="Arial"/>
          <w:szCs w:val="24"/>
        </w:rPr>
        <w:t>§</w:t>
      </w:r>
      <w:r w:rsidRPr="00721317">
        <w:rPr>
          <w:rFonts w:cs="Arial"/>
          <w:szCs w:val="24"/>
        </w:rPr>
        <w:t xml:space="preserve"> </w:t>
      </w:r>
      <w:r>
        <w:rPr>
          <w:rFonts w:cs="Arial"/>
          <w:szCs w:val="24"/>
        </w:rPr>
        <w:t>4211–4212.</w:t>
      </w:r>
    </w:p>
  </w:endnote>
  <w:endnote w:id="171">
    <w:p w14:paraId="16712FAD"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29 U.S.C. § 793.</w:t>
      </w:r>
      <w:r w:rsidRPr="001C30D9">
        <w:t xml:space="preserve"> </w:t>
      </w:r>
    </w:p>
  </w:endnote>
  <w:endnote w:id="172">
    <w:p w14:paraId="0F3EC41C" w14:textId="026626C8" w:rsidR="005E3498" w:rsidRPr="000424A3" w:rsidRDefault="005E3498" w:rsidP="00BA0761">
      <w:pPr>
        <w:pStyle w:val="EndnoteText"/>
        <w:rPr>
          <w:rFonts w:cs="Arial"/>
          <w:szCs w:val="24"/>
        </w:rPr>
      </w:pPr>
      <w:r w:rsidRPr="000424A3">
        <w:rPr>
          <w:rStyle w:val="EndnoteReference"/>
          <w:rFonts w:cs="Arial"/>
          <w:szCs w:val="24"/>
        </w:rPr>
        <w:endnoteRef/>
      </w:r>
      <w:r w:rsidRPr="000424A3">
        <w:rPr>
          <w:rFonts w:cs="Arial"/>
          <w:szCs w:val="24"/>
        </w:rPr>
        <w:t xml:space="preserve"> </w:t>
      </w:r>
      <w:r>
        <w:rPr>
          <w:rFonts w:cs="Arial"/>
          <w:szCs w:val="24"/>
        </w:rPr>
        <w:t xml:space="preserve">U.S. Department of Labor, </w:t>
      </w:r>
      <w:r w:rsidRPr="000424A3">
        <w:rPr>
          <w:rFonts w:cs="Arial"/>
          <w:szCs w:val="24"/>
        </w:rPr>
        <w:t>Office of Federal Contract Compliance Programs, Regional Offices</w:t>
      </w:r>
      <w:r>
        <w:rPr>
          <w:rFonts w:cs="Arial"/>
          <w:szCs w:val="24"/>
        </w:rPr>
        <w:t>.</w:t>
      </w:r>
      <w:r w:rsidRPr="000424A3">
        <w:rPr>
          <w:rFonts w:cs="Arial"/>
          <w:szCs w:val="24"/>
        </w:rPr>
        <w:t xml:space="preserve"> </w:t>
      </w:r>
      <w:hyperlink r:id="rId69" w:tooltip="https://www.dol.gov/ofccp/contacts/regkeyp.htm" w:history="1">
        <w:r w:rsidRPr="0088669B">
          <w:rPr>
            <w:rStyle w:val="Hyperlink"/>
            <w:rFonts w:cs="Arial"/>
            <w:szCs w:val="24"/>
          </w:rPr>
          <w:t>https://www.dol.gov/ofccp/contacts/regkeyp.htm</w:t>
        </w:r>
      </w:hyperlink>
      <w:r>
        <w:rPr>
          <w:rStyle w:val="Hyperlink"/>
          <w:rFonts w:cs="Arial"/>
          <w:szCs w:val="24"/>
        </w:rPr>
        <w:t>.</w:t>
      </w:r>
      <w:r>
        <w:rPr>
          <w:rFonts w:cs="Arial"/>
          <w:szCs w:val="24"/>
        </w:rPr>
        <w:t xml:space="preserve"> </w:t>
      </w:r>
      <w:r w:rsidRPr="000424A3">
        <w:rPr>
          <w:rFonts w:cs="Arial"/>
          <w:szCs w:val="24"/>
        </w:rPr>
        <w:t>District and Area Office</w:t>
      </w:r>
      <w:r>
        <w:rPr>
          <w:rFonts w:cs="Arial"/>
          <w:szCs w:val="24"/>
        </w:rPr>
        <w:t>s.</w:t>
      </w:r>
      <w:r w:rsidRPr="000424A3">
        <w:rPr>
          <w:rFonts w:cs="Arial"/>
          <w:szCs w:val="24"/>
        </w:rPr>
        <w:t xml:space="preserve"> </w:t>
      </w:r>
      <w:hyperlink r:id="rId70" w:tooltip="https://www.dol.gov/ofccp/contacts/ofnation2.htm" w:history="1">
        <w:r w:rsidRPr="0088669B">
          <w:rPr>
            <w:rStyle w:val="Hyperlink"/>
            <w:rFonts w:cs="Arial"/>
            <w:szCs w:val="24"/>
          </w:rPr>
          <w:t>https://www.dol.gov/ofccp/contacts/ofnation2.htm</w:t>
        </w:r>
      </w:hyperlink>
      <w:r>
        <w:rPr>
          <w:rStyle w:val="Hyperlink"/>
          <w:rFonts w:cs="Arial"/>
          <w:szCs w:val="24"/>
        </w:rPr>
        <w:t>.</w:t>
      </w:r>
      <w:r>
        <w:rPr>
          <w:rFonts w:cs="Arial"/>
          <w:szCs w:val="24"/>
        </w:rPr>
        <w:t xml:space="preserve"> </w:t>
      </w:r>
    </w:p>
  </w:endnote>
  <w:endnote w:id="173">
    <w:p w14:paraId="75F62BDA" w14:textId="0ECDCE8B" w:rsidR="005E3498" w:rsidRDefault="005E3498" w:rsidP="00BA0761">
      <w:pPr>
        <w:pStyle w:val="EndnoteText"/>
      </w:pPr>
      <w:r>
        <w:rPr>
          <w:rStyle w:val="EndnoteReference"/>
        </w:rPr>
        <w:endnoteRef/>
      </w:r>
      <w:r>
        <w:t xml:space="preserve"> </w:t>
      </w:r>
      <w:r w:rsidRPr="00F36AED">
        <w:rPr>
          <w:rFonts w:cs="Arial"/>
          <w:szCs w:val="24"/>
        </w:rPr>
        <w:t>Section 503 was originally applicable to contracts of more than $10,000. In 2010, the dollar threshold was raised by the Federal Acquisition Regulat</w:t>
      </w:r>
      <w:r>
        <w:rPr>
          <w:rFonts w:cs="Arial"/>
          <w:szCs w:val="24"/>
        </w:rPr>
        <w:t>ory</w:t>
      </w:r>
      <w:r w:rsidRPr="00F36AED">
        <w:rPr>
          <w:rFonts w:cs="Arial"/>
          <w:szCs w:val="24"/>
        </w:rPr>
        <w:t xml:space="preserve"> Council</w:t>
      </w:r>
      <w:r w:rsidRPr="00F36AED">
        <w:t>.</w:t>
      </w:r>
      <w:r>
        <w:rPr>
          <w:rFonts w:cs="Arial"/>
          <w:szCs w:val="24"/>
        </w:rPr>
        <w:t xml:space="preserve"> </w:t>
      </w:r>
      <w:r>
        <w:rPr>
          <w:rFonts w:cs="Arial"/>
          <w:szCs w:val="24"/>
        </w:rPr>
        <w:t>U</w:t>
      </w:r>
      <w:r w:rsidRPr="008920BA">
        <w:rPr>
          <w:rFonts w:cs="Arial"/>
          <w:szCs w:val="24"/>
        </w:rPr>
        <w:t>.S. Government Accountability Office</w:t>
      </w:r>
      <w:r>
        <w:rPr>
          <w:rFonts w:cs="Arial"/>
          <w:szCs w:val="24"/>
        </w:rPr>
        <w:t>. 2016.</w:t>
      </w:r>
      <w:r w:rsidRPr="008920BA">
        <w:rPr>
          <w:rFonts w:cs="Arial"/>
          <w:szCs w:val="24"/>
        </w:rPr>
        <w:t xml:space="preserve"> </w:t>
      </w:r>
      <w:r w:rsidRPr="008920BA">
        <w:rPr>
          <w:rFonts w:cs="Arial"/>
          <w:i/>
          <w:szCs w:val="24"/>
        </w:rPr>
        <w:t>Equal Employment Opportunity: Strengthening Oversight Could Improve Federal Contractor Nondiscrimination Compliance</w:t>
      </w:r>
      <w:r>
        <w:rPr>
          <w:rFonts w:cs="Arial"/>
          <w:szCs w:val="24"/>
        </w:rPr>
        <w:t xml:space="preserve">. </w:t>
      </w:r>
      <w:r w:rsidRPr="007906B5">
        <w:rPr>
          <w:rFonts w:cs="Arial"/>
          <w:szCs w:val="24"/>
        </w:rPr>
        <w:t>Washington</w:t>
      </w:r>
      <w:r>
        <w:rPr>
          <w:rFonts w:cs="Arial"/>
          <w:szCs w:val="24"/>
        </w:rPr>
        <w:t>,</w:t>
      </w:r>
      <w:r w:rsidRPr="007906B5">
        <w:rPr>
          <w:rFonts w:cs="Arial"/>
          <w:szCs w:val="24"/>
        </w:rPr>
        <w:t xml:space="preserve"> DC: U.S. Government Accountability Office</w:t>
      </w:r>
      <w:r w:rsidRPr="008920BA">
        <w:rPr>
          <w:rFonts w:cs="Arial"/>
          <w:szCs w:val="24"/>
        </w:rPr>
        <w:t xml:space="preserve">, </w:t>
      </w:r>
      <w:r>
        <w:rPr>
          <w:rFonts w:cs="Arial"/>
          <w:szCs w:val="24"/>
        </w:rPr>
        <w:t>40, n. 3.</w:t>
      </w:r>
      <w:r w:rsidRPr="008920BA">
        <w:rPr>
          <w:rFonts w:cs="Arial"/>
          <w:szCs w:val="24"/>
        </w:rPr>
        <w:t xml:space="preserve"> </w:t>
      </w:r>
      <w:hyperlink r:id="rId71" w:tooltip="https://www.gao.gov/products/GAO-16-750" w:history="1">
        <w:r w:rsidRPr="008920BA">
          <w:rPr>
            <w:rStyle w:val="Hyperlink"/>
            <w:rFonts w:cs="Arial"/>
            <w:szCs w:val="24"/>
          </w:rPr>
          <w:t>https://www.gao.gov/products/GAO-16-750</w:t>
        </w:r>
      </w:hyperlink>
      <w:r>
        <w:rPr>
          <w:rStyle w:val="Hyperlink"/>
          <w:rFonts w:cs="Arial"/>
          <w:szCs w:val="24"/>
        </w:rPr>
        <w:t>.</w:t>
      </w:r>
    </w:p>
  </w:endnote>
  <w:endnote w:id="174">
    <w:p w14:paraId="7FFD478C" w14:textId="77777777" w:rsidR="005E3498" w:rsidRDefault="005E3498" w:rsidP="00BA0761">
      <w:pPr>
        <w:pStyle w:val="EndnoteText"/>
      </w:pPr>
      <w:r>
        <w:rPr>
          <w:rStyle w:val="EndnoteReference"/>
        </w:rPr>
        <w:endnoteRef/>
      </w:r>
      <w:r>
        <w:t xml:space="preserve"> </w:t>
      </w:r>
      <w:r w:rsidRPr="004D5E12">
        <w:rPr>
          <w:rFonts w:cs="Arial"/>
          <w:szCs w:val="24"/>
        </w:rPr>
        <w:t>41 C.F.R. § 60-741.40(b)</w:t>
      </w:r>
      <w:r>
        <w:rPr>
          <w:rFonts w:cs="Arial"/>
          <w:szCs w:val="24"/>
        </w:rPr>
        <w:t>.</w:t>
      </w:r>
    </w:p>
  </w:endnote>
  <w:endnote w:id="175">
    <w:p w14:paraId="32AEC1B8" w14:textId="0385833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U.S. Government Accountability Office</w:t>
      </w:r>
      <w:r>
        <w:rPr>
          <w:rFonts w:cs="Arial"/>
          <w:szCs w:val="24"/>
        </w:rPr>
        <w:t>.</w:t>
      </w:r>
      <w:r>
        <w:rPr>
          <w:rFonts w:cs="Arial"/>
          <w:i/>
          <w:szCs w:val="24"/>
        </w:rPr>
        <w:t xml:space="preserve"> </w:t>
      </w:r>
      <w:r w:rsidRPr="008920BA">
        <w:rPr>
          <w:rFonts w:cs="Arial"/>
          <w:i/>
          <w:szCs w:val="24"/>
        </w:rPr>
        <w:t>Strengthening Oversight Could Improve Federal Contractor Nondiscrimination Compliance</w:t>
      </w:r>
      <w:r w:rsidRPr="008920BA">
        <w:rPr>
          <w:rFonts w:cs="Arial"/>
          <w:szCs w:val="24"/>
        </w:rPr>
        <w:t>, 1</w:t>
      </w:r>
      <w:r>
        <w:rPr>
          <w:rFonts w:cs="Arial"/>
          <w:szCs w:val="24"/>
        </w:rPr>
        <w:t xml:space="preserve">. OFCCP calculated a </w:t>
      </w:r>
      <w:r w:rsidRPr="008920BA">
        <w:rPr>
          <w:rFonts w:cs="Arial"/>
          <w:szCs w:val="24"/>
        </w:rPr>
        <w:t>high</w:t>
      </w:r>
      <w:r>
        <w:rPr>
          <w:rFonts w:cs="Arial"/>
          <w:szCs w:val="24"/>
        </w:rPr>
        <w:t>er end</w:t>
      </w:r>
      <w:r w:rsidRPr="008920BA">
        <w:rPr>
          <w:rFonts w:cs="Arial"/>
          <w:szCs w:val="24"/>
        </w:rPr>
        <w:t xml:space="preserve"> es</w:t>
      </w:r>
      <w:r>
        <w:rPr>
          <w:rFonts w:cs="Arial"/>
          <w:szCs w:val="24"/>
        </w:rPr>
        <w:t xml:space="preserve">timate of </w:t>
      </w:r>
      <w:r w:rsidRPr="008920BA">
        <w:rPr>
          <w:rFonts w:cs="Arial"/>
          <w:szCs w:val="24"/>
        </w:rPr>
        <w:t>251,300</w:t>
      </w:r>
      <w:r>
        <w:rPr>
          <w:rFonts w:cs="Arial"/>
          <w:szCs w:val="24"/>
        </w:rPr>
        <w:t xml:space="preserve"> </w:t>
      </w:r>
      <w:r w:rsidRPr="008920BA">
        <w:rPr>
          <w:rFonts w:cs="Arial"/>
          <w:szCs w:val="24"/>
        </w:rPr>
        <w:t xml:space="preserve">contractor establishments </w:t>
      </w:r>
      <w:r>
        <w:rPr>
          <w:rFonts w:cs="Arial"/>
          <w:szCs w:val="24"/>
        </w:rPr>
        <w:t>covered under Section 503</w:t>
      </w:r>
      <w:r w:rsidRPr="008920BA">
        <w:rPr>
          <w:rFonts w:cs="Arial"/>
          <w:szCs w:val="24"/>
        </w:rPr>
        <w:t>. 78 Fed. Reg. 58</w:t>
      </w:r>
      <w:r>
        <w:rPr>
          <w:rFonts w:cs="Arial"/>
          <w:szCs w:val="24"/>
        </w:rPr>
        <w:t>,</w:t>
      </w:r>
      <w:r w:rsidRPr="008920BA">
        <w:rPr>
          <w:rFonts w:cs="Arial"/>
          <w:szCs w:val="24"/>
        </w:rPr>
        <w:t>714</w:t>
      </w:r>
      <w:r>
        <w:rPr>
          <w:rFonts w:cs="Arial"/>
          <w:szCs w:val="24"/>
        </w:rPr>
        <w:t xml:space="preserve"> (</w:t>
      </w:r>
      <w:r w:rsidRPr="007906B5">
        <w:rPr>
          <w:rFonts w:cs="Arial"/>
          <w:szCs w:val="24"/>
        </w:rPr>
        <w:t>Sept</w:t>
      </w:r>
      <w:r>
        <w:rPr>
          <w:rFonts w:cs="Arial"/>
          <w:szCs w:val="24"/>
        </w:rPr>
        <w:t>.</w:t>
      </w:r>
      <w:r w:rsidRPr="007906B5">
        <w:rPr>
          <w:rFonts w:cs="Arial"/>
          <w:szCs w:val="24"/>
        </w:rPr>
        <w:t xml:space="preserve"> 24, 2013</w:t>
      </w:r>
      <w:r>
        <w:rPr>
          <w:rFonts w:cs="Arial"/>
          <w:szCs w:val="24"/>
        </w:rPr>
        <w:t>)</w:t>
      </w:r>
      <w:r w:rsidRPr="008920BA">
        <w:rPr>
          <w:rFonts w:cs="Arial"/>
          <w:szCs w:val="24"/>
        </w:rPr>
        <w:t>.</w:t>
      </w:r>
    </w:p>
  </w:endnote>
  <w:endnote w:id="176">
    <w:p w14:paraId="754A6D0F" w14:textId="3B4898A9" w:rsidR="005E3498" w:rsidRDefault="005E3498" w:rsidP="00BA0761">
      <w:pPr>
        <w:pStyle w:val="EndnoteText"/>
      </w:pPr>
      <w:r>
        <w:rPr>
          <w:rStyle w:val="EndnoteReference"/>
        </w:rPr>
        <w:endnoteRef/>
      </w:r>
      <w:r>
        <w:t xml:space="preserve"> </w:t>
      </w:r>
      <w:r>
        <w:rPr>
          <w:rFonts w:cs="Arial"/>
          <w:szCs w:val="24"/>
        </w:rPr>
        <w:t>75 Fed. Reg. 43, 116 (July</w:t>
      </w:r>
      <w:r w:rsidRPr="00A5375B">
        <w:rPr>
          <w:rFonts w:cs="Arial"/>
          <w:szCs w:val="24"/>
        </w:rPr>
        <w:t xml:space="preserve"> 23, 2010)</w:t>
      </w:r>
      <w:r>
        <w:rPr>
          <w:rFonts w:cs="Arial"/>
          <w:szCs w:val="24"/>
        </w:rPr>
        <w:t>.</w:t>
      </w:r>
    </w:p>
  </w:endnote>
  <w:endnote w:id="177">
    <w:p w14:paraId="4346C1A6" w14:textId="3407992B"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78 Fed. Reg. 58,</w:t>
      </w:r>
      <w:r>
        <w:rPr>
          <w:rFonts w:cs="Arial"/>
          <w:szCs w:val="24"/>
        </w:rPr>
        <w:t xml:space="preserve"> </w:t>
      </w:r>
      <w:r w:rsidRPr="007906B5">
        <w:rPr>
          <w:rFonts w:cs="Arial"/>
          <w:szCs w:val="24"/>
        </w:rPr>
        <w:t>685. (Sept</w:t>
      </w:r>
      <w:r>
        <w:rPr>
          <w:rFonts w:cs="Arial"/>
          <w:szCs w:val="24"/>
        </w:rPr>
        <w:t>.</w:t>
      </w:r>
      <w:r w:rsidRPr="007906B5">
        <w:rPr>
          <w:rFonts w:cs="Arial"/>
          <w:szCs w:val="24"/>
        </w:rPr>
        <w:t xml:space="preserve"> 24, 2013).</w:t>
      </w:r>
    </w:p>
  </w:endnote>
  <w:endnote w:id="178">
    <w:p w14:paraId="0C7FD80C" w14:textId="5FD2140C"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76 Fed. Reg. 77,</w:t>
      </w:r>
      <w:r>
        <w:rPr>
          <w:rFonts w:cs="Arial"/>
          <w:szCs w:val="24"/>
        </w:rPr>
        <w:t xml:space="preserve"> </w:t>
      </w:r>
      <w:r w:rsidRPr="007906B5">
        <w:rPr>
          <w:rFonts w:cs="Arial"/>
          <w:szCs w:val="24"/>
        </w:rPr>
        <w:t xml:space="preserve">056 </w:t>
      </w:r>
      <w:r>
        <w:rPr>
          <w:rFonts w:cs="Arial"/>
          <w:szCs w:val="24"/>
        </w:rPr>
        <w:t xml:space="preserve">(Feb. 12, 2013), </w:t>
      </w:r>
      <w:r w:rsidRPr="007906B5">
        <w:rPr>
          <w:rFonts w:cs="Arial"/>
          <w:szCs w:val="24"/>
        </w:rPr>
        <w:t>77 Fed. Reg. 7,</w:t>
      </w:r>
      <w:r>
        <w:rPr>
          <w:rFonts w:cs="Arial"/>
          <w:szCs w:val="24"/>
        </w:rPr>
        <w:t xml:space="preserve"> </w:t>
      </w:r>
      <w:r w:rsidRPr="007906B5">
        <w:rPr>
          <w:rFonts w:cs="Arial"/>
          <w:szCs w:val="24"/>
        </w:rPr>
        <w:t>108</w:t>
      </w:r>
      <w:r>
        <w:rPr>
          <w:rFonts w:cs="Arial"/>
          <w:szCs w:val="24"/>
        </w:rPr>
        <w:t xml:space="preserve"> </w:t>
      </w:r>
      <w:r w:rsidRPr="007906B5">
        <w:rPr>
          <w:rFonts w:cs="Arial"/>
          <w:szCs w:val="24"/>
        </w:rPr>
        <w:t>(</w:t>
      </w:r>
      <w:r w:rsidRPr="008A4A41">
        <w:rPr>
          <w:rFonts w:cs="Arial"/>
          <w:szCs w:val="24"/>
        </w:rPr>
        <w:t>Feb. 10, 201</w:t>
      </w:r>
      <w:r>
        <w:rPr>
          <w:rFonts w:cs="Arial"/>
          <w:szCs w:val="24"/>
        </w:rPr>
        <w:t>2)</w:t>
      </w:r>
      <w:r w:rsidRPr="007906B5">
        <w:rPr>
          <w:rFonts w:cs="Arial"/>
          <w:szCs w:val="24"/>
        </w:rPr>
        <w:t>.</w:t>
      </w:r>
    </w:p>
  </w:endnote>
  <w:endnote w:id="179">
    <w:p w14:paraId="1F8FF690" w14:textId="228BC557" w:rsidR="005E3498" w:rsidRPr="007906B5" w:rsidRDefault="005E3498" w:rsidP="00BA0761">
      <w:pPr>
        <w:pStyle w:val="EndnoteText"/>
      </w:pPr>
      <w:r w:rsidRPr="007906B5">
        <w:rPr>
          <w:rStyle w:val="EndnoteReference"/>
        </w:rPr>
        <w:endnoteRef/>
      </w:r>
      <w:r w:rsidRPr="007906B5">
        <w:t xml:space="preserve"> </w:t>
      </w:r>
      <w:r w:rsidRPr="007906B5">
        <w:rPr>
          <w:rFonts w:cs="Arial"/>
          <w:szCs w:val="24"/>
        </w:rPr>
        <w:t>78 Fed. Reg. 58,</w:t>
      </w:r>
      <w:r>
        <w:rPr>
          <w:rFonts w:cs="Arial"/>
          <w:szCs w:val="24"/>
        </w:rPr>
        <w:t xml:space="preserve"> </w:t>
      </w:r>
      <w:r w:rsidRPr="007906B5">
        <w:rPr>
          <w:rFonts w:cs="Arial"/>
          <w:szCs w:val="24"/>
        </w:rPr>
        <w:t>681</w:t>
      </w:r>
      <w:r>
        <w:rPr>
          <w:rFonts w:cs="Arial"/>
          <w:szCs w:val="24"/>
        </w:rPr>
        <w:t>–</w:t>
      </w:r>
      <w:r w:rsidRPr="007906B5">
        <w:rPr>
          <w:rFonts w:cs="Arial"/>
          <w:szCs w:val="24"/>
        </w:rPr>
        <w:t>58,</w:t>
      </w:r>
      <w:r>
        <w:rPr>
          <w:rFonts w:cs="Arial"/>
          <w:szCs w:val="24"/>
        </w:rPr>
        <w:t xml:space="preserve"> </w:t>
      </w:r>
      <w:r w:rsidRPr="007906B5">
        <w:rPr>
          <w:rFonts w:cs="Arial"/>
          <w:szCs w:val="24"/>
        </w:rPr>
        <w:t>752 (Sept</w:t>
      </w:r>
      <w:r>
        <w:rPr>
          <w:rFonts w:cs="Arial"/>
          <w:szCs w:val="24"/>
        </w:rPr>
        <w:t>.</w:t>
      </w:r>
      <w:r w:rsidRPr="007906B5">
        <w:rPr>
          <w:rFonts w:cs="Arial"/>
          <w:szCs w:val="24"/>
        </w:rPr>
        <w:t xml:space="preserve"> 24, 2013).</w:t>
      </w:r>
    </w:p>
  </w:endnote>
  <w:endnote w:id="180">
    <w:p w14:paraId="70F2C09C" w14:textId="34ED8EDE" w:rsidR="005E3498" w:rsidRPr="007906B5" w:rsidRDefault="005E3498" w:rsidP="00BA0761">
      <w:pPr>
        <w:pStyle w:val="EndnoteText"/>
      </w:pPr>
      <w:r w:rsidRPr="00EF6EAF">
        <w:rPr>
          <w:rStyle w:val="EndnoteReference"/>
        </w:rPr>
        <w:endnoteRef/>
      </w:r>
      <w:r w:rsidRPr="00EF6EAF">
        <w:t xml:space="preserve"> </w:t>
      </w:r>
      <w:r w:rsidRPr="00EF6EAF">
        <w:rPr>
          <w:rFonts w:cs="Arial"/>
          <w:szCs w:val="24"/>
        </w:rPr>
        <w:t>Ibid., 5</w:t>
      </w:r>
      <w:r>
        <w:rPr>
          <w:rFonts w:cs="Arial"/>
          <w:szCs w:val="24"/>
        </w:rPr>
        <w:t>8, 696–58, 697; 58, 702–58, 703.</w:t>
      </w:r>
    </w:p>
  </w:endnote>
  <w:endnote w:id="181">
    <w:p w14:paraId="2BD419C2" w14:textId="68904130" w:rsidR="005E3498" w:rsidRPr="007906B5" w:rsidRDefault="005E3498" w:rsidP="00BA0761">
      <w:pPr>
        <w:pStyle w:val="EndnoteText"/>
        <w:rPr>
          <w:rFonts w:cs="Arial"/>
          <w:szCs w:val="24"/>
        </w:rPr>
      </w:pPr>
      <w:r w:rsidRPr="007906B5">
        <w:rPr>
          <w:rStyle w:val="EndnoteReference"/>
          <w:rFonts w:cs="Arial"/>
          <w:szCs w:val="24"/>
        </w:rPr>
        <w:endnoteRef/>
      </w:r>
      <w:r>
        <w:rPr>
          <w:rFonts w:cs="Arial"/>
          <w:szCs w:val="24"/>
        </w:rPr>
        <w:t xml:space="preserve"> </w:t>
      </w:r>
      <w:r>
        <w:rPr>
          <w:rFonts w:cs="Arial"/>
          <w:szCs w:val="24"/>
        </w:rPr>
        <w:t>Ibid.,</w:t>
      </w:r>
      <w:r w:rsidRPr="007906B5">
        <w:rPr>
          <w:rFonts w:cs="Arial"/>
          <w:szCs w:val="24"/>
        </w:rPr>
        <w:t xml:space="preserve"> 58,</w:t>
      </w:r>
      <w:r>
        <w:rPr>
          <w:rFonts w:cs="Arial"/>
          <w:szCs w:val="24"/>
        </w:rPr>
        <w:t xml:space="preserve"> </w:t>
      </w:r>
      <w:r w:rsidRPr="007906B5">
        <w:rPr>
          <w:rFonts w:cs="Arial"/>
          <w:szCs w:val="24"/>
        </w:rPr>
        <w:t>681.</w:t>
      </w:r>
    </w:p>
  </w:endnote>
  <w:endnote w:id="182">
    <w:p w14:paraId="02ECEF56" w14:textId="188EA02F" w:rsidR="005E3498" w:rsidRPr="007906B5" w:rsidRDefault="005E3498" w:rsidP="00BA0761">
      <w:pPr>
        <w:pStyle w:val="EndnoteText"/>
      </w:pPr>
      <w:r w:rsidRPr="00EF6EAF">
        <w:rPr>
          <w:rStyle w:val="EndnoteReference"/>
        </w:rPr>
        <w:endnoteRef/>
      </w:r>
      <w:r w:rsidRPr="00EF6EAF">
        <w:t xml:space="preserve"> </w:t>
      </w:r>
      <w:r>
        <w:rPr>
          <w:rFonts w:cs="Arial"/>
          <w:szCs w:val="24"/>
        </w:rPr>
        <w:t>Ibid., 58, 703–58, 710.</w:t>
      </w:r>
    </w:p>
  </w:endnote>
  <w:endnote w:id="183">
    <w:p w14:paraId="56A67123" w14:textId="5BC3B816"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Ibid., 58,</w:t>
      </w:r>
      <w:r>
        <w:rPr>
          <w:rFonts w:cs="Arial"/>
          <w:szCs w:val="24"/>
        </w:rPr>
        <w:t xml:space="preserve"> </w:t>
      </w:r>
      <w:r w:rsidRPr="007906B5">
        <w:rPr>
          <w:rFonts w:cs="Arial"/>
          <w:szCs w:val="24"/>
        </w:rPr>
        <w:t>686.</w:t>
      </w:r>
    </w:p>
  </w:endnote>
  <w:endnote w:id="184">
    <w:p w14:paraId="4A4F1CB7" w14:textId="32A3F421"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Ibid., 58,</w:t>
      </w:r>
      <w:r>
        <w:rPr>
          <w:rFonts w:cs="Arial"/>
          <w:szCs w:val="24"/>
        </w:rPr>
        <w:t xml:space="preserve"> </w:t>
      </w:r>
      <w:r w:rsidRPr="007906B5">
        <w:rPr>
          <w:rFonts w:cs="Arial"/>
          <w:szCs w:val="24"/>
        </w:rPr>
        <w:t>691</w:t>
      </w:r>
      <w:r>
        <w:rPr>
          <w:rFonts w:cs="Arial"/>
          <w:szCs w:val="24"/>
        </w:rPr>
        <w:t>–</w:t>
      </w:r>
      <w:r w:rsidRPr="007906B5">
        <w:rPr>
          <w:rFonts w:cs="Arial"/>
          <w:szCs w:val="24"/>
        </w:rPr>
        <w:t>92.</w:t>
      </w:r>
    </w:p>
  </w:endnote>
  <w:endnote w:id="185">
    <w:p w14:paraId="580D7085" w14:textId="2CBA7BA2"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Ibid., 58,</w:t>
      </w:r>
      <w:r>
        <w:rPr>
          <w:rFonts w:cs="Arial"/>
          <w:szCs w:val="24"/>
        </w:rPr>
        <w:t xml:space="preserve"> </w:t>
      </w:r>
      <w:r w:rsidRPr="007906B5">
        <w:rPr>
          <w:rFonts w:cs="Arial"/>
          <w:szCs w:val="24"/>
        </w:rPr>
        <w:t>688.</w:t>
      </w:r>
    </w:p>
  </w:endnote>
  <w:endnote w:id="186">
    <w:p w14:paraId="16A28891" w14:textId="0925C667"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Ibid., 58,</w:t>
      </w:r>
      <w:r>
        <w:rPr>
          <w:rFonts w:cs="Arial"/>
          <w:szCs w:val="24"/>
        </w:rPr>
        <w:t xml:space="preserve"> </w:t>
      </w:r>
      <w:r w:rsidRPr="007906B5">
        <w:rPr>
          <w:rFonts w:cs="Arial"/>
          <w:szCs w:val="24"/>
        </w:rPr>
        <w:t>694.</w:t>
      </w:r>
    </w:p>
  </w:endnote>
  <w:endnote w:id="187">
    <w:p w14:paraId="745DEBE1" w14:textId="09391B03"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Ibid., 58,</w:t>
      </w:r>
      <w:r>
        <w:rPr>
          <w:rFonts w:cs="Arial"/>
          <w:szCs w:val="24"/>
        </w:rPr>
        <w:t xml:space="preserve"> </w:t>
      </w:r>
      <w:r w:rsidRPr="007906B5">
        <w:rPr>
          <w:rFonts w:cs="Arial"/>
          <w:szCs w:val="24"/>
        </w:rPr>
        <w:t>686.</w:t>
      </w:r>
    </w:p>
  </w:endnote>
  <w:endnote w:id="188">
    <w:p w14:paraId="522F0256" w14:textId="77777777"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Ibid.</w:t>
      </w:r>
    </w:p>
  </w:endnote>
  <w:endnote w:id="189">
    <w:p w14:paraId="707970C9" w14:textId="74034892" w:rsidR="005E3498" w:rsidRPr="001C3345"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 xml:space="preserve">U.S. Department of Labor, </w:t>
      </w:r>
      <w:r w:rsidRPr="008920BA">
        <w:rPr>
          <w:rFonts w:cs="Arial"/>
          <w:szCs w:val="24"/>
        </w:rPr>
        <w:t>Office of Federal Contract Compliance Programs</w:t>
      </w:r>
      <w:r>
        <w:rPr>
          <w:rFonts w:cs="Arial"/>
          <w:szCs w:val="24"/>
        </w:rPr>
        <w:t>. October 2014.</w:t>
      </w:r>
      <w:r w:rsidRPr="008920BA">
        <w:rPr>
          <w:rFonts w:cs="Arial"/>
          <w:szCs w:val="24"/>
        </w:rPr>
        <w:t xml:space="preserve"> </w:t>
      </w:r>
      <w:r w:rsidRPr="008920BA">
        <w:rPr>
          <w:rFonts w:cs="Arial"/>
          <w:i/>
          <w:szCs w:val="24"/>
        </w:rPr>
        <w:t>Federal Contract Compliance Manual</w:t>
      </w:r>
      <w:r>
        <w:rPr>
          <w:rFonts w:cs="Arial"/>
          <w:szCs w:val="24"/>
        </w:rPr>
        <w:t>,</w:t>
      </w:r>
      <w:r w:rsidRPr="008920BA">
        <w:rPr>
          <w:rFonts w:cs="Arial"/>
          <w:szCs w:val="24"/>
        </w:rPr>
        <w:t xml:space="preserve"> 3</w:t>
      </w:r>
      <w:r>
        <w:rPr>
          <w:rFonts w:cs="Arial"/>
          <w:szCs w:val="24"/>
        </w:rPr>
        <w:t>–</w:t>
      </w:r>
      <w:r w:rsidRPr="008920BA">
        <w:rPr>
          <w:rFonts w:cs="Arial"/>
          <w:szCs w:val="24"/>
        </w:rPr>
        <w:t>4</w:t>
      </w:r>
      <w:r>
        <w:rPr>
          <w:rFonts w:cs="Arial"/>
          <w:szCs w:val="24"/>
        </w:rPr>
        <w:t xml:space="preserve">. </w:t>
      </w:r>
      <w:hyperlink r:id="rId72" w:tooltip="https://www.dol.gov/ofccp/regs/compliance/fccm/FCCM_FINAL_508c.pdf" w:history="1">
        <w:r w:rsidRPr="008920BA">
          <w:rPr>
            <w:rStyle w:val="Hyperlink"/>
            <w:rFonts w:cs="Arial"/>
            <w:szCs w:val="24"/>
          </w:rPr>
          <w:t>https://www.dol.gov/ofccp/regs/compliance/fccm/FCCM_FINAL_508c.pdf</w:t>
        </w:r>
      </w:hyperlink>
      <w:r>
        <w:rPr>
          <w:rStyle w:val="Hyperlink"/>
          <w:rFonts w:cs="Arial"/>
          <w:szCs w:val="24"/>
        </w:rPr>
        <w:t>.</w:t>
      </w:r>
      <w:r w:rsidRPr="00475CEE">
        <w:rPr>
          <w:rStyle w:val="Hyperlink"/>
          <w:rFonts w:cs="Arial"/>
          <w:szCs w:val="24"/>
        </w:rPr>
        <w:t xml:space="preserve"> </w:t>
      </w:r>
      <w:r w:rsidRPr="001C3345">
        <w:rPr>
          <w:rStyle w:val="Hyperlink"/>
          <w:rFonts w:cs="Arial"/>
          <w:color w:val="auto"/>
          <w:szCs w:val="24"/>
          <w:u w:val="none"/>
        </w:rPr>
        <w:t>(Accessed June 25, 2018).</w:t>
      </w:r>
      <w:r w:rsidRPr="001C3345">
        <w:rPr>
          <w:rFonts w:cs="Arial"/>
          <w:szCs w:val="24"/>
        </w:rPr>
        <w:t xml:space="preserve"> </w:t>
      </w:r>
    </w:p>
  </w:endnote>
  <w:endnote w:id="190">
    <w:p w14:paraId="7DE8BD29"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7906B5">
        <w:rPr>
          <w:rFonts w:cs="Arial"/>
          <w:szCs w:val="24"/>
        </w:rPr>
        <w:t>Ibid.</w:t>
      </w:r>
    </w:p>
  </w:endnote>
  <w:endnote w:id="191">
    <w:p w14:paraId="64ADCEB2" w14:textId="6AF72A14" w:rsidR="005E3498" w:rsidRPr="008F0B48" w:rsidRDefault="005E3498" w:rsidP="00BA0761">
      <w:pPr>
        <w:pStyle w:val="EndnoteText"/>
        <w:rPr>
          <w:rFonts w:cs="Arial"/>
          <w:szCs w:val="24"/>
        </w:rPr>
      </w:pPr>
      <w:r w:rsidRPr="008F0B48">
        <w:rPr>
          <w:rStyle w:val="EndnoteReference"/>
        </w:rPr>
        <w:endnoteRef/>
      </w:r>
      <w:r w:rsidRPr="008F0B48">
        <w:t xml:space="preserve"> </w:t>
      </w:r>
      <w:r>
        <w:rPr>
          <w:rFonts w:cs="Arial"/>
          <w:szCs w:val="24"/>
        </w:rPr>
        <w:t xml:space="preserve">Statistical analysis and calculations </w:t>
      </w:r>
      <w:r w:rsidRPr="008F0B48">
        <w:rPr>
          <w:rFonts w:cs="Arial"/>
          <w:szCs w:val="24"/>
        </w:rPr>
        <w:t>conducted by the researchers based on data provided by OFCCP, and data available at U.S. Department of Labor, Data Enforcement, OFCCP Compliance Evaluation and Complaint Investigations Data</w:t>
      </w:r>
      <w:r>
        <w:rPr>
          <w:rFonts w:cs="Arial"/>
          <w:szCs w:val="24"/>
        </w:rPr>
        <w:t>.</w:t>
      </w:r>
      <w:r w:rsidRPr="008F0B48">
        <w:rPr>
          <w:rFonts w:cs="Arial"/>
          <w:szCs w:val="24"/>
        </w:rPr>
        <w:t xml:space="preserve"> </w:t>
      </w:r>
      <w:hyperlink r:id="rId73" w:tooltip="https://enforcedata.dol.gov/views/data_summary.php" w:history="1">
        <w:r w:rsidRPr="008F0B48">
          <w:rPr>
            <w:rStyle w:val="Hyperlink"/>
            <w:rFonts w:cs="Arial"/>
            <w:szCs w:val="24"/>
          </w:rPr>
          <w:t>https://enforcedata.dol.gov/views/data_summary.php</w:t>
        </w:r>
      </w:hyperlink>
      <w:r w:rsidRPr="008F0B48">
        <w:rPr>
          <w:rFonts w:cs="Arial"/>
          <w:szCs w:val="24"/>
        </w:rPr>
        <w:t>.</w:t>
      </w:r>
    </w:p>
  </w:endnote>
  <w:endnote w:id="192">
    <w:p w14:paraId="7ADF65CA" w14:textId="77777777" w:rsidR="005E3498" w:rsidRPr="00B26C83" w:rsidRDefault="005E3498" w:rsidP="00BA0761">
      <w:pPr>
        <w:pStyle w:val="EndnoteText"/>
        <w:rPr>
          <w:highlight w:val="yellow"/>
        </w:rPr>
      </w:pPr>
      <w:r w:rsidRPr="008F0B48">
        <w:rPr>
          <w:rStyle w:val="EndnoteReference"/>
        </w:rPr>
        <w:endnoteRef/>
      </w:r>
      <w:r w:rsidRPr="008F0B48">
        <w:t xml:space="preserve"> </w:t>
      </w:r>
      <w:r w:rsidRPr="008F0B48">
        <w:rPr>
          <w:rFonts w:cs="Arial"/>
          <w:szCs w:val="24"/>
        </w:rPr>
        <w:t>Ibid.</w:t>
      </w:r>
    </w:p>
  </w:endnote>
  <w:endnote w:id="193">
    <w:p w14:paraId="6751027F" w14:textId="36958B70"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 Government Accountability Office.</w:t>
      </w:r>
      <w:r w:rsidRPr="008920BA">
        <w:rPr>
          <w:rFonts w:cs="Arial"/>
          <w:i/>
          <w:szCs w:val="24"/>
        </w:rPr>
        <w:t xml:space="preserve"> Strengthening Oversight Could Improve Federal Contractor Nondiscrimination Compliance</w:t>
      </w:r>
      <w:r w:rsidRPr="008920BA">
        <w:rPr>
          <w:rFonts w:cs="Arial"/>
          <w:szCs w:val="24"/>
        </w:rPr>
        <w:t>, 17.</w:t>
      </w:r>
    </w:p>
  </w:endnote>
  <w:endnote w:id="194">
    <w:p w14:paraId="29D9B5C1" w14:textId="77777777" w:rsidR="005E3498" w:rsidRPr="007906B5"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7906B5">
        <w:rPr>
          <w:rFonts w:cs="Arial"/>
          <w:szCs w:val="24"/>
        </w:rPr>
        <w:t>Ibid., 17.</w:t>
      </w:r>
    </w:p>
  </w:endnote>
  <w:endnote w:id="195">
    <w:p w14:paraId="201E6B02" w14:textId="2213201B"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Ibid., 19</w:t>
      </w:r>
      <w:r>
        <w:rPr>
          <w:rFonts w:cs="Arial"/>
          <w:szCs w:val="24"/>
        </w:rPr>
        <w:t>–</w:t>
      </w:r>
      <w:r w:rsidRPr="007906B5">
        <w:rPr>
          <w:rFonts w:cs="Arial"/>
          <w:szCs w:val="24"/>
        </w:rPr>
        <w:t>20.</w:t>
      </w:r>
    </w:p>
  </w:endnote>
  <w:endnote w:id="196">
    <w:p w14:paraId="49FBE08D" w14:textId="77777777"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Ibid., 24.</w:t>
      </w:r>
    </w:p>
  </w:endnote>
  <w:endnote w:id="197">
    <w:p w14:paraId="5EE25D3C" w14:textId="77777777" w:rsidR="005E3498" w:rsidRPr="007906B5" w:rsidRDefault="005E3498" w:rsidP="00BA0761">
      <w:pPr>
        <w:pStyle w:val="EndnoteText"/>
      </w:pPr>
      <w:r w:rsidRPr="007906B5">
        <w:rPr>
          <w:rStyle w:val="EndnoteReference"/>
        </w:rPr>
        <w:endnoteRef/>
      </w:r>
      <w:r w:rsidRPr="007906B5">
        <w:t xml:space="preserve"> </w:t>
      </w:r>
      <w:r w:rsidRPr="007906B5">
        <w:rPr>
          <w:rFonts w:cs="Arial"/>
          <w:szCs w:val="24"/>
        </w:rPr>
        <w:t>Ibid.</w:t>
      </w:r>
      <w:r>
        <w:rPr>
          <w:rFonts w:cs="Arial"/>
          <w:szCs w:val="24"/>
        </w:rPr>
        <w:t xml:space="preserve">, </w:t>
      </w:r>
      <w:r w:rsidRPr="007906B5">
        <w:rPr>
          <w:rFonts w:cs="Arial"/>
          <w:szCs w:val="24"/>
        </w:rPr>
        <w:t>26.</w:t>
      </w:r>
    </w:p>
  </w:endnote>
  <w:endnote w:id="198">
    <w:p w14:paraId="2D1FA2BC" w14:textId="77777777"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Ibid.</w:t>
      </w:r>
    </w:p>
  </w:endnote>
  <w:endnote w:id="199">
    <w:p w14:paraId="31B2DB44" w14:textId="77777777"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Ibid., 29.</w:t>
      </w:r>
    </w:p>
  </w:endnote>
  <w:endnote w:id="200">
    <w:p w14:paraId="359298CB" w14:textId="52C36C2C" w:rsidR="005E3498" w:rsidRPr="007906B5" w:rsidRDefault="005E3498" w:rsidP="00BA0761">
      <w:pPr>
        <w:pStyle w:val="EndnoteText"/>
      </w:pPr>
      <w:r w:rsidRPr="007906B5">
        <w:rPr>
          <w:rStyle w:val="EndnoteReference"/>
        </w:rPr>
        <w:endnoteRef/>
      </w:r>
      <w:r w:rsidRPr="007906B5">
        <w:t xml:space="preserve"> </w:t>
      </w:r>
      <w:r w:rsidRPr="007906B5">
        <w:rPr>
          <w:rFonts w:cs="Arial"/>
          <w:szCs w:val="24"/>
        </w:rPr>
        <w:t>Ibid., 28</w:t>
      </w:r>
      <w:r>
        <w:rPr>
          <w:rFonts w:cs="Arial"/>
          <w:szCs w:val="24"/>
        </w:rPr>
        <w:t>–</w:t>
      </w:r>
      <w:r w:rsidRPr="007906B5">
        <w:rPr>
          <w:rFonts w:cs="Arial"/>
          <w:szCs w:val="24"/>
        </w:rPr>
        <w:t>29.</w:t>
      </w:r>
    </w:p>
  </w:endnote>
  <w:endnote w:id="201">
    <w:p w14:paraId="53FC7C76" w14:textId="77777777" w:rsidR="005E3498" w:rsidRPr="007906B5" w:rsidRDefault="005E3498" w:rsidP="00BA0761">
      <w:pPr>
        <w:pStyle w:val="EndnoteText"/>
      </w:pPr>
      <w:r w:rsidRPr="007906B5">
        <w:rPr>
          <w:rStyle w:val="EndnoteReference"/>
        </w:rPr>
        <w:endnoteRef/>
      </w:r>
      <w:r w:rsidRPr="007906B5">
        <w:t xml:space="preserve"> </w:t>
      </w:r>
      <w:r w:rsidRPr="007906B5">
        <w:rPr>
          <w:rFonts w:cs="Arial"/>
          <w:szCs w:val="24"/>
        </w:rPr>
        <w:t>Ibid.</w:t>
      </w:r>
    </w:p>
  </w:endnote>
  <w:endnote w:id="202">
    <w:p w14:paraId="183F971B" w14:textId="77777777" w:rsidR="005E3498" w:rsidRPr="007906B5" w:rsidRDefault="005E3498" w:rsidP="00BA0761">
      <w:pPr>
        <w:pStyle w:val="EndnoteText"/>
      </w:pPr>
      <w:r w:rsidRPr="007906B5">
        <w:rPr>
          <w:rStyle w:val="EndnoteReference"/>
        </w:rPr>
        <w:endnoteRef/>
      </w:r>
      <w:r w:rsidRPr="007906B5">
        <w:t xml:space="preserve"> </w:t>
      </w:r>
      <w:r w:rsidRPr="007906B5">
        <w:rPr>
          <w:rFonts w:cs="Arial"/>
          <w:szCs w:val="24"/>
        </w:rPr>
        <w:t>Ibid.</w:t>
      </w:r>
    </w:p>
  </w:endnote>
  <w:endnote w:id="203">
    <w:p w14:paraId="5A94B149" w14:textId="77777777"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Ibid., 35.</w:t>
      </w:r>
    </w:p>
  </w:endnote>
  <w:endnote w:id="204">
    <w:p w14:paraId="15622C7E" w14:textId="77777777" w:rsidR="005E3498" w:rsidRPr="007906B5" w:rsidRDefault="005E3498" w:rsidP="00BA0761">
      <w:pPr>
        <w:pStyle w:val="EndnoteText"/>
        <w:rPr>
          <w:rFonts w:cs="Arial"/>
          <w:szCs w:val="24"/>
        </w:rPr>
      </w:pPr>
      <w:r w:rsidRPr="007906B5">
        <w:rPr>
          <w:rStyle w:val="EndnoteReference"/>
          <w:rFonts w:cs="Arial"/>
          <w:szCs w:val="24"/>
        </w:rPr>
        <w:endnoteRef/>
      </w:r>
      <w:r w:rsidRPr="007906B5">
        <w:rPr>
          <w:rFonts w:cs="Arial"/>
          <w:szCs w:val="24"/>
        </w:rPr>
        <w:t xml:space="preserve"> </w:t>
      </w:r>
      <w:r w:rsidRPr="007906B5">
        <w:rPr>
          <w:rFonts w:cs="Arial"/>
          <w:szCs w:val="24"/>
        </w:rPr>
        <w:t>Ibid., 10, n. 26.</w:t>
      </w:r>
    </w:p>
  </w:endnote>
  <w:endnote w:id="205">
    <w:p w14:paraId="7251919F" w14:textId="5152E85C"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 xml:space="preserve">U.S. Department of Labor. “Wage and Hour Division website.” </w:t>
      </w:r>
      <w:hyperlink r:id="rId74" w:tooltip="https://www.dol.gov/WHD/" w:history="1">
        <w:r w:rsidRPr="008920BA">
          <w:rPr>
            <w:rStyle w:val="Hyperlink"/>
            <w:rFonts w:cs="Arial"/>
            <w:szCs w:val="24"/>
          </w:rPr>
          <w:t>https://www.dol.gov/WHD/</w:t>
        </w:r>
      </w:hyperlink>
      <w:r w:rsidRPr="008920BA">
        <w:rPr>
          <w:rFonts w:cs="Arial"/>
          <w:szCs w:val="24"/>
        </w:rP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p>
  </w:endnote>
  <w:endnote w:id="206">
    <w:p w14:paraId="3E4C7547" w14:textId="437727F4" w:rsidR="005E3498" w:rsidRPr="00D24101" w:rsidRDefault="005E3498" w:rsidP="00BA0761">
      <w:pPr>
        <w:pStyle w:val="EndnoteText"/>
        <w:rPr>
          <w:rFonts w:cs="Arial"/>
          <w:szCs w:val="24"/>
        </w:rPr>
      </w:pPr>
      <w:r>
        <w:rPr>
          <w:rStyle w:val="EndnoteReference"/>
        </w:rPr>
        <w:endnoteRef/>
      </w:r>
      <w:r>
        <w:t xml:space="preserve"> </w:t>
      </w:r>
      <w:r w:rsidRPr="00D24101">
        <w:rPr>
          <w:rFonts w:cs="Arial"/>
          <w:szCs w:val="24"/>
        </w:rPr>
        <w:t>U.S. Department of Labor</w:t>
      </w:r>
      <w:r>
        <w:rPr>
          <w:rFonts w:cs="Arial"/>
          <w:szCs w:val="24"/>
        </w:rPr>
        <w:t>.</w:t>
      </w:r>
      <w:r w:rsidRPr="00D24101">
        <w:rPr>
          <w:rFonts w:cs="Arial"/>
          <w:szCs w:val="24"/>
        </w:rPr>
        <w:t xml:space="preserve"> </w:t>
      </w:r>
      <w:r>
        <w:rPr>
          <w:rFonts w:cs="Arial"/>
          <w:szCs w:val="24"/>
        </w:rPr>
        <w:t>“</w:t>
      </w:r>
      <w:r w:rsidRPr="00D24101">
        <w:rPr>
          <w:rFonts w:cs="Arial"/>
          <w:szCs w:val="24"/>
        </w:rPr>
        <w:t>Wage and Hour Division Mission Statement</w:t>
      </w:r>
      <w:r>
        <w:rPr>
          <w:rFonts w:cs="Arial"/>
          <w:szCs w:val="24"/>
        </w:rPr>
        <w:t xml:space="preserve">.” </w:t>
      </w:r>
      <w:hyperlink r:id="rId75" w:tooltip="https://www.dol.gov/whd/about/mission/whdmiss.htm" w:history="1">
        <w:r w:rsidRPr="00D24101">
          <w:rPr>
            <w:rStyle w:val="Hyperlink"/>
            <w:rFonts w:cs="Arial"/>
            <w:szCs w:val="24"/>
          </w:rPr>
          <w:t>https://www.dol.gov/whd/about/mission/whdmiss.htm</w:t>
        </w:r>
      </w:hyperlink>
      <w:r>
        <w:rPr>
          <w:rStyle w:val="Hyperlink"/>
          <w:rFonts w:cs="Arial"/>
          <w:szCs w:val="24"/>
        </w:rP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r w:rsidRPr="00B818A4">
        <w:rPr>
          <w:rFonts w:cs="Arial"/>
          <w:szCs w:val="24"/>
        </w:rPr>
        <w:t xml:space="preserve"> </w:t>
      </w:r>
    </w:p>
  </w:endnote>
  <w:endnote w:id="207">
    <w:p w14:paraId="163BE9A8" w14:textId="77777777" w:rsidR="005E3498" w:rsidRPr="008920BA" w:rsidRDefault="005E3498" w:rsidP="00BA0761">
      <w:pPr>
        <w:spacing w:after="200" w:line="240" w:lineRule="auto"/>
        <w:rPr>
          <w:rFonts w:ascii="Arial" w:hAnsi="Arial" w:cs="Arial"/>
          <w:szCs w:val="24"/>
        </w:rPr>
      </w:pPr>
      <w:r w:rsidRPr="008920BA">
        <w:rPr>
          <w:rStyle w:val="EndnoteReference"/>
          <w:rFonts w:cs="Arial"/>
          <w:szCs w:val="24"/>
        </w:rPr>
        <w:endnoteRef/>
      </w:r>
      <w:r>
        <w:rPr>
          <w:rFonts w:ascii="Arial" w:hAnsi="Arial" w:cs="Arial"/>
          <w:szCs w:val="24"/>
        </w:rPr>
        <w:t xml:space="preserve"> </w:t>
      </w:r>
      <w:r>
        <w:rPr>
          <w:rFonts w:ascii="Arial" w:hAnsi="Arial" w:cs="Arial"/>
          <w:szCs w:val="24"/>
        </w:rPr>
        <w:t>29 U.S.C. § 214(c).</w:t>
      </w:r>
    </w:p>
  </w:endnote>
  <w:endnote w:id="208">
    <w:p w14:paraId="137F82BD"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eastAsiaTheme="minorHAnsi" w:cs="Arial"/>
          <w:szCs w:val="24"/>
        </w:rPr>
        <w:t>29 C.F.R. §§ 525.7, 525.8, 525.9, 525.11, 525.12, and 525.13.</w:t>
      </w:r>
    </w:p>
  </w:endnote>
  <w:endnote w:id="209">
    <w:p w14:paraId="1DC742B0" w14:textId="3D263335" w:rsidR="005E3498" w:rsidRDefault="005E3498" w:rsidP="00BA0761">
      <w:pPr>
        <w:pStyle w:val="EndnoteText"/>
      </w:pPr>
      <w:r>
        <w:rPr>
          <w:rStyle w:val="EndnoteReference"/>
        </w:rPr>
        <w:endnoteRef/>
      </w:r>
      <w:r>
        <w:t xml:space="preserve"> </w:t>
      </w:r>
      <w:r>
        <w:rPr>
          <w:rFonts w:cs="Arial"/>
          <w:szCs w:val="24"/>
        </w:rPr>
        <w:t xml:space="preserve">U.S. Department of Labor, Wage and Hour Division. October 17, 2017. </w:t>
      </w:r>
      <w:r w:rsidRPr="0011139E">
        <w:rPr>
          <w:rFonts w:cs="Arial"/>
          <w:i/>
          <w:szCs w:val="24"/>
        </w:rPr>
        <w:t>Field Operations Handbook</w:t>
      </w:r>
      <w:r>
        <w:rPr>
          <w:rFonts w:cs="Arial"/>
          <w:szCs w:val="24"/>
        </w:rPr>
        <w:t xml:space="preserve">, Chapter 64, §§ 64b00 and 64d00. </w:t>
      </w:r>
      <w:hyperlink r:id="rId76" w:tooltip="https://www.dol.gov/whd/FOH/FOH_Ch64.pdf" w:history="1">
        <w:r w:rsidRPr="008B50BA">
          <w:rPr>
            <w:rStyle w:val="Hyperlink"/>
            <w:rFonts w:cs="Arial"/>
            <w:szCs w:val="24"/>
          </w:rPr>
          <w:t>https://www.dol.gov/whd/FOH/FOH_Ch64.pdf</w:t>
        </w:r>
      </w:hyperlink>
      <w:r>
        <w:rPr>
          <w:rFonts w:cs="Arial"/>
          <w:szCs w:val="24"/>
        </w:rPr>
        <w:t>.</w:t>
      </w:r>
    </w:p>
  </w:endnote>
  <w:endnote w:id="210">
    <w:p w14:paraId="00560BFE"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2</w:t>
      </w:r>
      <w:r>
        <w:rPr>
          <w:rFonts w:cs="Arial"/>
          <w:szCs w:val="24"/>
        </w:rPr>
        <w:t xml:space="preserve">9 C.F.R. </w:t>
      </w:r>
      <w:r>
        <w:rPr>
          <w:rFonts w:cs="Arial"/>
          <w:szCs w:val="24"/>
        </w:rPr>
        <w:t>Part 525.</w:t>
      </w:r>
    </w:p>
  </w:endnote>
  <w:endnote w:id="211">
    <w:p w14:paraId="0016CFA4" w14:textId="6D7ED838" w:rsidR="005E3498" w:rsidRDefault="005E3498" w:rsidP="00BA0761">
      <w:pPr>
        <w:pStyle w:val="EndnoteText"/>
      </w:pPr>
      <w:r>
        <w:rPr>
          <w:rStyle w:val="EndnoteReference"/>
        </w:rPr>
        <w:endnoteRef/>
      </w:r>
      <w:r>
        <w:t xml:space="preserve"> </w:t>
      </w:r>
      <w:r w:rsidRPr="009A6E3D">
        <w:rPr>
          <w:rFonts w:cs="Arial"/>
          <w:szCs w:val="24"/>
        </w:rPr>
        <w:t>U</w:t>
      </w:r>
      <w:r>
        <w:rPr>
          <w:rFonts w:cs="Arial"/>
          <w:szCs w:val="24"/>
        </w:rPr>
        <w:t xml:space="preserve">.S. Department of Labor, </w:t>
      </w:r>
      <w:r w:rsidRPr="009A6E3D">
        <w:rPr>
          <w:rFonts w:cs="Arial"/>
          <w:szCs w:val="24"/>
        </w:rPr>
        <w:t>Wage and Hour Division</w:t>
      </w:r>
      <w:r>
        <w:rPr>
          <w:rFonts w:cs="Arial"/>
          <w:szCs w:val="24"/>
        </w:rPr>
        <w:t>. July 27, 2016.</w:t>
      </w:r>
      <w:r w:rsidRPr="009A6E3D">
        <w:rPr>
          <w:rFonts w:cs="Arial"/>
          <w:szCs w:val="24"/>
        </w:rPr>
        <w:t xml:space="preserve"> </w:t>
      </w:r>
      <w:r>
        <w:rPr>
          <w:rFonts w:cs="Arial"/>
          <w:szCs w:val="24"/>
        </w:rPr>
        <w:t>“Field Assistance Bulletin 2016–</w:t>
      </w:r>
      <w:r w:rsidRPr="009A6E3D">
        <w:rPr>
          <w:rFonts w:cs="Arial"/>
          <w:szCs w:val="24"/>
        </w:rPr>
        <w:t>2</w:t>
      </w:r>
      <w:r>
        <w:rPr>
          <w:rFonts w:cs="Arial"/>
          <w:szCs w:val="24"/>
        </w:rPr>
        <w:t>.”</w:t>
      </w:r>
      <w:r w:rsidRPr="009A6E3D">
        <w:rPr>
          <w:rFonts w:cs="Arial"/>
          <w:szCs w:val="24"/>
        </w:rPr>
        <w:t xml:space="preserve"> </w:t>
      </w:r>
      <w:hyperlink r:id="rId77" w:tooltip="https://www.dol.gov/whd/FieldBulletins/fab2016_2.htm" w:history="1">
        <w:r w:rsidRPr="009A6E3D">
          <w:rPr>
            <w:rStyle w:val="Hyperlink"/>
            <w:rFonts w:cs="Arial"/>
            <w:szCs w:val="24"/>
          </w:rPr>
          <w:t>https://www.dol.gov/whd/FieldBulletins/fab2016_2.htm</w:t>
        </w:r>
      </w:hyperlink>
      <w:r>
        <w:rPr>
          <w:rFonts w:cs="Arial"/>
          <w:szCs w:val="24"/>
        </w:rPr>
        <w:t>.</w:t>
      </w:r>
    </w:p>
  </w:endnote>
  <w:endnote w:id="212">
    <w:p w14:paraId="06287B2F" w14:textId="4B0C9CDA"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eastAsia="Times New Roman" w:cs="Arial"/>
          <w:color w:val="000000"/>
          <w:szCs w:val="24"/>
        </w:rPr>
        <w:t>29 U.S.C. § 794g.</w:t>
      </w:r>
      <w:r>
        <w:rPr>
          <w:rFonts w:eastAsia="Times New Roman" w:cs="Arial"/>
          <w:color w:val="000000"/>
          <w:szCs w:val="24"/>
        </w:rPr>
        <w:t xml:space="preserve"> </w:t>
      </w:r>
    </w:p>
  </w:endnote>
  <w:endnote w:id="213">
    <w:p w14:paraId="5A0A6931"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eastAsia="Times New Roman" w:cs="Arial"/>
          <w:color w:val="000000"/>
          <w:szCs w:val="24"/>
        </w:rPr>
        <w:t>34 C.F.R. § 397.3.</w:t>
      </w:r>
    </w:p>
  </w:endnote>
  <w:endnote w:id="214">
    <w:p w14:paraId="5C7259F2"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eastAsia="Times New Roman" w:cs="Arial"/>
          <w:color w:val="000000"/>
          <w:szCs w:val="24"/>
        </w:rPr>
        <w:t>79 Fed. Reg. 9851-54</w:t>
      </w:r>
      <w:r>
        <w:rPr>
          <w:rFonts w:eastAsia="Times New Roman" w:cs="Arial"/>
          <w:color w:val="000000"/>
          <w:szCs w:val="24"/>
        </w:rPr>
        <w:t xml:space="preserve"> </w:t>
      </w:r>
      <w:r w:rsidRPr="004920D2">
        <w:rPr>
          <w:rFonts w:eastAsia="Times New Roman" w:cs="Arial"/>
          <w:color w:val="000000"/>
          <w:szCs w:val="24"/>
        </w:rPr>
        <w:t>(Feb. 12, 2014)</w:t>
      </w:r>
      <w:r w:rsidRPr="008920BA">
        <w:rPr>
          <w:rFonts w:eastAsia="Times New Roman" w:cs="Arial"/>
          <w:color w:val="000000"/>
          <w:szCs w:val="24"/>
        </w:rPr>
        <w:t>; 29 C.F.R. Part 10.</w:t>
      </w:r>
    </w:p>
  </w:endnote>
  <w:endnote w:id="215">
    <w:p w14:paraId="29F17993" w14:textId="51727608" w:rsidR="005E3498" w:rsidRDefault="005E3498" w:rsidP="00BA0761">
      <w:pPr>
        <w:pStyle w:val="EndnoteText"/>
      </w:pPr>
      <w:r>
        <w:rPr>
          <w:rStyle w:val="EndnoteReference"/>
        </w:rPr>
        <w:endnoteRef/>
      </w:r>
      <w:r>
        <w:t xml:space="preserve"> </w:t>
      </w:r>
      <w:r>
        <w:rPr>
          <w:rFonts w:cs="Arial"/>
          <w:szCs w:val="24"/>
        </w:rPr>
        <w:t xml:space="preserve">U.S. </w:t>
      </w:r>
      <w:r w:rsidRPr="008920BA">
        <w:rPr>
          <w:rFonts w:cs="Arial"/>
          <w:szCs w:val="24"/>
        </w:rPr>
        <w:t>Government Accountability Office</w:t>
      </w:r>
      <w:r>
        <w:rPr>
          <w:rFonts w:cs="Arial"/>
          <w:szCs w:val="24"/>
        </w:rPr>
        <w:t>. 2001.</w:t>
      </w:r>
      <w:r w:rsidRPr="008920BA">
        <w:rPr>
          <w:rFonts w:cs="Arial"/>
          <w:szCs w:val="24"/>
        </w:rPr>
        <w:t xml:space="preserve"> </w:t>
      </w:r>
      <w:r w:rsidRPr="00023527">
        <w:rPr>
          <w:rFonts w:cs="Arial"/>
          <w:i/>
          <w:szCs w:val="24"/>
        </w:rPr>
        <w:t>Special Minimum Wage Program: Centers Offer Employment and Support Services to Workers with Disabilities, But Labor Should Improve Oversight</w:t>
      </w:r>
      <w:r>
        <w:rPr>
          <w:rFonts w:cs="Arial"/>
          <w:szCs w:val="24"/>
        </w:rPr>
        <w:t>.</w:t>
      </w:r>
      <w:r w:rsidRPr="008920BA">
        <w:rPr>
          <w:rFonts w:cs="Arial"/>
          <w:szCs w:val="24"/>
        </w:rPr>
        <w:t xml:space="preserve"> </w:t>
      </w:r>
      <w:r>
        <w:rPr>
          <w:rFonts w:cs="Arial"/>
          <w:szCs w:val="24"/>
        </w:rPr>
        <w:t xml:space="preserve">Washington DC: U.S. Government Accountability Office. </w:t>
      </w:r>
      <w:hyperlink r:id="rId78" w:tooltip="https://www.gao.gov/products/GAO-01-886" w:history="1">
        <w:r w:rsidRPr="008920BA">
          <w:rPr>
            <w:rStyle w:val="Hyperlink"/>
            <w:rFonts w:cs="Arial"/>
            <w:szCs w:val="24"/>
          </w:rPr>
          <w:t>https://www.gao.gov/products/GAO-01-886</w:t>
        </w:r>
      </w:hyperlink>
      <w:r>
        <w:rPr>
          <w:rFonts w:cs="Arial"/>
          <w:szCs w:val="24"/>
        </w:rPr>
        <w:t>.</w:t>
      </w:r>
    </w:p>
  </w:endnote>
  <w:endnote w:id="216">
    <w:p w14:paraId="2FD1BC05" w14:textId="77777777" w:rsidR="005E3498" w:rsidRDefault="005E3498" w:rsidP="00BA0761">
      <w:pPr>
        <w:pStyle w:val="EndnoteText"/>
      </w:pPr>
      <w:r>
        <w:rPr>
          <w:rStyle w:val="EndnoteReference"/>
        </w:rPr>
        <w:endnoteRef/>
      </w:r>
      <w:r>
        <w:t xml:space="preserve"> </w:t>
      </w:r>
      <w:r w:rsidRPr="0086227B">
        <w:rPr>
          <w:rFonts w:cs="Arial"/>
          <w:szCs w:val="24"/>
        </w:rPr>
        <w:t>Ibid.</w:t>
      </w:r>
    </w:p>
  </w:endnote>
  <w:endnote w:id="217">
    <w:p w14:paraId="1C26C776" w14:textId="77777777" w:rsidR="005E3498" w:rsidRDefault="005E3498" w:rsidP="00BA0761">
      <w:pPr>
        <w:pStyle w:val="EndnoteText"/>
      </w:pPr>
      <w:r>
        <w:rPr>
          <w:rStyle w:val="EndnoteReference"/>
        </w:rPr>
        <w:endnoteRef/>
      </w:r>
      <w:r>
        <w:t xml:space="preserve"> </w:t>
      </w:r>
      <w:r w:rsidRPr="004920D2">
        <w:rPr>
          <w:rFonts w:cs="Arial"/>
          <w:szCs w:val="24"/>
        </w:rPr>
        <w:t>29 U.S.C. § 214(c</w:t>
      </w:r>
      <w:r w:rsidRPr="004920D2">
        <w:rPr>
          <w:rFonts w:cs="Arial"/>
          <w:szCs w:val="24"/>
        </w:rPr>
        <w:t>)</w:t>
      </w:r>
      <w:r>
        <w:rPr>
          <w:rFonts w:cs="Arial"/>
          <w:szCs w:val="24"/>
        </w:rPr>
        <w:t>(5).</w:t>
      </w:r>
    </w:p>
  </w:endnote>
  <w:endnote w:id="218">
    <w:p w14:paraId="16BEC3D3" w14:textId="77777777" w:rsidR="005E3498" w:rsidRPr="00191627" w:rsidRDefault="005E3498" w:rsidP="00BA0761">
      <w:pPr>
        <w:pStyle w:val="EndnoteText"/>
        <w:rPr>
          <w:rFonts w:cs="Arial"/>
          <w:szCs w:val="24"/>
        </w:rPr>
      </w:pPr>
      <w:r w:rsidRPr="008920BA">
        <w:rPr>
          <w:rStyle w:val="EndnoteReference"/>
          <w:rFonts w:cs="Arial"/>
          <w:szCs w:val="24"/>
        </w:rPr>
        <w:endnoteRef/>
      </w:r>
      <w:r>
        <w:rPr>
          <w:rFonts w:eastAsiaTheme="minorHAnsi" w:cs="Arial"/>
          <w:szCs w:val="24"/>
        </w:rPr>
        <w:t xml:space="preserve"> </w:t>
      </w:r>
      <w:r w:rsidRPr="00191627">
        <w:rPr>
          <w:rFonts w:cs="Arial"/>
          <w:szCs w:val="24"/>
        </w:rPr>
        <w:t xml:space="preserve">Magers, Steward and Felton v. Seneca Re-Ad </w:t>
      </w:r>
      <w:r>
        <w:rPr>
          <w:rFonts w:cs="Arial"/>
          <w:szCs w:val="24"/>
        </w:rPr>
        <w:t>Industries, No. 2016-FLS-2 (Dep</w:t>
      </w:r>
      <w:r w:rsidRPr="00191627">
        <w:rPr>
          <w:rFonts w:cs="Arial"/>
          <w:szCs w:val="24"/>
        </w:rPr>
        <w:t>t</w:t>
      </w:r>
      <w:r>
        <w:rPr>
          <w:rFonts w:cs="Arial"/>
          <w:szCs w:val="24"/>
        </w:rPr>
        <w:t>.</w:t>
      </w:r>
      <w:r w:rsidRPr="00191627">
        <w:rPr>
          <w:rFonts w:cs="Arial"/>
          <w:szCs w:val="24"/>
        </w:rPr>
        <w:t xml:space="preserve"> of Labor Feb. 2, 2016)</w:t>
      </w:r>
      <w:r>
        <w:rPr>
          <w:rFonts w:cs="Arial"/>
          <w:szCs w:val="24"/>
        </w:rPr>
        <w:t>.</w:t>
      </w:r>
    </w:p>
  </w:endnote>
  <w:endnote w:id="219">
    <w:p w14:paraId="2F6B33D8"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9A6E3D">
        <w:rPr>
          <w:rFonts w:eastAsiaTheme="minorHAnsi" w:cs="Arial"/>
          <w:szCs w:val="24"/>
        </w:rPr>
        <w:t>Ibid</w:t>
      </w:r>
      <w:r>
        <w:rPr>
          <w:rFonts w:eastAsiaTheme="minorHAnsi" w:cs="Arial"/>
          <w:szCs w:val="24"/>
        </w:rPr>
        <w:t>.</w:t>
      </w:r>
    </w:p>
  </w:endnote>
  <w:endnote w:id="220">
    <w:p w14:paraId="3EB0B62B" w14:textId="5D88DB0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191627">
        <w:rPr>
          <w:rFonts w:cs="Arial"/>
          <w:szCs w:val="24"/>
        </w:rPr>
        <w:t>Magers et al., v. Seneca Re-Ad, ARB Case Nos. 16-038, 16-054 (Dept. of Labor Administrative Review Board, Jan</w:t>
      </w:r>
      <w:r>
        <w:rPr>
          <w:rFonts w:cs="Arial"/>
          <w:szCs w:val="24"/>
        </w:rPr>
        <w:t>.</w:t>
      </w:r>
      <w:r w:rsidRPr="00191627">
        <w:rPr>
          <w:rFonts w:cs="Arial"/>
          <w:szCs w:val="24"/>
        </w:rPr>
        <w:t xml:space="preserve"> 12, 2017)</w:t>
      </w:r>
      <w:r>
        <w:rPr>
          <w:rFonts w:cs="Arial"/>
          <w:szCs w:val="24"/>
        </w:rPr>
        <w:t xml:space="preserve">. </w:t>
      </w:r>
      <w:hyperlink r:id="rId79" w:tooltip="https://www.oalj.dol.gov/PUBLIC/ARB/DECISIONS/ARB_DECISIONS/FLS/16_038.FLSP.PDF" w:history="1">
        <w:r w:rsidRPr="008B50BA">
          <w:rPr>
            <w:rStyle w:val="Hyperlink"/>
            <w:rFonts w:cs="Arial"/>
            <w:szCs w:val="24"/>
          </w:rPr>
          <w:t>https://www.oalj.dol.gov/PUBLIC/ARB/DECISIONS/ARB_DECISIONS/FLS/16_038.FLSP.PDF</w:t>
        </w:r>
      </w:hyperlink>
      <w:r w:rsidRPr="00F370C7">
        <w:rPr>
          <w:rStyle w:val="Hyperlink"/>
          <w:rFonts w:cs="Arial"/>
          <w:color w:val="auto"/>
          <w:szCs w:val="24"/>
          <w:u w:val="none"/>
        </w:rPr>
        <w:t xml:space="preserve">. </w:t>
      </w:r>
      <w:r w:rsidRPr="00F370C7">
        <w:rPr>
          <w:rStyle w:val="Hyperlink"/>
          <w:rFonts w:cs="Arial"/>
          <w:color w:val="auto"/>
          <w:szCs w:val="24"/>
          <w:u w:val="none"/>
        </w:rPr>
        <w:t xml:space="preserve">(Accessed June 24, </w:t>
      </w:r>
      <w:r>
        <w:rPr>
          <w:rStyle w:val="Hyperlink"/>
          <w:rFonts w:cs="Arial"/>
          <w:color w:val="auto"/>
          <w:szCs w:val="24"/>
          <w:u w:val="none"/>
        </w:rPr>
        <w:t>2018).</w:t>
      </w:r>
      <w:r w:rsidRPr="00B818A4">
        <w:rPr>
          <w:rFonts w:cs="Arial"/>
          <w:szCs w:val="24"/>
        </w:rPr>
        <w:t xml:space="preserve"> </w:t>
      </w:r>
      <w:r w:rsidRPr="00B818A4">
        <w:rPr>
          <w:rFonts w:eastAsiaTheme="minorHAnsi" w:cs="Arial"/>
          <w:szCs w:val="24"/>
        </w:rPr>
        <w:t xml:space="preserve">Seneca </w:t>
      </w:r>
      <w:r w:rsidRPr="00191627">
        <w:rPr>
          <w:rFonts w:eastAsiaTheme="minorHAnsi" w:cs="Arial"/>
          <w:szCs w:val="24"/>
        </w:rPr>
        <w:t xml:space="preserve">Re-Ad v. </w:t>
      </w:r>
      <w:r w:rsidRPr="00FD3DED">
        <w:rPr>
          <w:rFonts w:eastAsiaTheme="minorHAnsi" w:cs="Arial"/>
          <w:szCs w:val="24"/>
        </w:rPr>
        <w:t>Hughler, No.</w:t>
      </w:r>
      <w:r>
        <w:rPr>
          <w:rFonts w:eastAsiaTheme="minorHAnsi" w:cs="Arial"/>
          <w:i/>
          <w:szCs w:val="24"/>
        </w:rPr>
        <w:t xml:space="preserve"> </w:t>
      </w:r>
      <w:r w:rsidRPr="004920D2">
        <w:rPr>
          <w:rFonts w:eastAsiaTheme="minorHAnsi" w:cs="Arial"/>
          <w:szCs w:val="24"/>
        </w:rPr>
        <w:t xml:space="preserve">3:17-CV-00281 (N.D. Ohio, </w:t>
      </w:r>
      <w:r>
        <w:rPr>
          <w:rFonts w:eastAsiaTheme="minorHAnsi" w:cs="Arial"/>
          <w:szCs w:val="24"/>
        </w:rPr>
        <w:t xml:space="preserve">filed </w:t>
      </w:r>
      <w:r w:rsidRPr="004920D2">
        <w:rPr>
          <w:rFonts w:eastAsiaTheme="minorHAnsi" w:cs="Arial"/>
          <w:szCs w:val="24"/>
        </w:rPr>
        <w:t>Feb. 10, 2017)</w:t>
      </w:r>
      <w:r>
        <w:rPr>
          <w:rFonts w:eastAsiaTheme="minorHAnsi" w:cs="Arial"/>
          <w:i/>
          <w:szCs w:val="24"/>
        </w:rPr>
        <w:t>.</w:t>
      </w:r>
    </w:p>
  </w:endnote>
  <w:endnote w:id="221">
    <w:p w14:paraId="453A9E3E" w14:textId="7ED85FE6" w:rsidR="005E3498" w:rsidRDefault="005E3498" w:rsidP="00BA0761">
      <w:pPr>
        <w:pStyle w:val="EndnoteText"/>
      </w:pPr>
      <w:r>
        <w:rPr>
          <w:rStyle w:val="EndnoteReference"/>
        </w:rPr>
        <w:endnoteRef/>
      </w:r>
      <w:r>
        <w:t xml:space="preserve"> </w:t>
      </w:r>
      <w:r>
        <w:rPr>
          <w:rFonts w:cs="Arial"/>
          <w:szCs w:val="24"/>
        </w:rPr>
        <w:t xml:space="preserve">Wage and Hour Division Form 226. </w:t>
      </w:r>
      <w:hyperlink r:id="rId80" w:tooltip="https://www.dol.gov/whd/forms/wh226.pdf" w:history="1">
        <w:r w:rsidRPr="00B32266">
          <w:rPr>
            <w:rStyle w:val="Hyperlink"/>
            <w:rFonts w:cs="Arial"/>
            <w:szCs w:val="24"/>
          </w:rPr>
          <w:t>https://www.dol.gov/whd/forms/wh226.pdf</w:t>
        </w:r>
      </w:hyperlink>
      <w:r>
        <w:rPr>
          <w:rStyle w:val="Hyperlink"/>
          <w:rFonts w:cs="Arial"/>
          <w:szCs w:val="24"/>
        </w:rPr>
        <w:t>.</w:t>
      </w:r>
      <w:r w:rsidRPr="00B32266">
        <w:rPr>
          <w:rFonts w:cs="Arial"/>
          <w:szCs w:val="24"/>
        </w:rPr>
        <w:t xml:space="preserve"> </w:t>
      </w:r>
      <w:r w:rsidRPr="008F0B48">
        <w:rPr>
          <w:rFonts w:cs="Arial"/>
          <w:szCs w:val="24"/>
        </w:rPr>
        <w:t>Ibid. See first representation and assurance</w:t>
      </w:r>
      <w:r>
        <w:rPr>
          <w:rFonts w:cs="Arial"/>
          <w:szCs w:val="24"/>
        </w:rPr>
        <w:t xml:space="preserve"> on form</w:t>
      </w:r>
      <w:r w:rsidRPr="008F0B48">
        <w:rPr>
          <w:rFonts w:cs="Arial"/>
          <w:szCs w:val="24"/>
        </w:rPr>
        <w:t>.</w:t>
      </w:r>
    </w:p>
  </w:endnote>
  <w:endnote w:id="222">
    <w:p w14:paraId="74D57767" w14:textId="0B3CFF22"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 Department of Labor. “</w:t>
      </w:r>
      <w:r w:rsidRPr="008920BA">
        <w:rPr>
          <w:rFonts w:cs="Arial"/>
          <w:szCs w:val="24"/>
        </w:rPr>
        <w:t>FY 2017 Congressional Budget Justification</w:t>
      </w:r>
      <w:r>
        <w:rPr>
          <w:rFonts w:cs="Arial"/>
          <w:szCs w:val="24"/>
        </w:rPr>
        <w:t>,” WHD-11.</w:t>
      </w:r>
      <w:r w:rsidRPr="008920BA">
        <w:rPr>
          <w:rFonts w:cs="Arial"/>
          <w:szCs w:val="24"/>
        </w:rPr>
        <w:t xml:space="preserve"> </w:t>
      </w:r>
      <w:hyperlink r:id="rId81" w:tooltip="https://www.dol.gov/sites/default/files/documents/general/budget/CBJ-2017-V2-09.pdf" w:history="1">
        <w:r w:rsidRPr="008920BA">
          <w:rPr>
            <w:rStyle w:val="Hyperlink"/>
            <w:rFonts w:cs="Arial"/>
            <w:szCs w:val="24"/>
          </w:rPr>
          <w:t>https://www.dol.gov/sites/default/files/documents/general/budget/CBJ-2017-V2-09.pdf</w:t>
        </w:r>
      </w:hyperlink>
      <w:r w:rsidRPr="008920BA">
        <w:rPr>
          <w:rFonts w:cs="Arial"/>
          <w:szCs w:val="24"/>
        </w:rPr>
        <w:t>.</w:t>
      </w:r>
      <w:r w:rsidRPr="00475CEE">
        <w:rPr>
          <w:rStyle w:val="Hyperlink"/>
          <w:rFonts w:cs="Arial"/>
          <w:szCs w:val="24"/>
        </w:rPr>
        <w:t xml:space="preserve"> </w:t>
      </w:r>
      <w:r w:rsidRPr="00F370C7">
        <w:rPr>
          <w:rStyle w:val="Hyperlink"/>
          <w:rFonts w:cs="Arial"/>
          <w:color w:val="auto"/>
          <w:szCs w:val="24"/>
          <w:u w:val="none"/>
        </w:rPr>
        <w:t xml:space="preserve">(Accessed June 24, </w:t>
      </w:r>
      <w:r>
        <w:rPr>
          <w:rStyle w:val="Hyperlink"/>
          <w:rFonts w:cs="Arial"/>
          <w:color w:val="auto"/>
          <w:szCs w:val="24"/>
          <w:u w:val="none"/>
        </w:rPr>
        <w:t>2018).</w:t>
      </w:r>
    </w:p>
  </w:endnote>
  <w:endnote w:id="223">
    <w:p w14:paraId="3C52A42D" w14:textId="2A07A8DD" w:rsidR="005E3498" w:rsidRPr="002571B8" w:rsidRDefault="005E3498" w:rsidP="00BA0761">
      <w:pPr>
        <w:pStyle w:val="EndnoteText"/>
      </w:pPr>
      <w:r>
        <w:rPr>
          <w:rStyle w:val="EndnoteReference"/>
        </w:rPr>
        <w:endnoteRef/>
      </w:r>
      <w:r>
        <w:t xml:space="preserve"> </w:t>
      </w:r>
      <w:r>
        <w:rPr>
          <w:rFonts w:cs="Arial"/>
          <w:szCs w:val="24"/>
        </w:rPr>
        <w:t>U.S</w:t>
      </w:r>
      <w:r w:rsidRPr="002571B8">
        <w:rPr>
          <w:rFonts w:cs="Arial"/>
          <w:szCs w:val="24"/>
        </w:rPr>
        <w:t>. Department of Labor</w:t>
      </w:r>
      <w:r>
        <w:rPr>
          <w:rFonts w:cs="Arial"/>
          <w:szCs w:val="24"/>
        </w:rPr>
        <w:t xml:space="preserve">. </w:t>
      </w:r>
      <w:r w:rsidRPr="002571B8">
        <w:rPr>
          <w:rFonts w:cs="Arial"/>
          <w:i/>
          <w:szCs w:val="24"/>
        </w:rPr>
        <w:t>FY 2018-2022 Strategic Plan</w:t>
      </w:r>
      <w:r>
        <w:rPr>
          <w:rFonts w:cs="Arial"/>
          <w:szCs w:val="24"/>
        </w:rPr>
        <w:t xml:space="preserve">, 22–23. </w:t>
      </w:r>
      <w:hyperlink r:id="rId82" w:tooltip="https://www.dol.gov/sites/dolgov/files/legacy-files/budget/2019/FY2018-2022StrategicPlan.pdf" w:history="1">
        <w:r w:rsidRPr="00BC3C3A">
          <w:rPr>
            <w:rStyle w:val="Hyperlink"/>
            <w:rFonts w:cs="Arial"/>
            <w:szCs w:val="24"/>
          </w:rPr>
          <w:t>https://www.dol.gov/sites/dolgov/files/legacy-files/budget/2019/FY2018-2022StrategicPlan.pdf</w:t>
        </w:r>
      </w:hyperlink>
      <w:r>
        <w:rPr>
          <w:rFonts w:cs="Arial"/>
          <w:szCs w:val="24"/>
        </w:rPr>
        <w:t xml:space="preserve">. </w:t>
      </w:r>
      <w:r w:rsidRPr="00F370C7">
        <w:rPr>
          <w:rStyle w:val="Hyperlink"/>
          <w:rFonts w:cs="Arial"/>
          <w:color w:val="auto"/>
          <w:szCs w:val="24"/>
          <w:u w:val="none"/>
        </w:rPr>
        <w:t xml:space="preserve">(Accessed August 2, </w:t>
      </w:r>
      <w:r>
        <w:rPr>
          <w:rStyle w:val="Hyperlink"/>
          <w:rFonts w:cs="Arial"/>
          <w:color w:val="auto"/>
          <w:szCs w:val="24"/>
          <w:u w:val="none"/>
        </w:rPr>
        <w:t>2018).</w:t>
      </w:r>
    </w:p>
  </w:endnote>
  <w:endnote w:id="224">
    <w:p w14:paraId="497132A1" w14:textId="3490051A" w:rsidR="005E3498" w:rsidRDefault="005E3498" w:rsidP="00BA0761">
      <w:pPr>
        <w:pStyle w:val="EndnoteText"/>
        <w:rPr>
          <w:rStyle w:val="Hyperlink"/>
          <w:rFonts w:cs="Arial"/>
          <w:color w:val="auto"/>
          <w:szCs w:val="24"/>
          <w:u w:val="none"/>
        </w:rPr>
      </w:pPr>
      <w:r w:rsidRPr="00B4550E">
        <w:rPr>
          <w:rStyle w:val="EndnoteReference"/>
        </w:rPr>
        <w:endnoteRef/>
      </w:r>
      <w:r>
        <w:t xml:space="preserve"> </w:t>
      </w:r>
      <w:r>
        <w:rPr>
          <w:rFonts w:cs="Arial"/>
          <w:szCs w:val="24"/>
        </w:rPr>
        <w:t>U.S. D</w:t>
      </w:r>
      <w:r w:rsidRPr="008920BA">
        <w:rPr>
          <w:rFonts w:cs="Arial"/>
          <w:szCs w:val="24"/>
        </w:rPr>
        <w:t>epartment of Labor</w:t>
      </w:r>
      <w:r>
        <w:rPr>
          <w:rFonts w:cs="Arial"/>
          <w:szCs w:val="24"/>
        </w:rPr>
        <w:t>.</w:t>
      </w:r>
      <w:r w:rsidRPr="008920BA">
        <w:rPr>
          <w:rFonts w:cs="Arial"/>
          <w:szCs w:val="24"/>
        </w:rPr>
        <w:t xml:space="preserve"> </w:t>
      </w:r>
      <w:r>
        <w:rPr>
          <w:rFonts w:cs="Arial"/>
          <w:szCs w:val="24"/>
        </w:rPr>
        <w:t>“</w:t>
      </w:r>
      <w:r w:rsidRPr="008920BA">
        <w:rPr>
          <w:rFonts w:cs="Arial"/>
          <w:szCs w:val="24"/>
        </w:rPr>
        <w:t xml:space="preserve">FY 2018 Budget </w:t>
      </w:r>
      <w:r>
        <w:rPr>
          <w:rFonts w:cs="Arial"/>
          <w:szCs w:val="24"/>
        </w:rPr>
        <w:t>in Brief</w:t>
      </w:r>
      <w:r w:rsidRPr="008920BA">
        <w:rPr>
          <w:rFonts w:cs="Arial"/>
          <w:szCs w:val="24"/>
        </w:rPr>
        <w:t>,</w:t>
      </w:r>
      <w:r>
        <w:rPr>
          <w:rFonts w:cs="Arial"/>
          <w:szCs w:val="24"/>
        </w:rPr>
        <w:t>”</w:t>
      </w:r>
      <w:r w:rsidRPr="008920BA">
        <w:rPr>
          <w:rFonts w:cs="Arial"/>
          <w:szCs w:val="24"/>
        </w:rPr>
        <w:t xml:space="preserve"> 25</w:t>
      </w:r>
      <w:r>
        <w:rPr>
          <w:rFonts w:cs="Arial"/>
          <w:szCs w:val="24"/>
        </w:rPr>
        <w:t xml:space="preserve">. </w:t>
      </w:r>
      <w:hyperlink r:id="rId83" w:tooltip="https://www.dol.gov/sites/default/files/FY2018BIB.pdf" w:history="1">
        <w:r w:rsidRPr="008920BA">
          <w:rPr>
            <w:rStyle w:val="Hyperlink"/>
            <w:rFonts w:cs="Arial"/>
            <w:szCs w:val="24"/>
          </w:rPr>
          <w:t>https://www.dol.gov/sites/default/files/FY2018BIB.pdf</w:t>
        </w:r>
      </w:hyperlink>
      <w:r w:rsidRPr="00B818A4">
        <w:rPr>
          <w:rFonts w:cs="Arial"/>
          <w:szCs w:val="24"/>
        </w:rPr>
        <w:t>.</w:t>
      </w:r>
      <w:r w:rsidRPr="00F370C7">
        <w:rPr>
          <w:rStyle w:val="Hyperlink"/>
          <w:rFonts w:cs="Arial"/>
          <w:color w:val="auto"/>
          <w:szCs w:val="24"/>
          <w:u w:val="none"/>
        </w:rPr>
        <w:t xml:space="preserve"> (Accessed June 25, </w:t>
      </w:r>
      <w:r>
        <w:rPr>
          <w:rStyle w:val="Hyperlink"/>
          <w:rFonts w:cs="Arial"/>
          <w:color w:val="auto"/>
          <w:szCs w:val="24"/>
          <w:u w:val="none"/>
        </w:rPr>
        <w:t>2018).</w:t>
      </w:r>
    </w:p>
    <w:p w14:paraId="59EAA2A9" w14:textId="77777777" w:rsidR="005E3498" w:rsidRDefault="005E3498" w:rsidP="00BA0761">
      <w:pPr>
        <w:pStyle w:val="EndnoteText"/>
      </w:pPr>
    </w:p>
  </w:endnote>
  <w:endnote w:id="225">
    <w:p w14:paraId="16B033FD" w14:textId="44A96D68"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 Department of Labor. “</w:t>
      </w:r>
      <w:r w:rsidRPr="008920BA">
        <w:rPr>
          <w:rFonts w:cs="Arial"/>
          <w:szCs w:val="24"/>
        </w:rPr>
        <w:t>FY 2017 Budget Justification</w:t>
      </w:r>
      <w:r>
        <w:rPr>
          <w:rFonts w:cs="Arial"/>
          <w:szCs w:val="24"/>
        </w:rPr>
        <w:t>,” WHD-13.</w:t>
      </w:r>
    </w:p>
  </w:endnote>
  <w:endnote w:id="226">
    <w:p w14:paraId="00C7412A" w14:textId="5C538BF9" w:rsidR="005E3498" w:rsidRPr="008920BA" w:rsidRDefault="005E3498" w:rsidP="00BA0761">
      <w:pPr>
        <w:pStyle w:val="EndnoteText"/>
        <w:rPr>
          <w:rFonts w:cs="Arial"/>
          <w:szCs w:val="24"/>
        </w:rPr>
      </w:pPr>
      <w:r w:rsidRPr="008920BA">
        <w:rPr>
          <w:rStyle w:val="EndnoteReference"/>
          <w:rFonts w:cs="Arial"/>
          <w:szCs w:val="24"/>
        </w:rPr>
        <w:endnoteRef/>
      </w:r>
      <w:r>
        <w:rPr>
          <w:rFonts w:cs="Arial"/>
          <w:szCs w:val="24"/>
        </w:rPr>
        <w:t xml:space="preserve"> David Weil, David. 2010.</w:t>
      </w:r>
      <w:r w:rsidRPr="008920BA">
        <w:rPr>
          <w:rFonts w:cs="Arial"/>
          <w:szCs w:val="24"/>
        </w:rPr>
        <w:t xml:space="preserve"> </w:t>
      </w:r>
      <w:r w:rsidRPr="008920BA">
        <w:rPr>
          <w:rFonts w:cs="Arial"/>
          <w:i/>
          <w:szCs w:val="24"/>
        </w:rPr>
        <w:t xml:space="preserve">Improving Workplace Conditions </w:t>
      </w:r>
      <w:r w:rsidRPr="008920BA">
        <w:rPr>
          <w:rFonts w:cs="Arial"/>
          <w:i/>
          <w:szCs w:val="24"/>
        </w:rPr>
        <w:t>Through Strategic Enforcement. A Report to the Wage and Hour Division</w:t>
      </w:r>
      <w:r>
        <w:rPr>
          <w:rFonts w:cs="Arial"/>
          <w:szCs w:val="24"/>
        </w:rPr>
        <w:t xml:space="preserve">. Boston MA: Boston University. </w:t>
      </w:r>
      <w:hyperlink r:id="rId84" w:tooltip="http://www.dol.gov/whd/resources/strategicEnforcement.pdf" w:history="1">
        <w:r w:rsidRPr="008920BA">
          <w:rPr>
            <w:rStyle w:val="Hyperlink"/>
            <w:rFonts w:cs="Arial"/>
            <w:szCs w:val="24"/>
          </w:rPr>
          <w:t>http://www.dol.gov/whd/resources/strategicEnforcement.pdf</w:t>
        </w:r>
      </w:hyperlink>
      <w:r>
        <w:rPr>
          <w:rFonts w:cs="Arial"/>
          <w:szCs w:val="24"/>
        </w:rPr>
        <w:t>.</w:t>
      </w:r>
    </w:p>
  </w:endnote>
  <w:endnote w:id="227">
    <w:p w14:paraId="771B89F9" w14:textId="454785D7" w:rsidR="005E3498" w:rsidRPr="008920BA" w:rsidRDefault="005E3498" w:rsidP="00BA0761">
      <w:pPr>
        <w:pStyle w:val="EndnoteText"/>
        <w:rPr>
          <w:rFonts w:cs="Arial"/>
          <w:color w:val="000000"/>
          <w:szCs w:val="24"/>
        </w:rPr>
      </w:pPr>
      <w:r w:rsidRPr="008920BA">
        <w:rPr>
          <w:rStyle w:val="EndnoteReference"/>
          <w:rFonts w:cs="Arial"/>
          <w:szCs w:val="24"/>
        </w:rPr>
        <w:endnoteRef/>
      </w:r>
      <w:r w:rsidRPr="008920BA">
        <w:rPr>
          <w:rFonts w:cs="Arial"/>
          <w:szCs w:val="24"/>
        </w:rPr>
        <w:t xml:space="preserve"> </w:t>
      </w:r>
      <w:r w:rsidRPr="008920BA">
        <w:rPr>
          <w:rFonts w:cs="Arial"/>
          <w:color w:val="000000"/>
          <w:szCs w:val="24"/>
        </w:rPr>
        <w:t xml:space="preserve">Wage and Hour investigations often involve the concurrent enforcement of multiple statutes. For example, if a case is initiated under </w:t>
      </w:r>
      <w:r>
        <w:rPr>
          <w:rFonts w:cs="Arial"/>
          <w:color w:val="000000"/>
          <w:szCs w:val="24"/>
        </w:rPr>
        <w:t>Section</w:t>
      </w:r>
      <w:r w:rsidRPr="008920BA">
        <w:rPr>
          <w:rFonts w:cs="Arial"/>
          <w:color w:val="000000"/>
          <w:szCs w:val="24"/>
        </w:rPr>
        <w:t xml:space="preserve"> 14(c) of the FLSA, the investigation may also uncover violations under other statutes su</w:t>
      </w:r>
      <w:r>
        <w:rPr>
          <w:rFonts w:cs="Arial"/>
          <w:color w:val="000000"/>
          <w:szCs w:val="24"/>
        </w:rPr>
        <w:t>ch as the Service Contract Act</w:t>
      </w:r>
      <w:r w:rsidRPr="008920BA">
        <w:rPr>
          <w:rFonts w:cs="Arial"/>
          <w:color w:val="000000"/>
          <w:szCs w:val="24"/>
        </w:rPr>
        <w:t>, the Public Contracts Act, etc. Therefore</w:t>
      </w:r>
      <w:r>
        <w:rPr>
          <w:rFonts w:cs="Arial"/>
          <w:color w:val="000000"/>
          <w:szCs w:val="24"/>
        </w:rPr>
        <w:t>,</w:t>
      </w:r>
      <w:r w:rsidRPr="008920BA">
        <w:rPr>
          <w:rFonts w:cs="Arial"/>
          <w:color w:val="000000"/>
          <w:szCs w:val="24"/>
        </w:rPr>
        <w:t xml:space="preserve"> duplication may exist in WHD</w:t>
      </w:r>
      <w:r>
        <w:rPr>
          <w:rFonts w:cs="Arial"/>
          <w:color w:val="000000"/>
          <w:szCs w:val="24"/>
        </w:rPr>
        <w:t>’</w:t>
      </w:r>
      <w:r w:rsidRPr="008920BA">
        <w:rPr>
          <w:rFonts w:cs="Arial"/>
          <w:color w:val="000000"/>
          <w:szCs w:val="24"/>
        </w:rPr>
        <w:t>s data (case counts by violation of one or several laws).</w:t>
      </w:r>
      <w:r>
        <w:rPr>
          <w:rFonts w:cs="Arial"/>
          <w:color w:val="000000"/>
          <w:szCs w:val="24"/>
        </w:rPr>
        <w:t xml:space="preserve"> </w:t>
      </w:r>
    </w:p>
  </w:endnote>
  <w:endnote w:id="228">
    <w:p w14:paraId="76890B9E" w14:textId="79A33F99" w:rsidR="005E3498" w:rsidRPr="001F1BA1" w:rsidRDefault="005E3498" w:rsidP="00BA0761">
      <w:pPr>
        <w:pStyle w:val="EndnoteText"/>
      </w:pPr>
      <w:r w:rsidRPr="008920BA">
        <w:rPr>
          <w:rStyle w:val="EndnoteReference"/>
          <w:rFonts w:cs="Arial"/>
          <w:szCs w:val="24"/>
        </w:rPr>
        <w:endnoteRef/>
      </w:r>
      <w:r>
        <w:rPr>
          <w:rFonts w:cs="Arial"/>
          <w:szCs w:val="24"/>
        </w:rPr>
        <w:t xml:space="preserve"> </w:t>
      </w:r>
      <w:r>
        <w:rPr>
          <w:rFonts w:cs="Arial"/>
          <w:szCs w:val="24"/>
        </w:rPr>
        <w:t>U.S. Department of Labor. July 13, 2013.</w:t>
      </w:r>
      <w:r w:rsidRPr="008920BA">
        <w:rPr>
          <w:rFonts w:cs="Arial"/>
          <w:szCs w:val="24"/>
        </w:rPr>
        <w:t xml:space="preserve"> </w:t>
      </w:r>
      <w:r>
        <w:rPr>
          <w:rFonts w:cs="Arial"/>
          <w:szCs w:val="24"/>
        </w:rPr>
        <w:t xml:space="preserve">“Press Release: </w:t>
      </w:r>
      <w:r w:rsidRPr="008920BA">
        <w:rPr>
          <w:rFonts w:cs="Arial"/>
          <w:szCs w:val="24"/>
        </w:rPr>
        <w:t xml:space="preserve">US Labor Department Moves to Protect </w:t>
      </w:r>
      <w:r w:rsidRPr="001F1BA1">
        <w:rPr>
          <w:rFonts w:cs="Arial"/>
          <w:szCs w:val="24"/>
        </w:rPr>
        <w:t>Workers with Disabilities in Crackdown on Rhode Island Employer</w:t>
      </w:r>
      <w:r>
        <w:rPr>
          <w:rFonts w:cs="Arial"/>
          <w:szCs w:val="24"/>
        </w:rPr>
        <w:t>.”</w:t>
      </w:r>
      <w:r w:rsidRPr="001F1BA1">
        <w:rPr>
          <w:rFonts w:cs="Arial"/>
          <w:szCs w:val="24"/>
        </w:rPr>
        <w:t xml:space="preserve"> </w:t>
      </w:r>
      <w:hyperlink r:id="rId85" w:tooltip="https://www.dol.gov/newsroom/releases/whd/whd20130613" w:history="1">
        <w:r w:rsidRPr="001F1BA1">
          <w:rPr>
            <w:rStyle w:val="Hyperlink"/>
            <w:rFonts w:cs="Arial"/>
            <w:szCs w:val="24"/>
          </w:rPr>
          <w:t>https://www.dol.gov/newsroom/releases/whd/whd20130613</w:t>
        </w:r>
      </w:hyperlink>
      <w:r w:rsidRPr="001F1BA1">
        <w:rPr>
          <w:rFonts w:cs="Arial"/>
          <w:szCs w:val="24"/>
        </w:rPr>
        <w:t>.</w:t>
      </w:r>
      <w:r>
        <w:t xml:space="preserve"> </w:t>
      </w:r>
    </w:p>
  </w:endnote>
  <w:endnote w:id="229">
    <w:p w14:paraId="028FA304" w14:textId="77777777" w:rsidR="005E3498" w:rsidRPr="008920BA" w:rsidRDefault="005E3498" w:rsidP="00BA0761">
      <w:pPr>
        <w:pStyle w:val="EndnoteText"/>
        <w:rPr>
          <w:rFonts w:cs="Arial"/>
          <w:szCs w:val="24"/>
        </w:rPr>
      </w:pPr>
      <w:r w:rsidRPr="00191627">
        <w:rPr>
          <w:rStyle w:val="EndnoteReference"/>
          <w:rFonts w:cs="Arial"/>
          <w:szCs w:val="24"/>
        </w:rPr>
        <w:endnoteRef/>
      </w:r>
      <w:r w:rsidRPr="00191627">
        <w:rPr>
          <w:rFonts w:cs="Arial"/>
          <w:szCs w:val="24"/>
        </w:rPr>
        <w:t xml:space="preserve"> </w:t>
      </w:r>
      <w:r w:rsidRPr="00191627">
        <w:rPr>
          <w:rFonts w:cs="Arial"/>
          <w:szCs w:val="24"/>
        </w:rPr>
        <w:t>Ibid.</w:t>
      </w:r>
      <w:r>
        <w:rPr>
          <w:rFonts w:cs="Arial"/>
          <w:szCs w:val="24"/>
        </w:rPr>
        <w:t xml:space="preserve"> </w:t>
      </w:r>
    </w:p>
  </w:endnote>
  <w:endnote w:id="230">
    <w:p w14:paraId="5B6D723F" w14:textId="77777777" w:rsidR="005E3498" w:rsidRPr="000B6F46" w:rsidRDefault="005E3498" w:rsidP="00BA0761">
      <w:pPr>
        <w:pStyle w:val="EndnoteText"/>
        <w:rPr>
          <w:szCs w:val="24"/>
        </w:rPr>
      </w:pPr>
      <w:r>
        <w:rPr>
          <w:rStyle w:val="EndnoteReference"/>
        </w:rPr>
        <w:endnoteRef/>
      </w:r>
      <w:r>
        <w:t xml:space="preserve"> </w:t>
      </w:r>
      <w:r w:rsidRPr="000B6F46">
        <w:rPr>
          <w:rFonts w:eastAsiaTheme="minorHAnsi" w:cs="Arial"/>
          <w:szCs w:val="24"/>
        </w:rPr>
        <w:t xml:space="preserve">The SCA requires federal contractors to pay </w:t>
      </w:r>
      <w:r w:rsidRPr="000B6F46">
        <w:rPr>
          <w:rFonts w:eastAsiaTheme="minorHAnsi" w:cs="Arial"/>
          <w:szCs w:val="24"/>
        </w:rPr>
        <w:t>workers, including contractors and subcontractors, performing services on federal contracts specified prevailing wage rates and fringe benefits.</w:t>
      </w:r>
    </w:p>
  </w:endnote>
  <w:endnote w:id="231">
    <w:p w14:paraId="10C4B1A9" w14:textId="2A2B0A10" w:rsidR="005E3498" w:rsidRPr="00F5069F" w:rsidRDefault="005E3498" w:rsidP="00BA0761">
      <w:pPr>
        <w:pStyle w:val="EndnoteText"/>
        <w:rPr>
          <w:rFonts w:cs="Arial"/>
          <w:szCs w:val="24"/>
        </w:rPr>
      </w:pPr>
      <w:r w:rsidRPr="00F5069F">
        <w:rPr>
          <w:rStyle w:val="EndnoteReference"/>
          <w:rFonts w:cs="Arial"/>
          <w:szCs w:val="24"/>
        </w:rPr>
        <w:endnoteRef/>
      </w:r>
      <w:r w:rsidRPr="00F5069F">
        <w:rPr>
          <w:rFonts w:cs="Arial"/>
          <w:szCs w:val="24"/>
        </w:rPr>
        <w:t xml:space="preserve"> </w:t>
      </w:r>
      <w:r w:rsidRPr="00F5069F">
        <w:rPr>
          <w:rFonts w:cs="Arial"/>
          <w:szCs w:val="24"/>
        </w:rPr>
        <w:t>SourceAmerica is a subsidiary organization, along with the National Industries for the Blind, of the U.S. AbilityOne program, the nation</w:t>
      </w:r>
      <w:r>
        <w:rPr>
          <w:rFonts w:cs="Arial"/>
          <w:szCs w:val="24"/>
        </w:rPr>
        <w:t>’</w:t>
      </w:r>
      <w:r w:rsidRPr="00F5069F">
        <w:rPr>
          <w:rFonts w:cs="Arial"/>
          <w:szCs w:val="24"/>
        </w:rPr>
        <w:t xml:space="preserve">s mandatory sole-source set aside program for goods and services supplied to the </w:t>
      </w:r>
      <w:r>
        <w:rPr>
          <w:rFonts w:cs="Arial"/>
          <w:szCs w:val="24"/>
        </w:rPr>
        <w:t>Federal Government</w:t>
      </w:r>
      <w:r w:rsidRPr="00F5069F">
        <w:rPr>
          <w:rFonts w:cs="Arial"/>
          <w:szCs w:val="24"/>
        </w:rPr>
        <w:t xml:space="preserve"> by community rehabilitation programs including workers with disabilities. Likewise, the West Virginia State Use program is the state</w:t>
      </w:r>
      <w:r>
        <w:rPr>
          <w:rFonts w:cs="Arial"/>
          <w:szCs w:val="24"/>
        </w:rPr>
        <w:t>’</w:t>
      </w:r>
      <w:r w:rsidRPr="00F5069F">
        <w:rPr>
          <w:rFonts w:cs="Arial"/>
          <w:szCs w:val="24"/>
        </w:rPr>
        <w:t>s mandatory set aside contracting program wherein nonprofit community rehabilitation programs make goods or perform services for the state government.</w:t>
      </w:r>
    </w:p>
  </w:endnote>
  <w:endnote w:id="232">
    <w:p w14:paraId="64E0518C" w14:textId="5F04736F" w:rsidR="005E3498" w:rsidRPr="00394132" w:rsidRDefault="005E3498" w:rsidP="00BA0761">
      <w:pPr>
        <w:pStyle w:val="EndnoteText"/>
        <w:rPr>
          <w:rFonts w:cs="Arial"/>
          <w:szCs w:val="24"/>
        </w:rPr>
      </w:pPr>
      <w:r w:rsidRPr="00E7155F">
        <w:rPr>
          <w:rStyle w:val="EndnoteReference"/>
          <w:rFonts w:cs="Arial"/>
          <w:szCs w:val="24"/>
        </w:rPr>
        <w:endnoteRef/>
      </w:r>
      <w:r w:rsidRPr="00394132">
        <w:rPr>
          <w:rFonts w:cs="Arial"/>
          <w:szCs w:val="24"/>
        </w:rPr>
        <w:t xml:space="preserve"> </w:t>
      </w:r>
      <w:r>
        <w:rPr>
          <w:rFonts w:cs="Arial"/>
          <w:szCs w:val="24"/>
        </w:rPr>
        <w:t xml:space="preserve">U.S. Department of Labor. April 23, 2018. “Press Release, </w:t>
      </w:r>
      <w:r w:rsidRPr="00394132">
        <w:rPr>
          <w:rFonts w:cs="Arial"/>
          <w:szCs w:val="24"/>
        </w:rPr>
        <w:t>U.S. Department of Labor Acts to Protect Individuals with Disabilities from Workplace Exp</w:t>
      </w:r>
      <w:r>
        <w:rPr>
          <w:rFonts w:cs="Arial"/>
          <w:szCs w:val="24"/>
        </w:rPr>
        <w:t>loitation.”</w:t>
      </w:r>
      <w:r w:rsidRPr="00394132">
        <w:rPr>
          <w:rFonts w:cs="Arial"/>
          <w:szCs w:val="24"/>
        </w:rPr>
        <w:t xml:space="preserve"> </w:t>
      </w:r>
      <w:hyperlink r:id="rId86" w:tooltip="https://www.dol.gov/newsroom/releases/whd/whd20180423" w:history="1">
        <w:r w:rsidRPr="00912F20">
          <w:rPr>
            <w:rStyle w:val="Hyperlink"/>
            <w:rFonts w:cs="Arial"/>
            <w:szCs w:val="24"/>
          </w:rPr>
          <w:t>https://www.dol.gov/newsroom/releases/whd/whd20180423</w:t>
        </w:r>
      </w:hyperlink>
      <w:r>
        <w:rPr>
          <w:rFonts w:cs="Arial"/>
          <w:szCs w:val="24"/>
        </w:rPr>
        <w:t xml:space="preserve">. </w:t>
      </w:r>
    </w:p>
  </w:endnote>
  <w:endnote w:id="233">
    <w:p w14:paraId="0CA547B2" w14:textId="77777777" w:rsidR="005E3498" w:rsidRPr="00CC3536" w:rsidRDefault="005E3498" w:rsidP="00BA0761">
      <w:pPr>
        <w:pStyle w:val="EndnoteText"/>
        <w:rPr>
          <w:rFonts w:cs="Arial"/>
          <w:szCs w:val="24"/>
        </w:rPr>
      </w:pPr>
      <w:r>
        <w:rPr>
          <w:rStyle w:val="EndnoteReference"/>
        </w:rPr>
        <w:endnoteRef/>
      </w:r>
      <w:r>
        <w:t xml:space="preserve"> </w:t>
      </w:r>
      <w:r>
        <w:rPr>
          <w:rFonts w:cs="Arial"/>
          <w:szCs w:val="24"/>
        </w:rPr>
        <w:t>Workforce Innovation and Opportunity</w:t>
      </w:r>
      <w:r w:rsidRPr="00EF6EAF">
        <w:rPr>
          <w:rFonts w:cs="Arial"/>
          <w:szCs w:val="24"/>
        </w:rPr>
        <w:t xml:space="preserve"> Act, Pub. L. 113-128, § 4</w:t>
      </w:r>
      <w:r>
        <w:rPr>
          <w:rFonts w:cs="Arial"/>
          <w:szCs w:val="24"/>
        </w:rPr>
        <w:t>58</w:t>
      </w:r>
      <w:r w:rsidRPr="00EF6EAF">
        <w:rPr>
          <w:rFonts w:cs="Arial"/>
          <w:szCs w:val="24"/>
        </w:rPr>
        <w:t xml:space="preserve">, </w:t>
      </w:r>
      <w:r w:rsidRPr="0086227B">
        <w:rPr>
          <w:rFonts w:cs="Arial"/>
          <w:szCs w:val="24"/>
        </w:rPr>
        <w:t>128 Stat</w:t>
      </w:r>
      <w:r>
        <w:rPr>
          <w:rFonts w:cs="Arial"/>
          <w:szCs w:val="24"/>
        </w:rPr>
        <w:t>.</w:t>
      </w:r>
      <w:r w:rsidRPr="0086227B">
        <w:rPr>
          <w:rFonts w:cs="Arial"/>
          <w:szCs w:val="24"/>
        </w:rPr>
        <w:t xml:space="preserve"> 1425</w:t>
      </w:r>
      <w:r w:rsidRPr="00CC3536">
        <w:rPr>
          <w:rFonts w:cs="Arial"/>
          <w:szCs w:val="24"/>
        </w:rPr>
        <w:t>, 16</w:t>
      </w:r>
      <w:r>
        <w:rPr>
          <w:rFonts w:cs="Arial"/>
          <w:szCs w:val="24"/>
        </w:rPr>
        <w:t xml:space="preserve">76 </w:t>
      </w:r>
      <w:r w:rsidRPr="0086227B">
        <w:rPr>
          <w:rFonts w:cs="Arial"/>
          <w:szCs w:val="24"/>
        </w:rPr>
        <w:t>(2014)</w:t>
      </w:r>
      <w:r>
        <w:rPr>
          <w:rFonts w:cs="Arial"/>
          <w:szCs w:val="24"/>
        </w:rPr>
        <w:t xml:space="preserve">, adding § 511 to the Rehabilitation Act of 1973; </w:t>
      </w:r>
      <w:r w:rsidRPr="00CC3536">
        <w:rPr>
          <w:rFonts w:cs="Arial"/>
          <w:szCs w:val="24"/>
        </w:rPr>
        <w:t>29 U</w:t>
      </w:r>
      <w:r>
        <w:rPr>
          <w:rFonts w:cs="Arial"/>
          <w:szCs w:val="24"/>
        </w:rPr>
        <w:t>.</w:t>
      </w:r>
      <w:r w:rsidRPr="00CC3536">
        <w:rPr>
          <w:rFonts w:cs="Arial"/>
          <w:szCs w:val="24"/>
        </w:rPr>
        <w:t>S</w:t>
      </w:r>
      <w:r>
        <w:rPr>
          <w:rFonts w:cs="Arial"/>
          <w:szCs w:val="24"/>
        </w:rPr>
        <w:t>.</w:t>
      </w:r>
      <w:r w:rsidRPr="00CC3536">
        <w:rPr>
          <w:rFonts w:cs="Arial"/>
          <w:szCs w:val="24"/>
        </w:rPr>
        <w:t>C</w:t>
      </w:r>
      <w:r>
        <w:rPr>
          <w:rFonts w:cs="Arial"/>
          <w:szCs w:val="24"/>
        </w:rPr>
        <w:t>.</w:t>
      </w:r>
      <w:r w:rsidRPr="00CC3536">
        <w:rPr>
          <w:rFonts w:cs="Arial"/>
          <w:szCs w:val="24"/>
        </w:rPr>
        <w:t xml:space="preserve"> § 794g</w:t>
      </w:r>
      <w:r>
        <w:rPr>
          <w:rFonts w:cs="Arial"/>
          <w:szCs w:val="24"/>
        </w:rPr>
        <w:t>.</w:t>
      </w:r>
    </w:p>
  </w:endnote>
  <w:endnote w:id="234">
    <w:p w14:paraId="3BBC375B" w14:textId="6F57444D" w:rsidR="005E3498" w:rsidRPr="001F1BA1"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1F1BA1">
        <w:rPr>
          <w:rFonts w:cs="Arial"/>
          <w:szCs w:val="24"/>
        </w:rPr>
        <w:t xml:space="preserve">U.S. Department of Labor, Wage and Hour Division, School Work Experience Programs </w:t>
      </w:r>
      <w:r>
        <w:rPr>
          <w:rFonts w:cs="Arial"/>
          <w:szCs w:val="24"/>
        </w:rPr>
        <w:t xml:space="preserve">(SWEPs) List. January 1, 2018. </w:t>
      </w:r>
      <w:hyperlink r:id="rId87" w:tooltip="https://www.dol.gov/whd/specialemployment/SWEPlist.htm" w:history="1">
        <w:r w:rsidRPr="001F1BA1">
          <w:rPr>
            <w:rStyle w:val="Hyperlink"/>
            <w:rFonts w:cs="Arial"/>
            <w:szCs w:val="24"/>
          </w:rPr>
          <w:t>https://www.dol.gov/whd/specialemployment/SWEPlist.htm</w:t>
        </w:r>
      </w:hyperlink>
      <w:r w:rsidRPr="001F1BA1">
        <w:rPr>
          <w:rFonts w:cs="Arial"/>
          <w:szCs w:val="24"/>
        </w:rPr>
        <w:t>.</w:t>
      </w:r>
      <w:r>
        <w:rPr>
          <w:rFonts w:cs="Arial"/>
          <w:szCs w:val="24"/>
        </w:rPr>
        <w:t xml:space="preserve"> </w:t>
      </w:r>
    </w:p>
  </w:endnote>
  <w:endnote w:id="235">
    <w:p w14:paraId="3EA460AC" w14:textId="65831531" w:rsidR="005E3498" w:rsidRPr="00EF6EAF" w:rsidRDefault="005E3498" w:rsidP="00BA0761">
      <w:pPr>
        <w:pStyle w:val="EndnoteText"/>
      </w:pPr>
      <w:r>
        <w:rPr>
          <w:rStyle w:val="EndnoteReference"/>
        </w:rPr>
        <w:endnoteRef/>
      </w:r>
      <w:r>
        <w:t xml:space="preserve"> </w:t>
      </w:r>
      <w:r w:rsidRPr="00EF6EAF">
        <w:rPr>
          <w:rFonts w:cs="Arial"/>
          <w:szCs w:val="24"/>
        </w:rPr>
        <w:t>Olmstead v. L.C., 527 U.S. 581 (1999)</w:t>
      </w:r>
      <w:r>
        <w:rPr>
          <w:rFonts w:cs="Arial"/>
          <w:szCs w:val="24"/>
        </w:rPr>
        <w:t>.</w:t>
      </w:r>
    </w:p>
  </w:endnote>
  <w:endnote w:id="236">
    <w:p w14:paraId="431D6C51" w14:textId="70D0E645" w:rsidR="005E3498" w:rsidRDefault="005E3498" w:rsidP="00BA0761">
      <w:pPr>
        <w:pStyle w:val="EndnoteText"/>
      </w:pPr>
      <w:r>
        <w:rPr>
          <w:rStyle w:val="EndnoteReference"/>
        </w:rPr>
        <w:endnoteRef/>
      </w:r>
      <w:r>
        <w:t xml:space="preserve"> </w:t>
      </w:r>
      <w:r w:rsidRPr="00EF6EAF">
        <w:rPr>
          <w:rFonts w:cs="Arial"/>
          <w:szCs w:val="24"/>
        </w:rPr>
        <w:t xml:space="preserve">Workforce Innovation </w:t>
      </w:r>
      <w:r>
        <w:rPr>
          <w:rFonts w:cs="Arial"/>
          <w:szCs w:val="24"/>
        </w:rPr>
        <w:t xml:space="preserve">and </w:t>
      </w:r>
      <w:r w:rsidRPr="00EF6EAF">
        <w:rPr>
          <w:rFonts w:cs="Arial"/>
          <w:szCs w:val="24"/>
        </w:rPr>
        <w:t>Opp</w:t>
      </w:r>
      <w:r>
        <w:rPr>
          <w:rFonts w:cs="Arial"/>
          <w:szCs w:val="24"/>
        </w:rPr>
        <w:t>ortunity</w:t>
      </w:r>
      <w:r w:rsidRPr="00EF6EAF">
        <w:rPr>
          <w:rFonts w:cs="Arial"/>
          <w:szCs w:val="24"/>
        </w:rPr>
        <w:t xml:space="preserve"> Act, Pub. L. 113-128, § 422</w:t>
      </w:r>
      <w:r>
        <w:rPr>
          <w:rFonts w:cs="Arial"/>
          <w:szCs w:val="24"/>
        </w:rPr>
        <w:t>, 128 Stat. 1425, 1657 (2014).</w:t>
      </w:r>
    </w:p>
  </w:endnote>
  <w:endnote w:id="237">
    <w:p w14:paraId="5AD1445A" w14:textId="17C3C94B"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w:t>
      </w:r>
      <w:r w:rsidRPr="008920BA">
        <w:rPr>
          <w:rFonts w:cs="Arial"/>
          <w:szCs w:val="24"/>
        </w:rPr>
        <w:t xml:space="preserve"> Department of Labor, Wage and Hour Division</w:t>
      </w:r>
      <w:r>
        <w:rPr>
          <w:rFonts w:cs="Arial"/>
          <w:szCs w:val="24"/>
        </w:rPr>
        <w:t>.</w:t>
      </w:r>
      <w:r w:rsidRPr="008920BA">
        <w:rPr>
          <w:rFonts w:cs="Arial"/>
          <w:szCs w:val="24"/>
        </w:rPr>
        <w:t xml:space="preserve"> </w:t>
      </w:r>
      <w:r>
        <w:rPr>
          <w:rFonts w:cs="Arial"/>
          <w:szCs w:val="24"/>
        </w:rPr>
        <w:t>“</w:t>
      </w:r>
      <w:r w:rsidRPr="008920BA">
        <w:rPr>
          <w:rFonts w:cs="Arial"/>
          <w:szCs w:val="24"/>
        </w:rPr>
        <w:t>Frequently Asked Questions: How to File a Complaint</w:t>
      </w:r>
      <w:r>
        <w:rPr>
          <w:rFonts w:cs="Arial"/>
          <w:szCs w:val="24"/>
        </w:rPr>
        <w:t xml:space="preserve">.” </w:t>
      </w:r>
      <w:hyperlink r:id="rId88" w:tooltip="https://www.dol.gov/whd/faq.htm" w:history="1">
        <w:r w:rsidRPr="008920BA">
          <w:rPr>
            <w:rStyle w:val="Hyperlink"/>
            <w:rFonts w:cs="Arial"/>
            <w:szCs w:val="24"/>
          </w:rPr>
          <w:t>https://www.dol.gov/whd/faq.htm</w:t>
        </w:r>
      </w:hyperlink>
      <w:r w:rsidRPr="004F3572">
        <w:rPr>
          <w:rFonts w:cs="Arial"/>
          <w:szCs w:val="24"/>
        </w:rPr>
        <w:t xml:space="preserve">. </w:t>
      </w:r>
      <w:r w:rsidRPr="00F370C7">
        <w:rPr>
          <w:rStyle w:val="Hyperlink"/>
          <w:rFonts w:cs="Arial"/>
          <w:color w:val="auto"/>
          <w:szCs w:val="24"/>
          <w:u w:val="none"/>
        </w:rPr>
        <w:t xml:space="preserve">(Accessed June 24, </w:t>
      </w:r>
      <w:r>
        <w:rPr>
          <w:rStyle w:val="Hyperlink"/>
          <w:rFonts w:cs="Arial"/>
          <w:color w:val="auto"/>
          <w:szCs w:val="24"/>
          <w:u w:val="none"/>
        </w:rPr>
        <w:t>2018).</w:t>
      </w:r>
    </w:p>
  </w:endnote>
  <w:endnote w:id="238">
    <w:p w14:paraId="2938243D" w14:textId="4A2FC63B" w:rsidR="005E3498" w:rsidRDefault="005E3498" w:rsidP="00BA0761">
      <w:pPr>
        <w:spacing w:after="200" w:line="240" w:lineRule="auto"/>
        <w:rPr>
          <w:rFonts w:ascii="Arial" w:hAnsi="Arial" w:cs="Arial"/>
        </w:rPr>
      </w:pPr>
      <w:r>
        <w:rPr>
          <w:rStyle w:val="EndnoteReference"/>
        </w:rPr>
        <w:endnoteRef/>
      </w:r>
      <w:r>
        <w:t xml:space="preserve"> </w:t>
      </w:r>
      <w:r w:rsidRPr="000B6F46">
        <w:rPr>
          <w:rFonts w:ascii="Arial" w:hAnsi="Arial" w:cs="Arial"/>
        </w:rPr>
        <w:t xml:space="preserve">Data provided by </w:t>
      </w:r>
      <w:r>
        <w:rPr>
          <w:rFonts w:ascii="Arial" w:hAnsi="Arial" w:cs="Arial"/>
        </w:rPr>
        <w:t>WHD</w:t>
      </w:r>
      <w:r w:rsidRPr="000B6F46">
        <w:rPr>
          <w:rFonts w:ascii="Arial" w:hAnsi="Arial" w:cs="Arial"/>
        </w:rPr>
        <w:t xml:space="preserve">. </w:t>
      </w:r>
      <w:r>
        <w:rPr>
          <w:rFonts w:ascii="Arial" w:hAnsi="Arial" w:cs="Arial"/>
        </w:rPr>
        <w:t>Section 1</w:t>
      </w:r>
      <w:r w:rsidRPr="000B6F46">
        <w:rPr>
          <w:rFonts w:ascii="Arial" w:hAnsi="Arial" w:cs="Arial"/>
        </w:rPr>
        <w:t>4(c) outreach data shows the number of outreach events per year that were specifically geared to</w:t>
      </w:r>
      <w:r>
        <w:rPr>
          <w:rFonts w:ascii="Arial" w:hAnsi="Arial" w:cs="Arial"/>
        </w:rPr>
        <w:t>ward the program</w:t>
      </w:r>
      <w:r w:rsidRPr="000B6F46">
        <w:rPr>
          <w:rFonts w:ascii="Arial" w:hAnsi="Arial" w:cs="Arial"/>
        </w:rPr>
        <w:t>.</w:t>
      </w:r>
      <w:r>
        <w:rPr>
          <w:rFonts w:ascii="Arial" w:hAnsi="Arial" w:cs="Arial"/>
        </w:rPr>
        <w:t xml:space="preserve"> The Division</w:t>
      </w:r>
      <w:r w:rsidRPr="000B6F46">
        <w:rPr>
          <w:rFonts w:ascii="Arial" w:hAnsi="Arial" w:cs="Arial"/>
        </w:rPr>
        <w:t xml:space="preserve"> may mention </w:t>
      </w:r>
      <w:r>
        <w:rPr>
          <w:rFonts w:ascii="Arial" w:hAnsi="Arial" w:cs="Arial"/>
        </w:rPr>
        <w:t xml:space="preserve">Section </w:t>
      </w:r>
      <w:r w:rsidRPr="000B6F46">
        <w:rPr>
          <w:rFonts w:ascii="Arial" w:hAnsi="Arial" w:cs="Arial"/>
        </w:rPr>
        <w:t xml:space="preserve">14(c) as part of </w:t>
      </w:r>
      <w:r>
        <w:rPr>
          <w:rFonts w:ascii="Arial" w:hAnsi="Arial" w:cs="Arial"/>
        </w:rPr>
        <w:t xml:space="preserve">its </w:t>
      </w:r>
      <w:r w:rsidRPr="000B6F46">
        <w:rPr>
          <w:rFonts w:ascii="Arial" w:hAnsi="Arial" w:cs="Arial"/>
        </w:rPr>
        <w:t xml:space="preserve">overall FLSA outreach events but </w:t>
      </w:r>
      <w:r>
        <w:rPr>
          <w:rFonts w:ascii="Arial" w:hAnsi="Arial" w:cs="Arial"/>
        </w:rPr>
        <w:t>does</w:t>
      </w:r>
      <w:r w:rsidRPr="000B6F46">
        <w:rPr>
          <w:rFonts w:ascii="Arial" w:hAnsi="Arial" w:cs="Arial"/>
        </w:rPr>
        <w:t xml:space="preserve"> not </w:t>
      </w:r>
      <w:r>
        <w:rPr>
          <w:rFonts w:ascii="Arial" w:hAnsi="Arial" w:cs="Arial"/>
        </w:rPr>
        <w:t xml:space="preserve">go into </w:t>
      </w:r>
      <w:r w:rsidRPr="000B6F46">
        <w:rPr>
          <w:rFonts w:ascii="Arial" w:hAnsi="Arial" w:cs="Arial"/>
        </w:rPr>
        <w:t>detail about the provision.</w:t>
      </w:r>
    </w:p>
  </w:endnote>
  <w:endnote w:id="239">
    <w:p w14:paraId="69D2EF15" w14:textId="77777777" w:rsidR="005E3498" w:rsidRDefault="005E3498" w:rsidP="00BA0761">
      <w:pPr>
        <w:pStyle w:val="EndnoteText"/>
      </w:pPr>
      <w:r>
        <w:rPr>
          <w:rStyle w:val="EndnoteReference"/>
        </w:rPr>
        <w:endnoteRef/>
      </w:r>
      <w:r>
        <w:t xml:space="preserve"> </w:t>
      </w:r>
      <w:r w:rsidRPr="00191627">
        <w:rPr>
          <w:rFonts w:cs="Arial"/>
          <w:szCs w:val="24"/>
        </w:rPr>
        <w:t>Ibid.</w:t>
      </w:r>
    </w:p>
  </w:endnote>
  <w:endnote w:id="240">
    <w:p w14:paraId="5C2AD7F0" w14:textId="25D4A4D2"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i/>
          <w:szCs w:val="24"/>
        </w:rPr>
        <w:t>United States v. Rhode Island and City of Providence</w:t>
      </w:r>
      <w:r>
        <w:rPr>
          <w:rFonts w:cs="Arial"/>
          <w:szCs w:val="24"/>
        </w:rPr>
        <w:t>,</w:t>
      </w:r>
      <w:r w:rsidRPr="00620676">
        <w:rPr>
          <w:rFonts w:cs="Arial"/>
          <w:szCs w:val="24"/>
        </w:rPr>
        <w:t xml:space="preserve"> Case No. 13-442 </w:t>
      </w:r>
      <w:r>
        <w:rPr>
          <w:rFonts w:cs="Arial"/>
          <w:szCs w:val="24"/>
        </w:rPr>
        <w:t xml:space="preserve">(D.R.I., </w:t>
      </w:r>
      <w:r w:rsidRPr="00620676">
        <w:rPr>
          <w:rFonts w:cs="Arial"/>
          <w:szCs w:val="24"/>
        </w:rPr>
        <w:t>fil</w:t>
      </w:r>
      <w:r>
        <w:rPr>
          <w:rFonts w:cs="Arial"/>
          <w:szCs w:val="24"/>
        </w:rPr>
        <w:t>ed June 13, 2013),</w:t>
      </w:r>
      <w:r w:rsidRPr="00620676">
        <w:rPr>
          <w:rFonts w:cs="Arial"/>
          <w:szCs w:val="24"/>
        </w:rPr>
        <w:t xml:space="preserve"> </w:t>
      </w:r>
      <w:hyperlink r:id="rId89" w:anchor="ri" w:history="1">
        <w:r w:rsidRPr="008920BA">
          <w:rPr>
            <w:rStyle w:val="Hyperlink"/>
            <w:rFonts w:cs="Arial"/>
            <w:szCs w:val="24"/>
          </w:rPr>
          <w:t>https://www.ada.gov/olmstead/olmstead_cases_list2.htm#ri</w:t>
        </w:r>
      </w:hyperlink>
      <w:r>
        <w:rPr>
          <w:rStyle w:val="Hyperlink"/>
          <w:rFonts w:cs="Arial"/>
          <w:szCs w:val="24"/>
        </w:rPr>
        <w:t>.</w:t>
      </w:r>
    </w:p>
  </w:endnote>
  <w:endnote w:id="241">
    <w:p w14:paraId="72AAEDD2" w14:textId="4AF7E9F5" w:rsidR="005E3498" w:rsidRPr="008920BA" w:rsidRDefault="005E3498" w:rsidP="00BA0761">
      <w:pPr>
        <w:pStyle w:val="EndnoteText"/>
        <w:rPr>
          <w:rFonts w:cs="Arial"/>
          <w:szCs w:val="24"/>
        </w:rPr>
      </w:pPr>
      <w:r w:rsidRPr="008920BA">
        <w:rPr>
          <w:rStyle w:val="EndnoteReference"/>
          <w:rFonts w:cs="Arial"/>
          <w:szCs w:val="24"/>
        </w:rPr>
        <w:endnoteRef/>
      </w:r>
      <w:r>
        <w:rPr>
          <w:rFonts w:cs="Arial"/>
          <w:szCs w:val="24"/>
        </w:rPr>
        <w:t xml:space="preserve"> </w:t>
      </w:r>
      <w:r>
        <w:rPr>
          <w:rFonts w:cs="Arial"/>
          <w:szCs w:val="24"/>
        </w:rPr>
        <w:t xml:space="preserve">U.S. Department of Labor. January 30, 2017. “Press Release: </w:t>
      </w:r>
      <w:r w:rsidRPr="008920BA">
        <w:rPr>
          <w:rFonts w:cs="Arial"/>
          <w:szCs w:val="24"/>
        </w:rPr>
        <w:t>US Department of Labor Secures More Than $250,000 in Back Wages for Student Workers with D</w:t>
      </w:r>
      <w:r>
        <w:rPr>
          <w:rFonts w:cs="Arial"/>
          <w:szCs w:val="24"/>
        </w:rPr>
        <w:t>isabilities in Providence, R.I.”</w:t>
      </w:r>
      <w:r w:rsidRPr="008920BA">
        <w:rPr>
          <w:rFonts w:cs="Arial"/>
          <w:szCs w:val="24"/>
        </w:rPr>
        <w:t xml:space="preserve"> </w:t>
      </w:r>
      <w:hyperlink r:id="rId90" w:tooltip="https://www.dol.gov/newsroom/releases/whd/whd20140130" w:history="1">
        <w:r w:rsidRPr="00191627">
          <w:rPr>
            <w:rStyle w:val="Hyperlink"/>
            <w:rFonts w:cs="Arial"/>
            <w:szCs w:val="24"/>
          </w:rPr>
          <w:t>https://www.dol.gov/newsroom/releases/whd/whd20140130</w:t>
        </w:r>
      </w:hyperlink>
      <w:r w:rsidRPr="00191627">
        <w:rPr>
          <w:rFonts w:cs="Arial"/>
          <w:szCs w:val="24"/>
        </w:rPr>
        <w:t>.</w:t>
      </w:r>
      <w:r>
        <w:t xml:space="preserve"> </w:t>
      </w:r>
    </w:p>
  </w:endnote>
  <w:endnote w:id="242">
    <w:p w14:paraId="2272971D" w14:textId="1E97E7A6" w:rsidR="005E3498" w:rsidRPr="0011139E" w:rsidRDefault="005E3498" w:rsidP="00BA0761">
      <w:pPr>
        <w:pStyle w:val="EndnoteText"/>
        <w:rPr>
          <w:rFonts w:cs="Arial"/>
          <w:szCs w:val="24"/>
          <w:lang w:val="es-ES"/>
        </w:rPr>
      </w:pPr>
      <w:r w:rsidRPr="005764EF">
        <w:rPr>
          <w:rStyle w:val="EndnoteReference"/>
          <w:rFonts w:cs="Arial"/>
          <w:szCs w:val="24"/>
        </w:rPr>
        <w:endnoteRef/>
      </w:r>
      <w:r w:rsidRPr="005764EF">
        <w:rPr>
          <w:rFonts w:cs="Arial"/>
          <w:szCs w:val="24"/>
        </w:rPr>
        <w:t xml:space="preserve"> </w:t>
      </w:r>
      <w:r w:rsidRPr="005764EF">
        <w:rPr>
          <w:rFonts w:cs="Arial"/>
          <w:szCs w:val="24"/>
        </w:rPr>
        <w:t>U.S. Department of Labor</w:t>
      </w:r>
      <w:r>
        <w:rPr>
          <w:rFonts w:cs="Arial"/>
          <w:szCs w:val="24"/>
        </w:rPr>
        <w:t xml:space="preserve">, Wage and Hour Division. August 26, 2016. “Letter to Certificate Holders.” </w:t>
      </w:r>
      <w:hyperlink r:id="rId91" w:tooltip="https://www.dol.gov/whd/specialemployment/14cLetter_July2016.htm" w:history="1">
        <w:r w:rsidRPr="00F319A6">
          <w:rPr>
            <w:rStyle w:val="Hyperlink"/>
            <w:rFonts w:cs="Arial"/>
            <w:szCs w:val="24"/>
            <w:lang w:val="es-ES"/>
          </w:rPr>
          <w:t>https://www.dol.gov/whd/specialemployment/14cLetter_July2016.htm</w:t>
        </w:r>
      </w:hyperlink>
      <w:r w:rsidRPr="00F319A6">
        <w:rPr>
          <w:rFonts w:cs="Arial"/>
          <w:szCs w:val="24"/>
          <w:lang w:val="es-ES"/>
        </w:rPr>
        <w:t xml:space="preserve">. </w:t>
      </w:r>
      <w:r w:rsidRPr="0011139E">
        <w:rPr>
          <w:rFonts w:cs="Arial"/>
          <w:szCs w:val="24"/>
          <w:lang w:val="es-ES"/>
        </w:rPr>
        <w:t>34 C.F.R. § 397.2(a)(3).</w:t>
      </w:r>
    </w:p>
  </w:endnote>
  <w:endnote w:id="243">
    <w:p w14:paraId="211BF6E6" w14:textId="77777777" w:rsidR="005E3498" w:rsidRPr="0011139E" w:rsidRDefault="005E3498" w:rsidP="00BA0761">
      <w:pPr>
        <w:pStyle w:val="EndnoteText"/>
        <w:rPr>
          <w:rFonts w:cs="Arial"/>
          <w:szCs w:val="24"/>
          <w:lang w:val="es-ES"/>
        </w:rPr>
      </w:pPr>
      <w:r w:rsidRPr="008920BA">
        <w:rPr>
          <w:rStyle w:val="EndnoteReference"/>
          <w:rFonts w:cs="Arial"/>
          <w:szCs w:val="24"/>
        </w:rPr>
        <w:endnoteRef/>
      </w:r>
      <w:r w:rsidRPr="0011139E">
        <w:rPr>
          <w:rFonts w:cs="Arial"/>
          <w:szCs w:val="24"/>
          <w:lang w:val="es-ES"/>
        </w:rPr>
        <w:t xml:space="preserve"> </w:t>
      </w:r>
      <w:r w:rsidRPr="0011139E">
        <w:rPr>
          <w:rFonts w:cs="Arial"/>
          <w:szCs w:val="24"/>
          <w:lang w:val="es-ES"/>
        </w:rPr>
        <w:t xml:space="preserve">Ibid. </w:t>
      </w:r>
    </w:p>
  </w:endnote>
  <w:endnote w:id="244">
    <w:p w14:paraId="48DB9458" w14:textId="77777777" w:rsidR="005E3498" w:rsidRDefault="005E3498" w:rsidP="00BA0761">
      <w:pPr>
        <w:pStyle w:val="EndnoteText"/>
      </w:pPr>
      <w:r>
        <w:rPr>
          <w:rStyle w:val="EndnoteReference"/>
        </w:rPr>
        <w:endnoteRef/>
      </w:r>
      <w:r>
        <w:t xml:space="preserve"> </w:t>
      </w:r>
      <w:r w:rsidRPr="008920BA">
        <w:rPr>
          <w:rStyle w:val="apple-converted-space"/>
          <w:rFonts w:cs="Arial"/>
          <w:color w:val="000000"/>
          <w:szCs w:val="24"/>
        </w:rPr>
        <w:t>Fa</w:t>
      </w:r>
      <w:r>
        <w:rPr>
          <w:rStyle w:val="apple-converted-space"/>
          <w:rFonts w:cs="Arial"/>
          <w:color w:val="000000"/>
          <w:szCs w:val="24"/>
        </w:rPr>
        <w:t xml:space="preserve">mily and Medical </w:t>
      </w:r>
      <w:r w:rsidRPr="008920BA">
        <w:rPr>
          <w:rStyle w:val="apple-converted-space"/>
          <w:rFonts w:cs="Arial"/>
          <w:color w:val="000000"/>
          <w:szCs w:val="24"/>
        </w:rPr>
        <w:t>L</w:t>
      </w:r>
      <w:r>
        <w:rPr>
          <w:rStyle w:val="apple-converted-space"/>
          <w:rFonts w:cs="Arial"/>
          <w:color w:val="000000"/>
          <w:szCs w:val="24"/>
        </w:rPr>
        <w:t>eave</w:t>
      </w:r>
      <w:r w:rsidRPr="008920BA">
        <w:rPr>
          <w:rStyle w:val="apple-converted-space"/>
          <w:rFonts w:cs="Arial"/>
          <w:color w:val="000000"/>
          <w:szCs w:val="24"/>
        </w:rPr>
        <w:t xml:space="preserve"> A</w:t>
      </w:r>
      <w:r>
        <w:rPr>
          <w:rStyle w:val="apple-converted-space"/>
          <w:rFonts w:cs="Arial"/>
          <w:color w:val="000000"/>
          <w:szCs w:val="24"/>
        </w:rPr>
        <w:t xml:space="preserve">ct of 1993, Pub. L. 103-3, 107 Stat. 6. 29 U.S.C. </w:t>
      </w:r>
      <w:r w:rsidRPr="008920BA">
        <w:rPr>
          <w:rFonts w:cs="Arial"/>
          <w:szCs w:val="24"/>
        </w:rPr>
        <w:t xml:space="preserve">§ </w:t>
      </w:r>
      <w:r>
        <w:rPr>
          <w:rStyle w:val="apple-converted-space"/>
          <w:rFonts w:cs="Arial"/>
          <w:color w:val="000000"/>
          <w:szCs w:val="24"/>
        </w:rPr>
        <w:t>2601.</w:t>
      </w:r>
    </w:p>
  </w:endnote>
  <w:endnote w:id="245">
    <w:p w14:paraId="2AD6D60D" w14:textId="77777777" w:rsidR="005E3498" w:rsidRDefault="005E3498" w:rsidP="00BA0761">
      <w:pPr>
        <w:pStyle w:val="EndnoteText"/>
      </w:pPr>
      <w:r>
        <w:rPr>
          <w:rStyle w:val="EndnoteReference"/>
        </w:rPr>
        <w:endnoteRef/>
      </w:r>
      <w:r>
        <w:t xml:space="preserve"> </w:t>
      </w:r>
      <w:r w:rsidRPr="0086227B">
        <w:rPr>
          <w:rFonts w:cs="Arial"/>
          <w:szCs w:val="24"/>
        </w:rPr>
        <w:t>Ibid.</w:t>
      </w:r>
    </w:p>
  </w:endnote>
  <w:endnote w:id="246">
    <w:p w14:paraId="0EDE81A6" w14:textId="10D72B1B" w:rsidR="005E3498" w:rsidRPr="00B26C83" w:rsidRDefault="005E3498" w:rsidP="00BA0761">
      <w:pPr>
        <w:pStyle w:val="EndnoteText"/>
        <w:rPr>
          <w:color w:val="C00000"/>
          <w:szCs w:val="24"/>
        </w:rPr>
      </w:pPr>
      <w:r w:rsidRPr="0086227B">
        <w:rPr>
          <w:rStyle w:val="EndnoteReference"/>
        </w:rPr>
        <w:endnoteRef/>
      </w:r>
      <w:r>
        <w:t xml:space="preserve"> </w:t>
      </w:r>
      <w:r w:rsidRPr="00EF6EAF">
        <w:rPr>
          <w:rFonts w:cs="Arial"/>
          <w:szCs w:val="24"/>
        </w:rPr>
        <w:t>73 Fed. Reg. 67,934</w:t>
      </w:r>
      <w:r>
        <w:rPr>
          <w:rFonts w:cs="Arial"/>
          <w:szCs w:val="24"/>
        </w:rPr>
        <w:t xml:space="preserve"> (Nov. 17, 2008).</w:t>
      </w:r>
    </w:p>
  </w:endnote>
  <w:endnote w:id="247">
    <w:p w14:paraId="09207761" w14:textId="766C8350"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 xml:space="preserve">U.S. Department of Labor, Wage and Hour Division. FMLA Data. </w:t>
      </w:r>
      <w:hyperlink r:id="rId92" w:anchor="panel5" w:history="1">
        <w:r w:rsidRPr="008920BA">
          <w:rPr>
            <w:rStyle w:val="Hyperlink"/>
            <w:rFonts w:cs="Arial"/>
            <w:szCs w:val="24"/>
          </w:rPr>
          <w:t>https://www.dol.gov/whd/data/datatables.htm#panel5</w:t>
        </w:r>
      </w:hyperlink>
      <w:r w:rsidRPr="008920BA">
        <w:rPr>
          <w:rFonts w:cs="Arial"/>
          <w:szCs w:val="24"/>
        </w:rPr>
        <w:t>.</w:t>
      </w:r>
    </w:p>
  </w:endnote>
  <w:endnote w:id="248">
    <w:p w14:paraId="3D906EF3" w14:textId="77777777" w:rsidR="005E3498" w:rsidRDefault="005E3498" w:rsidP="00BA0761">
      <w:pPr>
        <w:pStyle w:val="EndnoteText"/>
      </w:pPr>
      <w:r w:rsidRPr="0086227B">
        <w:rPr>
          <w:rStyle w:val="EndnoteReference"/>
        </w:rPr>
        <w:endnoteRef/>
      </w:r>
      <w:r>
        <w:t xml:space="preserve"> </w:t>
      </w:r>
      <w:r w:rsidRPr="00EF6EAF">
        <w:rPr>
          <w:rFonts w:cs="Arial"/>
          <w:szCs w:val="24"/>
        </w:rPr>
        <w:t>29 C.F.R. § 825.300.</w:t>
      </w:r>
    </w:p>
  </w:endnote>
  <w:endnote w:id="249">
    <w:p w14:paraId="68FD2848" w14:textId="6382678D"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U.S. Access Board. “</w:t>
      </w:r>
      <w:r w:rsidRPr="008920BA">
        <w:rPr>
          <w:rFonts w:cs="Arial"/>
          <w:szCs w:val="24"/>
        </w:rPr>
        <w:t>About the U.S. Access Board</w:t>
      </w:r>
      <w:r>
        <w:rPr>
          <w:rFonts w:cs="Arial"/>
          <w:szCs w:val="24"/>
        </w:rPr>
        <w:t xml:space="preserve">.” </w:t>
      </w:r>
      <w:hyperlink r:id="rId93" w:tooltip="https://www.access-board.gov/the-board" w:history="1">
        <w:r w:rsidRPr="008920BA">
          <w:rPr>
            <w:rStyle w:val="Hyperlink"/>
            <w:rFonts w:cs="Arial"/>
            <w:szCs w:val="24"/>
          </w:rPr>
          <w:t>https://www.access-board.gov/the-board</w:t>
        </w:r>
      </w:hyperlink>
      <w:r w:rsidRPr="004F3572">
        <w:rPr>
          <w:rFonts w:cs="Arial"/>
          <w:szCs w:val="24"/>
        </w:rPr>
        <w:t xml:space="preserve">. </w:t>
      </w:r>
      <w:r w:rsidRPr="00F370C7">
        <w:rPr>
          <w:rStyle w:val="Hyperlink"/>
          <w:rFonts w:cs="Arial"/>
          <w:color w:val="auto"/>
          <w:szCs w:val="24"/>
          <w:u w:val="none"/>
        </w:rPr>
        <w:t xml:space="preserve">(Accessed June 24, </w:t>
      </w:r>
      <w:r>
        <w:rPr>
          <w:rStyle w:val="Hyperlink"/>
          <w:rFonts w:cs="Arial"/>
          <w:color w:val="auto"/>
          <w:szCs w:val="24"/>
          <w:u w:val="none"/>
        </w:rPr>
        <w:t>2018).</w:t>
      </w:r>
    </w:p>
  </w:endnote>
  <w:endnote w:id="250">
    <w:p w14:paraId="52FF4159" w14:textId="77777777" w:rsidR="005E3498" w:rsidRPr="0011139E" w:rsidRDefault="005E3498" w:rsidP="00BA0761">
      <w:pPr>
        <w:pStyle w:val="EndnoteText"/>
        <w:rPr>
          <w:rFonts w:cs="Arial"/>
          <w:szCs w:val="24"/>
        </w:rPr>
      </w:pPr>
      <w:r w:rsidRPr="008920BA">
        <w:rPr>
          <w:rStyle w:val="EndnoteReference"/>
          <w:rFonts w:cs="Arial"/>
          <w:szCs w:val="24"/>
        </w:rPr>
        <w:endnoteRef/>
      </w:r>
      <w:r w:rsidRPr="0011139E">
        <w:rPr>
          <w:rFonts w:cs="Arial"/>
          <w:szCs w:val="24"/>
        </w:rPr>
        <w:t xml:space="preserve"> </w:t>
      </w:r>
      <w:r w:rsidRPr="0011139E">
        <w:rPr>
          <w:rFonts w:cs="Arial"/>
          <w:szCs w:val="24"/>
        </w:rPr>
        <w:t>29 U.S.C. § 792.</w:t>
      </w:r>
    </w:p>
  </w:endnote>
  <w:endnote w:id="251">
    <w:p w14:paraId="257AE274" w14:textId="6943E827" w:rsidR="005E3498" w:rsidRPr="0011139E" w:rsidRDefault="005E3498" w:rsidP="00BA0761">
      <w:pPr>
        <w:pStyle w:val="EndnoteText"/>
        <w:rPr>
          <w:rFonts w:cs="Arial"/>
        </w:rPr>
      </w:pPr>
      <w:r>
        <w:rPr>
          <w:rStyle w:val="EndnoteReference"/>
        </w:rPr>
        <w:endnoteRef/>
      </w:r>
      <w:r w:rsidRPr="0011139E">
        <w:t xml:space="preserve"> </w:t>
      </w:r>
      <w:r w:rsidRPr="0011139E">
        <w:rPr>
          <w:rFonts w:cs="Arial"/>
          <w:szCs w:val="24"/>
        </w:rPr>
        <w:t xml:space="preserve">42 U.S.C. §§ 4151, </w:t>
      </w:r>
      <w:r w:rsidRPr="0011139E">
        <w:rPr>
          <w:rFonts w:cs="Arial"/>
          <w:i/>
          <w:szCs w:val="24"/>
        </w:rPr>
        <w:t>et seq.</w:t>
      </w:r>
    </w:p>
  </w:endnote>
  <w:endnote w:id="252">
    <w:p w14:paraId="764E3DED" w14:textId="6C89F84D"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i/>
          <w:szCs w:val="24"/>
        </w:rPr>
        <w:t xml:space="preserve"> </w:t>
      </w:r>
      <w:r w:rsidRPr="008920BA">
        <w:rPr>
          <w:rFonts w:cs="Arial"/>
          <w:szCs w:val="24"/>
        </w:rPr>
        <w:t>U.S. General Accounting Office</w:t>
      </w:r>
      <w:r>
        <w:rPr>
          <w:rFonts w:cs="Arial"/>
          <w:szCs w:val="24"/>
        </w:rPr>
        <w:t>. 1975</w:t>
      </w:r>
      <w:r w:rsidRPr="008920BA">
        <w:rPr>
          <w:rFonts w:cs="Arial"/>
          <w:szCs w:val="24"/>
        </w:rPr>
        <w:t xml:space="preserve"> </w:t>
      </w:r>
      <w:r w:rsidRPr="00F45600">
        <w:rPr>
          <w:rFonts w:cs="Arial"/>
          <w:i/>
          <w:szCs w:val="24"/>
        </w:rPr>
        <w:t>Report to Congress:</w:t>
      </w:r>
      <w:r>
        <w:rPr>
          <w:rFonts w:cs="Arial"/>
          <w:i/>
          <w:szCs w:val="24"/>
        </w:rPr>
        <w:t xml:space="preserve"> </w:t>
      </w:r>
      <w:r w:rsidRPr="00F45600">
        <w:rPr>
          <w:rFonts w:cs="Arial"/>
          <w:i/>
          <w:szCs w:val="24"/>
        </w:rPr>
        <w:t>Further Action Needed to Make All Public Buildings Accessible to The Physically Handicapped</w:t>
      </w:r>
      <w:r>
        <w:rPr>
          <w:rFonts w:cs="Arial"/>
          <w:szCs w:val="24"/>
        </w:rPr>
        <w:t xml:space="preserve">. Washington, DC: Government Accounting Office, 6. </w:t>
      </w:r>
      <w:hyperlink r:id="rId94" w:tooltip="https://www.gao.gov/assets/120/115137.pdf" w:history="1">
        <w:r w:rsidRPr="008920BA">
          <w:rPr>
            <w:rStyle w:val="Hyperlink"/>
            <w:rFonts w:cs="Arial"/>
            <w:szCs w:val="24"/>
          </w:rPr>
          <w:t>https://www.gao.gov/assets/120/115137.pdf</w:t>
        </w:r>
      </w:hyperlink>
      <w:r w:rsidRPr="008920BA">
        <w:rPr>
          <w:rFonts w:cs="Arial"/>
          <w:szCs w:val="24"/>
        </w:rPr>
        <w:t>.</w:t>
      </w:r>
    </w:p>
  </w:endnote>
  <w:endnote w:id="253">
    <w:p w14:paraId="32AA995F"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Ibid., 35.</w:t>
      </w:r>
    </w:p>
  </w:endnote>
  <w:endnote w:id="254">
    <w:p w14:paraId="55CA971E"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Ibid.</w:t>
      </w:r>
    </w:p>
  </w:endnote>
  <w:endnote w:id="255">
    <w:p w14:paraId="58145049" w14:textId="6BB8962A" w:rsidR="005E3498" w:rsidRPr="002F2538" w:rsidRDefault="005E3498" w:rsidP="00BA0761">
      <w:pPr>
        <w:pStyle w:val="CommentText"/>
        <w:spacing w:after="200"/>
        <w:rPr>
          <w:sz w:val="24"/>
          <w:szCs w:val="24"/>
        </w:rPr>
      </w:pPr>
      <w:r>
        <w:rPr>
          <w:rStyle w:val="EndnoteReference"/>
        </w:rPr>
        <w:endnoteRef/>
      </w:r>
      <w:r>
        <w:t xml:space="preserve"> </w:t>
      </w:r>
      <w:r w:rsidRPr="002F2538">
        <w:rPr>
          <w:rFonts w:ascii="Arial" w:eastAsia="Times New Roman" w:hAnsi="Arial" w:cs="Arial"/>
          <w:sz w:val="24"/>
          <w:szCs w:val="24"/>
        </w:rPr>
        <w:t>In the period 2008</w:t>
      </w:r>
      <w:r>
        <w:rPr>
          <w:rFonts w:ascii="Arial" w:eastAsia="Times New Roman" w:hAnsi="Arial" w:cs="Arial"/>
          <w:sz w:val="24"/>
          <w:szCs w:val="24"/>
        </w:rPr>
        <w:t>–</w:t>
      </w:r>
      <w:r w:rsidRPr="002F2538">
        <w:rPr>
          <w:rFonts w:ascii="Arial" w:eastAsia="Times New Roman" w:hAnsi="Arial" w:cs="Arial"/>
          <w:sz w:val="24"/>
          <w:szCs w:val="24"/>
        </w:rPr>
        <w:t xml:space="preserve">2018, it has convened committees on telecommunications and </w:t>
      </w:r>
      <w:r w:rsidRPr="002F2538">
        <w:rPr>
          <w:rFonts w:ascii="Arial" w:eastAsia="Times New Roman" w:hAnsi="Arial" w:cs="Arial"/>
          <w:sz w:val="24"/>
          <w:szCs w:val="24"/>
        </w:rPr>
        <w:t>electronic and information technology (2006</w:t>
      </w:r>
      <w:r>
        <w:rPr>
          <w:rFonts w:ascii="Arial" w:eastAsia="Times New Roman" w:hAnsi="Arial" w:cs="Arial"/>
          <w:sz w:val="24"/>
          <w:szCs w:val="24"/>
        </w:rPr>
        <w:t>–</w:t>
      </w:r>
      <w:r w:rsidRPr="002F2538">
        <w:rPr>
          <w:rFonts w:ascii="Arial" w:eastAsia="Times New Roman" w:hAnsi="Arial" w:cs="Arial"/>
          <w:sz w:val="24"/>
          <w:szCs w:val="24"/>
        </w:rPr>
        <w:t>2008); emergency transportable housing (2007</w:t>
      </w:r>
      <w:r>
        <w:rPr>
          <w:rFonts w:ascii="Arial" w:eastAsia="Times New Roman" w:hAnsi="Arial" w:cs="Arial"/>
          <w:sz w:val="24"/>
          <w:szCs w:val="24"/>
        </w:rPr>
        <w:t>–</w:t>
      </w:r>
      <w:r w:rsidRPr="002F2538">
        <w:rPr>
          <w:rFonts w:ascii="Arial" w:eastAsia="Times New Roman" w:hAnsi="Arial" w:cs="Arial"/>
          <w:sz w:val="24"/>
          <w:szCs w:val="24"/>
        </w:rPr>
        <w:t>2008); passenger vessels emergency alarms (2007-2008); medical diagnostic equipment accessibility standards (2012</w:t>
      </w:r>
      <w:r>
        <w:rPr>
          <w:rFonts w:ascii="Arial" w:eastAsia="Times New Roman" w:hAnsi="Arial" w:cs="Arial"/>
          <w:sz w:val="24"/>
          <w:szCs w:val="24"/>
        </w:rPr>
        <w:t>–</w:t>
      </w:r>
      <w:r w:rsidRPr="002F2538">
        <w:rPr>
          <w:rFonts w:ascii="Arial" w:eastAsia="Times New Roman" w:hAnsi="Arial" w:cs="Arial"/>
          <w:sz w:val="24"/>
          <w:szCs w:val="24"/>
        </w:rPr>
        <w:t>2013); and rail vehicles access (2013</w:t>
      </w:r>
      <w:r>
        <w:rPr>
          <w:rFonts w:ascii="Arial" w:eastAsia="Times New Roman" w:hAnsi="Arial" w:cs="Arial"/>
          <w:sz w:val="24"/>
          <w:szCs w:val="24"/>
        </w:rPr>
        <w:t>–</w:t>
      </w:r>
      <w:r w:rsidRPr="002F2538">
        <w:rPr>
          <w:rFonts w:ascii="Arial" w:eastAsia="Times New Roman" w:hAnsi="Arial" w:cs="Arial"/>
          <w:sz w:val="24"/>
          <w:szCs w:val="24"/>
        </w:rPr>
        <w:t>2015).</w:t>
      </w:r>
    </w:p>
  </w:endnote>
  <w:endnote w:id="256">
    <w:p w14:paraId="1E58DA10" w14:textId="25CF6E09"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 xml:space="preserve">U.S. Access Board. “Fiscal Year 2019 Budget Justification.” </w:t>
      </w:r>
      <w:hyperlink r:id="rId95" w:tooltip="https://www.access-board.gov/the-board/budget-and-performance/budget-justification" w:history="1">
        <w:r w:rsidRPr="008920BA">
          <w:rPr>
            <w:rStyle w:val="Hyperlink"/>
            <w:rFonts w:cs="Arial"/>
            <w:szCs w:val="24"/>
          </w:rPr>
          <w:t>https://www.access-board.gov/the-board/budget-and-performance/budget-justification</w:t>
        </w:r>
      </w:hyperlink>
      <w:r w:rsidRPr="008920BA">
        <w:rPr>
          <w:rFonts w:cs="Arial"/>
          <w:szCs w:val="24"/>
        </w:rP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p>
  </w:endnote>
  <w:endnote w:id="257">
    <w:p w14:paraId="51B24D9C" w14:textId="10C9E41C"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i/>
          <w:szCs w:val="24"/>
        </w:rPr>
        <w:t xml:space="preserve"> </w:t>
      </w:r>
      <w:r w:rsidRPr="00EF6EAF">
        <w:rPr>
          <w:rFonts w:cs="Arial"/>
          <w:szCs w:val="24"/>
        </w:rPr>
        <w:t>Ibid.,</w:t>
      </w:r>
      <w:r>
        <w:rPr>
          <w:rFonts w:cs="Arial"/>
          <w:szCs w:val="24"/>
        </w:rPr>
        <w:t xml:space="preserve"> </w:t>
      </w:r>
      <w:r w:rsidRPr="008920BA">
        <w:rPr>
          <w:rFonts w:cs="Arial"/>
          <w:szCs w:val="24"/>
        </w:rPr>
        <w:t>12.</w:t>
      </w:r>
      <w:r>
        <w:t xml:space="preserve"> </w:t>
      </w:r>
      <w:r w:rsidRPr="00493EF1">
        <w:rPr>
          <w:rFonts w:cs="Arial"/>
          <w:szCs w:val="24"/>
        </w:rPr>
        <w:t>A</w:t>
      </w:r>
      <w:r>
        <w:rPr>
          <w:rFonts w:cs="Arial"/>
          <w:szCs w:val="24"/>
        </w:rPr>
        <w:t xml:space="preserve"> prior a</w:t>
      </w:r>
      <w:r w:rsidRPr="00493EF1">
        <w:rPr>
          <w:rFonts w:cs="Arial"/>
          <w:szCs w:val="24"/>
        </w:rPr>
        <w:t>dvance</w:t>
      </w:r>
      <w:r>
        <w:rPr>
          <w:rFonts w:cs="Arial"/>
          <w:szCs w:val="24"/>
        </w:rPr>
        <w:t>d</w:t>
      </w:r>
      <w:r w:rsidRPr="00493EF1">
        <w:rPr>
          <w:rFonts w:cs="Arial"/>
          <w:szCs w:val="24"/>
        </w:rPr>
        <w:t xml:space="preserve"> notice of a proposed rule on self-service transaction machines (e.g., kiosks, point-of-sale ma</w:t>
      </w:r>
      <w:r>
        <w:rPr>
          <w:rFonts w:cs="Arial"/>
          <w:szCs w:val="24"/>
        </w:rPr>
        <w:t>chines, self-checkout machines) is no longer on the Board’s agenda.</w:t>
      </w:r>
    </w:p>
  </w:endnote>
  <w:endnote w:id="258">
    <w:p w14:paraId="4058438C" w14:textId="3C49FC1D" w:rsidR="005E3498" w:rsidRPr="00F952DF"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F952DF">
        <w:rPr>
          <w:rFonts w:cs="Arial"/>
          <w:szCs w:val="24"/>
        </w:rPr>
        <w:t>Architectural and Transportation Barriers Compliance Board</w:t>
      </w:r>
      <w:r>
        <w:rPr>
          <w:rFonts w:cs="Arial"/>
          <w:szCs w:val="24"/>
        </w:rPr>
        <w:t xml:space="preserve">. </w:t>
      </w:r>
      <w:r w:rsidRPr="008920BA">
        <w:rPr>
          <w:rFonts w:cs="Arial"/>
          <w:szCs w:val="24"/>
        </w:rPr>
        <w:t>ADA Accessibility Guidelines for Pa</w:t>
      </w:r>
      <w:r>
        <w:rPr>
          <w:rFonts w:cs="Arial"/>
          <w:szCs w:val="24"/>
        </w:rPr>
        <w:t xml:space="preserve">ssenger Vessels, RIN 3014-AA11. </w:t>
      </w:r>
      <w:hyperlink r:id="rId96" w:tooltip="https://www.reginfo.gov/public/do/eAgendaViewRule?pubId=201710&amp;RIN=3014-AA11" w:history="1">
        <w:r w:rsidRPr="004807DD">
          <w:rPr>
            <w:rStyle w:val="Hyperlink"/>
            <w:rFonts w:cs="Arial"/>
            <w:szCs w:val="24"/>
          </w:rPr>
          <w:t>https://www.reginfo.gov/public/do/eAgendaViewRule?pubId=201710&amp;RIN=3014-AA11</w:t>
        </w:r>
      </w:hyperlink>
      <w:r>
        <w:rPr>
          <w:rFonts w:cs="Arial"/>
          <w:szCs w:val="24"/>
        </w:rPr>
        <w:t>.</w:t>
      </w:r>
      <w:r w:rsidRPr="009416E5">
        <w:rPr>
          <w:rStyle w:val="Hyperlink"/>
          <w:rFonts w:cs="Arial"/>
          <w:szCs w:val="24"/>
        </w:rP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r w:rsidRPr="00BC5EA5">
        <w:rPr>
          <w:rFonts w:cs="Arial"/>
          <w:szCs w:val="24"/>
        </w:rPr>
        <w:t xml:space="preserve"> </w:t>
      </w:r>
      <w:r w:rsidRPr="008920BA">
        <w:rPr>
          <w:rFonts w:cs="Arial"/>
          <w:szCs w:val="24"/>
        </w:rPr>
        <w:t>Accessibility Guidelines for Pedestrian Facilities in the Public Right-of-Way, RIN 3014-AA26</w:t>
      </w:r>
      <w:r>
        <w:rPr>
          <w:rFonts w:cs="Arial"/>
          <w:szCs w:val="24"/>
        </w:rPr>
        <w:t>.</w:t>
      </w:r>
      <w:r w:rsidRPr="008920BA">
        <w:rPr>
          <w:rFonts w:cs="Arial"/>
          <w:szCs w:val="24"/>
        </w:rPr>
        <w:t xml:space="preserve"> </w:t>
      </w:r>
      <w:hyperlink r:id="rId97" w:tooltip="https://www.reginfo.gov/public/do/eAgendaViewRule?pubId=201710&amp;RIN=3014-AA26" w:history="1">
        <w:r w:rsidRPr="004807DD">
          <w:rPr>
            <w:rStyle w:val="Hyperlink"/>
            <w:rFonts w:cs="Arial"/>
            <w:szCs w:val="24"/>
          </w:rPr>
          <w:t>https://www.reginfo.gov/public/do/eAgendaViewRule?pubId=201710&amp;RIN=3014-AA26</w:t>
        </w:r>
      </w:hyperlink>
      <w:r>
        <w:rPr>
          <w:rFonts w:cs="Arial"/>
          <w:szCs w:val="24"/>
        </w:rP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p>
  </w:endnote>
  <w:endnote w:id="259">
    <w:p w14:paraId="15241E97" w14:textId="01D7AA9E" w:rsidR="005E3498" w:rsidRPr="008920BA" w:rsidRDefault="005E3498" w:rsidP="00BA0761">
      <w:pPr>
        <w:pStyle w:val="EndnoteText"/>
        <w:rPr>
          <w:rFonts w:cs="Arial"/>
          <w:szCs w:val="24"/>
        </w:rPr>
      </w:pPr>
      <w:r w:rsidRPr="008920BA">
        <w:rPr>
          <w:rStyle w:val="EndnoteReference"/>
          <w:rFonts w:cs="Arial"/>
          <w:szCs w:val="24"/>
        </w:rPr>
        <w:endnoteRef/>
      </w:r>
      <w:r>
        <w:rPr>
          <w:rFonts w:cs="Arial"/>
          <w:szCs w:val="24"/>
        </w:rPr>
        <w:t xml:space="preserve"> </w:t>
      </w:r>
      <w:r w:rsidRPr="008920BA">
        <w:rPr>
          <w:rFonts w:cs="Arial"/>
          <w:szCs w:val="24"/>
        </w:rPr>
        <w:t>Architectu</w:t>
      </w:r>
      <w:r>
        <w:rPr>
          <w:rFonts w:cs="Arial"/>
          <w:szCs w:val="24"/>
        </w:rPr>
        <w:t>ral and Transportation Barriers</w:t>
      </w:r>
      <w:r w:rsidRPr="006B66CB">
        <w:rPr>
          <w:rFonts w:cs="Arial"/>
          <w:szCs w:val="24"/>
        </w:rPr>
        <w:t xml:space="preserve"> </w:t>
      </w:r>
      <w:r w:rsidRPr="008920BA">
        <w:rPr>
          <w:rFonts w:cs="Arial"/>
          <w:szCs w:val="24"/>
        </w:rPr>
        <w:t>Compliance Board</w:t>
      </w:r>
      <w:r>
        <w:rPr>
          <w:rFonts w:cs="Arial"/>
          <w:szCs w:val="24"/>
        </w:rPr>
        <w:t>. “</w:t>
      </w:r>
      <w:r w:rsidRPr="008920BA">
        <w:rPr>
          <w:rFonts w:cs="Arial"/>
          <w:szCs w:val="24"/>
        </w:rPr>
        <w:t>Historical Unified Regulatory Agenda</w:t>
      </w:r>
      <w:r>
        <w:rPr>
          <w:rFonts w:cs="Arial"/>
          <w:szCs w:val="24"/>
        </w:rPr>
        <w:t>,”</w:t>
      </w:r>
      <w:r w:rsidRPr="008920BA">
        <w:rPr>
          <w:rFonts w:cs="Arial"/>
          <w:szCs w:val="24"/>
        </w:rPr>
        <w:t xml:space="preserve"> RIN 3014-AA11</w:t>
      </w:r>
      <w:r>
        <w:rPr>
          <w:rFonts w:cs="Arial"/>
          <w:szCs w:val="24"/>
        </w:rPr>
        <w:t>.</w:t>
      </w:r>
      <w:r w:rsidRPr="008920BA">
        <w:rPr>
          <w:rFonts w:cs="Arial"/>
          <w:szCs w:val="24"/>
        </w:rPr>
        <w:t xml:space="preserve"> </w:t>
      </w:r>
      <w:hyperlink r:id="rId98" w:tooltip="https://www.reginfo.gov/public/do/eAgendaViewRule?pubId=201610&amp;RIN=3014-AA11" w:history="1">
        <w:r w:rsidRPr="008920BA">
          <w:rPr>
            <w:rStyle w:val="Hyperlink"/>
            <w:rFonts w:cs="Arial"/>
            <w:szCs w:val="24"/>
          </w:rPr>
          <w:t>https://www.reginfo.gov/public/do/eAgendaViewRule?pubId=201610&amp;RIN=3014-AA11</w:t>
        </w:r>
      </w:hyperlink>
      <w:r w:rsidRPr="008920BA">
        <w:rPr>
          <w:rFonts w:cs="Arial"/>
          <w:szCs w:val="24"/>
        </w:rPr>
        <w:t>.</w:t>
      </w:r>
      <w:r w:rsidRPr="009416E5">
        <w:rPr>
          <w:rStyle w:val="Hyperlink"/>
          <w:rFonts w:cs="Arial"/>
          <w:szCs w:val="24"/>
        </w:rP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r w:rsidRPr="00BC5EA5">
        <w:rPr>
          <w:rFonts w:cs="Arial"/>
          <w:szCs w:val="24"/>
        </w:rPr>
        <w:t xml:space="preserve"> </w:t>
      </w:r>
    </w:p>
  </w:endnote>
  <w:endnote w:id="260">
    <w:p w14:paraId="25B63A55" w14:textId="73BFD35E"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Architectural and Transportation Barriers Compliance Board, Historical Unified Regulatory Agenda, RIN 3014-AA26</w:t>
      </w:r>
      <w:r>
        <w:rPr>
          <w:rFonts w:cs="Arial"/>
          <w:szCs w:val="24"/>
        </w:rPr>
        <w:t>.</w:t>
      </w:r>
      <w:r w:rsidRPr="006B66CB">
        <w:rPr>
          <w:rFonts w:cs="Arial"/>
          <w:szCs w:val="24"/>
        </w:rPr>
        <w:t xml:space="preserve"> </w:t>
      </w:r>
      <w:hyperlink r:id="rId99" w:tooltip="https://www.reginfo.gov/public/do/eAgendaViewRule?pubId=201610&amp;RIN=3014-AA26" w:history="1">
        <w:r w:rsidRPr="008920BA">
          <w:rPr>
            <w:rStyle w:val="Hyperlink"/>
            <w:rFonts w:cs="Arial"/>
            <w:szCs w:val="24"/>
          </w:rPr>
          <w:t>https://www.reginfo.gov/public/do/eAgendaViewRule?pubId=201610&amp;RIN=3014-AA26</w:t>
        </w:r>
      </w:hyperlink>
      <w:r w:rsidRPr="008920BA">
        <w:rPr>
          <w:rFonts w:cs="Arial"/>
          <w:szCs w:val="24"/>
        </w:rP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p>
  </w:endnote>
  <w:endnote w:id="261">
    <w:p w14:paraId="5AE8A08D" w14:textId="08592023"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Executive Order 13771</w:t>
      </w:r>
      <w:r>
        <w:rPr>
          <w:rFonts w:cs="Arial"/>
          <w:szCs w:val="24"/>
        </w:rPr>
        <w:t xml:space="preserve">. </w:t>
      </w:r>
      <w:r w:rsidRPr="00A65D88">
        <w:rPr>
          <w:rFonts w:cs="Arial"/>
          <w:szCs w:val="24"/>
        </w:rPr>
        <w:t>January 30, 2017</w:t>
      </w:r>
      <w:r>
        <w:rPr>
          <w:rFonts w:cs="Arial"/>
          <w:szCs w:val="24"/>
        </w:rPr>
        <w:t xml:space="preserve">. </w:t>
      </w:r>
      <w:hyperlink r:id="rId100" w:tooltip="https://www.federalregister.gov/documents/2017/02/03/2017-02451/reducing-regulation-and-controlling-regulatory-costs" w:history="1">
        <w:r w:rsidRPr="008920BA">
          <w:rPr>
            <w:rStyle w:val="Hyperlink"/>
            <w:rFonts w:cs="Arial"/>
            <w:szCs w:val="24"/>
          </w:rPr>
          <w:t>https://www.federalregister.gov/documents/2017/02/03/2017-02451/reducing-regulation-and-controlling-regulatory-costs</w:t>
        </w:r>
      </w:hyperlink>
      <w:r w:rsidRPr="008920BA">
        <w:rPr>
          <w:rFonts w:cs="Arial"/>
          <w:szCs w:val="24"/>
        </w:rPr>
        <w:t xml:space="preserve">. </w:t>
      </w:r>
    </w:p>
  </w:endnote>
  <w:endnote w:id="262">
    <w:p w14:paraId="29641A9D" w14:textId="4D01C3CA"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6B66CB">
        <w:rPr>
          <w:rFonts w:cs="Arial"/>
          <w:szCs w:val="24"/>
        </w:rPr>
        <w:t>Access Board</w:t>
      </w:r>
      <w:r>
        <w:rPr>
          <w:rFonts w:cs="Arial"/>
          <w:szCs w:val="24"/>
        </w:rPr>
        <w:t>. “</w:t>
      </w:r>
      <w:r w:rsidRPr="006B66CB">
        <w:rPr>
          <w:rFonts w:cs="Arial"/>
          <w:szCs w:val="24"/>
        </w:rPr>
        <w:t>Completed Research</w:t>
      </w:r>
      <w:r>
        <w:rPr>
          <w:rFonts w:cs="Arial"/>
          <w:szCs w:val="24"/>
        </w:rPr>
        <w:t>.”</w:t>
      </w:r>
      <w:r w:rsidRPr="006B66CB">
        <w:rPr>
          <w:rFonts w:cs="Arial"/>
          <w:szCs w:val="24"/>
        </w:rPr>
        <w:t xml:space="preserve"> </w:t>
      </w:r>
      <w:hyperlink r:id="rId101" w:tooltip="https://www.access-board.gov/research/completed-research" w:history="1">
        <w:r w:rsidRPr="008920BA">
          <w:rPr>
            <w:rStyle w:val="Hyperlink"/>
            <w:rFonts w:cs="Arial"/>
            <w:szCs w:val="24"/>
          </w:rPr>
          <w:t>https://www.access-board.gov/research/completed-research</w:t>
        </w:r>
      </w:hyperlink>
      <w:r w:rsidRPr="008920BA">
        <w:rPr>
          <w:rFonts w:cs="Arial"/>
          <w:szCs w:val="24"/>
        </w:rPr>
        <w:t>.</w:t>
      </w:r>
      <w:r w:rsidRPr="00F370C7">
        <w:rPr>
          <w:rStyle w:val="Hyperlink"/>
          <w:rFonts w:cs="Arial"/>
          <w:color w:val="auto"/>
          <w:szCs w:val="24"/>
          <w:u w:val="none"/>
        </w:rPr>
        <w:t xml:space="preserve"> (Accessed June 25, </w:t>
      </w:r>
      <w:r>
        <w:rPr>
          <w:rStyle w:val="Hyperlink"/>
          <w:rFonts w:cs="Arial"/>
          <w:color w:val="auto"/>
          <w:szCs w:val="24"/>
          <w:u w:val="none"/>
        </w:rPr>
        <w:t>2018).</w:t>
      </w:r>
    </w:p>
  </w:endnote>
  <w:endnote w:id="263">
    <w:p w14:paraId="005DC744" w14:textId="6AF26E3B" w:rsidR="005E3498" w:rsidRPr="008920BA" w:rsidRDefault="005E3498" w:rsidP="00BA0761">
      <w:pPr>
        <w:pStyle w:val="EndnoteText"/>
        <w:rPr>
          <w:rFonts w:cs="Arial"/>
          <w:szCs w:val="24"/>
        </w:rPr>
      </w:pPr>
      <w:r w:rsidRPr="008920BA">
        <w:rPr>
          <w:rStyle w:val="EndnoteReference"/>
          <w:rFonts w:cs="Arial"/>
          <w:szCs w:val="24"/>
        </w:rPr>
        <w:endnoteRef/>
      </w:r>
      <w:r>
        <w:rPr>
          <w:rFonts w:cs="Arial"/>
          <w:szCs w:val="24"/>
        </w:rPr>
        <w:t xml:space="preserve"> </w:t>
      </w:r>
      <w:r w:rsidRPr="006B66CB">
        <w:rPr>
          <w:rFonts w:cs="Arial"/>
          <w:szCs w:val="24"/>
        </w:rPr>
        <w:t>GSA Government-wide IT Accessibility Program</w:t>
      </w:r>
      <w:r>
        <w:rPr>
          <w:rFonts w:cs="Arial"/>
          <w:szCs w:val="24"/>
        </w:rPr>
        <w:t>.</w:t>
      </w:r>
      <w:r w:rsidRPr="006B66CB">
        <w:rPr>
          <w:rFonts w:cs="Arial"/>
          <w:szCs w:val="24"/>
        </w:rPr>
        <w:t xml:space="preserve"> </w:t>
      </w:r>
      <w:r>
        <w:rPr>
          <w:rFonts w:cs="Arial"/>
          <w:szCs w:val="24"/>
        </w:rPr>
        <w:t>“</w:t>
      </w:r>
      <w:r w:rsidRPr="006B66CB">
        <w:rPr>
          <w:rFonts w:cs="Arial"/>
          <w:szCs w:val="24"/>
        </w:rPr>
        <w:t>Monitoring and Report</w:t>
      </w:r>
      <w:r>
        <w:rPr>
          <w:rFonts w:cs="Arial"/>
          <w:szCs w:val="24"/>
        </w:rPr>
        <w:t xml:space="preserve">.” </w:t>
      </w:r>
      <w:hyperlink r:id="rId102" w:tooltip="https://section508.gov/manage/reporting" w:history="1">
        <w:r w:rsidRPr="00C636E0">
          <w:rPr>
            <w:rStyle w:val="Hyperlink"/>
            <w:rFonts w:cs="Arial"/>
            <w:szCs w:val="24"/>
          </w:rPr>
          <w:t>https://section508.gov/manage/reporting</w:t>
        </w:r>
      </w:hyperlink>
      <w:r w:rsidRPr="00F370C7">
        <w:rPr>
          <w:rStyle w:val="Hyperlink"/>
          <w:rFonts w:cs="Arial"/>
          <w:color w:val="auto"/>
          <w:szCs w:val="24"/>
          <w:u w:val="none"/>
        </w:rPr>
        <w:t xml:space="preserve">. (Accessed June 25, </w:t>
      </w:r>
      <w:r>
        <w:rPr>
          <w:rStyle w:val="Hyperlink"/>
          <w:rFonts w:cs="Arial"/>
          <w:color w:val="auto"/>
          <w:szCs w:val="24"/>
          <w:u w:val="none"/>
        </w:rPr>
        <w:t>2018).</w:t>
      </w:r>
    </w:p>
  </w:endnote>
  <w:endnote w:id="264">
    <w:p w14:paraId="28B22118"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29 U.S.C. § </w:t>
      </w:r>
      <w:r w:rsidRPr="008920BA">
        <w:rPr>
          <w:rFonts w:cs="Arial"/>
          <w:szCs w:val="24"/>
        </w:rPr>
        <w:t>794d(d).</w:t>
      </w:r>
    </w:p>
  </w:endnote>
  <w:endnote w:id="265">
    <w:p w14:paraId="54AC61B2" w14:textId="255FAC75"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6B66CB">
        <w:rPr>
          <w:rFonts w:cs="Arial"/>
          <w:szCs w:val="24"/>
        </w:rPr>
        <w:t>Department of Justice</w:t>
      </w:r>
      <w:r>
        <w:rPr>
          <w:rFonts w:cs="Arial"/>
          <w:szCs w:val="24"/>
        </w:rPr>
        <w:t>.</w:t>
      </w:r>
      <w:r w:rsidRPr="006B66CB">
        <w:rPr>
          <w:rFonts w:cs="Arial"/>
          <w:szCs w:val="24"/>
        </w:rPr>
        <w:t xml:space="preserve"> </w:t>
      </w:r>
      <w:r>
        <w:rPr>
          <w:rFonts w:cs="Arial"/>
          <w:szCs w:val="24"/>
        </w:rPr>
        <w:t>“</w:t>
      </w:r>
      <w:r w:rsidRPr="006B66CB">
        <w:rPr>
          <w:rFonts w:cs="Arial"/>
          <w:szCs w:val="24"/>
        </w:rPr>
        <w:t>Section 508 Home Page</w:t>
      </w:r>
      <w:r>
        <w:rPr>
          <w:rFonts w:cs="Arial"/>
          <w:szCs w:val="24"/>
        </w:rPr>
        <w:t>.”</w:t>
      </w:r>
      <w:r w:rsidRPr="006B66CB">
        <w:rPr>
          <w:rFonts w:cs="Arial"/>
          <w:szCs w:val="24"/>
        </w:rPr>
        <w:t xml:space="preserve"> </w:t>
      </w:r>
      <w:hyperlink r:id="rId103" w:tooltip="https://www.justice.gov/crt/section-508-home-page-0" w:history="1">
        <w:r w:rsidRPr="008920BA">
          <w:rPr>
            <w:rStyle w:val="Hyperlink"/>
            <w:rFonts w:cs="Arial"/>
            <w:szCs w:val="24"/>
          </w:rPr>
          <w:t>https://www.justice.gov/crt/section-508-home-page-0</w:t>
        </w:r>
      </w:hyperlink>
      <w:r w:rsidRPr="00BC5EA5">
        <w:rPr>
          <w:rFonts w:cs="Arial"/>
          <w:szCs w:val="24"/>
        </w:rP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p>
  </w:endnote>
  <w:endnote w:id="266">
    <w:p w14:paraId="742CD8EE"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29 U.S.C. § </w:t>
      </w:r>
      <w:r w:rsidRPr="008920BA">
        <w:rPr>
          <w:rFonts w:cs="Arial"/>
          <w:szCs w:val="24"/>
        </w:rPr>
        <w:t>794d(a)(3).</w:t>
      </w:r>
    </w:p>
  </w:endnote>
  <w:endnote w:id="267">
    <w:p w14:paraId="778B188B"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36 C.F.R. §1150.41(e).</w:t>
      </w:r>
    </w:p>
  </w:endnote>
  <w:endnote w:id="268">
    <w:p w14:paraId="2E3996E4" w14:textId="36EABA86" w:rsidR="005E3498" w:rsidRPr="008920BA" w:rsidRDefault="005E3498" w:rsidP="00BA0761">
      <w:pPr>
        <w:spacing w:after="200" w:line="240" w:lineRule="auto"/>
        <w:rPr>
          <w:rFonts w:ascii="Arial" w:eastAsia="Times New Roman" w:hAnsi="Arial" w:cs="Arial"/>
          <w:szCs w:val="24"/>
        </w:rPr>
      </w:pPr>
      <w:r w:rsidRPr="008920BA">
        <w:rPr>
          <w:rStyle w:val="EndnoteReference"/>
          <w:rFonts w:cs="Arial"/>
          <w:szCs w:val="24"/>
        </w:rPr>
        <w:endnoteRef/>
      </w:r>
      <w:r w:rsidRPr="008920BA">
        <w:rPr>
          <w:rFonts w:ascii="Arial" w:hAnsi="Arial" w:cs="Arial"/>
          <w:szCs w:val="24"/>
        </w:rPr>
        <w:t xml:space="preserve"> </w:t>
      </w:r>
      <w:r w:rsidRPr="008920BA">
        <w:rPr>
          <w:rFonts w:ascii="Arial" w:eastAsia="Times New Roman" w:hAnsi="Arial" w:cs="Arial"/>
          <w:szCs w:val="24"/>
        </w:rPr>
        <w:t xml:space="preserve">Summary of </w:t>
      </w:r>
      <w:r>
        <w:rPr>
          <w:rFonts w:ascii="Arial" w:eastAsia="Times New Roman" w:hAnsi="Arial" w:cs="Arial"/>
          <w:szCs w:val="24"/>
        </w:rPr>
        <w:t>FY</w:t>
      </w:r>
      <w:r w:rsidRPr="008920BA">
        <w:rPr>
          <w:rFonts w:ascii="Arial" w:eastAsia="Times New Roman" w:hAnsi="Arial" w:cs="Arial"/>
          <w:szCs w:val="24"/>
        </w:rPr>
        <w:t xml:space="preserve"> 2016 Federal Real Property P</w:t>
      </w:r>
      <w:r>
        <w:rPr>
          <w:rFonts w:ascii="Arial" w:eastAsia="Times New Roman" w:hAnsi="Arial" w:cs="Arial"/>
          <w:szCs w:val="24"/>
        </w:rPr>
        <w:t xml:space="preserve">rofile (FRPP) Open Data Set, </w:t>
      </w:r>
      <w:r w:rsidRPr="007943AF">
        <w:rPr>
          <w:rFonts w:ascii="Arial" w:eastAsia="Times New Roman" w:hAnsi="Arial" w:cs="Arial"/>
          <w:szCs w:val="24"/>
        </w:rPr>
        <w:t>1</w:t>
      </w:r>
      <w:r>
        <w:rPr>
          <w:rFonts w:ascii="Arial" w:eastAsia="Times New Roman" w:hAnsi="Arial" w:cs="Arial"/>
          <w:szCs w:val="24"/>
        </w:rPr>
        <w:t xml:space="preserve">. </w:t>
      </w:r>
      <w:hyperlink r:id="rId104" w:tooltip="https://www.gsa.gov/cdnstatic/FY2016_FRPP_Summary_of_Findings_Real_Property_Data_Set.pdf" w:history="1">
        <w:r w:rsidRPr="008920BA">
          <w:rPr>
            <w:rStyle w:val="Hyperlink"/>
            <w:rFonts w:eastAsia="Times New Roman" w:cs="Arial"/>
            <w:szCs w:val="24"/>
          </w:rPr>
          <w:t>https://www.gsa.gov/cdnstatic/FY2016_FRPP_Summary_of_Findings_Real_Property_Data_Set.pdf</w:t>
        </w:r>
      </w:hyperlink>
      <w:r w:rsidRPr="00BC5EA5">
        <w:rPr>
          <w:rFonts w:ascii="Arial" w:eastAsia="Times New Roman" w:hAnsi="Arial" w:cs="Arial"/>
          <w:szCs w:val="24"/>
        </w:rP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p>
  </w:endnote>
  <w:endnote w:id="269">
    <w:p w14:paraId="725E6F2F"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36 C.F.R. § 1150.3; 36 C.F.R. § 1150.41.</w:t>
      </w:r>
    </w:p>
  </w:endnote>
  <w:endnote w:id="270">
    <w:p w14:paraId="2BDC4D6B"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36 C.F.R. § 1150.11.</w:t>
      </w:r>
    </w:p>
  </w:endnote>
  <w:endnote w:id="271">
    <w:p w14:paraId="3D92D8B7"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36 C.F.R. § 1150.12.</w:t>
      </w:r>
    </w:p>
  </w:endnote>
  <w:endnote w:id="272">
    <w:p w14:paraId="4590ABF6"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6B66CB">
        <w:rPr>
          <w:rFonts w:cs="Arial"/>
          <w:szCs w:val="24"/>
        </w:rPr>
        <w:t>36 C.F.R. § 1150.41.</w:t>
      </w:r>
    </w:p>
  </w:endnote>
  <w:endnote w:id="273">
    <w:p w14:paraId="5A21E125" w14:textId="77777777" w:rsidR="005E3498" w:rsidRPr="008920BA" w:rsidRDefault="005E3498" w:rsidP="00BA0761">
      <w:pPr>
        <w:pStyle w:val="EndnoteText"/>
        <w:rPr>
          <w:rFonts w:cs="Arial"/>
          <w:i/>
          <w:szCs w:val="24"/>
        </w:rPr>
      </w:pPr>
      <w:r w:rsidRPr="008920BA">
        <w:rPr>
          <w:rStyle w:val="EndnoteReference"/>
          <w:rFonts w:cs="Arial"/>
          <w:szCs w:val="24"/>
        </w:rPr>
        <w:endnoteRef/>
      </w:r>
      <w:r w:rsidRPr="008920BA">
        <w:rPr>
          <w:rFonts w:cs="Arial"/>
          <w:szCs w:val="24"/>
        </w:rPr>
        <w:t xml:space="preserve"> </w:t>
      </w:r>
      <w:r w:rsidRPr="00EF6EAF">
        <w:rPr>
          <w:rFonts w:cs="Arial"/>
          <w:szCs w:val="24"/>
        </w:rPr>
        <w:t>Ibid.</w:t>
      </w:r>
    </w:p>
  </w:endnote>
  <w:endnote w:id="274">
    <w:p w14:paraId="60C72E0B"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36 C.F.R. § 1150.42(a).</w:t>
      </w:r>
    </w:p>
  </w:endnote>
  <w:endnote w:id="275">
    <w:p w14:paraId="543E4186"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11139E">
        <w:rPr>
          <w:rFonts w:cs="Arial"/>
          <w:szCs w:val="24"/>
        </w:rPr>
        <w:t>Ibid</w:t>
      </w:r>
      <w:r w:rsidRPr="008920BA">
        <w:rPr>
          <w:rFonts w:cs="Arial"/>
          <w:i/>
          <w:szCs w:val="24"/>
        </w:rPr>
        <w:t>.</w:t>
      </w:r>
      <w:r w:rsidRPr="008920BA">
        <w:rPr>
          <w:rFonts w:cs="Arial"/>
          <w:szCs w:val="24"/>
        </w:rPr>
        <w:t xml:space="preserve"> at § 1150.42(c).</w:t>
      </w:r>
    </w:p>
  </w:endnote>
  <w:endnote w:id="276">
    <w:p w14:paraId="7364903D"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36 C.F.R. § 1150.43.</w:t>
      </w:r>
    </w:p>
  </w:endnote>
  <w:endnote w:id="277">
    <w:p w14:paraId="73FE56D6" w14:textId="77777777" w:rsidR="005E3498" w:rsidRPr="0011139E" w:rsidRDefault="005E3498" w:rsidP="00BA0761">
      <w:pPr>
        <w:pStyle w:val="EndnoteText"/>
        <w:rPr>
          <w:rFonts w:cs="Arial"/>
          <w:szCs w:val="24"/>
        </w:rPr>
      </w:pPr>
      <w:r w:rsidRPr="008920BA">
        <w:rPr>
          <w:rStyle w:val="EndnoteReference"/>
          <w:rFonts w:cs="Arial"/>
          <w:szCs w:val="24"/>
        </w:rPr>
        <w:endnoteRef/>
      </w:r>
      <w:r w:rsidRPr="0011139E">
        <w:rPr>
          <w:rFonts w:cs="Arial"/>
          <w:szCs w:val="24"/>
        </w:rPr>
        <w:t xml:space="preserve"> </w:t>
      </w:r>
      <w:r w:rsidRPr="0011139E">
        <w:rPr>
          <w:rFonts w:cs="Arial"/>
          <w:szCs w:val="24"/>
        </w:rPr>
        <w:t>36 C.F.R. §§ 1150.12; 1150.13.</w:t>
      </w:r>
    </w:p>
  </w:endnote>
  <w:endnote w:id="278">
    <w:p w14:paraId="7F56587C" w14:textId="77777777" w:rsidR="005E3498" w:rsidRPr="0011139E" w:rsidRDefault="005E3498" w:rsidP="00BA0761">
      <w:pPr>
        <w:pStyle w:val="EndnoteText"/>
        <w:rPr>
          <w:rFonts w:cs="Arial"/>
          <w:szCs w:val="24"/>
        </w:rPr>
      </w:pPr>
      <w:r w:rsidRPr="008920BA">
        <w:rPr>
          <w:rStyle w:val="EndnoteReference"/>
          <w:rFonts w:cs="Arial"/>
          <w:szCs w:val="24"/>
        </w:rPr>
        <w:endnoteRef/>
      </w:r>
      <w:r w:rsidRPr="0011139E">
        <w:rPr>
          <w:rFonts w:cs="Arial"/>
          <w:szCs w:val="24"/>
        </w:rPr>
        <w:t xml:space="preserve"> 29 U.S.C. § 792(e</w:t>
      </w:r>
      <w:r w:rsidRPr="0011139E">
        <w:rPr>
          <w:rFonts w:cs="Arial"/>
          <w:szCs w:val="24"/>
        </w:rPr>
        <w:t>)(1).</w:t>
      </w:r>
    </w:p>
  </w:endnote>
  <w:endnote w:id="279">
    <w:p w14:paraId="2E8D79EB" w14:textId="77777777" w:rsidR="005E3498" w:rsidRPr="00BD1154" w:rsidRDefault="005E3498" w:rsidP="00BA0761">
      <w:pPr>
        <w:pStyle w:val="EndnoteText"/>
        <w:rPr>
          <w:rFonts w:cs="Arial"/>
          <w:i/>
          <w:szCs w:val="24"/>
          <w:lang w:val="es-ES"/>
        </w:rPr>
      </w:pPr>
      <w:r w:rsidRPr="008920BA">
        <w:rPr>
          <w:rStyle w:val="EndnoteReference"/>
          <w:rFonts w:cs="Arial"/>
          <w:szCs w:val="24"/>
        </w:rPr>
        <w:endnoteRef/>
      </w:r>
      <w:r w:rsidRPr="00BD1154">
        <w:rPr>
          <w:rFonts w:cs="Arial"/>
          <w:szCs w:val="24"/>
          <w:lang w:val="es-ES"/>
        </w:rPr>
        <w:t xml:space="preserve"> </w:t>
      </w:r>
      <w:r w:rsidRPr="00BD1154">
        <w:rPr>
          <w:rFonts w:cs="Arial"/>
          <w:szCs w:val="24"/>
          <w:lang w:val="es-ES"/>
        </w:rPr>
        <w:t>Ibid.</w:t>
      </w:r>
    </w:p>
  </w:endnote>
  <w:endnote w:id="280">
    <w:p w14:paraId="048B035E" w14:textId="77777777" w:rsidR="005E3498" w:rsidRPr="00BD1154" w:rsidRDefault="005E3498" w:rsidP="00BA0761">
      <w:pPr>
        <w:pStyle w:val="EndnoteText"/>
        <w:rPr>
          <w:rFonts w:cs="Arial"/>
          <w:szCs w:val="24"/>
          <w:lang w:val="es-ES"/>
        </w:rPr>
      </w:pPr>
      <w:r w:rsidRPr="008920BA">
        <w:rPr>
          <w:rStyle w:val="EndnoteReference"/>
          <w:rFonts w:cs="Arial"/>
          <w:szCs w:val="24"/>
        </w:rPr>
        <w:endnoteRef/>
      </w:r>
      <w:r w:rsidRPr="00BD1154">
        <w:rPr>
          <w:rFonts w:cs="Arial"/>
          <w:szCs w:val="24"/>
          <w:lang w:val="es-ES"/>
        </w:rPr>
        <w:t xml:space="preserve"> 29 U.S.C. § 792(e</w:t>
      </w:r>
      <w:r w:rsidRPr="00BD1154">
        <w:rPr>
          <w:rFonts w:cs="Arial"/>
          <w:szCs w:val="24"/>
          <w:lang w:val="es-ES"/>
        </w:rPr>
        <w:t>)(2).</w:t>
      </w:r>
    </w:p>
  </w:endnote>
  <w:endnote w:id="281">
    <w:p w14:paraId="640CDC34" w14:textId="77777777" w:rsidR="005E3498" w:rsidRPr="00BD1154" w:rsidRDefault="005E3498" w:rsidP="00BA0761">
      <w:pPr>
        <w:pStyle w:val="EndnoteText"/>
        <w:rPr>
          <w:rFonts w:cs="Arial"/>
          <w:szCs w:val="24"/>
          <w:lang w:val="es-ES"/>
        </w:rPr>
      </w:pPr>
      <w:r w:rsidRPr="008920BA">
        <w:rPr>
          <w:rStyle w:val="EndnoteReference"/>
          <w:rFonts w:cs="Arial"/>
          <w:szCs w:val="24"/>
        </w:rPr>
        <w:endnoteRef/>
      </w:r>
      <w:r w:rsidRPr="00BD1154">
        <w:rPr>
          <w:rFonts w:cs="Arial"/>
          <w:szCs w:val="24"/>
          <w:lang w:val="es-ES"/>
        </w:rPr>
        <w:t xml:space="preserve"> 36 C.F.R. § </w:t>
      </w:r>
      <w:r w:rsidRPr="00BD1154">
        <w:rPr>
          <w:rFonts w:cs="Arial"/>
          <w:szCs w:val="24"/>
          <w:lang w:val="es-ES"/>
        </w:rPr>
        <w:t>1150.41(f).</w:t>
      </w:r>
    </w:p>
  </w:endnote>
  <w:endnote w:id="282">
    <w:p w14:paraId="5C68936D" w14:textId="77777777" w:rsidR="005E3498" w:rsidRPr="0011139E" w:rsidRDefault="005E3498" w:rsidP="00BA0761">
      <w:pPr>
        <w:pStyle w:val="EndnoteText"/>
        <w:rPr>
          <w:rFonts w:cs="Arial"/>
          <w:szCs w:val="24"/>
        </w:rPr>
      </w:pPr>
      <w:r w:rsidRPr="008920BA">
        <w:rPr>
          <w:rStyle w:val="EndnoteReference"/>
          <w:rFonts w:cs="Arial"/>
          <w:szCs w:val="24"/>
        </w:rPr>
        <w:endnoteRef/>
      </w:r>
      <w:r w:rsidRPr="0011139E">
        <w:rPr>
          <w:rFonts w:cs="Arial"/>
          <w:szCs w:val="24"/>
        </w:rPr>
        <w:t xml:space="preserve"> </w:t>
      </w:r>
      <w:r w:rsidRPr="0011139E">
        <w:rPr>
          <w:rFonts w:cs="Arial"/>
          <w:szCs w:val="24"/>
        </w:rPr>
        <w:t>36 C.F.R. § 1150.41(f).</w:t>
      </w:r>
    </w:p>
  </w:endnote>
  <w:endnote w:id="283">
    <w:p w14:paraId="32ECA2F3"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36 C.F.R. § 1150.41(h</w:t>
      </w:r>
      <w:r w:rsidRPr="008920BA">
        <w:rPr>
          <w:rFonts w:cs="Arial"/>
          <w:szCs w:val="24"/>
        </w:rPr>
        <w:t>)(2)(i).</w:t>
      </w:r>
    </w:p>
  </w:endnote>
  <w:endnote w:id="284">
    <w:p w14:paraId="3B3422C3"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Access Board Sample Corrective Action Letter to Comp</w:t>
      </w:r>
      <w:r>
        <w:rPr>
          <w:rFonts w:cs="Arial"/>
          <w:szCs w:val="24"/>
        </w:rPr>
        <w:t>lainant and Sample Complaint Closing Letter, available from the researchers.</w:t>
      </w:r>
    </w:p>
  </w:endnote>
  <w:endnote w:id="285">
    <w:p w14:paraId="5A266E8D" w14:textId="77777777" w:rsidR="005E3498" w:rsidRDefault="005E3498" w:rsidP="00BA0761">
      <w:pPr>
        <w:pStyle w:val="EndnoteText"/>
      </w:pPr>
      <w:r>
        <w:rPr>
          <w:rStyle w:val="EndnoteReference"/>
        </w:rPr>
        <w:endnoteRef/>
      </w:r>
      <w:r>
        <w:t xml:space="preserve"> </w:t>
      </w:r>
      <w:r w:rsidRPr="00F45600">
        <w:rPr>
          <w:rFonts w:cs="Arial"/>
          <w:szCs w:val="24"/>
        </w:rPr>
        <w:t>Matters resolved later than 180 days are usually within 360 days, owing to bureaucratic processes related to approvals, contracting, procurement, design, and construction at the relevant agencies.</w:t>
      </w:r>
    </w:p>
  </w:endnote>
  <w:endnote w:id="286">
    <w:p w14:paraId="0F6BFDA7"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EF6EAF">
        <w:rPr>
          <w:rFonts w:cs="Arial"/>
          <w:szCs w:val="24"/>
        </w:rPr>
        <w:t>Ibid</w:t>
      </w:r>
      <w:r w:rsidRPr="008920BA">
        <w:rPr>
          <w:rFonts w:cs="Arial"/>
          <w:i/>
          <w:szCs w:val="24"/>
        </w:rPr>
        <w:t>.</w:t>
      </w:r>
      <w:r>
        <w:rPr>
          <w:rFonts w:cs="Arial"/>
          <w:szCs w:val="24"/>
        </w:rPr>
        <w:t xml:space="preserve">, </w:t>
      </w:r>
      <w:r w:rsidRPr="008920BA">
        <w:rPr>
          <w:rFonts w:cs="Arial"/>
          <w:szCs w:val="24"/>
        </w:rPr>
        <w:t>5.</w:t>
      </w:r>
    </w:p>
  </w:endnote>
  <w:endnote w:id="287">
    <w:p w14:paraId="3CEEAEC2"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Federal members are from the Department of Health and Human Services, Department of Defense, Department of Housing and Urban Development, Department of Commerce, Department of Justice, United States Postal Service, Department of Labor, Department of Ed</w:t>
      </w:r>
      <w:r>
        <w:rPr>
          <w:rFonts w:cs="Arial"/>
          <w:szCs w:val="24"/>
        </w:rPr>
        <w:t>ucation (currently vacant), Department of the Interior (currently vacant)</w:t>
      </w:r>
      <w:r w:rsidRPr="008920BA">
        <w:rPr>
          <w:rFonts w:cs="Arial"/>
          <w:szCs w:val="24"/>
        </w:rPr>
        <w:t xml:space="preserve">, Department of Transportation </w:t>
      </w:r>
      <w:r>
        <w:rPr>
          <w:rFonts w:cs="Arial"/>
          <w:szCs w:val="24"/>
        </w:rPr>
        <w:t>(currently vacant)</w:t>
      </w:r>
      <w:r w:rsidRPr="008920BA">
        <w:rPr>
          <w:rFonts w:cs="Arial"/>
          <w:szCs w:val="24"/>
        </w:rPr>
        <w:t xml:space="preserve">, Department of Veterans Affairs </w:t>
      </w:r>
      <w:r>
        <w:rPr>
          <w:rFonts w:cs="Arial"/>
          <w:szCs w:val="24"/>
        </w:rPr>
        <w:t>(</w:t>
      </w:r>
      <w:r w:rsidRPr="006B66CB">
        <w:rPr>
          <w:rFonts w:cs="Arial"/>
          <w:szCs w:val="24"/>
        </w:rPr>
        <w:t xml:space="preserve">currently </w:t>
      </w:r>
      <w:r>
        <w:rPr>
          <w:rFonts w:cs="Arial"/>
          <w:szCs w:val="24"/>
        </w:rPr>
        <w:t>vacant)</w:t>
      </w:r>
      <w:r w:rsidRPr="008920BA">
        <w:rPr>
          <w:rFonts w:cs="Arial"/>
          <w:szCs w:val="24"/>
        </w:rPr>
        <w:t>, and G</w:t>
      </w:r>
      <w:r>
        <w:rPr>
          <w:rFonts w:cs="Arial"/>
          <w:szCs w:val="24"/>
        </w:rPr>
        <w:t>eneral Services Administration (currently vacant)</w:t>
      </w:r>
      <w:r w:rsidRPr="008920BA">
        <w:rPr>
          <w:rFonts w:cs="Arial"/>
          <w:szCs w:val="24"/>
        </w:rPr>
        <w:t>.</w:t>
      </w:r>
    </w:p>
  </w:endnote>
  <w:endnote w:id="288">
    <w:p w14:paraId="2BB32012" w14:textId="1A5DD233"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Ibid., 3</w:t>
      </w:r>
      <w:r>
        <w:rPr>
          <w:rFonts w:cs="Arial"/>
          <w:szCs w:val="24"/>
        </w:rPr>
        <w:t>–</w:t>
      </w:r>
      <w:r w:rsidRPr="00EF6EAF">
        <w:rPr>
          <w:rFonts w:cs="Arial"/>
          <w:szCs w:val="24"/>
        </w:rPr>
        <w:t>4.</w:t>
      </w:r>
      <w:r w:rsidRPr="00EF6EAF">
        <w:t xml:space="preserve"> </w:t>
      </w:r>
      <w:r w:rsidRPr="00EF6EAF">
        <w:rPr>
          <w:rFonts w:cs="Arial"/>
          <w:szCs w:val="24"/>
        </w:rPr>
        <w:t>The standard setting agencies are the Department of Defense, Government Services Administration, Department of Housing and Urban Development, and the United States Postal Services).</w:t>
      </w:r>
    </w:p>
  </w:endnote>
  <w:endnote w:id="289">
    <w:p w14:paraId="11E212FB"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Ibid., 4.</w:t>
      </w:r>
    </w:p>
  </w:endnote>
  <w:endnote w:id="290">
    <w:p w14:paraId="28FEE2C1"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Ibid.</w:t>
      </w:r>
    </w:p>
  </w:endnote>
  <w:endnote w:id="291">
    <w:p w14:paraId="554DC919"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Ibid.</w:t>
      </w:r>
    </w:p>
  </w:endnote>
  <w:endnote w:id="292">
    <w:p w14:paraId="2428ACC2"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Ibid., 5.</w:t>
      </w:r>
    </w:p>
  </w:endnote>
  <w:endnote w:id="293">
    <w:p w14:paraId="47785ECD" w14:textId="065F9CD5" w:rsidR="005E3498" w:rsidRPr="008920BA"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Ibid.</w:t>
      </w:r>
      <w:r w:rsidRPr="00EF6EAF">
        <w:rPr>
          <w:rFonts w:cs="Arial"/>
          <w:szCs w:val="24"/>
        </w:rPr>
        <w:t>,</w:t>
      </w:r>
      <w:r>
        <w:rPr>
          <w:rFonts w:cs="Arial"/>
          <w:szCs w:val="24"/>
        </w:rPr>
        <w:t>16.</w:t>
      </w:r>
      <w:r w:rsidRPr="008920BA">
        <w:rPr>
          <w:rFonts w:cs="Arial"/>
          <w:szCs w:val="24"/>
        </w:rPr>
        <w:t xml:space="preserve"> </w:t>
      </w:r>
      <w:hyperlink r:id="rId105" w:tooltip="https://www.accessibilityonline.org/ao/archives/" w:history="1">
        <w:r w:rsidRPr="008920BA">
          <w:rPr>
            <w:rStyle w:val="Hyperlink"/>
            <w:rFonts w:cs="Arial"/>
            <w:szCs w:val="24"/>
          </w:rPr>
          <w:t>https://www.accessibilityonline.org/ao/archives/</w:t>
        </w:r>
      </w:hyperlink>
      <w:r w:rsidRPr="008920BA">
        <w:rPr>
          <w:rFonts w:cs="Arial"/>
          <w:szCs w:val="24"/>
        </w:rPr>
        <w:t xml:space="preserve">. </w:t>
      </w:r>
    </w:p>
  </w:endnote>
  <w:endnote w:id="294">
    <w:p w14:paraId="6FD9AD85" w14:textId="0199CFFE"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 xml:space="preserve">U.S. </w:t>
      </w:r>
      <w:r w:rsidRPr="006B66CB">
        <w:rPr>
          <w:rFonts w:cs="Arial"/>
          <w:szCs w:val="24"/>
        </w:rPr>
        <w:t>Access Board</w:t>
      </w:r>
      <w:r>
        <w:rPr>
          <w:rFonts w:cs="Arial"/>
          <w:szCs w:val="24"/>
        </w:rPr>
        <w:t>. November 10, 2017.</w:t>
      </w:r>
      <w:r w:rsidRPr="006B66CB">
        <w:rPr>
          <w:rFonts w:cs="Arial"/>
          <w:szCs w:val="24"/>
        </w:rPr>
        <w:t xml:space="preserve"> </w:t>
      </w:r>
      <w:r w:rsidRPr="006B66CB">
        <w:rPr>
          <w:rFonts w:cs="Arial"/>
          <w:i/>
          <w:szCs w:val="24"/>
        </w:rPr>
        <w:t>Performance and Accountability Report 2017</w:t>
      </w:r>
      <w:r>
        <w:rPr>
          <w:rFonts w:cs="Arial"/>
          <w:szCs w:val="24"/>
        </w:rPr>
        <w:t>.</w:t>
      </w:r>
      <w:r w:rsidRPr="006B66CB">
        <w:rPr>
          <w:rFonts w:cs="Arial"/>
          <w:szCs w:val="24"/>
        </w:rPr>
        <w:t xml:space="preserve"> </w:t>
      </w:r>
      <w:hyperlink r:id="rId106" w:tooltip="https://www.access-board.gov/the-board/budget-and-performance/performance-and-accountability-report" w:history="1">
        <w:r w:rsidRPr="006B66CB">
          <w:rPr>
            <w:rStyle w:val="Hyperlink"/>
            <w:rFonts w:cs="Arial"/>
            <w:szCs w:val="24"/>
          </w:rPr>
          <w:t>https://www.access-board.gov/the-board/budget-and-performance/performance-and-accountability-report</w:t>
        </w:r>
      </w:hyperlink>
      <w:r>
        <w:t>.</w:t>
      </w:r>
    </w:p>
  </w:endnote>
  <w:endnote w:id="295">
    <w:p w14:paraId="0CE2B95C" w14:textId="7D6AB2EC"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Pr>
          <w:rFonts w:cs="Arial"/>
          <w:szCs w:val="24"/>
        </w:rPr>
        <w:t xml:space="preserve">U.S. </w:t>
      </w:r>
      <w:r w:rsidRPr="008920BA">
        <w:rPr>
          <w:rFonts w:cs="Arial"/>
          <w:szCs w:val="24"/>
        </w:rPr>
        <w:t>Access Board</w:t>
      </w:r>
      <w:r>
        <w:rPr>
          <w:rFonts w:cs="Arial"/>
          <w:szCs w:val="24"/>
        </w:rPr>
        <w:t>.</w:t>
      </w:r>
      <w:r w:rsidRPr="008920BA">
        <w:rPr>
          <w:rFonts w:cs="Arial"/>
          <w:szCs w:val="24"/>
        </w:rPr>
        <w:t xml:space="preserve"> </w:t>
      </w:r>
      <w:r>
        <w:rPr>
          <w:rFonts w:cs="Arial"/>
          <w:szCs w:val="24"/>
        </w:rPr>
        <w:t>“</w:t>
      </w:r>
      <w:r w:rsidRPr="008920BA">
        <w:rPr>
          <w:rFonts w:cs="Arial"/>
          <w:szCs w:val="24"/>
        </w:rPr>
        <w:t>Fiscal Year 2019 Budget Justifi</w:t>
      </w:r>
      <w:r>
        <w:rPr>
          <w:rFonts w:cs="Arial"/>
          <w:szCs w:val="24"/>
        </w:rPr>
        <w:t xml:space="preserve">cation,” Appendix A. </w:t>
      </w:r>
      <w:hyperlink r:id="rId107" w:anchor="A" w:history="1">
        <w:r w:rsidRPr="008920BA">
          <w:rPr>
            <w:rStyle w:val="Hyperlink"/>
            <w:rFonts w:cs="Arial"/>
            <w:szCs w:val="24"/>
          </w:rPr>
          <w:t>https://www.access-board.gov/the-board/budget-and-performance/budget-justification#A</w:t>
        </w:r>
      </w:hyperlink>
      <w:r w:rsidRPr="008920BA">
        <w:rPr>
          <w:rFonts w:cs="Arial"/>
          <w:szCs w:val="24"/>
        </w:rPr>
        <w:t>.</w:t>
      </w:r>
      <w:r w:rsidRPr="00B765A7">
        <w:rPr>
          <w:rFonts w:cs="Arial"/>
          <w:szCs w:val="24"/>
        </w:rPr>
        <w:t xml:space="preserve"> </w:t>
      </w:r>
      <w:r w:rsidRPr="00F370C7">
        <w:rPr>
          <w:rStyle w:val="Hyperlink"/>
          <w:rFonts w:cs="Arial"/>
          <w:color w:val="auto"/>
          <w:szCs w:val="24"/>
          <w:u w:val="none"/>
        </w:rPr>
        <w:t xml:space="preserve">(Accessed June 23, </w:t>
      </w:r>
      <w:r>
        <w:rPr>
          <w:rStyle w:val="Hyperlink"/>
          <w:rFonts w:cs="Arial"/>
          <w:color w:val="auto"/>
          <w:szCs w:val="24"/>
          <w:u w:val="none"/>
        </w:rPr>
        <w:t>2018).</w:t>
      </w:r>
    </w:p>
  </w:endnote>
  <w:endnote w:id="296">
    <w:p w14:paraId="70EDC394"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Ibid.</w:t>
      </w:r>
    </w:p>
  </w:endnote>
  <w:endnote w:id="297">
    <w:p w14:paraId="6C74F7B4" w14:textId="49D8B717" w:rsidR="005E3498" w:rsidRDefault="005E3498" w:rsidP="00BA0761">
      <w:pPr>
        <w:pStyle w:val="EndnoteText"/>
      </w:pPr>
      <w:r>
        <w:rPr>
          <w:rStyle w:val="EndnoteReference"/>
        </w:rPr>
        <w:endnoteRef/>
      </w:r>
      <w:r>
        <w:t xml:space="preserve"> </w:t>
      </w:r>
      <w:r w:rsidRPr="008920BA">
        <w:rPr>
          <w:rFonts w:cs="Arial"/>
          <w:szCs w:val="24"/>
        </w:rPr>
        <w:t>National Coun</w:t>
      </w:r>
      <w:r>
        <w:rPr>
          <w:rFonts w:cs="Arial"/>
          <w:szCs w:val="24"/>
        </w:rPr>
        <w:t>ci</w:t>
      </w:r>
      <w:r w:rsidRPr="008920BA">
        <w:rPr>
          <w:rFonts w:cs="Arial"/>
          <w:szCs w:val="24"/>
        </w:rPr>
        <w:t>l on Disability</w:t>
      </w:r>
      <w:r>
        <w:rPr>
          <w:rFonts w:cs="Arial"/>
          <w:szCs w:val="24"/>
        </w:rPr>
        <w:t>.</w:t>
      </w:r>
      <w:r w:rsidRPr="008920BA">
        <w:rPr>
          <w:rFonts w:cs="Arial"/>
          <w:szCs w:val="24"/>
        </w:rPr>
        <w:t xml:space="preserve"> </w:t>
      </w:r>
      <w:r w:rsidRPr="008920BA">
        <w:rPr>
          <w:rFonts w:cs="Arial"/>
          <w:i/>
          <w:szCs w:val="24"/>
        </w:rPr>
        <w:t>Promises to Keep</w:t>
      </w:r>
      <w:r w:rsidRPr="00F36AED">
        <w:rPr>
          <w:rFonts w:cs="Arial"/>
          <w:szCs w:val="24"/>
        </w:rPr>
        <w:t>,</w:t>
      </w:r>
      <w:r>
        <w:rPr>
          <w:rFonts w:cs="Arial"/>
          <w:szCs w:val="24"/>
        </w:rPr>
        <w:t xml:space="preserve"> 2.</w:t>
      </w:r>
    </w:p>
  </w:endnote>
  <w:endnote w:id="298">
    <w:p w14:paraId="5E4FA6CE" w14:textId="77777777" w:rsidR="005E3498" w:rsidRDefault="005E3498" w:rsidP="00BA0761">
      <w:pPr>
        <w:pStyle w:val="EndnoteText"/>
      </w:pPr>
      <w:r>
        <w:rPr>
          <w:rStyle w:val="EndnoteReference"/>
        </w:rPr>
        <w:endnoteRef/>
      </w:r>
      <w:r>
        <w:t xml:space="preserve"> </w:t>
      </w:r>
      <w:r>
        <w:rPr>
          <w:rFonts w:cs="Arial"/>
          <w:szCs w:val="24"/>
        </w:rPr>
        <w:t>Ibid.</w:t>
      </w:r>
      <w:r w:rsidRPr="00F36AED">
        <w:rPr>
          <w:rFonts w:cs="Arial"/>
          <w:szCs w:val="24"/>
        </w:rPr>
        <w:t>,</w:t>
      </w:r>
      <w:r>
        <w:rPr>
          <w:rFonts w:cs="Arial"/>
          <w:szCs w:val="24"/>
        </w:rPr>
        <w:t xml:space="preserve"> 236.</w:t>
      </w:r>
    </w:p>
  </w:endnote>
  <w:endnote w:id="299">
    <w:p w14:paraId="30BF14C3" w14:textId="77777777" w:rsidR="005E3498" w:rsidRDefault="005E3498" w:rsidP="00BA0761">
      <w:pPr>
        <w:pStyle w:val="EndnoteText"/>
      </w:pPr>
      <w:r>
        <w:rPr>
          <w:rStyle w:val="EndnoteReference"/>
        </w:rPr>
        <w:endnoteRef/>
      </w:r>
      <w:r>
        <w:t xml:space="preserve"> </w:t>
      </w:r>
      <w:r>
        <w:rPr>
          <w:rFonts w:cs="Arial"/>
          <w:szCs w:val="24"/>
        </w:rPr>
        <w:t>Ibid.</w:t>
      </w:r>
      <w:r w:rsidRPr="00F36AED">
        <w:rPr>
          <w:rFonts w:cs="Arial"/>
          <w:szCs w:val="24"/>
        </w:rPr>
        <w:t>,</w:t>
      </w:r>
      <w:r>
        <w:rPr>
          <w:rFonts w:cs="Arial"/>
          <w:szCs w:val="24"/>
        </w:rPr>
        <w:t xml:space="preserve"> 389.</w:t>
      </w:r>
    </w:p>
  </w:endnote>
  <w:endnote w:id="300">
    <w:p w14:paraId="2D8C5435" w14:textId="41509162"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U.S. Equal Employment Opportunity Commission</w:t>
      </w:r>
      <w:r>
        <w:rPr>
          <w:rFonts w:cs="Arial"/>
          <w:szCs w:val="24"/>
        </w:rPr>
        <w:t>.</w:t>
      </w:r>
      <w:r w:rsidRPr="00EF6EAF">
        <w:rPr>
          <w:rFonts w:cs="Arial"/>
          <w:szCs w:val="24"/>
        </w:rPr>
        <w:t xml:space="preserve"> </w:t>
      </w:r>
      <w:r>
        <w:rPr>
          <w:rFonts w:cs="Arial"/>
          <w:szCs w:val="24"/>
        </w:rPr>
        <w:t>“</w:t>
      </w:r>
      <w:r w:rsidRPr="00EF6EAF">
        <w:rPr>
          <w:rFonts w:cs="Arial"/>
          <w:szCs w:val="24"/>
        </w:rPr>
        <w:t>Budget and Staffing History 1980 to Present</w:t>
      </w:r>
      <w:r>
        <w:rPr>
          <w:rFonts w:cs="Arial"/>
          <w:szCs w:val="24"/>
        </w:rPr>
        <w:t>.”</w:t>
      </w:r>
      <w:r w:rsidRPr="00EF6EAF">
        <w:rPr>
          <w:rFonts w:cs="Arial"/>
          <w:szCs w:val="24"/>
        </w:rPr>
        <w:t xml:space="preserve"> </w:t>
      </w:r>
      <w:hyperlink r:id="rId108" w:tooltip="https://www.eeoc.gov/eeoc/plan/budgetandstaffing.cfm" w:history="1">
        <w:r w:rsidRPr="00766300">
          <w:rPr>
            <w:rStyle w:val="Hyperlink"/>
            <w:rFonts w:cs="Arial"/>
            <w:szCs w:val="24"/>
          </w:rPr>
          <w:t>https://www.eeoc.gov/eeoc/plan/budgetandstaffing.cfm</w:t>
        </w:r>
      </w:hyperlink>
      <w:r>
        <w:rPr>
          <w:rFonts w:cs="Arial"/>
          <w:szCs w:val="24"/>
        </w:rPr>
        <w:t>.</w:t>
      </w:r>
      <w:r w:rsidRPr="00B765A7">
        <w:rPr>
          <w:rFonts w:cs="Arial"/>
          <w:szCs w:val="24"/>
        </w:rPr>
        <w:t xml:space="preserve"> </w:t>
      </w:r>
      <w:r w:rsidRPr="00F370C7">
        <w:rPr>
          <w:rStyle w:val="Hyperlink"/>
          <w:rFonts w:cs="Arial"/>
          <w:color w:val="auto"/>
          <w:szCs w:val="24"/>
          <w:u w:val="none"/>
        </w:rPr>
        <w:t xml:space="preserve">(Accessed June 23, </w:t>
      </w:r>
      <w:r>
        <w:rPr>
          <w:rStyle w:val="Hyperlink"/>
          <w:rFonts w:cs="Arial"/>
          <w:color w:val="auto"/>
          <w:szCs w:val="24"/>
          <w:u w:val="none"/>
        </w:rPr>
        <w:t>2018).</w:t>
      </w:r>
    </w:p>
  </w:endnote>
  <w:endnote w:id="301">
    <w:p w14:paraId="7B874726"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Ibid.</w:t>
      </w:r>
    </w:p>
  </w:endnote>
  <w:endnote w:id="302">
    <w:p w14:paraId="0FC16B1A" w14:textId="73275DBF" w:rsidR="005E3498" w:rsidRPr="008F0B48"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U.S. Department of Labor</w:t>
      </w:r>
      <w:r>
        <w:rPr>
          <w:rFonts w:cs="Arial"/>
          <w:szCs w:val="24"/>
        </w:rPr>
        <w:t>.</w:t>
      </w:r>
      <w:r w:rsidRPr="00EF6EAF">
        <w:rPr>
          <w:rFonts w:cs="Arial"/>
          <w:szCs w:val="24"/>
        </w:rPr>
        <w:t xml:space="preserve"> </w:t>
      </w:r>
      <w:r>
        <w:rPr>
          <w:rFonts w:cs="Arial"/>
          <w:szCs w:val="24"/>
        </w:rPr>
        <w:t>“</w:t>
      </w:r>
      <w:r w:rsidRPr="00EF6EAF">
        <w:rPr>
          <w:rFonts w:cs="Arial"/>
          <w:szCs w:val="24"/>
        </w:rPr>
        <w:t>FY 2018 Congressional Budget Justification Office of Disabi</w:t>
      </w:r>
      <w:r>
        <w:rPr>
          <w:rFonts w:cs="Arial"/>
          <w:szCs w:val="24"/>
        </w:rPr>
        <w:t>lity Employment Policy,” ODEP-2.</w:t>
      </w:r>
      <w:r>
        <w:t xml:space="preserve"> </w:t>
      </w:r>
      <w:hyperlink r:id="rId109" w:tooltip="https://www.dol.gov/sites/default/files/documents/general/budget/CBJ-2018-V2-09.pdf" w:history="1">
        <w:r w:rsidRPr="008B50BA">
          <w:rPr>
            <w:rStyle w:val="Hyperlink"/>
            <w:rFonts w:cs="Arial"/>
            <w:szCs w:val="24"/>
          </w:rPr>
          <w:t>https://www.dol.gov/sites/default/files/documents/general/budget/CBJ-2018-V2-09.pdf</w:t>
        </w:r>
      </w:hyperlink>
      <w:r>
        <w:rPr>
          <w:rFonts w:cs="Arial"/>
          <w:szCs w:val="24"/>
        </w:rPr>
        <w:t xml:space="preserve">. </w:t>
      </w:r>
    </w:p>
  </w:endnote>
  <w:endnote w:id="303">
    <w:p w14:paraId="0A368650" w14:textId="70D5E80C"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U.S. Department of Labor, Office of Federal Contract Compliance Programs</w:t>
      </w:r>
      <w:r>
        <w:rPr>
          <w:rFonts w:cs="Arial"/>
          <w:szCs w:val="24"/>
        </w:rPr>
        <w:t>.</w:t>
      </w:r>
      <w:r w:rsidRPr="00EF6EAF">
        <w:rPr>
          <w:rFonts w:cs="Arial"/>
          <w:szCs w:val="24"/>
        </w:rPr>
        <w:t xml:space="preserve"> </w:t>
      </w:r>
      <w:r>
        <w:rPr>
          <w:rFonts w:cs="Arial"/>
          <w:szCs w:val="24"/>
        </w:rPr>
        <w:t>“</w:t>
      </w:r>
      <w:r w:rsidRPr="00EF6EAF">
        <w:rPr>
          <w:rFonts w:cs="Arial"/>
          <w:szCs w:val="24"/>
        </w:rPr>
        <w:t>Congressional Budget Justification FY 2014,</w:t>
      </w:r>
      <w:r>
        <w:rPr>
          <w:rFonts w:cs="Arial"/>
          <w:szCs w:val="24"/>
        </w:rPr>
        <w:t>”</w:t>
      </w:r>
      <w:r w:rsidRPr="00EF6EAF">
        <w:rPr>
          <w:rFonts w:cs="Arial"/>
          <w:szCs w:val="24"/>
        </w:rPr>
        <w:t xml:space="preserve"> 10.</w:t>
      </w:r>
    </w:p>
  </w:endnote>
  <w:endnote w:id="304">
    <w:p w14:paraId="68CB5193"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Ibid.</w:t>
      </w:r>
    </w:p>
  </w:endnote>
  <w:endnote w:id="305">
    <w:p w14:paraId="5B055C2D" w14:textId="19236F25" w:rsidR="005E3498" w:rsidRPr="008920BA"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U.S. Department of Labor</w:t>
      </w:r>
      <w:r>
        <w:rPr>
          <w:rFonts w:cs="Arial"/>
          <w:szCs w:val="24"/>
        </w:rPr>
        <w:t>.</w:t>
      </w:r>
      <w:r w:rsidRPr="00EF6EAF">
        <w:rPr>
          <w:rFonts w:cs="Arial"/>
          <w:szCs w:val="24"/>
        </w:rPr>
        <w:t xml:space="preserve"> </w:t>
      </w:r>
      <w:r>
        <w:rPr>
          <w:rFonts w:cs="Arial"/>
          <w:szCs w:val="24"/>
        </w:rPr>
        <w:t>“</w:t>
      </w:r>
      <w:r w:rsidRPr="00EF6EAF">
        <w:rPr>
          <w:rFonts w:cs="Arial"/>
          <w:szCs w:val="24"/>
        </w:rPr>
        <w:t>FY 2017 Cong</w:t>
      </w:r>
      <w:r>
        <w:rPr>
          <w:rFonts w:cs="Arial"/>
          <w:szCs w:val="24"/>
        </w:rPr>
        <w:t>ressional Budget Justification,” WHD-11.</w:t>
      </w:r>
      <w:r w:rsidRPr="00F5069F">
        <w:rPr>
          <w:rFonts w:cs="Arial"/>
          <w:szCs w:val="24"/>
        </w:rPr>
        <w:t xml:space="preserve"> </w:t>
      </w:r>
      <w:hyperlink r:id="rId110" w:tooltip="https://www.dol.gov/sites/default/files/documents/general/budget/CBJ-2017-V2-09.pdf" w:history="1">
        <w:r w:rsidRPr="00E06B31">
          <w:rPr>
            <w:rStyle w:val="Hyperlink"/>
            <w:rFonts w:cs="Arial"/>
            <w:szCs w:val="24"/>
          </w:rPr>
          <w:t>https://www.dol.gov/sites/default/files/documents/general/budget/CBJ-2017-V2-09.pdf</w:t>
        </w:r>
      </w:hyperlink>
      <w:r>
        <w:rPr>
          <w:rFonts w:cs="Arial"/>
          <w:szCs w:val="24"/>
        </w:rPr>
        <w:t xml:space="preserve"> </w:t>
      </w:r>
    </w:p>
  </w:endnote>
  <w:endnote w:id="306">
    <w:p w14:paraId="77AE1A23" w14:textId="28F554E3" w:rsidR="005E3498" w:rsidRPr="00BD1154" w:rsidRDefault="005E3498" w:rsidP="00BA0761">
      <w:pPr>
        <w:pStyle w:val="EndnoteText"/>
        <w:rPr>
          <w:rFonts w:cs="Arial"/>
          <w:szCs w:val="24"/>
          <w:lang w:val="fr-FR"/>
        </w:rPr>
      </w:pPr>
      <w:r w:rsidRPr="008920BA">
        <w:rPr>
          <w:rStyle w:val="EndnoteReference"/>
          <w:rFonts w:cs="Arial"/>
          <w:szCs w:val="24"/>
        </w:rPr>
        <w:endnoteRef/>
      </w:r>
      <w:r w:rsidRPr="00BD1154">
        <w:rPr>
          <w:rFonts w:cs="Arial"/>
          <w:szCs w:val="24"/>
          <w:lang w:val="fr-FR"/>
        </w:rPr>
        <w:t xml:space="preserve"> 42 U.S.C. § 4151, </w:t>
      </w:r>
      <w:r w:rsidRPr="00CC4C0B">
        <w:rPr>
          <w:rFonts w:cs="Arial"/>
          <w:i/>
          <w:szCs w:val="24"/>
          <w:lang w:val="fr-FR"/>
        </w:rPr>
        <w:t xml:space="preserve">et </w:t>
      </w:r>
      <w:r w:rsidRPr="00CC4C0B">
        <w:rPr>
          <w:rFonts w:cs="Arial"/>
          <w:i/>
          <w:szCs w:val="24"/>
          <w:lang w:val="fr-FR"/>
        </w:rPr>
        <w:t>seq.</w:t>
      </w:r>
    </w:p>
  </w:endnote>
  <w:endnote w:id="307">
    <w:p w14:paraId="6D2DB137" w14:textId="66C64DB2" w:rsidR="005E3498" w:rsidRPr="00BD1154" w:rsidRDefault="005E3498" w:rsidP="00BA0761">
      <w:pPr>
        <w:pStyle w:val="EndnoteText"/>
        <w:rPr>
          <w:rFonts w:cs="Arial"/>
          <w:szCs w:val="24"/>
          <w:lang w:val="fr-FR"/>
        </w:rPr>
      </w:pPr>
      <w:r w:rsidRPr="008920BA">
        <w:rPr>
          <w:rStyle w:val="EndnoteReference"/>
          <w:rFonts w:cs="Arial"/>
          <w:szCs w:val="24"/>
        </w:rPr>
        <w:endnoteRef/>
      </w:r>
      <w:r w:rsidRPr="00BD1154">
        <w:rPr>
          <w:rFonts w:cs="Arial"/>
          <w:szCs w:val="24"/>
          <w:lang w:val="fr-FR"/>
        </w:rPr>
        <w:t xml:space="preserve"> 29 U.S.C. §§ 701</w:t>
      </w:r>
      <w:r>
        <w:rPr>
          <w:rFonts w:cs="Arial"/>
          <w:szCs w:val="24"/>
          <w:lang w:val="fr-FR"/>
        </w:rPr>
        <w:t>–</w:t>
      </w:r>
      <w:r w:rsidRPr="00BD1154">
        <w:rPr>
          <w:rFonts w:cs="Arial"/>
          <w:szCs w:val="24"/>
          <w:lang w:val="fr-FR"/>
        </w:rPr>
        <w:t>796.</w:t>
      </w:r>
    </w:p>
  </w:endnote>
  <w:endnote w:id="308">
    <w:p w14:paraId="0CF4789B" w14:textId="29B7558D" w:rsidR="005E3498" w:rsidRPr="001C737E" w:rsidRDefault="005E3498" w:rsidP="00BA0761">
      <w:pPr>
        <w:pStyle w:val="EndnoteText"/>
        <w:rPr>
          <w:szCs w:val="24"/>
        </w:rPr>
      </w:pPr>
      <w:r>
        <w:rPr>
          <w:rStyle w:val="EndnoteReference"/>
        </w:rPr>
        <w:endnoteRef/>
      </w:r>
      <w:r>
        <w:t xml:space="preserve"> </w:t>
      </w:r>
      <w:r w:rsidRPr="00260E5C">
        <w:rPr>
          <w:rFonts w:cs="Arial"/>
          <w:szCs w:val="24"/>
        </w:rPr>
        <w:t>U.S. Equal Employment Opportunity Commission</w:t>
      </w:r>
      <w:r>
        <w:rPr>
          <w:rFonts w:cs="Arial"/>
          <w:szCs w:val="24"/>
        </w:rPr>
        <w:t>.</w:t>
      </w:r>
      <w:r w:rsidRPr="00260E5C">
        <w:rPr>
          <w:rFonts w:cs="Arial"/>
          <w:szCs w:val="24"/>
        </w:rPr>
        <w:t xml:space="preserve"> </w:t>
      </w:r>
      <w:r>
        <w:rPr>
          <w:rFonts w:cs="Arial"/>
          <w:szCs w:val="24"/>
        </w:rPr>
        <w:t>“</w:t>
      </w:r>
      <w:r w:rsidRPr="00260E5C">
        <w:rPr>
          <w:rFonts w:cs="Arial"/>
          <w:szCs w:val="24"/>
        </w:rPr>
        <w:t>Questions and Answers: The EEOC</w:t>
      </w:r>
      <w:r>
        <w:rPr>
          <w:rFonts w:cs="Arial"/>
          <w:szCs w:val="24"/>
        </w:rPr>
        <w:t>’</w:t>
      </w:r>
      <w:r w:rsidRPr="00260E5C">
        <w:rPr>
          <w:rFonts w:cs="Arial"/>
          <w:szCs w:val="24"/>
        </w:rPr>
        <w:t>s Final Rule on Affirmative Action for People with Disabilities in Federal Employment</w:t>
      </w:r>
      <w:r>
        <w:rPr>
          <w:rFonts w:cs="Arial"/>
          <w:szCs w:val="24"/>
        </w:rPr>
        <w:t>.”</w:t>
      </w:r>
      <w:r w:rsidRPr="00260E5C">
        <w:rPr>
          <w:rFonts w:cs="Arial"/>
          <w:szCs w:val="24"/>
        </w:rPr>
        <w:t xml:space="preserve"> </w:t>
      </w:r>
      <w:hyperlink r:id="rId111" w:tooltip="https://www.eeoc.gov/laws/regulations/qanda-ada-disabilities-final-rule.cfm" w:history="1">
        <w:r w:rsidRPr="001C737E">
          <w:rPr>
            <w:rStyle w:val="Hyperlink"/>
            <w:rFonts w:cs="Arial"/>
            <w:szCs w:val="24"/>
          </w:rPr>
          <w:t>https://www.eeoc.gov/laws/regulations/qanda-ada-disabilities-final-rule.cfm</w:t>
        </w:r>
      </w:hyperlink>
      <w:r w:rsidRPr="001C737E">
        <w:rPr>
          <w:rFonts w:cs="Arial"/>
          <w:szCs w:val="24"/>
        </w:rP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p>
  </w:endnote>
  <w:endnote w:id="309">
    <w:p w14:paraId="19C37BE5" w14:textId="1A726218" w:rsidR="005E3498" w:rsidRPr="008920BA" w:rsidRDefault="005E3498" w:rsidP="00BA0761">
      <w:pPr>
        <w:pStyle w:val="EndnoteText"/>
        <w:rPr>
          <w:rFonts w:cs="Arial"/>
          <w:szCs w:val="24"/>
        </w:rPr>
      </w:pPr>
      <w:r w:rsidRPr="008920BA">
        <w:rPr>
          <w:rStyle w:val="EndnoteReference"/>
          <w:rFonts w:cs="Arial"/>
          <w:szCs w:val="24"/>
        </w:rPr>
        <w:endnoteRef/>
      </w:r>
      <w:r>
        <w:rPr>
          <w:rFonts w:cs="Arial"/>
          <w:szCs w:val="24"/>
        </w:rPr>
        <w:t xml:space="preserve"> </w:t>
      </w:r>
      <w:r>
        <w:rPr>
          <w:rFonts w:cs="Arial"/>
          <w:szCs w:val="24"/>
        </w:rPr>
        <w:t xml:space="preserve">Government Services Administration. GSA Section 508 and Accessibility. </w:t>
      </w:r>
      <w:hyperlink r:id="rId112" w:tooltip="https://www.gsa.gov/about-us/organization/office-of-the-chief-information-officer/office-of-enterprise-planning-and-governance/gsa-section-508-and-accessibility" w:history="1">
        <w:r w:rsidRPr="008920BA">
          <w:rPr>
            <w:rStyle w:val="Hyperlink"/>
            <w:rFonts w:cs="Arial"/>
            <w:szCs w:val="24"/>
          </w:rPr>
          <w:t>https://www.gsa.gov/about-us/organization/office-of-the-chief-information-officer/office-of-enterprise-planning-and-governance/gsa-section-508-and-accessibility</w:t>
        </w:r>
      </w:hyperlink>
      <w:r w:rsidRPr="008920BA">
        <w:rPr>
          <w:rFonts w:cs="Arial"/>
          <w:szCs w:val="24"/>
        </w:rPr>
        <w:t xml:space="preserve">. </w:t>
      </w:r>
    </w:p>
  </w:endnote>
  <w:endnote w:id="310">
    <w:p w14:paraId="7B74D2C2"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42 U.S.C. § 12101 (July 26, 1990).</w:t>
      </w:r>
    </w:p>
  </w:endnote>
  <w:endnote w:id="311">
    <w:p w14:paraId="4BC6631F"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color w:val="000000"/>
          <w:szCs w:val="24"/>
        </w:rPr>
        <w:t xml:space="preserve">29 U.S.C. </w:t>
      </w:r>
      <w:r w:rsidRPr="008920BA">
        <w:rPr>
          <w:rFonts w:cs="Arial"/>
          <w:szCs w:val="24"/>
        </w:rPr>
        <w:t>§</w:t>
      </w:r>
      <w:r>
        <w:rPr>
          <w:rFonts w:cs="Arial"/>
          <w:szCs w:val="24"/>
        </w:rPr>
        <w:t xml:space="preserve"> </w:t>
      </w:r>
      <w:r w:rsidRPr="008920BA">
        <w:rPr>
          <w:rFonts w:cs="Arial"/>
          <w:color w:val="000000"/>
          <w:szCs w:val="24"/>
        </w:rPr>
        <w:t>794</w:t>
      </w:r>
      <w:r>
        <w:rPr>
          <w:rFonts w:cs="Arial"/>
          <w:color w:val="000000"/>
          <w:szCs w:val="24"/>
        </w:rPr>
        <w:t>.</w:t>
      </w:r>
    </w:p>
  </w:endnote>
  <w:endnote w:id="312">
    <w:p w14:paraId="14D585D7"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Pub. L. No. 110-325, 42 U.S.C. § 12101, as amended.</w:t>
      </w:r>
    </w:p>
  </w:endnote>
  <w:endnote w:id="313">
    <w:p w14:paraId="5E7C39F5" w14:textId="240C4AAF" w:rsidR="005E3498" w:rsidRPr="008920BA" w:rsidRDefault="005E3498" w:rsidP="00BA0761">
      <w:pPr>
        <w:spacing w:after="200" w:line="240" w:lineRule="auto"/>
        <w:rPr>
          <w:rFonts w:ascii="Arial" w:hAnsi="Arial" w:cs="Arial"/>
          <w:szCs w:val="24"/>
        </w:rPr>
      </w:pPr>
      <w:r w:rsidRPr="008920BA">
        <w:rPr>
          <w:rStyle w:val="EndnoteReference"/>
          <w:rFonts w:cs="Arial"/>
          <w:szCs w:val="24"/>
        </w:rPr>
        <w:endnoteRef/>
      </w:r>
      <w:r w:rsidRPr="008920BA">
        <w:rPr>
          <w:rFonts w:ascii="Arial" w:hAnsi="Arial" w:cs="Arial"/>
          <w:szCs w:val="24"/>
        </w:rPr>
        <w:t xml:space="preserve"> </w:t>
      </w:r>
      <w:r>
        <w:rPr>
          <w:rFonts w:ascii="Arial" w:hAnsi="Arial" w:cs="Arial"/>
          <w:szCs w:val="24"/>
        </w:rPr>
        <w:t xml:space="preserve">U.S. Equal Employment Opportunity Commission. “The Americans with Disabilities Amendments Act of 2008.” </w:t>
      </w:r>
      <w:hyperlink r:id="rId113" w:tooltip="https://www.eeoc.gov/laws/statutes/adaaa_info.cfm" w:history="1">
        <w:r w:rsidRPr="008920BA">
          <w:rPr>
            <w:rStyle w:val="Hyperlink"/>
            <w:rFonts w:cs="Arial"/>
            <w:szCs w:val="24"/>
          </w:rPr>
          <w:t>https://www.eeoc.gov/laws/statutes/adaaa_info.cfm</w:t>
        </w:r>
      </w:hyperlink>
      <w:r>
        <w:rPr>
          <w:rFonts w:ascii="Arial" w:hAnsi="Arial" w:cs="Arial"/>
          <w:szCs w:val="24"/>
        </w:rPr>
        <w:t>.</w:t>
      </w:r>
      <w:r w:rsidRPr="00424845">
        <w:rPr>
          <w:rStyle w:val="Hyperlink"/>
          <w:rFonts w:cs="Arial"/>
          <w:szCs w:val="24"/>
        </w:rPr>
        <w:t xml:space="preserve"> </w:t>
      </w:r>
      <w:r w:rsidRPr="00F370C7">
        <w:rPr>
          <w:rStyle w:val="Hyperlink"/>
          <w:rFonts w:cs="Arial"/>
          <w:color w:val="auto"/>
          <w:szCs w:val="24"/>
          <w:u w:val="none"/>
        </w:rPr>
        <w:t xml:space="preserve">(Accessed June 23, </w:t>
      </w:r>
      <w:r>
        <w:rPr>
          <w:rStyle w:val="Hyperlink"/>
          <w:rFonts w:cs="Arial"/>
          <w:color w:val="auto"/>
          <w:szCs w:val="24"/>
          <w:u w:val="none"/>
        </w:rPr>
        <w:t>2018).</w:t>
      </w:r>
    </w:p>
  </w:endnote>
  <w:endnote w:id="314">
    <w:p w14:paraId="5EC85653" w14:textId="77777777" w:rsidR="005E3498" w:rsidRPr="00BD1154" w:rsidRDefault="005E3498" w:rsidP="00BA0761">
      <w:pPr>
        <w:pStyle w:val="EndnoteText"/>
        <w:rPr>
          <w:rFonts w:cs="Arial"/>
          <w:color w:val="000000" w:themeColor="text1"/>
          <w:szCs w:val="24"/>
          <w:lang w:val="fr-FR"/>
        </w:rPr>
      </w:pPr>
      <w:r w:rsidRPr="008920BA">
        <w:rPr>
          <w:rStyle w:val="EndnoteReference"/>
          <w:rFonts w:cs="Arial"/>
          <w:szCs w:val="24"/>
        </w:rPr>
        <w:endnoteRef/>
      </w:r>
      <w:r w:rsidRPr="00BD1154">
        <w:rPr>
          <w:rFonts w:cs="Arial"/>
          <w:szCs w:val="24"/>
          <w:lang w:val="fr-FR"/>
        </w:rPr>
        <w:t xml:space="preserve"> </w:t>
      </w:r>
      <w:hyperlink r:id="rId114" w:history="1">
        <w:r w:rsidRPr="00BD1154">
          <w:rPr>
            <w:rFonts w:cs="Arial"/>
            <w:color w:val="000000" w:themeColor="text1"/>
            <w:szCs w:val="24"/>
            <w:lang w:val="fr-FR"/>
          </w:rPr>
          <w:t xml:space="preserve">29 U.S.C. § 201, </w:t>
        </w:r>
        <w:r w:rsidRPr="00BD1154">
          <w:rPr>
            <w:rFonts w:cs="Arial"/>
            <w:i/>
            <w:iCs/>
            <w:color w:val="000000" w:themeColor="text1"/>
            <w:szCs w:val="24"/>
            <w:lang w:val="fr-FR"/>
          </w:rPr>
          <w:t xml:space="preserve">et </w:t>
        </w:r>
        <w:r w:rsidRPr="00BD1154">
          <w:rPr>
            <w:rFonts w:cs="Arial"/>
            <w:i/>
            <w:iCs/>
            <w:color w:val="000000" w:themeColor="text1"/>
            <w:szCs w:val="24"/>
            <w:lang w:val="fr-FR"/>
          </w:rPr>
          <w:t>seq</w:t>
        </w:r>
        <w:r w:rsidRPr="00BD1154">
          <w:rPr>
            <w:rFonts w:cs="Arial"/>
            <w:color w:val="000000" w:themeColor="text1"/>
            <w:szCs w:val="24"/>
            <w:lang w:val="fr-FR"/>
          </w:rPr>
          <w:t>.</w:t>
        </w:r>
      </w:hyperlink>
    </w:p>
  </w:endnote>
  <w:endnote w:id="315">
    <w:p w14:paraId="46A4A4B0" w14:textId="77777777" w:rsidR="005E3498" w:rsidRPr="00BD1154" w:rsidRDefault="005E3498" w:rsidP="00BA0761">
      <w:pPr>
        <w:pStyle w:val="EndnoteText"/>
        <w:rPr>
          <w:rFonts w:cs="Arial"/>
          <w:szCs w:val="24"/>
          <w:lang w:val="fr-FR"/>
        </w:rPr>
      </w:pPr>
      <w:r w:rsidRPr="008920BA">
        <w:rPr>
          <w:rStyle w:val="EndnoteReference"/>
          <w:rFonts w:cs="Arial"/>
          <w:szCs w:val="24"/>
        </w:rPr>
        <w:endnoteRef/>
      </w:r>
      <w:r w:rsidRPr="00BD1154">
        <w:rPr>
          <w:rFonts w:cs="Arial"/>
          <w:szCs w:val="24"/>
          <w:lang w:val="fr-FR"/>
        </w:rPr>
        <w:t xml:space="preserve"> Ibid</w:t>
      </w:r>
      <w:r w:rsidRPr="00BD1154">
        <w:rPr>
          <w:rFonts w:cs="Arial"/>
          <w:color w:val="000000"/>
          <w:szCs w:val="24"/>
          <w:lang w:val="fr-FR"/>
        </w:rPr>
        <w:t>.</w:t>
      </w:r>
    </w:p>
  </w:endnote>
  <w:endnote w:id="316">
    <w:p w14:paraId="354EDB6A" w14:textId="77777777" w:rsidR="005E3498" w:rsidRPr="00BD1154" w:rsidRDefault="005E3498" w:rsidP="00BA0761">
      <w:pPr>
        <w:pStyle w:val="EndnoteText"/>
        <w:rPr>
          <w:rFonts w:cs="Arial"/>
          <w:szCs w:val="24"/>
          <w:lang w:val="fr-FR"/>
        </w:rPr>
      </w:pPr>
      <w:r w:rsidRPr="008920BA">
        <w:rPr>
          <w:rStyle w:val="EndnoteReference"/>
          <w:rFonts w:cs="Arial"/>
          <w:szCs w:val="24"/>
        </w:rPr>
        <w:endnoteRef/>
      </w:r>
      <w:r w:rsidRPr="00BD1154">
        <w:rPr>
          <w:rFonts w:cs="Arial"/>
          <w:szCs w:val="24"/>
          <w:lang w:val="fr-FR"/>
        </w:rPr>
        <w:t xml:space="preserve"> 42 U.S.C. § 2601, </w:t>
      </w:r>
      <w:r w:rsidRPr="00BD1154">
        <w:rPr>
          <w:rFonts w:cs="Arial"/>
          <w:i/>
          <w:szCs w:val="24"/>
          <w:lang w:val="fr-FR"/>
        </w:rPr>
        <w:t xml:space="preserve">et </w:t>
      </w:r>
      <w:r w:rsidRPr="00BD1154">
        <w:rPr>
          <w:rFonts w:cs="Arial"/>
          <w:i/>
          <w:szCs w:val="24"/>
          <w:lang w:val="fr-FR"/>
        </w:rPr>
        <w:t>seq.</w:t>
      </w:r>
    </w:p>
  </w:endnote>
  <w:endnote w:id="317">
    <w:p w14:paraId="2D44456E" w14:textId="77777777" w:rsidR="005E3498" w:rsidRPr="00BD1154" w:rsidRDefault="005E3498" w:rsidP="00BA0761">
      <w:pPr>
        <w:pStyle w:val="EndnoteText"/>
        <w:rPr>
          <w:rFonts w:cs="Arial"/>
          <w:szCs w:val="24"/>
          <w:lang w:val="fr-FR"/>
        </w:rPr>
      </w:pPr>
      <w:r w:rsidRPr="008920BA">
        <w:rPr>
          <w:rStyle w:val="EndnoteReference"/>
          <w:rFonts w:cs="Arial"/>
          <w:szCs w:val="24"/>
        </w:rPr>
        <w:endnoteRef/>
      </w:r>
      <w:r w:rsidRPr="00BD1154">
        <w:rPr>
          <w:rFonts w:cs="Arial"/>
          <w:szCs w:val="24"/>
          <w:lang w:val="fr-FR"/>
        </w:rPr>
        <w:t xml:space="preserve"> </w:t>
      </w:r>
      <w:r w:rsidRPr="00BD1154">
        <w:rPr>
          <w:rFonts w:cs="Arial"/>
          <w:color w:val="333333"/>
          <w:szCs w:val="24"/>
          <w:lang w:val="fr-FR"/>
        </w:rPr>
        <w:t>42 U.S.C</w:t>
      </w:r>
      <w:r w:rsidRPr="0011139E">
        <w:rPr>
          <w:rFonts w:cs="Arial"/>
          <w:szCs w:val="24"/>
          <w:lang w:val="fr-FR"/>
        </w:rPr>
        <w:t>. § 2000ff.</w:t>
      </w:r>
    </w:p>
  </w:endnote>
  <w:endnote w:id="318">
    <w:p w14:paraId="2F285139" w14:textId="77777777" w:rsidR="005E3498" w:rsidRPr="008920BA" w:rsidRDefault="005E3498" w:rsidP="00BA0761">
      <w:pPr>
        <w:pStyle w:val="EndnoteText"/>
        <w:rPr>
          <w:rFonts w:cs="Arial"/>
          <w:szCs w:val="24"/>
        </w:rPr>
      </w:pPr>
      <w:r w:rsidRPr="008920BA">
        <w:rPr>
          <w:rStyle w:val="EndnoteReference"/>
          <w:rFonts w:cs="Arial"/>
          <w:szCs w:val="24"/>
        </w:rPr>
        <w:endnoteRef/>
      </w:r>
      <w:r w:rsidRPr="008920BA">
        <w:rPr>
          <w:rFonts w:cs="Arial"/>
          <w:szCs w:val="24"/>
        </w:rPr>
        <w:t xml:space="preserve"> </w:t>
      </w:r>
      <w:r w:rsidRPr="008920BA">
        <w:rPr>
          <w:rFonts w:cs="Arial"/>
          <w:szCs w:val="24"/>
        </w:rPr>
        <w:t xml:space="preserve">29 U.S.C. § 3101, </w:t>
      </w:r>
      <w:r w:rsidRPr="0011139E">
        <w:rPr>
          <w:rFonts w:cs="Arial"/>
          <w:i/>
          <w:szCs w:val="24"/>
        </w:rPr>
        <w:t>et seq.</w:t>
      </w:r>
    </w:p>
  </w:endnote>
  <w:endnote w:id="319">
    <w:p w14:paraId="38C0BD64" w14:textId="4F762056" w:rsidR="005E3498" w:rsidRPr="00C92F15" w:rsidRDefault="005E3498" w:rsidP="00BA0761">
      <w:pPr>
        <w:pStyle w:val="Default"/>
        <w:spacing w:after="200"/>
        <w:rPr>
          <w:rFonts w:ascii="Arial" w:hAnsi="Arial" w:cs="Arial"/>
        </w:rPr>
      </w:pPr>
      <w:r w:rsidRPr="008920BA">
        <w:rPr>
          <w:rStyle w:val="EndnoteReference"/>
          <w:rFonts w:cs="Arial"/>
        </w:rPr>
        <w:endnoteRef/>
      </w:r>
      <w:r w:rsidRPr="008920BA">
        <w:rPr>
          <w:rFonts w:ascii="Arial" w:hAnsi="Arial" w:cs="Arial"/>
        </w:rPr>
        <w:t xml:space="preserve"> </w:t>
      </w:r>
      <w:r w:rsidRPr="008920BA">
        <w:rPr>
          <w:rFonts w:ascii="Arial" w:hAnsi="Arial" w:cs="Arial"/>
        </w:rPr>
        <w:t>U.S. Department of Labor, Wage and Hour Division</w:t>
      </w:r>
      <w:r>
        <w:rPr>
          <w:rFonts w:ascii="Arial" w:hAnsi="Arial" w:cs="Arial"/>
        </w:rPr>
        <w:t>. July 2016.</w:t>
      </w:r>
      <w:r w:rsidRPr="008920BA">
        <w:rPr>
          <w:rFonts w:ascii="Arial" w:hAnsi="Arial" w:cs="Arial"/>
        </w:rPr>
        <w:t xml:space="preserve"> </w:t>
      </w:r>
      <w:r>
        <w:rPr>
          <w:rFonts w:ascii="Arial" w:hAnsi="Arial" w:cs="Arial"/>
        </w:rPr>
        <w:t>“</w:t>
      </w:r>
      <w:r w:rsidRPr="008920BA">
        <w:rPr>
          <w:rFonts w:ascii="Arial" w:hAnsi="Arial" w:cs="Arial"/>
          <w:bCs/>
        </w:rPr>
        <w:t>Fact Sheet #39H: The Workforce Innovation and Opportunity Act and Limitations on Payment of Subminimum Wages under Section 14(c) of the Fair Labor Standards Ac</w:t>
      </w:r>
      <w:r>
        <w:rPr>
          <w:rFonts w:ascii="Arial" w:hAnsi="Arial" w:cs="Arial"/>
          <w:bCs/>
        </w:rPr>
        <w:t>t.”</w:t>
      </w:r>
      <w:r w:rsidRPr="008920BA">
        <w:rPr>
          <w:rFonts w:ascii="Arial" w:hAnsi="Arial" w:cs="Arial"/>
          <w:bCs/>
        </w:rPr>
        <w:t xml:space="preserve"> </w:t>
      </w:r>
      <w:hyperlink r:id="rId115" w:tooltip="https://www.dol.gov/whd/regs/compliance/whdfs39h.pdf" w:history="1">
        <w:r w:rsidRPr="008920BA">
          <w:rPr>
            <w:rStyle w:val="Hyperlink"/>
            <w:rFonts w:cs="Arial"/>
          </w:rPr>
          <w:t>https://www.dol.gov/whd/regs/compliance/whdfs39h.pdf</w:t>
        </w:r>
      </w:hyperlink>
      <w:r w:rsidRPr="00C92F15">
        <w:rPr>
          <w:rFonts w:ascii="Arial" w:hAnsi="Arial" w:cs="Arial"/>
        </w:rPr>
        <w:t>.</w:t>
      </w:r>
    </w:p>
  </w:endnote>
  <w:endnote w:id="320">
    <w:p w14:paraId="552E7C52" w14:textId="0F85458C" w:rsidR="005E3498" w:rsidRPr="008920BA" w:rsidRDefault="005E3498" w:rsidP="00BA0761">
      <w:pPr>
        <w:pStyle w:val="EndnoteText"/>
        <w:rPr>
          <w:rFonts w:cs="Arial"/>
          <w:szCs w:val="24"/>
        </w:rPr>
      </w:pPr>
      <w:r w:rsidRPr="008920BA">
        <w:rPr>
          <w:rStyle w:val="EndnoteReference"/>
          <w:rFonts w:cs="Arial"/>
          <w:szCs w:val="24"/>
        </w:rPr>
        <w:endnoteRef/>
      </w:r>
      <w:r>
        <w:rPr>
          <w:rFonts w:cs="Arial"/>
          <w:szCs w:val="24"/>
        </w:rPr>
        <w:t xml:space="preserve"> </w:t>
      </w:r>
      <w:r w:rsidRPr="001D3AA3">
        <w:rPr>
          <w:rFonts w:cs="Arial"/>
          <w:szCs w:val="24"/>
        </w:rPr>
        <w:t>National Council on Disability</w:t>
      </w:r>
      <w:r>
        <w:rPr>
          <w:rFonts w:cs="Arial"/>
          <w:szCs w:val="24"/>
        </w:rPr>
        <w:t>.</w:t>
      </w:r>
      <w:r w:rsidRPr="008920BA">
        <w:rPr>
          <w:rFonts w:cs="Arial"/>
          <w:szCs w:val="24"/>
        </w:rPr>
        <w:t xml:space="preserve"> </w:t>
      </w:r>
      <w:r w:rsidRPr="008920BA">
        <w:rPr>
          <w:rFonts w:cs="Arial"/>
          <w:i/>
          <w:szCs w:val="24"/>
        </w:rPr>
        <w:t>Promises to Keep</w:t>
      </w:r>
      <w:r w:rsidRPr="008920BA">
        <w:rPr>
          <w:rFonts w:cs="Arial"/>
          <w:szCs w:val="24"/>
        </w:rPr>
        <w:t>, 29</w:t>
      </w:r>
      <w:r>
        <w:rPr>
          <w:rFonts w:cs="Arial"/>
          <w:szCs w:val="24"/>
        </w:rPr>
        <w:t>–</w:t>
      </w:r>
      <w:r w:rsidRPr="008920BA">
        <w:rPr>
          <w:rFonts w:cs="Arial"/>
          <w:szCs w:val="24"/>
        </w:rPr>
        <w:t>30.</w:t>
      </w:r>
    </w:p>
  </w:endnote>
  <w:endnote w:id="321">
    <w:p w14:paraId="73642B34"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Ibid., 2.</w:t>
      </w:r>
    </w:p>
  </w:endnote>
  <w:endnote w:id="322">
    <w:p w14:paraId="64DA6CCA"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Ibid., 389.</w:t>
      </w:r>
    </w:p>
  </w:endnote>
  <w:endnote w:id="323">
    <w:p w14:paraId="2A8C67D0" w14:textId="77777777"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Ibid.</w:t>
      </w:r>
    </w:p>
  </w:endnote>
  <w:endnote w:id="324">
    <w:p w14:paraId="677755A6" w14:textId="07A0D6AE" w:rsidR="005E3498" w:rsidRPr="00EF6EAF"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Ibid., A-11</w:t>
      </w:r>
      <w:r>
        <w:rPr>
          <w:rFonts w:cs="Arial"/>
          <w:szCs w:val="24"/>
        </w:rPr>
        <w:t>–</w:t>
      </w:r>
      <w:r w:rsidRPr="00EF6EAF">
        <w:rPr>
          <w:rFonts w:cs="Arial"/>
          <w:szCs w:val="24"/>
        </w:rPr>
        <w:t xml:space="preserve">A-19. </w:t>
      </w:r>
    </w:p>
  </w:endnote>
  <w:endnote w:id="325">
    <w:p w14:paraId="681DBF42" w14:textId="243D53BE" w:rsidR="005E3498" w:rsidRPr="008920BA" w:rsidRDefault="005E3498" w:rsidP="00BA0761">
      <w:pPr>
        <w:pStyle w:val="EndnoteText"/>
        <w:rPr>
          <w:rFonts w:cs="Arial"/>
          <w:szCs w:val="24"/>
        </w:rPr>
      </w:pPr>
      <w:r w:rsidRPr="00EF6EAF">
        <w:rPr>
          <w:rStyle w:val="EndnoteReference"/>
          <w:rFonts w:cs="Arial"/>
          <w:szCs w:val="24"/>
        </w:rPr>
        <w:endnoteRef/>
      </w:r>
      <w:r w:rsidRPr="00EF6EAF">
        <w:rPr>
          <w:rFonts w:cs="Arial"/>
          <w:szCs w:val="24"/>
        </w:rPr>
        <w:t xml:space="preserve"> </w:t>
      </w:r>
      <w:r w:rsidRPr="00EF6EAF">
        <w:rPr>
          <w:rFonts w:cs="Arial"/>
          <w:szCs w:val="24"/>
        </w:rPr>
        <w:t>Ibid., A-29</w:t>
      </w:r>
      <w:r>
        <w:rPr>
          <w:rFonts w:cs="Arial"/>
          <w:szCs w:val="24"/>
        </w:rPr>
        <w:t>–</w:t>
      </w:r>
      <w:r w:rsidRPr="008920BA">
        <w:rPr>
          <w:rFonts w:cs="Arial"/>
          <w:szCs w:val="24"/>
        </w:rPr>
        <w:t xml:space="preserve">A-32. </w:t>
      </w:r>
    </w:p>
  </w:endnote>
  <w:endnote w:id="326">
    <w:p w14:paraId="583F2DC7" w14:textId="373E756C" w:rsidR="005E3498" w:rsidRPr="008920BA" w:rsidRDefault="005E3498" w:rsidP="00BA0761">
      <w:pPr>
        <w:pStyle w:val="EndnoteText"/>
        <w:rPr>
          <w:rFonts w:cs="Arial"/>
          <w:szCs w:val="24"/>
        </w:rPr>
      </w:pPr>
      <w:r w:rsidRPr="008920BA">
        <w:rPr>
          <w:rStyle w:val="EndnoteReference"/>
          <w:rFonts w:cs="Arial"/>
          <w:szCs w:val="24"/>
        </w:rPr>
        <w:endnoteRef/>
      </w:r>
      <w:r>
        <w:rPr>
          <w:rFonts w:cs="Arial"/>
          <w:szCs w:val="24"/>
        </w:rPr>
        <w:t xml:space="preserve"> </w:t>
      </w:r>
      <w:r w:rsidRPr="001D3AA3">
        <w:rPr>
          <w:rFonts w:cs="Arial"/>
          <w:szCs w:val="24"/>
        </w:rPr>
        <w:t>U.S. Department of Labor, Data Enforcement, OFCCP Compliance Evaluation and Complaint Investigations Data</w:t>
      </w:r>
      <w:r>
        <w:rPr>
          <w:rFonts w:cs="Arial"/>
          <w:szCs w:val="24"/>
        </w:rPr>
        <w:t>.</w:t>
      </w:r>
      <w:r w:rsidRPr="001D3AA3">
        <w:rPr>
          <w:rFonts w:cs="Arial"/>
          <w:szCs w:val="24"/>
        </w:rPr>
        <w:t xml:space="preserve"> </w:t>
      </w:r>
      <w:hyperlink r:id="rId116" w:tooltip="https://enforcedata.dol.gov/views/data_summary.php" w:history="1">
        <w:r w:rsidRPr="001D3AA3">
          <w:rPr>
            <w:rStyle w:val="Hyperlink"/>
            <w:rFonts w:cs="Arial"/>
            <w:szCs w:val="24"/>
          </w:rPr>
          <w:t>https://enforcedata.dol.gov/views/data_summary.php</w:t>
        </w:r>
      </w:hyperlink>
      <w:r>
        <w:rPr>
          <w:rStyle w:val="Hyperlink"/>
          <w:rFonts w:cs="Arial"/>
          <w:szCs w:val="24"/>
        </w:rPr>
        <w:t>.</w:t>
      </w:r>
      <w:r>
        <w:t xml:space="preserve"> </w:t>
      </w:r>
      <w:r w:rsidRPr="00F370C7">
        <w:rPr>
          <w:rStyle w:val="Hyperlink"/>
          <w:rFonts w:cs="Arial"/>
          <w:color w:val="auto"/>
          <w:szCs w:val="24"/>
          <w:u w:val="none"/>
        </w:rPr>
        <w:t xml:space="preserve">(Accessed June 25, </w:t>
      </w:r>
      <w:r>
        <w:rPr>
          <w:rStyle w:val="Hyperlink"/>
          <w:rFonts w:cs="Arial"/>
          <w:color w:val="auto"/>
          <w:szCs w:val="24"/>
          <w:u w:val="none"/>
        </w:rPr>
        <w:t>2018).</w:t>
      </w:r>
    </w:p>
  </w:endnote>
  <w:endnote w:id="327">
    <w:p w14:paraId="4D7DE594" w14:textId="77777777" w:rsidR="005E3498" w:rsidRPr="00C3443A" w:rsidRDefault="005E3498" w:rsidP="00BA0761">
      <w:pPr>
        <w:pStyle w:val="EndnoteText"/>
        <w:rPr>
          <w:rFonts w:cs="Arial"/>
          <w:szCs w:val="24"/>
        </w:rPr>
      </w:pPr>
      <w:r w:rsidRPr="00C3443A">
        <w:rPr>
          <w:rFonts w:cs="Arial"/>
          <w:szCs w:val="24"/>
          <w:vertAlign w:val="superscript"/>
        </w:rPr>
        <w:t>327</w:t>
      </w:r>
      <w:r w:rsidRPr="00C3443A">
        <w:rPr>
          <w:rFonts w:cs="Arial"/>
          <w:szCs w:val="24"/>
        </w:rPr>
        <w:t xml:space="preserve"> Generally, a Conciliation Agreement is the document that CRC will use to achieve voluntary compliance after it has issued a Letter of Findings, Initial Determination, or similar document finding that a respondent has violated the law, e</w:t>
      </w:r>
      <w:r w:rsidRPr="00C3443A">
        <w:rPr>
          <w:rFonts w:cs="Arial"/>
          <w:i/>
          <w:szCs w:val="24"/>
        </w:rPr>
        <w:t>.</w:t>
      </w:r>
      <w:r w:rsidRPr="00C3443A">
        <w:rPr>
          <w:rFonts w:cs="Arial"/>
          <w:szCs w:val="24"/>
        </w:rPr>
        <w:t>g., 29 CFR 38.91, 38.93. A Settlement Agreement is used to achieve voluntary compliance in cases in which no formal finding of violation has been issued. All of CRC’s Conciliation Agreements and Settlement Agreements require the entities involved to take appropriate remedial actions.</w:t>
      </w:r>
    </w:p>
  </w:endnote>
  <w:endnote w:id="328">
    <w:p w14:paraId="71DD30E2" w14:textId="77777777" w:rsidR="005E3498" w:rsidRPr="00556403" w:rsidRDefault="005E3498" w:rsidP="00BA0761">
      <w:pPr>
        <w:pStyle w:val="EndnoteText"/>
        <w:rPr>
          <w:rStyle w:val="EndnoteReference"/>
          <w:rFonts w:asciiTheme="minorHAnsi" w:hAnsiTheme="minorHAnsi" w:cstheme="minorBidi"/>
          <w:szCs w:val="24"/>
        </w:rPr>
      </w:pPr>
      <w:r w:rsidRPr="00556403">
        <w:rPr>
          <w:rStyle w:val="EndnoteReference"/>
          <w:rFonts w:cs="Arial"/>
          <w:szCs w:val="24"/>
        </w:rPr>
        <w:endnoteRef/>
      </w:r>
      <w:r w:rsidRPr="00C3443A">
        <w:rPr>
          <w:rFonts w:cs="Arial"/>
          <w:szCs w:val="24"/>
        </w:rPr>
        <w:t xml:space="preserve"> This case has not yet been resolved. CRC is working with DOL’s Office of the Solicitor, and previously consulted with the U.S. Department of Justice Civil Rights Division’s Disability Rights Section, to determine appropriate next steps. </w:t>
      </w:r>
    </w:p>
  </w:endnote>
  <w:endnote w:id="329">
    <w:p w14:paraId="4DA9514D" w14:textId="77777777" w:rsidR="005E3498" w:rsidRPr="00C3443A" w:rsidRDefault="005E3498" w:rsidP="00BA0761">
      <w:pPr>
        <w:pStyle w:val="EndnoteText"/>
        <w:rPr>
          <w:rFonts w:cs="Arial"/>
          <w:szCs w:val="24"/>
        </w:rPr>
      </w:pPr>
      <w:r w:rsidRPr="00556403">
        <w:rPr>
          <w:rStyle w:val="EndnoteReference"/>
          <w:rFonts w:cs="Arial"/>
          <w:szCs w:val="24"/>
        </w:rPr>
        <w:endnoteRef/>
      </w:r>
      <w:r w:rsidRPr="00C3443A">
        <w:rPr>
          <w:rFonts w:cs="Arial"/>
          <w:szCs w:val="24"/>
        </w:rPr>
        <w:t xml:space="preserve"> Although the regulatory language refers to “the Assistant Secretary,” this authority has been delegated to CRC by Secretary’s Order.</w:t>
      </w:r>
    </w:p>
  </w:endnote>
  <w:endnote w:id="330">
    <w:p w14:paraId="73A0D2E8" w14:textId="77777777" w:rsidR="005E3498" w:rsidRPr="00C3443A" w:rsidRDefault="005E3498" w:rsidP="00BA0761">
      <w:pPr>
        <w:pStyle w:val="EndnoteText"/>
        <w:rPr>
          <w:rFonts w:cs="Arial"/>
          <w:szCs w:val="24"/>
        </w:rPr>
      </w:pPr>
      <w:r w:rsidRPr="00556403">
        <w:rPr>
          <w:rStyle w:val="EndnoteReference"/>
          <w:rFonts w:cs="Arial"/>
          <w:szCs w:val="24"/>
        </w:rPr>
        <w:endnoteRef/>
      </w:r>
      <w:r w:rsidRPr="00C3443A">
        <w:rPr>
          <w:rFonts w:cs="Arial"/>
          <w:szCs w:val="24"/>
        </w:rPr>
        <w:t xml:space="preserve"> See 29 CFR </w:t>
      </w:r>
      <w:r w:rsidRPr="00C3443A">
        <w:rPr>
          <w:rFonts w:cs="Arial"/>
          <w:bCs/>
          <w:szCs w:val="24"/>
        </w:rPr>
        <w:t>§§38.28 through 38.33.</w:t>
      </w:r>
    </w:p>
  </w:endnote>
  <w:endnote w:id="331">
    <w:p w14:paraId="7BC8099C" w14:textId="299D6481" w:rsidR="005E3498" w:rsidRPr="00C3443A" w:rsidRDefault="005E3498" w:rsidP="00BA0761">
      <w:pPr>
        <w:pStyle w:val="EndnoteText"/>
        <w:rPr>
          <w:rFonts w:cs="Arial"/>
          <w:szCs w:val="24"/>
        </w:rPr>
      </w:pPr>
      <w:r w:rsidRPr="00556403">
        <w:rPr>
          <w:rStyle w:val="EndnoteReference"/>
          <w:rFonts w:cs="Arial"/>
          <w:szCs w:val="24"/>
        </w:rPr>
        <w:endnoteRef/>
      </w:r>
      <w:r w:rsidRPr="00C3443A">
        <w:rPr>
          <w:rFonts w:cs="Arial"/>
          <w:szCs w:val="24"/>
        </w:rPr>
        <w:t xml:space="preserve"> See 64 FR 61692 (Nov</w:t>
      </w:r>
      <w:r>
        <w:rPr>
          <w:rFonts w:cs="Arial"/>
          <w:szCs w:val="24"/>
        </w:rPr>
        <w:t>.</w:t>
      </w:r>
      <w:r w:rsidRPr="00C3443A">
        <w:rPr>
          <w:rFonts w:cs="Arial"/>
          <w:szCs w:val="24"/>
        </w:rPr>
        <w:t xml:space="preserve"> 12, 1999).</w:t>
      </w:r>
    </w:p>
  </w:endnote>
  <w:endnote w:id="332">
    <w:p w14:paraId="4425A546" w14:textId="16257D76" w:rsidR="005E3498" w:rsidRPr="00C3443A" w:rsidRDefault="005E3498" w:rsidP="00BA0761">
      <w:pPr>
        <w:pStyle w:val="EndnoteText"/>
        <w:rPr>
          <w:rFonts w:cs="Arial"/>
          <w:szCs w:val="24"/>
        </w:rPr>
      </w:pPr>
      <w:r w:rsidRPr="00556403">
        <w:rPr>
          <w:rStyle w:val="EndnoteReference"/>
          <w:rFonts w:cs="Arial"/>
          <w:szCs w:val="24"/>
        </w:rPr>
        <w:endnoteRef/>
      </w:r>
      <w:r w:rsidRPr="00C3443A">
        <w:rPr>
          <w:rFonts w:cs="Arial"/>
          <w:szCs w:val="24"/>
        </w:rPr>
        <w:t xml:space="preserve"> See 81 FR 87130 (Dec</w:t>
      </w:r>
      <w:r>
        <w:rPr>
          <w:rFonts w:cs="Arial"/>
          <w:szCs w:val="24"/>
        </w:rPr>
        <w:t>.</w:t>
      </w:r>
      <w:r w:rsidRPr="00C3443A">
        <w:rPr>
          <w:rFonts w:cs="Arial"/>
          <w:szCs w:val="24"/>
        </w:rPr>
        <w:t xml:space="preserve"> 2,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modern"/>
    <w:notTrueType/>
    <w:pitch w:val="variable"/>
    <w:sig w:usb0="00000007" w:usb1="00000000" w:usb2="00000000" w:usb3="00000000" w:csb0="00000011" w:csb1="00000000"/>
  </w:font>
  <w:font w:name="Franklin Gothic Book">
    <w:panose1 w:val="020B0503020102020204"/>
    <w:charset w:val="00"/>
    <w:family w:val="swiss"/>
    <w:pitch w:val="variable"/>
    <w:sig w:usb0="00000287" w:usb1="00000000" w:usb2="00000000" w:usb3="00000000" w:csb0="0000009F" w:csb1="00000000"/>
  </w:font>
  <w:font w:name="ITCFranklinGothicStd-Book">
    <w:altName w:val="Calibri"/>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ITCFranklinGothicStd-Demi">
    <w:altName w:val="Calibri"/>
    <w:panose1 w:val="00000000000000000000"/>
    <w:charset w:val="4D"/>
    <w:family w:val="auto"/>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adeGothic Bold">
    <w:altName w:val="Calibri"/>
    <w:panose1 w:val="00000000000000000000"/>
    <w:charset w:val="00"/>
    <w:family w:val="swiss"/>
    <w:notTrueType/>
    <w:pitch w:val="default"/>
    <w:sig w:usb0="00000003" w:usb1="00000000" w:usb2="00000000" w:usb3="00000000" w:csb0="00000001" w:csb1="00000000"/>
  </w:font>
  <w:font w:name="TradeGothic Light">
    <w:altName w:val="Calibri"/>
    <w:panose1 w:val="00000000000000000000"/>
    <w:charset w:val="00"/>
    <w:family w:val="swiss"/>
    <w:notTrueType/>
    <w:pitch w:val="default"/>
    <w:sig w:usb0="00000003" w:usb1="00000000" w:usb2="00000000" w:usb3="00000000" w:csb0="00000001"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4"/>
      </w:rPr>
      <w:id w:val="-920872997"/>
      <w:docPartObj>
        <w:docPartGallery w:val="Page Numbers (Bottom of Page)"/>
        <w:docPartUnique/>
      </w:docPartObj>
    </w:sdtPr>
    <w:sdtEndPr>
      <w:rPr>
        <w:noProof/>
      </w:rPr>
    </w:sdtEndPr>
    <w:sdtContent>
      <w:p w14:paraId="52C5B05A" w14:textId="1D537B2F" w:rsidR="005E3498" w:rsidRPr="002B54BE" w:rsidRDefault="005E3498"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B60FC9">
          <w:rPr>
            <w:noProof/>
            <w:szCs w:val="24"/>
          </w:rPr>
          <w:t>4</w:t>
        </w:r>
        <w:r w:rsidRPr="002B54BE">
          <w:rPr>
            <w:noProof/>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F55B3" w14:textId="77777777" w:rsidR="001D77A3" w:rsidRDefault="001D77A3" w:rsidP="00841C72">
      <w:pPr>
        <w:spacing w:after="0" w:line="240" w:lineRule="auto"/>
      </w:pPr>
      <w:r>
        <w:separator/>
      </w:r>
    </w:p>
  </w:footnote>
  <w:footnote w:type="continuationSeparator" w:id="0">
    <w:p w14:paraId="59B326BE" w14:textId="77777777" w:rsidR="001D77A3" w:rsidRDefault="001D77A3" w:rsidP="00841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A7C7416"/>
    <w:multiLevelType w:val="multilevel"/>
    <w:tmpl w:val="AFE436C8"/>
    <w:styleLink w:val="Level1Bulle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C21BB7"/>
    <w:multiLevelType w:val="multilevel"/>
    <w:tmpl w:val="E84AFAF0"/>
    <w:styleLink w:val="List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4" w15:restartNumberingAfterBreak="0">
    <w:nsid w:val="3DDC4FDA"/>
    <w:multiLevelType w:val="hybridMultilevel"/>
    <w:tmpl w:val="9BA0C10E"/>
    <w:lvl w:ilvl="0" w:tplc="B638321C">
      <w:start w:val="1"/>
      <w:numFmt w:val="decimal"/>
      <w:pStyle w:val="TableNumbering"/>
      <w:lvlText w:val="%1."/>
      <w:lvlJc w:val="left"/>
      <w:pPr>
        <w:ind w:left="360" w:hanging="360"/>
      </w:pPr>
      <w:rPr>
        <w:rFonts w:ascii="Arial" w:hAnsi="Arial" w:cstheme="minorHAnsi" w:hint="default"/>
        <w:b w:val="0"/>
        <w:bCs w:val="0"/>
        <w:i w:val="0"/>
        <w:iCs w:val="0"/>
        <w:caps w:val="0"/>
        <w:strike w:val="0"/>
        <w:dstrike w:val="0"/>
        <w:vanish w:val="0"/>
        <w:color w:val="auto"/>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4679D"/>
    <w:multiLevelType w:val="multilevel"/>
    <w:tmpl w:val="61A20E64"/>
    <w:styleLink w:val="List2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6" w15:restartNumberingAfterBreak="0">
    <w:nsid w:val="42587471"/>
    <w:multiLevelType w:val="multilevel"/>
    <w:tmpl w:val="B73E6D4A"/>
    <w:styleLink w:val="List0"/>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7" w15:restartNumberingAfterBreak="0">
    <w:nsid w:val="43206BE4"/>
    <w:multiLevelType w:val="hybridMultilevel"/>
    <w:tmpl w:val="15940FCC"/>
    <w:lvl w:ilvl="0" w:tplc="79E00BEE">
      <w:start w:val="1"/>
      <w:numFmt w:val="bullet"/>
      <w:pStyle w:val="NCDBulletsLevel2"/>
      <w:lvlText w:val="o"/>
      <w:lvlJc w:val="left"/>
      <w:pPr>
        <w:ind w:left="720" w:hanging="360"/>
      </w:pPr>
      <w:rPr>
        <w:rFonts w:ascii="Courier New" w:hAnsi="Courier New"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5798C"/>
    <w:multiLevelType w:val="multilevel"/>
    <w:tmpl w:val="846A5BFE"/>
    <w:styleLink w:val="List31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9" w15:restartNumberingAfterBreak="0">
    <w:nsid w:val="4A072237"/>
    <w:multiLevelType w:val="multilevel"/>
    <w:tmpl w:val="FD58C45E"/>
    <w:lvl w:ilvl="0">
      <w:start w:val="1"/>
      <w:numFmt w:val="bullet"/>
      <w:pStyle w:val="Bullet2"/>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1117EB"/>
    <w:multiLevelType w:val="multilevel"/>
    <w:tmpl w:val="8EB416CC"/>
    <w:styleLink w:val="Bullet"/>
    <w:lvl w:ilvl="0">
      <w:numFmt w:val="bullet"/>
      <w:lvlText w:val="•"/>
      <w:lvlJc w:val="left"/>
      <w:pPr>
        <w:tabs>
          <w:tab w:val="num" w:pos="196"/>
        </w:tabs>
        <w:ind w:left="1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abstractNum w:abstractNumId="11" w15:restartNumberingAfterBreak="0">
    <w:nsid w:val="51950CB3"/>
    <w:multiLevelType w:val="hybridMultilevel"/>
    <w:tmpl w:val="AD1E0CD6"/>
    <w:lvl w:ilvl="0" w:tplc="F2F2F7A4">
      <w:start w:val="1"/>
      <w:numFmt w:val="bullet"/>
      <w:pStyle w:val="NCDTextBox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3" w15:restartNumberingAfterBreak="0">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4" w15:restartNumberingAfterBreak="0">
    <w:nsid w:val="55E85F89"/>
    <w:multiLevelType w:val="hybridMultilevel"/>
    <w:tmpl w:val="B6EE774A"/>
    <w:lvl w:ilvl="0" w:tplc="8F0EA81C">
      <w:start w:val="1"/>
      <w:numFmt w:val="decimal"/>
      <w:pStyle w:val="NCDNumbered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62710"/>
    <w:multiLevelType w:val="multilevel"/>
    <w:tmpl w:val="B8FAC3FC"/>
    <w:styleLink w:val="List31"/>
    <w:lvl w:ilvl="0">
      <w:numFmt w:val="bullet"/>
      <w:lvlText w:val="▪"/>
      <w:lvlJc w:val="left"/>
      <w:rPr>
        <w:rFonts w:ascii="Arial" w:eastAsia="Arial" w:hAnsi="Arial" w:cs="Arial"/>
        <w:color w:val="1F497D"/>
        <w:spacing w:val="0"/>
        <w:position w:val="0"/>
      </w:rPr>
    </w:lvl>
    <w:lvl w:ilvl="1">
      <w:start w:val="1"/>
      <w:numFmt w:val="bullet"/>
      <w:lvlText w:val="o"/>
      <w:lvlJc w:val="left"/>
      <w:rPr>
        <w:rFonts w:ascii="Arial" w:eastAsia="Arial" w:hAnsi="Arial" w:cs="Arial"/>
        <w:color w:val="1F497D"/>
        <w:spacing w:val="0"/>
        <w:position w:val="0"/>
      </w:rPr>
    </w:lvl>
    <w:lvl w:ilvl="2">
      <w:start w:val="1"/>
      <w:numFmt w:val="bullet"/>
      <w:lvlText w:val="▪"/>
      <w:lvlJc w:val="left"/>
      <w:rPr>
        <w:rFonts w:ascii="Arial" w:eastAsia="Arial" w:hAnsi="Arial" w:cs="Arial"/>
        <w:color w:val="1F497D"/>
        <w:spacing w:val="0"/>
        <w:position w:val="0"/>
      </w:rPr>
    </w:lvl>
    <w:lvl w:ilvl="3">
      <w:start w:val="1"/>
      <w:numFmt w:val="bullet"/>
      <w:lvlText w:val="•"/>
      <w:lvlJc w:val="left"/>
      <w:rPr>
        <w:rFonts w:ascii="Arial" w:eastAsia="Arial" w:hAnsi="Arial" w:cs="Arial"/>
        <w:color w:val="1F497D"/>
        <w:spacing w:val="0"/>
        <w:position w:val="0"/>
      </w:rPr>
    </w:lvl>
    <w:lvl w:ilvl="4">
      <w:start w:val="1"/>
      <w:numFmt w:val="bullet"/>
      <w:lvlText w:val="o"/>
      <w:lvlJc w:val="left"/>
      <w:rPr>
        <w:rFonts w:ascii="Arial" w:eastAsia="Arial" w:hAnsi="Arial" w:cs="Arial"/>
        <w:color w:val="1F497D"/>
        <w:spacing w:val="0"/>
        <w:position w:val="0"/>
      </w:rPr>
    </w:lvl>
    <w:lvl w:ilvl="5">
      <w:start w:val="1"/>
      <w:numFmt w:val="bullet"/>
      <w:lvlText w:val="▪"/>
      <w:lvlJc w:val="left"/>
      <w:rPr>
        <w:rFonts w:ascii="Arial" w:eastAsia="Arial" w:hAnsi="Arial" w:cs="Arial"/>
        <w:color w:val="1F497D"/>
        <w:spacing w:val="0"/>
        <w:position w:val="0"/>
      </w:rPr>
    </w:lvl>
    <w:lvl w:ilvl="6">
      <w:start w:val="1"/>
      <w:numFmt w:val="bullet"/>
      <w:lvlText w:val="•"/>
      <w:lvlJc w:val="left"/>
      <w:rPr>
        <w:rFonts w:ascii="Arial" w:eastAsia="Arial" w:hAnsi="Arial" w:cs="Arial"/>
        <w:color w:val="1F497D"/>
        <w:spacing w:val="0"/>
        <w:position w:val="0"/>
      </w:rPr>
    </w:lvl>
    <w:lvl w:ilvl="7">
      <w:start w:val="1"/>
      <w:numFmt w:val="bullet"/>
      <w:lvlText w:val="o"/>
      <w:lvlJc w:val="left"/>
      <w:rPr>
        <w:rFonts w:ascii="Arial" w:eastAsia="Arial" w:hAnsi="Arial" w:cs="Arial"/>
        <w:color w:val="1F497D"/>
        <w:spacing w:val="0"/>
        <w:position w:val="0"/>
      </w:rPr>
    </w:lvl>
    <w:lvl w:ilvl="8">
      <w:start w:val="1"/>
      <w:numFmt w:val="bullet"/>
      <w:lvlText w:val="▪"/>
      <w:lvlJc w:val="left"/>
      <w:rPr>
        <w:rFonts w:ascii="Arial" w:eastAsia="Arial" w:hAnsi="Arial" w:cs="Arial"/>
        <w:color w:val="1F497D"/>
        <w:spacing w:val="0"/>
        <w:position w:val="0"/>
      </w:rPr>
    </w:lvl>
  </w:abstractNum>
  <w:abstractNum w:abstractNumId="16" w15:restartNumberingAfterBreak="0">
    <w:nsid w:val="5AF233AF"/>
    <w:multiLevelType w:val="multilevel"/>
    <w:tmpl w:val="F8E89D94"/>
    <w:styleLink w:val="Level2Bullet"/>
    <w:lvl w:ilvl="0">
      <w:start w:val="1"/>
      <w:numFmt w:val="bullet"/>
      <w:lvlText w:val=""/>
      <w:lvlJc w:val="left"/>
      <w:pPr>
        <w:tabs>
          <w:tab w:val="num" w:pos="1080"/>
        </w:tabs>
        <w:ind w:left="108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A141AC"/>
    <w:multiLevelType w:val="hybridMultilevel"/>
    <w:tmpl w:val="E056D2D8"/>
    <w:lvl w:ilvl="0" w:tplc="D88E7D56">
      <w:start w:val="1"/>
      <w:numFmt w:val="bullet"/>
      <w:pStyle w:val="Bullet3"/>
      <w:lvlText w:val="■"/>
      <w:lvlJc w:val="left"/>
      <w:pPr>
        <w:ind w:left="108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DB81B9B"/>
    <w:multiLevelType w:val="multilevel"/>
    <w:tmpl w:val="03C2830E"/>
    <w:lvl w:ilvl="0">
      <w:start w:val="1"/>
      <w:numFmt w:val="bullet"/>
      <w:pStyle w:val="Bullet10"/>
      <w:lvlText w:val="●"/>
      <w:lvlJc w:val="left"/>
      <w:pPr>
        <w:ind w:left="360" w:hanging="360"/>
      </w:pPr>
      <w:rPr>
        <w:rFonts w:ascii="Times New Roman" w:hAnsi="Times New Roman" w:cs="Times New Roman" w:hint="default"/>
        <w:b w:val="0"/>
        <w:i w:val="0"/>
        <w:color w:val="002C5F"/>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723E00"/>
    <w:multiLevelType w:val="hybridMultilevel"/>
    <w:tmpl w:val="72B4D5D4"/>
    <w:lvl w:ilvl="0" w:tplc="C19E5DEA">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510692"/>
    <w:multiLevelType w:val="hybridMultilevel"/>
    <w:tmpl w:val="6FC09D3E"/>
    <w:lvl w:ilvl="0" w:tplc="F7AC1780">
      <w:start w:val="1"/>
      <w:numFmt w:val="bullet"/>
      <w:pStyle w:val="NCDBulletsLevel1"/>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976CA16">
      <w:start w:val="1"/>
      <w:numFmt w:val="bullet"/>
      <w:pStyle w:val="NCDBulletsLeve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24AED"/>
    <w:multiLevelType w:val="hybridMultilevel"/>
    <w:tmpl w:val="0FE2B82C"/>
    <w:lvl w:ilvl="0" w:tplc="1CD45966">
      <w:start w:val="1"/>
      <w:numFmt w:val="bullet"/>
      <w:pStyle w:val="TableBullet1"/>
      <w:lvlText w:val="●"/>
      <w:lvlJc w:val="left"/>
      <w:pPr>
        <w:ind w:left="360" w:hanging="360"/>
      </w:pPr>
      <w:rPr>
        <w:rFonts w:ascii="Arial" w:hAnsi="Arial" w:hint="default"/>
        <w:color w:val="002C5F"/>
        <w:sz w:val="20"/>
      </w:rPr>
    </w:lvl>
    <w:lvl w:ilvl="1" w:tplc="E79A92C0">
      <w:start w:val="1"/>
      <w:numFmt w:val="bullet"/>
      <w:lvlText w:val=""/>
      <w:lvlJc w:val="left"/>
      <w:pPr>
        <w:ind w:left="1440" w:hanging="360"/>
      </w:pPr>
      <w:rPr>
        <w:rFonts w:ascii="Wingdings" w:hAnsi="Wingdings" w:hint="default"/>
        <w:color w:val="4B76A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27045"/>
    <w:multiLevelType w:val="hybridMultilevel"/>
    <w:tmpl w:val="52C49188"/>
    <w:lvl w:ilvl="0" w:tplc="2B8887C0">
      <w:start w:val="1"/>
      <w:numFmt w:val="bullet"/>
      <w:pStyle w:val="TableBullet2"/>
      <w:lvlText w:val="–"/>
      <w:lvlJc w:val="left"/>
      <w:pPr>
        <w:ind w:left="63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1"/>
  </w:num>
  <w:num w:numId="2">
    <w:abstractNumId w:val="20"/>
  </w:num>
  <w:num w:numId="3">
    <w:abstractNumId w:val="12"/>
  </w:num>
  <w:num w:numId="4">
    <w:abstractNumId w:val="13"/>
  </w:num>
  <w:num w:numId="5">
    <w:abstractNumId w:val="6"/>
  </w:num>
  <w:num w:numId="6">
    <w:abstractNumId w:val="8"/>
  </w:num>
  <w:num w:numId="7">
    <w:abstractNumId w:val="3"/>
  </w:num>
  <w:num w:numId="8">
    <w:abstractNumId w:val="10"/>
  </w:num>
  <w:num w:numId="9">
    <w:abstractNumId w:val="5"/>
  </w:num>
  <w:num w:numId="10">
    <w:abstractNumId w:val="15"/>
  </w:num>
  <w:num w:numId="11">
    <w:abstractNumId w:val="7"/>
  </w:num>
  <w:num w:numId="12">
    <w:abstractNumId w:val="1"/>
  </w:num>
  <w:num w:numId="13">
    <w:abstractNumId w:val="18"/>
  </w:num>
  <w:num w:numId="14">
    <w:abstractNumId w:val="0"/>
  </w:num>
  <w:num w:numId="15">
    <w:abstractNumId w:val="9"/>
  </w:num>
  <w:num w:numId="16">
    <w:abstractNumId w:val="17"/>
  </w:num>
  <w:num w:numId="17">
    <w:abstractNumId w:val="2"/>
  </w:num>
  <w:num w:numId="18">
    <w:abstractNumId w:val="16"/>
  </w:num>
  <w:num w:numId="19">
    <w:abstractNumId w:val="19"/>
  </w:num>
  <w:num w:numId="20">
    <w:abstractNumId w:val="21"/>
  </w:num>
  <w:num w:numId="21">
    <w:abstractNumId w:val="22"/>
  </w:num>
  <w:num w:numId="22">
    <w:abstractNumId w:val="4"/>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610"/>
    <w:rsid w:val="000007C9"/>
    <w:rsid w:val="00000862"/>
    <w:rsid w:val="00002B3D"/>
    <w:rsid w:val="0000426B"/>
    <w:rsid w:val="00006306"/>
    <w:rsid w:val="00006E2F"/>
    <w:rsid w:val="0000737A"/>
    <w:rsid w:val="0000737D"/>
    <w:rsid w:val="00010376"/>
    <w:rsid w:val="00010434"/>
    <w:rsid w:val="00011289"/>
    <w:rsid w:val="000113A7"/>
    <w:rsid w:val="000118A8"/>
    <w:rsid w:val="00011DF9"/>
    <w:rsid w:val="000123CC"/>
    <w:rsid w:val="000130C1"/>
    <w:rsid w:val="000157C6"/>
    <w:rsid w:val="00015C6D"/>
    <w:rsid w:val="00015D1A"/>
    <w:rsid w:val="00016385"/>
    <w:rsid w:val="00016EDA"/>
    <w:rsid w:val="000207D7"/>
    <w:rsid w:val="00020F4D"/>
    <w:rsid w:val="00021130"/>
    <w:rsid w:val="00021D35"/>
    <w:rsid w:val="000228BA"/>
    <w:rsid w:val="00022B50"/>
    <w:rsid w:val="00022D03"/>
    <w:rsid w:val="00023527"/>
    <w:rsid w:val="00024031"/>
    <w:rsid w:val="000257F6"/>
    <w:rsid w:val="00026495"/>
    <w:rsid w:val="00030D8D"/>
    <w:rsid w:val="0003136B"/>
    <w:rsid w:val="00031901"/>
    <w:rsid w:val="00031B19"/>
    <w:rsid w:val="00032A5A"/>
    <w:rsid w:val="000332BD"/>
    <w:rsid w:val="000332FA"/>
    <w:rsid w:val="00034D45"/>
    <w:rsid w:val="00035F81"/>
    <w:rsid w:val="00036014"/>
    <w:rsid w:val="00036C45"/>
    <w:rsid w:val="000378E0"/>
    <w:rsid w:val="00037AA7"/>
    <w:rsid w:val="00037AD9"/>
    <w:rsid w:val="00037C02"/>
    <w:rsid w:val="000412D9"/>
    <w:rsid w:val="00041BE1"/>
    <w:rsid w:val="00041DDA"/>
    <w:rsid w:val="000424A3"/>
    <w:rsid w:val="00042638"/>
    <w:rsid w:val="00043A14"/>
    <w:rsid w:val="00044DDB"/>
    <w:rsid w:val="000456A0"/>
    <w:rsid w:val="00045C50"/>
    <w:rsid w:val="00046181"/>
    <w:rsid w:val="00047948"/>
    <w:rsid w:val="00047954"/>
    <w:rsid w:val="000479DD"/>
    <w:rsid w:val="00050306"/>
    <w:rsid w:val="00051AF8"/>
    <w:rsid w:val="0005287D"/>
    <w:rsid w:val="00052C1C"/>
    <w:rsid w:val="00053876"/>
    <w:rsid w:val="00053889"/>
    <w:rsid w:val="00055991"/>
    <w:rsid w:val="00055F44"/>
    <w:rsid w:val="00060097"/>
    <w:rsid w:val="000603EC"/>
    <w:rsid w:val="000612BA"/>
    <w:rsid w:val="000613DA"/>
    <w:rsid w:val="0006161A"/>
    <w:rsid w:val="000616DC"/>
    <w:rsid w:val="00061781"/>
    <w:rsid w:val="0006189F"/>
    <w:rsid w:val="000623FB"/>
    <w:rsid w:val="00062AEE"/>
    <w:rsid w:val="000638E5"/>
    <w:rsid w:val="00063CCD"/>
    <w:rsid w:val="000651DF"/>
    <w:rsid w:val="00065257"/>
    <w:rsid w:val="00065E65"/>
    <w:rsid w:val="00067464"/>
    <w:rsid w:val="0007082D"/>
    <w:rsid w:val="00071569"/>
    <w:rsid w:val="0007179A"/>
    <w:rsid w:val="00071CA3"/>
    <w:rsid w:val="00072E09"/>
    <w:rsid w:val="00072EA3"/>
    <w:rsid w:val="00072EEE"/>
    <w:rsid w:val="0007302C"/>
    <w:rsid w:val="000735A4"/>
    <w:rsid w:val="000753AA"/>
    <w:rsid w:val="00075CE1"/>
    <w:rsid w:val="000760A2"/>
    <w:rsid w:val="00080E6A"/>
    <w:rsid w:val="0008276F"/>
    <w:rsid w:val="00086051"/>
    <w:rsid w:val="0008750C"/>
    <w:rsid w:val="00087899"/>
    <w:rsid w:val="0009010A"/>
    <w:rsid w:val="00090A5F"/>
    <w:rsid w:val="000913CA"/>
    <w:rsid w:val="000918AA"/>
    <w:rsid w:val="00091DFB"/>
    <w:rsid w:val="000945D9"/>
    <w:rsid w:val="000960AA"/>
    <w:rsid w:val="00096A46"/>
    <w:rsid w:val="000A0388"/>
    <w:rsid w:val="000A06A6"/>
    <w:rsid w:val="000A07C7"/>
    <w:rsid w:val="000A2731"/>
    <w:rsid w:val="000A2944"/>
    <w:rsid w:val="000A2B4D"/>
    <w:rsid w:val="000A4259"/>
    <w:rsid w:val="000A5988"/>
    <w:rsid w:val="000A6577"/>
    <w:rsid w:val="000B073C"/>
    <w:rsid w:val="000B07B2"/>
    <w:rsid w:val="000B0E38"/>
    <w:rsid w:val="000B1F14"/>
    <w:rsid w:val="000B23C8"/>
    <w:rsid w:val="000B3398"/>
    <w:rsid w:val="000B4EF4"/>
    <w:rsid w:val="000B5C37"/>
    <w:rsid w:val="000B602A"/>
    <w:rsid w:val="000B6815"/>
    <w:rsid w:val="000B6F46"/>
    <w:rsid w:val="000B722C"/>
    <w:rsid w:val="000C09D8"/>
    <w:rsid w:val="000C1248"/>
    <w:rsid w:val="000C1C23"/>
    <w:rsid w:val="000C213B"/>
    <w:rsid w:val="000C3B97"/>
    <w:rsid w:val="000C6F87"/>
    <w:rsid w:val="000C7FAD"/>
    <w:rsid w:val="000D0859"/>
    <w:rsid w:val="000D0B91"/>
    <w:rsid w:val="000D0FF8"/>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D03"/>
    <w:rsid w:val="000E1340"/>
    <w:rsid w:val="000E3BA7"/>
    <w:rsid w:val="000E50B0"/>
    <w:rsid w:val="000E6112"/>
    <w:rsid w:val="000E62C8"/>
    <w:rsid w:val="000E65A2"/>
    <w:rsid w:val="000E6AC0"/>
    <w:rsid w:val="000E75CB"/>
    <w:rsid w:val="000E7A32"/>
    <w:rsid w:val="000F0DDC"/>
    <w:rsid w:val="000F11EE"/>
    <w:rsid w:val="000F16E4"/>
    <w:rsid w:val="000F1993"/>
    <w:rsid w:val="000F1ADA"/>
    <w:rsid w:val="000F31FE"/>
    <w:rsid w:val="000F398E"/>
    <w:rsid w:val="000F438F"/>
    <w:rsid w:val="000F4632"/>
    <w:rsid w:val="000F4992"/>
    <w:rsid w:val="000F5905"/>
    <w:rsid w:val="000F7181"/>
    <w:rsid w:val="000F7A59"/>
    <w:rsid w:val="000F7EFB"/>
    <w:rsid w:val="001003DE"/>
    <w:rsid w:val="00101B24"/>
    <w:rsid w:val="001057D8"/>
    <w:rsid w:val="00105AD2"/>
    <w:rsid w:val="00105AE9"/>
    <w:rsid w:val="00105C64"/>
    <w:rsid w:val="00106D9E"/>
    <w:rsid w:val="0011098D"/>
    <w:rsid w:val="001111B5"/>
    <w:rsid w:val="0011139E"/>
    <w:rsid w:val="00111443"/>
    <w:rsid w:val="001115C1"/>
    <w:rsid w:val="00112E8C"/>
    <w:rsid w:val="001141E6"/>
    <w:rsid w:val="00114F11"/>
    <w:rsid w:val="00115A4C"/>
    <w:rsid w:val="001175CA"/>
    <w:rsid w:val="001177B6"/>
    <w:rsid w:val="00120A98"/>
    <w:rsid w:val="00120FD2"/>
    <w:rsid w:val="001217ED"/>
    <w:rsid w:val="0012257A"/>
    <w:rsid w:val="00122CCF"/>
    <w:rsid w:val="00122FC3"/>
    <w:rsid w:val="001236BD"/>
    <w:rsid w:val="0012408E"/>
    <w:rsid w:val="00124FC7"/>
    <w:rsid w:val="0012682F"/>
    <w:rsid w:val="00126F74"/>
    <w:rsid w:val="0012732D"/>
    <w:rsid w:val="00130536"/>
    <w:rsid w:val="00133E8B"/>
    <w:rsid w:val="00133F5E"/>
    <w:rsid w:val="0013480A"/>
    <w:rsid w:val="00135AA9"/>
    <w:rsid w:val="00136938"/>
    <w:rsid w:val="001404BF"/>
    <w:rsid w:val="001406DF"/>
    <w:rsid w:val="00140836"/>
    <w:rsid w:val="00140BDB"/>
    <w:rsid w:val="00141572"/>
    <w:rsid w:val="00141A4F"/>
    <w:rsid w:val="00141FA8"/>
    <w:rsid w:val="001428F4"/>
    <w:rsid w:val="001428F5"/>
    <w:rsid w:val="00142D2A"/>
    <w:rsid w:val="00143048"/>
    <w:rsid w:val="001436F9"/>
    <w:rsid w:val="00143B49"/>
    <w:rsid w:val="00144230"/>
    <w:rsid w:val="001451E6"/>
    <w:rsid w:val="00145242"/>
    <w:rsid w:val="001500B4"/>
    <w:rsid w:val="001501A5"/>
    <w:rsid w:val="0015093A"/>
    <w:rsid w:val="00151197"/>
    <w:rsid w:val="00151385"/>
    <w:rsid w:val="00152335"/>
    <w:rsid w:val="00154B58"/>
    <w:rsid w:val="00154B85"/>
    <w:rsid w:val="0015665E"/>
    <w:rsid w:val="00160741"/>
    <w:rsid w:val="00165169"/>
    <w:rsid w:val="001657F4"/>
    <w:rsid w:val="001670FE"/>
    <w:rsid w:val="00167B8A"/>
    <w:rsid w:val="0017021D"/>
    <w:rsid w:val="001720DF"/>
    <w:rsid w:val="001726CB"/>
    <w:rsid w:val="001734C3"/>
    <w:rsid w:val="00173755"/>
    <w:rsid w:val="00173F52"/>
    <w:rsid w:val="00174349"/>
    <w:rsid w:val="00175E12"/>
    <w:rsid w:val="00177766"/>
    <w:rsid w:val="00177C18"/>
    <w:rsid w:val="00177D42"/>
    <w:rsid w:val="001801D0"/>
    <w:rsid w:val="00180507"/>
    <w:rsid w:val="00180509"/>
    <w:rsid w:val="00180A58"/>
    <w:rsid w:val="001816A2"/>
    <w:rsid w:val="00181EAC"/>
    <w:rsid w:val="0018299E"/>
    <w:rsid w:val="00183FEF"/>
    <w:rsid w:val="001841C7"/>
    <w:rsid w:val="001842E2"/>
    <w:rsid w:val="0018438E"/>
    <w:rsid w:val="0018439A"/>
    <w:rsid w:val="001843C0"/>
    <w:rsid w:val="001849F2"/>
    <w:rsid w:val="0018555C"/>
    <w:rsid w:val="00186F2F"/>
    <w:rsid w:val="0018711F"/>
    <w:rsid w:val="00187FDA"/>
    <w:rsid w:val="00190E56"/>
    <w:rsid w:val="001910C6"/>
    <w:rsid w:val="0019132C"/>
    <w:rsid w:val="0019154A"/>
    <w:rsid w:val="0019154D"/>
    <w:rsid w:val="00191627"/>
    <w:rsid w:val="00191C5F"/>
    <w:rsid w:val="00192549"/>
    <w:rsid w:val="00192B26"/>
    <w:rsid w:val="001934EE"/>
    <w:rsid w:val="00193573"/>
    <w:rsid w:val="00193809"/>
    <w:rsid w:val="00193835"/>
    <w:rsid w:val="00193933"/>
    <w:rsid w:val="00195490"/>
    <w:rsid w:val="0019617C"/>
    <w:rsid w:val="00197E58"/>
    <w:rsid w:val="001A1A26"/>
    <w:rsid w:val="001A1BC9"/>
    <w:rsid w:val="001A307E"/>
    <w:rsid w:val="001A3135"/>
    <w:rsid w:val="001A3145"/>
    <w:rsid w:val="001A3855"/>
    <w:rsid w:val="001A456E"/>
    <w:rsid w:val="001A55A7"/>
    <w:rsid w:val="001A5B3D"/>
    <w:rsid w:val="001A6223"/>
    <w:rsid w:val="001A6906"/>
    <w:rsid w:val="001A6DD3"/>
    <w:rsid w:val="001A71EF"/>
    <w:rsid w:val="001B07C9"/>
    <w:rsid w:val="001B0B60"/>
    <w:rsid w:val="001B1562"/>
    <w:rsid w:val="001B2BDB"/>
    <w:rsid w:val="001B39B0"/>
    <w:rsid w:val="001B3A8D"/>
    <w:rsid w:val="001B5A77"/>
    <w:rsid w:val="001B5A8F"/>
    <w:rsid w:val="001B6815"/>
    <w:rsid w:val="001B6E59"/>
    <w:rsid w:val="001B7B84"/>
    <w:rsid w:val="001B7E46"/>
    <w:rsid w:val="001C1146"/>
    <w:rsid w:val="001C1FF8"/>
    <w:rsid w:val="001C2D5A"/>
    <w:rsid w:val="001C30D9"/>
    <w:rsid w:val="001C3345"/>
    <w:rsid w:val="001C364D"/>
    <w:rsid w:val="001C3B34"/>
    <w:rsid w:val="001C47D1"/>
    <w:rsid w:val="001C5C2B"/>
    <w:rsid w:val="001C5E43"/>
    <w:rsid w:val="001C61BF"/>
    <w:rsid w:val="001C65EB"/>
    <w:rsid w:val="001C70E4"/>
    <w:rsid w:val="001C737E"/>
    <w:rsid w:val="001D0821"/>
    <w:rsid w:val="001D0C96"/>
    <w:rsid w:val="001D1F7F"/>
    <w:rsid w:val="001D2359"/>
    <w:rsid w:val="001D3AA3"/>
    <w:rsid w:val="001D3BBE"/>
    <w:rsid w:val="001D4C99"/>
    <w:rsid w:val="001D4ECC"/>
    <w:rsid w:val="001D579E"/>
    <w:rsid w:val="001D5F59"/>
    <w:rsid w:val="001D69A5"/>
    <w:rsid w:val="001D77A3"/>
    <w:rsid w:val="001E100E"/>
    <w:rsid w:val="001E134E"/>
    <w:rsid w:val="001E180D"/>
    <w:rsid w:val="001E27EF"/>
    <w:rsid w:val="001E2D29"/>
    <w:rsid w:val="001E5D80"/>
    <w:rsid w:val="001E6D61"/>
    <w:rsid w:val="001E6F65"/>
    <w:rsid w:val="001F0072"/>
    <w:rsid w:val="001F14D5"/>
    <w:rsid w:val="001F158E"/>
    <w:rsid w:val="001F17A4"/>
    <w:rsid w:val="001F1BA1"/>
    <w:rsid w:val="001F2238"/>
    <w:rsid w:val="001F4FD8"/>
    <w:rsid w:val="001F51A2"/>
    <w:rsid w:val="001F5C20"/>
    <w:rsid w:val="001F5F1D"/>
    <w:rsid w:val="001F6698"/>
    <w:rsid w:val="001F7AF8"/>
    <w:rsid w:val="001F7BA7"/>
    <w:rsid w:val="001F7C9B"/>
    <w:rsid w:val="0020003D"/>
    <w:rsid w:val="002009A9"/>
    <w:rsid w:val="00200A16"/>
    <w:rsid w:val="002013A0"/>
    <w:rsid w:val="0020247B"/>
    <w:rsid w:val="0020275F"/>
    <w:rsid w:val="00203682"/>
    <w:rsid w:val="00205485"/>
    <w:rsid w:val="002058B2"/>
    <w:rsid w:val="002059E9"/>
    <w:rsid w:val="002060E5"/>
    <w:rsid w:val="00210226"/>
    <w:rsid w:val="002111A2"/>
    <w:rsid w:val="0021142D"/>
    <w:rsid w:val="00212424"/>
    <w:rsid w:val="0021255D"/>
    <w:rsid w:val="00212DD1"/>
    <w:rsid w:val="00212ECD"/>
    <w:rsid w:val="00213C95"/>
    <w:rsid w:val="00214C3C"/>
    <w:rsid w:val="00215D2C"/>
    <w:rsid w:val="002166B9"/>
    <w:rsid w:val="00216CEA"/>
    <w:rsid w:val="00217FF8"/>
    <w:rsid w:val="00220832"/>
    <w:rsid w:val="00221354"/>
    <w:rsid w:val="00221D77"/>
    <w:rsid w:val="00222259"/>
    <w:rsid w:val="002226EA"/>
    <w:rsid w:val="002228A2"/>
    <w:rsid w:val="002230C4"/>
    <w:rsid w:val="0022562E"/>
    <w:rsid w:val="00225638"/>
    <w:rsid w:val="00226156"/>
    <w:rsid w:val="00226936"/>
    <w:rsid w:val="00226A59"/>
    <w:rsid w:val="00226B5D"/>
    <w:rsid w:val="00226E53"/>
    <w:rsid w:val="00230404"/>
    <w:rsid w:val="00230B8F"/>
    <w:rsid w:val="00230D0E"/>
    <w:rsid w:val="00230DDE"/>
    <w:rsid w:val="00231544"/>
    <w:rsid w:val="00231707"/>
    <w:rsid w:val="00231759"/>
    <w:rsid w:val="002333C3"/>
    <w:rsid w:val="00234731"/>
    <w:rsid w:val="0023793A"/>
    <w:rsid w:val="00237DB8"/>
    <w:rsid w:val="00240357"/>
    <w:rsid w:val="002407E0"/>
    <w:rsid w:val="0024127E"/>
    <w:rsid w:val="00241DF1"/>
    <w:rsid w:val="00242AEF"/>
    <w:rsid w:val="00242B06"/>
    <w:rsid w:val="0024459D"/>
    <w:rsid w:val="0024501D"/>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6E3"/>
    <w:rsid w:val="0026457A"/>
    <w:rsid w:val="00264906"/>
    <w:rsid w:val="00265798"/>
    <w:rsid w:val="00266AFC"/>
    <w:rsid w:val="00266FBC"/>
    <w:rsid w:val="00271387"/>
    <w:rsid w:val="0027171F"/>
    <w:rsid w:val="002721E7"/>
    <w:rsid w:val="00272A36"/>
    <w:rsid w:val="00272F64"/>
    <w:rsid w:val="002736CA"/>
    <w:rsid w:val="00273770"/>
    <w:rsid w:val="002740A5"/>
    <w:rsid w:val="002744EA"/>
    <w:rsid w:val="00274D6A"/>
    <w:rsid w:val="0027509F"/>
    <w:rsid w:val="00275218"/>
    <w:rsid w:val="0027537C"/>
    <w:rsid w:val="002764D9"/>
    <w:rsid w:val="00276843"/>
    <w:rsid w:val="00276926"/>
    <w:rsid w:val="00277A5A"/>
    <w:rsid w:val="00283241"/>
    <w:rsid w:val="00283596"/>
    <w:rsid w:val="00284024"/>
    <w:rsid w:val="00284265"/>
    <w:rsid w:val="002848F9"/>
    <w:rsid w:val="002868E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D1D"/>
    <w:rsid w:val="002A4632"/>
    <w:rsid w:val="002A7069"/>
    <w:rsid w:val="002B01BB"/>
    <w:rsid w:val="002B0ED6"/>
    <w:rsid w:val="002B10CA"/>
    <w:rsid w:val="002B227B"/>
    <w:rsid w:val="002B2D61"/>
    <w:rsid w:val="002B3029"/>
    <w:rsid w:val="002B34DD"/>
    <w:rsid w:val="002B3EC2"/>
    <w:rsid w:val="002B4829"/>
    <w:rsid w:val="002B49A0"/>
    <w:rsid w:val="002B54BE"/>
    <w:rsid w:val="002B6177"/>
    <w:rsid w:val="002B6DB1"/>
    <w:rsid w:val="002B6E53"/>
    <w:rsid w:val="002B78E2"/>
    <w:rsid w:val="002C083D"/>
    <w:rsid w:val="002C09BE"/>
    <w:rsid w:val="002C0D39"/>
    <w:rsid w:val="002C1087"/>
    <w:rsid w:val="002C1E9B"/>
    <w:rsid w:val="002C51C1"/>
    <w:rsid w:val="002C7C16"/>
    <w:rsid w:val="002C7E88"/>
    <w:rsid w:val="002D0469"/>
    <w:rsid w:val="002D1D67"/>
    <w:rsid w:val="002D1E82"/>
    <w:rsid w:val="002D2103"/>
    <w:rsid w:val="002D27D8"/>
    <w:rsid w:val="002D3ED2"/>
    <w:rsid w:val="002D5620"/>
    <w:rsid w:val="002D5C37"/>
    <w:rsid w:val="002D5D08"/>
    <w:rsid w:val="002D620F"/>
    <w:rsid w:val="002D72C0"/>
    <w:rsid w:val="002D7B94"/>
    <w:rsid w:val="002E0120"/>
    <w:rsid w:val="002E051F"/>
    <w:rsid w:val="002E0786"/>
    <w:rsid w:val="002E1766"/>
    <w:rsid w:val="002E18D3"/>
    <w:rsid w:val="002E2545"/>
    <w:rsid w:val="002E2C1E"/>
    <w:rsid w:val="002E3DA6"/>
    <w:rsid w:val="002E42E5"/>
    <w:rsid w:val="002E59E7"/>
    <w:rsid w:val="002E5C57"/>
    <w:rsid w:val="002E63B7"/>
    <w:rsid w:val="002E6A65"/>
    <w:rsid w:val="002F10E3"/>
    <w:rsid w:val="002F2249"/>
    <w:rsid w:val="002F2538"/>
    <w:rsid w:val="002F3E81"/>
    <w:rsid w:val="002F4388"/>
    <w:rsid w:val="002F4F74"/>
    <w:rsid w:val="002F54D4"/>
    <w:rsid w:val="002F5EAF"/>
    <w:rsid w:val="002F5F07"/>
    <w:rsid w:val="002F64EB"/>
    <w:rsid w:val="002F6A9A"/>
    <w:rsid w:val="002F6AC2"/>
    <w:rsid w:val="002F78B9"/>
    <w:rsid w:val="002F78F8"/>
    <w:rsid w:val="00300479"/>
    <w:rsid w:val="003010C0"/>
    <w:rsid w:val="00301A2B"/>
    <w:rsid w:val="00301ECD"/>
    <w:rsid w:val="003039C5"/>
    <w:rsid w:val="00303A68"/>
    <w:rsid w:val="00303F93"/>
    <w:rsid w:val="00305B04"/>
    <w:rsid w:val="003103AB"/>
    <w:rsid w:val="00310DB0"/>
    <w:rsid w:val="003117F8"/>
    <w:rsid w:val="00312908"/>
    <w:rsid w:val="003132D7"/>
    <w:rsid w:val="00314DB8"/>
    <w:rsid w:val="003165C7"/>
    <w:rsid w:val="003168DE"/>
    <w:rsid w:val="00316ACA"/>
    <w:rsid w:val="003170A7"/>
    <w:rsid w:val="00317350"/>
    <w:rsid w:val="00317DB6"/>
    <w:rsid w:val="00320B71"/>
    <w:rsid w:val="00321365"/>
    <w:rsid w:val="00321519"/>
    <w:rsid w:val="00322ECB"/>
    <w:rsid w:val="003232B9"/>
    <w:rsid w:val="00323DCF"/>
    <w:rsid w:val="003241DF"/>
    <w:rsid w:val="00324629"/>
    <w:rsid w:val="003249CD"/>
    <w:rsid w:val="00324B7D"/>
    <w:rsid w:val="003251D5"/>
    <w:rsid w:val="0032549F"/>
    <w:rsid w:val="00325C5C"/>
    <w:rsid w:val="00327498"/>
    <w:rsid w:val="00327632"/>
    <w:rsid w:val="00327CF5"/>
    <w:rsid w:val="003301A2"/>
    <w:rsid w:val="00330B6C"/>
    <w:rsid w:val="0033193D"/>
    <w:rsid w:val="0033221A"/>
    <w:rsid w:val="00332530"/>
    <w:rsid w:val="003326BC"/>
    <w:rsid w:val="00332D17"/>
    <w:rsid w:val="00333903"/>
    <w:rsid w:val="0033396C"/>
    <w:rsid w:val="003341AB"/>
    <w:rsid w:val="003343E6"/>
    <w:rsid w:val="00334422"/>
    <w:rsid w:val="003363EC"/>
    <w:rsid w:val="003368DF"/>
    <w:rsid w:val="00340153"/>
    <w:rsid w:val="003406D8"/>
    <w:rsid w:val="00341333"/>
    <w:rsid w:val="003417D8"/>
    <w:rsid w:val="00341AA3"/>
    <w:rsid w:val="00341E51"/>
    <w:rsid w:val="003429E0"/>
    <w:rsid w:val="00343EE6"/>
    <w:rsid w:val="0034491F"/>
    <w:rsid w:val="00344D15"/>
    <w:rsid w:val="003460F9"/>
    <w:rsid w:val="0034677E"/>
    <w:rsid w:val="003471ED"/>
    <w:rsid w:val="00347C68"/>
    <w:rsid w:val="003505B5"/>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61A80"/>
    <w:rsid w:val="00361EEB"/>
    <w:rsid w:val="00362BAA"/>
    <w:rsid w:val="00363573"/>
    <w:rsid w:val="003642C0"/>
    <w:rsid w:val="00364FC8"/>
    <w:rsid w:val="00365193"/>
    <w:rsid w:val="00365B63"/>
    <w:rsid w:val="00365D86"/>
    <w:rsid w:val="003663FC"/>
    <w:rsid w:val="00370A71"/>
    <w:rsid w:val="00370F6C"/>
    <w:rsid w:val="00371410"/>
    <w:rsid w:val="0037211F"/>
    <w:rsid w:val="00373051"/>
    <w:rsid w:val="0037340D"/>
    <w:rsid w:val="00374B19"/>
    <w:rsid w:val="003751AF"/>
    <w:rsid w:val="003757BF"/>
    <w:rsid w:val="00377858"/>
    <w:rsid w:val="00380A88"/>
    <w:rsid w:val="00382345"/>
    <w:rsid w:val="00382ABA"/>
    <w:rsid w:val="003837E2"/>
    <w:rsid w:val="00384BF0"/>
    <w:rsid w:val="00384ECD"/>
    <w:rsid w:val="00384EEC"/>
    <w:rsid w:val="003862A8"/>
    <w:rsid w:val="00387167"/>
    <w:rsid w:val="00387559"/>
    <w:rsid w:val="00387E17"/>
    <w:rsid w:val="00390069"/>
    <w:rsid w:val="003904DE"/>
    <w:rsid w:val="00390773"/>
    <w:rsid w:val="003907CC"/>
    <w:rsid w:val="003909E6"/>
    <w:rsid w:val="00391391"/>
    <w:rsid w:val="00391EB7"/>
    <w:rsid w:val="003922D9"/>
    <w:rsid w:val="0039256D"/>
    <w:rsid w:val="0039262F"/>
    <w:rsid w:val="00392A20"/>
    <w:rsid w:val="00392C7B"/>
    <w:rsid w:val="00392C93"/>
    <w:rsid w:val="00393B62"/>
    <w:rsid w:val="00394449"/>
    <w:rsid w:val="003945A2"/>
    <w:rsid w:val="003951D5"/>
    <w:rsid w:val="00396A3D"/>
    <w:rsid w:val="00396F53"/>
    <w:rsid w:val="003971BB"/>
    <w:rsid w:val="003A0843"/>
    <w:rsid w:val="003A0F35"/>
    <w:rsid w:val="003A149D"/>
    <w:rsid w:val="003A3092"/>
    <w:rsid w:val="003A511E"/>
    <w:rsid w:val="003A5487"/>
    <w:rsid w:val="003A6395"/>
    <w:rsid w:val="003A65C3"/>
    <w:rsid w:val="003A752D"/>
    <w:rsid w:val="003A7C92"/>
    <w:rsid w:val="003A7E99"/>
    <w:rsid w:val="003B00D6"/>
    <w:rsid w:val="003B08EB"/>
    <w:rsid w:val="003B0A2F"/>
    <w:rsid w:val="003B11E2"/>
    <w:rsid w:val="003B38D1"/>
    <w:rsid w:val="003B40CD"/>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E89"/>
    <w:rsid w:val="003C6524"/>
    <w:rsid w:val="003C6A36"/>
    <w:rsid w:val="003C6E30"/>
    <w:rsid w:val="003C7017"/>
    <w:rsid w:val="003C7240"/>
    <w:rsid w:val="003C7C4B"/>
    <w:rsid w:val="003D00C5"/>
    <w:rsid w:val="003D128E"/>
    <w:rsid w:val="003D21AF"/>
    <w:rsid w:val="003D249D"/>
    <w:rsid w:val="003D293C"/>
    <w:rsid w:val="003D40F3"/>
    <w:rsid w:val="003D5B05"/>
    <w:rsid w:val="003D5CBA"/>
    <w:rsid w:val="003D69F9"/>
    <w:rsid w:val="003D6F40"/>
    <w:rsid w:val="003D700F"/>
    <w:rsid w:val="003D79CC"/>
    <w:rsid w:val="003E18A0"/>
    <w:rsid w:val="003E29D6"/>
    <w:rsid w:val="003E3408"/>
    <w:rsid w:val="003E3676"/>
    <w:rsid w:val="003E4583"/>
    <w:rsid w:val="003E4B64"/>
    <w:rsid w:val="003E5236"/>
    <w:rsid w:val="003E58DD"/>
    <w:rsid w:val="003E5ABF"/>
    <w:rsid w:val="003E6537"/>
    <w:rsid w:val="003F0782"/>
    <w:rsid w:val="003F2269"/>
    <w:rsid w:val="003F2929"/>
    <w:rsid w:val="003F3A7E"/>
    <w:rsid w:val="003F5A39"/>
    <w:rsid w:val="003F7D39"/>
    <w:rsid w:val="0040131D"/>
    <w:rsid w:val="00401FB3"/>
    <w:rsid w:val="00402166"/>
    <w:rsid w:val="00402655"/>
    <w:rsid w:val="004029ED"/>
    <w:rsid w:val="0040350B"/>
    <w:rsid w:val="0040400C"/>
    <w:rsid w:val="00405B43"/>
    <w:rsid w:val="004060FB"/>
    <w:rsid w:val="004101C7"/>
    <w:rsid w:val="004107F1"/>
    <w:rsid w:val="0041089E"/>
    <w:rsid w:val="00411C98"/>
    <w:rsid w:val="004128BC"/>
    <w:rsid w:val="0041299B"/>
    <w:rsid w:val="00412A3B"/>
    <w:rsid w:val="00413732"/>
    <w:rsid w:val="00413DAB"/>
    <w:rsid w:val="00413F78"/>
    <w:rsid w:val="00414517"/>
    <w:rsid w:val="004157F6"/>
    <w:rsid w:val="00415A65"/>
    <w:rsid w:val="00415B9F"/>
    <w:rsid w:val="00416945"/>
    <w:rsid w:val="00417A87"/>
    <w:rsid w:val="00417F86"/>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7E76"/>
    <w:rsid w:val="00430BEE"/>
    <w:rsid w:val="00431D51"/>
    <w:rsid w:val="00431EC1"/>
    <w:rsid w:val="00432E86"/>
    <w:rsid w:val="00433EF6"/>
    <w:rsid w:val="00435B12"/>
    <w:rsid w:val="00437970"/>
    <w:rsid w:val="0044091A"/>
    <w:rsid w:val="004418B6"/>
    <w:rsid w:val="00441CB4"/>
    <w:rsid w:val="004432B2"/>
    <w:rsid w:val="004434BC"/>
    <w:rsid w:val="00443F3F"/>
    <w:rsid w:val="004445B8"/>
    <w:rsid w:val="004446C4"/>
    <w:rsid w:val="00444926"/>
    <w:rsid w:val="0045014B"/>
    <w:rsid w:val="00451FFB"/>
    <w:rsid w:val="0045227E"/>
    <w:rsid w:val="00452A86"/>
    <w:rsid w:val="0045399A"/>
    <w:rsid w:val="004546B5"/>
    <w:rsid w:val="00454B20"/>
    <w:rsid w:val="00455392"/>
    <w:rsid w:val="00455ECB"/>
    <w:rsid w:val="004567EA"/>
    <w:rsid w:val="00456BEB"/>
    <w:rsid w:val="00460741"/>
    <w:rsid w:val="00462407"/>
    <w:rsid w:val="004628DE"/>
    <w:rsid w:val="00464243"/>
    <w:rsid w:val="00465235"/>
    <w:rsid w:val="00465281"/>
    <w:rsid w:val="00465F58"/>
    <w:rsid w:val="00467543"/>
    <w:rsid w:val="004677EB"/>
    <w:rsid w:val="00470056"/>
    <w:rsid w:val="004702EA"/>
    <w:rsid w:val="0047034E"/>
    <w:rsid w:val="004703FF"/>
    <w:rsid w:val="0047162B"/>
    <w:rsid w:val="00471E8F"/>
    <w:rsid w:val="00472243"/>
    <w:rsid w:val="004729FC"/>
    <w:rsid w:val="00472FF6"/>
    <w:rsid w:val="00473BEF"/>
    <w:rsid w:val="00474FD8"/>
    <w:rsid w:val="00475168"/>
    <w:rsid w:val="0047527D"/>
    <w:rsid w:val="00475CEE"/>
    <w:rsid w:val="00481AB8"/>
    <w:rsid w:val="004820C0"/>
    <w:rsid w:val="00483F6C"/>
    <w:rsid w:val="004848D4"/>
    <w:rsid w:val="004855B1"/>
    <w:rsid w:val="004859EC"/>
    <w:rsid w:val="004870BC"/>
    <w:rsid w:val="004877EF"/>
    <w:rsid w:val="00487F15"/>
    <w:rsid w:val="004907F4"/>
    <w:rsid w:val="00490F8C"/>
    <w:rsid w:val="004920D2"/>
    <w:rsid w:val="00493EF1"/>
    <w:rsid w:val="00495A75"/>
    <w:rsid w:val="00496676"/>
    <w:rsid w:val="004968E7"/>
    <w:rsid w:val="00496B84"/>
    <w:rsid w:val="004975AC"/>
    <w:rsid w:val="004A04E2"/>
    <w:rsid w:val="004A095C"/>
    <w:rsid w:val="004A15C1"/>
    <w:rsid w:val="004A1887"/>
    <w:rsid w:val="004A214A"/>
    <w:rsid w:val="004A2ADA"/>
    <w:rsid w:val="004A3B2B"/>
    <w:rsid w:val="004A71F7"/>
    <w:rsid w:val="004A7BC0"/>
    <w:rsid w:val="004A7D1F"/>
    <w:rsid w:val="004B0346"/>
    <w:rsid w:val="004B27CD"/>
    <w:rsid w:val="004B3FF5"/>
    <w:rsid w:val="004B4490"/>
    <w:rsid w:val="004B4C9D"/>
    <w:rsid w:val="004B6006"/>
    <w:rsid w:val="004B65EA"/>
    <w:rsid w:val="004B6D08"/>
    <w:rsid w:val="004B7940"/>
    <w:rsid w:val="004C3270"/>
    <w:rsid w:val="004C39B4"/>
    <w:rsid w:val="004C3D5A"/>
    <w:rsid w:val="004C4DF7"/>
    <w:rsid w:val="004C50BC"/>
    <w:rsid w:val="004C5D71"/>
    <w:rsid w:val="004C632A"/>
    <w:rsid w:val="004D09FF"/>
    <w:rsid w:val="004D179F"/>
    <w:rsid w:val="004D1CB5"/>
    <w:rsid w:val="004D2FE2"/>
    <w:rsid w:val="004D35AE"/>
    <w:rsid w:val="004D38D3"/>
    <w:rsid w:val="004D4D86"/>
    <w:rsid w:val="004D5E12"/>
    <w:rsid w:val="004D6A65"/>
    <w:rsid w:val="004D6F72"/>
    <w:rsid w:val="004D7443"/>
    <w:rsid w:val="004D784A"/>
    <w:rsid w:val="004E2C93"/>
    <w:rsid w:val="004E3A36"/>
    <w:rsid w:val="004E43EC"/>
    <w:rsid w:val="004E4589"/>
    <w:rsid w:val="004E599F"/>
    <w:rsid w:val="004E6636"/>
    <w:rsid w:val="004E76C1"/>
    <w:rsid w:val="004E7839"/>
    <w:rsid w:val="004E7D2E"/>
    <w:rsid w:val="004F0B32"/>
    <w:rsid w:val="004F0C8B"/>
    <w:rsid w:val="004F1394"/>
    <w:rsid w:val="004F15B5"/>
    <w:rsid w:val="004F1B11"/>
    <w:rsid w:val="004F295C"/>
    <w:rsid w:val="004F3572"/>
    <w:rsid w:val="004F52E3"/>
    <w:rsid w:val="004F6404"/>
    <w:rsid w:val="004F7F26"/>
    <w:rsid w:val="00501CB1"/>
    <w:rsid w:val="005023B3"/>
    <w:rsid w:val="005026A6"/>
    <w:rsid w:val="00502A85"/>
    <w:rsid w:val="0050335C"/>
    <w:rsid w:val="00503A82"/>
    <w:rsid w:val="00503D2F"/>
    <w:rsid w:val="005060B3"/>
    <w:rsid w:val="00506DC6"/>
    <w:rsid w:val="0050751A"/>
    <w:rsid w:val="00510393"/>
    <w:rsid w:val="005104E8"/>
    <w:rsid w:val="00510AA9"/>
    <w:rsid w:val="005125EA"/>
    <w:rsid w:val="00512D71"/>
    <w:rsid w:val="00512E36"/>
    <w:rsid w:val="00513B4F"/>
    <w:rsid w:val="00513BCB"/>
    <w:rsid w:val="00513CB4"/>
    <w:rsid w:val="00514672"/>
    <w:rsid w:val="00514763"/>
    <w:rsid w:val="00514792"/>
    <w:rsid w:val="005149E8"/>
    <w:rsid w:val="00516BAA"/>
    <w:rsid w:val="005179C6"/>
    <w:rsid w:val="00521B67"/>
    <w:rsid w:val="00522F90"/>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6503"/>
    <w:rsid w:val="0053779D"/>
    <w:rsid w:val="005377F8"/>
    <w:rsid w:val="00537B09"/>
    <w:rsid w:val="005405E4"/>
    <w:rsid w:val="00540655"/>
    <w:rsid w:val="00540EA2"/>
    <w:rsid w:val="005414DC"/>
    <w:rsid w:val="00541651"/>
    <w:rsid w:val="00541E45"/>
    <w:rsid w:val="00542281"/>
    <w:rsid w:val="005422A8"/>
    <w:rsid w:val="0054232E"/>
    <w:rsid w:val="00543361"/>
    <w:rsid w:val="005441A4"/>
    <w:rsid w:val="00545E3A"/>
    <w:rsid w:val="00546ACD"/>
    <w:rsid w:val="00547443"/>
    <w:rsid w:val="00547481"/>
    <w:rsid w:val="00547E4F"/>
    <w:rsid w:val="00547EFD"/>
    <w:rsid w:val="00550EFC"/>
    <w:rsid w:val="00551A30"/>
    <w:rsid w:val="00552C2A"/>
    <w:rsid w:val="005530B8"/>
    <w:rsid w:val="0055334C"/>
    <w:rsid w:val="00553E3C"/>
    <w:rsid w:val="00553E40"/>
    <w:rsid w:val="005541BF"/>
    <w:rsid w:val="00555DF6"/>
    <w:rsid w:val="005561F0"/>
    <w:rsid w:val="00556403"/>
    <w:rsid w:val="00556439"/>
    <w:rsid w:val="005574A3"/>
    <w:rsid w:val="0055780E"/>
    <w:rsid w:val="005579DD"/>
    <w:rsid w:val="00557FA1"/>
    <w:rsid w:val="00560729"/>
    <w:rsid w:val="00560B82"/>
    <w:rsid w:val="00561303"/>
    <w:rsid w:val="0056188D"/>
    <w:rsid w:val="0056277B"/>
    <w:rsid w:val="00562EA3"/>
    <w:rsid w:val="00563E9B"/>
    <w:rsid w:val="00564756"/>
    <w:rsid w:val="00564A81"/>
    <w:rsid w:val="00565EF6"/>
    <w:rsid w:val="005664AA"/>
    <w:rsid w:val="005664BA"/>
    <w:rsid w:val="0056658A"/>
    <w:rsid w:val="00566703"/>
    <w:rsid w:val="0057027C"/>
    <w:rsid w:val="00570708"/>
    <w:rsid w:val="00570F1D"/>
    <w:rsid w:val="0057251B"/>
    <w:rsid w:val="00573C0E"/>
    <w:rsid w:val="005756DE"/>
    <w:rsid w:val="005764EF"/>
    <w:rsid w:val="0057660E"/>
    <w:rsid w:val="005773F9"/>
    <w:rsid w:val="005779DC"/>
    <w:rsid w:val="005804E7"/>
    <w:rsid w:val="00580896"/>
    <w:rsid w:val="005825C8"/>
    <w:rsid w:val="0058278C"/>
    <w:rsid w:val="00584DE5"/>
    <w:rsid w:val="00584E99"/>
    <w:rsid w:val="005851C1"/>
    <w:rsid w:val="0058685F"/>
    <w:rsid w:val="00586981"/>
    <w:rsid w:val="00587345"/>
    <w:rsid w:val="00587411"/>
    <w:rsid w:val="0058757F"/>
    <w:rsid w:val="005879D2"/>
    <w:rsid w:val="005908B8"/>
    <w:rsid w:val="00590C37"/>
    <w:rsid w:val="005914DF"/>
    <w:rsid w:val="00592E29"/>
    <w:rsid w:val="00592E9D"/>
    <w:rsid w:val="0059357D"/>
    <w:rsid w:val="005954E8"/>
    <w:rsid w:val="00596D8A"/>
    <w:rsid w:val="00597C8C"/>
    <w:rsid w:val="00597E42"/>
    <w:rsid w:val="005A0117"/>
    <w:rsid w:val="005A114F"/>
    <w:rsid w:val="005A15C7"/>
    <w:rsid w:val="005A2B23"/>
    <w:rsid w:val="005A49BC"/>
    <w:rsid w:val="005A5E84"/>
    <w:rsid w:val="005A6ADB"/>
    <w:rsid w:val="005A6F64"/>
    <w:rsid w:val="005B0080"/>
    <w:rsid w:val="005B11DE"/>
    <w:rsid w:val="005B32E2"/>
    <w:rsid w:val="005B4A06"/>
    <w:rsid w:val="005B5670"/>
    <w:rsid w:val="005B5787"/>
    <w:rsid w:val="005B7705"/>
    <w:rsid w:val="005B785E"/>
    <w:rsid w:val="005B7F6D"/>
    <w:rsid w:val="005C0107"/>
    <w:rsid w:val="005C06D0"/>
    <w:rsid w:val="005C0983"/>
    <w:rsid w:val="005C15AD"/>
    <w:rsid w:val="005C360E"/>
    <w:rsid w:val="005C408E"/>
    <w:rsid w:val="005C4E9C"/>
    <w:rsid w:val="005C4F00"/>
    <w:rsid w:val="005C5160"/>
    <w:rsid w:val="005C5A26"/>
    <w:rsid w:val="005C6145"/>
    <w:rsid w:val="005C7710"/>
    <w:rsid w:val="005C7A61"/>
    <w:rsid w:val="005D0330"/>
    <w:rsid w:val="005D21A8"/>
    <w:rsid w:val="005D288A"/>
    <w:rsid w:val="005D2FD7"/>
    <w:rsid w:val="005D3C78"/>
    <w:rsid w:val="005D3D82"/>
    <w:rsid w:val="005D446C"/>
    <w:rsid w:val="005D4754"/>
    <w:rsid w:val="005D55C2"/>
    <w:rsid w:val="005D5C21"/>
    <w:rsid w:val="005D5CBC"/>
    <w:rsid w:val="005D5DDA"/>
    <w:rsid w:val="005D66E3"/>
    <w:rsid w:val="005D66FE"/>
    <w:rsid w:val="005D68F6"/>
    <w:rsid w:val="005D7748"/>
    <w:rsid w:val="005D7BB4"/>
    <w:rsid w:val="005E06EC"/>
    <w:rsid w:val="005E0AF7"/>
    <w:rsid w:val="005E1201"/>
    <w:rsid w:val="005E180E"/>
    <w:rsid w:val="005E1A45"/>
    <w:rsid w:val="005E3498"/>
    <w:rsid w:val="005E38F6"/>
    <w:rsid w:val="005E50DA"/>
    <w:rsid w:val="005E5CEF"/>
    <w:rsid w:val="005E706F"/>
    <w:rsid w:val="005F15DB"/>
    <w:rsid w:val="005F1DEA"/>
    <w:rsid w:val="005F25DB"/>
    <w:rsid w:val="005F2D4D"/>
    <w:rsid w:val="005F2F49"/>
    <w:rsid w:val="005F4385"/>
    <w:rsid w:val="005F46A1"/>
    <w:rsid w:val="005F46D7"/>
    <w:rsid w:val="005F4725"/>
    <w:rsid w:val="005F476E"/>
    <w:rsid w:val="005F62F7"/>
    <w:rsid w:val="005F6B65"/>
    <w:rsid w:val="005F716F"/>
    <w:rsid w:val="00600673"/>
    <w:rsid w:val="0060092F"/>
    <w:rsid w:val="00600B24"/>
    <w:rsid w:val="0060133B"/>
    <w:rsid w:val="006022EE"/>
    <w:rsid w:val="00602F98"/>
    <w:rsid w:val="00604CD1"/>
    <w:rsid w:val="00605248"/>
    <w:rsid w:val="00605B86"/>
    <w:rsid w:val="006077A0"/>
    <w:rsid w:val="006102F2"/>
    <w:rsid w:val="00610F89"/>
    <w:rsid w:val="0061103F"/>
    <w:rsid w:val="00611117"/>
    <w:rsid w:val="00613C97"/>
    <w:rsid w:val="00614C69"/>
    <w:rsid w:val="00615C15"/>
    <w:rsid w:val="00620676"/>
    <w:rsid w:val="00622929"/>
    <w:rsid w:val="006248CA"/>
    <w:rsid w:val="00624BB7"/>
    <w:rsid w:val="0062573D"/>
    <w:rsid w:val="00625850"/>
    <w:rsid w:val="00625A33"/>
    <w:rsid w:val="00626AAC"/>
    <w:rsid w:val="00627CC1"/>
    <w:rsid w:val="00627E59"/>
    <w:rsid w:val="0063081D"/>
    <w:rsid w:val="00630D1F"/>
    <w:rsid w:val="00631C03"/>
    <w:rsid w:val="00631E24"/>
    <w:rsid w:val="00633E33"/>
    <w:rsid w:val="00635860"/>
    <w:rsid w:val="006366CC"/>
    <w:rsid w:val="00636C1A"/>
    <w:rsid w:val="00637803"/>
    <w:rsid w:val="00640493"/>
    <w:rsid w:val="006411AA"/>
    <w:rsid w:val="00644A41"/>
    <w:rsid w:val="00646D51"/>
    <w:rsid w:val="00647004"/>
    <w:rsid w:val="00647291"/>
    <w:rsid w:val="006474CA"/>
    <w:rsid w:val="00647EF7"/>
    <w:rsid w:val="00651052"/>
    <w:rsid w:val="0065115D"/>
    <w:rsid w:val="0065209E"/>
    <w:rsid w:val="00654600"/>
    <w:rsid w:val="006547F6"/>
    <w:rsid w:val="00655234"/>
    <w:rsid w:val="006564F4"/>
    <w:rsid w:val="006569D6"/>
    <w:rsid w:val="00656EBF"/>
    <w:rsid w:val="006606F6"/>
    <w:rsid w:val="00660754"/>
    <w:rsid w:val="00661038"/>
    <w:rsid w:val="00661EB7"/>
    <w:rsid w:val="00662285"/>
    <w:rsid w:val="0066264C"/>
    <w:rsid w:val="006626F2"/>
    <w:rsid w:val="00662A90"/>
    <w:rsid w:val="00663008"/>
    <w:rsid w:val="00663245"/>
    <w:rsid w:val="00663550"/>
    <w:rsid w:val="00663EF7"/>
    <w:rsid w:val="0066488A"/>
    <w:rsid w:val="00665A72"/>
    <w:rsid w:val="00666312"/>
    <w:rsid w:val="006675D4"/>
    <w:rsid w:val="00667C07"/>
    <w:rsid w:val="00670373"/>
    <w:rsid w:val="00671AD7"/>
    <w:rsid w:val="00671B11"/>
    <w:rsid w:val="00671FB1"/>
    <w:rsid w:val="00672422"/>
    <w:rsid w:val="0067250D"/>
    <w:rsid w:val="00673096"/>
    <w:rsid w:val="00673356"/>
    <w:rsid w:val="00675BB0"/>
    <w:rsid w:val="00676450"/>
    <w:rsid w:val="0067655E"/>
    <w:rsid w:val="00676A96"/>
    <w:rsid w:val="00677A23"/>
    <w:rsid w:val="00680D61"/>
    <w:rsid w:val="00680E06"/>
    <w:rsid w:val="00682A80"/>
    <w:rsid w:val="006835F7"/>
    <w:rsid w:val="006840E7"/>
    <w:rsid w:val="00685EA2"/>
    <w:rsid w:val="0068624D"/>
    <w:rsid w:val="00686BA2"/>
    <w:rsid w:val="006872E3"/>
    <w:rsid w:val="00687798"/>
    <w:rsid w:val="00690FA7"/>
    <w:rsid w:val="006936C7"/>
    <w:rsid w:val="0069386B"/>
    <w:rsid w:val="00693B1F"/>
    <w:rsid w:val="00695022"/>
    <w:rsid w:val="006956D7"/>
    <w:rsid w:val="00695762"/>
    <w:rsid w:val="00695ED0"/>
    <w:rsid w:val="00697E57"/>
    <w:rsid w:val="00697F24"/>
    <w:rsid w:val="006A0557"/>
    <w:rsid w:val="006A0566"/>
    <w:rsid w:val="006A18A6"/>
    <w:rsid w:val="006A19D0"/>
    <w:rsid w:val="006A1DCD"/>
    <w:rsid w:val="006A2449"/>
    <w:rsid w:val="006A302E"/>
    <w:rsid w:val="006A326C"/>
    <w:rsid w:val="006A362D"/>
    <w:rsid w:val="006A38D6"/>
    <w:rsid w:val="006A3D1C"/>
    <w:rsid w:val="006A5EE7"/>
    <w:rsid w:val="006A60FA"/>
    <w:rsid w:val="006A61CF"/>
    <w:rsid w:val="006A6C49"/>
    <w:rsid w:val="006A72E5"/>
    <w:rsid w:val="006B1135"/>
    <w:rsid w:val="006B1D43"/>
    <w:rsid w:val="006B2751"/>
    <w:rsid w:val="006B299A"/>
    <w:rsid w:val="006B2C0B"/>
    <w:rsid w:val="006B2FB6"/>
    <w:rsid w:val="006B3CF0"/>
    <w:rsid w:val="006B4665"/>
    <w:rsid w:val="006B4841"/>
    <w:rsid w:val="006B4AE8"/>
    <w:rsid w:val="006B515F"/>
    <w:rsid w:val="006B66CB"/>
    <w:rsid w:val="006B6D27"/>
    <w:rsid w:val="006B6F86"/>
    <w:rsid w:val="006C1993"/>
    <w:rsid w:val="006C1FE1"/>
    <w:rsid w:val="006C2F81"/>
    <w:rsid w:val="006C3828"/>
    <w:rsid w:val="006C54D4"/>
    <w:rsid w:val="006C59F2"/>
    <w:rsid w:val="006C6484"/>
    <w:rsid w:val="006C7616"/>
    <w:rsid w:val="006D1440"/>
    <w:rsid w:val="006D1DB8"/>
    <w:rsid w:val="006D1E04"/>
    <w:rsid w:val="006D236D"/>
    <w:rsid w:val="006D2591"/>
    <w:rsid w:val="006D2659"/>
    <w:rsid w:val="006D294D"/>
    <w:rsid w:val="006D2B9C"/>
    <w:rsid w:val="006D4DE1"/>
    <w:rsid w:val="006D5CAF"/>
    <w:rsid w:val="006D687B"/>
    <w:rsid w:val="006D6DC2"/>
    <w:rsid w:val="006E0113"/>
    <w:rsid w:val="006E1438"/>
    <w:rsid w:val="006E211C"/>
    <w:rsid w:val="006E37D6"/>
    <w:rsid w:val="006E46EB"/>
    <w:rsid w:val="006E4824"/>
    <w:rsid w:val="006E484B"/>
    <w:rsid w:val="006E50DB"/>
    <w:rsid w:val="006E641C"/>
    <w:rsid w:val="006E76B1"/>
    <w:rsid w:val="006F0A34"/>
    <w:rsid w:val="006F0B8F"/>
    <w:rsid w:val="006F10E7"/>
    <w:rsid w:val="006F1473"/>
    <w:rsid w:val="006F14CE"/>
    <w:rsid w:val="006F1EDD"/>
    <w:rsid w:val="006F28B4"/>
    <w:rsid w:val="006F4942"/>
    <w:rsid w:val="006F56D6"/>
    <w:rsid w:val="006F7579"/>
    <w:rsid w:val="006F7B1D"/>
    <w:rsid w:val="00700A89"/>
    <w:rsid w:val="00702BA9"/>
    <w:rsid w:val="00703EB9"/>
    <w:rsid w:val="007059F0"/>
    <w:rsid w:val="00705EFF"/>
    <w:rsid w:val="00706131"/>
    <w:rsid w:val="007070B8"/>
    <w:rsid w:val="007108B5"/>
    <w:rsid w:val="00711ED5"/>
    <w:rsid w:val="00712631"/>
    <w:rsid w:val="0071444E"/>
    <w:rsid w:val="00715C29"/>
    <w:rsid w:val="00715DA9"/>
    <w:rsid w:val="00716C8A"/>
    <w:rsid w:val="00716D6A"/>
    <w:rsid w:val="00717234"/>
    <w:rsid w:val="0071752A"/>
    <w:rsid w:val="007175BA"/>
    <w:rsid w:val="007201A8"/>
    <w:rsid w:val="007207DC"/>
    <w:rsid w:val="00721317"/>
    <w:rsid w:val="007216E2"/>
    <w:rsid w:val="007221E5"/>
    <w:rsid w:val="00722C8A"/>
    <w:rsid w:val="00722D46"/>
    <w:rsid w:val="00723856"/>
    <w:rsid w:val="0072415B"/>
    <w:rsid w:val="00725130"/>
    <w:rsid w:val="0072531C"/>
    <w:rsid w:val="00725749"/>
    <w:rsid w:val="0072636A"/>
    <w:rsid w:val="007267A0"/>
    <w:rsid w:val="007268F8"/>
    <w:rsid w:val="00726B62"/>
    <w:rsid w:val="00730BE6"/>
    <w:rsid w:val="00731C74"/>
    <w:rsid w:val="007320AD"/>
    <w:rsid w:val="00733874"/>
    <w:rsid w:val="00735CE7"/>
    <w:rsid w:val="007364E2"/>
    <w:rsid w:val="00736AEE"/>
    <w:rsid w:val="00736C90"/>
    <w:rsid w:val="00736DA8"/>
    <w:rsid w:val="00736DB7"/>
    <w:rsid w:val="007373CA"/>
    <w:rsid w:val="00737CCC"/>
    <w:rsid w:val="00740ECD"/>
    <w:rsid w:val="00740FFB"/>
    <w:rsid w:val="00741352"/>
    <w:rsid w:val="00742BF8"/>
    <w:rsid w:val="00742E48"/>
    <w:rsid w:val="00745029"/>
    <w:rsid w:val="0074673B"/>
    <w:rsid w:val="00750895"/>
    <w:rsid w:val="0075156F"/>
    <w:rsid w:val="007516FC"/>
    <w:rsid w:val="007518D4"/>
    <w:rsid w:val="0075204E"/>
    <w:rsid w:val="00752148"/>
    <w:rsid w:val="00752BCD"/>
    <w:rsid w:val="00752D6F"/>
    <w:rsid w:val="00753A8A"/>
    <w:rsid w:val="0075458B"/>
    <w:rsid w:val="007546AD"/>
    <w:rsid w:val="0075481B"/>
    <w:rsid w:val="00755733"/>
    <w:rsid w:val="00755EEC"/>
    <w:rsid w:val="007565B5"/>
    <w:rsid w:val="00756EF4"/>
    <w:rsid w:val="00757531"/>
    <w:rsid w:val="007577F0"/>
    <w:rsid w:val="0076033E"/>
    <w:rsid w:val="00760EF2"/>
    <w:rsid w:val="007625BF"/>
    <w:rsid w:val="00763161"/>
    <w:rsid w:val="007637CE"/>
    <w:rsid w:val="00764EED"/>
    <w:rsid w:val="0076564F"/>
    <w:rsid w:val="00765AC6"/>
    <w:rsid w:val="0076669A"/>
    <w:rsid w:val="00770986"/>
    <w:rsid w:val="00770C44"/>
    <w:rsid w:val="0077260B"/>
    <w:rsid w:val="00772A65"/>
    <w:rsid w:val="00772BB5"/>
    <w:rsid w:val="00772F82"/>
    <w:rsid w:val="007732EB"/>
    <w:rsid w:val="007745F2"/>
    <w:rsid w:val="007746B8"/>
    <w:rsid w:val="00775507"/>
    <w:rsid w:val="00775573"/>
    <w:rsid w:val="00776091"/>
    <w:rsid w:val="0077686E"/>
    <w:rsid w:val="00780244"/>
    <w:rsid w:val="00780B85"/>
    <w:rsid w:val="00783040"/>
    <w:rsid w:val="007830DC"/>
    <w:rsid w:val="0078384C"/>
    <w:rsid w:val="007851FC"/>
    <w:rsid w:val="007852F1"/>
    <w:rsid w:val="007872AE"/>
    <w:rsid w:val="007906B5"/>
    <w:rsid w:val="00791558"/>
    <w:rsid w:val="00791726"/>
    <w:rsid w:val="00791A84"/>
    <w:rsid w:val="0079353D"/>
    <w:rsid w:val="007939DC"/>
    <w:rsid w:val="007943AF"/>
    <w:rsid w:val="007948D8"/>
    <w:rsid w:val="007954DA"/>
    <w:rsid w:val="00795DCE"/>
    <w:rsid w:val="007961F7"/>
    <w:rsid w:val="007966EC"/>
    <w:rsid w:val="00796AF8"/>
    <w:rsid w:val="007A0CCA"/>
    <w:rsid w:val="007A1BAD"/>
    <w:rsid w:val="007A339B"/>
    <w:rsid w:val="007A487E"/>
    <w:rsid w:val="007A5433"/>
    <w:rsid w:val="007A5E08"/>
    <w:rsid w:val="007A73BA"/>
    <w:rsid w:val="007B054B"/>
    <w:rsid w:val="007B09A6"/>
    <w:rsid w:val="007B0D88"/>
    <w:rsid w:val="007B1425"/>
    <w:rsid w:val="007B1432"/>
    <w:rsid w:val="007B14F4"/>
    <w:rsid w:val="007B46D0"/>
    <w:rsid w:val="007B6D93"/>
    <w:rsid w:val="007B6FFD"/>
    <w:rsid w:val="007B71BF"/>
    <w:rsid w:val="007B7E10"/>
    <w:rsid w:val="007C0767"/>
    <w:rsid w:val="007C1E9F"/>
    <w:rsid w:val="007C2088"/>
    <w:rsid w:val="007C29DA"/>
    <w:rsid w:val="007C523E"/>
    <w:rsid w:val="007C6207"/>
    <w:rsid w:val="007C6FE6"/>
    <w:rsid w:val="007C77E4"/>
    <w:rsid w:val="007C7CE3"/>
    <w:rsid w:val="007C7D25"/>
    <w:rsid w:val="007D100B"/>
    <w:rsid w:val="007D3876"/>
    <w:rsid w:val="007D40A9"/>
    <w:rsid w:val="007D5059"/>
    <w:rsid w:val="007D51E3"/>
    <w:rsid w:val="007D5A15"/>
    <w:rsid w:val="007D6723"/>
    <w:rsid w:val="007D791B"/>
    <w:rsid w:val="007E1175"/>
    <w:rsid w:val="007E1593"/>
    <w:rsid w:val="007E1B0D"/>
    <w:rsid w:val="007E1E66"/>
    <w:rsid w:val="007E24CD"/>
    <w:rsid w:val="007E2A3C"/>
    <w:rsid w:val="007E56C2"/>
    <w:rsid w:val="007E6206"/>
    <w:rsid w:val="007E66DE"/>
    <w:rsid w:val="007F041B"/>
    <w:rsid w:val="007F0438"/>
    <w:rsid w:val="007F0AAE"/>
    <w:rsid w:val="007F112C"/>
    <w:rsid w:val="007F1883"/>
    <w:rsid w:val="007F1F67"/>
    <w:rsid w:val="007F23DC"/>
    <w:rsid w:val="007F23FC"/>
    <w:rsid w:val="007F278E"/>
    <w:rsid w:val="007F290D"/>
    <w:rsid w:val="007F29DE"/>
    <w:rsid w:val="007F3016"/>
    <w:rsid w:val="007F4036"/>
    <w:rsid w:val="007F4116"/>
    <w:rsid w:val="007F41FE"/>
    <w:rsid w:val="007F597F"/>
    <w:rsid w:val="007F5B42"/>
    <w:rsid w:val="007F620E"/>
    <w:rsid w:val="007F6E50"/>
    <w:rsid w:val="00800EB8"/>
    <w:rsid w:val="00801954"/>
    <w:rsid w:val="008027F5"/>
    <w:rsid w:val="00802995"/>
    <w:rsid w:val="00803707"/>
    <w:rsid w:val="00803F18"/>
    <w:rsid w:val="0080486C"/>
    <w:rsid w:val="008053F0"/>
    <w:rsid w:val="0081015E"/>
    <w:rsid w:val="008104BC"/>
    <w:rsid w:val="00811E99"/>
    <w:rsid w:val="00812E28"/>
    <w:rsid w:val="00813111"/>
    <w:rsid w:val="00813A57"/>
    <w:rsid w:val="00813E63"/>
    <w:rsid w:val="00816165"/>
    <w:rsid w:val="0081631A"/>
    <w:rsid w:val="00817308"/>
    <w:rsid w:val="00817F4E"/>
    <w:rsid w:val="00820D13"/>
    <w:rsid w:val="00821387"/>
    <w:rsid w:val="0082221D"/>
    <w:rsid w:val="0082278C"/>
    <w:rsid w:val="00822ABC"/>
    <w:rsid w:val="00823D8F"/>
    <w:rsid w:val="008249C6"/>
    <w:rsid w:val="00825986"/>
    <w:rsid w:val="008263B5"/>
    <w:rsid w:val="00826958"/>
    <w:rsid w:val="00826D62"/>
    <w:rsid w:val="00827DBB"/>
    <w:rsid w:val="00831588"/>
    <w:rsid w:val="008320F3"/>
    <w:rsid w:val="00836FA9"/>
    <w:rsid w:val="0083753C"/>
    <w:rsid w:val="00837FD2"/>
    <w:rsid w:val="00840CD1"/>
    <w:rsid w:val="00841C72"/>
    <w:rsid w:val="00842335"/>
    <w:rsid w:val="00842409"/>
    <w:rsid w:val="00842B57"/>
    <w:rsid w:val="008430A7"/>
    <w:rsid w:val="008441E0"/>
    <w:rsid w:val="008442B4"/>
    <w:rsid w:val="008450F8"/>
    <w:rsid w:val="00845C87"/>
    <w:rsid w:val="00845F08"/>
    <w:rsid w:val="008468A2"/>
    <w:rsid w:val="00850AEA"/>
    <w:rsid w:val="00851388"/>
    <w:rsid w:val="008518A3"/>
    <w:rsid w:val="00852824"/>
    <w:rsid w:val="00852CC6"/>
    <w:rsid w:val="00852FA8"/>
    <w:rsid w:val="00853D1E"/>
    <w:rsid w:val="00855FC3"/>
    <w:rsid w:val="00857A1F"/>
    <w:rsid w:val="00857A5C"/>
    <w:rsid w:val="00860244"/>
    <w:rsid w:val="0086040C"/>
    <w:rsid w:val="00860459"/>
    <w:rsid w:val="008612C3"/>
    <w:rsid w:val="0086131D"/>
    <w:rsid w:val="00861471"/>
    <w:rsid w:val="00861FCB"/>
    <w:rsid w:val="0086227B"/>
    <w:rsid w:val="0086336F"/>
    <w:rsid w:val="008634B3"/>
    <w:rsid w:val="008636A5"/>
    <w:rsid w:val="00863859"/>
    <w:rsid w:val="00865CA7"/>
    <w:rsid w:val="00865E89"/>
    <w:rsid w:val="00866306"/>
    <w:rsid w:val="008666C1"/>
    <w:rsid w:val="0086726B"/>
    <w:rsid w:val="008674E2"/>
    <w:rsid w:val="00870531"/>
    <w:rsid w:val="00872864"/>
    <w:rsid w:val="00873BDB"/>
    <w:rsid w:val="00874003"/>
    <w:rsid w:val="008740BF"/>
    <w:rsid w:val="00874555"/>
    <w:rsid w:val="0087474B"/>
    <w:rsid w:val="00874CC5"/>
    <w:rsid w:val="0087591D"/>
    <w:rsid w:val="008765BD"/>
    <w:rsid w:val="00877CB8"/>
    <w:rsid w:val="00880D30"/>
    <w:rsid w:val="00880DBF"/>
    <w:rsid w:val="00881637"/>
    <w:rsid w:val="00883386"/>
    <w:rsid w:val="00883DD3"/>
    <w:rsid w:val="00884575"/>
    <w:rsid w:val="008845AC"/>
    <w:rsid w:val="008858A1"/>
    <w:rsid w:val="0088748B"/>
    <w:rsid w:val="00887A2B"/>
    <w:rsid w:val="00887AE6"/>
    <w:rsid w:val="00891293"/>
    <w:rsid w:val="008920BA"/>
    <w:rsid w:val="00892AD8"/>
    <w:rsid w:val="00893685"/>
    <w:rsid w:val="00893FC7"/>
    <w:rsid w:val="00895677"/>
    <w:rsid w:val="008958AF"/>
    <w:rsid w:val="00896023"/>
    <w:rsid w:val="008974F8"/>
    <w:rsid w:val="008977B0"/>
    <w:rsid w:val="00897FF6"/>
    <w:rsid w:val="008A0FAD"/>
    <w:rsid w:val="008A2814"/>
    <w:rsid w:val="008A30A4"/>
    <w:rsid w:val="008A3358"/>
    <w:rsid w:val="008A3584"/>
    <w:rsid w:val="008A36DA"/>
    <w:rsid w:val="008A4474"/>
    <w:rsid w:val="008A48CE"/>
    <w:rsid w:val="008A4A41"/>
    <w:rsid w:val="008A5133"/>
    <w:rsid w:val="008A5DB6"/>
    <w:rsid w:val="008A663B"/>
    <w:rsid w:val="008A7B06"/>
    <w:rsid w:val="008A7EF4"/>
    <w:rsid w:val="008B0293"/>
    <w:rsid w:val="008B09E3"/>
    <w:rsid w:val="008B15D1"/>
    <w:rsid w:val="008B1A8F"/>
    <w:rsid w:val="008B1E17"/>
    <w:rsid w:val="008B1F98"/>
    <w:rsid w:val="008B26A9"/>
    <w:rsid w:val="008B2BCA"/>
    <w:rsid w:val="008B3437"/>
    <w:rsid w:val="008B3D9D"/>
    <w:rsid w:val="008B526A"/>
    <w:rsid w:val="008B548C"/>
    <w:rsid w:val="008B5C45"/>
    <w:rsid w:val="008B6F57"/>
    <w:rsid w:val="008B7AC4"/>
    <w:rsid w:val="008B7E9B"/>
    <w:rsid w:val="008C0596"/>
    <w:rsid w:val="008C0F6E"/>
    <w:rsid w:val="008C2574"/>
    <w:rsid w:val="008C2B5D"/>
    <w:rsid w:val="008C3185"/>
    <w:rsid w:val="008C340C"/>
    <w:rsid w:val="008C4BEC"/>
    <w:rsid w:val="008C524D"/>
    <w:rsid w:val="008C52BA"/>
    <w:rsid w:val="008C557F"/>
    <w:rsid w:val="008C5612"/>
    <w:rsid w:val="008C568D"/>
    <w:rsid w:val="008C6B39"/>
    <w:rsid w:val="008D1009"/>
    <w:rsid w:val="008D1542"/>
    <w:rsid w:val="008D1EA7"/>
    <w:rsid w:val="008D2B05"/>
    <w:rsid w:val="008D2E97"/>
    <w:rsid w:val="008D37D5"/>
    <w:rsid w:val="008D3C95"/>
    <w:rsid w:val="008D49AE"/>
    <w:rsid w:val="008D63BC"/>
    <w:rsid w:val="008D6889"/>
    <w:rsid w:val="008D7AE6"/>
    <w:rsid w:val="008D7CDF"/>
    <w:rsid w:val="008E03C8"/>
    <w:rsid w:val="008E1D50"/>
    <w:rsid w:val="008E2632"/>
    <w:rsid w:val="008E7BA2"/>
    <w:rsid w:val="008F00B4"/>
    <w:rsid w:val="008F061B"/>
    <w:rsid w:val="008F09A8"/>
    <w:rsid w:val="008F0B48"/>
    <w:rsid w:val="008F1F67"/>
    <w:rsid w:val="008F259F"/>
    <w:rsid w:val="008F396F"/>
    <w:rsid w:val="008F3B14"/>
    <w:rsid w:val="008F3CFC"/>
    <w:rsid w:val="008F4850"/>
    <w:rsid w:val="008F48C0"/>
    <w:rsid w:val="008F4FCF"/>
    <w:rsid w:val="008F6769"/>
    <w:rsid w:val="008F6ADD"/>
    <w:rsid w:val="0090087C"/>
    <w:rsid w:val="009009BB"/>
    <w:rsid w:val="0090152A"/>
    <w:rsid w:val="0090222F"/>
    <w:rsid w:val="009027A5"/>
    <w:rsid w:val="009029E9"/>
    <w:rsid w:val="009030A3"/>
    <w:rsid w:val="00904364"/>
    <w:rsid w:val="00904F35"/>
    <w:rsid w:val="009051E1"/>
    <w:rsid w:val="00907927"/>
    <w:rsid w:val="009100F1"/>
    <w:rsid w:val="00910303"/>
    <w:rsid w:val="00910348"/>
    <w:rsid w:val="00910EC9"/>
    <w:rsid w:val="00911696"/>
    <w:rsid w:val="00914B55"/>
    <w:rsid w:val="0091517B"/>
    <w:rsid w:val="009171C0"/>
    <w:rsid w:val="00917900"/>
    <w:rsid w:val="009211A4"/>
    <w:rsid w:val="0092200C"/>
    <w:rsid w:val="00923565"/>
    <w:rsid w:val="0092388A"/>
    <w:rsid w:val="0092497A"/>
    <w:rsid w:val="00924F3F"/>
    <w:rsid w:val="00925508"/>
    <w:rsid w:val="00926711"/>
    <w:rsid w:val="009273C3"/>
    <w:rsid w:val="00930A80"/>
    <w:rsid w:val="00930FAF"/>
    <w:rsid w:val="0093162D"/>
    <w:rsid w:val="0093261A"/>
    <w:rsid w:val="0093316E"/>
    <w:rsid w:val="00933930"/>
    <w:rsid w:val="00933A78"/>
    <w:rsid w:val="00933D8D"/>
    <w:rsid w:val="0093470A"/>
    <w:rsid w:val="00934CE7"/>
    <w:rsid w:val="00934DB5"/>
    <w:rsid w:val="009356E0"/>
    <w:rsid w:val="00935CAF"/>
    <w:rsid w:val="0093749E"/>
    <w:rsid w:val="00940273"/>
    <w:rsid w:val="00940510"/>
    <w:rsid w:val="00940BFF"/>
    <w:rsid w:val="009416E5"/>
    <w:rsid w:val="00941F4A"/>
    <w:rsid w:val="009428D6"/>
    <w:rsid w:val="00942BF3"/>
    <w:rsid w:val="00942E38"/>
    <w:rsid w:val="009448AD"/>
    <w:rsid w:val="00945033"/>
    <w:rsid w:val="00946397"/>
    <w:rsid w:val="009466D7"/>
    <w:rsid w:val="00950769"/>
    <w:rsid w:val="00950C1F"/>
    <w:rsid w:val="00952751"/>
    <w:rsid w:val="00953756"/>
    <w:rsid w:val="00954B72"/>
    <w:rsid w:val="009559E9"/>
    <w:rsid w:val="00957FC4"/>
    <w:rsid w:val="00960010"/>
    <w:rsid w:val="00960652"/>
    <w:rsid w:val="009613FF"/>
    <w:rsid w:val="00961FB5"/>
    <w:rsid w:val="00961FB9"/>
    <w:rsid w:val="00963B18"/>
    <w:rsid w:val="009644E9"/>
    <w:rsid w:val="00965237"/>
    <w:rsid w:val="00965884"/>
    <w:rsid w:val="00965BDB"/>
    <w:rsid w:val="00966382"/>
    <w:rsid w:val="00966505"/>
    <w:rsid w:val="00966B61"/>
    <w:rsid w:val="0096769F"/>
    <w:rsid w:val="009703CC"/>
    <w:rsid w:val="00970407"/>
    <w:rsid w:val="009708FD"/>
    <w:rsid w:val="00971258"/>
    <w:rsid w:val="009716D6"/>
    <w:rsid w:val="00971B10"/>
    <w:rsid w:val="00974087"/>
    <w:rsid w:val="0097529B"/>
    <w:rsid w:val="00975779"/>
    <w:rsid w:val="009765BE"/>
    <w:rsid w:val="00976ED7"/>
    <w:rsid w:val="009770A2"/>
    <w:rsid w:val="00981364"/>
    <w:rsid w:val="00981E0E"/>
    <w:rsid w:val="009836CF"/>
    <w:rsid w:val="00983B9A"/>
    <w:rsid w:val="00984336"/>
    <w:rsid w:val="009844E7"/>
    <w:rsid w:val="00984A0E"/>
    <w:rsid w:val="00986516"/>
    <w:rsid w:val="00986CD7"/>
    <w:rsid w:val="0099144C"/>
    <w:rsid w:val="00992B3C"/>
    <w:rsid w:val="0099378C"/>
    <w:rsid w:val="00994EAA"/>
    <w:rsid w:val="00996A93"/>
    <w:rsid w:val="009971B0"/>
    <w:rsid w:val="009A040B"/>
    <w:rsid w:val="009A0668"/>
    <w:rsid w:val="009A0CAD"/>
    <w:rsid w:val="009A1515"/>
    <w:rsid w:val="009A1B7A"/>
    <w:rsid w:val="009A3E7E"/>
    <w:rsid w:val="009A506E"/>
    <w:rsid w:val="009A6001"/>
    <w:rsid w:val="009A6E3D"/>
    <w:rsid w:val="009B0AEC"/>
    <w:rsid w:val="009B1A28"/>
    <w:rsid w:val="009B3998"/>
    <w:rsid w:val="009B3BDE"/>
    <w:rsid w:val="009B592C"/>
    <w:rsid w:val="009B6FEC"/>
    <w:rsid w:val="009B7774"/>
    <w:rsid w:val="009B799D"/>
    <w:rsid w:val="009C0B00"/>
    <w:rsid w:val="009C1294"/>
    <w:rsid w:val="009C2637"/>
    <w:rsid w:val="009C2A20"/>
    <w:rsid w:val="009C300D"/>
    <w:rsid w:val="009C3257"/>
    <w:rsid w:val="009C3641"/>
    <w:rsid w:val="009C4848"/>
    <w:rsid w:val="009C488D"/>
    <w:rsid w:val="009C5835"/>
    <w:rsid w:val="009C6244"/>
    <w:rsid w:val="009C71C2"/>
    <w:rsid w:val="009C784B"/>
    <w:rsid w:val="009D1031"/>
    <w:rsid w:val="009D1554"/>
    <w:rsid w:val="009D2008"/>
    <w:rsid w:val="009D225A"/>
    <w:rsid w:val="009D29B3"/>
    <w:rsid w:val="009D3737"/>
    <w:rsid w:val="009D4C67"/>
    <w:rsid w:val="009D55C4"/>
    <w:rsid w:val="009D7897"/>
    <w:rsid w:val="009D7D3B"/>
    <w:rsid w:val="009E1E98"/>
    <w:rsid w:val="009E2254"/>
    <w:rsid w:val="009E2348"/>
    <w:rsid w:val="009E32D0"/>
    <w:rsid w:val="009E34BD"/>
    <w:rsid w:val="009E4200"/>
    <w:rsid w:val="009E48B9"/>
    <w:rsid w:val="009E4954"/>
    <w:rsid w:val="009E4C4C"/>
    <w:rsid w:val="009E6A84"/>
    <w:rsid w:val="009E6C88"/>
    <w:rsid w:val="009E71B2"/>
    <w:rsid w:val="009E7A3F"/>
    <w:rsid w:val="009F01F0"/>
    <w:rsid w:val="009F1D23"/>
    <w:rsid w:val="009F1DEB"/>
    <w:rsid w:val="009F222C"/>
    <w:rsid w:val="009F4519"/>
    <w:rsid w:val="009F6166"/>
    <w:rsid w:val="009F6B8C"/>
    <w:rsid w:val="00A00BA9"/>
    <w:rsid w:val="00A00CED"/>
    <w:rsid w:val="00A00EE8"/>
    <w:rsid w:val="00A01D1B"/>
    <w:rsid w:val="00A0214F"/>
    <w:rsid w:val="00A027EB"/>
    <w:rsid w:val="00A05229"/>
    <w:rsid w:val="00A05F09"/>
    <w:rsid w:val="00A07220"/>
    <w:rsid w:val="00A0793B"/>
    <w:rsid w:val="00A07E69"/>
    <w:rsid w:val="00A07FB4"/>
    <w:rsid w:val="00A10D7B"/>
    <w:rsid w:val="00A11688"/>
    <w:rsid w:val="00A124BD"/>
    <w:rsid w:val="00A14571"/>
    <w:rsid w:val="00A16112"/>
    <w:rsid w:val="00A2017C"/>
    <w:rsid w:val="00A2029F"/>
    <w:rsid w:val="00A22156"/>
    <w:rsid w:val="00A223F1"/>
    <w:rsid w:val="00A22C44"/>
    <w:rsid w:val="00A23A6F"/>
    <w:rsid w:val="00A23FA0"/>
    <w:rsid w:val="00A24060"/>
    <w:rsid w:val="00A24C51"/>
    <w:rsid w:val="00A24EA8"/>
    <w:rsid w:val="00A25C12"/>
    <w:rsid w:val="00A26E97"/>
    <w:rsid w:val="00A3031C"/>
    <w:rsid w:val="00A309A6"/>
    <w:rsid w:val="00A31F32"/>
    <w:rsid w:val="00A322AA"/>
    <w:rsid w:val="00A32575"/>
    <w:rsid w:val="00A332B2"/>
    <w:rsid w:val="00A3332F"/>
    <w:rsid w:val="00A3345A"/>
    <w:rsid w:val="00A33CE5"/>
    <w:rsid w:val="00A343E9"/>
    <w:rsid w:val="00A35129"/>
    <w:rsid w:val="00A35B08"/>
    <w:rsid w:val="00A364FB"/>
    <w:rsid w:val="00A36733"/>
    <w:rsid w:val="00A37077"/>
    <w:rsid w:val="00A371DF"/>
    <w:rsid w:val="00A403FB"/>
    <w:rsid w:val="00A40410"/>
    <w:rsid w:val="00A40DC3"/>
    <w:rsid w:val="00A41E8F"/>
    <w:rsid w:val="00A4245F"/>
    <w:rsid w:val="00A42473"/>
    <w:rsid w:val="00A454C7"/>
    <w:rsid w:val="00A454F2"/>
    <w:rsid w:val="00A4653F"/>
    <w:rsid w:val="00A46F95"/>
    <w:rsid w:val="00A4714C"/>
    <w:rsid w:val="00A47477"/>
    <w:rsid w:val="00A517BB"/>
    <w:rsid w:val="00A51ADC"/>
    <w:rsid w:val="00A54C77"/>
    <w:rsid w:val="00A552AC"/>
    <w:rsid w:val="00A5564F"/>
    <w:rsid w:val="00A5645B"/>
    <w:rsid w:val="00A56973"/>
    <w:rsid w:val="00A56FB3"/>
    <w:rsid w:val="00A573F4"/>
    <w:rsid w:val="00A57BCF"/>
    <w:rsid w:val="00A57DDB"/>
    <w:rsid w:val="00A57F82"/>
    <w:rsid w:val="00A60054"/>
    <w:rsid w:val="00A60E84"/>
    <w:rsid w:val="00A61C59"/>
    <w:rsid w:val="00A6275E"/>
    <w:rsid w:val="00A62CBE"/>
    <w:rsid w:val="00A63099"/>
    <w:rsid w:val="00A65671"/>
    <w:rsid w:val="00A6581C"/>
    <w:rsid w:val="00A65D88"/>
    <w:rsid w:val="00A66EF3"/>
    <w:rsid w:val="00A67991"/>
    <w:rsid w:val="00A67A2B"/>
    <w:rsid w:val="00A70444"/>
    <w:rsid w:val="00A70522"/>
    <w:rsid w:val="00A720F1"/>
    <w:rsid w:val="00A7385F"/>
    <w:rsid w:val="00A73B58"/>
    <w:rsid w:val="00A75AED"/>
    <w:rsid w:val="00A76D68"/>
    <w:rsid w:val="00A8154F"/>
    <w:rsid w:val="00A81749"/>
    <w:rsid w:val="00A817B2"/>
    <w:rsid w:val="00A8192B"/>
    <w:rsid w:val="00A83D3D"/>
    <w:rsid w:val="00A85931"/>
    <w:rsid w:val="00A85E97"/>
    <w:rsid w:val="00A86608"/>
    <w:rsid w:val="00A8690A"/>
    <w:rsid w:val="00A8793C"/>
    <w:rsid w:val="00A87A1B"/>
    <w:rsid w:val="00A90334"/>
    <w:rsid w:val="00A90E0F"/>
    <w:rsid w:val="00A92095"/>
    <w:rsid w:val="00A93179"/>
    <w:rsid w:val="00A93D53"/>
    <w:rsid w:val="00A93FEF"/>
    <w:rsid w:val="00A95E89"/>
    <w:rsid w:val="00A96C3E"/>
    <w:rsid w:val="00A96FF7"/>
    <w:rsid w:val="00A97CB8"/>
    <w:rsid w:val="00AA18BB"/>
    <w:rsid w:val="00AA20D4"/>
    <w:rsid w:val="00AA223A"/>
    <w:rsid w:val="00AA2BF5"/>
    <w:rsid w:val="00AA3988"/>
    <w:rsid w:val="00AA41A2"/>
    <w:rsid w:val="00AA438F"/>
    <w:rsid w:val="00AA58E1"/>
    <w:rsid w:val="00AB071A"/>
    <w:rsid w:val="00AB1DB4"/>
    <w:rsid w:val="00AB22E2"/>
    <w:rsid w:val="00AB2864"/>
    <w:rsid w:val="00AB3DA7"/>
    <w:rsid w:val="00AB4773"/>
    <w:rsid w:val="00AB510A"/>
    <w:rsid w:val="00AB5422"/>
    <w:rsid w:val="00AB5BB1"/>
    <w:rsid w:val="00AB71DE"/>
    <w:rsid w:val="00AC1223"/>
    <w:rsid w:val="00AC1823"/>
    <w:rsid w:val="00AC27EC"/>
    <w:rsid w:val="00AC35B6"/>
    <w:rsid w:val="00AC6D47"/>
    <w:rsid w:val="00AD039B"/>
    <w:rsid w:val="00AD1839"/>
    <w:rsid w:val="00AD257D"/>
    <w:rsid w:val="00AD28C3"/>
    <w:rsid w:val="00AD387A"/>
    <w:rsid w:val="00AD39BE"/>
    <w:rsid w:val="00AD492D"/>
    <w:rsid w:val="00AD4C83"/>
    <w:rsid w:val="00AD4FEC"/>
    <w:rsid w:val="00AD5C27"/>
    <w:rsid w:val="00AD68DB"/>
    <w:rsid w:val="00AD704B"/>
    <w:rsid w:val="00AD783B"/>
    <w:rsid w:val="00AE0468"/>
    <w:rsid w:val="00AE0E44"/>
    <w:rsid w:val="00AE10D9"/>
    <w:rsid w:val="00AE136D"/>
    <w:rsid w:val="00AE1C18"/>
    <w:rsid w:val="00AE21D3"/>
    <w:rsid w:val="00AE2C3D"/>
    <w:rsid w:val="00AE2E80"/>
    <w:rsid w:val="00AE4E05"/>
    <w:rsid w:val="00AE729E"/>
    <w:rsid w:val="00AE764C"/>
    <w:rsid w:val="00AE77FF"/>
    <w:rsid w:val="00AF090B"/>
    <w:rsid w:val="00AF0C5F"/>
    <w:rsid w:val="00AF2074"/>
    <w:rsid w:val="00AF213A"/>
    <w:rsid w:val="00AF41B4"/>
    <w:rsid w:val="00AF41E4"/>
    <w:rsid w:val="00AF4575"/>
    <w:rsid w:val="00AF5ADA"/>
    <w:rsid w:val="00AF5BF1"/>
    <w:rsid w:val="00AF6545"/>
    <w:rsid w:val="00AF7231"/>
    <w:rsid w:val="00B03500"/>
    <w:rsid w:val="00B0391E"/>
    <w:rsid w:val="00B04DAD"/>
    <w:rsid w:val="00B05408"/>
    <w:rsid w:val="00B0570D"/>
    <w:rsid w:val="00B05EB0"/>
    <w:rsid w:val="00B1043C"/>
    <w:rsid w:val="00B11228"/>
    <w:rsid w:val="00B11320"/>
    <w:rsid w:val="00B1150D"/>
    <w:rsid w:val="00B11923"/>
    <w:rsid w:val="00B11A59"/>
    <w:rsid w:val="00B11C02"/>
    <w:rsid w:val="00B11F4B"/>
    <w:rsid w:val="00B1328A"/>
    <w:rsid w:val="00B140AF"/>
    <w:rsid w:val="00B144EA"/>
    <w:rsid w:val="00B145B3"/>
    <w:rsid w:val="00B16604"/>
    <w:rsid w:val="00B16AB9"/>
    <w:rsid w:val="00B17069"/>
    <w:rsid w:val="00B172CE"/>
    <w:rsid w:val="00B17990"/>
    <w:rsid w:val="00B21F11"/>
    <w:rsid w:val="00B22875"/>
    <w:rsid w:val="00B22CFA"/>
    <w:rsid w:val="00B22D54"/>
    <w:rsid w:val="00B23CF1"/>
    <w:rsid w:val="00B23D11"/>
    <w:rsid w:val="00B2452C"/>
    <w:rsid w:val="00B24BAD"/>
    <w:rsid w:val="00B24F32"/>
    <w:rsid w:val="00B25573"/>
    <w:rsid w:val="00B2687C"/>
    <w:rsid w:val="00B26C83"/>
    <w:rsid w:val="00B270DD"/>
    <w:rsid w:val="00B30596"/>
    <w:rsid w:val="00B33BCC"/>
    <w:rsid w:val="00B33D31"/>
    <w:rsid w:val="00B340F1"/>
    <w:rsid w:val="00B367A3"/>
    <w:rsid w:val="00B37984"/>
    <w:rsid w:val="00B37FFB"/>
    <w:rsid w:val="00B41F29"/>
    <w:rsid w:val="00B42CC7"/>
    <w:rsid w:val="00B42CE8"/>
    <w:rsid w:val="00B43C35"/>
    <w:rsid w:val="00B44432"/>
    <w:rsid w:val="00B4550E"/>
    <w:rsid w:val="00B45C2E"/>
    <w:rsid w:val="00B45D83"/>
    <w:rsid w:val="00B45F5D"/>
    <w:rsid w:val="00B474B0"/>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0FC9"/>
    <w:rsid w:val="00B610D0"/>
    <w:rsid w:val="00B618C0"/>
    <w:rsid w:val="00B62016"/>
    <w:rsid w:val="00B64EC4"/>
    <w:rsid w:val="00B6607C"/>
    <w:rsid w:val="00B674C4"/>
    <w:rsid w:val="00B720D1"/>
    <w:rsid w:val="00B72A79"/>
    <w:rsid w:val="00B72C1B"/>
    <w:rsid w:val="00B733B4"/>
    <w:rsid w:val="00B73DBA"/>
    <w:rsid w:val="00B74982"/>
    <w:rsid w:val="00B75B39"/>
    <w:rsid w:val="00B75FDC"/>
    <w:rsid w:val="00B765A7"/>
    <w:rsid w:val="00B775A5"/>
    <w:rsid w:val="00B81135"/>
    <w:rsid w:val="00B818A4"/>
    <w:rsid w:val="00B82CFA"/>
    <w:rsid w:val="00B82F1E"/>
    <w:rsid w:val="00B82FFE"/>
    <w:rsid w:val="00B83B1E"/>
    <w:rsid w:val="00B83F09"/>
    <w:rsid w:val="00B83FF7"/>
    <w:rsid w:val="00B84A0E"/>
    <w:rsid w:val="00B85337"/>
    <w:rsid w:val="00B85556"/>
    <w:rsid w:val="00B86C3C"/>
    <w:rsid w:val="00B872E1"/>
    <w:rsid w:val="00B905BF"/>
    <w:rsid w:val="00B90717"/>
    <w:rsid w:val="00B90C53"/>
    <w:rsid w:val="00B92A8E"/>
    <w:rsid w:val="00B92D24"/>
    <w:rsid w:val="00B92FA7"/>
    <w:rsid w:val="00B937FF"/>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DDE"/>
    <w:rsid w:val="00BA441C"/>
    <w:rsid w:val="00BA4545"/>
    <w:rsid w:val="00BA4582"/>
    <w:rsid w:val="00BA4E79"/>
    <w:rsid w:val="00BA51F9"/>
    <w:rsid w:val="00BA576C"/>
    <w:rsid w:val="00BA6109"/>
    <w:rsid w:val="00BA6CA0"/>
    <w:rsid w:val="00BA7CDD"/>
    <w:rsid w:val="00BB16B0"/>
    <w:rsid w:val="00BB177D"/>
    <w:rsid w:val="00BB2423"/>
    <w:rsid w:val="00BB4987"/>
    <w:rsid w:val="00BB4AD4"/>
    <w:rsid w:val="00BB4EBC"/>
    <w:rsid w:val="00BB608E"/>
    <w:rsid w:val="00BB7254"/>
    <w:rsid w:val="00BB7342"/>
    <w:rsid w:val="00BB7343"/>
    <w:rsid w:val="00BC2849"/>
    <w:rsid w:val="00BC455E"/>
    <w:rsid w:val="00BC52DB"/>
    <w:rsid w:val="00BC5E12"/>
    <w:rsid w:val="00BC5EA5"/>
    <w:rsid w:val="00BC6F75"/>
    <w:rsid w:val="00BC71BB"/>
    <w:rsid w:val="00BC7EB1"/>
    <w:rsid w:val="00BD1154"/>
    <w:rsid w:val="00BD2B66"/>
    <w:rsid w:val="00BD44D3"/>
    <w:rsid w:val="00BD51FD"/>
    <w:rsid w:val="00BD6637"/>
    <w:rsid w:val="00BD6AF0"/>
    <w:rsid w:val="00BD751C"/>
    <w:rsid w:val="00BE0B8E"/>
    <w:rsid w:val="00BE1603"/>
    <w:rsid w:val="00BE1926"/>
    <w:rsid w:val="00BE2F78"/>
    <w:rsid w:val="00BE2FDD"/>
    <w:rsid w:val="00BE38C7"/>
    <w:rsid w:val="00BE3996"/>
    <w:rsid w:val="00BE45EE"/>
    <w:rsid w:val="00BE5CA6"/>
    <w:rsid w:val="00BE65EE"/>
    <w:rsid w:val="00BE6673"/>
    <w:rsid w:val="00BE70F4"/>
    <w:rsid w:val="00BE7257"/>
    <w:rsid w:val="00BF19BC"/>
    <w:rsid w:val="00BF1D58"/>
    <w:rsid w:val="00BF1E45"/>
    <w:rsid w:val="00BF1F73"/>
    <w:rsid w:val="00BF278B"/>
    <w:rsid w:val="00BF3212"/>
    <w:rsid w:val="00BF40BB"/>
    <w:rsid w:val="00BF42EA"/>
    <w:rsid w:val="00BF42EB"/>
    <w:rsid w:val="00BF478F"/>
    <w:rsid w:val="00BF4AF9"/>
    <w:rsid w:val="00BF551C"/>
    <w:rsid w:val="00BF6022"/>
    <w:rsid w:val="00BF6235"/>
    <w:rsid w:val="00BF6A4C"/>
    <w:rsid w:val="00BF7675"/>
    <w:rsid w:val="00BF7FE8"/>
    <w:rsid w:val="00C0162F"/>
    <w:rsid w:val="00C018E4"/>
    <w:rsid w:val="00C01DAE"/>
    <w:rsid w:val="00C025BA"/>
    <w:rsid w:val="00C02ACB"/>
    <w:rsid w:val="00C02E00"/>
    <w:rsid w:val="00C02E3C"/>
    <w:rsid w:val="00C03338"/>
    <w:rsid w:val="00C04C1C"/>
    <w:rsid w:val="00C04F27"/>
    <w:rsid w:val="00C0599D"/>
    <w:rsid w:val="00C061D6"/>
    <w:rsid w:val="00C0635D"/>
    <w:rsid w:val="00C1027E"/>
    <w:rsid w:val="00C1073E"/>
    <w:rsid w:val="00C11174"/>
    <w:rsid w:val="00C1128D"/>
    <w:rsid w:val="00C112D5"/>
    <w:rsid w:val="00C11C3D"/>
    <w:rsid w:val="00C11F28"/>
    <w:rsid w:val="00C11F5B"/>
    <w:rsid w:val="00C1274E"/>
    <w:rsid w:val="00C136BB"/>
    <w:rsid w:val="00C14959"/>
    <w:rsid w:val="00C152F4"/>
    <w:rsid w:val="00C16D93"/>
    <w:rsid w:val="00C20556"/>
    <w:rsid w:val="00C21224"/>
    <w:rsid w:val="00C22CAE"/>
    <w:rsid w:val="00C24E46"/>
    <w:rsid w:val="00C26E6E"/>
    <w:rsid w:val="00C274AC"/>
    <w:rsid w:val="00C33911"/>
    <w:rsid w:val="00C348E9"/>
    <w:rsid w:val="00C35AF9"/>
    <w:rsid w:val="00C36312"/>
    <w:rsid w:val="00C36AEC"/>
    <w:rsid w:val="00C36C24"/>
    <w:rsid w:val="00C37350"/>
    <w:rsid w:val="00C374CB"/>
    <w:rsid w:val="00C379B2"/>
    <w:rsid w:val="00C37AE1"/>
    <w:rsid w:val="00C37B3B"/>
    <w:rsid w:val="00C40209"/>
    <w:rsid w:val="00C41CBC"/>
    <w:rsid w:val="00C434D1"/>
    <w:rsid w:val="00C44051"/>
    <w:rsid w:val="00C4494D"/>
    <w:rsid w:val="00C45786"/>
    <w:rsid w:val="00C45D70"/>
    <w:rsid w:val="00C462E9"/>
    <w:rsid w:val="00C4659A"/>
    <w:rsid w:val="00C470A5"/>
    <w:rsid w:val="00C474C4"/>
    <w:rsid w:val="00C47EC5"/>
    <w:rsid w:val="00C50395"/>
    <w:rsid w:val="00C51666"/>
    <w:rsid w:val="00C51DA5"/>
    <w:rsid w:val="00C525DE"/>
    <w:rsid w:val="00C528E2"/>
    <w:rsid w:val="00C53289"/>
    <w:rsid w:val="00C53F62"/>
    <w:rsid w:val="00C54638"/>
    <w:rsid w:val="00C546AA"/>
    <w:rsid w:val="00C54CCF"/>
    <w:rsid w:val="00C55296"/>
    <w:rsid w:val="00C554BD"/>
    <w:rsid w:val="00C561A1"/>
    <w:rsid w:val="00C56381"/>
    <w:rsid w:val="00C56D16"/>
    <w:rsid w:val="00C60E45"/>
    <w:rsid w:val="00C61B35"/>
    <w:rsid w:val="00C61E91"/>
    <w:rsid w:val="00C6229C"/>
    <w:rsid w:val="00C62746"/>
    <w:rsid w:val="00C64118"/>
    <w:rsid w:val="00C64557"/>
    <w:rsid w:val="00C6539B"/>
    <w:rsid w:val="00C66C8A"/>
    <w:rsid w:val="00C70373"/>
    <w:rsid w:val="00C70DF5"/>
    <w:rsid w:val="00C768C8"/>
    <w:rsid w:val="00C76D29"/>
    <w:rsid w:val="00C7709E"/>
    <w:rsid w:val="00C808FC"/>
    <w:rsid w:val="00C81C58"/>
    <w:rsid w:val="00C81D1F"/>
    <w:rsid w:val="00C82450"/>
    <w:rsid w:val="00C83BFA"/>
    <w:rsid w:val="00C83F9B"/>
    <w:rsid w:val="00C847C1"/>
    <w:rsid w:val="00C84E27"/>
    <w:rsid w:val="00C864C6"/>
    <w:rsid w:val="00C86860"/>
    <w:rsid w:val="00C8694C"/>
    <w:rsid w:val="00C87701"/>
    <w:rsid w:val="00C90169"/>
    <w:rsid w:val="00C9027B"/>
    <w:rsid w:val="00C90487"/>
    <w:rsid w:val="00C915D2"/>
    <w:rsid w:val="00C92404"/>
    <w:rsid w:val="00C928B3"/>
    <w:rsid w:val="00C92BC0"/>
    <w:rsid w:val="00C92F15"/>
    <w:rsid w:val="00C9313D"/>
    <w:rsid w:val="00C94130"/>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BAF"/>
    <w:rsid w:val="00CA7C5A"/>
    <w:rsid w:val="00CA7C6E"/>
    <w:rsid w:val="00CB0275"/>
    <w:rsid w:val="00CB19ED"/>
    <w:rsid w:val="00CB29F8"/>
    <w:rsid w:val="00CB2BDE"/>
    <w:rsid w:val="00CB2C10"/>
    <w:rsid w:val="00CB322D"/>
    <w:rsid w:val="00CB3EFF"/>
    <w:rsid w:val="00CB5A25"/>
    <w:rsid w:val="00CB637B"/>
    <w:rsid w:val="00CB6469"/>
    <w:rsid w:val="00CB736C"/>
    <w:rsid w:val="00CC057E"/>
    <w:rsid w:val="00CC05A6"/>
    <w:rsid w:val="00CC064C"/>
    <w:rsid w:val="00CC0C00"/>
    <w:rsid w:val="00CC120B"/>
    <w:rsid w:val="00CC15F1"/>
    <w:rsid w:val="00CC1865"/>
    <w:rsid w:val="00CC2331"/>
    <w:rsid w:val="00CC3536"/>
    <w:rsid w:val="00CC357A"/>
    <w:rsid w:val="00CC4BFE"/>
    <w:rsid w:val="00CC4C0B"/>
    <w:rsid w:val="00CC4FA5"/>
    <w:rsid w:val="00CC59E3"/>
    <w:rsid w:val="00CC607E"/>
    <w:rsid w:val="00CC61B2"/>
    <w:rsid w:val="00CC6689"/>
    <w:rsid w:val="00CC6AA8"/>
    <w:rsid w:val="00CC7636"/>
    <w:rsid w:val="00CD0DFF"/>
    <w:rsid w:val="00CD14BB"/>
    <w:rsid w:val="00CD1B9E"/>
    <w:rsid w:val="00CD1F36"/>
    <w:rsid w:val="00CD2163"/>
    <w:rsid w:val="00CD23E2"/>
    <w:rsid w:val="00CD2DD3"/>
    <w:rsid w:val="00CD35F3"/>
    <w:rsid w:val="00CD3F35"/>
    <w:rsid w:val="00CD3FEA"/>
    <w:rsid w:val="00CD409A"/>
    <w:rsid w:val="00CD4C81"/>
    <w:rsid w:val="00CD599F"/>
    <w:rsid w:val="00CD7733"/>
    <w:rsid w:val="00CE0481"/>
    <w:rsid w:val="00CE107A"/>
    <w:rsid w:val="00CE161A"/>
    <w:rsid w:val="00CE2880"/>
    <w:rsid w:val="00CE2AD3"/>
    <w:rsid w:val="00CE34D8"/>
    <w:rsid w:val="00CE39B0"/>
    <w:rsid w:val="00CE44A6"/>
    <w:rsid w:val="00CE75A2"/>
    <w:rsid w:val="00CF1375"/>
    <w:rsid w:val="00CF2BA6"/>
    <w:rsid w:val="00CF2D56"/>
    <w:rsid w:val="00CF35BC"/>
    <w:rsid w:val="00CF417C"/>
    <w:rsid w:val="00CF4F03"/>
    <w:rsid w:val="00CF5045"/>
    <w:rsid w:val="00CF511B"/>
    <w:rsid w:val="00CF5341"/>
    <w:rsid w:val="00CF6813"/>
    <w:rsid w:val="00CF6EAA"/>
    <w:rsid w:val="00CF71AF"/>
    <w:rsid w:val="00D0076B"/>
    <w:rsid w:val="00D0220A"/>
    <w:rsid w:val="00D02842"/>
    <w:rsid w:val="00D02CC6"/>
    <w:rsid w:val="00D032EA"/>
    <w:rsid w:val="00D041B2"/>
    <w:rsid w:val="00D04415"/>
    <w:rsid w:val="00D052B0"/>
    <w:rsid w:val="00D06CB2"/>
    <w:rsid w:val="00D06DB6"/>
    <w:rsid w:val="00D0721A"/>
    <w:rsid w:val="00D07C07"/>
    <w:rsid w:val="00D10784"/>
    <w:rsid w:val="00D109BA"/>
    <w:rsid w:val="00D12225"/>
    <w:rsid w:val="00D12681"/>
    <w:rsid w:val="00D14151"/>
    <w:rsid w:val="00D14575"/>
    <w:rsid w:val="00D15191"/>
    <w:rsid w:val="00D15F95"/>
    <w:rsid w:val="00D170A2"/>
    <w:rsid w:val="00D17C4A"/>
    <w:rsid w:val="00D20045"/>
    <w:rsid w:val="00D2044F"/>
    <w:rsid w:val="00D20526"/>
    <w:rsid w:val="00D20B1D"/>
    <w:rsid w:val="00D20D72"/>
    <w:rsid w:val="00D224BB"/>
    <w:rsid w:val="00D24101"/>
    <w:rsid w:val="00D24270"/>
    <w:rsid w:val="00D2576A"/>
    <w:rsid w:val="00D26254"/>
    <w:rsid w:val="00D269CB"/>
    <w:rsid w:val="00D26BBD"/>
    <w:rsid w:val="00D3032C"/>
    <w:rsid w:val="00D30886"/>
    <w:rsid w:val="00D33214"/>
    <w:rsid w:val="00D34F8C"/>
    <w:rsid w:val="00D35334"/>
    <w:rsid w:val="00D35D4B"/>
    <w:rsid w:val="00D368EA"/>
    <w:rsid w:val="00D37B93"/>
    <w:rsid w:val="00D37D5C"/>
    <w:rsid w:val="00D4071B"/>
    <w:rsid w:val="00D41ACF"/>
    <w:rsid w:val="00D41D9B"/>
    <w:rsid w:val="00D41EDD"/>
    <w:rsid w:val="00D43591"/>
    <w:rsid w:val="00D443C0"/>
    <w:rsid w:val="00D449F4"/>
    <w:rsid w:val="00D475CC"/>
    <w:rsid w:val="00D50E2E"/>
    <w:rsid w:val="00D51D00"/>
    <w:rsid w:val="00D52BE6"/>
    <w:rsid w:val="00D52F65"/>
    <w:rsid w:val="00D53F48"/>
    <w:rsid w:val="00D55450"/>
    <w:rsid w:val="00D557D1"/>
    <w:rsid w:val="00D55A28"/>
    <w:rsid w:val="00D56C1A"/>
    <w:rsid w:val="00D57DEA"/>
    <w:rsid w:val="00D6014E"/>
    <w:rsid w:val="00D606EB"/>
    <w:rsid w:val="00D608D2"/>
    <w:rsid w:val="00D60B76"/>
    <w:rsid w:val="00D60D9A"/>
    <w:rsid w:val="00D61C48"/>
    <w:rsid w:val="00D6254E"/>
    <w:rsid w:val="00D62C42"/>
    <w:rsid w:val="00D63B54"/>
    <w:rsid w:val="00D6454D"/>
    <w:rsid w:val="00D64647"/>
    <w:rsid w:val="00D64E18"/>
    <w:rsid w:val="00D65605"/>
    <w:rsid w:val="00D65D15"/>
    <w:rsid w:val="00D66FF4"/>
    <w:rsid w:val="00D6751E"/>
    <w:rsid w:val="00D67BA5"/>
    <w:rsid w:val="00D7005F"/>
    <w:rsid w:val="00D7054E"/>
    <w:rsid w:val="00D7064E"/>
    <w:rsid w:val="00D70765"/>
    <w:rsid w:val="00D70AA0"/>
    <w:rsid w:val="00D70CEB"/>
    <w:rsid w:val="00D711D0"/>
    <w:rsid w:val="00D7262D"/>
    <w:rsid w:val="00D72908"/>
    <w:rsid w:val="00D730C8"/>
    <w:rsid w:val="00D73232"/>
    <w:rsid w:val="00D73733"/>
    <w:rsid w:val="00D73900"/>
    <w:rsid w:val="00D744D9"/>
    <w:rsid w:val="00D7526D"/>
    <w:rsid w:val="00D75664"/>
    <w:rsid w:val="00D757DB"/>
    <w:rsid w:val="00D75CA1"/>
    <w:rsid w:val="00D762FC"/>
    <w:rsid w:val="00D7644E"/>
    <w:rsid w:val="00D76FB1"/>
    <w:rsid w:val="00D80E88"/>
    <w:rsid w:val="00D812E6"/>
    <w:rsid w:val="00D81EA4"/>
    <w:rsid w:val="00D820F9"/>
    <w:rsid w:val="00D826D7"/>
    <w:rsid w:val="00D83542"/>
    <w:rsid w:val="00D83AC9"/>
    <w:rsid w:val="00D859DF"/>
    <w:rsid w:val="00D85A05"/>
    <w:rsid w:val="00D8658E"/>
    <w:rsid w:val="00D90647"/>
    <w:rsid w:val="00D90E1D"/>
    <w:rsid w:val="00D9125E"/>
    <w:rsid w:val="00D91788"/>
    <w:rsid w:val="00D92194"/>
    <w:rsid w:val="00D92662"/>
    <w:rsid w:val="00D926EA"/>
    <w:rsid w:val="00D929B5"/>
    <w:rsid w:val="00D9361B"/>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78B"/>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C01F9"/>
    <w:rsid w:val="00DC041E"/>
    <w:rsid w:val="00DC0F6F"/>
    <w:rsid w:val="00DC13E0"/>
    <w:rsid w:val="00DC3271"/>
    <w:rsid w:val="00DC5231"/>
    <w:rsid w:val="00DC5F3F"/>
    <w:rsid w:val="00DC5FCB"/>
    <w:rsid w:val="00DC65AA"/>
    <w:rsid w:val="00DC6BA9"/>
    <w:rsid w:val="00DC786B"/>
    <w:rsid w:val="00DC7921"/>
    <w:rsid w:val="00DD0549"/>
    <w:rsid w:val="00DD0733"/>
    <w:rsid w:val="00DD081D"/>
    <w:rsid w:val="00DD2A89"/>
    <w:rsid w:val="00DD49CF"/>
    <w:rsid w:val="00DD5435"/>
    <w:rsid w:val="00DD5B5F"/>
    <w:rsid w:val="00DD7E65"/>
    <w:rsid w:val="00DE2E14"/>
    <w:rsid w:val="00DE2FFC"/>
    <w:rsid w:val="00DE55D0"/>
    <w:rsid w:val="00DE6848"/>
    <w:rsid w:val="00DE6FE6"/>
    <w:rsid w:val="00DF11A2"/>
    <w:rsid w:val="00DF24CF"/>
    <w:rsid w:val="00DF2725"/>
    <w:rsid w:val="00DF3717"/>
    <w:rsid w:val="00DF3760"/>
    <w:rsid w:val="00DF5328"/>
    <w:rsid w:val="00DF5605"/>
    <w:rsid w:val="00DF6532"/>
    <w:rsid w:val="00DF6667"/>
    <w:rsid w:val="00E009A5"/>
    <w:rsid w:val="00E00D62"/>
    <w:rsid w:val="00E0118C"/>
    <w:rsid w:val="00E01320"/>
    <w:rsid w:val="00E014ED"/>
    <w:rsid w:val="00E01FEC"/>
    <w:rsid w:val="00E020AA"/>
    <w:rsid w:val="00E02611"/>
    <w:rsid w:val="00E03507"/>
    <w:rsid w:val="00E0404B"/>
    <w:rsid w:val="00E04669"/>
    <w:rsid w:val="00E04CB0"/>
    <w:rsid w:val="00E051AE"/>
    <w:rsid w:val="00E05359"/>
    <w:rsid w:val="00E059D2"/>
    <w:rsid w:val="00E05C55"/>
    <w:rsid w:val="00E06A40"/>
    <w:rsid w:val="00E07168"/>
    <w:rsid w:val="00E11787"/>
    <w:rsid w:val="00E11A36"/>
    <w:rsid w:val="00E120E2"/>
    <w:rsid w:val="00E12256"/>
    <w:rsid w:val="00E14B76"/>
    <w:rsid w:val="00E14F64"/>
    <w:rsid w:val="00E15066"/>
    <w:rsid w:val="00E15ACD"/>
    <w:rsid w:val="00E16B5B"/>
    <w:rsid w:val="00E17BFA"/>
    <w:rsid w:val="00E20329"/>
    <w:rsid w:val="00E20476"/>
    <w:rsid w:val="00E21A5D"/>
    <w:rsid w:val="00E21BD8"/>
    <w:rsid w:val="00E241CD"/>
    <w:rsid w:val="00E24558"/>
    <w:rsid w:val="00E24D81"/>
    <w:rsid w:val="00E25A77"/>
    <w:rsid w:val="00E275F0"/>
    <w:rsid w:val="00E276DA"/>
    <w:rsid w:val="00E27F73"/>
    <w:rsid w:val="00E30B49"/>
    <w:rsid w:val="00E310EA"/>
    <w:rsid w:val="00E31149"/>
    <w:rsid w:val="00E31E80"/>
    <w:rsid w:val="00E33E53"/>
    <w:rsid w:val="00E33F5C"/>
    <w:rsid w:val="00E4144C"/>
    <w:rsid w:val="00E42ED0"/>
    <w:rsid w:val="00E43311"/>
    <w:rsid w:val="00E437C6"/>
    <w:rsid w:val="00E43AA7"/>
    <w:rsid w:val="00E43C31"/>
    <w:rsid w:val="00E43D84"/>
    <w:rsid w:val="00E4531A"/>
    <w:rsid w:val="00E45428"/>
    <w:rsid w:val="00E4650B"/>
    <w:rsid w:val="00E50028"/>
    <w:rsid w:val="00E5005D"/>
    <w:rsid w:val="00E509D4"/>
    <w:rsid w:val="00E51017"/>
    <w:rsid w:val="00E51FB3"/>
    <w:rsid w:val="00E52184"/>
    <w:rsid w:val="00E521B0"/>
    <w:rsid w:val="00E5287E"/>
    <w:rsid w:val="00E52AB3"/>
    <w:rsid w:val="00E52AE8"/>
    <w:rsid w:val="00E52FA0"/>
    <w:rsid w:val="00E53B5D"/>
    <w:rsid w:val="00E53DCD"/>
    <w:rsid w:val="00E55414"/>
    <w:rsid w:val="00E55A54"/>
    <w:rsid w:val="00E55BF1"/>
    <w:rsid w:val="00E56183"/>
    <w:rsid w:val="00E57300"/>
    <w:rsid w:val="00E579E2"/>
    <w:rsid w:val="00E57A15"/>
    <w:rsid w:val="00E62920"/>
    <w:rsid w:val="00E630E3"/>
    <w:rsid w:val="00E63F73"/>
    <w:rsid w:val="00E6421A"/>
    <w:rsid w:val="00E653CF"/>
    <w:rsid w:val="00E715BC"/>
    <w:rsid w:val="00E71FD2"/>
    <w:rsid w:val="00E7238C"/>
    <w:rsid w:val="00E740CA"/>
    <w:rsid w:val="00E7456F"/>
    <w:rsid w:val="00E747C3"/>
    <w:rsid w:val="00E750EF"/>
    <w:rsid w:val="00E766A8"/>
    <w:rsid w:val="00E76701"/>
    <w:rsid w:val="00E776EB"/>
    <w:rsid w:val="00E80833"/>
    <w:rsid w:val="00E828A1"/>
    <w:rsid w:val="00E82D3D"/>
    <w:rsid w:val="00E838DE"/>
    <w:rsid w:val="00E839B4"/>
    <w:rsid w:val="00E85867"/>
    <w:rsid w:val="00E859E1"/>
    <w:rsid w:val="00E865B6"/>
    <w:rsid w:val="00E87DAE"/>
    <w:rsid w:val="00E902D3"/>
    <w:rsid w:val="00E91132"/>
    <w:rsid w:val="00E913C4"/>
    <w:rsid w:val="00E931C4"/>
    <w:rsid w:val="00E932DB"/>
    <w:rsid w:val="00E93557"/>
    <w:rsid w:val="00E935F8"/>
    <w:rsid w:val="00E94528"/>
    <w:rsid w:val="00E97E5D"/>
    <w:rsid w:val="00EA022E"/>
    <w:rsid w:val="00EA15FA"/>
    <w:rsid w:val="00EA198E"/>
    <w:rsid w:val="00EA2147"/>
    <w:rsid w:val="00EA3127"/>
    <w:rsid w:val="00EA36B5"/>
    <w:rsid w:val="00EA3E41"/>
    <w:rsid w:val="00EA5283"/>
    <w:rsid w:val="00EB1049"/>
    <w:rsid w:val="00EB138D"/>
    <w:rsid w:val="00EB13B1"/>
    <w:rsid w:val="00EB17D6"/>
    <w:rsid w:val="00EB19F9"/>
    <w:rsid w:val="00EB243B"/>
    <w:rsid w:val="00EB2BA6"/>
    <w:rsid w:val="00EB2F80"/>
    <w:rsid w:val="00EB3698"/>
    <w:rsid w:val="00EB3B99"/>
    <w:rsid w:val="00EB3C82"/>
    <w:rsid w:val="00EB3EDF"/>
    <w:rsid w:val="00EB4602"/>
    <w:rsid w:val="00EB4B6B"/>
    <w:rsid w:val="00EB4C37"/>
    <w:rsid w:val="00EB526B"/>
    <w:rsid w:val="00EB63B6"/>
    <w:rsid w:val="00EB7564"/>
    <w:rsid w:val="00EC1841"/>
    <w:rsid w:val="00EC21E3"/>
    <w:rsid w:val="00EC2663"/>
    <w:rsid w:val="00EC4E3A"/>
    <w:rsid w:val="00EC5216"/>
    <w:rsid w:val="00EC598A"/>
    <w:rsid w:val="00EC61E9"/>
    <w:rsid w:val="00EC672D"/>
    <w:rsid w:val="00EC6FAB"/>
    <w:rsid w:val="00EC7BD1"/>
    <w:rsid w:val="00EC7CD9"/>
    <w:rsid w:val="00ED07E0"/>
    <w:rsid w:val="00ED0B09"/>
    <w:rsid w:val="00ED1871"/>
    <w:rsid w:val="00ED2328"/>
    <w:rsid w:val="00ED2622"/>
    <w:rsid w:val="00ED2A88"/>
    <w:rsid w:val="00ED4DB2"/>
    <w:rsid w:val="00ED5FBC"/>
    <w:rsid w:val="00ED607C"/>
    <w:rsid w:val="00ED68CA"/>
    <w:rsid w:val="00ED7FEC"/>
    <w:rsid w:val="00EE033F"/>
    <w:rsid w:val="00EE1131"/>
    <w:rsid w:val="00EE33D1"/>
    <w:rsid w:val="00EE39CD"/>
    <w:rsid w:val="00EE5123"/>
    <w:rsid w:val="00EE516A"/>
    <w:rsid w:val="00EE544D"/>
    <w:rsid w:val="00EE54F5"/>
    <w:rsid w:val="00EE5A4C"/>
    <w:rsid w:val="00EE5AF4"/>
    <w:rsid w:val="00EE5D65"/>
    <w:rsid w:val="00EE6D63"/>
    <w:rsid w:val="00EE6EB9"/>
    <w:rsid w:val="00EE7F98"/>
    <w:rsid w:val="00EF00D5"/>
    <w:rsid w:val="00EF0CAF"/>
    <w:rsid w:val="00EF2B09"/>
    <w:rsid w:val="00EF2CDF"/>
    <w:rsid w:val="00EF33F5"/>
    <w:rsid w:val="00EF38BC"/>
    <w:rsid w:val="00EF609A"/>
    <w:rsid w:val="00EF6371"/>
    <w:rsid w:val="00EF6C9F"/>
    <w:rsid w:val="00EF6EAF"/>
    <w:rsid w:val="00EF7C24"/>
    <w:rsid w:val="00F00DC3"/>
    <w:rsid w:val="00F012F2"/>
    <w:rsid w:val="00F02D23"/>
    <w:rsid w:val="00F042CC"/>
    <w:rsid w:val="00F043D5"/>
    <w:rsid w:val="00F059A5"/>
    <w:rsid w:val="00F1094A"/>
    <w:rsid w:val="00F13385"/>
    <w:rsid w:val="00F13B4D"/>
    <w:rsid w:val="00F13E1B"/>
    <w:rsid w:val="00F142B5"/>
    <w:rsid w:val="00F168F1"/>
    <w:rsid w:val="00F170E3"/>
    <w:rsid w:val="00F2001C"/>
    <w:rsid w:val="00F20812"/>
    <w:rsid w:val="00F20B7A"/>
    <w:rsid w:val="00F22E18"/>
    <w:rsid w:val="00F23AF4"/>
    <w:rsid w:val="00F24E03"/>
    <w:rsid w:val="00F25A53"/>
    <w:rsid w:val="00F263D7"/>
    <w:rsid w:val="00F26AE8"/>
    <w:rsid w:val="00F26B2E"/>
    <w:rsid w:val="00F26D3A"/>
    <w:rsid w:val="00F305FD"/>
    <w:rsid w:val="00F3087D"/>
    <w:rsid w:val="00F30A25"/>
    <w:rsid w:val="00F31616"/>
    <w:rsid w:val="00F31686"/>
    <w:rsid w:val="00F319A6"/>
    <w:rsid w:val="00F319C9"/>
    <w:rsid w:val="00F3319B"/>
    <w:rsid w:val="00F3344B"/>
    <w:rsid w:val="00F3352E"/>
    <w:rsid w:val="00F34885"/>
    <w:rsid w:val="00F353D8"/>
    <w:rsid w:val="00F355EF"/>
    <w:rsid w:val="00F35AE0"/>
    <w:rsid w:val="00F36AED"/>
    <w:rsid w:val="00F370C7"/>
    <w:rsid w:val="00F3775A"/>
    <w:rsid w:val="00F378A3"/>
    <w:rsid w:val="00F379FE"/>
    <w:rsid w:val="00F37E82"/>
    <w:rsid w:val="00F37FC2"/>
    <w:rsid w:val="00F42EF7"/>
    <w:rsid w:val="00F43B86"/>
    <w:rsid w:val="00F44777"/>
    <w:rsid w:val="00F44A72"/>
    <w:rsid w:val="00F454B0"/>
    <w:rsid w:val="00F45600"/>
    <w:rsid w:val="00F47444"/>
    <w:rsid w:val="00F50585"/>
    <w:rsid w:val="00F5069F"/>
    <w:rsid w:val="00F50C4E"/>
    <w:rsid w:val="00F522AC"/>
    <w:rsid w:val="00F56EDE"/>
    <w:rsid w:val="00F56F2F"/>
    <w:rsid w:val="00F60EC8"/>
    <w:rsid w:val="00F617D3"/>
    <w:rsid w:val="00F623AF"/>
    <w:rsid w:val="00F63432"/>
    <w:rsid w:val="00F637E5"/>
    <w:rsid w:val="00F64AA1"/>
    <w:rsid w:val="00F65A7C"/>
    <w:rsid w:val="00F65DCD"/>
    <w:rsid w:val="00F6717F"/>
    <w:rsid w:val="00F6792F"/>
    <w:rsid w:val="00F7098C"/>
    <w:rsid w:val="00F71070"/>
    <w:rsid w:val="00F7599F"/>
    <w:rsid w:val="00F75B4C"/>
    <w:rsid w:val="00F75E6B"/>
    <w:rsid w:val="00F76B34"/>
    <w:rsid w:val="00F77ACB"/>
    <w:rsid w:val="00F77D72"/>
    <w:rsid w:val="00F804EE"/>
    <w:rsid w:val="00F80DC5"/>
    <w:rsid w:val="00F81A36"/>
    <w:rsid w:val="00F81D56"/>
    <w:rsid w:val="00F82A57"/>
    <w:rsid w:val="00F8339A"/>
    <w:rsid w:val="00F83523"/>
    <w:rsid w:val="00F860BB"/>
    <w:rsid w:val="00F86285"/>
    <w:rsid w:val="00F8728F"/>
    <w:rsid w:val="00F91312"/>
    <w:rsid w:val="00F91329"/>
    <w:rsid w:val="00F9182E"/>
    <w:rsid w:val="00F91A0B"/>
    <w:rsid w:val="00F93558"/>
    <w:rsid w:val="00F93EC2"/>
    <w:rsid w:val="00F94F74"/>
    <w:rsid w:val="00F952DF"/>
    <w:rsid w:val="00F95421"/>
    <w:rsid w:val="00F95C17"/>
    <w:rsid w:val="00F96DAA"/>
    <w:rsid w:val="00F97175"/>
    <w:rsid w:val="00F971EB"/>
    <w:rsid w:val="00F97426"/>
    <w:rsid w:val="00F9778A"/>
    <w:rsid w:val="00F97DEF"/>
    <w:rsid w:val="00FA03F2"/>
    <w:rsid w:val="00FA143E"/>
    <w:rsid w:val="00FA16F0"/>
    <w:rsid w:val="00FA2DD5"/>
    <w:rsid w:val="00FA42E7"/>
    <w:rsid w:val="00FA4DC7"/>
    <w:rsid w:val="00FA6DEE"/>
    <w:rsid w:val="00FB03E8"/>
    <w:rsid w:val="00FB1156"/>
    <w:rsid w:val="00FB13F0"/>
    <w:rsid w:val="00FB2011"/>
    <w:rsid w:val="00FB2047"/>
    <w:rsid w:val="00FB20E8"/>
    <w:rsid w:val="00FB23A9"/>
    <w:rsid w:val="00FB349A"/>
    <w:rsid w:val="00FB45D7"/>
    <w:rsid w:val="00FB5144"/>
    <w:rsid w:val="00FB59D7"/>
    <w:rsid w:val="00FB6465"/>
    <w:rsid w:val="00FB7CCD"/>
    <w:rsid w:val="00FC0458"/>
    <w:rsid w:val="00FC180B"/>
    <w:rsid w:val="00FC1D6C"/>
    <w:rsid w:val="00FC1EB2"/>
    <w:rsid w:val="00FC2827"/>
    <w:rsid w:val="00FC2FF2"/>
    <w:rsid w:val="00FC3A66"/>
    <w:rsid w:val="00FC622E"/>
    <w:rsid w:val="00FC67CB"/>
    <w:rsid w:val="00FC695A"/>
    <w:rsid w:val="00FC77E2"/>
    <w:rsid w:val="00FD0265"/>
    <w:rsid w:val="00FD02A4"/>
    <w:rsid w:val="00FD032F"/>
    <w:rsid w:val="00FD08DC"/>
    <w:rsid w:val="00FD307B"/>
    <w:rsid w:val="00FD3DED"/>
    <w:rsid w:val="00FD53B7"/>
    <w:rsid w:val="00FD55AE"/>
    <w:rsid w:val="00FD5B65"/>
    <w:rsid w:val="00FD636F"/>
    <w:rsid w:val="00FD6372"/>
    <w:rsid w:val="00FD66F7"/>
    <w:rsid w:val="00FD688D"/>
    <w:rsid w:val="00FD7182"/>
    <w:rsid w:val="00FE0097"/>
    <w:rsid w:val="00FE083A"/>
    <w:rsid w:val="00FE0B61"/>
    <w:rsid w:val="00FE11DC"/>
    <w:rsid w:val="00FE125E"/>
    <w:rsid w:val="00FE1997"/>
    <w:rsid w:val="00FE1BE9"/>
    <w:rsid w:val="00FE1F15"/>
    <w:rsid w:val="00FE21E8"/>
    <w:rsid w:val="00FE26ED"/>
    <w:rsid w:val="00FE3A02"/>
    <w:rsid w:val="00FE4656"/>
    <w:rsid w:val="00FE4A36"/>
    <w:rsid w:val="00FE4AB6"/>
    <w:rsid w:val="00FE7639"/>
    <w:rsid w:val="00FE7A31"/>
    <w:rsid w:val="00FE7DFA"/>
    <w:rsid w:val="00FF0005"/>
    <w:rsid w:val="00FF00D7"/>
    <w:rsid w:val="00FF2DEA"/>
    <w:rsid w:val="00FF398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B6D71E"/>
  <w15:docId w15:val="{2DF18261-8F9D-4C73-A3EB-EA2D3C54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E53"/>
    <w:pPr>
      <w:spacing w:after="120"/>
    </w:pPr>
    <w:rPr>
      <w:rFonts w:ascii="Calibri" w:eastAsia="Calibri" w:hAnsi="Calibri" w:cs="Times New Roman"/>
      <w:sz w:val="24"/>
    </w:rPr>
  </w:style>
  <w:style w:type="paragraph" w:styleId="Heading1">
    <w:name w:val="heading 1"/>
    <w:next w:val="Normal"/>
    <w:link w:val="Heading1Char"/>
    <w:autoRedefine/>
    <w:qFormat/>
    <w:rsid w:val="00296DA5"/>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aliases w:val="NCD.Heading 4"/>
    <w:next w:val="Normal"/>
    <w:link w:val="Heading4Char"/>
    <w:uiPriority w:val="9"/>
    <w:unhideWhenUsed/>
    <w:qFormat/>
    <w:rsid w:val="004702EA"/>
    <w:pPr>
      <w:keepNext/>
      <w:autoSpaceDE w:val="0"/>
      <w:autoSpaceDN w:val="0"/>
      <w:adjustRightInd w:val="0"/>
      <w:spacing w:after="240" w:line="240" w:lineRule="auto"/>
      <w:outlineLvl w:val="3"/>
    </w:pPr>
    <w:rPr>
      <w:rFonts w:ascii="Arial" w:eastAsia="Calibri" w:hAnsi="Arial" w:cs="Arial"/>
      <w:b/>
      <w:i/>
      <w:sz w:val="24"/>
      <w:szCs w:val="24"/>
    </w:rPr>
  </w:style>
  <w:style w:type="paragraph" w:styleId="Heading5">
    <w:name w:val="heading 5"/>
    <w:basedOn w:val="BodyText"/>
    <w:next w:val="Normal"/>
    <w:link w:val="Heading5Char"/>
    <w:uiPriority w:val="9"/>
    <w:unhideWhenUsed/>
    <w:qFormat/>
    <w:rsid w:val="003907CC"/>
    <w:pPr>
      <w:spacing w:after="0"/>
      <w:outlineLvl w:val="4"/>
    </w:pPr>
    <w:rPr>
      <w:b/>
    </w:rPr>
  </w:style>
  <w:style w:type="paragraph" w:styleId="Heading6">
    <w:name w:val="heading 6"/>
    <w:basedOn w:val="BodyText"/>
    <w:next w:val="Normal"/>
    <w:link w:val="Heading6Char"/>
    <w:uiPriority w:val="9"/>
    <w:unhideWhenUsed/>
    <w:rsid w:val="003907CC"/>
    <w:pPr>
      <w:outlineLvl w:val="5"/>
    </w:pPr>
    <w:rPr>
      <w:b/>
      <w:i/>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DA5"/>
    <w:rPr>
      <w:rFonts w:ascii="Arial" w:hAnsi="Arial" w:cs="Arial"/>
      <w:b/>
      <w:sz w:val="36"/>
      <w:szCs w:val="32"/>
    </w:rPr>
  </w:style>
  <w:style w:type="paragraph" w:styleId="CommentText">
    <w:name w:val="annotation text"/>
    <w:basedOn w:val="Normal"/>
    <w:link w:val="CommentTextChar"/>
    <w:uiPriority w:val="99"/>
    <w:unhideWhenUsed/>
    <w:rsid w:val="00841C72"/>
    <w:pPr>
      <w:spacing w:line="240" w:lineRule="auto"/>
    </w:pPr>
    <w:rPr>
      <w:sz w:val="20"/>
      <w:szCs w:val="20"/>
    </w:rPr>
  </w:style>
  <w:style w:type="character" w:customStyle="1" w:styleId="CommentTextChar">
    <w:name w:val="Comment Text Char"/>
    <w:basedOn w:val="DefaultParagraphFont"/>
    <w:link w:val="CommentText"/>
    <w:uiPriority w:val="99"/>
    <w:rsid w:val="00841C72"/>
    <w:rPr>
      <w:rFonts w:ascii="Calibri" w:eastAsia="Calibri" w:hAnsi="Calibri" w:cs="Times New Roman"/>
      <w:sz w:val="20"/>
      <w:szCs w:val="20"/>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paragraph" w:customStyle="1" w:styleId="TableNote">
    <w:name w:val="Table Note"/>
    <w:qFormat/>
    <w:rsid w:val="00EE6D63"/>
    <w:pPr>
      <w:spacing w:before="60" w:after="240" w:line="240" w:lineRule="auto"/>
      <w:contextualSpacing/>
    </w:pPr>
    <w:rPr>
      <w:rFonts w:ascii="Arial" w:eastAsia="Times New Roman" w:hAnsi="Arial" w:cs="Times New Roman"/>
      <w:sz w:val="18"/>
      <w:szCs w:val="24"/>
    </w:rPr>
  </w:style>
  <w:style w:type="character" w:customStyle="1" w:styleId="apple-converted-space">
    <w:name w:val="apple-converted-space"/>
    <w:basedOn w:val="DefaultParagraphFont"/>
    <w:rsid w:val="00592E9D"/>
  </w:style>
  <w:style w:type="paragraph" w:customStyle="1" w:styleId="Default">
    <w:name w:val="Default"/>
    <w:rsid w:val="00592E9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italic">
    <w:name w:val="italic"/>
    <w:basedOn w:val="DefaultParagraphFont"/>
    <w:rsid w:val="00592E9D"/>
  </w:style>
  <w:style w:type="character" w:customStyle="1" w:styleId="Heading2Char">
    <w:name w:val="Heading 2 Char"/>
    <w:basedOn w:val="DefaultParagraphFont"/>
    <w:link w:val="Heading2"/>
    <w:rsid w:val="006E37D6"/>
    <w:rPr>
      <w:rFonts w:ascii="Arial" w:eastAsia="Times New Roman" w:hAnsi="Arial" w:cs="Times New Roman"/>
      <w:b/>
      <w:sz w:val="28"/>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paragraph" w:customStyle="1" w:styleId="Footnote">
    <w:name w:val="Footnote"/>
    <w:rsid w:val="0006161A"/>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Hyperlink"/>
    <w:rsid w:val="0006161A"/>
    <w:rPr>
      <w:rFonts w:ascii="Arial" w:hAnsi="Arial"/>
      <w:color w:val="0000FF"/>
      <w:sz w:val="24"/>
      <w:u w:val="single" w:color="0000FF"/>
    </w:rPr>
  </w:style>
  <w:style w:type="numbering" w:customStyle="1" w:styleId="List0">
    <w:name w:val="List 0"/>
    <w:basedOn w:val="NoList"/>
    <w:rsid w:val="0006161A"/>
    <w:pPr>
      <w:numPr>
        <w:numId w:val="5"/>
      </w:numPr>
    </w:pPr>
  </w:style>
  <w:style w:type="numbering" w:customStyle="1" w:styleId="List1">
    <w:name w:val="List 1"/>
    <w:basedOn w:val="NoList"/>
    <w:rsid w:val="0006161A"/>
    <w:pPr>
      <w:numPr>
        <w:numId w:val="7"/>
      </w:numPr>
    </w:pPr>
  </w:style>
  <w:style w:type="numbering" w:customStyle="1" w:styleId="Bullet">
    <w:name w:val="Bullet"/>
    <w:rsid w:val="0006161A"/>
    <w:pPr>
      <w:numPr>
        <w:numId w:val="8"/>
      </w:numPr>
    </w:pPr>
  </w:style>
  <w:style w:type="numbering" w:customStyle="1" w:styleId="List21">
    <w:name w:val="List 21"/>
    <w:basedOn w:val="NoList"/>
    <w:rsid w:val="0006161A"/>
    <w:pPr>
      <w:numPr>
        <w:numId w:val="9"/>
      </w:numPr>
    </w:pPr>
  </w:style>
  <w:style w:type="numbering" w:customStyle="1" w:styleId="List31">
    <w:name w:val="List 31"/>
    <w:basedOn w:val="NoList"/>
    <w:rsid w:val="0006161A"/>
    <w:pPr>
      <w:numPr>
        <w:numId w:val="10"/>
      </w:numPr>
    </w:pPr>
  </w:style>
  <w:style w:type="character" w:customStyle="1" w:styleId="Hyperlink1">
    <w:name w:val="Hyperlink.1"/>
    <w:basedOn w:val="DefaultParagraphFont"/>
    <w:rsid w:val="0006161A"/>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style>
  <w:style w:type="character" w:customStyle="1" w:styleId="Hyperlink2">
    <w:name w:val="Hyperlink.2"/>
    <w:basedOn w:val="Hyperlink0"/>
    <w:rsid w:val="0006161A"/>
    <w:rPr>
      <w:rFonts w:ascii="Arial" w:eastAsia="Arial" w:hAnsi="Arial" w:cs="Arial"/>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5B32E2"/>
    <w:rPr>
      <w:b/>
      <w:bCs/>
    </w:rPr>
  </w:style>
  <w:style w:type="character" w:customStyle="1" w:styleId="CommentSubjectChar">
    <w:name w:val="Comment Subject Char"/>
    <w:basedOn w:val="CommentTextChar"/>
    <w:link w:val="CommentSubject"/>
    <w:uiPriority w:val="99"/>
    <w:semiHidden/>
    <w:rsid w:val="005B32E2"/>
    <w:rPr>
      <w:rFonts w:ascii="Calibri" w:eastAsia="Calibri" w:hAnsi="Calibri" w:cs="Times New Roman"/>
      <w:b/>
      <w:bCs/>
      <w:sz w:val="20"/>
      <w:szCs w:val="20"/>
    </w:rPr>
  </w:style>
  <w:style w:type="numbering" w:customStyle="1" w:styleId="Bullet1">
    <w:name w:val="Bullet1"/>
    <w:rsid w:val="00AB5422"/>
    <w:pPr>
      <w:numPr>
        <w:numId w:val="3"/>
      </w:numPr>
    </w:pPr>
  </w:style>
  <w:style w:type="numbering" w:customStyle="1" w:styleId="List211">
    <w:name w:val="List 211"/>
    <w:basedOn w:val="NoList"/>
    <w:rsid w:val="00AB5422"/>
    <w:pPr>
      <w:numPr>
        <w:numId w:val="4"/>
      </w:numPr>
    </w:pPr>
  </w:style>
  <w:style w:type="numbering" w:customStyle="1" w:styleId="List311">
    <w:name w:val="List 311"/>
    <w:basedOn w:val="NoList"/>
    <w:rsid w:val="00AB5422"/>
    <w:pPr>
      <w:numPr>
        <w:numId w:val="6"/>
      </w:numPr>
    </w:pPr>
  </w:style>
  <w:style w:type="character" w:customStyle="1" w:styleId="Heading3Char">
    <w:name w:val="Heading 3 Char"/>
    <w:basedOn w:val="DefaultParagraphFont"/>
    <w:link w:val="Heading3"/>
    <w:rsid w:val="006E37D6"/>
    <w:rPr>
      <w:rFonts w:ascii="Arial" w:eastAsia="Calibri" w:hAnsi="Arial" w:cs="Arial"/>
      <w:b/>
      <w:i/>
      <w:color w:val="000000" w:themeColor="text1"/>
      <w:sz w:val="24"/>
      <w:szCs w:val="24"/>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CDTextBoxBullets">
    <w:name w:val="NCD.Text Box Bullets"/>
    <w:qFormat/>
    <w:rsid w:val="00E43AA7"/>
    <w:pPr>
      <w:numPr>
        <w:numId w:val="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35136A"/>
    <w:pPr>
      <w:keepNext/>
      <w:spacing w:after="240" w:line="240" w:lineRule="auto"/>
      <w:jc w:val="center"/>
    </w:pPr>
    <w:rPr>
      <w:rFonts w:ascii="Arial" w:eastAsia="Calibri" w:hAnsi="Arial" w:cs="Arial"/>
      <w:b/>
      <w:sz w:val="24"/>
      <w:szCs w:val="28"/>
    </w:rPr>
  </w:style>
  <w:style w:type="paragraph" w:customStyle="1" w:styleId="NCDBodyTextSpaceBefore">
    <w:name w:val="NCD.Body Text Space Before"/>
    <w:basedOn w:val="NCDBodyText"/>
    <w:qFormat/>
    <w:rsid w:val="00702BA9"/>
    <w:pPr>
      <w:spacing w:before="240"/>
    </w:p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EE516A"/>
    <w:pPr>
      <w:spacing w:after="0" w:line="360" w:lineRule="auto"/>
      <w:jc w:val="center"/>
    </w:pPr>
    <w:rPr>
      <w:rFonts w:ascii="Arial" w:eastAsia="Times New Roman" w:hAnsi="Arial" w:cs="Arial"/>
      <w:b/>
      <w:bCs/>
      <w:szCs w:val="24"/>
    </w:rPr>
  </w:style>
  <w:style w:type="paragraph" w:customStyle="1" w:styleId="NCDBulletsLevel1">
    <w:name w:val="NCD.Bullets Level 1"/>
    <w:qFormat/>
    <w:rsid w:val="00396A3D"/>
    <w:pPr>
      <w:numPr>
        <w:numId w:val="2"/>
      </w:numPr>
      <w:spacing w:line="360" w:lineRule="auto"/>
    </w:pPr>
    <w:rPr>
      <w:rFonts w:ascii="Arial" w:eastAsia="Calibri" w:hAnsi="Arial" w:cs="Arial"/>
      <w:sz w:val="24"/>
      <w:szCs w:val="24"/>
    </w:rPr>
  </w:style>
  <w:style w:type="paragraph" w:customStyle="1" w:styleId="NCDTextBoxText">
    <w:name w:val="NCD.Text Box Text"/>
    <w:qFormat/>
    <w:rsid w:val="00D449F4"/>
    <w:pPr>
      <w:spacing w:after="0" w:line="240" w:lineRule="auto"/>
    </w:pPr>
    <w:rPr>
      <w:rFonts w:ascii="Arial" w:eastAsia="Calibri" w:hAnsi="Arial" w:cs="Arial"/>
      <w:color w:val="FFFFFF" w:themeColor="background1"/>
      <w:sz w:val="24"/>
      <w:szCs w:val="24"/>
    </w:rPr>
  </w:style>
  <w:style w:type="paragraph" w:customStyle="1" w:styleId="NCDExhibitTitle">
    <w:name w:val="NCD.Exhibit Title"/>
    <w:qFormat/>
    <w:rsid w:val="00EB3698"/>
    <w:pPr>
      <w:keepNext/>
      <w:spacing w:after="240" w:line="240" w:lineRule="auto"/>
    </w:pPr>
    <w:rPr>
      <w:rFonts w:ascii="Arial" w:eastAsia="Calibri" w:hAnsi="Arial" w:cs="Calibri"/>
      <w:b/>
      <w:color w:val="000000"/>
      <w:sz w:val="24"/>
      <w:szCs w:val="24"/>
      <w:u w:color="000000"/>
      <w:bdr w:val="nil"/>
    </w:rPr>
  </w:style>
  <w:style w:type="character" w:customStyle="1" w:styleId="Heading4Char">
    <w:name w:val="Heading 4 Char"/>
    <w:aliases w:val="NCD.Heading 4 Char"/>
    <w:basedOn w:val="DefaultParagraphFont"/>
    <w:link w:val="Heading4"/>
    <w:uiPriority w:val="9"/>
    <w:rsid w:val="004702EA"/>
    <w:rPr>
      <w:rFonts w:ascii="Arial" w:eastAsia="Calibri" w:hAnsi="Arial" w:cs="Arial"/>
      <w:b/>
      <w:i/>
      <w:sz w:val="24"/>
      <w:szCs w:val="24"/>
    </w:rPr>
  </w:style>
  <w:style w:type="paragraph" w:customStyle="1" w:styleId="NCDTableSubhead">
    <w:name w:val="NCD.Table Subhead"/>
    <w:basedOn w:val="Normal"/>
    <w:qFormat/>
    <w:rsid w:val="00741352"/>
    <w:pPr>
      <w:spacing w:after="0" w:line="240" w:lineRule="auto"/>
    </w:pPr>
    <w:rPr>
      <w:rFonts w:ascii="Arial" w:eastAsia="Times New Roman" w:hAnsi="Arial" w:cs="Arial"/>
      <w:b/>
      <w:bCs/>
      <w:szCs w:val="24"/>
    </w:rPr>
  </w:style>
  <w:style w:type="paragraph" w:customStyle="1" w:styleId="NCDTableTextItalic">
    <w:name w:val="NCD.Table Text Italic"/>
    <w:qFormat/>
    <w:rsid w:val="00741352"/>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741352"/>
    <w:rPr>
      <w:b/>
      <w:color w:val="FFFFFF" w:themeColor="background1"/>
    </w:rPr>
  </w:style>
  <w:style w:type="paragraph" w:customStyle="1" w:styleId="Heading2noTOC">
    <w:name w:val="Heading 2 no TOC"/>
    <w:basedOn w:val="Heading2"/>
    <w:qFormat/>
    <w:rsid w:val="0075458B"/>
  </w:style>
  <w:style w:type="paragraph" w:customStyle="1" w:styleId="NCDBulletsLevel2">
    <w:name w:val="NCD.Bullets Level 2"/>
    <w:qFormat/>
    <w:rsid w:val="00B92D24"/>
    <w:pPr>
      <w:numPr>
        <w:numId w:val="11"/>
      </w:numPr>
      <w:spacing w:after="120" w:line="360" w:lineRule="auto"/>
    </w:pPr>
    <w:rPr>
      <w:rFonts w:ascii="Arial" w:eastAsia="Calibri" w:hAnsi="Arial" w:cs="Calibri"/>
      <w:color w:val="000000"/>
      <w:sz w:val="24"/>
      <w:szCs w:val="24"/>
      <w:u w:color="000000"/>
      <w:bdr w:val="nil"/>
    </w:rPr>
  </w:style>
  <w:style w:type="paragraph" w:customStyle="1" w:styleId="NCDBulletsLevel3">
    <w:name w:val="NCD.Bullets Level 3"/>
    <w:qFormat/>
    <w:rsid w:val="00E43AA7"/>
    <w:pPr>
      <w:numPr>
        <w:ilvl w:val="2"/>
        <w:numId w:val="2"/>
      </w:numPr>
      <w:shd w:val="clear" w:color="auto" w:fill="FFFFFF"/>
      <w:spacing w:after="120" w:line="360" w:lineRule="auto"/>
      <w:ind w:left="1080"/>
      <w:textAlignment w:val="baseline"/>
    </w:pPr>
    <w:rPr>
      <w:rFonts w:ascii="Arial" w:eastAsia="Calibri" w:hAnsi="Arial" w:cs="Arial"/>
      <w:sz w:val="24"/>
      <w:szCs w:val="24"/>
    </w:rPr>
  </w:style>
  <w:style w:type="paragraph" w:customStyle="1" w:styleId="NCDSpace">
    <w:name w:val="NCD.Space"/>
    <w:qFormat/>
    <w:rsid w:val="00BF40BB"/>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FE4656"/>
    <w:pPr>
      <w:keepNext/>
      <w:spacing w:before="360" w:after="240" w:line="240" w:lineRule="auto"/>
    </w:pPr>
    <w:rPr>
      <w:rFonts w:ascii="Arial" w:eastAsia="Calibri" w:hAnsi="Arial" w:cs="Arial"/>
      <w:b/>
      <w:sz w:val="24"/>
      <w:szCs w:val="24"/>
    </w:rPr>
  </w:style>
  <w:style w:type="paragraph" w:styleId="TOC1">
    <w:name w:val="toc 1"/>
    <w:basedOn w:val="Normal"/>
    <w:next w:val="Normal"/>
    <w:autoRedefine/>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7577F0"/>
    <w:pPr>
      <w:spacing w:after="40" w:line="240" w:lineRule="auto"/>
      <w:ind w:left="432"/>
    </w:pPr>
    <w:rPr>
      <w:rFonts w:ascii="Arial" w:hAnsi="Arial"/>
    </w:rPr>
  </w:style>
  <w:style w:type="paragraph" w:styleId="TOC3">
    <w:name w:val="toc 3"/>
    <w:basedOn w:val="Normal"/>
    <w:next w:val="Normal"/>
    <w:autoRedefine/>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numbering" w:customStyle="1" w:styleId="NoList1">
    <w:name w:val="No List1"/>
    <w:next w:val="NoList"/>
    <w:uiPriority w:val="99"/>
    <w:semiHidden/>
    <w:unhideWhenUsed/>
    <w:rsid w:val="003907CC"/>
  </w:style>
  <w:style w:type="numbering" w:customStyle="1" w:styleId="NoList11">
    <w:name w:val="No List11"/>
    <w:next w:val="NoList"/>
    <w:uiPriority w:val="99"/>
    <w:semiHidden/>
    <w:unhideWhenUsed/>
    <w:rsid w:val="003907CC"/>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table" w:customStyle="1" w:styleId="TableGrid1">
    <w:name w:val="Table Grid1"/>
    <w:basedOn w:val="TableNormal"/>
    <w:next w:val="TableGrid"/>
    <w:uiPriority w:val="59"/>
    <w:rsid w:val="00390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9Hyperlink">
    <w:name w:val="WP9_Hyperlink"/>
    <w:rsid w:val="003907CC"/>
    <w:rPr>
      <w:color w:val="0000FF"/>
      <w:u w:val="single"/>
    </w:rPr>
  </w:style>
  <w:style w:type="table" w:customStyle="1" w:styleId="TableGrid2">
    <w:name w:val="Table Grid2"/>
    <w:basedOn w:val="TableNormal"/>
    <w:next w:val="TableGrid"/>
    <w:uiPriority w:val="59"/>
    <w:rsid w:val="00390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IRDarkBlueTable">
    <w:name w:val="AIR Dark Blue Table"/>
    <w:basedOn w:val="TableNormal"/>
    <w:uiPriority w:val="99"/>
    <w:qFormat/>
    <w:rsid w:val="003907CC"/>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3907CC"/>
  </w:style>
  <w:style w:type="numbering" w:customStyle="1" w:styleId="NoList111">
    <w:name w:val="No List111"/>
    <w:next w:val="NoList"/>
    <w:uiPriority w:val="99"/>
    <w:semiHidden/>
    <w:unhideWhenUsed/>
    <w:rsid w:val="003907CC"/>
  </w:style>
  <w:style w:type="paragraph" w:customStyle="1" w:styleId="AboutAIRLocations">
    <w:name w:val="About AIR Locations"/>
    <w:qFormat/>
    <w:rsid w:val="003907CC"/>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3907CC"/>
    <w:pPr>
      <w:suppressAutoHyphens/>
      <w:autoSpaceDE w:val="0"/>
      <w:autoSpaceDN w:val="0"/>
      <w:adjustRightInd w:val="0"/>
      <w:spacing w:before="60" w:after="0" w:line="360" w:lineRule="auto"/>
      <w:textAlignment w:val="center"/>
    </w:pPr>
    <w:rPr>
      <w:rFonts w:ascii="Franklin Gothic Book" w:hAnsi="Franklin Gothic Book" w:cs="ITCFranklinGothicStd-Book"/>
      <w:color w:val="000000"/>
      <w:sz w:val="18"/>
      <w:szCs w:val="18"/>
    </w:rPr>
  </w:style>
  <w:style w:type="paragraph" w:customStyle="1" w:styleId="AboutAIRTitle">
    <w:name w:val="About AIR Title"/>
    <w:basedOn w:val="Normal"/>
    <w:qFormat/>
    <w:rsid w:val="003907CC"/>
    <w:pPr>
      <w:suppressAutoHyphens/>
      <w:autoSpaceDE w:val="0"/>
      <w:autoSpaceDN w:val="0"/>
      <w:adjustRightInd w:val="0"/>
      <w:spacing w:after="0" w:line="288" w:lineRule="auto"/>
      <w:textAlignment w:val="center"/>
    </w:pPr>
    <w:rPr>
      <w:rFonts w:ascii="Franklin Gothic Book" w:hAnsi="Franklin Gothic Book" w:cs="ITCFranklinGothicStd-Book"/>
      <w:caps/>
      <w:color w:val="005295"/>
      <w:szCs w:val="24"/>
    </w:rPr>
  </w:style>
  <w:style w:type="table" w:customStyle="1" w:styleId="AIRDarkBlueTable1">
    <w:name w:val="AIR Dark Blue Table1"/>
    <w:basedOn w:val="TableNormal"/>
    <w:uiPriority w:val="99"/>
    <w:qFormat/>
    <w:rsid w:val="003907CC"/>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3907CC"/>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3907CC"/>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3907CC"/>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3907CC"/>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3907CC"/>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3907CC"/>
    <w:pPr>
      <w:spacing w:after="0"/>
    </w:pPr>
    <w:rPr>
      <w:caps w:val="0"/>
    </w:rPr>
  </w:style>
  <w:style w:type="paragraph" w:customStyle="1" w:styleId="BackCoverURL">
    <w:name w:val="Back Cover URL"/>
    <w:basedOn w:val="BackCoverAddress"/>
    <w:qFormat/>
    <w:rsid w:val="003907CC"/>
    <w:pPr>
      <w:spacing w:before="120"/>
    </w:pPr>
    <w:rPr>
      <w:b/>
    </w:rPr>
  </w:style>
  <w:style w:type="paragraph" w:styleId="BodyText">
    <w:name w:val="Body Text"/>
    <w:link w:val="BodyTextChar"/>
    <w:uiPriority w:val="99"/>
    <w:qFormat/>
    <w:rsid w:val="003907CC"/>
    <w:pPr>
      <w:spacing w:after="240" w:line="240" w:lineRule="auto"/>
    </w:pPr>
    <w:rPr>
      <w:rFonts w:eastAsia="Times New Roman" w:cs="Times New Roman"/>
      <w:sz w:val="24"/>
      <w:szCs w:val="24"/>
    </w:rPr>
  </w:style>
  <w:style w:type="character" w:customStyle="1" w:styleId="BodyTextChar">
    <w:name w:val="Body Text Char"/>
    <w:basedOn w:val="DefaultParagraphFont"/>
    <w:link w:val="BodyText"/>
    <w:uiPriority w:val="99"/>
    <w:rsid w:val="003907CC"/>
    <w:rPr>
      <w:rFonts w:eastAsia="Times New Roman" w:cs="Times New Roman"/>
      <w:sz w:val="24"/>
      <w:szCs w:val="24"/>
    </w:rPr>
  </w:style>
  <w:style w:type="paragraph" w:customStyle="1" w:styleId="BlockQuote">
    <w:name w:val="Block Quote"/>
    <w:basedOn w:val="BodyText"/>
    <w:qFormat/>
    <w:rsid w:val="003907CC"/>
    <w:pPr>
      <w:spacing w:before="120"/>
      <w:ind w:left="720"/>
    </w:pPr>
  </w:style>
  <w:style w:type="paragraph" w:styleId="ListBullet">
    <w:name w:val="List Bullet"/>
    <w:basedOn w:val="Normal"/>
    <w:uiPriority w:val="99"/>
    <w:semiHidden/>
    <w:unhideWhenUsed/>
    <w:rsid w:val="003907CC"/>
    <w:pPr>
      <w:numPr>
        <w:numId w:val="12"/>
      </w:numPr>
      <w:spacing w:after="0" w:line="240" w:lineRule="auto"/>
      <w:contextualSpacing/>
    </w:pPr>
    <w:rPr>
      <w:rFonts w:asciiTheme="minorHAnsi" w:eastAsiaTheme="minorEastAsia" w:hAnsiTheme="minorHAnsi" w:cstheme="minorBidi"/>
    </w:rPr>
  </w:style>
  <w:style w:type="paragraph" w:customStyle="1" w:styleId="Bullet10">
    <w:name w:val="Bullet 1"/>
    <w:basedOn w:val="ListBullet"/>
    <w:qFormat/>
    <w:rsid w:val="003907CC"/>
    <w:pPr>
      <w:numPr>
        <w:numId w:val="13"/>
      </w:numPr>
      <w:spacing w:after="120"/>
      <w:contextualSpacing w:val="0"/>
    </w:pPr>
    <w:rPr>
      <w:rFonts w:eastAsia="Times New Roman" w:cs="Times New Roman"/>
      <w:szCs w:val="24"/>
    </w:rPr>
  </w:style>
  <w:style w:type="paragraph" w:customStyle="1" w:styleId="Bullet1Last">
    <w:name w:val="Bullet 1_Last"/>
    <w:basedOn w:val="Bullet10"/>
    <w:qFormat/>
    <w:rsid w:val="003907CC"/>
    <w:pPr>
      <w:numPr>
        <w:numId w:val="0"/>
      </w:numPr>
      <w:spacing w:after="240"/>
    </w:pPr>
  </w:style>
  <w:style w:type="paragraph" w:styleId="ListBullet2">
    <w:name w:val="List Bullet 2"/>
    <w:basedOn w:val="Normal"/>
    <w:uiPriority w:val="99"/>
    <w:semiHidden/>
    <w:unhideWhenUsed/>
    <w:rsid w:val="003907CC"/>
    <w:pPr>
      <w:numPr>
        <w:numId w:val="14"/>
      </w:numPr>
      <w:spacing w:after="0" w:line="240" w:lineRule="auto"/>
      <w:contextualSpacing/>
    </w:pPr>
    <w:rPr>
      <w:rFonts w:asciiTheme="minorHAnsi" w:eastAsiaTheme="minorEastAsia" w:hAnsiTheme="minorHAnsi" w:cstheme="minorBidi"/>
    </w:rPr>
  </w:style>
  <w:style w:type="paragraph" w:customStyle="1" w:styleId="Bullet2">
    <w:name w:val="Bullet 2"/>
    <w:basedOn w:val="ListBullet2"/>
    <w:qFormat/>
    <w:rsid w:val="003907CC"/>
    <w:pPr>
      <w:numPr>
        <w:numId w:val="15"/>
      </w:numPr>
      <w:spacing w:after="120"/>
    </w:pPr>
    <w:rPr>
      <w:rFonts w:eastAsia="Times New Roman" w:cs="Times New Roman"/>
      <w:szCs w:val="24"/>
    </w:rPr>
  </w:style>
  <w:style w:type="paragraph" w:styleId="ListBullet3">
    <w:name w:val="List Bullet 3"/>
    <w:basedOn w:val="Normal"/>
    <w:uiPriority w:val="99"/>
    <w:unhideWhenUsed/>
    <w:rsid w:val="003907CC"/>
    <w:pPr>
      <w:numPr>
        <w:ilvl w:val="1"/>
        <w:numId w:val="15"/>
      </w:numPr>
      <w:spacing w:after="0" w:line="240" w:lineRule="auto"/>
      <w:contextualSpacing/>
    </w:pPr>
    <w:rPr>
      <w:rFonts w:asciiTheme="minorHAnsi" w:eastAsiaTheme="minorEastAsia" w:hAnsiTheme="minorHAnsi" w:cstheme="minorBidi"/>
    </w:rPr>
  </w:style>
  <w:style w:type="paragraph" w:customStyle="1" w:styleId="Bullet3">
    <w:name w:val="Bullet 3"/>
    <w:basedOn w:val="ListBullet3"/>
    <w:qFormat/>
    <w:rsid w:val="003907CC"/>
    <w:pPr>
      <w:numPr>
        <w:ilvl w:val="0"/>
        <w:numId w:val="16"/>
      </w:numPr>
      <w:spacing w:after="120"/>
    </w:pPr>
  </w:style>
  <w:style w:type="paragraph" w:customStyle="1" w:styleId="TableTitle">
    <w:name w:val="Table Title"/>
    <w:qFormat/>
    <w:rsid w:val="003907CC"/>
    <w:pPr>
      <w:keepNext/>
      <w:spacing w:after="120" w:line="240" w:lineRule="auto"/>
    </w:pPr>
    <w:rPr>
      <w:rFonts w:ascii="Arial" w:eastAsia="Times New Roman" w:hAnsi="Arial" w:cs="Times"/>
      <w:b/>
      <w:color w:val="002C5F"/>
      <w:sz w:val="20"/>
      <w:szCs w:val="24"/>
    </w:rPr>
  </w:style>
  <w:style w:type="paragraph" w:styleId="Caption">
    <w:name w:val="caption"/>
    <w:basedOn w:val="TableTitle"/>
    <w:next w:val="Normal"/>
    <w:uiPriority w:val="35"/>
    <w:unhideWhenUsed/>
    <w:qFormat/>
    <w:rsid w:val="003907CC"/>
  </w:style>
  <w:style w:type="paragraph" w:customStyle="1" w:styleId="ContentsHeading">
    <w:name w:val="Contents Heading"/>
    <w:next w:val="BodyText"/>
    <w:qFormat/>
    <w:rsid w:val="003907CC"/>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3907CC"/>
    <w:pPr>
      <w:spacing w:line="240" w:lineRule="auto"/>
      <w:jc w:val="right"/>
    </w:pPr>
    <w:rPr>
      <w:rFonts w:asciiTheme="minorHAnsi" w:eastAsia="Times New Roman" w:hAnsiTheme="minorHAnsi"/>
      <w:b/>
      <w:bCs/>
      <w:szCs w:val="20"/>
    </w:rPr>
  </w:style>
  <w:style w:type="paragraph" w:customStyle="1" w:styleId="Copyrightinfo">
    <w:name w:val="Copyright info"/>
    <w:basedOn w:val="Normal"/>
    <w:link w:val="CopyrightinfoChar"/>
    <w:qFormat/>
    <w:rsid w:val="003907CC"/>
    <w:pPr>
      <w:spacing w:line="240" w:lineRule="auto"/>
    </w:pPr>
    <w:rPr>
      <w:rFonts w:asciiTheme="minorHAnsi" w:eastAsia="Times New Roman" w:hAnsiTheme="minorHAnsi"/>
      <w:iCs/>
      <w:sz w:val="20"/>
      <w:szCs w:val="20"/>
    </w:rPr>
  </w:style>
  <w:style w:type="character" w:customStyle="1" w:styleId="CopyrightinfoChar">
    <w:name w:val="Copyright info Char"/>
    <w:basedOn w:val="DefaultParagraphFont"/>
    <w:link w:val="Copyrightinfo"/>
    <w:rsid w:val="003907CC"/>
    <w:rPr>
      <w:rFonts w:eastAsia="Times New Roman" w:cs="Times New Roman"/>
      <w:iCs/>
      <w:sz w:val="20"/>
      <w:szCs w:val="20"/>
    </w:rPr>
  </w:style>
  <w:style w:type="paragraph" w:customStyle="1" w:styleId="CoverAffiliation">
    <w:name w:val="Cover Affiliation"/>
    <w:link w:val="CoverAffiliationChar"/>
    <w:qFormat/>
    <w:rsid w:val="003907CC"/>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3907CC"/>
    <w:rPr>
      <w:rFonts w:ascii="Arial" w:eastAsia="Perpetua" w:hAnsi="Arial" w:cs="Times New Roman"/>
      <w:color w:val="595959"/>
      <w:sz w:val="28"/>
      <w:szCs w:val="28"/>
    </w:rPr>
  </w:style>
  <w:style w:type="paragraph" w:customStyle="1" w:styleId="CoverAuthorName">
    <w:name w:val="Cover Author Name"/>
    <w:link w:val="CoverAuthorNameChar"/>
    <w:qFormat/>
    <w:rsid w:val="003907CC"/>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3907CC"/>
    <w:rPr>
      <w:rFonts w:ascii="Arial" w:eastAsia="Perpetua" w:hAnsi="Arial" w:cs="Times New Roman"/>
      <w:b/>
      <w:color w:val="595959"/>
      <w:sz w:val="28"/>
      <w:szCs w:val="28"/>
    </w:rPr>
  </w:style>
  <w:style w:type="paragraph" w:customStyle="1" w:styleId="CoverBackAddress">
    <w:name w:val="Cover Back Address"/>
    <w:basedOn w:val="Normal"/>
    <w:qFormat/>
    <w:rsid w:val="003907CC"/>
    <w:pPr>
      <w:suppressAutoHyphens/>
      <w:autoSpaceDE w:val="0"/>
      <w:autoSpaceDN w:val="0"/>
      <w:adjustRightInd w:val="0"/>
      <w:spacing w:after="0" w:line="288" w:lineRule="auto"/>
      <w:textAlignment w:val="center"/>
    </w:pPr>
    <w:rPr>
      <w:rFonts w:ascii="Franklin Gothic Book" w:hAnsi="Franklin Gothic Book" w:cs="ITCFranklinGothicStd-Book"/>
      <w:color w:val="000000"/>
      <w:sz w:val="20"/>
      <w:szCs w:val="20"/>
    </w:rPr>
  </w:style>
  <w:style w:type="paragraph" w:customStyle="1" w:styleId="CoverBackFooter">
    <w:name w:val="Cover Back Footer"/>
    <w:basedOn w:val="Normal"/>
    <w:qFormat/>
    <w:rsid w:val="003907CC"/>
    <w:pPr>
      <w:tabs>
        <w:tab w:val="center" w:pos="4680"/>
        <w:tab w:val="right" w:pos="9360"/>
      </w:tabs>
      <w:spacing w:after="0" w:line="240" w:lineRule="auto"/>
      <w:ind w:left="720"/>
      <w:jc w:val="right"/>
    </w:pPr>
    <w:rPr>
      <w:rFonts w:ascii="Franklin Gothic Book" w:eastAsia="Times New Roman" w:hAnsi="Franklin Gothic Book"/>
      <w:sz w:val="18"/>
      <w:szCs w:val="18"/>
    </w:rPr>
  </w:style>
  <w:style w:type="paragraph" w:customStyle="1" w:styleId="CoverBackURL">
    <w:name w:val="Cover Back URL"/>
    <w:basedOn w:val="Normal"/>
    <w:qFormat/>
    <w:rsid w:val="003907CC"/>
    <w:pPr>
      <w:suppressAutoHyphens/>
      <w:autoSpaceDE w:val="0"/>
      <w:autoSpaceDN w:val="0"/>
      <w:adjustRightInd w:val="0"/>
      <w:spacing w:before="90" w:after="0" w:line="288" w:lineRule="auto"/>
      <w:textAlignment w:val="center"/>
    </w:pPr>
    <w:rPr>
      <w:rFonts w:ascii="Franklin Gothic Demi" w:hAnsi="Franklin Gothic Demi" w:cs="ITCFranklinGothicStd-Demi"/>
      <w:color w:val="000000"/>
      <w:sz w:val="20"/>
      <w:szCs w:val="20"/>
    </w:rPr>
  </w:style>
  <w:style w:type="paragraph" w:customStyle="1" w:styleId="CoverDate">
    <w:name w:val="Cover Date"/>
    <w:basedOn w:val="Normal"/>
    <w:qFormat/>
    <w:rsid w:val="003907CC"/>
    <w:pPr>
      <w:spacing w:after="200"/>
      <w:jc w:val="center"/>
    </w:pPr>
    <w:rPr>
      <w:rFonts w:ascii="Franklin Gothic Book" w:eastAsia="Perpetua" w:hAnsi="Franklin Gothic Book"/>
      <w:color w:val="FFFFFF"/>
      <w:spacing w:val="12"/>
      <w:sz w:val="22"/>
    </w:rPr>
  </w:style>
  <w:style w:type="paragraph" w:customStyle="1" w:styleId="CoverSubtitle">
    <w:name w:val="Cover Subtitle"/>
    <w:link w:val="CoverSubtitleChar"/>
    <w:qFormat/>
    <w:rsid w:val="003907CC"/>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3907CC"/>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3907CC"/>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3907CC"/>
    <w:rPr>
      <w:rFonts w:ascii="Franklin Gothic Demi" w:eastAsia="Perpetua" w:hAnsi="Franklin Gothic Demi" w:cs="Times New Roman"/>
      <w:color w:val="005295"/>
      <w:sz w:val="50"/>
      <w:szCs w:val="50"/>
    </w:rPr>
  </w:style>
  <w:style w:type="paragraph" w:customStyle="1" w:styleId="FooterLetter">
    <w:name w:val="Footer Letter"/>
    <w:basedOn w:val="Normal"/>
    <w:rsid w:val="003907CC"/>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3907CC"/>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3907CC"/>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3907CC"/>
    <w:pPr>
      <w:numPr>
        <w:numId w:val="17"/>
      </w:numPr>
    </w:pPr>
  </w:style>
  <w:style w:type="numbering" w:customStyle="1" w:styleId="Level2Bullet">
    <w:name w:val="Level 2 Bullet"/>
    <w:basedOn w:val="NoList"/>
    <w:rsid w:val="003907CC"/>
    <w:pPr>
      <w:numPr>
        <w:numId w:val="18"/>
      </w:numPr>
    </w:p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paragraph" w:styleId="NoSpacing">
    <w:name w:val="No Spacing"/>
    <w:link w:val="NoSpacingChar"/>
    <w:uiPriority w:val="1"/>
    <w:qFormat/>
    <w:rsid w:val="003907CC"/>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3907CC"/>
    <w:rPr>
      <w:rFonts w:eastAsiaTheme="minorEastAsia"/>
      <w:sz w:val="24"/>
    </w:rPr>
  </w:style>
  <w:style w:type="paragraph" w:styleId="NormalWeb">
    <w:name w:val="Normal (Web)"/>
    <w:basedOn w:val="Normal"/>
    <w:uiPriority w:val="99"/>
    <w:unhideWhenUsed/>
    <w:rsid w:val="003907CC"/>
    <w:pPr>
      <w:spacing w:before="100" w:beforeAutospacing="1" w:after="100" w:afterAutospacing="1" w:line="240" w:lineRule="auto"/>
    </w:pPr>
    <w:rPr>
      <w:rFonts w:ascii="Times New Roman" w:eastAsia="Times New Roman" w:hAnsi="Times New Roman"/>
      <w:szCs w:val="24"/>
    </w:rPr>
  </w:style>
  <w:style w:type="paragraph" w:customStyle="1" w:styleId="NumberedList">
    <w:name w:val="Numbered List"/>
    <w:qFormat/>
    <w:rsid w:val="003907CC"/>
    <w:pPr>
      <w:numPr>
        <w:numId w:val="19"/>
      </w:numPr>
      <w:spacing w:after="240" w:line="240" w:lineRule="auto"/>
    </w:pPr>
    <w:rPr>
      <w:rFonts w:eastAsia="Times New Roman" w:cs="Times New Roman"/>
      <w:sz w:val="24"/>
      <w:szCs w:val="24"/>
    </w:rPr>
  </w:style>
  <w:style w:type="character" w:styleId="PageNumber">
    <w:name w:val="page number"/>
    <w:basedOn w:val="DefaultParagraphFont"/>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paragraph" w:customStyle="1" w:styleId="Reference">
    <w:name w:val="Reference"/>
    <w:basedOn w:val="Normal"/>
    <w:link w:val="ReferenceChar"/>
    <w:rsid w:val="002F78F8"/>
    <w:pPr>
      <w:spacing w:after="240" w:line="240" w:lineRule="auto"/>
      <w:ind w:left="360" w:hanging="360"/>
    </w:pPr>
    <w:rPr>
      <w:rFonts w:ascii="Arial" w:eastAsiaTheme="minorHAnsi" w:hAnsi="Arial" w:cs="Arial"/>
      <w:szCs w:val="24"/>
    </w:rPr>
  </w:style>
  <w:style w:type="character" w:customStyle="1" w:styleId="ReferenceChar">
    <w:name w:val="Reference Char"/>
    <w:basedOn w:val="DefaultParagraphFont"/>
    <w:link w:val="Reference"/>
    <w:rsid w:val="002F78F8"/>
    <w:rPr>
      <w:rFonts w:ascii="Arial" w:hAnsi="Arial" w:cs="Arial"/>
      <w:sz w:val="24"/>
      <w:szCs w:val="24"/>
    </w:rPr>
  </w:style>
  <w:style w:type="character" w:customStyle="1" w:styleId="ReferenceItalics">
    <w:name w:val="Reference Italics"/>
    <w:basedOn w:val="DefaultParagraphFont"/>
    <w:uiPriority w:val="1"/>
    <w:qFormat/>
    <w:rsid w:val="003907CC"/>
    <w:rPr>
      <w:i/>
    </w:rPr>
  </w:style>
  <w:style w:type="character" w:styleId="Strong">
    <w:name w:val="Strong"/>
    <w:basedOn w:val="DefaultParagraphFont"/>
    <w:uiPriority w:val="22"/>
    <w:qFormat/>
    <w:rsid w:val="003907CC"/>
    <w:rPr>
      <w:b/>
      <w:bCs/>
    </w:rPr>
  </w:style>
  <w:style w:type="paragraph" w:customStyle="1" w:styleId="StyleHeading2pHeading220pt">
    <w:name w:val="Style Heading 2p.Heading 2 + 20 pt"/>
    <w:rsid w:val="003907CC"/>
    <w:rPr>
      <w:rFonts w:ascii="Arial" w:eastAsia="Perpetua" w:hAnsi="Arial" w:cs="Times New Roman"/>
      <w:b/>
      <w:bCs/>
      <w:noProof/>
      <w:color w:val="002C5F"/>
      <w:sz w:val="40"/>
      <w:szCs w:val="50"/>
    </w:rPr>
  </w:style>
  <w:style w:type="paragraph" w:customStyle="1" w:styleId="StyleHeading2pHeading220pt1">
    <w:name w:val="Style Heading 2p.Heading 2 + 20 pt1"/>
    <w:rsid w:val="003907CC"/>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3907CC"/>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3907CC"/>
    <w:pPr>
      <w:numPr>
        <w:numId w:val="20"/>
      </w:numPr>
      <w:spacing w:line="240" w:lineRule="auto"/>
    </w:pPr>
    <w:rPr>
      <w:rFonts w:eastAsiaTheme="minorEastAsia"/>
    </w:rPr>
  </w:style>
  <w:style w:type="paragraph" w:customStyle="1" w:styleId="TableBullet2">
    <w:name w:val="Table Bullet 2"/>
    <w:basedOn w:val="TableText"/>
    <w:qFormat/>
    <w:rsid w:val="003907CC"/>
    <w:pPr>
      <w:numPr>
        <w:numId w:val="21"/>
      </w:numPr>
      <w:spacing w:line="240" w:lineRule="auto"/>
    </w:pPr>
    <w:rPr>
      <w:rFonts w:eastAsiaTheme="minorEastAsia"/>
    </w:rPr>
  </w:style>
  <w:style w:type="paragraph" w:customStyle="1" w:styleId="TableColHeadingLeft">
    <w:name w:val="Table Col Heading Left"/>
    <w:basedOn w:val="TableText"/>
    <w:qFormat/>
    <w:rsid w:val="003907CC"/>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3907CC"/>
    <w:pPr>
      <w:jc w:val="center"/>
    </w:pPr>
  </w:style>
  <w:style w:type="table" w:customStyle="1" w:styleId="TableGrid3">
    <w:name w:val="Table Grid3"/>
    <w:basedOn w:val="TableNormal"/>
    <w:next w:val="TableGrid"/>
    <w:rsid w:val="003907C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907CC"/>
    <w:pPr>
      <w:spacing w:after="0" w:line="240" w:lineRule="auto"/>
    </w:pPr>
    <w:rPr>
      <w:rFonts w:ascii="Franklin Gothic Book" w:eastAsia="Calibri" w:hAnsi="Franklin Gothic Boo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ing">
    <w:name w:val="Table Numbering"/>
    <w:basedOn w:val="TableText"/>
    <w:qFormat/>
    <w:rsid w:val="003907CC"/>
    <w:pPr>
      <w:numPr>
        <w:numId w:val="22"/>
      </w:numPr>
      <w:spacing w:line="240" w:lineRule="auto"/>
    </w:pPr>
    <w:rPr>
      <w:rFonts w:eastAsiaTheme="minorEastAsia"/>
    </w:rPr>
  </w:style>
  <w:style w:type="paragraph" w:customStyle="1" w:styleId="TableSubheading">
    <w:name w:val="Table Subheading"/>
    <w:qFormat/>
    <w:rsid w:val="003907CC"/>
    <w:rPr>
      <w:rFonts w:ascii="Arial" w:eastAsiaTheme="minorEastAsia" w:hAnsi="Arial" w:cs="Times New Roman"/>
      <w:b/>
      <w:sz w:val="20"/>
      <w:szCs w:val="24"/>
    </w:rPr>
  </w:style>
  <w:style w:type="paragraph" w:customStyle="1" w:styleId="TableTextCentered">
    <w:name w:val="Table Text Centered"/>
    <w:basedOn w:val="TableText"/>
    <w:qFormat/>
    <w:rsid w:val="003907CC"/>
    <w:pPr>
      <w:spacing w:line="240" w:lineRule="auto"/>
      <w:jc w:val="center"/>
    </w:pPr>
  </w:style>
  <w:style w:type="paragraph" w:customStyle="1" w:styleId="TitlePageText">
    <w:name w:val="Title Page Text"/>
    <w:basedOn w:val="Normal"/>
    <w:qFormat/>
    <w:rsid w:val="003907CC"/>
    <w:pPr>
      <w:spacing w:after="0" w:line="240" w:lineRule="auto"/>
      <w:ind w:left="900"/>
    </w:pPr>
    <w:rPr>
      <w:rFonts w:asciiTheme="minorHAnsi" w:hAnsiTheme="minorHAnsi" w:cstheme="minorBidi"/>
      <w:sz w:val="20"/>
    </w:rPr>
  </w:style>
  <w:style w:type="paragraph" w:customStyle="1" w:styleId="TitlePageAddress">
    <w:name w:val="Title Page Address"/>
    <w:basedOn w:val="TitlePageText"/>
    <w:link w:val="TitlePageAddressChar"/>
    <w:qFormat/>
    <w:rsid w:val="003907CC"/>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3907CC"/>
    <w:rPr>
      <w:rFonts w:eastAsia="Calibri" w:cs="Times New Roman"/>
      <w:noProof/>
      <w:sz w:val="24"/>
      <w:szCs w:val="24"/>
    </w:rPr>
  </w:style>
  <w:style w:type="paragraph" w:customStyle="1" w:styleId="TitlePageAuthor">
    <w:name w:val="Title Page Author"/>
    <w:basedOn w:val="TitlePageText"/>
    <w:qFormat/>
    <w:rsid w:val="003907CC"/>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3907CC"/>
    <w:pPr>
      <w:spacing w:after="0" w:line="240" w:lineRule="auto"/>
      <w:ind w:left="900"/>
    </w:pPr>
    <w:rPr>
      <w:rFonts w:asciiTheme="minorHAnsi" w:eastAsia="Times New Roman" w:hAnsiTheme="minorHAnsi"/>
      <w:sz w:val="20"/>
      <w:szCs w:val="24"/>
    </w:rPr>
  </w:style>
  <w:style w:type="character" w:customStyle="1" w:styleId="TitlePageCopyrightTextChar">
    <w:name w:val="Title Page Copyright Text Char"/>
    <w:basedOn w:val="DefaultParagraphFont"/>
    <w:link w:val="TitlePageCopyrightText"/>
    <w:rsid w:val="003907CC"/>
    <w:rPr>
      <w:rFonts w:eastAsia="Times New Roman" w:cs="Times New Roman"/>
      <w:sz w:val="20"/>
      <w:szCs w:val="24"/>
    </w:rPr>
  </w:style>
  <w:style w:type="paragraph" w:customStyle="1" w:styleId="TitlePageDate">
    <w:name w:val="Title Page Date"/>
    <w:basedOn w:val="TitlePageText"/>
    <w:next w:val="TitlePageText"/>
    <w:qFormat/>
    <w:rsid w:val="003907CC"/>
    <w:pPr>
      <w:spacing w:after="720"/>
      <w:ind w:left="907"/>
    </w:pPr>
    <w:rPr>
      <w:rFonts w:ascii="Arial" w:hAnsi="Arial"/>
      <w:b/>
      <w:sz w:val="32"/>
    </w:rPr>
  </w:style>
  <w:style w:type="paragraph" w:customStyle="1" w:styleId="TitlePageOrganization">
    <w:name w:val="Title Page Organization"/>
    <w:basedOn w:val="TitlePageAuthor"/>
    <w:qFormat/>
    <w:rsid w:val="003907CC"/>
    <w:pPr>
      <w:spacing w:after="2400"/>
    </w:pPr>
    <w:rPr>
      <w:i/>
      <w:iCs/>
    </w:rPr>
  </w:style>
  <w:style w:type="paragraph" w:customStyle="1" w:styleId="TitlePagePublicationNumber">
    <w:name w:val="Title Page Publication Number"/>
    <w:basedOn w:val="Normal"/>
    <w:qFormat/>
    <w:rsid w:val="003907CC"/>
    <w:pPr>
      <w:tabs>
        <w:tab w:val="right" w:pos="9360"/>
      </w:tabs>
      <w:spacing w:after="0" w:line="240" w:lineRule="auto"/>
      <w:jc w:val="right"/>
    </w:pPr>
    <w:rPr>
      <w:rFonts w:asciiTheme="minorHAnsi" w:eastAsia="Times New Roman" w:hAnsiTheme="minorHAnsi"/>
      <w:sz w:val="16"/>
      <w:szCs w:val="16"/>
    </w:rPr>
  </w:style>
  <w:style w:type="paragraph" w:customStyle="1" w:styleId="TitlePagePublicationNumberandDate">
    <w:name w:val="Title Page Publication Number and Date"/>
    <w:basedOn w:val="BodyText"/>
    <w:next w:val="BodyText"/>
    <w:link w:val="TitlePagePublicationNumberandDateChar"/>
    <w:qFormat/>
    <w:rsid w:val="003907CC"/>
    <w:pPr>
      <w:spacing w:after="120"/>
    </w:pPr>
    <w:rPr>
      <w:sz w:val="20"/>
    </w:rPr>
  </w:style>
  <w:style w:type="character" w:customStyle="1" w:styleId="TitlePagePublicationNumberandDateChar">
    <w:name w:val="Title Page Publication Number and Date Char"/>
    <w:basedOn w:val="CopyrightinfoChar"/>
    <w:link w:val="TitlePagePublicationNumberandDate"/>
    <w:rsid w:val="003907CC"/>
    <w:rPr>
      <w:rFonts w:eastAsia="Times New Roman" w:cs="Times New Roman"/>
      <w:iCs w:val="0"/>
      <w:sz w:val="20"/>
      <w:szCs w:val="24"/>
    </w:rPr>
  </w:style>
  <w:style w:type="paragraph" w:customStyle="1" w:styleId="TitlePageTitleSubtitle">
    <w:name w:val="Title Page Title/Subtitle"/>
    <w:basedOn w:val="TitlePageText"/>
    <w:qFormat/>
    <w:rsid w:val="003907CC"/>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3907CC"/>
    <w:rPr>
      <w:b/>
    </w:rPr>
  </w:style>
  <w:style w:type="paragraph" w:styleId="TOC4">
    <w:name w:val="toc 4"/>
    <w:basedOn w:val="Normal"/>
    <w:next w:val="Normal"/>
    <w:autoRedefine/>
    <w:uiPriority w:val="39"/>
    <w:rsid w:val="003907CC"/>
    <w:pPr>
      <w:tabs>
        <w:tab w:val="right" w:leader="dot" w:pos="9350"/>
      </w:tabs>
      <w:spacing w:before="120" w:after="0" w:line="240" w:lineRule="auto"/>
      <w:ind w:left="1166" w:right="720" w:hanging="86"/>
    </w:pPr>
    <w:rPr>
      <w:rFonts w:asciiTheme="minorHAnsi" w:eastAsia="Times New Roman" w:hAnsiTheme="minorHAnsi" w:cs="Times"/>
    </w:rPr>
  </w:style>
  <w:style w:type="paragraph" w:customStyle="1" w:styleId="TableTextRight">
    <w:name w:val="Table Text Right"/>
    <w:basedOn w:val="TableText"/>
    <w:qFormat/>
    <w:rsid w:val="003907CC"/>
    <w:pPr>
      <w:spacing w:line="240" w:lineRule="auto"/>
      <w:jc w:val="right"/>
    </w:pPr>
  </w:style>
  <w:style w:type="paragraph" w:customStyle="1" w:styleId="TableColHeadCenter-Narrow">
    <w:name w:val="Table Col Head Center-Narrow"/>
    <w:basedOn w:val="TableColHeadingCenter"/>
    <w:qFormat/>
    <w:rsid w:val="003907CC"/>
    <w:rPr>
      <w:rFonts w:ascii="Arial Narrow" w:hAnsi="Arial Narrow"/>
    </w:rPr>
  </w:style>
  <w:style w:type="paragraph" w:customStyle="1" w:styleId="TableHead">
    <w:name w:val="Table Head"/>
    <w:next w:val="TableofFigures"/>
    <w:qFormat/>
    <w:rsid w:val="003907CC"/>
    <w:pPr>
      <w:keepNext/>
      <w:keepLines/>
      <w:spacing w:before="40" w:after="40" w:line="240" w:lineRule="auto"/>
      <w:jc w:val="center"/>
    </w:pPr>
    <w:rPr>
      <w:rFonts w:ascii="Arial" w:eastAsia="Calibri" w:hAnsi="Arial" w:cs="Arial"/>
      <w:b/>
      <w:sz w:val="24"/>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font5">
    <w:name w:val="font5"/>
    <w:basedOn w:val="Normal"/>
    <w:rsid w:val="003907CC"/>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3907CC"/>
    <w:pPr>
      <w:shd w:val="clear" w:color="000000" w:fill="FFFFFF"/>
      <w:spacing w:before="100" w:beforeAutospacing="1" w:after="100" w:afterAutospacing="1" w:line="240" w:lineRule="auto"/>
      <w:textAlignment w:val="center"/>
    </w:pPr>
    <w:rPr>
      <w:rFonts w:ascii="Times New Roman" w:eastAsia="Times New Roman" w:hAnsi="Times New Roman"/>
      <w:b/>
      <w:bCs/>
      <w:color w:val="660000"/>
      <w:sz w:val="20"/>
      <w:szCs w:val="20"/>
    </w:rPr>
  </w:style>
  <w:style w:type="paragraph" w:customStyle="1" w:styleId="xl66">
    <w:name w:val="xl66"/>
    <w:basedOn w:val="Normal"/>
    <w:rsid w:val="003907CC"/>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3907CC"/>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3907CC"/>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3907CC"/>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3907CC"/>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3907CC"/>
    <w:pPr>
      <w:spacing w:before="100" w:beforeAutospacing="1" w:after="100" w:afterAutospacing="1" w:line="240" w:lineRule="auto"/>
      <w:jc w:val="right"/>
    </w:pPr>
    <w:rPr>
      <w:rFonts w:ascii="Times New Roman" w:eastAsia="Times New Roman" w:hAnsi="Times New Roman"/>
      <w:szCs w:val="24"/>
    </w:rPr>
  </w:style>
  <w:style w:type="paragraph" w:customStyle="1" w:styleId="xl72">
    <w:name w:val="xl72"/>
    <w:basedOn w:val="Normal"/>
    <w:rsid w:val="003907CC"/>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3907CC"/>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B95ECE"/>
    <w:pPr>
      <w:spacing w:before="480" w:after="240" w:line="240" w:lineRule="auto"/>
      <w:jc w:val="center"/>
      <w:outlineLvl w:val="0"/>
    </w:pPr>
    <w:rPr>
      <w:rFonts w:ascii="Arial" w:eastAsia="Times New Roman" w:hAnsi="Arial" w:cs="Times New Roman"/>
      <w:b/>
      <w:bCs/>
      <w:sz w:val="28"/>
      <w:szCs w:val="24"/>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663EF7"/>
    <w:pPr>
      <w:spacing w:before="200" w:after="0" w:line="360" w:lineRule="auto"/>
    </w:pPr>
    <w:rPr>
      <w:rFonts w:ascii="Arial" w:hAnsi="Arial" w:cs="Arial"/>
      <w:szCs w:val="20"/>
    </w:rPr>
  </w:style>
  <w:style w:type="paragraph" w:customStyle="1" w:styleId="NCDInsideCoverText">
    <w:name w:val="NCD.Inside Cover Text"/>
    <w:qFormat/>
    <w:rsid w:val="00F47444"/>
    <w:pPr>
      <w:spacing w:before="480"/>
    </w:pPr>
    <w:rPr>
      <w:rFonts w:ascii="Arial" w:hAnsi="Arial" w:cs="Arial"/>
      <w:sz w:val="24"/>
      <w:szCs w:val="32"/>
    </w:rPr>
  </w:style>
  <w:style w:type="paragraph" w:customStyle="1" w:styleId="NCDInsideCoverTitle">
    <w:name w:val="NCD.Inside Cover Title"/>
    <w:qFormat/>
    <w:rsid w:val="00F47444"/>
    <w:pPr>
      <w:spacing w:before="480" w:after="0" w:line="360" w:lineRule="auto"/>
    </w:pPr>
    <w:rPr>
      <w:rFonts w:ascii="Arial" w:hAnsi="Arial" w:cs="Arial"/>
      <w:b/>
      <w:i/>
      <w:sz w:val="24"/>
      <w:szCs w:val="32"/>
    </w:rPr>
  </w:style>
  <w:style w:type="paragraph" w:customStyle="1" w:styleId="NCDCoverLetterText">
    <w:name w:val="NCD.Cover Letter Text"/>
    <w:qFormat/>
    <w:rsid w:val="00F47444"/>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D109BA"/>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6E641C"/>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817F4E"/>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817F4E"/>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034D45"/>
    <w:pPr>
      <w:spacing w:after="360" w:line="240" w:lineRule="auto"/>
    </w:pPr>
    <w:rPr>
      <w:rFonts w:ascii="Arial" w:eastAsia="Times New Roman" w:hAnsi="Arial" w:cs="Times New Roman"/>
      <w:caps/>
      <w:color w:val="7F7F7F" w:themeColor="text1" w:themeTint="80"/>
      <w:sz w:val="36"/>
      <w:szCs w:val="32"/>
    </w:rPr>
  </w:style>
  <w:style w:type="paragraph" w:customStyle="1" w:styleId="PBodyText">
    <w:name w:val="P.Body Text"/>
    <w:link w:val="PBodyTextChar"/>
    <w:uiPriority w:val="99"/>
    <w:qFormat/>
    <w:rsid w:val="00F86285"/>
    <w:pPr>
      <w:spacing w:after="240" w:line="360" w:lineRule="auto"/>
    </w:pPr>
    <w:rPr>
      <w:rFonts w:ascii="Arial" w:eastAsia="Times New Roman" w:hAnsi="Arial" w:cs="Times"/>
      <w:sz w:val="24"/>
      <w:szCs w:val="24"/>
    </w:rPr>
  </w:style>
  <w:style w:type="character" w:customStyle="1" w:styleId="PBodyTextChar">
    <w:name w:val="P.Body Text Char"/>
    <w:basedOn w:val="DefaultParagraphFont"/>
    <w:link w:val="PBodyText"/>
    <w:uiPriority w:val="99"/>
    <w:locked/>
    <w:rsid w:val="00F86285"/>
    <w:rPr>
      <w:rFonts w:ascii="Arial" w:eastAsia="Times New Roman" w:hAnsi="Arial" w:cs="Times"/>
      <w:sz w:val="24"/>
      <w:szCs w:val="24"/>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character" w:styleId="Emphasis">
    <w:name w:val="Emphasis"/>
    <w:basedOn w:val="DefaultParagraphFont"/>
    <w:uiPriority w:val="20"/>
    <w:qFormat/>
    <w:rsid w:val="00225638"/>
    <w:rPr>
      <w:i/>
      <w:iCs/>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F804EE"/>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F804EE"/>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CM137">
    <w:name w:val="CM137"/>
    <w:basedOn w:val="Default"/>
    <w:next w:val="Default"/>
    <w:uiPriority w:val="99"/>
    <w:rsid w:val="002E0120"/>
    <w:rPr>
      <w:rFonts w:ascii="Arial" w:eastAsiaTheme="minorHAnsi" w:hAnsi="Arial" w:cs="Arial"/>
      <w:color w:val="auto"/>
    </w:rPr>
  </w:style>
  <w:style w:type="paragraph" w:customStyle="1" w:styleId="CM28">
    <w:name w:val="CM28"/>
    <w:basedOn w:val="Default"/>
    <w:next w:val="Default"/>
    <w:uiPriority w:val="99"/>
    <w:rsid w:val="002E0120"/>
    <w:pPr>
      <w:spacing w:line="286" w:lineRule="atLeast"/>
    </w:pPr>
    <w:rPr>
      <w:rFonts w:eastAsiaTheme="minorHAnsi"/>
      <w:color w:val="auto"/>
    </w:rPr>
  </w:style>
  <w:style w:type="paragraph" w:customStyle="1" w:styleId="CM136">
    <w:name w:val="CM136"/>
    <w:basedOn w:val="Default"/>
    <w:next w:val="Default"/>
    <w:uiPriority w:val="99"/>
    <w:rsid w:val="002E0120"/>
    <w:rPr>
      <w:rFonts w:eastAsiaTheme="minorHAnsi"/>
      <w:color w:val="auto"/>
    </w:rPr>
  </w:style>
  <w:style w:type="paragraph" w:customStyle="1" w:styleId="CM13">
    <w:name w:val="CM13"/>
    <w:basedOn w:val="Default"/>
    <w:next w:val="Default"/>
    <w:uiPriority w:val="99"/>
    <w:rsid w:val="002E0120"/>
    <w:pPr>
      <w:spacing w:line="423" w:lineRule="atLeast"/>
    </w:pPr>
    <w:rPr>
      <w:rFonts w:eastAsiaTheme="minorHAnsi"/>
      <w:color w:val="auto"/>
    </w:rPr>
  </w:style>
  <w:style w:type="character" w:customStyle="1" w:styleId="y0nh2b">
    <w:name w:val="y0nh2b"/>
    <w:rsid w:val="009708FD"/>
  </w:style>
  <w:style w:type="character" w:customStyle="1" w:styleId="A17">
    <w:name w:val="A17"/>
    <w:uiPriority w:val="99"/>
    <w:rsid w:val="00B03500"/>
    <w:rPr>
      <w:rFonts w:cs="TradeGothic Bold"/>
      <w:b/>
      <w:bCs/>
      <w:color w:val="000000"/>
      <w:sz w:val="22"/>
      <w:szCs w:val="22"/>
    </w:rPr>
  </w:style>
  <w:style w:type="character" w:customStyle="1" w:styleId="A4">
    <w:name w:val="A4"/>
    <w:uiPriority w:val="99"/>
    <w:rsid w:val="00B03500"/>
    <w:rPr>
      <w:rFonts w:ascii="TradeGothic Light" w:hAnsi="TradeGothic Light" w:cs="TradeGothic Light"/>
      <w:color w:val="000000"/>
      <w:sz w:val="18"/>
      <w:szCs w:val="18"/>
    </w:rPr>
  </w:style>
  <w:style w:type="numbering" w:customStyle="1" w:styleId="NoList2">
    <w:name w:val="No List2"/>
    <w:next w:val="NoList"/>
    <w:uiPriority w:val="99"/>
    <w:semiHidden/>
    <w:unhideWhenUsed/>
    <w:rsid w:val="00934DB5"/>
  </w:style>
  <w:style w:type="character" w:customStyle="1" w:styleId="chapeau">
    <w:name w:val="chapeau"/>
    <w:basedOn w:val="DefaultParagraphFont"/>
    <w:rsid w:val="00934DB5"/>
  </w:style>
  <w:style w:type="character" w:customStyle="1" w:styleId="num">
    <w:name w:val="num"/>
    <w:basedOn w:val="DefaultParagraphFont"/>
    <w:rsid w:val="00934DB5"/>
  </w:style>
  <w:style w:type="numbering" w:customStyle="1" w:styleId="List01">
    <w:name w:val="List 01"/>
    <w:basedOn w:val="NoList"/>
    <w:rsid w:val="00D7262D"/>
  </w:style>
  <w:style w:type="numbering" w:customStyle="1" w:styleId="List11">
    <w:name w:val="List 11"/>
    <w:basedOn w:val="NoList"/>
    <w:rsid w:val="00D7262D"/>
  </w:style>
  <w:style w:type="numbering" w:customStyle="1" w:styleId="Bullet20">
    <w:name w:val="Bullet2"/>
    <w:rsid w:val="00D7262D"/>
  </w:style>
  <w:style w:type="numbering" w:customStyle="1" w:styleId="List212">
    <w:name w:val="List 212"/>
    <w:basedOn w:val="NoList"/>
    <w:rsid w:val="00D7262D"/>
  </w:style>
  <w:style w:type="numbering" w:customStyle="1" w:styleId="List312">
    <w:name w:val="List 312"/>
    <w:basedOn w:val="NoList"/>
    <w:rsid w:val="00D7262D"/>
  </w:style>
  <w:style w:type="numbering" w:customStyle="1" w:styleId="Bullet11">
    <w:name w:val="Bullet11"/>
    <w:rsid w:val="00D7262D"/>
  </w:style>
  <w:style w:type="numbering" w:customStyle="1" w:styleId="List2111">
    <w:name w:val="List 2111"/>
    <w:basedOn w:val="NoList"/>
    <w:rsid w:val="00D7262D"/>
  </w:style>
  <w:style w:type="numbering" w:customStyle="1" w:styleId="List3111">
    <w:name w:val="List 3111"/>
    <w:basedOn w:val="NoList"/>
    <w:rsid w:val="00D7262D"/>
  </w:style>
  <w:style w:type="paragraph" w:customStyle="1" w:styleId="Pa2">
    <w:name w:val="Pa2"/>
    <w:basedOn w:val="Default"/>
    <w:next w:val="Default"/>
    <w:uiPriority w:val="99"/>
    <w:rsid w:val="00FA4DC7"/>
    <w:pPr>
      <w:spacing w:line="201" w:lineRule="atLeast"/>
    </w:pPr>
    <w:rPr>
      <w:rFonts w:ascii="Univers LT Std 45 Light" w:eastAsiaTheme="minorHAnsi" w:hAnsi="Univers LT Std 45 Light" w:cstheme="minorBidi"/>
      <w:color w:val="auto"/>
    </w:rPr>
  </w:style>
  <w:style w:type="paragraph" w:customStyle="1" w:styleId="Pa3">
    <w:name w:val="Pa3"/>
    <w:basedOn w:val="Default"/>
    <w:next w:val="Default"/>
    <w:uiPriority w:val="99"/>
    <w:rsid w:val="00FA4DC7"/>
    <w:pPr>
      <w:spacing w:line="201" w:lineRule="atLeast"/>
    </w:pPr>
    <w:rPr>
      <w:rFonts w:ascii="Univers LT Std 45 Light" w:eastAsiaTheme="minorHAnsi" w:hAnsi="Univers LT Std 45 Light" w:cstheme="minorBidi"/>
      <w:color w:val="auto"/>
    </w:rPr>
  </w:style>
  <w:style w:type="paragraph" w:customStyle="1" w:styleId="Pa4">
    <w:name w:val="Pa4"/>
    <w:basedOn w:val="Default"/>
    <w:next w:val="Default"/>
    <w:uiPriority w:val="99"/>
    <w:rsid w:val="00FA4DC7"/>
    <w:pPr>
      <w:spacing w:line="201" w:lineRule="atLeast"/>
    </w:pPr>
    <w:rPr>
      <w:rFonts w:ascii="Univers LT Std 45 Light" w:eastAsiaTheme="minorHAnsi" w:hAnsi="Univers LT Std 45 Light" w:cstheme="minorBidi"/>
      <w:color w:val="auto"/>
    </w:rPr>
  </w:style>
  <w:style w:type="character" w:customStyle="1" w:styleId="paperstitle1">
    <w:name w:val="paperstitle1"/>
    <w:basedOn w:val="DefaultParagraphFont"/>
    <w:rsid w:val="00B43C35"/>
    <w:rPr>
      <w:rFonts w:ascii="Georgia" w:hAnsi="Georgia" w:hint="default"/>
      <w:b/>
      <w:bCs/>
      <w:color w:val="333333"/>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2B6E53"/>
    <w:pPr>
      <w:numPr>
        <w:numId w:val="23"/>
      </w:numPr>
    </w:pPr>
  </w:style>
  <w:style w:type="paragraph" w:customStyle="1" w:styleId="LetterofTransmittalBodyText">
    <w:name w:val="Letter of Transmittal Body Text"/>
    <w:basedOn w:val="Normal"/>
    <w:qFormat/>
    <w:rsid w:val="002B54BE"/>
    <w:pPr>
      <w:autoSpaceDE w:val="0"/>
      <w:autoSpaceDN w:val="0"/>
      <w:spacing w:after="200" w:line="240" w:lineRule="auto"/>
    </w:pPr>
    <w:rPr>
      <w:rFonts w:ascii="Arial" w:eastAsia="Times New Roman"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www.dol.gov/crc" TargetMode="External"/><Relationship Id="rId2" Type="http://schemas.openxmlformats.org/officeDocument/2006/relationships/customXml" Target="../customXml/item2.xml"/><Relationship Id="rId16" Type="http://schemas.openxmlformats.org/officeDocument/2006/relationships/hyperlink" Target="http://www.peatwork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disability.gov"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ol.gov/odep/" TargetMode="External"/></Relationships>
</file>

<file path=word/_rels/endnotes.xml.rels><?xml version="1.0" encoding="UTF-8" standalone="yes"?>
<Relationships xmlns="http://schemas.openxmlformats.org/package/2006/relationships"><Relationship Id="rId26" Type="http://schemas.openxmlformats.org/officeDocument/2006/relationships/hyperlink" Target="https://www.eeoc.gov/eeoc/statistics/enforcement/definitions.cfm" TargetMode="External"/><Relationship Id="rId21" Type="http://schemas.openxmlformats.org/officeDocument/2006/relationships/hyperlink" Target="https://www.eeoc.gov/eeoc/plan/strategic_plan_18-22.cfm" TargetMode="External"/><Relationship Id="rId42" Type="http://schemas.openxmlformats.org/officeDocument/2006/relationships/hyperlink" Target="https://www.eeoc.gov/laws/mous/dol_wagediv_eeoc.cfm" TargetMode="External"/><Relationship Id="rId47" Type="http://schemas.openxmlformats.org/officeDocument/2006/relationships/hyperlink" Target="https://apprenticeshipusa.workforcegps.org/resources/2017/03/10/16/09/Expanding-Apprenticeship-for-Individuals-with-Disabilities" TargetMode="External"/><Relationship Id="rId63" Type="http://schemas.openxmlformats.org/officeDocument/2006/relationships/hyperlink" Target="https://www.dol.gov/sites/default/files/documents/general/budget/CBJ-2017-V3-03.pdf" TargetMode="External"/><Relationship Id="rId68" Type="http://schemas.openxmlformats.org/officeDocument/2006/relationships/hyperlink" Target="https://www.dol.gov/sites/default/files/budget/2019/CBJ-2019-V3-03.pdf" TargetMode="External"/><Relationship Id="rId84" Type="http://schemas.openxmlformats.org/officeDocument/2006/relationships/hyperlink" Target="http://www.dol.gov/whd/resources/strategicEnforcement.pdf" TargetMode="External"/><Relationship Id="rId89" Type="http://schemas.openxmlformats.org/officeDocument/2006/relationships/hyperlink" Target="https://www.ada.gov/olmstead/olmstead_cases_list2.htm" TargetMode="External"/><Relationship Id="rId112" Type="http://schemas.openxmlformats.org/officeDocument/2006/relationships/hyperlink" Target="https://www.gsa.gov/about-us/organization/office-of-the-chief-information-officer/office-of-enterprise-planning-and-governance/gsa-section-508-and-accessibility" TargetMode="External"/><Relationship Id="rId16" Type="http://schemas.openxmlformats.org/officeDocument/2006/relationships/hyperlink" Target="https://www.eeoc.gov/laws/types/epilepsy.cfm" TargetMode="External"/><Relationship Id="rId107" Type="http://schemas.openxmlformats.org/officeDocument/2006/relationships/hyperlink" Target="https://www.access-board.gov/the-board/budget-and-performance/budget-justification" TargetMode="External"/><Relationship Id="rId11" Type="http://schemas.openxmlformats.org/officeDocument/2006/relationships/hyperlink" Target="https://www.eeoc.gov/eeoc/publications/ada-leave.cfm" TargetMode="External"/><Relationship Id="rId24" Type="http://schemas.openxmlformats.org/officeDocument/2006/relationships/hyperlink" Target="https://www.eeoc.gov/eeoc/plan/sep.cfm" TargetMode="External"/><Relationship Id="rId32" Type="http://schemas.openxmlformats.org/officeDocument/2006/relationships/hyperlink" Target="https://www.irs.gov/newsroom/videos-american-sign-language-asl" TargetMode="External"/><Relationship Id="rId37" Type="http://schemas.openxmlformats.org/officeDocument/2006/relationships/hyperlink" Target="https://www.eeoc.gov/eeoc/litigation/reports/index.cfm" TargetMode="External"/><Relationship Id="rId40" Type="http://schemas.openxmlformats.org/officeDocument/2006/relationships/hyperlink" Target="https://www.eeoc.gov/laws/mous/eeoc-doj-ada-gina.cfm" TargetMode="External"/><Relationship Id="rId45" Type="http://schemas.openxmlformats.org/officeDocument/2006/relationships/hyperlink" Target="https://eeotraining.eeoc.gov/profile/web/index.cfm?PKwebID=0x2547cce5&amp;varPage=speakers" TargetMode="External"/><Relationship Id="rId53" Type="http://schemas.openxmlformats.org/officeDocument/2006/relationships/hyperlink" Target="https://www.dol.gov/sites/default/files/budget/2019/FY2018-2022StrategicPlan.pdf" TargetMode="External"/><Relationship Id="rId58" Type="http://schemas.openxmlformats.org/officeDocument/2006/relationships/hyperlink" Target="https://www.dol.gov/odep/history/2014.htm" TargetMode="External"/><Relationship Id="rId66" Type="http://schemas.openxmlformats.org/officeDocument/2006/relationships/hyperlink" Target="http://www.peatworks.org/policy-matters" TargetMode="External"/><Relationship Id="rId74" Type="http://schemas.openxmlformats.org/officeDocument/2006/relationships/hyperlink" Target="https://www.dol.gov/WHD/" TargetMode="External"/><Relationship Id="rId79" Type="http://schemas.openxmlformats.org/officeDocument/2006/relationships/hyperlink" Target="https://www.oalj.dol.gov/PUBLIC/ARB/DECISIONS/ARB_DECISIONS/FLS/16_038.FLSP.PDF" TargetMode="External"/><Relationship Id="rId87" Type="http://schemas.openxmlformats.org/officeDocument/2006/relationships/hyperlink" Target="https://www.dol.gov/whd/specialemployment/SWEPlist.htm" TargetMode="External"/><Relationship Id="rId102" Type="http://schemas.openxmlformats.org/officeDocument/2006/relationships/hyperlink" Target="https://section508.gov/manage/reporting" TargetMode="External"/><Relationship Id="rId110" Type="http://schemas.openxmlformats.org/officeDocument/2006/relationships/hyperlink" Target="https://www.dol.gov/sites/default/files/documents/general/budget/CBJ-2017-V2-09.pdf" TargetMode="External"/><Relationship Id="rId115" Type="http://schemas.openxmlformats.org/officeDocument/2006/relationships/hyperlink" Target="https://www.dol.gov/whd/regs/compliance/whdfs39h.pdf" TargetMode="External"/><Relationship Id="rId5" Type="http://schemas.openxmlformats.org/officeDocument/2006/relationships/hyperlink" Target="https://www1.eeoc.gov/eeoc/newsroom/wysk/regulations_guidance_resources.cfm?renderforprint=1" TargetMode="External"/><Relationship Id="rId61" Type="http://schemas.openxmlformats.org/officeDocument/2006/relationships/hyperlink" Target="https://www.dol.gov/sites/default/files/budget/2019/CBJ-2019-V3-03.pdf" TargetMode="External"/><Relationship Id="rId82" Type="http://schemas.openxmlformats.org/officeDocument/2006/relationships/hyperlink" Target="https://www.dol.gov/sites/dolgov/files/legacy-files/budget/2019/FY2018-2022StrategicPlan.pdf" TargetMode="External"/><Relationship Id="rId90" Type="http://schemas.openxmlformats.org/officeDocument/2006/relationships/hyperlink" Target="https://www.dol.gov/newsroom/releases/whd/whd20140130" TargetMode="External"/><Relationship Id="rId95" Type="http://schemas.openxmlformats.org/officeDocument/2006/relationships/hyperlink" Target="https://www.access-board.gov/the-board/budget-and-performance/budget-justification" TargetMode="External"/><Relationship Id="rId19" Type="http://schemas.openxmlformats.org/officeDocument/2006/relationships/hyperlink" Target="https://www.eeoc.gov/eeoc/publications/mental_health.cfm" TargetMode="External"/><Relationship Id="rId14" Type="http://schemas.openxmlformats.org/officeDocument/2006/relationships/hyperlink" Target="https://www.eeoc.gov/eeoc/publications/qa_vision.cfm" TargetMode="External"/><Relationship Id="rId22" Type="http://schemas.openxmlformats.org/officeDocument/2006/relationships/hyperlink" Target="https://www.eeoc.gov/eeoc/plan/strategic_plan_12to16.cfm" TargetMode="External"/><Relationship Id="rId27" Type="http://schemas.openxmlformats.org/officeDocument/2006/relationships/hyperlink" Target="https://www.eeoc.gov/eeoc/statistics/enforcement/index.cfm" TargetMode="External"/><Relationship Id="rId30" Type="http://schemas.openxmlformats.org/officeDocument/2006/relationships/hyperlink" Target="https://www.eeoc.gov/employees/howtofile.cfm" TargetMode="External"/><Relationship Id="rId35" Type="http://schemas.openxmlformats.org/officeDocument/2006/relationships/hyperlink" Target="https://www.eeoc.gov/eeoc/systemic/review/" TargetMode="External"/><Relationship Id="rId43" Type="http://schemas.openxmlformats.org/officeDocument/2006/relationships/hyperlink" Target="https://www.eeoc.gov/laws/mous/eeoc_ofccp.cfm" TargetMode="External"/><Relationship Id="rId48" Type="http://schemas.openxmlformats.org/officeDocument/2006/relationships/hyperlink" Target="https://www.dol.gov/odep/topics/youth/Apprenticeship.htm" TargetMode="External"/><Relationship Id="rId56" Type="http://schemas.openxmlformats.org/officeDocument/2006/relationships/hyperlink" Target="https://www.dol.gov/odep/history/2012.htm" TargetMode="External"/><Relationship Id="rId64" Type="http://schemas.openxmlformats.org/officeDocument/2006/relationships/hyperlink" Target="https://www.dol.gov/sites/default/files/CBJ-2018-V3-03.pdf" TargetMode="External"/><Relationship Id="rId69" Type="http://schemas.openxmlformats.org/officeDocument/2006/relationships/hyperlink" Target="https://www.dol.gov/ofccp/contacts/regkeyp.htm" TargetMode="External"/><Relationship Id="rId77" Type="http://schemas.openxmlformats.org/officeDocument/2006/relationships/hyperlink" Target="https://www.dol.gov/whd/FieldBulletins/fab2016_2.htm" TargetMode="External"/><Relationship Id="rId100" Type="http://schemas.openxmlformats.org/officeDocument/2006/relationships/hyperlink" Target="https://www.federalregister.gov/documents/2017/02/03/2017-02451/reducing-regulation-and-controlling-regulatory-costs" TargetMode="External"/><Relationship Id="rId105" Type="http://schemas.openxmlformats.org/officeDocument/2006/relationships/hyperlink" Target="https://www.accessibilityonline.org/ao/archives/" TargetMode="External"/><Relationship Id="rId113" Type="http://schemas.openxmlformats.org/officeDocument/2006/relationships/hyperlink" Target="https://www.eeoc.gov/laws/statutes/adaaa_info.cfm" TargetMode="External"/><Relationship Id="rId8" Type="http://schemas.openxmlformats.org/officeDocument/2006/relationships/hyperlink" Target="https://www.eeoc.gov/laws/regulations/adaaa_qa_small_business.cfm" TargetMode="External"/><Relationship Id="rId51" Type="http://schemas.openxmlformats.org/officeDocument/2006/relationships/hyperlink" Target="https://www.dol.gov/odep/history/2001.htm" TargetMode="External"/><Relationship Id="rId72" Type="http://schemas.openxmlformats.org/officeDocument/2006/relationships/hyperlink" Target="https://www.dol.gov/ofccp/regs/compliance/fccm/FCCM_FINAL_508c.pdf" TargetMode="External"/><Relationship Id="rId80" Type="http://schemas.openxmlformats.org/officeDocument/2006/relationships/hyperlink" Target="https://www.dol.gov/whd/forms/wh226.pdf" TargetMode="External"/><Relationship Id="rId85" Type="http://schemas.openxmlformats.org/officeDocument/2006/relationships/hyperlink" Target="https://www.dol.gov/newsroom/releases/whd/whd20130613" TargetMode="External"/><Relationship Id="rId93" Type="http://schemas.openxmlformats.org/officeDocument/2006/relationships/hyperlink" Target="https://www.access-board.gov/the-board" TargetMode="External"/><Relationship Id="rId98" Type="http://schemas.openxmlformats.org/officeDocument/2006/relationships/hyperlink" Target="https://www.reginfo.gov/public/do/eAgendaViewRule?pubId=201610&amp;RIN=3014-AA11" TargetMode="External"/><Relationship Id="rId3" Type="http://schemas.openxmlformats.org/officeDocument/2006/relationships/hyperlink" Target="https://www.eeoc.gov/eeoc/plan/upload/strategic_plan_12to16.pdf" TargetMode="External"/><Relationship Id="rId12" Type="http://schemas.openxmlformats.org/officeDocument/2006/relationships/hyperlink" Target="https://www.eeoc.gov/eeoc/publications/zika-eeo-laws.cfm" TargetMode="External"/><Relationship Id="rId17" Type="http://schemas.openxmlformats.org/officeDocument/2006/relationships/hyperlink" Target="https://www.eeoc.gov/laws/types/intellectual_disabilities.cfm" TargetMode="External"/><Relationship Id="rId25" Type="http://schemas.openxmlformats.org/officeDocument/2006/relationships/hyperlink" Target="https://www.eeoc.gov/eeoc/statistics/enforcement/index.cfm" TargetMode="External"/><Relationship Id="rId33" Type="http://schemas.openxmlformats.org/officeDocument/2006/relationships/hyperlink" Target="https://www.eeoc.gov/employees/fepa.cfm" TargetMode="External"/><Relationship Id="rId38" Type="http://schemas.openxmlformats.org/officeDocument/2006/relationships/hyperlink" Target="https://www.eeoc.gov/eeoc/newsroom/release/9-17-15b.cfm" TargetMode="External"/><Relationship Id="rId46" Type="http://schemas.openxmlformats.org/officeDocument/2006/relationships/hyperlink" Target="https://www.doleta.gov/etainfo/mission.cfm" TargetMode="External"/><Relationship Id="rId59" Type="http://schemas.openxmlformats.org/officeDocument/2006/relationships/hyperlink" Target="https://www.dol.gov/odep/history/2015.htm" TargetMode="External"/><Relationship Id="rId67" Type="http://schemas.openxmlformats.org/officeDocument/2006/relationships/hyperlink" Target="https://www.gpo.gov/fdsys/pkg/BILLS-115hr1625enr/html/BILLS-115hr1625enr.htm" TargetMode="External"/><Relationship Id="rId103" Type="http://schemas.openxmlformats.org/officeDocument/2006/relationships/hyperlink" Target="https://www.justice.gov/crt/section-508-home-page-0" TargetMode="External"/><Relationship Id="rId108" Type="http://schemas.openxmlformats.org/officeDocument/2006/relationships/hyperlink" Target="https://www.eeoc.gov/eeoc/plan/budgetandstaffing.cfm" TargetMode="External"/><Relationship Id="rId116" Type="http://schemas.openxmlformats.org/officeDocument/2006/relationships/hyperlink" Target="https://enforcedata.dol.gov/views/data_summary.php" TargetMode="External"/><Relationship Id="rId20" Type="http://schemas.openxmlformats.org/officeDocument/2006/relationships/hyperlink" Target="https://www.eeoc.gov/eeoc/publications/ada_mental_health_provider.cfm" TargetMode="External"/><Relationship Id="rId41" Type="http://schemas.openxmlformats.org/officeDocument/2006/relationships/hyperlink" Target="https://www.justice.gov/crt/case-document/dagher-v-washington-metropolitan-area-transit-authority-brief-amicus" TargetMode="External"/><Relationship Id="rId54" Type="http://schemas.openxmlformats.org/officeDocument/2006/relationships/hyperlink" Target="https://www.dol.gov/odep/history/2010.htm" TargetMode="External"/><Relationship Id="rId62" Type="http://schemas.openxmlformats.org/officeDocument/2006/relationships/hyperlink" Target="https://www.dol.gov/sites/default/files/FY2018BIB.pdf" TargetMode="External"/><Relationship Id="rId70" Type="http://schemas.openxmlformats.org/officeDocument/2006/relationships/hyperlink" Target="https://www.dol.gov/ofccp/contacts/ofnation2.htm" TargetMode="External"/><Relationship Id="rId75" Type="http://schemas.openxmlformats.org/officeDocument/2006/relationships/hyperlink" Target="https://www.dol.gov/whd/about/mission/whdmiss.htm" TargetMode="External"/><Relationship Id="rId83" Type="http://schemas.openxmlformats.org/officeDocument/2006/relationships/hyperlink" Target="https://www.dol.gov/sites/default/files/FY2018BIB.pdf" TargetMode="External"/><Relationship Id="rId88" Type="http://schemas.openxmlformats.org/officeDocument/2006/relationships/hyperlink" Target="https://www.dol.gov/whd/faq.htm" TargetMode="External"/><Relationship Id="rId91" Type="http://schemas.openxmlformats.org/officeDocument/2006/relationships/hyperlink" Target="https://www.dol.gov/whd/specialemployment/14cLetter_July2016.htm" TargetMode="External"/><Relationship Id="rId96" Type="http://schemas.openxmlformats.org/officeDocument/2006/relationships/hyperlink" Target="https://www.reginfo.gov/public/do/eAgendaViewRule?pubId=201710&amp;RIN=3014-AA11" TargetMode="External"/><Relationship Id="rId111" Type="http://schemas.openxmlformats.org/officeDocument/2006/relationships/hyperlink" Target="https://www.eeoc.gov/laws/regulations/qanda-ada-disabilities-final-rule.cfm" TargetMode="External"/><Relationship Id="rId1" Type="http://schemas.openxmlformats.org/officeDocument/2006/relationships/hyperlink" Target="https://ncd.gov/rawmedia_repository/497e788f_1ab2_4ae2_b240_4aefa363230c.pdf" TargetMode="External"/><Relationship Id="rId6" Type="http://schemas.openxmlformats.org/officeDocument/2006/relationships/hyperlink" Target="https://www.eeoc.gov/laws/regulations/adaaa_fact_sheet.cfm" TargetMode="External"/><Relationship Id="rId15" Type="http://schemas.openxmlformats.org/officeDocument/2006/relationships/hyperlink" Target="https://www.eeoc.gov/laws/types/diabetes.cfm" TargetMode="External"/><Relationship Id="rId23" Type="http://schemas.openxmlformats.org/officeDocument/2006/relationships/hyperlink" Target="https://www.eeoc.gov/eeoc/plan/sep-2017.cfm" TargetMode="External"/><Relationship Id="rId28" Type="http://schemas.openxmlformats.org/officeDocument/2006/relationships/hyperlink" Target="https://www.eeoc.gov/eeoc/mediation/qanda.cfm" TargetMode="External"/><Relationship Id="rId36" Type="http://schemas.openxmlformats.org/officeDocument/2006/relationships/hyperlink" Target="https://www.eeoc.gov/eeoc/plan/quality_enforcement_practices.cfm" TargetMode="External"/><Relationship Id="rId49" Type="http://schemas.openxmlformats.org/officeDocument/2006/relationships/hyperlink" Target="http://www.impaqint.com/sites/default/files/files/AJC-Accessibility-Study.pdf" TargetMode="External"/><Relationship Id="rId57" Type="http://schemas.openxmlformats.org/officeDocument/2006/relationships/hyperlink" Target="https://www.dol.gov/odep/history/2013.htm" TargetMode="External"/><Relationship Id="rId106" Type="http://schemas.openxmlformats.org/officeDocument/2006/relationships/hyperlink" Target="https://www.access-board.gov/the-board/budget-and-performance/performance-and-accountability-report" TargetMode="External"/><Relationship Id="rId114" Type="http://schemas.openxmlformats.org/officeDocument/2006/relationships/hyperlink" Target="https://www.dol.gov/whd/regs/statutes/fmla.htm" TargetMode="External"/><Relationship Id="rId10" Type="http://schemas.openxmlformats.org/officeDocument/2006/relationships/hyperlink" Target="https://www.eeoc.gov/eeoc/publications/hiv_doctors.cfm" TargetMode="External"/><Relationship Id="rId31" Type="http://schemas.openxmlformats.org/officeDocument/2006/relationships/hyperlink" Target="https://www.dfeh.ca.gov/complaint-process/file-a-complaint/" TargetMode="External"/><Relationship Id="rId44" Type="http://schemas.openxmlformats.org/officeDocument/2006/relationships/hyperlink" Target="https://www.eeoc.gov/eeoc/outreach/nocost.cfm" TargetMode="External"/><Relationship Id="rId52" Type="http://schemas.openxmlformats.org/officeDocument/2006/relationships/hyperlink" Target="https://www.dol.gov/odep/about/" TargetMode="External"/><Relationship Id="rId60" Type="http://schemas.openxmlformats.org/officeDocument/2006/relationships/hyperlink" Target="https://www.dol.gov/odep/history/" TargetMode="External"/><Relationship Id="rId65" Type="http://schemas.openxmlformats.org/officeDocument/2006/relationships/hyperlink" Target="https://askjan.org/links/about.htm" TargetMode="External"/><Relationship Id="rId73" Type="http://schemas.openxmlformats.org/officeDocument/2006/relationships/hyperlink" Target="https://enforcedata.dol.gov/views/data_summary.php" TargetMode="External"/><Relationship Id="rId78" Type="http://schemas.openxmlformats.org/officeDocument/2006/relationships/hyperlink" Target="https://www.gao.gov/products/GAO-01-886" TargetMode="External"/><Relationship Id="rId81" Type="http://schemas.openxmlformats.org/officeDocument/2006/relationships/hyperlink" Target="https://www.dol.gov/sites/default/files/documents/general/budget/CBJ-2017-V2-09.pdf" TargetMode="External"/><Relationship Id="rId86" Type="http://schemas.openxmlformats.org/officeDocument/2006/relationships/hyperlink" Target="https://www.dol.gov/newsroom/releases/whd/whd20180423" TargetMode="External"/><Relationship Id="rId94" Type="http://schemas.openxmlformats.org/officeDocument/2006/relationships/hyperlink" Target="https://www.gao.gov/assets/120/115137.pdf" TargetMode="External"/><Relationship Id="rId99" Type="http://schemas.openxmlformats.org/officeDocument/2006/relationships/hyperlink" Target="https://www.reginfo.gov/public/do/eAgendaViewRule?pubId=201610&amp;RIN=3014-AA26" TargetMode="External"/><Relationship Id="rId101" Type="http://schemas.openxmlformats.org/officeDocument/2006/relationships/hyperlink" Target="https://www.access-board.gov/research/completed-research" TargetMode="External"/><Relationship Id="rId4" Type="http://schemas.openxmlformats.org/officeDocument/2006/relationships/hyperlink" Target="https://www.eeoc.gov/eeoc/plan/2017par.cfm" TargetMode="External"/><Relationship Id="rId9" Type="http://schemas.openxmlformats.org/officeDocument/2006/relationships/hyperlink" Target="https://www.eeoc.gov/eeoc/publications/hiv_individual.cfm" TargetMode="External"/><Relationship Id="rId13" Type="http://schemas.openxmlformats.org/officeDocument/2006/relationships/hyperlink" Target="https://www.eeoc.gov/eeoc/publications/qa_deafness.cfm" TargetMode="External"/><Relationship Id="rId18" Type="http://schemas.openxmlformats.org/officeDocument/2006/relationships/hyperlink" Target="https://www.eeoc.gov/laws/types/cancer.cfm" TargetMode="External"/><Relationship Id="rId39" Type="http://schemas.openxmlformats.org/officeDocument/2006/relationships/hyperlink" Target="https://www.eeoc.gov/eeoc/plan/upload/2016par.pdf" TargetMode="External"/><Relationship Id="rId109" Type="http://schemas.openxmlformats.org/officeDocument/2006/relationships/hyperlink" Target="https://www.dol.gov/sites/default/files/documents/general/budget/CBJ-2018-V2-09.pdf" TargetMode="External"/><Relationship Id="rId34" Type="http://schemas.openxmlformats.org/officeDocument/2006/relationships/hyperlink" Target="https://www.muni.org/Departments/AERC/Pages/aboutus.aspx" TargetMode="External"/><Relationship Id="rId50" Type="http://schemas.openxmlformats.org/officeDocument/2006/relationships/hyperlink" Target="http://www.doleta.gov/performance" TargetMode="External"/><Relationship Id="rId55" Type="http://schemas.openxmlformats.org/officeDocument/2006/relationships/hyperlink" Target="https://www.dol.gov/odep/history/2011.htm" TargetMode="External"/><Relationship Id="rId76" Type="http://schemas.openxmlformats.org/officeDocument/2006/relationships/hyperlink" Target="https://www.dol.gov/whd/FOH/FOH_Ch64.pdf" TargetMode="External"/><Relationship Id="rId97" Type="http://schemas.openxmlformats.org/officeDocument/2006/relationships/hyperlink" Target="https://www.reginfo.gov/public/do/eAgendaViewRule?pubId=201710&amp;RIN=3014-AA26" TargetMode="External"/><Relationship Id="rId104" Type="http://schemas.openxmlformats.org/officeDocument/2006/relationships/hyperlink" Target="https://www.gsa.gov/cdnstatic/FY2016_FRPP_Summary_of_Findings_Real_Property_Data_Set.pdf" TargetMode="External"/><Relationship Id="rId7" Type="http://schemas.openxmlformats.org/officeDocument/2006/relationships/hyperlink" Target="https://www.eeoc.gov/laws/regulations/ada_qa_final_rule.cfm" TargetMode="External"/><Relationship Id="rId71" Type="http://schemas.openxmlformats.org/officeDocument/2006/relationships/hyperlink" Target="https://www.gao.gov/products/GAO-16-750" TargetMode="External"/><Relationship Id="rId92" Type="http://schemas.openxmlformats.org/officeDocument/2006/relationships/hyperlink" Target="https://www.dol.gov/whd/data/datatables.htm" TargetMode="External"/><Relationship Id="rId2" Type="http://schemas.openxmlformats.org/officeDocument/2006/relationships/hyperlink" Target="http://mn.gov/mnddc/ada-legacy/pdf/related-quotes-by-justin-dart.pdf" TargetMode="External"/><Relationship Id="rId29" Type="http://schemas.openxmlformats.org/officeDocument/2006/relationships/hyperlink" Target="https://publicportal.eeoc.gov/portal/Login.aspx?ReturnUrl=%2fporta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67675B6-DF5E-4A39-9DE2-375514182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159</Pages>
  <Words>41225</Words>
  <Characters>234985</Characters>
  <Application>Microsoft Office Word</Application>
  <DocSecurity>0</DocSecurity>
  <Lines>1958</Lines>
  <Paragraphs>551</Paragraphs>
  <ScaleCrop>false</ScaleCrop>
  <HeadingPairs>
    <vt:vector size="2" baseType="variant">
      <vt:variant>
        <vt:lpstr>Title</vt:lpstr>
      </vt:variant>
      <vt:variant>
        <vt:i4>1</vt:i4>
      </vt:variant>
    </vt:vector>
  </HeadingPairs>
  <TitlesOfParts>
    <vt:vector size="1" baseType="lpstr">
      <vt:lpstr>National Disability Policy:                              A Progress Report</vt:lpstr>
    </vt:vector>
  </TitlesOfParts>
  <Company>American Institutes for Research</Company>
  <LinksUpToDate>false</LinksUpToDate>
  <CharactersWithSpaces>275659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A Progress Report</dc:title>
  <dc:subject>“Working together, we can ensure that every American citizen will be provided the access and opportunity to be a part of all that society offers.” – Former US Senator Bob Dole.</dc:subject>
  <dc:creator>NCD</dc:creator>
  <cp:lastModifiedBy>Crystal Clifton</cp:lastModifiedBy>
  <cp:revision>160</cp:revision>
  <cp:lastPrinted>2018-10-12T09:31:00Z</cp:lastPrinted>
  <dcterms:created xsi:type="dcterms:W3CDTF">2018-09-19T03:55:00Z</dcterms:created>
  <dcterms:modified xsi:type="dcterms:W3CDTF">2018-10-24T15:25:00Z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