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88F1" w14:textId="44DC9DFF" w:rsidR="00B10B0B" w:rsidRPr="00BD56F2" w:rsidRDefault="00B10B0B" w:rsidP="00B0551B">
      <w:pPr>
        <w:pStyle w:val="Default"/>
        <w:tabs>
          <w:tab w:val="left" w:pos="873"/>
          <w:tab w:val="left" w:pos="945"/>
        </w:tabs>
        <w:suppressAutoHyphens/>
        <w:spacing w:after="40"/>
        <w:rPr>
          <w:rFonts w:ascii="Arial Narrow" w:hAnsi="Arial Narrow"/>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lang w:val="ru-RU" w:eastAsia="ru-RU"/>
        </w:rPr>
        <w:drawing>
          <wp:anchor distT="0" distB="0" distL="114300" distR="114300" simplePos="0" relativeHeight="251664384" behindDoc="0" locked="0" layoutInCell="1" allowOverlap="1" wp14:anchorId="05FEE81F" wp14:editId="6C89AE18">
            <wp:simplePos x="0" y="0"/>
            <wp:positionH relativeFrom="column">
              <wp:posOffset>45720</wp:posOffset>
            </wp:positionH>
            <wp:positionV relativeFrom="paragraph">
              <wp:posOffset>-182457</wp:posOffset>
            </wp:positionV>
            <wp:extent cx="494030" cy="520700"/>
            <wp:effectExtent l="0" t="0" r="1270" b="0"/>
            <wp:wrapNone/>
            <wp:docPr id="21" name="Picture 21" descr="NCD Logo">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001F524D" w:rsidRPr="001F524D">
        <w:rPr>
          <w:rFonts w:ascii="Arial Narrow" w:hAnsi="Arial Narrow"/>
          <w:b/>
          <w:sz w:val="32"/>
          <w:szCs w:val="32"/>
        </w:rPr>
        <w:t>National</w:t>
      </w:r>
      <w:r w:rsidR="00A470CE">
        <w:rPr>
          <w:rFonts w:ascii="Arial Narrow" w:hAnsi="Arial Narrow"/>
          <w:b/>
          <w:sz w:val="32"/>
          <w:szCs w:val="32"/>
        </w:rPr>
        <w:t xml:space="preserve"> </w:t>
      </w:r>
      <w:r w:rsidR="001F524D" w:rsidRPr="001F524D">
        <w:rPr>
          <w:rFonts w:ascii="Arial Narrow" w:hAnsi="Arial Narrow"/>
          <w:b/>
          <w:sz w:val="32"/>
          <w:szCs w:val="32"/>
        </w:rPr>
        <w:t>Council</w:t>
      </w:r>
      <w:r w:rsidR="00A470CE">
        <w:rPr>
          <w:rFonts w:ascii="Arial Narrow" w:hAnsi="Arial Narrow"/>
          <w:b/>
          <w:sz w:val="32"/>
          <w:szCs w:val="32"/>
        </w:rPr>
        <w:t xml:space="preserve"> </w:t>
      </w:r>
      <w:r w:rsidR="001F524D" w:rsidRPr="001F524D">
        <w:rPr>
          <w:rFonts w:ascii="Arial Narrow" w:hAnsi="Arial Narrow"/>
          <w:b/>
          <w:sz w:val="32"/>
          <w:szCs w:val="32"/>
        </w:rPr>
        <w:t>on</w:t>
      </w:r>
      <w:r w:rsidR="00A470CE">
        <w:rPr>
          <w:rFonts w:ascii="Arial Narrow" w:hAnsi="Arial Narrow"/>
          <w:b/>
          <w:sz w:val="32"/>
          <w:szCs w:val="32"/>
        </w:rPr>
        <w:t xml:space="preserve"> </w:t>
      </w:r>
      <w:r w:rsidR="001F524D" w:rsidRPr="001F524D">
        <w:rPr>
          <w:rFonts w:ascii="Arial Narrow" w:hAnsi="Arial Narrow"/>
          <w:b/>
          <w:sz w:val="32"/>
          <w:szCs w:val="32"/>
        </w:rPr>
        <w:t>Disability</w:t>
      </w:r>
    </w:p>
    <w:p w14:paraId="6F987B09" w14:textId="77777777" w:rsidR="00B10B0B" w:rsidRPr="00BD56F2" w:rsidRDefault="00B10B0B" w:rsidP="00B0551B">
      <w:pPr>
        <w:pStyle w:val="Default"/>
        <w:suppressAutoHyphens/>
      </w:pPr>
      <w:r w:rsidRPr="003D4B91">
        <w:rPr>
          <w:noProof/>
          <w:lang w:val="ru-RU" w:eastAsia="ru-RU"/>
        </w:rPr>
        <mc:AlternateContent>
          <mc:Choice Requires="wps">
            <w:drawing>
              <wp:anchor distT="0" distB="0" distL="114300" distR="114300" simplePos="0" relativeHeight="251656192" behindDoc="0" locked="0" layoutInCell="1" allowOverlap="1" wp14:anchorId="04B84464" wp14:editId="6FC21D50">
                <wp:simplePos x="0" y="0"/>
                <wp:positionH relativeFrom="column">
                  <wp:posOffset>8255</wp:posOffset>
                </wp:positionH>
                <wp:positionV relativeFrom="paragraph">
                  <wp:posOffset>114141</wp:posOffset>
                </wp:positionV>
                <wp:extent cx="5829300" cy="0"/>
                <wp:effectExtent l="0" t="0" r="19050" b="19050"/>
                <wp:wrapNone/>
                <wp:docPr id="18" name="Straight Connector 18" descr="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03B5D2" id="Straight Connector 18" o:spid="_x0000_s1026" alt="Line"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" strokeweight="1.9pt"/>
            </w:pict>
          </mc:Fallback>
        </mc:AlternateContent>
      </w:r>
    </w:p>
    <w:p w14:paraId="47B50147" w14:textId="0453BD5F" w:rsidR="00B10B0B" w:rsidRPr="00BD56F2" w:rsidRDefault="00B10B0B" w:rsidP="00B0551B">
      <w:pPr>
        <w:pStyle w:val="NCDBodyText"/>
        <w:suppressAutoHyphens/>
        <w:spacing w:line="240" w:lineRule="auto"/>
        <w:rPr>
          <w:sz w:val="22"/>
          <w:szCs w:val="22"/>
        </w:rPr>
      </w:pPr>
      <w:r w:rsidRPr="003D4B91">
        <w:rPr>
          <w:sz w:val="22"/>
          <w:szCs w:val="22"/>
        </w:rPr>
        <w:t>An</w:t>
      </w:r>
      <w:r w:rsidR="00A470CE">
        <w:rPr>
          <w:sz w:val="22"/>
          <w:szCs w:val="22"/>
        </w:rPr>
        <w:t xml:space="preserve"> </w:t>
      </w:r>
      <w:r w:rsidRPr="003D4B91">
        <w:rPr>
          <w:sz w:val="22"/>
          <w:szCs w:val="22"/>
        </w:rPr>
        <w:t>independent</w:t>
      </w:r>
      <w:r w:rsidR="00A470CE">
        <w:rPr>
          <w:sz w:val="22"/>
          <w:szCs w:val="22"/>
        </w:rPr>
        <w:t xml:space="preserve"> </w:t>
      </w:r>
      <w:r w:rsidRPr="003D4B91">
        <w:rPr>
          <w:sz w:val="22"/>
          <w:szCs w:val="22"/>
        </w:rPr>
        <w:t>federal</w:t>
      </w:r>
      <w:r w:rsidR="00A470CE">
        <w:rPr>
          <w:sz w:val="22"/>
          <w:szCs w:val="22"/>
        </w:rPr>
        <w:t xml:space="preserve"> </w:t>
      </w:r>
      <w:r w:rsidRPr="003D4B91">
        <w:rPr>
          <w:sz w:val="22"/>
          <w:szCs w:val="22"/>
        </w:rPr>
        <w:t>agency</w:t>
      </w:r>
      <w:r w:rsidR="00A470CE">
        <w:rPr>
          <w:sz w:val="22"/>
          <w:szCs w:val="22"/>
        </w:rPr>
        <w:t xml:space="preserve"> </w:t>
      </w:r>
      <w:r w:rsidRPr="003D4B91">
        <w:rPr>
          <w:sz w:val="22"/>
          <w:szCs w:val="22"/>
        </w:rPr>
        <w:t>making</w:t>
      </w:r>
      <w:r w:rsidR="00A470CE">
        <w:rPr>
          <w:sz w:val="22"/>
          <w:szCs w:val="22"/>
        </w:rPr>
        <w:t xml:space="preserve"> </w:t>
      </w:r>
      <w:r w:rsidRPr="003D4B91">
        <w:rPr>
          <w:sz w:val="22"/>
          <w:szCs w:val="22"/>
        </w:rPr>
        <w:t>recommendations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President</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Congress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enhance</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quality</w:t>
      </w:r>
      <w:r w:rsidR="00A470CE">
        <w:rPr>
          <w:sz w:val="22"/>
          <w:szCs w:val="22"/>
        </w:rPr>
        <w:t xml:space="preserve"> </w:t>
      </w:r>
      <w:r w:rsidRPr="003D4B91">
        <w:rPr>
          <w:sz w:val="22"/>
          <w:szCs w:val="22"/>
        </w:rPr>
        <w:t>of</w:t>
      </w:r>
      <w:r w:rsidR="00A470CE">
        <w:rPr>
          <w:sz w:val="22"/>
          <w:szCs w:val="22"/>
        </w:rPr>
        <w:t xml:space="preserve"> </w:t>
      </w:r>
      <w:r w:rsidRPr="003D4B91">
        <w:rPr>
          <w:sz w:val="22"/>
          <w:szCs w:val="22"/>
        </w:rPr>
        <w:t>life</w:t>
      </w:r>
      <w:r w:rsidR="00A470CE">
        <w:rPr>
          <w:sz w:val="22"/>
          <w:szCs w:val="22"/>
        </w:rPr>
        <w:t xml:space="preserve"> </w:t>
      </w:r>
      <w:r w:rsidRPr="003D4B91">
        <w:rPr>
          <w:sz w:val="22"/>
          <w:szCs w:val="22"/>
        </w:rPr>
        <w:t>for</w:t>
      </w:r>
      <w:r w:rsidR="00A470CE">
        <w:rPr>
          <w:sz w:val="22"/>
          <w:szCs w:val="22"/>
        </w:rPr>
        <w:t xml:space="preserve"> </w:t>
      </w:r>
      <w:r w:rsidRPr="003D4B91">
        <w:rPr>
          <w:sz w:val="22"/>
          <w:szCs w:val="22"/>
        </w:rPr>
        <w:t>all</w:t>
      </w:r>
      <w:r w:rsidR="00A470CE">
        <w:rPr>
          <w:sz w:val="22"/>
          <w:szCs w:val="22"/>
        </w:rPr>
        <w:t xml:space="preserve"> </w:t>
      </w:r>
      <w:r w:rsidRPr="003D4B91">
        <w:rPr>
          <w:sz w:val="22"/>
          <w:szCs w:val="22"/>
        </w:rPr>
        <w:t>Americans</w:t>
      </w:r>
      <w:r w:rsidR="00A470CE">
        <w:rPr>
          <w:sz w:val="22"/>
          <w:szCs w:val="22"/>
        </w:rPr>
        <w:t xml:space="preserve"> </w:t>
      </w:r>
      <w:r w:rsidRPr="003D4B91">
        <w:rPr>
          <w:sz w:val="22"/>
          <w:szCs w:val="22"/>
        </w:rPr>
        <w:t>with</w:t>
      </w:r>
      <w:r w:rsidR="00A470CE">
        <w:rPr>
          <w:sz w:val="22"/>
          <w:szCs w:val="22"/>
        </w:rPr>
        <w:t xml:space="preserve"> </w:t>
      </w:r>
      <w:r w:rsidRPr="003D4B91">
        <w:rPr>
          <w:sz w:val="22"/>
          <w:szCs w:val="22"/>
        </w:rPr>
        <w:t>disabilities</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their</w:t>
      </w:r>
      <w:r w:rsidR="00A470CE">
        <w:rPr>
          <w:sz w:val="22"/>
          <w:szCs w:val="22"/>
        </w:rPr>
        <w:t xml:space="preserve"> </w:t>
      </w:r>
      <w:r w:rsidRPr="003D4B91">
        <w:rPr>
          <w:sz w:val="22"/>
          <w:szCs w:val="22"/>
        </w:rPr>
        <w:t>families.</w:t>
      </w:r>
    </w:p>
    <w:p w14:paraId="1C00F3D4" w14:textId="4053A00E" w:rsidR="00B10B0B" w:rsidRPr="00BD56F2" w:rsidRDefault="004002A1" w:rsidP="00B0551B">
      <w:pPr>
        <w:pStyle w:val="Heading1"/>
        <w:suppressAutoHyphens/>
        <w:rPr>
          <w:b w:val="0"/>
        </w:rPr>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83913578"/>
      <w:bookmarkStart w:id="39" w:name="_Toc83915344"/>
      <w:bookmarkStart w:id="40" w:name="_Toc84253304"/>
      <w:bookmarkStart w:id="41" w:name="_Toc116378051"/>
      <w:bookmarkStart w:id="42" w:name="_Toc117325066"/>
      <w:bookmarkStart w:id="43" w:name="_Toc129609222"/>
      <w:bookmarkStart w:id="44" w:name="_Toc146639869"/>
      <w:bookmarkStart w:id="45" w:name="_Toc147836841"/>
      <w:bookmarkStart w:id="46" w:name="_Toc161484906"/>
      <w:bookmarkStart w:id="47" w:name="_Toc161656261"/>
      <w:bookmarkStart w:id="48" w:name="_Toc162442130"/>
      <w:bookmarkStart w:id="49" w:name="_Toc162442362"/>
      <w:bookmarkStart w:id="50" w:name="_Toc163823669"/>
      <w:bookmarkStart w:id="51" w:name="_Toc164155581"/>
      <w:bookmarkStart w:id="52" w:name="_Toc169355717"/>
      <w:bookmarkStart w:id="53" w:name="_Toc171513292"/>
      <w:bookmarkStart w:id="54" w:name="_Toc172108430"/>
      <w:bookmarkStart w:id="55" w:name="_Toc172108980"/>
      <w:bookmarkStart w:id="56" w:name="_Toc178855283"/>
      <w:r w:rsidRPr="004002A1">
        <w:t>Letter of 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4F22165" w14:textId="77777777" w:rsidR="00567379" w:rsidRPr="000A7960" w:rsidRDefault="00567379" w:rsidP="00567379">
      <w:pPr>
        <w:spacing w:after="0"/>
      </w:pPr>
      <w:r w:rsidRPr="000A7960">
        <w:t>October 31, 2024</w:t>
      </w:r>
    </w:p>
    <w:p w14:paraId="37F808AB" w14:textId="77777777" w:rsidR="00567379" w:rsidRPr="000A7960" w:rsidRDefault="00567379" w:rsidP="00567379">
      <w:pPr>
        <w:spacing w:after="0"/>
        <w:rPr>
          <w:rFonts w:cs="Arial"/>
          <w:sz w:val="23"/>
          <w:szCs w:val="23"/>
        </w:rPr>
      </w:pPr>
    </w:p>
    <w:p w14:paraId="41191D2F" w14:textId="77777777" w:rsidR="00567379" w:rsidRPr="00567379" w:rsidRDefault="00567379" w:rsidP="00567379">
      <w:pPr>
        <w:pStyle w:val="NCDBodyText"/>
        <w:spacing w:after="0" w:line="240" w:lineRule="auto"/>
      </w:pPr>
      <w:r w:rsidRPr="00567379">
        <w:t>President Joseph R. Biden Jr.</w:t>
      </w:r>
    </w:p>
    <w:p w14:paraId="2FE6A003" w14:textId="77777777" w:rsidR="00567379" w:rsidRPr="00567379" w:rsidRDefault="00567379" w:rsidP="00567379">
      <w:pPr>
        <w:pStyle w:val="NCDBodyText"/>
        <w:spacing w:after="0" w:line="240" w:lineRule="auto"/>
      </w:pPr>
      <w:r w:rsidRPr="00567379">
        <w:t>The White House</w:t>
      </w:r>
    </w:p>
    <w:p w14:paraId="25117B80" w14:textId="77777777" w:rsidR="00567379" w:rsidRPr="00567379" w:rsidRDefault="00567379" w:rsidP="00567379">
      <w:pPr>
        <w:pStyle w:val="NCDBodyText"/>
        <w:spacing w:after="0" w:line="240" w:lineRule="auto"/>
      </w:pPr>
      <w:r w:rsidRPr="00567379">
        <w:t>1600 Pennsylvania Avenue, NW</w:t>
      </w:r>
    </w:p>
    <w:p w14:paraId="41714DF4" w14:textId="43E78CCD" w:rsidR="00567379" w:rsidRPr="00567379" w:rsidRDefault="00567379" w:rsidP="00567379">
      <w:pPr>
        <w:pStyle w:val="NCDBodyText"/>
        <w:spacing w:after="0" w:line="240" w:lineRule="auto"/>
      </w:pPr>
      <w:r w:rsidRPr="00567379">
        <w:t>Washington, DC 20500</w:t>
      </w:r>
    </w:p>
    <w:p w14:paraId="32C86E92" w14:textId="77777777" w:rsidR="00567379" w:rsidRPr="00470B97" w:rsidRDefault="00567379" w:rsidP="00567379">
      <w:pPr>
        <w:spacing w:after="0"/>
        <w:rPr>
          <w:rFonts w:cs="Arial"/>
          <w:sz w:val="22"/>
        </w:rPr>
      </w:pPr>
    </w:p>
    <w:p w14:paraId="4E46A437" w14:textId="77777777" w:rsidR="00567379" w:rsidRPr="000A7960" w:rsidRDefault="00567379" w:rsidP="00470B97">
      <w:pPr>
        <w:spacing w:after="0" w:line="270" w:lineRule="exact"/>
      </w:pPr>
      <w:r w:rsidRPr="000A7960">
        <w:t>Dear Mr. President:</w:t>
      </w:r>
    </w:p>
    <w:p w14:paraId="0716AF45" w14:textId="77777777" w:rsidR="00567379" w:rsidRPr="00470B97" w:rsidRDefault="00567379" w:rsidP="00470B97">
      <w:pPr>
        <w:spacing w:after="0" w:line="270" w:lineRule="exact"/>
        <w:rPr>
          <w:rFonts w:cs="Arial"/>
          <w:sz w:val="22"/>
        </w:rPr>
      </w:pPr>
    </w:p>
    <w:p w14:paraId="0C4EA304" w14:textId="77777777" w:rsidR="00567379" w:rsidRPr="000A7960" w:rsidRDefault="00567379" w:rsidP="00470B97">
      <w:pPr>
        <w:spacing w:after="0" w:line="270" w:lineRule="exact"/>
      </w:pPr>
      <w:r w:rsidRPr="000A7960">
        <w:t>The National Council on Disability</w:t>
      </w:r>
      <w:r>
        <w:t xml:space="preserve"> (NCD)</w:t>
      </w:r>
      <w:r w:rsidRPr="000A7960">
        <w:t xml:space="preserve"> is pleased to submit the enclosed 2024 Progress Report, which provides a statutorily required status update on the nation’s advancements and successes in disability policies as well </w:t>
      </w:r>
      <w:r>
        <w:t xml:space="preserve">as </w:t>
      </w:r>
      <w:r w:rsidRPr="000A7960">
        <w:t>recommendations concerning the challenges that remain and require attention. NCD is required to provide this annual report to assess the status of progress in achieving disability policies, identify any new and emerging issues, and provide recommendations. In this report, NCD outlines points of progress in several policy areas, while also making recommendations pertaining to the still outstanding challenges that remain.</w:t>
      </w:r>
    </w:p>
    <w:p w14:paraId="4D35F65A" w14:textId="77777777" w:rsidR="00470B97" w:rsidRPr="00470B97" w:rsidRDefault="00470B97" w:rsidP="00470B97">
      <w:pPr>
        <w:spacing w:after="0" w:line="270" w:lineRule="exact"/>
        <w:rPr>
          <w:rFonts w:cs="Arial"/>
          <w:sz w:val="22"/>
        </w:rPr>
      </w:pPr>
    </w:p>
    <w:p w14:paraId="3FD085BA" w14:textId="2774F70A" w:rsidR="00567379" w:rsidRPr="00567379" w:rsidRDefault="00567379" w:rsidP="00470B97">
      <w:pPr>
        <w:spacing w:after="0" w:line="270" w:lineRule="exact"/>
        <w:rPr>
          <w:rFonts w:cs="Arial"/>
          <w:szCs w:val="24"/>
        </w:rPr>
      </w:pPr>
      <w:r w:rsidRPr="00567379">
        <w:rPr>
          <w:rFonts w:cs="Arial"/>
          <w:szCs w:val="24"/>
        </w:rPr>
        <w:t>As explained in this report, several significant policy developments occurred since our last progress report, with focused attention now shifting to their successful implementation to make the policies meaningful and impactful to the daily lives of people with disabilities.</w:t>
      </w:r>
    </w:p>
    <w:p w14:paraId="5B1CACD4" w14:textId="77777777" w:rsidR="00470B97" w:rsidRPr="00470B97" w:rsidRDefault="00470B97" w:rsidP="00470B97">
      <w:pPr>
        <w:spacing w:after="0" w:line="270" w:lineRule="exact"/>
        <w:rPr>
          <w:rFonts w:cs="Arial"/>
          <w:sz w:val="22"/>
        </w:rPr>
      </w:pPr>
    </w:p>
    <w:p w14:paraId="3DA71008" w14:textId="2A38AB9F" w:rsidR="00567379" w:rsidRPr="00567379" w:rsidRDefault="00567379" w:rsidP="00470B97">
      <w:pPr>
        <w:spacing w:after="0" w:line="270" w:lineRule="exact"/>
        <w:rPr>
          <w:rFonts w:cs="Arial"/>
          <w:szCs w:val="24"/>
        </w:rPr>
      </w:pPr>
      <w:r w:rsidRPr="00567379">
        <w:rPr>
          <w:rFonts w:cs="Arial"/>
          <w:szCs w:val="24"/>
        </w:rPr>
        <w:t>This report highlights, in particular, issues pertaining to the health of people with disabilities as well as issues related to employment, travel, accessible technology, housing, and the US census. The report also discusses the needs of people with disabilities within tribal lands. NCD has identified these areas of focus as being particularly useful barometers this year of both the advancements and still outstanding needs of people with disabilities from a policy perspective.</w:t>
      </w:r>
    </w:p>
    <w:p w14:paraId="26C58226" w14:textId="77777777" w:rsidR="00470B97" w:rsidRPr="00470B97" w:rsidRDefault="00470B97" w:rsidP="00470B97">
      <w:pPr>
        <w:spacing w:after="0" w:line="270" w:lineRule="exact"/>
        <w:rPr>
          <w:rFonts w:cs="Arial"/>
          <w:sz w:val="22"/>
        </w:rPr>
      </w:pPr>
    </w:p>
    <w:p w14:paraId="4D1EC61E" w14:textId="761F3873" w:rsidR="00567379" w:rsidRPr="00567379" w:rsidRDefault="00567379" w:rsidP="00470B97">
      <w:pPr>
        <w:spacing w:after="0" w:line="270" w:lineRule="exact"/>
        <w:rPr>
          <w:rFonts w:cs="Arial"/>
          <w:szCs w:val="24"/>
        </w:rPr>
      </w:pPr>
      <w:r w:rsidRPr="00567379">
        <w:rPr>
          <w:rFonts w:cs="Arial"/>
          <w:szCs w:val="24"/>
        </w:rPr>
        <w:t>NCD looks forward to assisting this Administration and Congress in their efforts on behalf of people with disabilities to advance policy that promotes the goals of the Americans with Disabilities Act—equality of opportunity, economic self-sufficiency, independent living, and full participation of people with disabilities in all aspects of society—regardless of type or severity of disability.</w:t>
      </w:r>
    </w:p>
    <w:p w14:paraId="30A3441E" w14:textId="77777777" w:rsidR="00567379" w:rsidRPr="00470B97" w:rsidRDefault="00567379" w:rsidP="00567379">
      <w:pPr>
        <w:spacing w:after="0"/>
        <w:rPr>
          <w:rFonts w:cs="Arial"/>
          <w:sz w:val="22"/>
        </w:rPr>
      </w:pPr>
    </w:p>
    <w:p w14:paraId="3EFD5361" w14:textId="77777777" w:rsidR="00567379" w:rsidRPr="00567379" w:rsidRDefault="00567379" w:rsidP="00470B97">
      <w:pPr>
        <w:spacing w:after="0" w:line="220" w:lineRule="exact"/>
        <w:rPr>
          <w:rFonts w:cs="Arial"/>
          <w:szCs w:val="24"/>
        </w:rPr>
      </w:pPr>
      <w:r w:rsidRPr="00567379">
        <w:rPr>
          <w:rFonts w:cs="Arial"/>
          <w:szCs w:val="24"/>
        </w:rPr>
        <w:t>Respectfully,</w:t>
      </w:r>
    </w:p>
    <w:p w14:paraId="64A362A6" w14:textId="6B0C5617" w:rsidR="00470B97" w:rsidRDefault="00470B97" w:rsidP="00470B97">
      <w:pPr>
        <w:spacing w:after="0"/>
        <w:rPr>
          <w:rFonts w:cs="Arial"/>
          <w:szCs w:val="24"/>
        </w:rPr>
      </w:pPr>
      <w:r>
        <w:rPr>
          <w:noProof/>
          <w:lang w:val="en-IN" w:eastAsia="en-IN"/>
        </w:rPr>
        <w:drawing>
          <wp:inline distT="0" distB="0" distL="0" distR="0" wp14:anchorId="534F9DC0" wp14:editId="3063B015">
            <wp:extent cx="1378361" cy="367030"/>
            <wp:effectExtent l="0" t="0" r="0" b="0"/>
            <wp:docPr id="897686370"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6370" name="Picture 1" descr="Signature"/>
                    <pic:cNvPicPr/>
                  </pic:nvPicPr>
                  <pic:blipFill rotWithShape="1">
                    <a:blip r:embed="rId13">
                      <a:extLst>
                        <a:ext uri="{28A0092B-C50C-407E-A947-70E740481C1C}">
                          <a14:useLocalDpi xmlns:a14="http://schemas.microsoft.com/office/drawing/2010/main" val="0"/>
                        </a:ext>
                      </a:extLst>
                    </a:blip>
                    <a:srcRect l="6114"/>
                    <a:stretch/>
                  </pic:blipFill>
                  <pic:spPr bwMode="auto">
                    <a:xfrm>
                      <a:off x="0" y="0"/>
                      <a:ext cx="1378361" cy="367030"/>
                    </a:xfrm>
                    <a:prstGeom prst="rect">
                      <a:avLst/>
                    </a:prstGeom>
                    <a:ln>
                      <a:noFill/>
                    </a:ln>
                    <a:extLst>
                      <a:ext uri="{53640926-AAD7-44D8-BBD7-CCE9431645EC}">
                        <a14:shadowObscured xmlns:a14="http://schemas.microsoft.com/office/drawing/2010/main"/>
                      </a:ext>
                    </a:extLst>
                  </pic:spPr>
                </pic:pic>
              </a:graphicData>
            </a:graphic>
          </wp:inline>
        </w:drawing>
      </w:r>
    </w:p>
    <w:p w14:paraId="57E71665" w14:textId="4738AF21" w:rsidR="00567379" w:rsidRPr="00567379" w:rsidRDefault="00567379" w:rsidP="00470B97">
      <w:pPr>
        <w:spacing w:after="0" w:line="220" w:lineRule="exact"/>
        <w:rPr>
          <w:rFonts w:cs="Arial"/>
          <w:szCs w:val="24"/>
        </w:rPr>
      </w:pPr>
      <w:r w:rsidRPr="00567379">
        <w:rPr>
          <w:rFonts w:cs="Arial"/>
          <w:szCs w:val="24"/>
        </w:rPr>
        <w:t>Claudia L. Gordon</w:t>
      </w:r>
    </w:p>
    <w:p w14:paraId="0278F6DD" w14:textId="154D7751" w:rsidR="00567379" w:rsidRPr="00567379" w:rsidRDefault="00567379" w:rsidP="00470B97">
      <w:pPr>
        <w:spacing w:after="0" w:line="220" w:lineRule="exact"/>
        <w:rPr>
          <w:rFonts w:cs="Arial"/>
          <w:szCs w:val="24"/>
          <w:highlight w:val="yellow"/>
        </w:rPr>
      </w:pPr>
      <w:r w:rsidRPr="00567379">
        <w:rPr>
          <w:rFonts w:cs="Arial"/>
          <w:szCs w:val="24"/>
        </w:rPr>
        <w:t>Chair</w:t>
      </w:r>
    </w:p>
    <w:p w14:paraId="75A32618" w14:textId="35D111D9" w:rsidR="00567379" w:rsidRPr="00567379" w:rsidRDefault="00567379" w:rsidP="00C94289">
      <w:pPr>
        <w:pStyle w:val="NCDNationalCouncilStaff"/>
        <w:spacing w:after="200" w:line="360" w:lineRule="auto"/>
      </w:pPr>
      <w:bookmarkStart w:id="57" w:name="_Toc116378052"/>
      <w:bookmarkStart w:id="58" w:name="_Toc117325067"/>
      <w:bookmarkStart w:id="59" w:name="_Toc129609223"/>
      <w:bookmarkStart w:id="60" w:name="_Toc146639870"/>
      <w:bookmarkStart w:id="61" w:name="_Toc147836842"/>
      <w:bookmarkStart w:id="62" w:name="_Toc178855284"/>
      <w:r w:rsidRPr="00567379">
        <w:lastRenderedPageBreak/>
        <w:t>National Council on Disability Members and Staff</w:t>
      </w:r>
      <w:bookmarkEnd w:id="57"/>
      <w:bookmarkEnd w:id="58"/>
      <w:bookmarkEnd w:id="59"/>
      <w:bookmarkEnd w:id="60"/>
      <w:bookmarkEnd w:id="61"/>
      <w:bookmarkEnd w:id="62"/>
    </w:p>
    <w:p w14:paraId="0D39BF17" w14:textId="77777777" w:rsidR="00567379" w:rsidRPr="00567379" w:rsidRDefault="00567379" w:rsidP="00567379">
      <w:pPr>
        <w:jc w:val="center"/>
        <w:rPr>
          <w:b/>
          <w:lang w:bidi="en-US"/>
        </w:rPr>
      </w:pPr>
      <w:r w:rsidRPr="00567379">
        <w:rPr>
          <w:b/>
          <w:lang w:bidi="en-US"/>
        </w:rPr>
        <w:t>Members</w:t>
      </w:r>
    </w:p>
    <w:p w14:paraId="7B64908C" w14:textId="77777777" w:rsidR="00567379" w:rsidRPr="00567379" w:rsidRDefault="00567379" w:rsidP="00567379">
      <w:pPr>
        <w:spacing w:after="0"/>
        <w:jc w:val="center"/>
        <w:rPr>
          <w:rFonts w:eastAsia="Calibri" w:cs="Arial"/>
          <w:szCs w:val="24"/>
        </w:rPr>
      </w:pPr>
      <w:r w:rsidRPr="00567379">
        <w:rPr>
          <w:rFonts w:eastAsia="Calibri" w:cs="Arial"/>
          <w:szCs w:val="24"/>
        </w:rPr>
        <w:t xml:space="preserve">Claudia L. Gordon, </w:t>
      </w:r>
      <w:r w:rsidRPr="00567379">
        <w:rPr>
          <w:rFonts w:eastAsia="Calibri" w:cs="Arial"/>
          <w:i/>
          <w:iCs/>
          <w:szCs w:val="24"/>
        </w:rPr>
        <w:t>Chair</w:t>
      </w:r>
    </w:p>
    <w:p w14:paraId="5C0A37BB" w14:textId="77777777" w:rsidR="00567379" w:rsidRPr="00567379" w:rsidRDefault="00567379" w:rsidP="00567379">
      <w:pPr>
        <w:spacing w:after="0"/>
        <w:jc w:val="center"/>
        <w:rPr>
          <w:rFonts w:eastAsia="Calibri" w:cs="Arial"/>
          <w:i/>
          <w:iCs/>
          <w:szCs w:val="24"/>
        </w:rPr>
      </w:pPr>
      <w:r w:rsidRPr="00567379">
        <w:rPr>
          <w:rFonts w:eastAsia="Calibri" w:cs="Arial"/>
          <w:szCs w:val="24"/>
        </w:rPr>
        <w:t xml:space="preserve">Emily </w:t>
      </w:r>
      <w:proofErr w:type="spellStart"/>
      <w:r w:rsidRPr="00567379">
        <w:rPr>
          <w:rFonts w:eastAsia="Calibri" w:cs="Arial"/>
          <w:szCs w:val="24"/>
        </w:rPr>
        <w:t>Voorde</w:t>
      </w:r>
      <w:proofErr w:type="spellEnd"/>
      <w:r w:rsidRPr="00567379">
        <w:rPr>
          <w:rFonts w:eastAsia="Calibri" w:cs="Arial"/>
          <w:szCs w:val="24"/>
        </w:rPr>
        <w:t xml:space="preserve">, </w:t>
      </w:r>
      <w:r w:rsidRPr="00567379">
        <w:rPr>
          <w:rFonts w:eastAsia="Calibri" w:cs="Arial"/>
          <w:i/>
          <w:iCs/>
          <w:szCs w:val="24"/>
        </w:rPr>
        <w:t>Vice Chair</w:t>
      </w:r>
    </w:p>
    <w:p w14:paraId="0F08D7EE" w14:textId="77777777" w:rsidR="00567379" w:rsidRPr="00567379" w:rsidRDefault="00567379" w:rsidP="00567379">
      <w:pPr>
        <w:spacing w:after="0"/>
        <w:jc w:val="center"/>
        <w:rPr>
          <w:rFonts w:eastAsia="Calibri" w:cs="Arial"/>
          <w:szCs w:val="24"/>
        </w:rPr>
      </w:pPr>
      <w:r w:rsidRPr="00567379">
        <w:rPr>
          <w:rFonts w:eastAsia="Calibri" w:cs="Arial"/>
          <w:szCs w:val="24"/>
        </w:rPr>
        <w:t>Hoskie Benally Jr.</w:t>
      </w:r>
    </w:p>
    <w:p w14:paraId="61507484" w14:textId="77777777" w:rsidR="00567379" w:rsidRPr="00567379" w:rsidRDefault="00567379" w:rsidP="00567379">
      <w:pPr>
        <w:spacing w:after="0"/>
        <w:jc w:val="center"/>
        <w:rPr>
          <w:rFonts w:eastAsia="Calibri" w:cs="Arial"/>
          <w:szCs w:val="24"/>
        </w:rPr>
      </w:pPr>
      <w:r w:rsidRPr="00567379">
        <w:rPr>
          <w:rFonts w:eastAsia="Calibri" w:cs="Arial"/>
          <w:szCs w:val="24"/>
        </w:rPr>
        <w:t>Sascha Bittner</w:t>
      </w:r>
    </w:p>
    <w:p w14:paraId="6692C87D" w14:textId="77777777" w:rsidR="00567379" w:rsidRPr="00567379" w:rsidRDefault="00567379" w:rsidP="00567379">
      <w:pPr>
        <w:spacing w:after="0"/>
        <w:jc w:val="center"/>
        <w:rPr>
          <w:rFonts w:eastAsia="Calibri" w:cs="Arial"/>
          <w:szCs w:val="24"/>
        </w:rPr>
      </w:pPr>
      <w:r w:rsidRPr="00567379">
        <w:rPr>
          <w:rFonts w:eastAsia="Calibri" w:cs="Arial"/>
          <w:szCs w:val="24"/>
        </w:rPr>
        <w:t>Theo W. Braddy</w:t>
      </w:r>
    </w:p>
    <w:p w14:paraId="282249C4" w14:textId="2B284CDC" w:rsidR="00567379" w:rsidRPr="00567379" w:rsidRDefault="00567379" w:rsidP="00567379">
      <w:pPr>
        <w:spacing w:after="0"/>
        <w:jc w:val="center"/>
        <w:rPr>
          <w:rFonts w:eastAsia="Calibri" w:cs="Arial"/>
          <w:szCs w:val="24"/>
        </w:rPr>
      </w:pPr>
      <w:r w:rsidRPr="00567379">
        <w:rPr>
          <w:rFonts w:eastAsia="Calibri" w:cs="Arial"/>
          <w:szCs w:val="24"/>
        </w:rPr>
        <w:t>Shawn Kennemer</w:t>
      </w:r>
      <w:r w:rsidR="000548CD" w:rsidRPr="000548CD">
        <w:rPr>
          <w:rFonts w:eastAsia="Calibri" w:cs="Arial"/>
          <w:szCs w:val="24"/>
        </w:rPr>
        <w:t xml:space="preserve"> (abstained)</w:t>
      </w:r>
    </w:p>
    <w:p w14:paraId="46749C53" w14:textId="77777777" w:rsidR="00567379" w:rsidRPr="00567379" w:rsidRDefault="00567379" w:rsidP="00567379">
      <w:pPr>
        <w:spacing w:after="0"/>
        <w:jc w:val="center"/>
        <w:rPr>
          <w:rFonts w:eastAsia="Calibri" w:cs="Arial"/>
          <w:szCs w:val="24"/>
        </w:rPr>
      </w:pPr>
      <w:r w:rsidRPr="00567379">
        <w:rPr>
          <w:rFonts w:eastAsia="Calibri" w:cs="Arial"/>
          <w:szCs w:val="24"/>
        </w:rPr>
        <w:t>Risa Jaz Rifkind</w:t>
      </w:r>
    </w:p>
    <w:p w14:paraId="029DF7DE" w14:textId="77777777" w:rsidR="00567379" w:rsidRPr="00567379" w:rsidRDefault="00567379" w:rsidP="00567379">
      <w:pPr>
        <w:spacing w:after="0"/>
        <w:jc w:val="center"/>
        <w:rPr>
          <w:rFonts w:eastAsia="Calibri" w:cs="Arial"/>
          <w:szCs w:val="24"/>
        </w:rPr>
      </w:pPr>
      <w:r w:rsidRPr="00567379">
        <w:rPr>
          <w:rFonts w:eastAsia="Calibri" w:cs="Arial"/>
          <w:szCs w:val="24"/>
        </w:rPr>
        <w:t>Neil Romano</w:t>
      </w:r>
    </w:p>
    <w:p w14:paraId="013ABFB7" w14:textId="77777777" w:rsidR="00567379" w:rsidRPr="00567379" w:rsidRDefault="00567379" w:rsidP="00567379">
      <w:pPr>
        <w:suppressAutoHyphens/>
        <w:autoSpaceDE w:val="0"/>
        <w:autoSpaceDN w:val="0"/>
        <w:adjustRightInd w:val="0"/>
        <w:spacing w:after="0"/>
        <w:jc w:val="center"/>
        <w:rPr>
          <w:rFonts w:eastAsia="Calibri" w:cs="Arial"/>
          <w:szCs w:val="24"/>
        </w:rPr>
      </w:pPr>
    </w:p>
    <w:p w14:paraId="463F65A1" w14:textId="77777777" w:rsidR="00567379" w:rsidRPr="00567379" w:rsidRDefault="00567379" w:rsidP="00567379">
      <w:pPr>
        <w:suppressAutoHyphens/>
        <w:spacing w:after="0"/>
        <w:jc w:val="center"/>
        <w:rPr>
          <w:rFonts w:eastAsia="Calibri" w:cs="Arial"/>
          <w:szCs w:val="24"/>
        </w:rPr>
      </w:pPr>
    </w:p>
    <w:p w14:paraId="092A9C1F" w14:textId="77777777" w:rsidR="00567379" w:rsidRPr="00567379" w:rsidRDefault="00567379" w:rsidP="00567379">
      <w:pPr>
        <w:widowControl w:val="0"/>
        <w:suppressAutoHyphens/>
        <w:jc w:val="center"/>
        <w:rPr>
          <w:rFonts w:eastAsia="Arial" w:cs="Arial"/>
          <w:szCs w:val="24"/>
          <w:lang w:bidi="en-US"/>
        </w:rPr>
      </w:pPr>
      <w:r w:rsidRPr="00567379">
        <w:rPr>
          <w:rFonts w:eastAsia="Arial" w:cs="Arial"/>
          <w:b/>
          <w:szCs w:val="24"/>
          <w:lang w:bidi="en-US"/>
        </w:rPr>
        <w:t>Staff</w:t>
      </w:r>
    </w:p>
    <w:p w14:paraId="42B40171" w14:textId="77777777" w:rsidR="00567379" w:rsidRPr="00567379" w:rsidRDefault="00567379" w:rsidP="00567379">
      <w:pPr>
        <w:spacing w:after="0"/>
        <w:jc w:val="center"/>
        <w:rPr>
          <w:rFonts w:eastAsia="Calibri" w:cs="Arial"/>
          <w:szCs w:val="24"/>
        </w:rPr>
      </w:pPr>
      <w:r w:rsidRPr="00567379">
        <w:rPr>
          <w:rFonts w:eastAsia="Calibri" w:cs="Arial"/>
          <w:szCs w:val="24"/>
        </w:rPr>
        <w:t>Anne C. Sommers McIntosh, Executive Director</w:t>
      </w:r>
    </w:p>
    <w:p w14:paraId="0EA81E07" w14:textId="77777777" w:rsidR="00567379" w:rsidRPr="00567379" w:rsidRDefault="00567379" w:rsidP="00567379">
      <w:pPr>
        <w:spacing w:after="0"/>
        <w:jc w:val="center"/>
        <w:rPr>
          <w:rFonts w:eastAsia="Calibri" w:cs="Arial"/>
          <w:szCs w:val="24"/>
        </w:rPr>
      </w:pPr>
      <w:r w:rsidRPr="00567379">
        <w:rPr>
          <w:rFonts w:eastAsia="Calibri" w:cs="Arial"/>
          <w:szCs w:val="24"/>
        </w:rPr>
        <w:t>Joan M. Durocher, General Counsel &amp; Director of Policy</w:t>
      </w:r>
    </w:p>
    <w:p w14:paraId="62949B14" w14:textId="77777777" w:rsidR="00567379" w:rsidRPr="00567379" w:rsidRDefault="00567379" w:rsidP="00567379">
      <w:pPr>
        <w:spacing w:after="0"/>
        <w:jc w:val="center"/>
        <w:rPr>
          <w:rFonts w:eastAsia="Calibri" w:cs="Arial"/>
          <w:szCs w:val="24"/>
        </w:rPr>
      </w:pPr>
      <w:r w:rsidRPr="00567379">
        <w:rPr>
          <w:rFonts w:eastAsia="Calibri" w:cs="Arial"/>
          <w:szCs w:val="24"/>
        </w:rPr>
        <w:t>Lisa Grubb, Director of Administration, Finance, and Operations</w:t>
      </w:r>
    </w:p>
    <w:p w14:paraId="7A0E325E" w14:textId="77777777" w:rsidR="00567379" w:rsidRPr="00567379" w:rsidRDefault="00567379" w:rsidP="00567379">
      <w:pPr>
        <w:spacing w:after="0"/>
        <w:jc w:val="center"/>
        <w:rPr>
          <w:rFonts w:eastAsia="Calibri" w:cs="Arial"/>
          <w:szCs w:val="24"/>
        </w:rPr>
      </w:pPr>
      <w:r w:rsidRPr="00567379">
        <w:rPr>
          <w:rFonts w:eastAsia="Calibri" w:cs="Arial"/>
          <w:szCs w:val="24"/>
        </w:rPr>
        <w:t>Stacey S. Brown, Staff Assistant</w:t>
      </w:r>
    </w:p>
    <w:p w14:paraId="0DAF33C4" w14:textId="77777777" w:rsidR="00567379" w:rsidRPr="00567379" w:rsidRDefault="00567379" w:rsidP="00567379">
      <w:pPr>
        <w:spacing w:after="0"/>
        <w:jc w:val="center"/>
        <w:rPr>
          <w:rFonts w:eastAsia="Calibri" w:cs="Arial"/>
          <w:szCs w:val="24"/>
        </w:rPr>
      </w:pPr>
      <w:r w:rsidRPr="00567379">
        <w:rPr>
          <w:rFonts w:eastAsia="Calibri" w:cs="Arial"/>
          <w:szCs w:val="24"/>
        </w:rPr>
        <w:t xml:space="preserve">Kimie </w:t>
      </w:r>
      <w:proofErr w:type="spellStart"/>
      <w:r w:rsidRPr="00567379">
        <w:rPr>
          <w:rFonts w:eastAsia="Calibri" w:cs="Arial"/>
          <w:szCs w:val="24"/>
        </w:rPr>
        <w:t>Eacobacci</w:t>
      </w:r>
      <w:proofErr w:type="spellEnd"/>
      <w:r w:rsidRPr="00567379">
        <w:rPr>
          <w:rFonts w:eastAsia="Calibri" w:cs="Arial"/>
          <w:szCs w:val="24"/>
        </w:rPr>
        <w:t>, Legislative Affairs Specialist</w:t>
      </w:r>
    </w:p>
    <w:p w14:paraId="1561A42C" w14:textId="77777777" w:rsidR="00567379" w:rsidRPr="00567379" w:rsidRDefault="00567379" w:rsidP="00567379">
      <w:pPr>
        <w:spacing w:after="0"/>
        <w:jc w:val="center"/>
        <w:rPr>
          <w:rFonts w:eastAsia="Calibri" w:cs="Arial"/>
          <w:szCs w:val="24"/>
        </w:rPr>
      </w:pPr>
      <w:proofErr w:type="spellStart"/>
      <w:r w:rsidRPr="00567379">
        <w:rPr>
          <w:rFonts w:eastAsia="Calibri" w:cs="Arial"/>
          <w:szCs w:val="24"/>
        </w:rPr>
        <w:t>Netterie</w:t>
      </w:r>
      <w:proofErr w:type="spellEnd"/>
      <w:r w:rsidRPr="00567379">
        <w:rPr>
          <w:rFonts w:eastAsia="Calibri" w:cs="Arial"/>
          <w:szCs w:val="24"/>
        </w:rPr>
        <w:t xml:space="preserve"> Lewis, Administrative Support Specialist</w:t>
      </w:r>
    </w:p>
    <w:p w14:paraId="5DE3E7C7" w14:textId="77777777" w:rsidR="00567379" w:rsidRPr="00567379" w:rsidRDefault="00567379" w:rsidP="00567379">
      <w:pPr>
        <w:spacing w:after="0"/>
        <w:jc w:val="center"/>
        <w:rPr>
          <w:rFonts w:eastAsia="Calibri" w:cs="Arial"/>
          <w:szCs w:val="24"/>
        </w:rPr>
      </w:pPr>
      <w:r w:rsidRPr="00567379">
        <w:rPr>
          <w:rFonts w:eastAsia="Calibri" w:cs="Arial"/>
          <w:szCs w:val="24"/>
        </w:rPr>
        <w:t>Amy Nicholas, Senior Attorney Advisor</w:t>
      </w:r>
    </w:p>
    <w:p w14:paraId="0B3F9530" w14:textId="77777777" w:rsidR="00567379" w:rsidRPr="00567379" w:rsidRDefault="00567379" w:rsidP="00567379">
      <w:pPr>
        <w:spacing w:after="0"/>
        <w:jc w:val="center"/>
        <w:rPr>
          <w:rFonts w:eastAsia="Calibri" w:cs="Arial"/>
          <w:szCs w:val="24"/>
        </w:rPr>
      </w:pPr>
      <w:r w:rsidRPr="00567379">
        <w:rPr>
          <w:rFonts w:eastAsia="Calibri" w:cs="Arial"/>
          <w:szCs w:val="24"/>
        </w:rPr>
        <w:t>Nick Sabula, Public Affairs Specialist</w:t>
      </w:r>
    </w:p>
    <w:p w14:paraId="214B0863" w14:textId="77777777" w:rsidR="00567379" w:rsidRPr="00567379" w:rsidRDefault="00567379" w:rsidP="00567379">
      <w:pPr>
        <w:spacing w:after="0"/>
        <w:jc w:val="center"/>
        <w:rPr>
          <w:rFonts w:eastAsia="Calibri" w:cs="Arial"/>
          <w:szCs w:val="24"/>
        </w:rPr>
      </w:pPr>
      <w:proofErr w:type="spellStart"/>
      <w:r w:rsidRPr="00567379">
        <w:rPr>
          <w:rFonts w:eastAsia="Calibri" w:cs="Arial"/>
          <w:szCs w:val="24"/>
        </w:rPr>
        <w:t>Amged</w:t>
      </w:r>
      <w:proofErr w:type="spellEnd"/>
      <w:r w:rsidRPr="00567379">
        <w:rPr>
          <w:rFonts w:eastAsia="Calibri" w:cs="Arial"/>
          <w:szCs w:val="24"/>
        </w:rPr>
        <w:t xml:space="preserve"> M. Soliman, Senior Attorney Advisor</w:t>
      </w:r>
    </w:p>
    <w:p w14:paraId="568D8F69" w14:textId="77777777" w:rsidR="00567379" w:rsidRPr="00567379" w:rsidRDefault="00567379" w:rsidP="00567379">
      <w:pPr>
        <w:spacing w:after="0"/>
        <w:jc w:val="center"/>
        <w:rPr>
          <w:rFonts w:eastAsia="Calibri" w:cs="Arial"/>
          <w:szCs w:val="24"/>
        </w:rPr>
      </w:pPr>
      <w:r w:rsidRPr="00567379">
        <w:rPr>
          <w:rFonts w:eastAsia="Calibri" w:cs="Arial"/>
          <w:szCs w:val="24"/>
        </w:rPr>
        <w:t>Ana Torres-Davis, Senior Attorney Advisor</w:t>
      </w:r>
    </w:p>
    <w:p w14:paraId="0FC399FF" w14:textId="77777777" w:rsidR="00567379" w:rsidRPr="00567379" w:rsidRDefault="00567379" w:rsidP="00567379">
      <w:pPr>
        <w:spacing w:after="0"/>
        <w:jc w:val="center"/>
        <w:rPr>
          <w:rFonts w:eastAsia="Calibri" w:cs="Arial"/>
          <w:szCs w:val="24"/>
        </w:rPr>
      </w:pPr>
      <w:r w:rsidRPr="00567379">
        <w:rPr>
          <w:rFonts w:eastAsia="Calibri" w:cs="Arial"/>
          <w:szCs w:val="24"/>
        </w:rPr>
        <w:t>Keith Woods, Financial Management Analyst</w:t>
      </w:r>
    </w:p>
    <w:p w14:paraId="5DF77FDC" w14:textId="77777777" w:rsidR="00567379" w:rsidRPr="000A7960" w:rsidRDefault="00567379" w:rsidP="00567379">
      <w:pPr>
        <w:rPr>
          <w:rFonts w:eastAsia="Calibri" w:cs="Arial"/>
          <w:sz w:val="23"/>
          <w:szCs w:val="23"/>
        </w:rPr>
      </w:pPr>
      <w:r w:rsidRPr="000A7960">
        <w:rPr>
          <w:rFonts w:eastAsia="Calibri" w:cs="Arial"/>
          <w:sz w:val="23"/>
          <w:szCs w:val="23"/>
        </w:rPr>
        <w:br w:type="page"/>
      </w:r>
    </w:p>
    <w:p w14:paraId="7AF10BE9" w14:textId="77777777" w:rsidR="00567379" w:rsidRDefault="00567379" w:rsidP="00A81ED8">
      <w:pPr>
        <w:pStyle w:val="Heading1"/>
        <w:spacing w:line="360" w:lineRule="auto"/>
      </w:pPr>
      <w:bookmarkStart w:id="63" w:name="_Toc178855285"/>
      <w:r w:rsidRPr="000A7960">
        <w:lastRenderedPageBreak/>
        <w:t>N</w:t>
      </w:r>
      <w:r>
        <w:t xml:space="preserve">ational </w:t>
      </w:r>
      <w:r w:rsidRPr="000A7960">
        <w:t>C</w:t>
      </w:r>
      <w:r>
        <w:t xml:space="preserve">ouncil on </w:t>
      </w:r>
      <w:r w:rsidRPr="000A7960">
        <w:t>D</w:t>
      </w:r>
      <w:r>
        <w:t>isability</w:t>
      </w:r>
      <w:r w:rsidRPr="000A7960">
        <w:t>’s Mission and History</w:t>
      </w:r>
      <w:bookmarkEnd w:id="63"/>
    </w:p>
    <w:p w14:paraId="0C62E68E" w14:textId="77777777" w:rsidR="00567379" w:rsidRPr="000A7960" w:rsidRDefault="00567379" w:rsidP="00567379">
      <w:pPr>
        <w:pStyle w:val="Heading2"/>
      </w:pPr>
      <w:bookmarkStart w:id="64" w:name="_Toc178855286"/>
      <w:r w:rsidRPr="000A7960">
        <w:t>Mission</w:t>
      </w:r>
      <w:bookmarkEnd w:id="64"/>
    </w:p>
    <w:p w14:paraId="49338145" w14:textId="77777777" w:rsidR="00567379" w:rsidRPr="000A7960" w:rsidRDefault="00567379" w:rsidP="00567379">
      <w:pPr>
        <w:pStyle w:val="NCDBodyText"/>
      </w:pPr>
      <w:r>
        <w:t>The National Council on Disability’s (</w:t>
      </w:r>
      <w:r w:rsidRPr="000A7960">
        <w:t>NCD</w:t>
      </w:r>
      <w:r>
        <w:t>)</w:t>
      </w:r>
      <w:r w:rsidRPr="000A7960">
        <w:t xml:space="preserve"> mission is to be a trusted advisor in collaboration with people with disabilities to</w:t>
      </w:r>
    </w:p>
    <w:p w14:paraId="57F309EF" w14:textId="77777777" w:rsidR="00567379" w:rsidRPr="000A7960" w:rsidRDefault="00567379" w:rsidP="00567379">
      <w:pPr>
        <w:pStyle w:val="NCDBulletsLevel1"/>
      </w:pPr>
      <w:r>
        <w:t>t</w:t>
      </w:r>
      <w:r w:rsidRPr="000A7960">
        <w:t xml:space="preserve">he </w:t>
      </w:r>
      <w:proofErr w:type="gramStart"/>
      <w:r w:rsidRPr="000A7960">
        <w:t>President</w:t>
      </w:r>
      <w:r>
        <w:t>;</w:t>
      </w:r>
      <w:proofErr w:type="gramEnd"/>
    </w:p>
    <w:p w14:paraId="21D0F5CF" w14:textId="77777777" w:rsidR="00567379" w:rsidRPr="000A7960" w:rsidRDefault="00567379" w:rsidP="00567379">
      <w:pPr>
        <w:pStyle w:val="NCDBulletsLevel1"/>
      </w:pPr>
      <w:proofErr w:type="gramStart"/>
      <w:r w:rsidRPr="000A7960">
        <w:t>Congress</w:t>
      </w:r>
      <w:r>
        <w:t>;</w:t>
      </w:r>
      <w:proofErr w:type="gramEnd"/>
    </w:p>
    <w:p w14:paraId="6872D3D3" w14:textId="77777777" w:rsidR="00567379" w:rsidRPr="000A7960" w:rsidRDefault="00567379" w:rsidP="00567379">
      <w:pPr>
        <w:pStyle w:val="NCDBulletsLevel1"/>
      </w:pPr>
      <w:r>
        <w:t>f</w:t>
      </w:r>
      <w:r w:rsidRPr="000A7960">
        <w:t xml:space="preserve">ederal </w:t>
      </w:r>
      <w:proofErr w:type="gramStart"/>
      <w:r w:rsidRPr="000A7960">
        <w:t>entities</w:t>
      </w:r>
      <w:r>
        <w:t>;</w:t>
      </w:r>
      <w:proofErr w:type="gramEnd"/>
    </w:p>
    <w:p w14:paraId="18352663" w14:textId="77777777" w:rsidR="00567379" w:rsidRPr="000A7960" w:rsidRDefault="00567379" w:rsidP="00567379">
      <w:pPr>
        <w:pStyle w:val="NCDBulletsLevel1"/>
      </w:pPr>
      <w:proofErr w:type="gramStart"/>
      <w:r>
        <w:t>s</w:t>
      </w:r>
      <w:r w:rsidRPr="000A7960">
        <w:t>tate</w:t>
      </w:r>
      <w:proofErr w:type="gramEnd"/>
      <w:r>
        <w:t xml:space="preserve"> governments</w:t>
      </w:r>
      <w:r w:rsidRPr="000A7960">
        <w:t>, tribal communities, and local governments; and</w:t>
      </w:r>
    </w:p>
    <w:p w14:paraId="4A0E6A8C" w14:textId="77777777" w:rsidR="00567379" w:rsidRPr="000A7960" w:rsidRDefault="00567379" w:rsidP="00567379">
      <w:pPr>
        <w:pStyle w:val="NCDBulletsLevel1"/>
      </w:pPr>
      <w:r>
        <w:t>o</w:t>
      </w:r>
      <w:r w:rsidRPr="000A7960">
        <w:t>ther entities and organizations</w:t>
      </w:r>
      <w:r>
        <w:t>.</w:t>
      </w:r>
    </w:p>
    <w:p w14:paraId="261A5ABF" w14:textId="77777777" w:rsidR="00567379" w:rsidRPr="000A7960" w:rsidRDefault="00567379" w:rsidP="00567379">
      <w:pPr>
        <w:pStyle w:val="NCDBodyText"/>
      </w:pPr>
      <w:r w:rsidRPr="000A7960">
        <w:t>NCD fulfills its advisory roles regarding disability policies, programs, procedures, and practices that enhance equal opportunity by</w:t>
      </w:r>
    </w:p>
    <w:p w14:paraId="5C181BB7" w14:textId="77777777" w:rsidR="00567379" w:rsidRPr="000A7960" w:rsidRDefault="00567379" w:rsidP="00567379">
      <w:pPr>
        <w:pStyle w:val="NCDBulletsLevel1"/>
      </w:pPr>
      <w:r>
        <w:t>c</w:t>
      </w:r>
      <w:r w:rsidRPr="000A7960">
        <w:t xml:space="preserve">onvening stakeholders to acquire timely and relevant input for recommendations and action </w:t>
      </w:r>
      <w:proofErr w:type="gramStart"/>
      <w:r w:rsidRPr="000A7960">
        <w:t>steps;</w:t>
      </w:r>
      <w:proofErr w:type="gramEnd"/>
    </w:p>
    <w:p w14:paraId="23EC1C84" w14:textId="77777777" w:rsidR="00567379" w:rsidRPr="000A7960" w:rsidRDefault="00567379" w:rsidP="00567379">
      <w:pPr>
        <w:pStyle w:val="NCDBulletsLevel1"/>
      </w:pPr>
      <w:r>
        <w:t>g</w:t>
      </w:r>
      <w:r w:rsidRPr="000A7960">
        <w:t xml:space="preserve">athering and analyzing data and other </w:t>
      </w:r>
      <w:proofErr w:type="gramStart"/>
      <w:r w:rsidRPr="000A7960">
        <w:t>information;</w:t>
      </w:r>
      <w:proofErr w:type="gramEnd"/>
    </w:p>
    <w:p w14:paraId="340EB00C" w14:textId="77777777" w:rsidR="00567379" w:rsidRPr="000A7960" w:rsidRDefault="00567379" w:rsidP="00567379">
      <w:pPr>
        <w:pStyle w:val="NCDBulletsLevel1"/>
      </w:pPr>
      <w:r>
        <w:t>e</w:t>
      </w:r>
      <w:r w:rsidRPr="000A7960">
        <w:t xml:space="preserve">ngaging and influencing current debates and agendas with current </w:t>
      </w:r>
      <w:proofErr w:type="gramStart"/>
      <w:r w:rsidRPr="000A7960">
        <w:t>research;</w:t>
      </w:r>
      <w:proofErr w:type="gramEnd"/>
    </w:p>
    <w:p w14:paraId="328489C3" w14:textId="77777777" w:rsidR="00567379" w:rsidRPr="000A7960" w:rsidRDefault="00567379" w:rsidP="00567379">
      <w:pPr>
        <w:pStyle w:val="NCDBulletsLevel1"/>
      </w:pPr>
      <w:r>
        <w:t>i</w:t>
      </w:r>
      <w:r w:rsidRPr="000A7960">
        <w:t>dentifying and formulating solutions to emerging and long-standing challenges; and</w:t>
      </w:r>
    </w:p>
    <w:p w14:paraId="21A5C9AB" w14:textId="77777777" w:rsidR="00567379" w:rsidRPr="000A7960" w:rsidRDefault="00567379" w:rsidP="00567379">
      <w:pPr>
        <w:pStyle w:val="NCDBulletsLevel1"/>
      </w:pPr>
      <w:r>
        <w:t>p</w:t>
      </w:r>
      <w:r w:rsidRPr="000A7960">
        <w:t>roviding tools to facilitate effective implementation of policies.</w:t>
      </w:r>
    </w:p>
    <w:p w14:paraId="5D8E6897" w14:textId="77777777" w:rsidR="000F1F63" w:rsidRDefault="000F1F63">
      <w:pPr>
        <w:spacing w:after="160" w:line="259" w:lineRule="auto"/>
        <w:rPr>
          <w:rFonts w:eastAsia="Times New Roman" w:cs="Times New Roman"/>
          <w:b/>
          <w:sz w:val="28"/>
          <w:szCs w:val="32"/>
        </w:rPr>
      </w:pPr>
      <w:bookmarkStart w:id="65" w:name="_Toc178855287"/>
      <w:r>
        <w:br w:type="page"/>
      </w:r>
    </w:p>
    <w:p w14:paraId="70367810" w14:textId="25843FC0" w:rsidR="00567379" w:rsidRPr="000A7960" w:rsidRDefault="00567379" w:rsidP="00567379">
      <w:pPr>
        <w:pStyle w:val="Heading2"/>
      </w:pPr>
      <w:r w:rsidRPr="000A7960">
        <w:lastRenderedPageBreak/>
        <w:t>History</w:t>
      </w:r>
      <w:bookmarkEnd w:id="65"/>
    </w:p>
    <w:p w14:paraId="74A900EF" w14:textId="77777777" w:rsidR="00567379" w:rsidRPr="000A7960" w:rsidRDefault="00567379" w:rsidP="00567379">
      <w:pPr>
        <w:pStyle w:val="NCDBodyText"/>
      </w:pPr>
      <w:r w:rsidRPr="000A7960">
        <w:t xml:space="preserve">NCD has a proud history. It was first established as the National Council on the Handicapped, a small advisory </w:t>
      </w:r>
      <w:r>
        <w:t>c</w:t>
      </w:r>
      <w:r w:rsidRPr="000A7960">
        <w:t>ouncil under the Department of Health, Education, and Welfare</w:t>
      </w:r>
      <w:r>
        <w:t>,</w:t>
      </w:r>
      <w:r w:rsidRPr="000A7960">
        <w:t xml:space="preserve"> </w:t>
      </w:r>
      <w:r>
        <w:t xml:space="preserve">by the </w:t>
      </w:r>
      <w:r w:rsidRPr="000A7960">
        <w:t>Rehabilitation</w:t>
      </w:r>
      <w:r>
        <w:t xml:space="preserve">, </w:t>
      </w:r>
      <w:r w:rsidRPr="000A7960">
        <w:t xml:space="preserve">Comprehensive Services and </w:t>
      </w:r>
      <w:r>
        <w:t xml:space="preserve">Developmental </w:t>
      </w:r>
      <w:r w:rsidRPr="000A7960">
        <w:t>Disabilit</w:t>
      </w:r>
      <w:r>
        <w:t xml:space="preserve">ies </w:t>
      </w:r>
      <w:r w:rsidRPr="000A7960">
        <w:t>Amendments of 1978. NCD became an independent agency in 1984 by Public Law 98-22</w:t>
      </w:r>
      <w:r>
        <w:t>1</w:t>
      </w:r>
      <w:r w:rsidRPr="000A7960">
        <w:t>, the Rehabilitation Amendments of 1984</w:t>
      </w:r>
      <w:r>
        <w:t>,</w:t>
      </w:r>
      <w:r w:rsidRPr="000A7960">
        <w:t xml:space="preserve"> and finally had its name changed by Public Law 100-630, the Handicapped Programs Technical Amendment</w:t>
      </w:r>
      <w:r>
        <w:t>s</w:t>
      </w:r>
      <w:r w:rsidRPr="000A7960">
        <w:t xml:space="preserve"> Act of 1988</w:t>
      </w:r>
      <w:r>
        <w:t>,</w:t>
      </w:r>
      <w:r w:rsidRPr="000A7960">
        <w:t xml:space="preserve"> on November 7, 1988. At that time, NCD was charged with reviewing federal disability programs and policies. In 1986, NCD recommended enactment of an Americans with Disabilities Act and then drafted the first version of the bill that was introduced in Congress in 1988.</w:t>
      </w:r>
    </w:p>
    <w:p w14:paraId="1295CC3C" w14:textId="77777777" w:rsidR="00567379" w:rsidRPr="000A7960" w:rsidRDefault="00567379" w:rsidP="00567379">
      <w:pPr>
        <w:pStyle w:val="NCDBodyText"/>
      </w:pPr>
      <w:r>
        <w:t>NCD</w:t>
      </w:r>
      <w:r w:rsidRPr="000A7960">
        <w:t xml:space="preserve"> is an independent federal agency and is composed of nine members</w:t>
      </w:r>
      <w:r>
        <w:t>:</w:t>
      </w:r>
      <w:r w:rsidRPr="000A7960">
        <w:t xml:space="preserve"> four appointed by the majority and minority leadership in Congress and five appointed by the President. NCD provides advice to the President, Congress, and executive branch agencies to advance policy that promotes the goals of the Americans with Disabilities Act</w:t>
      </w:r>
      <w:r>
        <w:t>—</w:t>
      </w:r>
      <w:r w:rsidRPr="000A7960">
        <w:t>equality of opportunity, economic self-sufficiency, independent living, and full participation in all aspects of society</w:t>
      </w:r>
      <w:r>
        <w:t>—</w:t>
      </w:r>
      <w:r w:rsidRPr="000A7960">
        <w:t>regardless of type or severity of disability.</w:t>
      </w:r>
    </w:p>
    <w:p w14:paraId="17C8D392" w14:textId="77777777" w:rsidR="00567379" w:rsidRPr="000A7960" w:rsidRDefault="00567379" w:rsidP="00567379">
      <w:pPr>
        <w:pStyle w:val="NCDBodyText"/>
      </w:pPr>
      <w:r w:rsidRPr="000A7960">
        <w:t xml:space="preserve">A more comprehensive history of the agency is detailed in NCD’s 1997 publication titled </w:t>
      </w:r>
      <w:r w:rsidRPr="00BE429D">
        <w:rPr>
          <w:i/>
          <w:iCs/>
        </w:rPr>
        <w:t>Equality of Opportunity: The Making of the Americans with Disabilities Act</w:t>
      </w:r>
      <w:r w:rsidRPr="000A7960">
        <w:t>.</w:t>
      </w:r>
    </w:p>
    <w:p w14:paraId="765F25A6" w14:textId="77777777" w:rsidR="00567379" w:rsidRPr="000A7960" w:rsidRDefault="00567379" w:rsidP="00567379">
      <w:pPr>
        <w:spacing w:line="360" w:lineRule="auto"/>
        <w:rPr>
          <w:rFonts w:eastAsia="Calibri" w:cs="Arial"/>
          <w:sz w:val="23"/>
          <w:szCs w:val="23"/>
        </w:rPr>
      </w:pPr>
      <w:r w:rsidRPr="000A7960">
        <w:rPr>
          <w:rFonts w:eastAsia="Calibri" w:cs="Arial"/>
          <w:sz w:val="23"/>
          <w:szCs w:val="23"/>
        </w:rPr>
        <w:br w:type="page"/>
      </w:r>
    </w:p>
    <w:sdt>
      <w:sdtPr>
        <w:rPr>
          <w:rFonts w:eastAsia="Times New Roman"/>
          <w:b w:val="0"/>
          <w:noProof/>
          <w:sz w:val="24"/>
          <w:szCs w:val="24"/>
        </w:rPr>
        <w:id w:val="62223753"/>
        <w:docPartObj>
          <w:docPartGallery w:val="Table of Contents"/>
          <w:docPartUnique/>
        </w:docPartObj>
      </w:sdtPr>
      <w:sdtEndPr>
        <w:rPr>
          <w:bCs/>
        </w:rPr>
      </w:sdtEndPr>
      <w:sdtContent>
        <w:p w14:paraId="174CE86F" w14:textId="63064038" w:rsidR="00E250A2" w:rsidRDefault="00E250A2" w:rsidP="00A81ED8">
          <w:pPr>
            <w:pStyle w:val="Heading1"/>
            <w:spacing w:line="360" w:lineRule="auto"/>
          </w:pPr>
          <w:r>
            <w:t>Table of Contents</w:t>
          </w:r>
        </w:p>
        <w:p w14:paraId="6857541C" w14:textId="0A318BDE" w:rsidR="00E250A2" w:rsidRDefault="00E250A2">
          <w:pPr>
            <w:pStyle w:val="TOC1"/>
            <w:rPr>
              <w:rFonts w:asciiTheme="minorHAnsi" w:eastAsiaTheme="minorEastAsia" w:hAnsiTheme="minorHAnsi" w:cstheme="minorBidi"/>
              <w:sz w:val="22"/>
              <w:szCs w:val="22"/>
              <w:lang w:val="ru-RU" w:eastAsia="ru-RU"/>
            </w:rPr>
          </w:pPr>
          <w:r>
            <w:fldChar w:fldCharType="begin"/>
          </w:r>
          <w:r>
            <w:instrText xml:space="preserve"> TOC \o "1-3" \h \z \u </w:instrText>
          </w:r>
          <w:r>
            <w:fldChar w:fldCharType="separate"/>
          </w:r>
          <w:hyperlink w:anchor="_Toc178855289" w:history="1">
            <w:r w:rsidRPr="00847390">
              <w:rPr>
                <w:rStyle w:val="Hyperlink"/>
              </w:rPr>
              <w:t>Executive Summary</w:t>
            </w:r>
            <w:r>
              <w:rPr>
                <w:webHidden/>
              </w:rPr>
              <w:tab/>
            </w:r>
            <w:r>
              <w:rPr>
                <w:webHidden/>
              </w:rPr>
              <w:fldChar w:fldCharType="begin"/>
            </w:r>
            <w:r>
              <w:rPr>
                <w:webHidden/>
              </w:rPr>
              <w:instrText xml:space="preserve"> PAGEREF _Toc178855289 \h </w:instrText>
            </w:r>
            <w:r>
              <w:rPr>
                <w:webHidden/>
              </w:rPr>
            </w:r>
            <w:r>
              <w:rPr>
                <w:webHidden/>
              </w:rPr>
              <w:fldChar w:fldCharType="separate"/>
            </w:r>
            <w:r w:rsidR="00DC75FE">
              <w:rPr>
                <w:webHidden/>
              </w:rPr>
              <w:t>7</w:t>
            </w:r>
            <w:r>
              <w:rPr>
                <w:webHidden/>
              </w:rPr>
              <w:fldChar w:fldCharType="end"/>
            </w:r>
          </w:hyperlink>
        </w:p>
        <w:p w14:paraId="7942ACC8" w14:textId="4384F5EE" w:rsidR="00E250A2" w:rsidRDefault="00E250A2">
          <w:pPr>
            <w:pStyle w:val="TOC1"/>
            <w:rPr>
              <w:rFonts w:asciiTheme="minorHAnsi" w:eastAsiaTheme="minorEastAsia" w:hAnsiTheme="minorHAnsi" w:cstheme="minorBidi"/>
              <w:sz w:val="22"/>
              <w:szCs w:val="22"/>
              <w:lang w:val="ru-RU" w:eastAsia="ru-RU"/>
            </w:rPr>
          </w:pPr>
          <w:hyperlink w:anchor="_Toc178855290" w:history="1">
            <w:r w:rsidRPr="00847390">
              <w:rPr>
                <w:rStyle w:val="Hyperlink"/>
              </w:rPr>
              <w:t>Acronym Glossary</w:t>
            </w:r>
            <w:r>
              <w:rPr>
                <w:webHidden/>
              </w:rPr>
              <w:tab/>
            </w:r>
            <w:r>
              <w:rPr>
                <w:webHidden/>
              </w:rPr>
              <w:fldChar w:fldCharType="begin"/>
            </w:r>
            <w:r>
              <w:rPr>
                <w:webHidden/>
              </w:rPr>
              <w:instrText xml:space="preserve"> PAGEREF _Toc178855290 \h </w:instrText>
            </w:r>
            <w:r>
              <w:rPr>
                <w:webHidden/>
              </w:rPr>
            </w:r>
            <w:r>
              <w:rPr>
                <w:webHidden/>
              </w:rPr>
              <w:fldChar w:fldCharType="separate"/>
            </w:r>
            <w:r w:rsidR="00DC75FE">
              <w:rPr>
                <w:webHidden/>
              </w:rPr>
              <w:t>9</w:t>
            </w:r>
            <w:r>
              <w:rPr>
                <w:webHidden/>
              </w:rPr>
              <w:fldChar w:fldCharType="end"/>
            </w:r>
          </w:hyperlink>
        </w:p>
        <w:p w14:paraId="0DEB631B" w14:textId="26C3AA94" w:rsidR="00E250A2" w:rsidRDefault="00E250A2">
          <w:pPr>
            <w:pStyle w:val="TOC1"/>
            <w:rPr>
              <w:rFonts w:asciiTheme="minorHAnsi" w:eastAsiaTheme="minorEastAsia" w:hAnsiTheme="minorHAnsi" w:cstheme="minorBidi"/>
              <w:sz w:val="22"/>
              <w:szCs w:val="22"/>
              <w:lang w:val="ru-RU" w:eastAsia="ru-RU"/>
            </w:rPr>
          </w:pPr>
          <w:hyperlink w:anchor="_Toc178855291" w:history="1">
            <w:r w:rsidRPr="00847390">
              <w:rPr>
                <w:rStyle w:val="Hyperlink"/>
              </w:rPr>
              <w:t>Section 1: Health Status and Healthcare</w:t>
            </w:r>
            <w:r>
              <w:rPr>
                <w:webHidden/>
              </w:rPr>
              <w:tab/>
            </w:r>
            <w:r>
              <w:rPr>
                <w:webHidden/>
              </w:rPr>
              <w:fldChar w:fldCharType="begin"/>
            </w:r>
            <w:r>
              <w:rPr>
                <w:webHidden/>
              </w:rPr>
              <w:instrText xml:space="preserve"> PAGEREF _Toc178855291 \h </w:instrText>
            </w:r>
            <w:r>
              <w:rPr>
                <w:webHidden/>
              </w:rPr>
            </w:r>
            <w:r>
              <w:rPr>
                <w:webHidden/>
              </w:rPr>
              <w:fldChar w:fldCharType="separate"/>
            </w:r>
            <w:r w:rsidR="00DC75FE">
              <w:rPr>
                <w:webHidden/>
              </w:rPr>
              <w:t>11</w:t>
            </w:r>
            <w:r>
              <w:rPr>
                <w:webHidden/>
              </w:rPr>
              <w:fldChar w:fldCharType="end"/>
            </w:r>
          </w:hyperlink>
        </w:p>
        <w:p w14:paraId="1A45AC65" w14:textId="5FD70159" w:rsidR="00E250A2" w:rsidRDefault="00E250A2">
          <w:pPr>
            <w:pStyle w:val="TOC2"/>
            <w:rPr>
              <w:rFonts w:asciiTheme="minorHAnsi" w:eastAsiaTheme="minorEastAsia" w:hAnsiTheme="minorHAnsi" w:cstheme="minorBidi"/>
              <w:noProof/>
              <w:sz w:val="22"/>
              <w:szCs w:val="22"/>
              <w:lang w:val="ru-RU" w:eastAsia="ru-RU"/>
            </w:rPr>
          </w:pPr>
          <w:hyperlink w:anchor="_Toc178855292" w:history="1">
            <w:r w:rsidRPr="00847390">
              <w:rPr>
                <w:rStyle w:val="Hyperlink"/>
                <w:noProof/>
              </w:rPr>
              <w:t>Health Disparities of People with Disabilities</w:t>
            </w:r>
            <w:r>
              <w:rPr>
                <w:noProof/>
                <w:webHidden/>
              </w:rPr>
              <w:tab/>
            </w:r>
            <w:r>
              <w:rPr>
                <w:noProof/>
                <w:webHidden/>
              </w:rPr>
              <w:fldChar w:fldCharType="begin"/>
            </w:r>
            <w:r>
              <w:rPr>
                <w:noProof/>
                <w:webHidden/>
              </w:rPr>
              <w:instrText xml:space="preserve"> PAGEREF _Toc178855292 \h </w:instrText>
            </w:r>
            <w:r>
              <w:rPr>
                <w:noProof/>
                <w:webHidden/>
              </w:rPr>
            </w:r>
            <w:r>
              <w:rPr>
                <w:noProof/>
                <w:webHidden/>
              </w:rPr>
              <w:fldChar w:fldCharType="separate"/>
            </w:r>
            <w:r w:rsidR="00DC75FE">
              <w:rPr>
                <w:noProof/>
                <w:webHidden/>
              </w:rPr>
              <w:t>11</w:t>
            </w:r>
            <w:r>
              <w:rPr>
                <w:noProof/>
                <w:webHidden/>
              </w:rPr>
              <w:fldChar w:fldCharType="end"/>
            </w:r>
          </w:hyperlink>
        </w:p>
        <w:p w14:paraId="7DF37142" w14:textId="123517CC" w:rsidR="00E250A2" w:rsidRDefault="00E250A2">
          <w:pPr>
            <w:pStyle w:val="TOC2"/>
            <w:rPr>
              <w:rFonts w:asciiTheme="minorHAnsi" w:eastAsiaTheme="minorEastAsia" w:hAnsiTheme="minorHAnsi" w:cstheme="minorBidi"/>
              <w:noProof/>
              <w:sz w:val="22"/>
              <w:szCs w:val="22"/>
              <w:lang w:val="ru-RU" w:eastAsia="ru-RU"/>
            </w:rPr>
          </w:pPr>
          <w:hyperlink w:anchor="_Toc178855293" w:history="1">
            <w:r w:rsidRPr="00847390">
              <w:rPr>
                <w:rStyle w:val="Hyperlink"/>
                <w:noProof/>
              </w:rPr>
              <w:t>Healthcare Disability Nondiscrimination</w:t>
            </w:r>
            <w:r>
              <w:rPr>
                <w:noProof/>
                <w:webHidden/>
              </w:rPr>
              <w:tab/>
            </w:r>
            <w:r>
              <w:rPr>
                <w:noProof/>
                <w:webHidden/>
              </w:rPr>
              <w:fldChar w:fldCharType="begin"/>
            </w:r>
            <w:r>
              <w:rPr>
                <w:noProof/>
                <w:webHidden/>
              </w:rPr>
              <w:instrText xml:space="preserve"> PAGEREF _Toc178855293 \h </w:instrText>
            </w:r>
            <w:r>
              <w:rPr>
                <w:noProof/>
                <w:webHidden/>
              </w:rPr>
            </w:r>
            <w:r>
              <w:rPr>
                <w:noProof/>
                <w:webHidden/>
              </w:rPr>
              <w:fldChar w:fldCharType="separate"/>
            </w:r>
            <w:r w:rsidR="00DC75FE">
              <w:rPr>
                <w:noProof/>
                <w:webHidden/>
              </w:rPr>
              <w:t>16</w:t>
            </w:r>
            <w:r>
              <w:rPr>
                <w:noProof/>
                <w:webHidden/>
              </w:rPr>
              <w:fldChar w:fldCharType="end"/>
            </w:r>
          </w:hyperlink>
        </w:p>
        <w:p w14:paraId="7F4CF79F" w14:textId="0C8FAE7F" w:rsidR="00E250A2" w:rsidRDefault="00E250A2">
          <w:pPr>
            <w:pStyle w:val="TOC2"/>
            <w:rPr>
              <w:rFonts w:asciiTheme="minorHAnsi" w:eastAsiaTheme="minorEastAsia" w:hAnsiTheme="minorHAnsi" w:cstheme="minorBidi"/>
              <w:noProof/>
              <w:sz w:val="22"/>
              <w:szCs w:val="22"/>
              <w:lang w:val="ru-RU" w:eastAsia="ru-RU"/>
            </w:rPr>
          </w:pPr>
          <w:hyperlink w:anchor="_Toc178855294" w:history="1">
            <w:r w:rsidRPr="00847390">
              <w:rPr>
                <w:rStyle w:val="Hyperlink"/>
                <w:noProof/>
              </w:rPr>
              <w:t>State Expansion of Oral Healthcare</w:t>
            </w:r>
            <w:r>
              <w:rPr>
                <w:noProof/>
                <w:webHidden/>
              </w:rPr>
              <w:tab/>
            </w:r>
            <w:r>
              <w:rPr>
                <w:noProof/>
                <w:webHidden/>
              </w:rPr>
              <w:fldChar w:fldCharType="begin"/>
            </w:r>
            <w:r>
              <w:rPr>
                <w:noProof/>
                <w:webHidden/>
              </w:rPr>
              <w:instrText xml:space="preserve"> PAGEREF _Toc178855294 \h </w:instrText>
            </w:r>
            <w:r>
              <w:rPr>
                <w:noProof/>
                <w:webHidden/>
              </w:rPr>
            </w:r>
            <w:r>
              <w:rPr>
                <w:noProof/>
                <w:webHidden/>
              </w:rPr>
              <w:fldChar w:fldCharType="separate"/>
            </w:r>
            <w:r w:rsidR="00DC75FE">
              <w:rPr>
                <w:noProof/>
                <w:webHidden/>
              </w:rPr>
              <w:t>18</w:t>
            </w:r>
            <w:r>
              <w:rPr>
                <w:noProof/>
                <w:webHidden/>
              </w:rPr>
              <w:fldChar w:fldCharType="end"/>
            </w:r>
          </w:hyperlink>
        </w:p>
        <w:p w14:paraId="46C47856" w14:textId="6D3FEAE1" w:rsidR="00E250A2" w:rsidRDefault="00E250A2">
          <w:pPr>
            <w:pStyle w:val="TOC2"/>
            <w:rPr>
              <w:rFonts w:asciiTheme="minorHAnsi" w:eastAsiaTheme="minorEastAsia" w:hAnsiTheme="minorHAnsi" w:cstheme="minorBidi"/>
              <w:noProof/>
              <w:sz w:val="22"/>
              <w:szCs w:val="22"/>
              <w:lang w:val="ru-RU" w:eastAsia="ru-RU"/>
            </w:rPr>
          </w:pPr>
          <w:hyperlink w:anchor="_Toc178855295" w:history="1">
            <w:r w:rsidRPr="00847390">
              <w:rPr>
                <w:rStyle w:val="Hyperlink"/>
                <w:noProof/>
              </w:rPr>
              <w:t>Including People with Disabilities in Clinical Trials</w:t>
            </w:r>
            <w:r>
              <w:rPr>
                <w:noProof/>
                <w:webHidden/>
              </w:rPr>
              <w:tab/>
            </w:r>
            <w:r>
              <w:rPr>
                <w:noProof/>
                <w:webHidden/>
              </w:rPr>
              <w:fldChar w:fldCharType="begin"/>
            </w:r>
            <w:r>
              <w:rPr>
                <w:noProof/>
                <w:webHidden/>
              </w:rPr>
              <w:instrText xml:space="preserve"> PAGEREF _Toc178855295 \h </w:instrText>
            </w:r>
            <w:r>
              <w:rPr>
                <w:noProof/>
                <w:webHidden/>
              </w:rPr>
            </w:r>
            <w:r>
              <w:rPr>
                <w:noProof/>
                <w:webHidden/>
              </w:rPr>
              <w:fldChar w:fldCharType="separate"/>
            </w:r>
            <w:r w:rsidR="00DC75FE">
              <w:rPr>
                <w:noProof/>
                <w:webHidden/>
              </w:rPr>
              <w:t>18</w:t>
            </w:r>
            <w:r>
              <w:rPr>
                <w:noProof/>
                <w:webHidden/>
              </w:rPr>
              <w:fldChar w:fldCharType="end"/>
            </w:r>
          </w:hyperlink>
        </w:p>
        <w:p w14:paraId="7A495288" w14:textId="732DD35F" w:rsidR="00E250A2" w:rsidRDefault="00E250A2">
          <w:pPr>
            <w:pStyle w:val="TOC1"/>
            <w:rPr>
              <w:rFonts w:asciiTheme="minorHAnsi" w:eastAsiaTheme="minorEastAsia" w:hAnsiTheme="minorHAnsi" w:cstheme="minorBidi"/>
              <w:sz w:val="22"/>
              <w:szCs w:val="22"/>
              <w:lang w:val="ru-RU" w:eastAsia="ru-RU"/>
            </w:rPr>
          </w:pPr>
          <w:hyperlink w:anchor="_Toc178855296" w:history="1">
            <w:r w:rsidRPr="00847390">
              <w:rPr>
                <w:rStyle w:val="Hyperlink"/>
              </w:rPr>
              <w:t>Section 2: Transportation</w:t>
            </w:r>
            <w:r>
              <w:rPr>
                <w:webHidden/>
              </w:rPr>
              <w:tab/>
            </w:r>
            <w:r>
              <w:rPr>
                <w:webHidden/>
              </w:rPr>
              <w:fldChar w:fldCharType="begin"/>
            </w:r>
            <w:r>
              <w:rPr>
                <w:webHidden/>
              </w:rPr>
              <w:instrText xml:space="preserve"> PAGEREF _Toc178855296 \h </w:instrText>
            </w:r>
            <w:r>
              <w:rPr>
                <w:webHidden/>
              </w:rPr>
            </w:r>
            <w:r>
              <w:rPr>
                <w:webHidden/>
              </w:rPr>
              <w:fldChar w:fldCharType="separate"/>
            </w:r>
            <w:r w:rsidR="00DC75FE">
              <w:rPr>
                <w:webHidden/>
              </w:rPr>
              <w:t>21</w:t>
            </w:r>
            <w:r>
              <w:rPr>
                <w:webHidden/>
              </w:rPr>
              <w:fldChar w:fldCharType="end"/>
            </w:r>
          </w:hyperlink>
        </w:p>
        <w:p w14:paraId="69F01CB2" w14:textId="2B86858B" w:rsidR="00E250A2" w:rsidRDefault="00E250A2">
          <w:pPr>
            <w:pStyle w:val="TOC2"/>
            <w:rPr>
              <w:rFonts w:asciiTheme="minorHAnsi" w:eastAsiaTheme="minorEastAsia" w:hAnsiTheme="minorHAnsi" w:cstheme="minorBidi"/>
              <w:noProof/>
              <w:sz w:val="22"/>
              <w:szCs w:val="22"/>
              <w:lang w:val="ru-RU" w:eastAsia="ru-RU"/>
            </w:rPr>
          </w:pPr>
          <w:hyperlink w:anchor="_Toc178855297" w:history="1">
            <w:r w:rsidRPr="00847390">
              <w:rPr>
                <w:rStyle w:val="Hyperlink"/>
                <w:noProof/>
              </w:rPr>
              <w:t>Recommendation by NCD Concerning Transportation</w:t>
            </w:r>
            <w:r>
              <w:rPr>
                <w:noProof/>
                <w:webHidden/>
              </w:rPr>
              <w:tab/>
            </w:r>
            <w:r>
              <w:rPr>
                <w:noProof/>
                <w:webHidden/>
              </w:rPr>
              <w:fldChar w:fldCharType="begin"/>
            </w:r>
            <w:r>
              <w:rPr>
                <w:noProof/>
                <w:webHidden/>
              </w:rPr>
              <w:instrText xml:space="preserve"> PAGEREF _Toc178855297 \h </w:instrText>
            </w:r>
            <w:r>
              <w:rPr>
                <w:noProof/>
                <w:webHidden/>
              </w:rPr>
            </w:r>
            <w:r>
              <w:rPr>
                <w:noProof/>
                <w:webHidden/>
              </w:rPr>
              <w:fldChar w:fldCharType="separate"/>
            </w:r>
            <w:r w:rsidR="00DC75FE">
              <w:rPr>
                <w:noProof/>
                <w:webHidden/>
              </w:rPr>
              <w:t>21</w:t>
            </w:r>
            <w:r>
              <w:rPr>
                <w:noProof/>
                <w:webHidden/>
              </w:rPr>
              <w:fldChar w:fldCharType="end"/>
            </w:r>
          </w:hyperlink>
        </w:p>
        <w:p w14:paraId="3B89CB15" w14:textId="2AA39E53" w:rsidR="00E250A2" w:rsidRDefault="00E250A2">
          <w:pPr>
            <w:pStyle w:val="TOC2"/>
            <w:rPr>
              <w:rFonts w:asciiTheme="minorHAnsi" w:eastAsiaTheme="minorEastAsia" w:hAnsiTheme="minorHAnsi" w:cstheme="minorBidi"/>
              <w:noProof/>
              <w:sz w:val="22"/>
              <w:szCs w:val="22"/>
              <w:lang w:val="ru-RU" w:eastAsia="ru-RU"/>
            </w:rPr>
          </w:pPr>
          <w:hyperlink w:anchor="_Toc178855298" w:history="1">
            <w:r w:rsidRPr="00847390">
              <w:rPr>
                <w:rStyle w:val="Hyperlink"/>
                <w:noProof/>
              </w:rPr>
              <w:t>Ground Travel Developments</w:t>
            </w:r>
            <w:r>
              <w:rPr>
                <w:noProof/>
                <w:webHidden/>
              </w:rPr>
              <w:tab/>
            </w:r>
            <w:r>
              <w:rPr>
                <w:noProof/>
                <w:webHidden/>
              </w:rPr>
              <w:fldChar w:fldCharType="begin"/>
            </w:r>
            <w:r>
              <w:rPr>
                <w:noProof/>
                <w:webHidden/>
              </w:rPr>
              <w:instrText xml:space="preserve"> PAGEREF _Toc178855298 \h </w:instrText>
            </w:r>
            <w:r>
              <w:rPr>
                <w:noProof/>
                <w:webHidden/>
              </w:rPr>
            </w:r>
            <w:r>
              <w:rPr>
                <w:noProof/>
                <w:webHidden/>
              </w:rPr>
              <w:fldChar w:fldCharType="separate"/>
            </w:r>
            <w:r w:rsidR="00DC75FE">
              <w:rPr>
                <w:noProof/>
                <w:webHidden/>
              </w:rPr>
              <w:t>22</w:t>
            </w:r>
            <w:r>
              <w:rPr>
                <w:noProof/>
                <w:webHidden/>
              </w:rPr>
              <w:fldChar w:fldCharType="end"/>
            </w:r>
          </w:hyperlink>
        </w:p>
        <w:p w14:paraId="3040A61E" w14:textId="5BB75C0F" w:rsidR="00E250A2" w:rsidRDefault="00E250A2">
          <w:pPr>
            <w:pStyle w:val="TOC2"/>
            <w:rPr>
              <w:rFonts w:asciiTheme="minorHAnsi" w:eastAsiaTheme="minorEastAsia" w:hAnsiTheme="minorHAnsi" w:cstheme="minorBidi"/>
              <w:noProof/>
              <w:sz w:val="22"/>
              <w:szCs w:val="22"/>
              <w:lang w:val="ru-RU" w:eastAsia="ru-RU"/>
            </w:rPr>
          </w:pPr>
          <w:hyperlink w:anchor="_Toc178855299" w:history="1">
            <w:r w:rsidRPr="00847390">
              <w:rPr>
                <w:rStyle w:val="Hyperlink"/>
                <w:noProof/>
              </w:rPr>
              <w:t>US Access Board Developments</w:t>
            </w:r>
            <w:r>
              <w:rPr>
                <w:noProof/>
                <w:webHidden/>
              </w:rPr>
              <w:tab/>
            </w:r>
            <w:r>
              <w:rPr>
                <w:noProof/>
                <w:webHidden/>
              </w:rPr>
              <w:fldChar w:fldCharType="begin"/>
            </w:r>
            <w:r>
              <w:rPr>
                <w:noProof/>
                <w:webHidden/>
              </w:rPr>
              <w:instrText xml:space="preserve"> PAGEREF _Toc178855299 \h </w:instrText>
            </w:r>
            <w:r>
              <w:rPr>
                <w:noProof/>
                <w:webHidden/>
              </w:rPr>
            </w:r>
            <w:r>
              <w:rPr>
                <w:noProof/>
                <w:webHidden/>
              </w:rPr>
              <w:fldChar w:fldCharType="separate"/>
            </w:r>
            <w:r w:rsidR="00DC75FE">
              <w:rPr>
                <w:noProof/>
                <w:webHidden/>
              </w:rPr>
              <w:t>23</w:t>
            </w:r>
            <w:r>
              <w:rPr>
                <w:noProof/>
                <w:webHidden/>
              </w:rPr>
              <w:fldChar w:fldCharType="end"/>
            </w:r>
          </w:hyperlink>
        </w:p>
        <w:p w14:paraId="3B319D4C" w14:textId="3294E069" w:rsidR="00E250A2" w:rsidRDefault="00E250A2">
          <w:pPr>
            <w:pStyle w:val="TOC1"/>
            <w:rPr>
              <w:rFonts w:asciiTheme="minorHAnsi" w:eastAsiaTheme="minorEastAsia" w:hAnsiTheme="minorHAnsi" w:cstheme="minorBidi"/>
              <w:sz w:val="22"/>
              <w:szCs w:val="22"/>
              <w:lang w:val="ru-RU" w:eastAsia="ru-RU"/>
            </w:rPr>
          </w:pPr>
          <w:hyperlink w:anchor="_Toc178855300" w:history="1">
            <w:r w:rsidRPr="00847390">
              <w:rPr>
                <w:rStyle w:val="Hyperlink"/>
              </w:rPr>
              <w:t>Section 3: Employment</w:t>
            </w:r>
            <w:r>
              <w:rPr>
                <w:webHidden/>
              </w:rPr>
              <w:tab/>
            </w:r>
            <w:r>
              <w:rPr>
                <w:webHidden/>
              </w:rPr>
              <w:fldChar w:fldCharType="begin"/>
            </w:r>
            <w:r>
              <w:rPr>
                <w:webHidden/>
              </w:rPr>
              <w:instrText xml:space="preserve"> PAGEREF _Toc178855300 \h </w:instrText>
            </w:r>
            <w:r>
              <w:rPr>
                <w:webHidden/>
              </w:rPr>
            </w:r>
            <w:r>
              <w:rPr>
                <w:webHidden/>
              </w:rPr>
              <w:fldChar w:fldCharType="separate"/>
            </w:r>
            <w:r w:rsidR="00DC75FE">
              <w:rPr>
                <w:webHidden/>
              </w:rPr>
              <w:t>25</w:t>
            </w:r>
            <w:r>
              <w:rPr>
                <w:webHidden/>
              </w:rPr>
              <w:fldChar w:fldCharType="end"/>
            </w:r>
          </w:hyperlink>
        </w:p>
        <w:p w14:paraId="796C42A0" w14:textId="71220B4C" w:rsidR="00E250A2" w:rsidRDefault="00E250A2">
          <w:pPr>
            <w:pStyle w:val="TOC2"/>
            <w:rPr>
              <w:rFonts w:asciiTheme="minorHAnsi" w:eastAsiaTheme="minorEastAsia" w:hAnsiTheme="minorHAnsi" w:cstheme="minorBidi"/>
              <w:noProof/>
              <w:sz w:val="22"/>
              <w:szCs w:val="22"/>
              <w:lang w:val="ru-RU" w:eastAsia="ru-RU"/>
            </w:rPr>
          </w:pPr>
          <w:hyperlink w:anchor="_Toc178855301" w:history="1">
            <w:r w:rsidRPr="00847390">
              <w:rPr>
                <w:rStyle w:val="Hyperlink"/>
                <w:noProof/>
              </w:rPr>
              <w:t>Recommendation by NCD Concerning the AbilityOne Program</w:t>
            </w:r>
            <w:r>
              <w:rPr>
                <w:noProof/>
                <w:webHidden/>
              </w:rPr>
              <w:tab/>
            </w:r>
            <w:r>
              <w:rPr>
                <w:noProof/>
                <w:webHidden/>
              </w:rPr>
              <w:fldChar w:fldCharType="begin"/>
            </w:r>
            <w:r>
              <w:rPr>
                <w:noProof/>
                <w:webHidden/>
              </w:rPr>
              <w:instrText xml:space="preserve"> PAGEREF _Toc178855301 \h </w:instrText>
            </w:r>
            <w:r>
              <w:rPr>
                <w:noProof/>
                <w:webHidden/>
              </w:rPr>
            </w:r>
            <w:r>
              <w:rPr>
                <w:noProof/>
                <w:webHidden/>
              </w:rPr>
              <w:fldChar w:fldCharType="separate"/>
            </w:r>
            <w:r w:rsidR="00DC75FE">
              <w:rPr>
                <w:noProof/>
                <w:webHidden/>
              </w:rPr>
              <w:t>25</w:t>
            </w:r>
            <w:r>
              <w:rPr>
                <w:noProof/>
                <w:webHidden/>
              </w:rPr>
              <w:fldChar w:fldCharType="end"/>
            </w:r>
          </w:hyperlink>
        </w:p>
        <w:p w14:paraId="4944E20B" w14:textId="39B0D89F" w:rsidR="00E250A2" w:rsidRDefault="00E250A2">
          <w:pPr>
            <w:pStyle w:val="TOC2"/>
            <w:rPr>
              <w:rFonts w:asciiTheme="minorHAnsi" w:eastAsiaTheme="minorEastAsia" w:hAnsiTheme="minorHAnsi" w:cstheme="minorBidi"/>
              <w:noProof/>
              <w:sz w:val="22"/>
              <w:szCs w:val="22"/>
              <w:lang w:val="ru-RU" w:eastAsia="ru-RU"/>
            </w:rPr>
          </w:pPr>
          <w:hyperlink w:anchor="_Toc178855302" w:history="1">
            <w:r w:rsidRPr="00847390">
              <w:rPr>
                <w:rStyle w:val="Hyperlink"/>
                <w:noProof/>
              </w:rPr>
              <w:t xml:space="preserve">Recommendation by NCD Concerning the US Department of Labor and </w:t>
            </w:r>
            <w:r w:rsidR="00B95848">
              <w:rPr>
                <w:rStyle w:val="Hyperlink"/>
                <w:noProof/>
              </w:rPr>
              <w:br/>
            </w:r>
            <w:r w:rsidRPr="00847390">
              <w:rPr>
                <w:rStyle w:val="Hyperlink"/>
                <w:noProof/>
              </w:rPr>
              <w:t>Section 14(c) Certificates</w:t>
            </w:r>
            <w:r>
              <w:rPr>
                <w:noProof/>
                <w:webHidden/>
              </w:rPr>
              <w:tab/>
            </w:r>
            <w:r>
              <w:rPr>
                <w:noProof/>
                <w:webHidden/>
              </w:rPr>
              <w:fldChar w:fldCharType="begin"/>
            </w:r>
            <w:r>
              <w:rPr>
                <w:noProof/>
                <w:webHidden/>
              </w:rPr>
              <w:instrText xml:space="preserve"> PAGEREF _Toc178855302 \h </w:instrText>
            </w:r>
            <w:r>
              <w:rPr>
                <w:noProof/>
                <w:webHidden/>
              </w:rPr>
            </w:r>
            <w:r>
              <w:rPr>
                <w:noProof/>
                <w:webHidden/>
              </w:rPr>
              <w:fldChar w:fldCharType="separate"/>
            </w:r>
            <w:r w:rsidR="00DC75FE">
              <w:rPr>
                <w:noProof/>
                <w:webHidden/>
              </w:rPr>
              <w:t>26</w:t>
            </w:r>
            <w:r>
              <w:rPr>
                <w:noProof/>
                <w:webHidden/>
              </w:rPr>
              <w:fldChar w:fldCharType="end"/>
            </w:r>
          </w:hyperlink>
        </w:p>
        <w:p w14:paraId="72A0ABD1" w14:textId="6C39F955" w:rsidR="00E250A2" w:rsidRDefault="00E250A2">
          <w:pPr>
            <w:pStyle w:val="TOC2"/>
            <w:rPr>
              <w:rFonts w:asciiTheme="minorHAnsi" w:eastAsiaTheme="minorEastAsia" w:hAnsiTheme="minorHAnsi" w:cstheme="minorBidi"/>
              <w:noProof/>
              <w:sz w:val="22"/>
              <w:szCs w:val="22"/>
              <w:lang w:val="ru-RU" w:eastAsia="ru-RU"/>
            </w:rPr>
          </w:pPr>
          <w:hyperlink w:anchor="_Toc178855303" w:history="1">
            <w:r w:rsidRPr="00847390">
              <w:rPr>
                <w:rStyle w:val="Hyperlink"/>
                <w:noProof/>
              </w:rPr>
              <w:t xml:space="preserve">Recommendation by NCD Moving Forward Concerning Tribal Land </w:t>
            </w:r>
            <w:r w:rsidR="00B95848">
              <w:rPr>
                <w:rStyle w:val="Hyperlink"/>
                <w:noProof/>
              </w:rPr>
              <w:br/>
            </w:r>
            <w:r w:rsidRPr="00847390">
              <w:rPr>
                <w:rStyle w:val="Hyperlink"/>
                <w:noProof/>
              </w:rPr>
              <w:t>Vocational Rehabilitation Developments</w:t>
            </w:r>
            <w:r>
              <w:rPr>
                <w:noProof/>
                <w:webHidden/>
              </w:rPr>
              <w:tab/>
            </w:r>
            <w:r>
              <w:rPr>
                <w:noProof/>
                <w:webHidden/>
              </w:rPr>
              <w:fldChar w:fldCharType="begin"/>
            </w:r>
            <w:r>
              <w:rPr>
                <w:noProof/>
                <w:webHidden/>
              </w:rPr>
              <w:instrText xml:space="preserve"> PAGEREF _Toc178855303 \h </w:instrText>
            </w:r>
            <w:r>
              <w:rPr>
                <w:noProof/>
                <w:webHidden/>
              </w:rPr>
            </w:r>
            <w:r>
              <w:rPr>
                <w:noProof/>
                <w:webHidden/>
              </w:rPr>
              <w:fldChar w:fldCharType="separate"/>
            </w:r>
            <w:r w:rsidR="00DC75FE">
              <w:rPr>
                <w:noProof/>
                <w:webHidden/>
              </w:rPr>
              <w:t>27</w:t>
            </w:r>
            <w:r>
              <w:rPr>
                <w:noProof/>
                <w:webHidden/>
              </w:rPr>
              <w:fldChar w:fldCharType="end"/>
            </w:r>
          </w:hyperlink>
        </w:p>
        <w:p w14:paraId="18EC5961" w14:textId="4E78B359" w:rsidR="00E250A2" w:rsidRDefault="00E250A2">
          <w:pPr>
            <w:pStyle w:val="TOC1"/>
            <w:rPr>
              <w:rFonts w:asciiTheme="minorHAnsi" w:eastAsiaTheme="minorEastAsia" w:hAnsiTheme="minorHAnsi" w:cstheme="minorBidi"/>
              <w:sz w:val="22"/>
              <w:szCs w:val="22"/>
              <w:lang w:val="ru-RU" w:eastAsia="ru-RU"/>
            </w:rPr>
          </w:pPr>
          <w:hyperlink w:anchor="_Toc178855304" w:history="1">
            <w:r w:rsidRPr="00847390">
              <w:rPr>
                <w:rStyle w:val="Hyperlink"/>
              </w:rPr>
              <w:t>Section 4: Housing After Disasters</w:t>
            </w:r>
            <w:r>
              <w:rPr>
                <w:webHidden/>
              </w:rPr>
              <w:tab/>
            </w:r>
            <w:r>
              <w:rPr>
                <w:webHidden/>
              </w:rPr>
              <w:fldChar w:fldCharType="begin"/>
            </w:r>
            <w:r>
              <w:rPr>
                <w:webHidden/>
              </w:rPr>
              <w:instrText xml:space="preserve"> PAGEREF _Toc178855304 \h </w:instrText>
            </w:r>
            <w:r>
              <w:rPr>
                <w:webHidden/>
              </w:rPr>
            </w:r>
            <w:r>
              <w:rPr>
                <w:webHidden/>
              </w:rPr>
              <w:fldChar w:fldCharType="separate"/>
            </w:r>
            <w:r w:rsidR="00DC75FE">
              <w:rPr>
                <w:webHidden/>
              </w:rPr>
              <w:t>29</w:t>
            </w:r>
            <w:r>
              <w:rPr>
                <w:webHidden/>
              </w:rPr>
              <w:fldChar w:fldCharType="end"/>
            </w:r>
          </w:hyperlink>
        </w:p>
        <w:p w14:paraId="3E2D99CF" w14:textId="1FDB5F8B" w:rsidR="00E250A2" w:rsidRDefault="00E250A2">
          <w:pPr>
            <w:pStyle w:val="TOC1"/>
            <w:rPr>
              <w:rFonts w:asciiTheme="minorHAnsi" w:eastAsiaTheme="minorEastAsia" w:hAnsiTheme="minorHAnsi" w:cstheme="minorBidi"/>
              <w:sz w:val="22"/>
              <w:szCs w:val="22"/>
              <w:lang w:val="ru-RU" w:eastAsia="ru-RU"/>
            </w:rPr>
          </w:pPr>
          <w:hyperlink w:anchor="_Toc178855305" w:history="1">
            <w:r w:rsidRPr="00847390">
              <w:rPr>
                <w:rStyle w:val="Hyperlink"/>
              </w:rPr>
              <w:t>Section 5: Counting the Disability Population</w:t>
            </w:r>
            <w:r>
              <w:rPr>
                <w:webHidden/>
              </w:rPr>
              <w:tab/>
            </w:r>
            <w:r>
              <w:rPr>
                <w:webHidden/>
              </w:rPr>
              <w:fldChar w:fldCharType="begin"/>
            </w:r>
            <w:r>
              <w:rPr>
                <w:webHidden/>
              </w:rPr>
              <w:instrText xml:space="preserve"> PAGEREF _Toc178855305 \h </w:instrText>
            </w:r>
            <w:r>
              <w:rPr>
                <w:webHidden/>
              </w:rPr>
            </w:r>
            <w:r>
              <w:rPr>
                <w:webHidden/>
              </w:rPr>
              <w:fldChar w:fldCharType="separate"/>
            </w:r>
            <w:r w:rsidR="00DC75FE">
              <w:rPr>
                <w:webHidden/>
              </w:rPr>
              <w:t>31</w:t>
            </w:r>
            <w:r>
              <w:rPr>
                <w:webHidden/>
              </w:rPr>
              <w:fldChar w:fldCharType="end"/>
            </w:r>
          </w:hyperlink>
        </w:p>
        <w:p w14:paraId="76725D2F" w14:textId="4AB399A7" w:rsidR="00E250A2" w:rsidRDefault="00E250A2">
          <w:pPr>
            <w:pStyle w:val="TOC2"/>
            <w:rPr>
              <w:rFonts w:asciiTheme="minorHAnsi" w:eastAsiaTheme="minorEastAsia" w:hAnsiTheme="minorHAnsi" w:cstheme="minorBidi"/>
              <w:noProof/>
              <w:sz w:val="22"/>
              <w:szCs w:val="22"/>
              <w:lang w:val="ru-RU" w:eastAsia="ru-RU"/>
            </w:rPr>
          </w:pPr>
          <w:hyperlink w:anchor="_Toc178855306" w:history="1">
            <w:r w:rsidRPr="00847390">
              <w:rPr>
                <w:rStyle w:val="Hyperlink"/>
                <w:noProof/>
              </w:rPr>
              <w:t>US Census</w:t>
            </w:r>
            <w:r>
              <w:rPr>
                <w:noProof/>
                <w:webHidden/>
              </w:rPr>
              <w:tab/>
            </w:r>
            <w:r>
              <w:rPr>
                <w:noProof/>
                <w:webHidden/>
              </w:rPr>
              <w:fldChar w:fldCharType="begin"/>
            </w:r>
            <w:r>
              <w:rPr>
                <w:noProof/>
                <w:webHidden/>
              </w:rPr>
              <w:instrText xml:space="preserve"> PAGEREF _Toc178855306 \h </w:instrText>
            </w:r>
            <w:r>
              <w:rPr>
                <w:noProof/>
                <w:webHidden/>
              </w:rPr>
            </w:r>
            <w:r>
              <w:rPr>
                <w:noProof/>
                <w:webHidden/>
              </w:rPr>
              <w:fldChar w:fldCharType="separate"/>
            </w:r>
            <w:r w:rsidR="00DC75FE">
              <w:rPr>
                <w:noProof/>
                <w:webHidden/>
              </w:rPr>
              <w:t>31</w:t>
            </w:r>
            <w:r>
              <w:rPr>
                <w:noProof/>
                <w:webHidden/>
              </w:rPr>
              <w:fldChar w:fldCharType="end"/>
            </w:r>
          </w:hyperlink>
        </w:p>
        <w:p w14:paraId="1C6DBCC0" w14:textId="7EC15AE2" w:rsidR="00E250A2" w:rsidRDefault="00E250A2">
          <w:pPr>
            <w:pStyle w:val="TOC2"/>
            <w:rPr>
              <w:rFonts w:asciiTheme="minorHAnsi" w:eastAsiaTheme="minorEastAsia" w:hAnsiTheme="minorHAnsi" w:cstheme="minorBidi"/>
              <w:noProof/>
              <w:sz w:val="22"/>
              <w:szCs w:val="22"/>
              <w:lang w:val="ru-RU" w:eastAsia="ru-RU"/>
            </w:rPr>
          </w:pPr>
          <w:hyperlink w:anchor="_Toc178855307" w:history="1">
            <w:r w:rsidRPr="00847390">
              <w:rPr>
                <w:rStyle w:val="Hyperlink"/>
                <w:noProof/>
              </w:rPr>
              <w:t>Recommendation Made by NCD Concerning the US Census</w:t>
            </w:r>
            <w:r>
              <w:rPr>
                <w:noProof/>
                <w:webHidden/>
              </w:rPr>
              <w:tab/>
            </w:r>
            <w:r>
              <w:rPr>
                <w:noProof/>
                <w:webHidden/>
              </w:rPr>
              <w:fldChar w:fldCharType="begin"/>
            </w:r>
            <w:r>
              <w:rPr>
                <w:noProof/>
                <w:webHidden/>
              </w:rPr>
              <w:instrText xml:space="preserve"> PAGEREF _Toc178855307 \h </w:instrText>
            </w:r>
            <w:r>
              <w:rPr>
                <w:noProof/>
                <w:webHidden/>
              </w:rPr>
            </w:r>
            <w:r>
              <w:rPr>
                <w:noProof/>
                <w:webHidden/>
              </w:rPr>
              <w:fldChar w:fldCharType="separate"/>
            </w:r>
            <w:r w:rsidR="00DC75FE">
              <w:rPr>
                <w:noProof/>
                <w:webHidden/>
              </w:rPr>
              <w:t>31</w:t>
            </w:r>
            <w:r>
              <w:rPr>
                <w:noProof/>
                <w:webHidden/>
              </w:rPr>
              <w:fldChar w:fldCharType="end"/>
            </w:r>
          </w:hyperlink>
        </w:p>
        <w:p w14:paraId="38EEE226" w14:textId="5C7724F2" w:rsidR="00E250A2" w:rsidRDefault="00E250A2">
          <w:pPr>
            <w:pStyle w:val="TOC1"/>
            <w:rPr>
              <w:rFonts w:asciiTheme="minorHAnsi" w:eastAsiaTheme="minorEastAsia" w:hAnsiTheme="minorHAnsi" w:cstheme="minorBidi"/>
              <w:sz w:val="22"/>
              <w:szCs w:val="22"/>
              <w:lang w:val="ru-RU" w:eastAsia="ru-RU"/>
            </w:rPr>
          </w:pPr>
          <w:hyperlink w:anchor="_Toc178855308" w:history="1">
            <w:r w:rsidRPr="00847390">
              <w:rPr>
                <w:rStyle w:val="Hyperlink"/>
              </w:rPr>
              <w:t>Section 6: Technology</w:t>
            </w:r>
            <w:r>
              <w:rPr>
                <w:webHidden/>
              </w:rPr>
              <w:tab/>
            </w:r>
            <w:r>
              <w:rPr>
                <w:webHidden/>
              </w:rPr>
              <w:fldChar w:fldCharType="begin"/>
            </w:r>
            <w:r>
              <w:rPr>
                <w:webHidden/>
              </w:rPr>
              <w:instrText xml:space="preserve"> PAGEREF _Toc178855308 \h </w:instrText>
            </w:r>
            <w:r>
              <w:rPr>
                <w:webHidden/>
              </w:rPr>
            </w:r>
            <w:r>
              <w:rPr>
                <w:webHidden/>
              </w:rPr>
              <w:fldChar w:fldCharType="separate"/>
            </w:r>
            <w:r w:rsidR="00DC75FE">
              <w:rPr>
                <w:webHidden/>
              </w:rPr>
              <w:t>33</w:t>
            </w:r>
            <w:r>
              <w:rPr>
                <w:webHidden/>
              </w:rPr>
              <w:fldChar w:fldCharType="end"/>
            </w:r>
          </w:hyperlink>
        </w:p>
        <w:p w14:paraId="3F66A1D3" w14:textId="323AA19B" w:rsidR="00E250A2" w:rsidRDefault="00E250A2">
          <w:pPr>
            <w:pStyle w:val="TOC2"/>
            <w:rPr>
              <w:rFonts w:asciiTheme="minorHAnsi" w:eastAsiaTheme="minorEastAsia" w:hAnsiTheme="minorHAnsi" w:cstheme="minorBidi"/>
              <w:noProof/>
              <w:sz w:val="22"/>
              <w:szCs w:val="22"/>
              <w:lang w:val="ru-RU" w:eastAsia="ru-RU"/>
            </w:rPr>
          </w:pPr>
          <w:hyperlink w:anchor="_Toc178855309" w:history="1">
            <w:r w:rsidRPr="00847390">
              <w:rPr>
                <w:rStyle w:val="Hyperlink"/>
                <w:noProof/>
              </w:rPr>
              <w:t xml:space="preserve">Recommendation by NCD Moving Forward Concerning Digital </w:t>
            </w:r>
            <w:r w:rsidR="00B95848">
              <w:rPr>
                <w:rStyle w:val="Hyperlink"/>
                <w:noProof/>
              </w:rPr>
              <w:br/>
            </w:r>
            <w:r w:rsidRPr="00847390">
              <w:rPr>
                <w:rStyle w:val="Hyperlink"/>
                <w:noProof/>
              </w:rPr>
              <w:t>Access Regulation</w:t>
            </w:r>
            <w:r>
              <w:rPr>
                <w:noProof/>
                <w:webHidden/>
              </w:rPr>
              <w:tab/>
            </w:r>
            <w:r>
              <w:rPr>
                <w:noProof/>
                <w:webHidden/>
              </w:rPr>
              <w:fldChar w:fldCharType="begin"/>
            </w:r>
            <w:r>
              <w:rPr>
                <w:noProof/>
                <w:webHidden/>
              </w:rPr>
              <w:instrText xml:space="preserve"> PAGEREF _Toc178855309 \h </w:instrText>
            </w:r>
            <w:r>
              <w:rPr>
                <w:noProof/>
                <w:webHidden/>
              </w:rPr>
            </w:r>
            <w:r>
              <w:rPr>
                <w:noProof/>
                <w:webHidden/>
              </w:rPr>
              <w:fldChar w:fldCharType="separate"/>
            </w:r>
            <w:r w:rsidR="00DC75FE">
              <w:rPr>
                <w:noProof/>
                <w:webHidden/>
              </w:rPr>
              <w:t>33</w:t>
            </w:r>
            <w:r>
              <w:rPr>
                <w:noProof/>
                <w:webHidden/>
              </w:rPr>
              <w:fldChar w:fldCharType="end"/>
            </w:r>
          </w:hyperlink>
        </w:p>
        <w:p w14:paraId="5F5AE335" w14:textId="265F3AC5" w:rsidR="00E250A2" w:rsidRDefault="00E250A2">
          <w:pPr>
            <w:pStyle w:val="TOC1"/>
            <w:rPr>
              <w:rFonts w:asciiTheme="minorHAnsi" w:eastAsiaTheme="minorEastAsia" w:hAnsiTheme="minorHAnsi" w:cstheme="minorBidi"/>
              <w:sz w:val="22"/>
              <w:szCs w:val="22"/>
              <w:lang w:val="ru-RU" w:eastAsia="ru-RU"/>
            </w:rPr>
          </w:pPr>
          <w:hyperlink w:anchor="_Toc178855310" w:history="1">
            <w:r w:rsidRPr="00847390">
              <w:rPr>
                <w:rStyle w:val="Hyperlink"/>
              </w:rPr>
              <w:t>Section 7: Other Issues to Watch</w:t>
            </w:r>
            <w:r>
              <w:rPr>
                <w:webHidden/>
              </w:rPr>
              <w:tab/>
            </w:r>
            <w:r>
              <w:rPr>
                <w:webHidden/>
              </w:rPr>
              <w:fldChar w:fldCharType="begin"/>
            </w:r>
            <w:r>
              <w:rPr>
                <w:webHidden/>
              </w:rPr>
              <w:instrText xml:space="preserve"> PAGEREF _Toc178855310 \h </w:instrText>
            </w:r>
            <w:r>
              <w:rPr>
                <w:webHidden/>
              </w:rPr>
            </w:r>
            <w:r>
              <w:rPr>
                <w:webHidden/>
              </w:rPr>
              <w:fldChar w:fldCharType="separate"/>
            </w:r>
            <w:r w:rsidR="00DC75FE">
              <w:rPr>
                <w:webHidden/>
              </w:rPr>
              <w:t>35</w:t>
            </w:r>
            <w:r>
              <w:rPr>
                <w:webHidden/>
              </w:rPr>
              <w:fldChar w:fldCharType="end"/>
            </w:r>
          </w:hyperlink>
        </w:p>
        <w:p w14:paraId="3CCB5400" w14:textId="731B4F09" w:rsidR="00E250A2" w:rsidRDefault="00E250A2">
          <w:pPr>
            <w:pStyle w:val="TOC2"/>
            <w:rPr>
              <w:rFonts w:asciiTheme="minorHAnsi" w:eastAsiaTheme="minorEastAsia" w:hAnsiTheme="minorHAnsi" w:cstheme="minorBidi"/>
              <w:noProof/>
              <w:sz w:val="22"/>
              <w:szCs w:val="22"/>
              <w:lang w:val="ru-RU" w:eastAsia="ru-RU"/>
            </w:rPr>
          </w:pPr>
          <w:hyperlink w:anchor="_Toc178855311" w:history="1">
            <w:r w:rsidRPr="00847390">
              <w:rPr>
                <w:rStyle w:val="Hyperlink"/>
                <w:noProof/>
              </w:rPr>
              <w:t>Tax Code</w:t>
            </w:r>
            <w:r>
              <w:rPr>
                <w:noProof/>
                <w:webHidden/>
              </w:rPr>
              <w:tab/>
            </w:r>
            <w:r>
              <w:rPr>
                <w:noProof/>
                <w:webHidden/>
              </w:rPr>
              <w:fldChar w:fldCharType="begin"/>
            </w:r>
            <w:r>
              <w:rPr>
                <w:noProof/>
                <w:webHidden/>
              </w:rPr>
              <w:instrText xml:space="preserve"> PAGEREF _Toc178855311 \h </w:instrText>
            </w:r>
            <w:r>
              <w:rPr>
                <w:noProof/>
                <w:webHidden/>
              </w:rPr>
            </w:r>
            <w:r>
              <w:rPr>
                <w:noProof/>
                <w:webHidden/>
              </w:rPr>
              <w:fldChar w:fldCharType="separate"/>
            </w:r>
            <w:r w:rsidR="00DC75FE">
              <w:rPr>
                <w:noProof/>
                <w:webHidden/>
              </w:rPr>
              <w:t>35</w:t>
            </w:r>
            <w:r>
              <w:rPr>
                <w:noProof/>
                <w:webHidden/>
              </w:rPr>
              <w:fldChar w:fldCharType="end"/>
            </w:r>
          </w:hyperlink>
        </w:p>
        <w:p w14:paraId="5F62657B" w14:textId="094CC6C8" w:rsidR="00E250A2" w:rsidRDefault="00E250A2">
          <w:pPr>
            <w:pStyle w:val="TOC1"/>
            <w:rPr>
              <w:rFonts w:asciiTheme="minorHAnsi" w:eastAsiaTheme="minorEastAsia" w:hAnsiTheme="minorHAnsi" w:cstheme="minorBidi"/>
              <w:sz w:val="22"/>
              <w:szCs w:val="22"/>
              <w:lang w:val="ru-RU" w:eastAsia="ru-RU"/>
            </w:rPr>
          </w:pPr>
          <w:hyperlink w:anchor="_Toc178855312" w:history="1">
            <w:r w:rsidRPr="00847390">
              <w:rPr>
                <w:rStyle w:val="Hyperlink"/>
              </w:rPr>
              <w:t>Section 8: Conclusion</w:t>
            </w:r>
            <w:r>
              <w:rPr>
                <w:webHidden/>
              </w:rPr>
              <w:tab/>
            </w:r>
            <w:r>
              <w:rPr>
                <w:webHidden/>
              </w:rPr>
              <w:fldChar w:fldCharType="begin"/>
            </w:r>
            <w:r>
              <w:rPr>
                <w:webHidden/>
              </w:rPr>
              <w:instrText xml:space="preserve"> PAGEREF _Toc178855312 \h </w:instrText>
            </w:r>
            <w:r>
              <w:rPr>
                <w:webHidden/>
              </w:rPr>
            </w:r>
            <w:r>
              <w:rPr>
                <w:webHidden/>
              </w:rPr>
              <w:fldChar w:fldCharType="separate"/>
            </w:r>
            <w:r w:rsidR="00DC75FE">
              <w:rPr>
                <w:webHidden/>
              </w:rPr>
              <w:t>37</w:t>
            </w:r>
            <w:r>
              <w:rPr>
                <w:webHidden/>
              </w:rPr>
              <w:fldChar w:fldCharType="end"/>
            </w:r>
          </w:hyperlink>
        </w:p>
        <w:p w14:paraId="7C7DBB9E" w14:textId="05D1CD8B" w:rsidR="00E250A2" w:rsidRDefault="00E250A2" w:rsidP="00E250A2">
          <w:pPr>
            <w:pStyle w:val="TOC1"/>
          </w:pPr>
          <w:hyperlink w:anchor="_Toc178855313" w:history="1">
            <w:r w:rsidRPr="00847390">
              <w:rPr>
                <w:rStyle w:val="Hyperlink"/>
              </w:rPr>
              <w:t>Endnotes</w:t>
            </w:r>
            <w:r>
              <w:rPr>
                <w:webHidden/>
              </w:rPr>
              <w:tab/>
            </w:r>
            <w:r>
              <w:rPr>
                <w:webHidden/>
              </w:rPr>
              <w:fldChar w:fldCharType="begin"/>
            </w:r>
            <w:r>
              <w:rPr>
                <w:webHidden/>
              </w:rPr>
              <w:instrText xml:space="preserve"> PAGEREF _Toc178855313 \h </w:instrText>
            </w:r>
            <w:r>
              <w:rPr>
                <w:webHidden/>
              </w:rPr>
            </w:r>
            <w:r>
              <w:rPr>
                <w:webHidden/>
              </w:rPr>
              <w:fldChar w:fldCharType="separate"/>
            </w:r>
            <w:r w:rsidR="00DC75FE">
              <w:rPr>
                <w:webHidden/>
              </w:rPr>
              <w:t>39</w:t>
            </w:r>
            <w:r>
              <w:rPr>
                <w:webHidden/>
              </w:rPr>
              <w:fldChar w:fldCharType="end"/>
            </w:r>
          </w:hyperlink>
          <w:r>
            <w:rPr>
              <w:b/>
              <w:bCs/>
            </w:rPr>
            <w:fldChar w:fldCharType="end"/>
          </w:r>
        </w:p>
      </w:sdtContent>
    </w:sdt>
    <w:p w14:paraId="0D43543A" w14:textId="77777777" w:rsidR="00E250A2" w:rsidRDefault="00E250A2">
      <w:pPr>
        <w:spacing w:after="160" w:line="259" w:lineRule="auto"/>
        <w:rPr>
          <w:rFonts w:cs="Arial"/>
          <w:b/>
          <w:sz w:val="36"/>
          <w:szCs w:val="32"/>
        </w:rPr>
      </w:pPr>
      <w:bookmarkStart w:id="66" w:name="_Toc178855289"/>
      <w:r>
        <w:br w:type="page"/>
      </w:r>
    </w:p>
    <w:p w14:paraId="43A06414" w14:textId="77777777" w:rsidR="00ED6949" w:rsidRDefault="00ED6949">
      <w:pPr>
        <w:spacing w:after="160" w:line="259" w:lineRule="auto"/>
        <w:rPr>
          <w:rFonts w:cs="Arial"/>
          <w:b/>
          <w:sz w:val="36"/>
          <w:szCs w:val="32"/>
        </w:rPr>
      </w:pPr>
      <w:r>
        <w:lastRenderedPageBreak/>
        <w:br w:type="page"/>
      </w:r>
    </w:p>
    <w:p w14:paraId="1F2430C9" w14:textId="45E6D5AF" w:rsidR="00567379" w:rsidRPr="00C94289" w:rsidRDefault="00567379" w:rsidP="00C94289">
      <w:pPr>
        <w:pStyle w:val="Heading1"/>
        <w:spacing w:line="360" w:lineRule="auto"/>
      </w:pPr>
      <w:r w:rsidRPr="00C94289">
        <w:lastRenderedPageBreak/>
        <w:t>Executive Summary</w:t>
      </w:r>
      <w:bookmarkEnd w:id="66"/>
    </w:p>
    <w:p w14:paraId="50CAA743" w14:textId="77777777" w:rsidR="00567379" w:rsidRPr="000A7960" w:rsidRDefault="00567379" w:rsidP="00905459">
      <w:pPr>
        <w:pStyle w:val="NCDBodyText"/>
      </w:pPr>
      <w:r w:rsidRPr="000A7960">
        <w:t>Per its authorizing statute, the National Council on Disability</w:t>
      </w:r>
      <w:r>
        <w:t xml:space="preserve"> (NCD)</w:t>
      </w:r>
      <w:r w:rsidRPr="000A7960">
        <w:t xml:space="preserve"> is mandated to issue an annual report concerning disability policy. The report is meant to present, as appropriate, available information on progress made in areas of health, transportation, employment, housing, technology</w:t>
      </w:r>
      <w:r>
        <w:t>,</w:t>
      </w:r>
      <w:r w:rsidRPr="000A7960">
        <w:t xml:space="preserve"> and other vital topic areas. The report also includes recommendations for policy changes that remain necessary. The following serves as key highlights of what has been an eventful year in disability policy development.</w:t>
      </w:r>
    </w:p>
    <w:p w14:paraId="097FA4FD" w14:textId="77777777" w:rsidR="00567379" w:rsidRPr="000A7960" w:rsidRDefault="00567379" w:rsidP="00905459">
      <w:pPr>
        <w:pStyle w:val="NCDBodyText"/>
      </w:pPr>
      <w:r w:rsidRPr="000A7960">
        <w:t xml:space="preserve">There have been notable developments in the field of healthcare for people with disabilities this past year. It is an aspect of </w:t>
      </w:r>
      <w:proofErr w:type="gramStart"/>
      <w:r w:rsidRPr="000A7960">
        <w:t>disability</w:t>
      </w:r>
      <w:proofErr w:type="gramEnd"/>
      <w:r w:rsidRPr="000A7960">
        <w:t xml:space="preserve"> policy that has long </w:t>
      </w:r>
      <w:proofErr w:type="gramStart"/>
      <w:r w:rsidRPr="000A7960">
        <w:t>been in need of</w:t>
      </w:r>
      <w:proofErr w:type="gramEnd"/>
      <w:r w:rsidRPr="000A7960">
        <w:t xml:space="preserve"> significant advancements. While there is still much work to be done, NCD applauds the designation of people with disabilities as a “Health Disparities Population” by the National Institute on Minority Health and Health Disparities. This vital step significantly </w:t>
      </w:r>
      <w:proofErr w:type="gramStart"/>
      <w:r w:rsidRPr="000A7960">
        <w:t>ope</w:t>
      </w:r>
      <w:r>
        <w:t>n</w:t>
      </w:r>
      <w:r w:rsidRPr="000A7960">
        <w:t>s up</w:t>
      </w:r>
      <w:proofErr w:type="gramEnd"/>
      <w:r w:rsidRPr="000A7960">
        <w:t xml:space="preserve"> opportunities for research related to disability. Likewise, NCD commends the final Section 504 (of the Rehabilitation Act) rule by the Office </w:t>
      </w:r>
      <w:r>
        <w:t>for</w:t>
      </w:r>
      <w:r w:rsidRPr="000A7960">
        <w:t xml:space="preserve"> Civil Rights of the US Department of Health and Human Services for its inclusion of significant requirements ensuring the use of accessible medical and diagnostic equipment.</w:t>
      </w:r>
    </w:p>
    <w:p w14:paraId="00E923C1" w14:textId="77777777" w:rsidR="00567379" w:rsidRPr="000A7960" w:rsidRDefault="00567379" w:rsidP="00905459">
      <w:pPr>
        <w:pStyle w:val="NCDBodyText"/>
      </w:pPr>
      <w:r w:rsidRPr="000A7960">
        <w:t xml:space="preserve">There have been substantial advancements in travel policy and law. The signing into law of the 2024 Federal Aviation Administration Reauthorization Act marked significant progress for people with disabilities. The Act enhances access for passengers with disabilities by, among other things, requiring airlines to accommodate seating requests for disability-related needs, setting new training standards for airline personnel who handle and store wheelchairs to prevent damage, and providing grants to fund airport accessibility upgrades. The Act mandates that all medium and large airports install or maintain at least one universal changing station in each terminal and requires clearly visible signage near the entrance to inform travelers of their locations. With respect to the regulatory process, the US Department of Transportation proposed a regulation that would ensure airline passengers who use wheelchairs can travel safely and with dignity. The proposed rule would set new standards for prompt, safe, and dignified assistance and mandate enhanced training for airline employees and contractors who physically </w:t>
      </w:r>
      <w:r w:rsidRPr="000A7960">
        <w:lastRenderedPageBreak/>
        <w:t>assist passengers with disabilities and handle passengers’ wheelchairs. The rule would further specify actions that airlines must take to protect passengers when a wheelchair is damaged during transport.</w:t>
      </w:r>
    </w:p>
    <w:p w14:paraId="0B0D4C2D" w14:textId="77777777" w:rsidR="00567379" w:rsidRPr="000A7960" w:rsidRDefault="00567379" w:rsidP="00905459">
      <w:pPr>
        <w:pStyle w:val="NCDBodyText"/>
      </w:pPr>
      <w:r w:rsidRPr="000A7960">
        <w:t xml:space="preserve">In the realm of technology, the US Department of Justice issued its final rule revising the regulation implementing Title II of the Americans with Disabilities Act. The rule establishes specific requirements, including the adoption of technical standards to ensure that the services, programs, and activities offered by </w:t>
      </w:r>
      <w:r>
        <w:t>s</w:t>
      </w:r>
      <w:r w:rsidRPr="000A7960">
        <w:t>tate and local government entities through web and mobile applications are accessible to the public. This final rule obligates state and local governments to make their websites and mobile applications accessible.</w:t>
      </w:r>
    </w:p>
    <w:p w14:paraId="18302282" w14:textId="77777777" w:rsidR="00567379" w:rsidRPr="000A7960" w:rsidRDefault="00567379" w:rsidP="00905459">
      <w:pPr>
        <w:pStyle w:val="NCDBodyText"/>
      </w:pPr>
      <w:r w:rsidRPr="000A7960">
        <w:t>While these advancements are commendable, there is undoubtedly still much to do in the coming year across various areas of disability policy. This report outlines the corresponding recommendations NCD proposes to address these challenges.</w:t>
      </w:r>
    </w:p>
    <w:p w14:paraId="22D49484" w14:textId="77777777" w:rsidR="00567379" w:rsidRPr="000A7960" w:rsidRDefault="00567379" w:rsidP="00905459">
      <w:pPr>
        <w:pStyle w:val="NCDBodyText"/>
        <w:rPr>
          <w:highlight w:val="yellow"/>
        </w:rPr>
      </w:pPr>
      <w:r w:rsidRPr="000A7960">
        <w:rPr>
          <w:highlight w:val="yellow"/>
        </w:rPr>
        <w:br w:type="page"/>
      </w:r>
    </w:p>
    <w:p w14:paraId="50524EE7" w14:textId="77777777" w:rsidR="00567379" w:rsidRPr="000A7960" w:rsidRDefault="00567379" w:rsidP="00C94289">
      <w:pPr>
        <w:pStyle w:val="Heading1"/>
        <w:spacing w:line="360" w:lineRule="auto"/>
      </w:pPr>
      <w:bookmarkStart w:id="67" w:name="_Toc178855290"/>
      <w:r w:rsidRPr="000A7960">
        <w:lastRenderedPageBreak/>
        <w:t>Acronym Glossary</w:t>
      </w:r>
      <w:bookmarkEnd w:id="67"/>
    </w:p>
    <w:p w14:paraId="0C1AFAB4" w14:textId="1816F7DE" w:rsidR="00567379" w:rsidRPr="000A7960" w:rsidRDefault="00567379" w:rsidP="00905459">
      <w:pPr>
        <w:pStyle w:val="NCDBodyText"/>
        <w:tabs>
          <w:tab w:val="left" w:pos="2160"/>
        </w:tabs>
        <w:ind w:left="2160" w:hanging="2160"/>
      </w:pPr>
      <w:r w:rsidRPr="000A7960">
        <w:t>ACAA</w:t>
      </w:r>
      <w:r w:rsidR="00C94289">
        <w:tab/>
      </w:r>
      <w:r w:rsidRPr="000A7960">
        <w:t>Air Carrier Access Act</w:t>
      </w:r>
    </w:p>
    <w:p w14:paraId="02108A8F" w14:textId="4FD3E799" w:rsidR="00567379" w:rsidRPr="000A7960" w:rsidRDefault="00567379" w:rsidP="00905459">
      <w:pPr>
        <w:pStyle w:val="NCDBodyText"/>
        <w:tabs>
          <w:tab w:val="left" w:pos="2160"/>
        </w:tabs>
        <w:ind w:left="2160" w:hanging="2160"/>
      </w:pPr>
      <w:r w:rsidRPr="000A7960">
        <w:t>ACL</w:t>
      </w:r>
      <w:r w:rsidR="00C94289">
        <w:tab/>
      </w:r>
      <w:r w:rsidRPr="000A7960">
        <w:t>Administration for Community Living</w:t>
      </w:r>
    </w:p>
    <w:p w14:paraId="4FA053A5" w14:textId="3E0A90FC" w:rsidR="00567379" w:rsidRPr="000A7960" w:rsidRDefault="00567379" w:rsidP="00905459">
      <w:pPr>
        <w:pStyle w:val="NCDBodyText"/>
        <w:tabs>
          <w:tab w:val="left" w:pos="2160"/>
        </w:tabs>
        <w:ind w:left="2160" w:hanging="2160"/>
      </w:pPr>
      <w:r w:rsidRPr="000A7960">
        <w:t>ACS</w:t>
      </w:r>
      <w:r w:rsidR="00C94289">
        <w:tab/>
      </w:r>
      <w:r w:rsidRPr="000A7960">
        <w:t>American Community Survey</w:t>
      </w:r>
    </w:p>
    <w:p w14:paraId="54B5D246" w14:textId="729E5E2D" w:rsidR="00567379" w:rsidRDefault="00567379" w:rsidP="00905459">
      <w:pPr>
        <w:pStyle w:val="NCDBodyText"/>
        <w:tabs>
          <w:tab w:val="left" w:pos="2160"/>
        </w:tabs>
        <w:ind w:left="2160" w:hanging="2160"/>
      </w:pPr>
      <w:r>
        <w:t>ADASP</w:t>
      </w:r>
      <w:r w:rsidR="00C94289">
        <w:tab/>
      </w:r>
      <w:r>
        <w:t>Americans with Disabilities Act Stations Program</w:t>
      </w:r>
    </w:p>
    <w:p w14:paraId="5E509AC0" w14:textId="6AF22A62" w:rsidR="00567379" w:rsidRPr="000A7960" w:rsidRDefault="00567379" w:rsidP="00905459">
      <w:pPr>
        <w:pStyle w:val="NCDBodyText"/>
        <w:tabs>
          <w:tab w:val="left" w:pos="2160"/>
        </w:tabs>
        <w:ind w:left="2160" w:hanging="2160"/>
      </w:pPr>
      <w:r w:rsidRPr="000A7960">
        <w:t>AMDE</w:t>
      </w:r>
      <w:r w:rsidR="00C94289">
        <w:tab/>
      </w:r>
      <w:r w:rsidRPr="000A7960">
        <w:t xml:space="preserve">Accessible Medical </w:t>
      </w:r>
      <w:r>
        <w:t>and</w:t>
      </w:r>
      <w:r w:rsidRPr="000A7960">
        <w:t xml:space="preserve"> Diagnostic Equipment</w:t>
      </w:r>
    </w:p>
    <w:p w14:paraId="554D90FD" w14:textId="26B56508" w:rsidR="00567379" w:rsidRPr="000A7960" w:rsidRDefault="00567379" w:rsidP="00905459">
      <w:pPr>
        <w:pStyle w:val="NCDBodyText"/>
        <w:tabs>
          <w:tab w:val="left" w:pos="2160"/>
        </w:tabs>
        <w:ind w:left="2160" w:hanging="2160"/>
      </w:pPr>
      <w:r w:rsidRPr="000A7960">
        <w:t>CANAR</w:t>
      </w:r>
      <w:r w:rsidR="00C94289">
        <w:tab/>
      </w:r>
      <w:r w:rsidRPr="000A7960">
        <w:t>Consortia of Administrators for Native American Rehabilitation</w:t>
      </w:r>
    </w:p>
    <w:p w14:paraId="1BC02090" w14:textId="2D03DCD9" w:rsidR="00567379" w:rsidRPr="000A7960" w:rsidRDefault="00567379" w:rsidP="00905459">
      <w:pPr>
        <w:pStyle w:val="NCDBodyText"/>
        <w:tabs>
          <w:tab w:val="left" w:pos="2160"/>
        </w:tabs>
        <w:ind w:left="2160" w:hanging="2160"/>
      </w:pPr>
      <w:r w:rsidRPr="000A7960">
        <w:t>CSAVR</w:t>
      </w:r>
      <w:r w:rsidR="00C94289">
        <w:tab/>
      </w:r>
      <w:r w:rsidRPr="000A7960">
        <w:t>Council of State Administrators of Vocational Rehabilitation</w:t>
      </w:r>
    </w:p>
    <w:p w14:paraId="34AE084F" w14:textId="0B5FE1CA" w:rsidR="00567379" w:rsidRPr="000A7960" w:rsidRDefault="00567379" w:rsidP="00905459">
      <w:pPr>
        <w:pStyle w:val="NCDBodyText"/>
        <w:tabs>
          <w:tab w:val="left" w:pos="2160"/>
        </w:tabs>
        <w:ind w:left="2160" w:hanging="2160"/>
      </w:pPr>
      <w:r w:rsidRPr="000A7960">
        <w:t>CT</w:t>
      </w:r>
      <w:r w:rsidR="00C94289">
        <w:tab/>
      </w:r>
      <w:r w:rsidRPr="000A7960">
        <w:t>Clinical Trial</w:t>
      </w:r>
    </w:p>
    <w:p w14:paraId="138189EE" w14:textId="72DE94FE" w:rsidR="00567379" w:rsidRPr="000A7960" w:rsidRDefault="00567379" w:rsidP="00905459">
      <w:pPr>
        <w:pStyle w:val="NCDBodyText"/>
        <w:tabs>
          <w:tab w:val="left" w:pos="2160"/>
        </w:tabs>
        <w:ind w:left="2160" w:hanging="2160"/>
      </w:pPr>
      <w:r w:rsidRPr="000A7960">
        <w:t>DOJ</w:t>
      </w:r>
      <w:r w:rsidR="00C94289">
        <w:tab/>
      </w:r>
      <w:r w:rsidRPr="000A7960">
        <w:t>US Department of Justice</w:t>
      </w:r>
    </w:p>
    <w:p w14:paraId="6B953105" w14:textId="015CDAB5" w:rsidR="00567379" w:rsidRDefault="00567379" w:rsidP="00905459">
      <w:pPr>
        <w:pStyle w:val="NCDBodyText"/>
        <w:tabs>
          <w:tab w:val="left" w:pos="2160"/>
        </w:tabs>
        <w:ind w:left="2160" w:hanging="2160"/>
      </w:pPr>
      <w:r>
        <w:t>DOL</w:t>
      </w:r>
      <w:r w:rsidR="00C94289">
        <w:tab/>
      </w:r>
      <w:r>
        <w:t>US Department of Labor</w:t>
      </w:r>
    </w:p>
    <w:p w14:paraId="55868A8C" w14:textId="28E34126" w:rsidR="00567379" w:rsidRPr="000A7960" w:rsidRDefault="00567379" w:rsidP="00905459">
      <w:pPr>
        <w:pStyle w:val="NCDBodyText"/>
        <w:tabs>
          <w:tab w:val="left" w:pos="2160"/>
        </w:tabs>
        <w:ind w:left="2160" w:hanging="2160"/>
      </w:pPr>
      <w:r w:rsidRPr="000A7960">
        <w:t>DOT</w:t>
      </w:r>
      <w:r w:rsidR="00C94289">
        <w:tab/>
      </w:r>
      <w:r w:rsidRPr="000A7960">
        <w:t>US Department of Transportation</w:t>
      </w:r>
    </w:p>
    <w:p w14:paraId="257DEEE8" w14:textId="0F5FB11A" w:rsidR="00567379" w:rsidRPr="000A7960" w:rsidRDefault="00567379" w:rsidP="00905459">
      <w:pPr>
        <w:pStyle w:val="NCDBodyText"/>
        <w:tabs>
          <w:tab w:val="left" w:pos="2160"/>
        </w:tabs>
        <w:ind w:left="2160" w:hanging="2160"/>
      </w:pPr>
      <w:r w:rsidRPr="000A7960">
        <w:t>FAA</w:t>
      </w:r>
      <w:r w:rsidR="00C94289">
        <w:tab/>
      </w:r>
      <w:r w:rsidRPr="000A7960">
        <w:t>Federal Aviation Administration</w:t>
      </w:r>
    </w:p>
    <w:p w14:paraId="6B431026" w14:textId="30598098" w:rsidR="00567379" w:rsidRPr="000A7960" w:rsidRDefault="00567379" w:rsidP="00905459">
      <w:pPr>
        <w:pStyle w:val="NCDBodyText"/>
        <w:tabs>
          <w:tab w:val="left" w:pos="2160"/>
        </w:tabs>
        <w:ind w:left="2160" w:hanging="2160"/>
      </w:pPr>
      <w:r w:rsidRPr="000A7960">
        <w:t>FDA</w:t>
      </w:r>
      <w:r w:rsidR="00C94289">
        <w:tab/>
      </w:r>
      <w:r w:rsidRPr="000A7960">
        <w:t xml:space="preserve">US Food </w:t>
      </w:r>
      <w:r>
        <w:t>and</w:t>
      </w:r>
      <w:r w:rsidRPr="000A7960">
        <w:t xml:space="preserve"> Drug Administration</w:t>
      </w:r>
    </w:p>
    <w:p w14:paraId="06CF61CB" w14:textId="48282B17" w:rsidR="00567379" w:rsidRPr="000A7960" w:rsidRDefault="00567379" w:rsidP="00905459">
      <w:pPr>
        <w:pStyle w:val="NCDBodyText"/>
        <w:tabs>
          <w:tab w:val="left" w:pos="2160"/>
        </w:tabs>
        <w:ind w:left="2160" w:hanging="2160"/>
      </w:pPr>
      <w:r w:rsidRPr="000A7960">
        <w:t>FDORA</w:t>
      </w:r>
      <w:r w:rsidR="00C94289">
        <w:tab/>
      </w:r>
      <w:r w:rsidRPr="000A7960">
        <w:t xml:space="preserve">Food </w:t>
      </w:r>
      <w:r>
        <w:t>and</w:t>
      </w:r>
      <w:r w:rsidRPr="000A7960">
        <w:t xml:space="preserve"> Drug Omnibus Reform Act</w:t>
      </w:r>
    </w:p>
    <w:p w14:paraId="5CE75015" w14:textId="3FE12B37" w:rsidR="00567379" w:rsidRPr="000A7960" w:rsidRDefault="00567379" w:rsidP="00905459">
      <w:pPr>
        <w:pStyle w:val="NCDBodyText"/>
        <w:tabs>
          <w:tab w:val="left" w:pos="2160"/>
        </w:tabs>
        <w:ind w:left="2160" w:hanging="2160"/>
      </w:pPr>
      <w:r w:rsidRPr="000A7960">
        <w:t>FEMA</w:t>
      </w:r>
      <w:r w:rsidR="00C94289">
        <w:tab/>
      </w:r>
      <w:r w:rsidRPr="000A7960">
        <w:t>Federal Emergency Management A</w:t>
      </w:r>
      <w:r>
        <w:t>gency</w:t>
      </w:r>
    </w:p>
    <w:p w14:paraId="30F81D55" w14:textId="1D8F0F48" w:rsidR="00567379" w:rsidRPr="000A7960" w:rsidRDefault="00567379" w:rsidP="00905459">
      <w:pPr>
        <w:pStyle w:val="NCDBodyText"/>
        <w:tabs>
          <w:tab w:val="left" w:pos="2160"/>
        </w:tabs>
        <w:ind w:left="2160" w:hanging="2160"/>
      </w:pPr>
      <w:r w:rsidRPr="000A7960">
        <w:t>HEADs UP Act</w:t>
      </w:r>
      <w:r w:rsidR="00C94289">
        <w:tab/>
      </w:r>
      <w:r w:rsidRPr="000A7960">
        <w:t xml:space="preserve">Healthcare Extension </w:t>
      </w:r>
      <w:r>
        <w:t>and</w:t>
      </w:r>
      <w:r w:rsidRPr="000A7960">
        <w:t xml:space="preserve"> Accessibility for Developmentally </w:t>
      </w:r>
      <w:r w:rsidR="000548CD">
        <w:t>D</w:t>
      </w:r>
      <w:r w:rsidRPr="000A7960">
        <w:t xml:space="preserve">isabled </w:t>
      </w:r>
      <w:r>
        <w:t>and</w:t>
      </w:r>
      <w:r w:rsidRPr="000A7960">
        <w:t xml:space="preserve"> Underserved Population Act</w:t>
      </w:r>
    </w:p>
    <w:p w14:paraId="398A0857" w14:textId="506EBBAC" w:rsidR="00567379" w:rsidRPr="000A7960" w:rsidRDefault="00567379" w:rsidP="00905459">
      <w:pPr>
        <w:pStyle w:val="NCDBodyText"/>
        <w:tabs>
          <w:tab w:val="left" w:pos="2160"/>
        </w:tabs>
        <w:ind w:left="2160" w:hanging="2160"/>
      </w:pPr>
      <w:r w:rsidRPr="000A7960">
        <w:t>HHS</w:t>
      </w:r>
      <w:r w:rsidR="00C94289">
        <w:tab/>
      </w:r>
      <w:r w:rsidRPr="000A7960">
        <w:t xml:space="preserve">US Department of Health </w:t>
      </w:r>
      <w:r>
        <w:t>and</w:t>
      </w:r>
      <w:r w:rsidRPr="000A7960">
        <w:t xml:space="preserve"> Human Services</w:t>
      </w:r>
    </w:p>
    <w:p w14:paraId="7F6ECFDD" w14:textId="230BD05B" w:rsidR="00567379" w:rsidRPr="000A7960" w:rsidRDefault="00567379" w:rsidP="00905459">
      <w:pPr>
        <w:pStyle w:val="NCDBodyText"/>
        <w:tabs>
          <w:tab w:val="left" w:pos="2160"/>
        </w:tabs>
        <w:ind w:left="2160" w:hanging="2160"/>
      </w:pPr>
      <w:r w:rsidRPr="000A7960">
        <w:t>ICDR</w:t>
      </w:r>
      <w:r w:rsidR="00C94289">
        <w:tab/>
      </w:r>
      <w:r w:rsidRPr="000A7960">
        <w:t>Interagency Committee on Disability Research</w:t>
      </w:r>
    </w:p>
    <w:p w14:paraId="59293E74" w14:textId="4D4C3967" w:rsidR="00567379" w:rsidRPr="000A7960" w:rsidRDefault="00567379" w:rsidP="00905459">
      <w:pPr>
        <w:pStyle w:val="NCDBodyText"/>
        <w:tabs>
          <w:tab w:val="left" w:pos="2160"/>
        </w:tabs>
        <w:ind w:left="2160" w:hanging="2160"/>
      </w:pPr>
      <w:r w:rsidRPr="000A7960">
        <w:t>I</w:t>
      </w:r>
      <w:r>
        <w:t>/</w:t>
      </w:r>
      <w:r w:rsidRPr="000A7960">
        <w:t>DD</w:t>
      </w:r>
      <w:r w:rsidR="00C94289">
        <w:tab/>
      </w:r>
      <w:r w:rsidRPr="000A7960">
        <w:t xml:space="preserve">Intellectual </w:t>
      </w:r>
      <w:r>
        <w:t>and</w:t>
      </w:r>
      <w:r w:rsidRPr="000A7960">
        <w:t xml:space="preserve"> Developmental Disabilities</w:t>
      </w:r>
    </w:p>
    <w:p w14:paraId="1E4DDB02" w14:textId="23AB4C76" w:rsidR="00567379" w:rsidRPr="000A7960" w:rsidRDefault="00567379" w:rsidP="00905459">
      <w:pPr>
        <w:pStyle w:val="NCDBodyText"/>
        <w:tabs>
          <w:tab w:val="left" w:pos="2160"/>
        </w:tabs>
        <w:ind w:left="2160" w:hanging="2160"/>
      </w:pPr>
      <w:r w:rsidRPr="000A7960">
        <w:lastRenderedPageBreak/>
        <w:t>IFR</w:t>
      </w:r>
      <w:r w:rsidR="00C94289">
        <w:tab/>
      </w:r>
      <w:r w:rsidRPr="000A7960">
        <w:t>Interim Final Rule</w:t>
      </w:r>
    </w:p>
    <w:p w14:paraId="2BD7A0AA" w14:textId="29C516EB" w:rsidR="00567379" w:rsidRPr="000A7960" w:rsidRDefault="00567379" w:rsidP="00905459">
      <w:pPr>
        <w:pStyle w:val="NCDBodyText"/>
        <w:tabs>
          <w:tab w:val="left" w:pos="2160"/>
        </w:tabs>
        <w:ind w:left="2160" w:hanging="2160"/>
      </w:pPr>
      <w:r w:rsidRPr="000A7960">
        <w:t>NCD</w:t>
      </w:r>
      <w:r w:rsidR="00C94289">
        <w:tab/>
      </w:r>
      <w:r w:rsidRPr="000A7960">
        <w:t>National Council on Disability</w:t>
      </w:r>
    </w:p>
    <w:p w14:paraId="0A3B516F" w14:textId="51DD0104" w:rsidR="00567379" w:rsidRPr="000A7960" w:rsidRDefault="00567379" w:rsidP="00905459">
      <w:pPr>
        <w:pStyle w:val="NCDBodyText"/>
        <w:tabs>
          <w:tab w:val="left" w:pos="2160"/>
        </w:tabs>
        <w:ind w:left="2160" w:hanging="2160"/>
      </w:pPr>
      <w:r w:rsidRPr="000A7960">
        <w:t>NIDILRR</w:t>
      </w:r>
      <w:r w:rsidR="00C94289">
        <w:tab/>
      </w:r>
      <w:r w:rsidRPr="000A7960">
        <w:t>National Institute on Disability, Independent Living</w:t>
      </w:r>
      <w:r>
        <w:t>,</w:t>
      </w:r>
      <w:r w:rsidRPr="000A7960">
        <w:t xml:space="preserve"> </w:t>
      </w:r>
      <w:r>
        <w:t>and</w:t>
      </w:r>
      <w:r w:rsidRPr="000A7960">
        <w:t xml:space="preserve"> Rehabilitation Research</w:t>
      </w:r>
    </w:p>
    <w:p w14:paraId="20AFC13B" w14:textId="2029BE12" w:rsidR="00567379" w:rsidRPr="000A7960" w:rsidRDefault="00567379" w:rsidP="00905459">
      <w:pPr>
        <w:pStyle w:val="NCDBodyText"/>
        <w:tabs>
          <w:tab w:val="left" w:pos="2160"/>
        </w:tabs>
        <w:ind w:left="2160" w:hanging="2160"/>
      </w:pPr>
      <w:r w:rsidRPr="000A7960">
        <w:t>NIH</w:t>
      </w:r>
      <w:r w:rsidR="00C94289">
        <w:tab/>
      </w:r>
      <w:r w:rsidRPr="000A7960">
        <w:t>National Institutes of Health</w:t>
      </w:r>
    </w:p>
    <w:p w14:paraId="1194A6DD" w14:textId="10E07892" w:rsidR="00567379" w:rsidRPr="000A7960" w:rsidRDefault="00567379" w:rsidP="00905459">
      <w:pPr>
        <w:pStyle w:val="NCDBodyText"/>
        <w:tabs>
          <w:tab w:val="left" w:pos="2160"/>
        </w:tabs>
        <w:ind w:left="2160" w:hanging="2160"/>
      </w:pPr>
      <w:r w:rsidRPr="000A7960">
        <w:t>NIMHD</w:t>
      </w:r>
      <w:r w:rsidR="00C94289">
        <w:tab/>
      </w:r>
      <w:r w:rsidRPr="000A7960">
        <w:t xml:space="preserve">National Institute on Minority Health </w:t>
      </w:r>
      <w:r>
        <w:t>and</w:t>
      </w:r>
      <w:r w:rsidRPr="000A7960">
        <w:t xml:space="preserve"> Health Disparities</w:t>
      </w:r>
    </w:p>
    <w:p w14:paraId="0ED22921" w14:textId="1B56006B" w:rsidR="00567379" w:rsidRPr="000A7960" w:rsidRDefault="00567379" w:rsidP="00905459">
      <w:pPr>
        <w:pStyle w:val="NCDBodyText"/>
        <w:tabs>
          <w:tab w:val="left" w:pos="2160"/>
        </w:tabs>
        <w:ind w:left="2160" w:hanging="2160"/>
      </w:pPr>
      <w:r w:rsidRPr="000A7960">
        <w:t>SMUP</w:t>
      </w:r>
      <w:r w:rsidR="00C94289">
        <w:tab/>
      </w:r>
      <w:r w:rsidRPr="000A7960">
        <w:t>Special Medically Underserved Population</w:t>
      </w:r>
    </w:p>
    <w:p w14:paraId="5C64DC2A" w14:textId="2F1A9B6F" w:rsidR="00905459" w:rsidRDefault="00567379" w:rsidP="00905459">
      <w:pPr>
        <w:pStyle w:val="NCDBodyText"/>
        <w:tabs>
          <w:tab w:val="left" w:pos="2160"/>
        </w:tabs>
        <w:ind w:left="2160" w:hanging="2160"/>
      </w:pPr>
      <w:r w:rsidRPr="0078694C">
        <w:t>VR</w:t>
      </w:r>
      <w:r w:rsidR="00C94289">
        <w:tab/>
      </w:r>
      <w:r w:rsidRPr="0078694C">
        <w:t>Vocational Rehabilitation</w:t>
      </w:r>
    </w:p>
    <w:p w14:paraId="2F809D59" w14:textId="71080997" w:rsidR="00567379" w:rsidRPr="0078694C" w:rsidRDefault="00567379" w:rsidP="00905459">
      <w:pPr>
        <w:pStyle w:val="NCDBodyText"/>
      </w:pPr>
      <w:r w:rsidRPr="0078694C">
        <w:br w:type="page"/>
      </w:r>
    </w:p>
    <w:p w14:paraId="7421284F" w14:textId="77777777" w:rsidR="00567379" w:rsidRPr="000A7960" w:rsidRDefault="00567379" w:rsidP="00F902D0">
      <w:pPr>
        <w:pStyle w:val="Heading1"/>
        <w:spacing w:line="360" w:lineRule="auto"/>
      </w:pPr>
      <w:bookmarkStart w:id="68" w:name="_Toc178855291"/>
      <w:r w:rsidRPr="000A7960">
        <w:lastRenderedPageBreak/>
        <w:t>Section 1: Health Status and Healthcare</w:t>
      </w:r>
      <w:bookmarkEnd w:id="68"/>
    </w:p>
    <w:p w14:paraId="2310DB19" w14:textId="77777777" w:rsidR="00567379" w:rsidRPr="000A7960" w:rsidRDefault="00567379" w:rsidP="00583157">
      <w:pPr>
        <w:pStyle w:val="Heading2"/>
      </w:pPr>
      <w:bookmarkStart w:id="69" w:name="_Toc178855292"/>
      <w:r w:rsidRPr="000A7960">
        <w:t>Health Disparities of People with Disabilities</w:t>
      </w:r>
      <w:bookmarkEnd w:id="69"/>
    </w:p>
    <w:p w14:paraId="58B21BB5" w14:textId="77777777" w:rsidR="00567379" w:rsidRPr="000A7960" w:rsidRDefault="00567379" w:rsidP="00583157">
      <w:pPr>
        <w:pStyle w:val="NCDBodyText"/>
      </w:pPr>
      <w:r w:rsidRPr="000A7960">
        <w:t>For years</w:t>
      </w:r>
      <w:r>
        <w:t>, the National Council on Disability</w:t>
      </w:r>
      <w:r w:rsidRPr="000A7960">
        <w:t xml:space="preserve"> </w:t>
      </w:r>
      <w:r>
        <w:t>(</w:t>
      </w:r>
      <w:r w:rsidRPr="000A7960">
        <w:t>NCD</w:t>
      </w:r>
      <w:r>
        <w:t>)</w:t>
      </w:r>
      <w:r w:rsidRPr="000A7960">
        <w:t xml:space="preserve"> has espoused that the predicate to a person’s ability to live, learn, and earn is to attain and maintain access to appropriate healthcare</w:t>
      </w:r>
      <w:r>
        <w:t>—</w:t>
      </w:r>
      <w:r w:rsidRPr="000A7960">
        <w:t>mental, physical, and overall well-being. For people across all categories of disabilities, attaining and maintaining good health has been elusive due in part to extensive barriers and bias within the US healthcare system</w:t>
      </w:r>
      <w:r>
        <w:t>. The US healthcare system has,</w:t>
      </w:r>
      <w:r w:rsidRPr="000A7960">
        <w:t xml:space="preserve"> for generations</w:t>
      </w:r>
      <w:r>
        <w:t>,</w:t>
      </w:r>
      <w:r w:rsidRPr="000A7960">
        <w:t xml:space="preserve"> failed to appropriately consider and treat 26</w:t>
      </w:r>
      <w:r>
        <w:t xml:space="preserve"> percent</w:t>
      </w:r>
      <w:r w:rsidRPr="000A7960">
        <w:t xml:space="preserve"> of the US population</w:t>
      </w:r>
      <w:r>
        <w:t>,</w:t>
      </w:r>
      <w:r w:rsidRPr="000A7960">
        <w:t xml:space="preserve"> so much so, in fact, that many people with disabilities utilize the healthcare system only for acute episodes or basic disease management instead of disease prevention or general wellness and </w:t>
      </w:r>
      <w:r>
        <w:t>may</w:t>
      </w:r>
      <w:r w:rsidRPr="000A7960">
        <w:t xml:space="preserve"> even view the healthcare system as a source of potential harm. Much of the well-documented barriers and bias that exist within the current US healthcare system are </w:t>
      </w:r>
      <w:r>
        <w:t>due</w:t>
      </w:r>
      <w:r w:rsidRPr="000A7960">
        <w:t xml:space="preserve"> to an absence of even minimal disability cultural competency curricula in medical, nursing, and other health professional schools. The ultimate product of these barriers and bias is </w:t>
      </w:r>
      <w:proofErr w:type="gramStart"/>
      <w:r w:rsidRPr="000A7960">
        <w:t>decades</w:t>
      </w:r>
      <w:proofErr w:type="gramEnd"/>
      <w:r>
        <w:t>-</w:t>
      </w:r>
      <w:r w:rsidRPr="000A7960">
        <w:t>long significant health disparities between people with disabilities and their nondisabled counterparts, which are particularly acute in certain disability subpopulations. Today, in the United States, if you are a person with a physical, intellectual, or developmental disability, your life expectancy is less than that of someone without disabilities.</w:t>
      </w:r>
      <w:r w:rsidRPr="000A7960">
        <w:rPr>
          <w:rStyle w:val="EndnoteReference"/>
          <w:rFonts w:eastAsia="Times New Roman" w:cs="Arial"/>
          <w:sz w:val="23"/>
          <w:szCs w:val="23"/>
        </w:rPr>
        <w:endnoteReference w:id="2"/>
      </w:r>
      <w:r w:rsidRPr="000A7960">
        <w:t xml:space="preserve"> You are more than three times as likely to have arthritis, diabetes, and a heart attack.</w:t>
      </w:r>
      <w:r w:rsidRPr="000A7960">
        <w:rPr>
          <w:rStyle w:val="EndnoteReference"/>
          <w:rFonts w:eastAsia="Times New Roman" w:cs="Arial"/>
          <w:sz w:val="23"/>
          <w:szCs w:val="23"/>
        </w:rPr>
        <w:endnoteReference w:id="3"/>
      </w:r>
      <w:r w:rsidRPr="000A7960">
        <w:t xml:space="preserve"> You are significantly more likely to have unmet medical, dental, and prescription needs.</w:t>
      </w:r>
      <w:r w:rsidRPr="000A7960">
        <w:rPr>
          <w:rStyle w:val="EndnoteReference"/>
          <w:rFonts w:eastAsia="Times New Roman" w:cs="Arial"/>
          <w:sz w:val="23"/>
          <w:szCs w:val="23"/>
        </w:rPr>
        <w:endnoteReference w:id="4"/>
      </w:r>
    </w:p>
    <w:p w14:paraId="2F6DB4FE" w14:textId="77777777" w:rsidR="00567379" w:rsidRPr="000A7960" w:rsidRDefault="00567379" w:rsidP="00583157">
      <w:pPr>
        <w:pStyle w:val="NCDBodyText"/>
      </w:pPr>
      <w:r w:rsidRPr="000A7960">
        <w:t>Following consultation with people with disabilities as well as a multidisciplinary team of disability and health policy experts, and after years of NCD’s own health disparities research, NCD released and continues to regularly update its Framework to End Health Disparities for People with Disabilities (Framework). The Framework noted five core recommendations</w:t>
      </w:r>
      <w:r>
        <w:t xml:space="preserve"> that</w:t>
      </w:r>
      <w:r w:rsidRPr="000A7960">
        <w:t>, if achieved, will be significant steps forward in the journey to end health disparities for people with disabilities.</w:t>
      </w:r>
    </w:p>
    <w:p w14:paraId="1589EC75" w14:textId="77777777" w:rsidR="00ED6949" w:rsidRDefault="00ED6949">
      <w:pPr>
        <w:spacing w:after="160" w:line="259" w:lineRule="auto"/>
        <w:rPr>
          <w:rFonts w:eastAsia="Calibri" w:cs="Calibri"/>
          <w:b/>
          <w:i/>
          <w:color w:val="000000"/>
          <w:szCs w:val="24"/>
          <w:u w:color="000000"/>
          <w:bdr w:val="nil"/>
        </w:rPr>
      </w:pPr>
      <w:r>
        <w:rPr>
          <w:b/>
          <w:i/>
        </w:rPr>
        <w:br w:type="page"/>
      </w:r>
    </w:p>
    <w:p w14:paraId="11E42D4D" w14:textId="378F750B" w:rsidR="00567379" w:rsidRPr="00583157" w:rsidRDefault="00567379" w:rsidP="00583157">
      <w:pPr>
        <w:pStyle w:val="NCDBodyText"/>
        <w:rPr>
          <w:b/>
          <w:i/>
        </w:rPr>
      </w:pPr>
      <w:r w:rsidRPr="00583157">
        <w:rPr>
          <w:b/>
          <w:i/>
        </w:rPr>
        <w:lastRenderedPageBreak/>
        <w:t>Recommendations Made by NCD Concerning Health Disparities of People with Disabilities</w:t>
      </w:r>
    </w:p>
    <w:p w14:paraId="2400C16C" w14:textId="77777777" w:rsidR="00567379" w:rsidRPr="00583157" w:rsidRDefault="00567379" w:rsidP="00583157">
      <w:pPr>
        <w:pStyle w:val="NCDBodyText"/>
        <w:rPr>
          <w:b/>
        </w:rPr>
      </w:pPr>
      <w:r w:rsidRPr="00583157">
        <w:rPr>
          <w:b/>
        </w:rPr>
        <w:t>1. The US Department of Health and Human Services (HHS) should designate people with disabilities as a Health Disparities Population.</w:t>
      </w:r>
    </w:p>
    <w:p w14:paraId="2D5A3061" w14:textId="77777777" w:rsidR="00583157" w:rsidRDefault="00567379" w:rsidP="00583157">
      <w:pPr>
        <w:pStyle w:val="NCDBodyText"/>
      </w:pPr>
      <w:r w:rsidRPr="00583157">
        <w:rPr>
          <w:b/>
          <w:i/>
        </w:rPr>
        <w:t>Health Disparities Population Designation of People with Disabilities Developments</w:t>
      </w:r>
      <w:r w:rsidRPr="00340176">
        <w:rPr>
          <w:b/>
        </w:rPr>
        <w:t>:</w:t>
      </w:r>
      <w:r w:rsidR="00583157">
        <w:t xml:space="preserve"> </w:t>
      </w:r>
      <w:r w:rsidRPr="000A7960">
        <w:t>In September 2023, the Director of the National Institute on Minority Health and Health Disparities (NIMHD) designated people with disabilities as a Health Disparities Population.</w:t>
      </w:r>
      <w:r w:rsidRPr="000A7960">
        <w:rPr>
          <w:rStyle w:val="EndnoteReference"/>
          <w:rFonts w:eastAsia="Times New Roman" w:cs="Arial"/>
          <w:sz w:val="23"/>
          <w:szCs w:val="23"/>
        </w:rPr>
        <w:endnoteReference w:id="5"/>
      </w:r>
      <w:r w:rsidRPr="000A7960">
        <w:t xml:space="preserve"> This designation will encourage</w:t>
      </w:r>
      <w:r>
        <w:t>,</w:t>
      </w:r>
      <w:r w:rsidRPr="000A7960">
        <w:t xml:space="preserve"> through funding</w:t>
      </w:r>
      <w:r>
        <w:t xml:space="preserve">, </w:t>
      </w:r>
      <w:r w:rsidRPr="000A7960">
        <w:t xml:space="preserve">significant research into the healthcare concerns of people with disabilities by the National Institutes of Health (NIH). Prior to the announcement, NCD had extensively advised NIMHD of the justification in support of this recommendation and was pleased to see this vital and momentous designation be made. With this decision, </w:t>
      </w:r>
      <w:r>
        <w:t>HHS</w:t>
      </w:r>
      <w:r w:rsidRPr="000A7960">
        <w:t xml:space="preserve"> agreed that research is needed to understand the barriers and unmet healthcare needs faced by people with disabilities and to develop effective interventions to address them</w:t>
      </w:r>
      <w:r>
        <w:t>,</w:t>
      </w:r>
      <w:r w:rsidRPr="000A7960">
        <w:t xml:space="preserve"> and </w:t>
      </w:r>
      <w:r>
        <w:t xml:space="preserve">this research </w:t>
      </w:r>
      <w:r w:rsidRPr="000A7960">
        <w:t>would be facilitated through this designation. NCD commends NIH for taking this significant step of formally recognizing the health disparities faced by people with disabilities. This acknowledgment will undoubtedly lead to increased investment in research aimed at addressing and eliminating these disparities.</w:t>
      </w:r>
    </w:p>
    <w:p w14:paraId="290EF244" w14:textId="2DF92E1C" w:rsidR="00567379" w:rsidRPr="000A7960" w:rsidRDefault="00567379" w:rsidP="00583157">
      <w:pPr>
        <w:pStyle w:val="NCDBodyText"/>
        <w:rPr>
          <w:rFonts w:eastAsia="Times New Roman" w:cs="Arial"/>
          <w:sz w:val="23"/>
          <w:szCs w:val="23"/>
        </w:rPr>
      </w:pPr>
      <w:r w:rsidRPr="000A7960">
        <w:rPr>
          <w:rFonts w:eastAsia="Times New Roman" w:cs="Arial"/>
          <w:b/>
          <w:bCs/>
          <w:sz w:val="23"/>
          <w:szCs w:val="23"/>
        </w:rPr>
        <w:t>2. Congress should designate people with disabilities as a Special Medically Underserved Population under the Public Health Service Act.</w:t>
      </w:r>
    </w:p>
    <w:p w14:paraId="3D70F30B" w14:textId="77777777" w:rsidR="00567379" w:rsidRPr="00472D06" w:rsidRDefault="00567379" w:rsidP="00472D06">
      <w:pPr>
        <w:pStyle w:val="NCDBodyText"/>
        <w:rPr>
          <w:b/>
          <w:i/>
        </w:rPr>
      </w:pPr>
      <w:r w:rsidRPr="00472D06">
        <w:rPr>
          <w:b/>
          <w:i/>
        </w:rPr>
        <w:t>Special Medically Underserved Population Designation of People with Disabilities Developments:</w:t>
      </w:r>
    </w:p>
    <w:p w14:paraId="3128CCC1" w14:textId="099A54CB" w:rsidR="00567379" w:rsidRPr="000A7960" w:rsidRDefault="00567379" w:rsidP="00472D06">
      <w:pPr>
        <w:pStyle w:val="NCDBodyText"/>
      </w:pPr>
      <w:r w:rsidRPr="000A7960">
        <w:t xml:space="preserve">NCD continues to work closely with Members of Congress regarding the Healthcare Extension and Accessibility for Developmentally </w:t>
      </w:r>
      <w:r w:rsidR="007671B4">
        <w:t>D</w:t>
      </w:r>
      <w:r w:rsidRPr="000A7960">
        <w:t xml:space="preserve">isabled and Underserved Population Act </w:t>
      </w:r>
      <w:r>
        <w:t>(</w:t>
      </w:r>
      <w:r w:rsidRPr="000A7960">
        <w:t>HEADs UP Act</w:t>
      </w:r>
      <w:r>
        <w:t>)</w:t>
      </w:r>
      <w:r w:rsidRPr="000A7960">
        <w:t>, which NCD helped draft. This bill seeks to designate all people in the U</w:t>
      </w:r>
      <w:r>
        <w:t xml:space="preserve">nited </w:t>
      </w:r>
      <w:r w:rsidRPr="000A7960">
        <w:t>S</w:t>
      </w:r>
      <w:r>
        <w:t>tates</w:t>
      </w:r>
      <w:r w:rsidRPr="000A7960">
        <w:t xml:space="preserve"> with intellectual and developmental disabilities (I/DD) as a “Special Medically Underserved Population” (SMUP)</w:t>
      </w:r>
      <w:r>
        <w:t>,</w:t>
      </w:r>
      <w:r w:rsidRPr="000A7960">
        <w:t xml:space="preserve"> thereby providing significant government programs aimed at increasing access of people with I/DD to essential healthcare services (including federal funding for health centers and public health infrastructure </w:t>
      </w:r>
      <w:r w:rsidRPr="000A7960">
        <w:lastRenderedPageBreak/>
        <w:t xml:space="preserve">such as </w:t>
      </w:r>
      <w:r>
        <w:t>f</w:t>
      </w:r>
      <w:r w:rsidRPr="000A7960">
        <w:t xml:space="preserve">ederally </w:t>
      </w:r>
      <w:r>
        <w:t>q</w:t>
      </w:r>
      <w:r w:rsidRPr="000A7960">
        <w:t xml:space="preserve">ualified </w:t>
      </w:r>
      <w:r>
        <w:t>h</w:t>
      </w:r>
      <w:r w:rsidRPr="000A7960">
        <w:t xml:space="preserve">ealth </w:t>
      </w:r>
      <w:r>
        <w:t>c</w:t>
      </w:r>
      <w:r w:rsidRPr="000A7960">
        <w:t>enters</w:t>
      </w:r>
      <w:r>
        <w:t>;</w:t>
      </w:r>
      <w:r w:rsidRPr="000A7960">
        <w:t xml:space="preserve"> eligibility to apply for federal funding to develop and operate </w:t>
      </w:r>
      <w:r>
        <w:t>c</w:t>
      </w:r>
      <w:r w:rsidRPr="000A7960">
        <w:t xml:space="preserve">ommunity </w:t>
      </w:r>
      <w:r>
        <w:t>h</w:t>
      </w:r>
      <w:r w:rsidRPr="000A7960">
        <w:t xml:space="preserve">ealth </w:t>
      </w:r>
      <w:r>
        <w:t>c</w:t>
      </w:r>
      <w:r w:rsidRPr="000A7960">
        <w:t>enters</w:t>
      </w:r>
      <w:r>
        <w:t>;</w:t>
      </w:r>
      <w:r w:rsidRPr="000A7960">
        <w:t xml:space="preserve"> access to loan repayment and training programs in </w:t>
      </w:r>
      <w:r>
        <w:t>w</w:t>
      </w:r>
      <w:r w:rsidRPr="000A7960">
        <w:t xml:space="preserve">orkforce </w:t>
      </w:r>
      <w:r>
        <w:t>d</w:t>
      </w:r>
      <w:r w:rsidRPr="000A7960">
        <w:t xml:space="preserve">evelopment and </w:t>
      </w:r>
      <w:r>
        <w:t>t</w:t>
      </w:r>
      <w:r w:rsidRPr="000A7960">
        <w:t xml:space="preserve">raining </w:t>
      </w:r>
      <w:r>
        <w:t>p</w:t>
      </w:r>
      <w:r w:rsidRPr="000A7960">
        <w:t xml:space="preserve">rograms for providers </w:t>
      </w:r>
      <w:r>
        <w:t>who</w:t>
      </w:r>
      <w:r w:rsidRPr="000A7960">
        <w:t xml:space="preserve"> treat the underserved population, including the National Health Service Corps </w:t>
      </w:r>
      <w:r>
        <w:t>s</w:t>
      </w:r>
      <w:r w:rsidRPr="000A7960">
        <w:t>cholarships, among others). NCD’s position is that all people with disabilities warrant such a designation based on the body of health disparities research</w:t>
      </w:r>
      <w:r>
        <w:t>;</w:t>
      </w:r>
      <w:r w:rsidRPr="000A7960">
        <w:t xml:space="preserve"> therefore</w:t>
      </w:r>
      <w:r>
        <w:t>,</w:t>
      </w:r>
      <w:r w:rsidRPr="000A7960">
        <w:t xml:space="preserve"> NCD recommends passage of the </w:t>
      </w:r>
      <w:proofErr w:type="gramStart"/>
      <w:r w:rsidRPr="000A7960">
        <w:t>HEADs Up</w:t>
      </w:r>
      <w:proofErr w:type="gramEnd"/>
      <w:r w:rsidRPr="000A7960">
        <w:t xml:space="preserve"> Act, which would mark progress toward that end by designating an important subpopulation with specific health disparities.</w:t>
      </w:r>
    </w:p>
    <w:p w14:paraId="2F956CFB" w14:textId="175A2422" w:rsidR="00472D06" w:rsidRDefault="00567379" w:rsidP="00472D06">
      <w:pPr>
        <w:pStyle w:val="NCDBodyText"/>
      </w:pPr>
      <w:r w:rsidRPr="000A7960">
        <w:t xml:space="preserve">Additionally, in the US Senate, Sens. </w:t>
      </w:r>
      <w:r>
        <w:t xml:space="preserve">Robert P. </w:t>
      </w:r>
      <w:r w:rsidRPr="000A7960">
        <w:t>Casey</w:t>
      </w:r>
      <w:r>
        <w:t xml:space="preserve"> Jr.</w:t>
      </w:r>
      <w:r w:rsidRPr="000A7960">
        <w:t xml:space="preserve">, </w:t>
      </w:r>
      <w:r>
        <w:t xml:space="preserve">Tim </w:t>
      </w:r>
      <w:r w:rsidRPr="000A7960">
        <w:t xml:space="preserve">Kaine, </w:t>
      </w:r>
      <w:r>
        <w:t xml:space="preserve">Tammy </w:t>
      </w:r>
      <w:r w:rsidRPr="000A7960">
        <w:t xml:space="preserve">Duckworth, and </w:t>
      </w:r>
      <w:r>
        <w:t xml:space="preserve">Jeff </w:t>
      </w:r>
      <w:r w:rsidRPr="000A7960">
        <w:t xml:space="preserve">Merkley introduced the Health Equity for People with Disabilities Act, which seeks to modify certain grants available to health centers that offer primary health services to medically underserved populations to ensure that members of such populations with disabilities receive accessible health services. While not seeking </w:t>
      </w:r>
      <w:proofErr w:type="gramStart"/>
      <w:r w:rsidRPr="000A7960">
        <w:t>a SMUP</w:t>
      </w:r>
      <w:proofErr w:type="gramEnd"/>
      <w:r w:rsidRPr="000A7960">
        <w:t xml:space="preserve"> designation, the bill would amend the Public Health Services Act to clarify that among the groups already classified as medically underserved populations, the needs of people with disabilities </w:t>
      </w:r>
      <w:r>
        <w:t>wi</w:t>
      </w:r>
      <w:r w:rsidRPr="000A7960">
        <w:t>ll be a priority to reduce health disparities. Under this disability priority, health centers across the U</w:t>
      </w:r>
      <w:r>
        <w:t xml:space="preserve">nited </w:t>
      </w:r>
      <w:r w:rsidRPr="000A7960">
        <w:t>S</w:t>
      </w:r>
      <w:r>
        <w:t>tates</w:t>
      </w:r>
      <w:r w:rsidRPr="000A7960">
        <w:t xml:space="preserve"> would also be able to use quality improvement grants to focus on improving accessibility accommodations and reducing barriers to care within their clinics, which may improve healthcare services to millions of Americans with disabilities. NCD supports this effort as consistent with the principles of NCD’s advisement in its Framework.</w:t>
      </w:r>
    </w:p>
    <w:p w14:paraId="163F0DCD" w14:textId="0D0E0712" w:rsidR="00567379" w:rsidRPr="00472D06" w:rsidRDefault="00567379" w:rsidP="00472D06">
      <w:pPr>
        <w:pStyle w:val="NCDBodyText"/>
        <w:rPr>
          <w:b/>
        </w:rPr>
      </w:pPr>
      <w:r w:rsidRPr="00472D06">
        <w:rPr>
          <w:b/>
        </w:rPr>
        <w:t>3. Standardized disability clinical care curricula should be required of all US medical, nursing, and other healthcare professional schools and disability competency education and training of all medical, nursing, and other healthcare professionals.</w:t>
      </w:r>
    </w:p>
    <w:p w14:paraId="247A15F9" w14:textId="77777777" w:rsidR="00472D06" w:rsidRDefault="00567379" w:rsidP="00472D06">
      <w:pPr>
        <w:pStyle w:val="NCDBodyText"/>
        <w:spacing w:after="0"/>
        <w:rPr>
          <w:b/>
          <w:bCs/>
        </w:rPr>
      </w:pPr>
      <w:r w:rsidRPr="000A7960">
        <w:rPr>
          <w:b/>
          <w:bCs/>
          <w:i/>
          <w:iCs/>
        </w:rPr>
        <w:t>Standardized Disability Clinical Care and Competency Education Developments</w:t>
      </w:r>
      <w:r w:rsidRPr="000A7960">
        <w:rPr>
          <w:b/>
          <w:bCs/>
        </w:rPr>
        <w:t>:</w:t>
      </w:r>
    </w:p>
    <w:p w14:paraId="0C013390" w14:textId="7FCE32A6" w:rsidR="00567379" w:rsidRPr="000A7960" w:rsidRDefault="00567379" w:rsidP="00472D06">
      <w:pPr>
        <w:pStyle w:val="NCDBodyText"/>
        <w:rPr>
          <w:b/>
          <w:bCs/>
        </w:rPr>
      </w:pPr>
      <w:r w:rsidRPr="000A7960">
        <w:t xml:space="preserve">NCD has collaborated with relevant nongovernment organizations to raise awareness of the need to include disability clinical care and competency training in medical and nursing education programs. These organizations include the Association of American Medical Colleges, the Accreditation Council </w:t>
      </w:r>
      <w:r>
        <w:t>for</w:t>
      </w:r>
      <w:r w:rsidRPr="000A7960">
        <w:t xml:space="preserve"> Graduate Medical Education, and </w:t>
      </w:r>
      <w:r>
        <w:t>T</w:t>
      </w:r>
      <w:r w:rsidRPr="000A7960">
        <w:t xml:space="preserve">he </w:t>
      </w:r>
      <w:r w:rsidRPr="000A7960">
        <w:lastRenderedPageBreak/>
        <w:t>Joint Commission</w:t>
      </w:r>
      <w:r>
        <w:t xml:space="preserve"> (on hospital accreditation)</w:t>
      </w:r>
      <w:r w:rsidRPr="000A7960">
        <w:t xml:space="preserve">, among others. A major national conference serving heads of medical education programs is being organized by the Accreditation Council </w:t>
      </w:r>
      <w:r>
        <w:t>for</w:t>
      </w:r>
      <w:r w:rsidRPr="000A7960">
        <w:t xml:space="preserve"> Graduate Medical Education and the Association of American Medical Colleges around this important issue for March 2025. This policy step would no doubt serve as a crucial component toward ending the health disparities of people with disabilities and must continue to be pursued as a matter of policy.</w:t>
      </w:r>
    </w:p>
    <w:p w14:paraId="527AE3E3" w14:textId="3F3595D6" w:rsidR="00567379" w:rsidRPr="00472D06" w:rsidRDefault="00567379" w:rsidP="00472D06">
      <w:pPr>
        <w:pStyle w:val="NCDBodyText"/>
        <w:rPr>
          <w:b/>
        </w:rPr>
      </w:pPr>
      <w:r w:rsidRPr="00472D06">
        <w:rPr>
          <w:b/>
        </w:rPr>
        <w:t>4. Improved health data collection for people with disabilities should be required across US government programs.</w:t>
      </w:r>
    </w:p>
    <w:p w14:paraId="4F854B1D" w14:textId="77777777" w:rsidR="00567379" w:rsidRPr="00472D06" w:rsidRDefault="00567379" w:rsidP="00472D06">
      <w:pPr>
        <w:pStyle w:val="NCDBodyText"/>
        <w:spacing w:after="0"/>
        <w:rPr>
          <w:b/>
          <w:i/>
        </w:rPr>
      </w:pPr>
      <w:r w:rsidRPr="00472D06">
        <w:rPr>
          <w:b/>
          <w:i/>
        </w:rPr>
        <w:t>Improved Health Data Collection for People with Disabilities Developments:</w:t>
      </w:r>
    </w:p>
    <w:p w14:paraId="479F7499" w14:textId="77777777" w:rsidR="00567379" w:rsidRPr="000A7960" w:rsidRDefault="00567379" w:rsidP="00472D06">
      <w:pPr>
        <w:pStyle w:val="NCDBodyText"/>
      </w:pPr>
      <w:r w:rsidRPr="000A7960">
        <w:t xml:space="preserve">The National Institute on Disability, Independent Living, and Rehabilitation Research </w:t>
      </w:r>
      <w:r>
        <w:t>(</w:t>
      </w:r>
      <w:r w:rsidRPr="00F035A6">
        <w:t>NIDILRR</w:t>
      </w:r>
      <w:r>
        <w:t xml:space="preserve">) </w:t>
      </w:r>
      <w:r w:rsidRPr="000A7960">
        <w:t xml:space="preserve">and the Interagency Committee on Disability Research </w:t>
      </w:r>
      <w:r>
        <w:t xml:space="preserve">(ICDR) </w:t>
      </w:r>
      <w:r w:rsidRPr="000A7960">
        <w:t xml:space="preserve">had relaunched and reimagined the Disability Data </w:t>
      </w:r>
      <w:r>
        <w:t>and</w:t>
      </w:r>
      <w:r w:rsidRPr="000A7960">
        <w:t xml:space="preserve"> Statistics Working Group. This working group focuses on establishing greater coordination and collaboration related to disability statistics, terminology, and data collection. The ICDR released a toolkit, </w:t>
      </w:r>
      <w:r w:rsidRPr="00BE429D">
        <w:rPr>
          <w:i/>
          <w:iCs/>
        </w:rPr>
        <w:t>Surveying the Landscape of Disability Data and Statistics</w:t>
      </w:r>
      <w:r w:rsidRPr="000A7960">
        <w:t>, that catalogs federal research and resources and outlines the current federal landscape of disability data and statistics, with the intention of promoting interagency collaboration at the federal level.</w:t>
      </w:r>
      <w:r w:rsidRPr="000A7960">
        <w:rPr>
          <w:rStyle w:val="EndnoteReference"/>
          <w:rFonts w:eastAsia="Times New Roman" w:cs="Arial"/>
          <w:sz w:val="23"/>
          <w:szCs w:val="23"/>
        </w:rPr>
        <w:endnoteReference w:id="6"/>
      </w:r>
    </w:p>
    <w:p w14:paraId="452C3A8C" w14:textId="7F50870A" w:rsidR="00567379" w:rsidRPr="000A7960" w:rsidRDefault="00567379" w:rsidP="00472D06">
      <w:pPr>
        <w:pStyle w:val="NCDBodyText"/>
      </w:pPr>
      <w:r w:rsidRPr="000A7960">
        <w:t>Further, the Administration for Community Living leads a cross-agency initiative called I/DD Counts</w:t>
      </w:r>
      <w:r>
        <w:t>—</w:t>
      </w:r>
      <w:r w:rsidRPr="000A7960">
        <w:t>an initiative established to maintain accurate data on the prevalence of I/DD in the United States and its territories and to improve the collection, analysis</w:t>
      </w:r>
      <w:r>
        <w:t>,</w:t>
      </w:r>
      <w:r w:rsidRPr="000A7960">
        <w:t xml:space="preserve"> and interpretation of the health-related data of people with I/DD. Its vital focus continues.</w:t>
      </w:r>
    </w:p>
    <w:p w14:paraId="658A9897" w14:textId="4E812924" w:rsidR="00472D06" w:rsidRPr="00472D06" w:rsidRDefault="00567379" w:rsidP="00472D06">
      <w:pPr>
        <w:pStyle w:val="NCDBodyText"/>
        <w:rPr>
          <w:b/>
        </w:rPr>
      </w:pPr>
      <w:r w:rsidRPr="00472D06">
        <w:rPr>
          <w:b/>
        </w:rPr>
        <w:t>5. Accessible medical and diagnostic equipment should be required.</w:t>
      </w:r>
    </w:p>
    <w:p w14:paraId="4CCEEB32" w14:textId="40CF1CB1" w:rsidR="00567379" w:rsidRPr="00472D06" w:rsidRDefault="00567379" w:rsidP="00472D06">
      <w:pPr>
        <w:pStyle w:val="NCDBodyText"/>
        <w:spacing w:after="0"/>
        <w:rPr>
          <w:b/>
          <w:i/>
        </w:rPr>
      </w:pPr>
      <w:r w:rsidRPr="00472D06">
        <w:rPr>
          <w:b/>
          <w:i/>
        </w:rPr>
        <w:t>Accessible Medical and Diagnostic Equipment Developments:</w:t>
      </w:r>
    </w:p>
    <w:p w14:paraId="3921AAF1" w14:textId="77777777" w:rsidR="00567379" w:rsidRPr="000A7960" w:rsidRDefault="00567379" w:rsidP="00472D06">
      <w:pPr>
        <w:pStyle w:val="NCDBodyText"/>
      </w:pPr>
      <w:r w:rsidRPr="000A7960">
        <w:t xml:space="preserve">The final revised Section 504 (of the Rehabilitation Act) rule by the Office </w:t>
      </w:r>
      <w:r>
        <w:t>for</w:t>
      </w:r>
      <w:r w:rsidRPr="000A7960">
        <w:t xml:space="preserve"> Civil Rights of the </w:t>
      </w:r>
      <w:r>
        <w:t>HHS</w:t>
      </w:r>
      <w:r w:rsidRPr="000A7960">
        <w:t xml:space="preserve"> included significant requirements mandating the use of accessible medical and diagnostic equipment</w:t>
      </w:r>
      <w:r>
        <w:t xml:space="preserve"> (AMDE)</w:t>
      </w:r>
      <w:r w:rsidRPr="000A7960">
        <w:t>. The final rule adopts the Architectural and Transportation Barriers Compliance Board</w:t>
      </w:r>
      <w:r>
        <w:t>’s</w:t>
      </w:r>
      <w:r w:rsidRPr="000A7960">
        <w:t xml:space="preserve"> </w:t>
      </w:r>
      <w:r>
        <w:t>(</w:t>
      </w:r>
      <w:r w:rsidRPr="000A7960">
        <w:t>US Access Board</w:t>
      </w:r>
      <w:r>
        <w:t xml:space="preserve">) </w:t>
      </w:r>
      <w:r w:rsidRPr="000A7960">
        <w:t xml:space="preserve">standards for </w:t>
      </w:r>
      <w:r>
        <w:t>AMDE,</w:t>
      </w:r>
      <w:r w:rsidRPr="000A7960">
        <w:t xml:space="preserve"> which were voluntary</w:t>
      </w:r>
      <w:r>
        <w:t>,</w:t>
      </w:r>
      <w:r w:rsidRPr="000A7960">
        <w:t xml:space="preserve"> and </w:t>
      </w:r>
      <w:proofErr w:type="gramStart"/>
      <w:r w:rsidRPr="000A7960">
        <w:t>makes</w:t>
      </w:r>
      <w:proofErr w:type="gramEnd"/>
      <w:r w:rsidRPr="000A7960">
        <w:t xml:space="preserve"> them required and enforceable. The final rule also requires that within two years of the effective date, recipients using examination tables </w:t>
      </w:r>
      <w:r w:rsidRPr="000A7960">
        <w:lastRenderedPageBreak/>
        <w:t>and/or weight scales have at least one accessible version of the equipment. This historic rulemaking cited to and incorporated many of NCD’s research-based recommendations, including its repeated advisement to require AMDE.</w:t>
      </w:r>
      <w:r w:rsidRPr="000A7960">
        <w:rPr>
          <w:rStyle w:val="EndnoteReference"/>
          <w:rFonts w:cs="Arial"/>
          <w:sz w:val="23"/>
          <w:szCs w:val="23"/>
        </w:rPr>
        <w:endnoteReference w:id="7"/>
      </w:r>
    </w:p>
    <w:p w14:paraId="49DF6143" w14:textId="77777777" w:rsidR="00567379" w:rsidRPr="000A7960" w:rsidRDefault="00567379" w:rsidP="00472D06">
      <w:pPr>
        <w:pStyle w:val="NCDBodyText"/>
      </w:pPr>
      <w:r w:rsidRPr="000A7960">
        <w:t>Additionally, NIH is working on developing accessible home medical tests for people with disabilities. NIH seeks to make improvements in the design of home medical tests in three focus areas: individuals who have low or no vision, individuals with fine motor skill difficulties, and older adults. Issues to be addressed include (1) the need for more intuitive test packaging, (2) the need for clearer instruction, (3) the need for easier maneuver test components (small test components, difficult to manipulate, frequent accidental test damage or contamination), and (4) the need for more descriptive results (currently, they often lack a clear readout and lack a nonvisual means of result interpretation). The goal is to ensure that tests that consumers use in their homes are accessible for people with vision disabilities and disabilities that impact dexterity.</w:t>
      </w:r>
    </w:p>
    <w:p w14:paraId="22F4AB1C" w14:textId="17BCE969" w:rsidR="00567379" w:rsidRPr="000A7960" w:rsidRDefault="00567379" w:rsidP="00472D06">
      <w:pPr>
        <w:pStyle w:val="NCDBodyText"/>
      </w:pPr>
      <w:r w:rsidRPr="000A7960">
        <w:t xml:space="preserve">On the enforcement front, </w:t>
      </w:r>
      <w:r>
        <w:t>HHS</w:t>
      </w:r>
      <w:r w:rsidRPr="000A7960">
        <w:t>, Office for Civil Rights</w:t>
      </w:r>
      <w:r>
        <w:t>,</w:t>
      </w:r>
      <w:r w:rsidRPr="000A7960">
        <w:t xml:space="preserve"> </w:t>
      </w:r>
      <w:proofErr w:type="gramStart"/>
      <w:r w:rsidRPr="000A7960">
        <w:t>entered into</w:t>
      </w:r>
      <w:proofErr w:type="gramEnd"/>
      <w:r w:rsidRPr="000A7960">
        <w:t xml:space="preserve"> a settlement with the New Jersey Imaging Network to resolve a civil rights complaint from an individual who uses a wheelchair and was denied mammography because of her disability, based on Section 504 of the Rehabilitation Act and Section 1557 of the Affordable Care Act, which prohibit discrimination on the basis of disability. Together, these laws protect people with disabilities from discrimination in any program or activity receiving funding from HHS.</w:t>
      </w:r>
    </w:p>
    <w:p w14:paraId="1C46DE7A" w14:textId="71C18CB2" w:rsidR="00567379" w:rsidRPr="000A7960" w:rsidRDefault="00567379" w:rsidP="00472D06">
      <w:pPr>
        <w:pStyle w:val="NCDBodyText"/>
      </w:pPr>
      <w:r w:rsidRPr="000A7960">
        <w:t xml:space="preserve">The settlement ensures that New Jersey Imaging Network will comply with the law, including newly issued rules, by having processes and procedures in place to provide people with </w:t>
      </w:r>
      <w:proofErr w:type="gramStart"/>
      <w:r w:rsidRPr="000A7960">
        <w:t>disabilities</w:t>
      </w:r>
      <w:proofErr w:type="gramEnd"/>
      <w:r w:rsidRPr="000A7960">
        <w:t xml:space="preserve"> the same access to care as those without disabilities by providing the same appointments and ensuring access to appropriate equipment.</w:t>
      </w:r>
    </w:p>
    <w:p w14:paraId="65D1BEDE" w14:textId="77777777" w:rsidR="00567379" w:rsidRPr="000A7960" w:rsidRDefault="00567379" w:rsidP="00472D06">
      <w:pPr>
        <w:pStyle w:val="NCDBodyText"/>
      </w:pPr>
      <w:r w:rsidRPr="000A7960">
        <w:t>Under the terms of the settlement, New Jersey Imaging Network will</w:t>
      </w:r>
      <w:r>
        <w:t xml:space="preserve"> address the following</w:t>
      </w:r>
      <w:r w:rsidRPr="000A7960">
        <w:t>:</w:t>
      </w:r>
    </w:p>
    <w:p w14:paraId="61CCAF9F" w14:textId="560FE894" w:rsidR="00567379" w:rsidRPr="000A7960" w:rsidRDefault="00567379" w:rsidP="00472D06">
      <w:pPr>
        <w:pStyle w:val="NCDBulletsLevel1"/>
      </w:pPr>
      <w:r w:rsidRPr="000A7960">
        <w:t>Revise its existing policies and practices to make appointments available during normal business hours to all patients</w:t>
      </w:r>
      <w:r>
        <w:t>,</w:t>
      </w:r>
      <w:r w:rsidRPr="000A7960">
        <w:t xml:space="preserve"> document requests for mobility assistance </w:t>
      </w:r>
      <w:r w:rsidRPr="000A7960">
        <w:lastRenderedPageBreak/>
        <w:t>or other reasonable accommodations</w:t>
      </w:r>
      <w:r>
        <w:t>,</w:t>
      </w:r>
      <w:r w:rsidRPr="000A7960">
        <w:t xml:space="preserve"> provide patients with a description of available accommodations</w:t>
      </w:r>
      <w:r>
        <w:t>,</w:t>
      </w:r>
      <w:r w:rsidRPr="000A7960">
        <w:t xml:space="preserve"> and notify patients of their rights under the law.</w:t>
      </w:r>
    </w:p>
    <w:p w14:paraId="63D8E56A" w14:textId="3A66B484" w:rsidR="00567379" w:rsidRPr="000A7960" w:rsidRDefault="00567379" w:rsidP="00472D06">
      <w:pPr>
        <w:pStyle w:val="NCDBulletsLevel1"/>
      </w:pPr>
      <w:r w:rsidRPr="000A7960">
        <w:t xml:space="preserve">Develop a process for individualized assessment of patients who may require reasonable </w:t>
      </w:r>
      <w:proofErr w:type="gramStart"/>
      <w:r w:rsidRPr="000A7960">
        <w:t>accommodations</w:t>
      </w:r>
      <w:proofErr w:type="gramEnd"/>
      <w:r w:rsidRPr="000A7960">
        <w:t>.</w:t>
      </w:r>
    </w:p>
    <w:p w14:paraId="1B30D119" w14:textId="0F0083B0" w:rsidR="00567379" w:rsidRPr="000A7960" w:rsidRDefault="00567379" w:rsidP="00472D06">
      <w:pPr>
        <w:pStyle w:val="NCDBulletsLevel1"/>
      </w:pPr>
      <w:r w:rsidRPr="000A7960">
        <w:t xml:space="preserve">Train its staff </w:t>
      </w:r>
      <w:proofErr w:type="gramStart"/>
      <w:r w:rsidRPr="000A7960">
        <w:t>on</w:t>
      </w:r>
      <w:proofErr w:type="gramEnd"/>
      <w:r w:rsidRPr="000A7960">
        <w:t xml:space="preserve"> the new policies to ensure employees understand practices and procedures for interacting with and accommodating individuals with disabilities, techniques for safely assisting individuals with limited mobility to ensure their safe access to and use of medical equipment and examination tables, and New Jersey Imaging Network’s various nondiscrimination and nonretaliation obligations.</w:t>
      </w:r>
    </w:p>
    <w:p w14:paraId="381DEF48" w14:textId="2C8711DC" w:rsidR="00567379" w:rsidRPr="000A7960" w:rsidRDefault="00567379" w:rsidP="00472D06">
      <w:pPr>
        <w:pStyle w:val="NCDBulletsLevel1"/>
      </w:pPr>
      <w:r w:rsidRPr="000A7960">
        <w:t>Notify patients, staff</w:t>
      </w:r>
      <w:r>
        <w:t>,</w:t>
      </w:r>
      <w:r w:rsidRPr="000A7960">
        <w:t xml:space="preserve"> and the public of rights and protections afforded them by federal law and how to file a discrimination disability-based complaint with HHS.</w:t>
      </w:r>
    </w:p>
    <w:p w14:paraId="6B2631E4" w14:textId="77777777" w:rsidR="00567379" w:rsidRPr="000A7960" w:rsidRDefault="00567379" w:rsidP="00472D06">
      <w:pPr>
        <w:pStyle w:val="Heading2"/>
      </w:pPr>
      <w:bookmarkStart w:id="70" w:name="_Toc178855293"/>
      <w:r w:rsidRPr="000A7960">
        <w:t>Healthcare Disability Nondiscrimination</w:t>
      </w:r>
      <w:bookmarkEnd w:id="70"/>
    </w:p>
    <w:p w14:paraId="59161231" w14:textId="2CB85FB0" w:rsidR="00567379" w:rsidRPr="000A7960" w:rsidRDefault="00567379" w:rsidP="00472D06">
      <w:pPr>
        <w:pStyle w:val="NCDBodyText"/>
      </w:pPr>
      <w:r w:rsidRPr="000A7960">
        <w:t xml:space="preserve">Pervasive discrimination </w:t>
      </w:r>
      <w:proofErr w:type="gramStart"/>
      <w:r w:rsidRPr="000A7960">
        <w:t>on the basis of</w:t>
      </w:r>
      <w:proofErr w:type="gramEnd"/>
      <w:r w:rsidRPr="000A7960">
        <w:t xml:space="preserve"> disability in accessing medical care leads to significant health disparities and poorer health outcomes for individuals with disabilities. This pattern of discrimination appears in a variety of contexts including organ transplantation, life-sustaining treatment, participation in clinical research, and crisis standards of care that may go into effect when healthcare resources are limited.</w:t>
      </w:r>
    </w:p>
    <w:p w14:paraId="3EC4D44B" w14:textId="77777777" w:rsidR="00567379" w:rsidRPr="00472D06" w:rsidRDefault="00567379" w:rsidP="00472D06">
      <w:pPr>
        <w:pStyle w:val="NCDBodyText"/>
        <w:rPr>
          <w:b/>
          <w:i/>
        </w:rPr>
      </w:pPr>
      <w:r w:rsidRPr="00472D06">
        <w:rPr>
          <w:b/>
          <w:i/>
        </w:rPr>
        <w:t>Recommendation Made by NCD Concerning Healthcare Disability Nondiscrimination</w:t>
      </w:r>
    </w:p>
    <w:p w14:paraId="2C2E180E" w14:textId="4E7AEC5A" w:rsidR="00567379" w:rsidRPr="00472D06" w:rsidRDefault="00567379" w:rsidP="00472D06">
      <w:pPr>
        <w:pStyle w:val="NCDBodyText"/>
        <w:rPr>
          <w:b/>
        </w:rPr>
      </w:pPr>
      <w:r w:rsidRPr="00472D06">
        <w:rPr>
          <w:b/>
        </w:rPr>
        <w:t>6. HHS should issue regulations clarifying the obligations of covered entities under Section 504 of the Rehabilitation Act with respect to the withholding of</w:t>
      </w:r>
      <w:r w:rsidR="00472D06" w:rsidRPr="00472D06">
        <w:rPr>
          <w:b/>
        </w:rPr>
        <w:t xml:space="preserve"> </w:t>
      </w:r>
      <w:r w:rsidRPr="00472D06">
        <w:rPr>
          <w:b/>
        </w:rPr>
        <w:t>life-sustaining care, medical futility determinations and organ transplant</w:t>
      </w:r>
      <w:r w:rsidR="00472D06" w:rsidRPr="00472D06">
        <w:rPr>
          <w:b/>
        </w:rPr>
        <w:t xml:space="preserve"> </w:t>
      </w:r>
      <w:r w:rsidRPr="00472D06">
        <w:rPr>
          <w:b/>
        </w:rPr>
        <w:t>discrimination, organ donation, and other areas relevant to healthcare or</w:t>
      </w:r>
      <w:r w:rsidR="00472D06" w:rsidRPr="00472D06">
        <w:rPr>
          <w:b/>
        </w:rPr>
        <w:t xml:space="preserve"> </w:t>
      </w:r>
      <w:r w:rsidRPr="00472D06">
        <w:rPr>
          <w:b/>
        </w:rPr>
        <w:t xml:space="preserve">disability discrimination by HHS entities. The regulations should ensure neither long-term survivability nor quality of life is </w:t>
      </w:r>
      <w:proofErr w:type="gramStart"/>
      <w:r w:rsidRPr="00472D06">
        <w:rPr>
          <w:b/>
        </w:rPr>
        <w:t>taken into account</w:t>
      </w:r>
      <w:proofErr w:type="gramEnd"/>
      <w:r w:rsidRPr="00472D06">
        <w:rPr>
          <w:b/>
        </w:rPr>
        <w:t xml:space="preserve"> in making healthcare determinations.</w:t>
      </w:r>
    </w:p>
    <w:p w14:paraId="4320698F" w14:textId="77777777" w:rsidR="00567379" w:rsidRPr="00472D06" w:rsidRDefault="00567379" w:rsidP="00472D06">
      <w:pPr>
        <w:pStyle w:val="NCDBodyText"/>
        <w:rPr>
          <w:b/>
          <w:i/>
        </w:rPr>
      </w:pPr>
      <w:r w:rsidRPr="00472D06">
        <w:rPr>
          <w:b/>
          <w:i/>
        </w:rPr>
        <w:lastRenderedPageBreak/>
        <w:t>Healthcare Disability Nondiscrimination Developments:</w:t>
      </w:r>
    </w:p>
    <w:p w14:paraId="4D7E7A20" w14:textId="77777777" w:rsidR="00567379" w:rsidRPr="000A7960" w:rsidRDefault="00567379" w:rsidP="00472D06">
      <w:pPr>
        <w:pStyle w:val="NCDBodyText"/>
      </w:pPr>
      <w:r w:rsidRPr="000A7960">
        <w:t>As previously mentioned, in May 2024, HHS issued a final rule to advance equity and bolster protections for people with disabilities.</w:t>
      </w:r>
      <w:r w:rsidRPr="000A7960">
        <w:rPr>
          <w:rStyle w:val="EndnoteReference"/>
          <w:rFonts w:eastAsia="Times New Roman" w:cs="Arial"/>
          <w:sz w:val="23"/>
          <w:szCs w:val="23"/>
        </w:rPr>
        <w:endnoteReference w:id="8"/>
      </w:r>
      <w:r w:rsidRPr="000A7960">
        <w:t xml:space="preserve"> As was recommended by NCD, the rule ensures that medical treatment decisions by those </w:t>
      </w:r>
      <w:r>
        <w:t>who</w:t>
      </w:r>
      <w:r w:rsidRPr="000A7960">
        <w:t xml:space="preserve"> receive federal financial assistance from HHS are not based on biases or stereotypes about individuals with disabilities, judgments that an individual with a disability will be a burden on others, or beliefs that the life of an individual with a disability has less value than the life of a person without a disability.</w:t>
      </w:r>
    </w:p>
    <w:p w14:paraId="4E14BA03" w14:textId="77777777" w:rsidR="00567379" w:rsidRPr="000A7960" w:rsidRDefault="00567379" w:rsidP="00472D06">
      <w:pPr>
        <w:pStyle w:val="NCDBodyText"/>
      </w:pPr>
      <w:r w:rsidRPr="000A7960">
        <w:t xml:space="preserve">The final rule adds new provisions that clarify existing requirements under Section 504 prohibiting recipients of financial assistance from HHS from discriminating </w:t>
      </w:r>
      <w:proofErr w:type="gramStart"/>
      <w:r w:rsidRPr="000A7960">
        <w:t>on the basis of</w:t>
      </w:r>
      <w:proofErr w:type="gramEnd"/>
      <w:r w:rsidRPr="000A7960">
        <w:t xml:space="preserve"> disability in their programs and activities, including in healthcare, child welfare, and other human services. The final rule includes new requirements prohibiting discrimination in the areas of medical treatment; the use of value assessments; web, mobile, and kiosk accessibility; and requirements for accessible medical equipment, so that persons with disabilities have an opportunity to participate in or benefit from healthcare programs and activities that </w:t>
      </w:r>
      <w:proofErr w:type="gramStart"/>
      <w:r w:rsidRPr="000A7960">
        <w:t>is</w:t>
      </w:r>
      <w:proofErr w:type="gramEnd"/>
      <w:r w:rsidRPr="000A7960">
        <w:t xml:space="preserve"> equal to the opportunity afforded others. It also adds a section on child welfare to expand on and clarify the obligation to provide nondiscriminatory child welfare services.</w:t>
      </w:r>
    </w:p>
    <w:p w14:paraId="4C66254B" w14:textId="77777777" w:rsidR="00567379" w:rsidRPr="000A7960" w:rsidRDefault="00567379" w:rsidP="00472D06">
      <w:pPr>
        <w:pStyle w:val="NCDBodyText"/>
      </w:pPr>
      <w:r w:rsidRPr="000A7960">
        <w:t xml:space="preserve">The final rule also updates the definition of disability and other provisions to ensure consistency with statutory amendments to the Rehabilitation Act, enactment of the Americans with Disabilities Act </w:t>
      </w:r>
      <w:r>
        <w:t xml:space="preserve">(ADA) </w:t>
      </w:r>
      <w:r w:rsidRPr="000A7960">
        <w:t xml:space="preserve">and the Americans with Disabilities </w:t>
      </w:r>
      <w:r>
        <w:t xml:space="preserve">Act </w:t>
      </w:r>
      <w:r w:rsidRPr="000A7960">
        <w:t>Amendments Act of 2008, the Affordable Care Act, as well as Supreme Court and other significant court cases. It also further clarifies the obligation to provide services in the most integrated setting.</w:t>
      </w:r>
    </w:p>
    <w:p w14:paraId="06EF6378" w14:textId="77777777" w:rsidR="00567379" w:rsidRPr="000A7960" w:rsidRDefault="00567379" w:rsidP="00472D06">
      <w:pPr>
        <w:pStyle w:val="NCDBodyText"/>
      </w:pPr>
      <w:r w:rsidRPr="000A7960">
        <w:t>Finally, the final rule makes other clarifying edits, including updating outdated terminology and references.</w:t>
      </w:r>
    </w:p>
    <w:p w14:paraId="0F29677B" w14:textId="77777777" w:rsidR="00567379" w:rsidRPr="000A7960" w:rsidRDefault="00567379" w:rsidP="00472D06">
      <w:pPr>
        <w:pStyle w:val="NCDBodyText"/>
      </w:pPr>
      <w:r w:rsidRPr="000A7960">
        <w:t xml:space="preserve">NCD’s research played a pivotal role in assisting HHS in developing this rule. </w:t>
      </w:r>
      <w:r>
        <w:t xml:space="preserve">NCD is </w:t>
      </w:r>
      <w:r w:rsidRPr="000A7960">
        <w:t>confident that its implementation and enforcement will mark significant headway in achieving the promise of health equity for people with disabilities in the U</w:t>
      </w:r>
      <w:r>
        <w:t xml:space="preserve">nited </w:t>
      </w:r>
      <w:r w:rsidRPr="000A7960">
        <w:t>S</w:t>
      </w:r>
      <w:r>
        <w:t>tates</w:t>
      </w:r>
      <w:r w:rsidRPr="000A7960">
        <w:t>.</w:t>
      </w:r>
    </w:p>
    <w:p w14:paraId="66658AC7" w14:textId="77777777" w:rsidR="00567379" w:rsidRPr="000A7960" w:rsidRDefault="00567379" w:rsidP="00472D06">
      <w:pPr>
        <w:pStyle w:val="Heading2"/>
      </w:pPr>
      <w:bookmarkStart w:id="71" w:name="_Toc178855294"/>
      <w:r w:rsidRPr="000A7960">
        <w:lastRenderedPageBreak/>
        <w:t>State Expansion of Oral Healthcare</w:t>
      </w:r>
      <w:bookmarkEnd w:id="71"/>
    </w:p>
    <w:p w14:paraId="27899CE8" w14:textId="77777777" w:rsidR="00567379" w:rsidRPr="000A7960" w:rsidRDefault="00567379" w:rsidP="00472D06">
      <w:pPr>
        <w:pStyle w:val="NCDBodyText"/>
      </w:pPr>
      <w:r w:rsidRPr="000A7960">
        <w:t xml:space="preserve">In 2023, NCD released its report titled </w:t>
      </w:r>
      <w:r w:rsidRPr="000A7960">
        <w:rPr>
          <w:i/>
          <w:iCs/>
        </w:rPr>
        <w:t>Medicaid Oral Health Coverage for Adults with Intellectual &amp; Developmental Disabilities</w:t>
      </w:r>
      <w:r>
        <w:rPr>
          <w:i/>
          <w:iCs/>
        </w:rPr>
        <w:t>—</w:t>
      </w:r>
      <w:r w:rsidRPr="000A7960">
        <w:rPr>
          <w:i/>
          <w:iCs/>
        </w:rPr>
        <w:t>A Fiscal Analysis</w:t>
      </w:r>
      <w:r w:rsidRPr="000A7960">
        <w:t>.</w:t>
      </w:r>
      <w:r w:rsidRPr="000A7960">
        <w:rPr>
          <w:rStyle w:val="EndnoteReference"/>
          <w:rFonts w:eastAsia="Times New Roman" w:cs="Arial"/>
          <w:sz w:val="23"/>
          <w:szCs w:val="23"/>
        </w:rPr>
        <w:endnoteReference w:id="9"/>
      </w:r>
      <w:r w:rsidRPr="000A7960">
        <w:t xml:space="preserve"> In it, NCD explored whether increasing Medicaid coverage for people with I/DD would provide a return on investment vis-à-vis the money ultimately spent on preventable illness and in emergency rooms due to untreated dental problems. NCD</w:t>
      </w:r>
      <w:r>
        <w:t>’</w:t>
      </w:r>
      <w:r w:rsidRPr="000A7960">
        <w:t>s findings show that adding Medicaid preventive care benefits for people with I</w:t>
      </w:r>
      <w:r>
        <w:t>/</w:t>
      </w:r>
      <w:r w:rsidRPr="000A7960">
        <w:t>DD in 11 of 12 states that provide no such benefits or emergency benefits alone would indeed provide a monetary return</w:t>
      </w:r>
      <w:r>
        <w:t xml:space="preserve"> </w:t>
      </w:r>
      <w:r w:rsidRPr="000A7960">
        <w:t>on</w:t>
      </w:r>
      <w:r>
        <w:t xml:space="preserve"> </w:t>
      </w:r>
      <w:r w:rsidRPr="000A7960">
        <w:t>investment.</w:t>
      </w:r>
    </w:p>
    <w:p w14:paraId="0FA56B81" w14:textId="77777777" w:rsidR="00567379" w:rsidRPr="00472D06" w:rsidRDefault="00567379" w:rsidP="00472D06">
      <w:pPr>
        <w:pStyle w:val="NCDBodyText"/>
        <w:rPr>
          <w:b/>
          <w:i/>
        </w:rPr>
      </w:pPr>
      <w:r w:rsidRPr="00472D06">
        <w:rPr>
          <w:b/>
          <w:i/>
        </w:rPr>
        <w:t>Recommendation Made by NCD Concerning State Expansion of Oral Healthcare</w:t>
      </w:r>
    </w:p>
    <w:p w14:paraId="74BE66EC" w14:textId="77777777" w:rsidR="00567379" w:rsidRPr="00472D06" w:rsidRDefault="00567379" w:rsidP="00472D06">
      <w:pPr>
        <w:pStyle w:val="NCDBodyText"/>
        <w:rPr>
          <w:b/>
        </w:rPr>
      </w:pPr>
      <w:r w:rsidRPr="00472D06">
        <w:rPr>
          <w:b/>
        </w:rPr>
        <w:t>7. States that do not provide preventive Medicaid benefits for people with I/DD or provide emergency benefits alone should make said benefits available.</w:t>
      </w:r>
    </w:p>
    <w:p w14:paraId="7BA22748" w14:textId="77777777" w:rsidR="00567379" w:rsidRPr="00472D06" w:rsidRDefault="00567379" w:rsidP="00472D06">
      <w:pPr>
        <w:pStyle w:val="NCDBodyText"/>
        <w:rPr>
          <w:b/>
          <w:i/>
        </w:rPr>
      </w:pPr>
      <w:r w:rsidRPr="00472D06">
        <w:rPr>
          <w:b/>
          <w:i/>
        </w:rPr>
        <w:t>State Expansion of Oral Healthcare Development:</w:t>
      </w:r>
    </w:p>
    <w:p w14:paraId="16C9F8E2" w14:textId="77777777" w:rsidR="00567379" w:rsidRPr="000A7960" w:rsidRDefault="00567379" w:rsidP="00472D06">
      <w:pPr>
        <w:pStyle w:val="NCDBodyText"/>
      </w:pPr>
      <w:r w:rsidRPr="000A7960">
        <w:t>The state of Nevada is implementing a new Medicaid program whereby the state’s population of people with I/DD will gain access to oral healthcare through state Medicaid initiatives. NCD is hopeful that more states will follow suit and implement similar programs.</w:t>
      </w:r>
    </w:p>
    <w:p w14:paraId="6F224EB5" w14:textId="77777777" w:rsidR="00567379" w:rsidRPr="000A7960" w:rsidRDefault="00567379" w:rsidP="00472D06">
      <w:pPr>
        <w:pStyle w:val="Heading2"/>
      </w:pPr>
      <w:bookmarkStart w:id="72" w:name="_Toc178855295"/>
      <w:r w:rsidRPr="000A7960">
        <w:t>Including People with Disabilities in Clinical Trials</w:t>
      </w:r>
      <w:bookmarkEnd w:id="72"/>
    </w:p>
    <w:p w14:paraId="348DCDA2" w14:textId="77777777" w:rsidR="00567379" w:rsidRPr="000A7960" w:rsidRDefault="00567379" w:rsidP="00472D06">
      <w:pPr>
        <w:pStyle w:val="NCDBodyText"/>
      </w:pPr>
      <w:r w:rsidRPr="000A7960">
        <w:t>In August 2024, NCD released a report on the exclusion of people with disabilities in clinical trials</w:t>
      </w:r>
      <w:r>
        <w:t xml:space="preserve"> (CTs)</w:t>
      </w:r>
      <w:r w:rsidRPr="000A7960">
        <w:t xml:space="preserve">. Despite the size of the disability community, people with disabilities are often excluded in diversity and inclusion initiatives. Multiple efforts in recent years have been made to enhance the diversity in CTs. However, disability is not included as a dimension of diversity in such efforts. Explicit exclusion of people with disabilities in CTs occurs primarily due to exclusions embedded in the study protocol. In the absence of overt statements </w:t>
      </w:r>
      <w:r>
        <w:t>that</w:t>
      </w:r>
      <w:r w:rsidRPr="000A7960">
        <w:t xml:space="preserve"> allow accommodations for people with disabilities to complete trial activities, availability of accommodations is left to the interpretation of study teams. </w:t>
      </w:r>
      <w:r w:rsidRPr="000A7960">
        <w:lastRenderedPageBreak/>
        <w:t>This often results in the exclusion of people who may need such support to adhere to the protocol.</w:t>
      </w:r>
    </w:p>
    <w:p w14:paraId="5D94F531" w14:textId="77777777" w:rsidR="00567379" w:rsidRPr="000A7960" w:rsidRDefault="00567379" w:rsidP="00472D06">
      <w:pPr>
        <w:pStyle w:val="NCDBodyText"/>
      </w:pPr>
      <w:r w:rsidRPr="000A7960">
        <w:t xml:space="preserve">In recent years, federal agencies have made efforts to address the exclusionary practices of </w:t>
      </w:r>
      <w:r>
        <w:t>CTs</w:t>
      </w:r>
      <w:r w:rsidRPr="000A7960">
        <w:t xml:space="preserve"> pertaining to people with disabilities. For instance, HHS’s updated Section 504 regulations explicitly spell out required inclusionary practices for any </w:t>
      </w:r>
      <w:r>
        <w:t>CTs</w:t>
      </w:r>
      <w:r w:rsidRPr="000A7960">
        <w:t xml:space="preserve"> receiving federal funds. In 2022, Congress passed the Food and Drug Omnibus Reform Act (FDORA) and one of the provisions </w:t>
      </w:r>
      <w:r>
        <w:t xml:space="preserve">is for </w:t>
      </w:r>
      <w:r w:rsidRPr="000A7960">
        <w:t xml:space="preserve">HHS to convene public workshops together and </w:t>
      </w:r>
      <w:r>
        <w:t xml:space="preserve">consider </w:t>
      </w:r>
      <w:r w:rsidRPr="000A7960">
        <w:t xml:space="preserve">input from stakeholders on promising practices to increase enrollment of historically underrepresented populations in clinical studies. The </w:t>
      </w:r>
      <w:r>
        <w:t xml:space="preserve">US </w:t>
      </w:r>
      <w:r w:rsidRPr="000A7960">
        <w:t xml:space="preserve">Food and Drug Administration (FDA) facilitated the workshops </w:t>
      </w:r>
      <w:r>
        <w:t>that</w:t>
      </w:r>
      <w:r w:rsidRPr="000A7960">
        <w:t xml:space="preserve"> discussed inclusion of individuals with disabilities including intellectual or developmental and mental illness in </w:t>
      </w:r>
      <w:r>
        <w:t>CTs</w:t>
      </w:r>
      <w:r w:rsidRPr="000A7960">
        <w:t>.</w:t>
      </w:r>
    </w:p>
    <w:p w14:paraId="30DE1500" w14:textId="77777777" w:rsidR="00567379" w:rsidRPr="000A7960" w:rsidRDefault="00567379" w:rsidP="00472D06">
      <w:pPr>
        <w:pStyle w:val="NCDBodyText"/>
      </w:pPr>
      <w:r w:rsidRPr="000A7960">
        <w:t xml:space="preserve">The explicit requirements of CT inclusion in the amended Section 504 regulations as well as FDA’s workshops are positive steps. However, </w:t>
      </w:r>
      <w:proofErr w:type="gramStart"/>
      <w:r w:rsidRPr="000A7960">
        <w:t>inclusion</w:t>
      </w:r>
      <w:proofErr w:type="gramEnd"/>
      <w:r w:rsidRPr="000A7960">
        <w:t xml:space="preserve"> of people with disabilities in </w:t>
      </w:r>
      <w:r>
        <w:t>CT</w:t>
      </w:r>
      <w:r w:rsidRPr="000A7960">
        <w:t xml:space="preserve">s will require consistent Section 504 enforcement by HHS and </w:t>
      </w:r>
      <w:r>
        <w:t>the US Department of Justice (</w:t>
      </w:r>
      <w:r w:rsidRPr="000A7960">
        <w:t>DOJ</w:t>
      </w:r>
      <w:r>
        <w:t>)</w:t>
      </w:r>
      <w:r w:rsidRPr="000A7960">
        <w:t xml:space="preserve"> to ensure compliance.</w:t>
      </w:r>
    </w:p>
    <w:p w14:paraId="5138F1F7" w14:textId="77777777" w:rsidR="00567379" w:rsidRPr="00472D06" w:rsidRDefault="00567379" w:rsidP="00472D06">
      <w:pPr>
        <w:pStyle w:val="NCDBodyText"/>
        <w:rPr>
          <w:b/>
          <w:i/>
        </w:rPr>
      </w:pPr>
      <w:r w:rsidRPr="00472D06">
        <w:rPr>
          <w:b/>
          <w:i/>
        </w:rPr>
        <w:t>Recommendations Made by NCD Concerning Including People with Disabilities in CTs</w:t>
      </w:r>
    </w:p>
    <w:p w14:paraId="01AD54D8" w14:textId="77777777" w:rsidR="00567379" w:rsidRPr="00472D06" w:rsidRDefault="00567379" w:rsidP="00472D06">
      <w:pPr>
        <w:pStyle w:val="NCDBodyText"/>
        <w:rPr>
          <w:b/>
        </w:rPr>
      </w:pPr>
      <w:r w:rsidRPr="00472D06">
        <w:rPr>
          <w:b/>
        </w:rPr>
        <w:t xml:space="preserve">8. CT study teams should incorporate overt explanations and justifications of the availability of reasonable </w:t>
      </w:r>
      <w:proofErr w:type="gramStart"/>
      <w:r w:rsidRPr="00472D06">
        <w:rPr>
          <w:b/>
        </w:rPr>
        <w:t>accommodations</w:t>
      </w:r>
      <w:proofErr w:type="gramEnd"/>
      <w:r w:rsidRPr="00472D06">
        <w:rPr>
          <w:b/>
        </w:rPr>
        <w:t xml:space="preserve"> in informed consent documents. </w:t>
      </w:r>
      <w:r w:rsidRPr="00F902D0">
        <w:rPr>
          <w:bCs/>
        </w:rPr>
        <w:t>These would include but not be limited to additional time, caregiver support, and auditory presentation for participants with impaired consent capacity.</w:t>
      </w:r>
    </w:p>
    <w:p w14:paraId="1FBE1041" w14:textId="77777777" w:rsidR="00567379" w:rsidRPr="00F902D0" w:rsidRDefault="00567379" w:rsidP="004A63AA">
      <w:pPr>
        <w:pStyle w:val="NCDBodyText"/>
        <w:rPr>
          <w:bCs/>
        </w:rPr>
      </w:pPr>
      <w:r w:rsidRPr="004A63AA">
        <w:rPr>
          <w:b/>
        </w:rPr>
        <w:t xml:space="preserve">9. FDA and NIH should develop guidance on eligibility parameters for investigators, </w:t>
      </w:r>
      <w:proofErr w:type="gramStart"/>
      <w:r w:rsidRPr="004A63AA">
        <w:rPr>
          <w:b/>
        </w:rPr>
        <w:t>similar to</w:t>
      </w:r>
      <w:proofErr w:type="gramEnd"/>
      <w:r w:rsidRPr="004A63AA">
        <w:rPr>
          <w:b/>
        </w:rPr>
        <w:t xml:space="preserve"> FDA’s </w:t>
      </w:r>
      <w:r w:rsidRPr="004A63AA">
        <w:rPr>
          <w:b/>
          <w:i/>
          <w:iCs/>
        </w:rPr>
        <w:t>Guidance for Investigators on Informed Consent</w:t>
      </w:r>
      <w:r w:rsidRPr="004A63AA">
        <w:rPr>
          <w:b/>
        </w:rPr>
        <w:t xml:space="preserve">. </w:t>
      </w:r>
      <w:r w:rsidRPr="00F902D0">
        <w:rPr>
          <w:bCs/>
        </w:rPr>
        <w:t>The guidance should do the following:</w:t>
      </w:r>
    </w:p>
    <w:p w14:paraId="59824D87" w14:textId="77777777" w:rsidR="00567379" w:rsidRPr="000A7960" w:rsidRDefault="00567379" w:rsidP="004A63AA">
      <w:pPr>
        <w:pStyle w:val="NCDBulletsLevel1"/>
      </w:pPr>
      <w:r w:rsidRPr="000A7960">
        <w:t xml:space="preserve">Aim to reduce subjectivity in eligibility criteria to eliminate </w:t>
      </w:r>
      <w:r>
        <w:t>p</w:t>
      </w:r>
      <w:r w:rsidRPr="000A7960">
        <w:t xml:space="preserve">rincipal </w:t>
      </w:r>
      <w:r>
        <w:t>i</w:t>
      </w:r>
      <w:r w:rsidRPr="000A7960">
        <w:t>nvestigator bias and participant selection.</w:t>
      </w:r>
    </w:p>
    <w:p w14:paraId="76E50B8E" w14:textId="77777777" w:rsidR="00567379" w:rsidRPr="000A7960" w:rsidRDefault="00567379" w:rsidP="004A63AA">
      <w:pPr>
        <w:pStyle w:val="NCDBulletsLevel1"/>
      </w:pPr>
      <w:r w:rsidRPr="000A7960">
        <w:lastRenderedPageBreak/>
        <w:t>Provide robust eligibility criteria for protocol teams to access when making decision-making capacity decisions.</w:t>
      </w:r>
    </w:p>
    <w:p w14:paraId="4BF94CC8" w14:textId="77777777" w:rsidR="00567379" w:rsidRPr="000A7960" w:rsidRDefault="00567379" w:rsidP="004A63AA">
      <w:pPr>
        <w:pStyle w:val="NCDBulletsLevel1"/>
      </w:pPr>
      <w:r w:rsidRPr="000A7960">
        <w:t>Broaden inclusion criteria to avoid unnecessary exclusion.</w:t>
      </w:r>
    </w:p>
    <w:p w14:paraId="36037AC9" w14:textId="77777777" w:rsidR="00567379" w:rsidRPr="000A7960" w:rsidRDefault="00567379" w:rsidP="004A63AA">
      <w:pPr>
        <w:pStyle w:val="NCDBulletsLevel1"/>
      </w:pPr>
      <w:r w:rsidRPr="000A7960">
        <w:t xml:space="preserve">Recommend acceptable </w:t>
      </w:r>
      <w:proofErr w:type="gramStart"/>
      <w:r w:rsidRPr="000A7960">
        <w:t>accommodations</w:t>
      </w:r>
      <w:proofErr w:type="gramEnd"/>
      <w:r w:rsidRPr="000A7960">
        <w:t xml:space="preserve"> be incorporated into inclusion criteria to reduce subjective assessment of a permissible accommodation.</w:t>
      </w:r>
    </w:p>
    <w:p w14:paraId="3E8A3A99" w14:textId="77777777" w:rsidR="00567379" w:rsidRPr="000A7960" w:rsidRDefault="00567379" w:rsidP="004A63AA">
      <w:pPr>
        <w:pStyle w:val="NCDBulletsLevel1"/>
      </w:pPr>
      <w:r w:rsidRPr="000A7960">
        <w:t>Recommend all exclusion criteria be scientifically justified.</w:t>
      </w:r>
    </w:p>
    <w:p w14:paraId="57F6E7A8" w14:textId="77777777" w:rsidR="00567379" w:rsidRPr="000A7960" w:rsidRDefault="00567379" w:rsidP="004A63AA">
      <w:pPr>
        <w:pStyle w:val="NCDBulletsLevel1"/>
      </w:pPr>
      <w:r w:rsidRPr="000A7960">
        <w:t xml:space="preserve">Recommend </w:t>
      </w:r>
      <w:proofErr w:type="gramStart"/>
      <w:r w:rsidRPr="000A7960">
        <w:t>inclusion</w:t>
      </w:r>
      <w:proofErr w:type="gramEnd"/>
      <w:r w:rsidRPr="000A7960">
        <w:t xml:space="preserve"> of </w:t>
      </w:r>
      <w:r>
        <w:t>people with disabilities</w:t>
      </w:r>
      <w:r w:rsidRPr="000A7960">
        <w:t xml:space="preserve"> in patient advisory boards</w:t>
      </w:r>
      <w:r>
        <w:t>.</w:t>
      </w:r>
    </w:p>
    <w:p w14:paraId="510095E5" w14:textId="77777777" w:rsidR="00567379" w:rsidRPr="004A63AA" w:rsidRDefault="00567379" w:rsidP="004A63AA">
      <w:pPr>
        <w:pStyle w:val="NCDBodyText"/>
        <w:rPr>
          <w:b/>
        </w:rPr>
      </w:pPr>
      <w:r w:rsidRPr="004A63AA">
        <w:rPr>
          <w:b/>
        </w:rPr>
        <w:t>10. HHS and DOJ should increase oversight and enforcement of Section 504 at healthcare facilities to ensure that programs and services are accessible to people with disabilities.</w:t>
      </w:r>
    </w:p>
    <w:p w14:paraId="31361BFB" w14:textId="77777777" w:rsidR="00567379" w:rsidRPr="004A63AA" w:rsidRDefault="00567379" w:rsidP="004A63AA">
      <w:pPr>
        <w:pStyle w:val="NCDBodyText"/>
        <w:rPr>
          <w:b/>
          <w:i/>
        </w:rPr>
      </w:pPr>
      <w:r w:rsidRPr="004A63AA">
        <w:rPr>
          <w:b/>
          <w:i/>
        </w:rPr>
        <w:t>Including People with Disabilities in CT Development:</w:t>
      </w:r>
    </w:p>
    <w:p w14:paraId="03DC3637" w14:textId="3C504303" w:rsidR="00567379" w:rsidRDefault="00567379" w:rsidP="004A63AA">
      <w:pPr>
        <w:pStyle w:val="NCDBodyText"/>
      </w:pPr>
      <w:r w:rsidRPr="000A7960">
        <w:t>NCD will continue to monitor this issue and call for the implementation of these recently provided recommendations.</w:t>
      </w:r>
    </w:p>
    <w:p w14:paraId="6E27905F" w14:textId="7D5DE0C2" w:rsidR="004A63AA" w:rsidRDefault="004A63AA">
      <w:pPr>
        <w:spacing w:after="160" w:line="259" w:lineRule="auto"/>
        <w:rPr>
          <w:rFonts w:eastAsia="Calibri" w:cs="Calibri"/>
          <w:color w:val="000000"/>
          <w:szCs w:val="24"/>
          <w:u w:color="000000"/>
          <w:bdr w:val="nil"/>
        </w:rPr>
      </w:pPr>
      <w:r>
        <w:br w:type="page"/>
      </w:r>
    </w:p>
    <w:p w14:paraId="75EAAEA7" w14:textId="77777777" w:rsidR="00567379" w:rsidRPr="000A7960" w:rsidRDefault="00567379" w:rsidP="0051019A">
      <w:pPr>
        <w:pStyle w:val="Heading1"/>
        <w:spacing w:line="360" w:lineRule="auto"/>
      </w:pPr>
      <w:bookmarkStart w:id="73" w:name="_Toc178855296"/>
      <w:r w:rsidRPr="000A7960">
        <w:lastRenderedPageBreak/>
        <w:t>Section 2: Transportation</w:t>
      </w:r>
      <w:bookmarkEnd w:id="73"/>
    </w:p>
    <w:p w14:paraId="448460D0" w14:textId="5C133D2C" w:rsidR="00567379" w:rsidRPr="000A7960" w:rsidRDefault="00567379" w:rsidP="009633F8">
      <w:pPr>
        <w:pStyle w:val="NCDBodyText"/>
        <w:rPr>
          <w:b/>
          <w:bCs/>
        </w:rPr>
      </w:pPr>
      <w:r w:rsidRPr="000A7960">
        <w:t xml:space="preserve">NCD wholeheartedly supports the passing of the 2024 </w:t>
      </w:r>
      <w:r>
        <w:t>Federal Aviation Administration (</w:t>
      </w:r>
      <w:r w:rsidRPr="000A7960">
        <w:t>FAA</w:t>
      </w:r>
      <w:r>
        <w:t>)</w:t>
      </w:r>
      <w:r w:rsidRPr="000A7960">
        <w:t xml:space="preserve"> Reauthorization Act that includes essential accessibility requirements for people. These requirements encompass accommodating seating requests based on disability-related needs, establishing new training standards for airline personnel who handle and store wheelchairs to prevent damage, and ensuring the availability of universal changing stations in airports. NCD fully supports</w:t>
      </w:r>
      <w:r w:rsidR="004F301C">
        <w:t xml:space="preserve"> </w:t>
      </w:r>
      <w:r w:rsidR="004F301C" w:rsidRPr="004F301C">
        <w:t>as well other developments including</w:t>
      </w:r>
      <w:r w:rsidR="004F301C">
        <w:t xml:space="preserve"> </w:t>
      </w:r>
      <w:r w:rsidRPr="000A7960">
        <w:t xml:space="preserve">the regulatory actions taken by </w:t>
      </w:r>
      <w:r>
        <w:t>the US Department of Transportation (</w:t>
      </w:r>
      <w:r w:rsidRPr="000A7960">
        <w:t>DOT</w:t>
      </w:r>
      <w:r>
        <w:t>)</w:t>
      </w:r>
      <w:r w:rsidRPr="000A7960">
        <w:t xml:space="preserve">, guidelines provided by the US Access Board, and ongoing accessibility improvements made </w:t>
      </w:r>
      <w:r w:rsidR="004F301C">
        <w:br/>
      </w:r>
      <w:r w:rsidRPr="000A7960">
        <w:t>by Amtrak.</w:t>
      </w:r>
    </w:p>
    <w:p w14:paraId="2582EB2C" w14:textId="77777777" w:rsidR="00567379" w:rsidRPr="0051019A" w:rsidRDefault="00567379" w:rsidP="0051019A">
      <w:pPr>
        <w:pStyle w:val="Heading2"/>
        <w:spacing w:after="0"/>
        <w:rPr>
          <w:i/>
          <w:iCs/>
          <w:sz w:val="24"/>
          <w:szCs w:val="24"/>
        </w:rPr>
      </w:pPr>
      <w:bookmarkStart w:id="74" w:name="_Toc178855297"/>
      <w:r w:rsidRPr="0051019A">
        <w:rPr>
          <w:i/>
          <w:iCs/>
          <w:sz w:val="24"/>
          <w:szCs w:val="24"/>
        </w:rPr>
        <w:t>Recommendation by NCD Concerning Transportation</w:t>
      </w:r>
      <w:bookmarkEnd w:id="74"/>
    </w:p>
    <w:p w14:paraId="42FE8F53" w14:textId="77777777" w:rsidR="00567379" w:rsidRPr="009633F8" w:rsidRDefault="00567379" w:rsidP="009633F8">
      <w:pPr>
        <w:pStyle w:val="NCDBodyText"/>
        <w:rPr>
          <w:b/>
        </w:rPr>
      </w:pPr>
      <w:r w:rsidRPr="009633F8">
        <w:rPr>
          <w:b/>
        </w:rPr>
        <w:t>11. Expanded accessibility across all travel venues must be implemented.</w:t>
      </w:r>
    </w:p>
    <w:p w14:paraId="11C61929" w14:textId="77777777" w:rsidR="00567379" w:rsidRPr="009633F8" w:rsidRDefault="00567379" w:rsidP="009633F8">
      <w:pPr>
        <w:pStyle w:val="NCDBodyText"/>
        <w:rPr>
          <w:b/>
          <w:i/>
        </w:rPr>
      </w:pPr>
      <w:r w:rsidRPr="009633F8">
        <w:rPr>
          <w:b/>
          <w:i/>
        </w:rPr>
        <w:t>Air Travel Developments:</w:t>
      </w:r>
    </w:p>
    <w:p w14:paraId="77BFEB45" w14:textId="77777777" w:rsidR="00567379" w:rsidRPr="000A7960" w:rsidRDefault="00567379" w:rsidP="009633F8">
      <w:pPr>
        <w:pStyle w:val="NCDBodyText"/>
      </w:pPr>
      <w:r w:rsidRPr="000A7960">
        <w:t>The signing into law of the 2024 FAA Reauthorization Act marked essential accessibility requirements for people. These mandates include accommodating seating requests based on disability-related needs, establishing new training standards for airline personnel who handle and store wheelchairs to prevent damage, and awarding grants for airport accessibility upgrades.</w:t>
      </w:r>
      <w:r w:rsidRPr="000A7960" w:rsidDel="007E011E">
        <w:t xml:space="preserve"> </w:t>
      </w:r>
      <w:r w:rsidRPr="000A7960">
        <w:t>The Act further mandates that all medium and large airports install or maintain at least one universal changing station in each terminal and requires clearly visible signage near the entrance to inform travelers of their locations. This allows people who need this accommodation to travel with dignity, by providing them with a safe, sanitary</w:t>
      </w:r>
      <w:r>
        <w:t>,</w:t>
      </w:r>
      <w:r w:rsidRPr="000A7960">
        <w:t xml:space="preserve"> and private place to take care of their personal needs.</w:t>
      </w:r>
    </w:p>
    <w:p w14:paraId="72F27AAC" w14:textId="77777777" w:rsidR="00567379" w:rsidRPr="000A7960" w:rsidRDefault="00567379" w:rsidP="009633F8">
      <w:pPr>
        <w:pStyle w:val="NCDBodyText"/>
      </w:pPr>
      <w:r w:rsidRPr="000A7960">
        <w:t>The FAA awarded $103.2 million in federal funding through the Airport Terminal</w:t>
      </w:r>
      <w:r>
        <w:t>s</w:t>
      </w:r>
      <w:r w:rsidRPr="000A7960">
        <w:t xml:space="preserve"> Program to improve ADA accessibility in multiple airports, funded under the Infrastructure Law.</w:t>
      </w:r>
      <w:r w:rsidRPr="000A7960">
        <w:rPr>
          <w:rStyle w:val="EndnoteReference"/>
          <w:rFonts w:cs="Arial"/>
          <w:sz w:val="23"/>
          <w:szCs w:val="23"/>
        </w:rPr>
        <w:endnoteReference w:id="10"/>
      </w:r>
      <w:r w:rsidRPr="000A7960">
        <w:t xml:space="preserve"> It further expanded compliance and enforcement of the </w:t>
      </w:r>
      <w:bookmarkStart w:id="75" w:name="_Hlk177510783"/>
      <w:r w:rsidRPr="000A7960">
        <w:t xml:space="preserve">Air Carrier Access Act </w:t>
      </w:r>
      <w:bookmarkEnd w:id="75"/>
      <w:r w:rsidRPr="000A7960">
        <w:t>and is implementing regulations by hiring more attorneys and analysts to investigate and process a backlog of complaints filed by people with disabilities.</w:t>
      </w:r>
      <w:r w:rsidRPr="000A7960">
        <w:rPr>
          <w:rStyle w:val="EndnoteReference"/>
          <w:rFonts w:cs="Arial"/>
          <w:sz w:val="23"/>
          <w:szCs w:val="23"/>
        </w:rPr>
        <w:endnoteReference w:id="11"/>
      </w:r>
      <w:r w:rsidRPr="000A7960">
        <w:t xml:space="preserve"> In addition, it released travel tips for wheelchair users on its website in order to further </w:t>
      </w:r>
      <w:r w:rsidRPr="000A7960">
        <w:lastRenderedPageBreak/>
        <w:t>educate passengers with disabilities about sharing information about their wheelchairs and scooters in advance of travel with airlines.</w:t>
      </w:r>
      <w:r w:rsidRPr="000A7960">
        <w:rPr>
          <w:rStyle w:val="EndnoteReference"/>
          <w:rFonts w:cs="Arial"/>
          <w:sz w:val="23"/>
          <w:szCs w:val="23"/>
        </w:rPr>
        <w:endnoteReference w:id="12"/>
      </w:r>
    </w:p>
    <w:p w14:paraId="02DB97DC" w14:textId="77777777" w:rsidR="00567379" w:rsidRPr="000A7960" w:rsidRDefault="00567379" w:rsidP="009633F8">
      <w:pPr>
        <w:pStyle w:val="NCDBodyText"/>
      </w:pPr>
      <w:r>
        <w:t>DOT</w:t>
      </w:r>
      <w:r w:rsidRPr="000A7960">
        <w:t xml:space="preserve"> reached an agreement with United Airlines resulting from its investigation into the death of a passenger with a disability. The agreement requires the airline to take several actions to ensure that wheelchair users travel with safety and dignity, including posting the width of plane cargo doors online so that customers can determine whether their wheelchair will fit in a particular plane.</w:t>
      </w:r>
      <w:r w:rsidRPr="000A7960">
        <w:rPr>
          <w:rStyle w:val="EndnoteReference"/>
          <w:rFonts w:cs="Arial"/>
          <w:sz w:val="23"/>
          <w:szCs w:val="23"/>
        </w:rPr>
        <w:endnoteReference w:id="13"/>
      </w:r>
    </w:p>
    <w:p w14:paraId="4852E4B8" w14:textId="77777777" w:rsidR="00567379" w:rsidRPr="000A7960" w:rsidRDefault="00567379" w:rsidP="009633F8">
      <w:pPr>
        <w:pStyle w:val="NCDBodyText"/>
      </w:pPr>
      <w:r w:rsidRPr="000A7960">
        <w:t>Further, DOT issued a final rule to amend the D</w:t>
      </w:r>
      <w:r>
        <w:t>OT’</w:t>
      </w:r>
      <w:r w:rsidRPr="000A7960">
        <w:t xml:space="preserve">s Air Carrier Access Act regulation to improve the accessibility of lavatories on single-aisle aircraft. This final rule is intended to ensure that </w:t>
      </w:r>
      <w:r>
        <w:t>the US</w:t>
      </w:r>
      <w:r w:rsidRPr="000A7960">
        <w:t xml:space="preserve"> air transportation system is safe and accessible to individuals with disabilities.</w:t>
      </w:r>
      <w:r w:rsidRPr="000A7960">
        <w:rPr>
          <w:rStyle w:val="EndnoteReference"/>
          <w:rFonts w:cs="Arial"/>
          <w:sz w:val="23"/>
          <w:szCs w:val="23"/>
        </w:rPr>
        <w:endnoteReference w:id="14"/>
      </w:r>
      <w:r w:rsidRPr="000A7960">
        <w:t xml:space="preserve"> Additionally, DOT proposed a rule to strengthen its regulations implementing the Air Carrier Access Act to address problems that individuals with disabilities using wheelchairs and scooters confront when traveling by air that impact their dignity and safety, including mishandled wheelchairs and scooters and improper transfers to and from aircraft seats, aisle chairs, and personal wheelchairs.</w:t>
      </w:r>
      <w:r w:rsidRPr="000A7960">
        <w:rPr>
          <w:rStyle w:val="EndnoteReference"/>
          <w:rFonts w:cs="Arial"/>
          <w:sz w:val="23"/>
          <w:szCs w:val="23"/>
        </w:rPr>
        <w:endnoteReference w:id="15"/>
      </w:r>
    </w:p>
    <w:p w14:paraId="6F53016A" w14:textId="77777777" w:rsidR="009633F8" w:rsidRPr="0051019A" w:rsidRDefault="00567379" w:rsidP="0051019A">
      <w:pPr>
        <w:pStyle w:val="Heading2"/>
        <w:spacing w:after="0"/>
        <w:rPr>
          <w:i/>
          <w:iCs/>
          <w:sz w:val="24"/>
          <w:szCs w:val="24"/>
        </w:rPr>
      </w:pPr>
      <w:bookmarkStart w:id="77" w:name="_Toc178855298"/>
      <w:r w:rsidRPr="0051019A">
        <w:rPr>
          <w:i/>
          <w:iCs/>
          <w:sz w:val="24"/>
          <w:szCs w:val="24"/>
        </w:rPr>
        <w:t>Ground Travel Developments:</w:t>
      </w:r>
      <w:bookmarkEnd w:id="77"/>
    </w:p>
    <w:p w14:paraId="11C2BA2E" w14:textId="18C59788" w:rsidR="00567379" w:rsidRPr="000A7960" w:rsidRDefault="00567379" w:rsidP="009633F8">
      <w:pPr>
        <w:pStyle w:val="NCDBodyText"/>
        <w:rPr>
          <w:i/>
          <w:iCs/>
        </w:rPr>
      </w:pPr>
      <w:r w:rsidRPr="000A7960">
        <w:t>Amtrak has continued to improve on its accessibility to people with disabilities through ongoing training of employees and increased physically accessible stations and cars. Amtrak’s American</w:t>
      </w:r>
      <w:r>
        <w:t>s</w:t>
      </w:r>
      <w:r w:rsidRPr="000A7960">
        <w:t xml:space="preserve"> with Disabilities Act </w:t>
      </w:r>
      <w:r>
        <w:t>Stations</w:t>
      </w:r>
      <w:r w:rsidRPr="000A7960">
        <w:t xml:space="preserve"> Program (ADASP) is a multiyear program developed to bring stations, or the components of stations that Amtrak has ADA responsibility for, into compliance with ADA requirements. The ADASP is funded by the Infrastructure Investment and Jobs Act. As reported by Amtrak under its US D</w:t>
      </w:r>
      <w:r>
        <w:t>O</w:t>
      </w:r>
      <w:r w:rsidRPr="000A7960">
        <w:t>J Settlement Agreement (for the reporting period of November 1, 2023, through April 30, 2024), as of close of April 2024, there are 385 stations where Amtrak has some type of ADA responsibility</w:t>
      </w:r>
      <w:r>
        <w:t xml:space="preserve"> (</w:t>
      </w:r>
      <w:r w:rsidRPr="000A7960">
        <w:t>e.g., station building, passenger platform, and/or parking</w:t>
      </w:r>
      <w:r>
        <w:t>)</w:t>
      </w:r>
      <w:r w:rsidRPr="000A7960">
        <w:t xml:space="preserve">. Amtrak reports that its ADA responsibility has been addressed at 190 stations (123 stations where Amtrak has met its ADA responsibility for some or all components and 67 </w:t>
      </w:r>
      <w:r w:rsidRPr="000A7960">
        <w:lastRenderedPageBreak/>
        <w:t>stations where Amtrak has met its ADA responsibility with exception of the passenger platforms, which will require additional work).</w:t>
      </w:r>
      <w:r w:rsidRPr="000A7960">
        <w:rPr>
          <w:rStyle w:val="EndnoteReference"/>
          <w:rFonts w:eastAsia="Times New Roman" w:cs="Arial"/>
          <w:sz w:val="23"/>
          <w:szCs w:val="23"/>
        </w:rPr>
        <w:endnoteReference w:id="16"/>
      </w:r>
    </w:p>
    <w:p w14:paraId="53DE91C8" w14:textId="77777777" w:rsidR="00567379" w:rsidRPr="000A7960" w:rsidRDefault="00567379" w:rsidP="009633F8">
      <w:pPr>
        <w:pStyle w:val="NCDBodyText"/>
      </w:pPr>
      <w:r w:rsidRPr="000A7960">
        <w:t xml:space="preserve">The Federal Highway Administration launched a new ADA transition plan webpage to inform the public </w:t>
      </w:r>
      <w:proofErr w:type="gramStart"/>
      <w:r w:rsidRPr="000A7960">
        <w:t>on</w:t>
      </w:r>
      <w:proofErr w:type="gramEnd"/>
      <w:r w:rsidRPr="000A7960">
        <w:t xml:space="preserve"> the strides states have made in addressing the pre-ADA legacy of inaccessible pedestrian facilities.</w:t>
      </w:r>
      <w:r w:rsidRPr="000A7960">
        <w:rPr>
          <w:rStyle w:val="EndnoteReference"/>
          <w:rFonts w:eastAsia="Times New Roman" w:cs="Arial"/>
          <w:sz w:val="23"/>
          <w:szCs w:val="23"/>
        </w:rPr>
        <w:endnoteReference w:id="17"/>
      </w:r>
    </w:p>
    <w:p w14:paraId="319DDAAB" w14:textId="77777777" w:rsidR="00567379" w:rsidRPr="0051019A" w:rsidRDefault="00567379" w:rsidP="009633F8">
      <w:pPr>
        <w:pStyle w:val="Heading2"/>
        <w:rPr>
          <w:i/>
          <w:iCs/>
          <w:sz w:val="24"/>
          <w:szCs w:val="24"/>
        </w:rPr>
      </w:pPr>
      <w:bookmarkStart w:id="78" w:name="_Toc178855299"/>
      <w:r w:rsidRPr="0051019A">
        <w:rPr>
          <w:i/>
          <w:iCs/>
          <w:sz w:val="24"/>
          <w:szCs w:val="24"/>
        </w:rPr>
        <w:t>US Access Board Developments:</w:t>
      </w:r>
      <w:bookmarkEnd w:id="78"/>
    </w:p>
    <w:p w14:paraId="0FDA9DBA" w14:textId="45532E49" w:rsidR="00567379" w:rsidRPr="000A7960" w:rsidRDefault="00567379" w:rsidP="009633F8">
      <w:pPr>
        <w:pStyle w:val="NCDBodyText"/>
      </w:pPr>
      <w:r>
        <w:t xml:space="preserve">The US </w:t>
      </w:r>
      <w:r w:rsidRPr="000A7960">
        <w:t>Access Board issued a final rule</w:t>
      </w:r>
      <w:r w:rsidR="007671B4">
        <w:t>,</w:t>
      </w:r>
      <w:r w:rsidRPr="000A7960">
        <w:t xml:space="preserve"> “Accessibility Guidelines for Pedestrian Facilities in the Public Right-of-Way</w:t>
      </w:r>
      <w:r>
        <w:t>,</w:t>
      </w:r>
      <w:r w:rsidRPr="000A7960">
        <w:t xml:space="preserve">” providing minimum guidelines for all newly constructed pedestrian facilities and altered portions of existing pedestrian facilities for pedestrian circulation and use in the public right-of-way. These guidelines, once adopted, will serve as the technical basis of enforceable standards issued by </w:t>
      </w:r>
      <w:r>
        <w:t>the US General Services Administration</w:t>
      </w:r>
      <w:r w:rsidRPr="000A7960">
        <w:t xml:space="preserve"> under the Architectural Barriers Act of 1968, as amended, and would ensure that facilities used by pedestrians that are subject to the A</w:t>
      </w:r>
      <w:r>
        <w:t>ct</w:t>
      </w:r>
      <w:r w:rsidRPr="000A7960">
        <w:t xml:space="preserve">, such as sidewalks and crosswalks constructed or altered in the public right-of-way by Federal, state, and local governments using </w:t>
      </w:r>
      <w:r>
        <w:t>f</w:t>
      </w:r>
      <w:r w:rsidRPr="000A7960">
        <w:t>ederal funds, are readily accessible to and usable by pedestrians with disabilities.</w:t>
      </w:r>
      <w:r w:rsidRPr="000A7960">
        <w:rPr>
          <w:vertAlign w:val="superscript"/>
        </w:rPr>
        <w:endnoteReference w:id="18"/>
      </w:r>
    </w:p>
    <w:p w14:paraId="50E1A69C" w14:textId="4EDB1D3B" w:rsidR="00567379" w:rsidRDefault="00567379" w:rsidP="009633F8">
      <w:pPr>
        <w:pStyle w:val="NCDBodyText"/>
      </w:pPr>
      <w:r>
        <w:t>The US General Services Administration</w:t>
      </w:r>
      <w:r w:rsidRPr="000A7960">
        <w:t xml:space="preserve"> issued a final rule amending the Federal Management Regulation regarding real property design and construction to adopt the new accessibility guidelines issued by the </w:t>
      </w:r>
      <w:r>
        <w:t xml:space="preserve">US </w:t>
      </w:r>
      <w:r w:rsidRPr="000A7960">
        <w:t>Access Board.</w:t>
      </w:r>
      <w:r w:rsidRPr="000A7960">
        <w:rPr>
          <w:vertAlign w:val="superscript"/>
        </w:rPr>
        <w:endnoteReference w:id="19"/>
      </w:r>
    </w:p>
    <w:p w14:paraId="46FD37BA" w14:textId="3F32B64E" w:rsidR="009633F8" w:rsidRDefault="009633F8">
      <w:pPr>
        <w:spacing w:after="160" w:line="259" w:lineRule="auto"/>
        <w:rPr>
          <w:rFonts w:eastAsia="Calibri" w:cs="Calibri"/>
          <w:color w:val="000000"/>
          <w:szCs w:val="24"/>
          <w:u w:color="000000"/>
          <w:bdr w:val="nil"/>
        </w:rPr>
      </w:pPr>
      <w:r>
        <w:br w:type="page"/>
      </w:r>
    </w:p>
    <w:p w14:paraId="4B00A6E3" w14:textId="77777777" w:rsidR="00ED6949" w:rsidRDefault="00ED6949">
      <w:pPr>
        <w:spacing w:after="160" w:line="259" w:lineRule="auto"/>
        <w:rPr>
          <w:rFonts w:cs="Arial"/>
          <w:b/>
          <w:sz w:val="36"/>
          <w:szCs w:val="32"/>
        </w:rPr>
      </w:pPr>
      <w:bookmarkStart w:id="79" w:name="_Toc178855300"/>
      <w:r>
        <w:lastRenderedPageBreak/>
        <w:br w:type="page"/>
      </w:r>
    </w:p>
    <w:p w14:paraId="4CE940E1" w14:textId="5A24A5FC" w:rsidR="00567379" w:rsidRPr="000A7960" w:rsidRDefault="00567379" w:rsidP="0051019A">
      <w:pPr>
        <w:pStyle w:val="Heading1"/>
        <w:spacing w:line="360" w:lineRule="auto"/>
      </w:pPr>
      <w:r w:rsidRPr="000A7960">
        <w:lastRenderedPageBreak/>
        <w:t>Section 3: Employment</w:t>
      </w:r>
      <w:bookmarkEnd w:id="79"/>
    </w:p>
    <w:p w14:paraId="3C69E744" w14:textId="77777777" w:rsidR="00567379" w:rsidRPr="000A7960" w:rsidRDefault="00567379" w:rsidP="009633F8">
      <w:pPr>
        <w:pStyle w:val="NCDBodyText"/>
      </w:pPr>
      <w:r w:rsidRPr="000A7960">
        <w:t xml:space="preserve">Fair and reasonable employment policies are of course essential to achieving economic self-sufficiency for people with disabilities. This year NCD has primarily focused its consideration of disability policy within the scope of employment on two essential areas that no doubt deserve attention: the </w:t>
      </w:r>
      <w:proofErr w:type="spellStart"/>
      <w:r w:rsidRPr="000A7960">
        <w:t>AbilityOne</w:t>
      </w:r>
      <w:proofErr w:type="spellEnd"/>
      <w:r w:rsidRPr="000A7960">
        <w:t xml:space="preserve"> </w:t>
      </w:r>
      <w:r>
        <w:t>p</w:t>
      </w:r>
      <w:r w:rsidRPr="000A7960">
        <w:t>rogram and Tribal Lands Vocational Rehabilitation.</w:t>
      </w:r>
    </w:p>
    <w:p w14:paraId="53E77B9A" w14:textId="77777777" w:rsidR="00567379" w:rsidRPr="0051019A" w:rsidRDefault="00567379" w:rsidP="0051019A">
      <w:pPr>
        <w:pStyle w:val="Heading2"/>
        <w:spacing w:after="0"/>
        <w:rPr>
          <w:i/>
          <w:iCs/>
          <w:sz w:val="24"/>
          <w:szCs w:val="24"/>
        </w:rPr>
      </w:pPr>
      <w:bookmarkStart w:id="80" w:name="_Toc178855301"/>
      <w:r w:rsidRPr="0051019A">
        <w:rPr>
          <w:i/>
          <w:iCs/>
          <w:sz w:val="24"/>
          <w:szCs w:val="24"/>
        </w:rPr>
        <w:t xml:space="preserve">Recommendation by NCD Concerning the </w:t>
      </w:r>
      <w:proofErr w:type="spellStart"/>
      <w:r w:rsidRPr="0051019A">
        <w:rPr>
          <w:i/>
          <w:iCs/>
          <w:sz w:val="24"/>
          <w:szCs w:val="24"/>
        </w:rPr>
        <w:t>AbilityOne</w:t>
      </w:r>
      <w:proofErr w:type="spellEnd"/>
      <w:r w:rsidRPr="0051019A">
        <w:rPr>
          <w:i/>
          <w:iCs/>
          <w:sz w:val="24"/>
          <w:szCs w:val="24"/>
        </w:rPr>
        <w:t xml:space="preserve"> Program</w:t>
      </w:r>
      <w:bookmarkEnd w:id="80"/>
    </w:p>
    <w:p w14:paraId="57BB1F47" w14:textId="77777777" w:rsidR="00567379" w:rsidRPr="009633F8" w:rsidRDefault="00567379" w:rsidP="009633F8">
      <w:pPr>
        <w:pStyle w:val="NCDBodyText"/>
        <w:rPr>
          <w:b/>
          <w:i/>
        </w:rPr>
      </w:pPr>
      <w:r w:rsidRPr="009633F8">
        <w:rPr>
          <w:b/>
          <w:i/>
        </w:rPr>
        <w:t xml:space="preserve">12. There should be a phaseout of the </w:t>
      </w:r>
      <w:proofErr w:type="spellStart"/>
      <w:r w:rsidRPr="009633F8">
        <w:rPr>
          <w:b/>
          <w:i/>
        </w:rPr>
        <w:t>AbilityOne</w:t>
      </w:r>
      <w:proofErr w:type="spellEnd"/>
      <w:r w:rsidRPr="009633F8">
        <w:rPr>
          <w:b/>
          <w:i/>
        </w:rPr>
        <w:t xml:space="preserve"> program, to be replaced by amending Section 503 of the Rehabilitation Act that would require federal contractors employ a percentage of people with significant </w:t>
      </w:r>
      <w:proofErr w:type="gramStart"/>
      <w:r w:rsidRPr="009633F8">
        <w:rPr>
          <w:b/>
          <w:i/>
        </w:rPr>
        <w:t>disabilities and</w:t>
      </w:r>
      <w:proofErr w:type="gramEnd"/>
      <w:r w:rsidRPr="009633F8">
        <w:rPr>
          <w:b/>
          <w:i/>
        </w:rPr>
        <w:t xml:space="preserve"> who are blind.</w:t>
      </w:r>
    </w:p>
    <w:p w14:paraId="18D8CF37" w14:textId="77777777" w:rsidR="00567379" w:rsidRPr="009633F8" w:rsidRDefault="00567379" w:rsidP="009633F8">
      <w:pPr>
        <w:pStyle w:val="NCDBodyText"/>
        <w:rPr>
          <w:b/>
          <w:i/>
        </w:rPr>
      </w:pPr>
      <w:proofErr w:type="spellStart"/>
      <w:r w:rsidRPr="009633F8">
        <w:rPr>
          <w:b/>
          <w:i/>
        </w:rPr>
        <w:t>AbilityOne</w:t>
      </w:r>
      <w:proofErr w:type="spellEnd"/>
      <w:r w:rsidRPr="009633F8">
        <w:rPr>
          <w:b/>
          <w:i/>
        </w:rPr>
        <w:t xml:space="preserve"> Developments:</w:t>
      </w:r>
    </w:p>
    <w:p w14:paraId="50922E32" w14:textId="77777777" w:rsidR="00567379" w:rsidRPr="000A7960" w:rsidRDefault="00567379" w:rsidP="001C3A71">
      <w:pPr>
        <w:pStyle w:val="NCDBodyText"/>
      </w:pPr>
      <w:r w:rsidRPr="000A7960">
        <w:t xml:space="preserve">The </w:t>
      </w:r>
      <w:proofErr w:type="spellStart"/>
      <w:r w:rsidRPr="000A7960">
        <w:t>AbilityOne</w:t>
      </w:r>
      <w:proofErr w:type="spellEnd"/>
      <w:r w:rsidRPr="000A7960">
        <w:t xml:space="preserve"> Commission published its FY </w:t>
      </w:r>
      <w:r>
        <w:t>20</w:t>
      </w:r>
      <w:r w:rsidRPr="000A7960">
        <w:t>22</w:t>
      </w:r>
      <w:r>
        <w:t>–20</w:t>
      </w:r>
      <w:r w:rsidRPr="000A7960">
        <w:t xml:space="preserve">26 strategic plan in June 2022. The strategic plan laid out four strategic objectives. The objectives include focusing on transforming the program to increase competitive, integrated employment; identifying, publicizing, and increasing good jobs and optimal jobs within the program; ensuring effective governance and results across the program; and engaging in partnerships to increase employment for </w:t>
      </w:r>
      <w:proofErr w:type="spellStart"/>
      <w:r w:rsidRPr="000A7960">
        <w:t>AbilityOne</w:t>
      </w:r>
      <w:proofErr w:type="spellEnd"/>
      <w:r w:rsidRPr="000A7960">
        <w:t xml:space="preserve"> employees within and above the program.</w:t>
      </w:r>
    </w:p>
    <w:p w14:paraId="798A5385" w14:textId="77777777" w:rsidR="00567379" w:rsidRPr="000A7960" w:rsidRDefault="00567379" w:rsidP="001C3A71">
      <w:pPr>
        <w:pStyle w:val="NCDBodyText"/>
      </w:pPr>
      <w:r w:rsidRPr="000A7960">
        <w:t xml:space="preserve">Since the publication of the strategic plan, the </w:t>
      </w:r>
      <w:proofErr w:type="spellStart"/>
      <w:r w:rsidRPr="000A7960">
        <w:t>AbilityOne</w:t>
      </w:r>
      <w:proofErr w:type="spellEnd"/>
      <w:r w:rsidRPr="000A7960">
        <w:t xml:space="preserve"> program issued a final rule on July 21, 2022, which prohibits payments of subminimum wage on </w:t>
      </w:r>
      <w:proofErr w:type="spellStart"/>
      <w:r w:rsidRPr="000A7960">
        <w:t>AbilityOne</w:t>
      </w:r>
      <w:proofErr w:type="spellEnd"/>
      <w:r w:rsidRPr="000A7960">
        <w:t xml:space="preserve"> contracts. The </w:t>
      </w:r>
      <w:proofErr w:type="spellStart"/>
      <w:r>
        <w:t>AbilityOne</w:t>
      </w:r>
      <w:proofErr w:type="spellEnd"/>
      <w:r>
        <w:t xml:space="preserve"> </w:t>
      </w:r>
      <w:r w:rsidRPr="000A7960">
        <w:t>Commission also has issued two policy documents that focus on compliance. The first, published January 1, 2024, is 51.400, “</w:t>
      </w:r>
      <w:proofErr w:type="spellStart"/>
      <w:r w:rsidRPr="000A7960">
        <w:t>AbilityOne</w:t>
      </w:r>
      <w:proofErr w:type="spellEnd"/>
      <w:r w:rsidRPr="000A7960">
        <w:t xml:space="preserve"> Commission Compliance Program” </w:t>
      </w:r>
      <w:r>
        <w:t>that</w:t>
      </w:r>
      <w:r w:rsidRPr="000A7960">
        <w:t xml:space="preserve"> sets forth the compliance approach of the Commission for </w:t>
      </w:r>
      <w:proofErr w:type="spellStart"/>
      <w:r w:rsidRPr="000A7960">
        <w:t>AbilityOne</w:t>
      </w:r>
      <w:proofErr w:type="spellEnd"/>
      <w:r w:rsidRPr="000A7960">
        <w:t xml:space="preserve"> nonprofit agencies. The policy document articulates the oversight obligations of the </w:t>
      </w:r>
      <w:r>
        <w:t>c</w:t>
      </w:r>
      <w:r w:rsidRPr="000A7960">
        <w:t xml:space="preserve">entral </w:t>
      </w:r>
      <w:r>
        <w:t>n</w:t>
      </w:r>
      <w:r w:rsidRPr="000A7960">
        <w:t xml:space="preserve">onprofit </w:t>
      </w:r>
      <w:r>
        <w:t>a</w:t>
      </w:r>
      <w:r w:rsidRPr="000A7960">
        <w:t xml:space="preserve">gencies toward the nonprofit agencies and strengthens the oversight of the </w:t>
      </w:r>
      <w:proofErr w:type="spellStart"/>
      <w:r w:rsidRPr="000A7960">
        <w:t>AbilityOne</w:t>
      </w:r>
      <w:proofErr w:type="spellEnd"/>
      <w:r w:rsidRPr="000A7960">
        <w:t xml:space="preserve"> Commission over the central nonprofit agencies’ compliance activities. The second policy document, 51.403, published January 1, 2024, “Determining Eligibility of Participating Employees,” sets forth the requirements that a </w:t>
      </w:r>
      <w:r w:rsidRPr="000A7960">
        <w:lastRenderedPageBreak/>
        <w:t xml:space="preserve">nonprofit agency must meet to count </w:t>
      </w:r>
      <w:proofErr w:type="spellStart"/>
      <w:r w:rsidRPr="000A7960">
        <w:t>AbilityOne</w:t>
      </w:r>
      <w:proofErr w:type="spellEnd"/>
      <w:r w:rsidRPr="000A7960">
        <w:t xml:space="preserve"> employees toward the direct labor ratio hour required in the Javits-Wagner-O’Day Act and the documentation requirements and recordkeeping responsibilities of a</w:t>
      </w:r>
      <w:r>
        <w:t xml:space="preserve"> nonprofit agency</w:t>
      </w:r>
      <w:r w:rsidRPr="000A7960">
        <w:t xml:space="preserve">. Both 51.400 and 51.403 are in line with NCD’s </w:t>
      </w:r>
      <w:r>
        <w:t>i</w:t>
      </w:r>
      <w:r w:rsidRPr="000A7960">
        <w:t xml:space="preserve">nterim recommendation from the 2020 publication, “Policies </w:t>
      </w:r>
      <w:r>
        <w:t>fro</w:t>
      </w:r>
      <w:r w:rsidRPr="000A7960">
        <w:t xml:space="preserve">m the Past in a </w:t>
      </w:r>
      <w:r>
        <w:t>M</w:t>
      </w:r>
      <w:r w:rsidRPr="000A7960">
        <w:t xml:space="preserve">odern Era: The Unintended Consequences of the </w:t>
      </w:r>
      <w:proofErr w:type="spellStart"/>
      <w:r w:rsidRPr="000A7960">
        <w:t>AbilityOne</w:t>
      </w:r>
      <w:proofErr w:type="spellEnd"/>
      <w:r w:rsidRPr="000A7960">
        <w:t xml:space="preserve"> Program and Section 14(c).</w:t>
      </w:r>
      <w:r>
        <w:t>”</w:t>
      </w:r>
      <w:r>
        <w:rPr>
          <w:rStyle w:val="EndnoteReference"/>
          <w:rFonts w:eastAsia="Times New Roman" w:cs="Arial"/>
          <w:sz w:val="23"/>
          <w:szCs w:val="23"/>
        </w:rPr>
        <w:endnoteReference w:id="20"/>
      </w:r>
    </w:p>
    <w:p w14:paraId="531C8356" w14:textId="77777777" w:rsidR="00567379" w:rsidRDefault="00567379" w:rsidP="001C3A71">
      <w:pPr>
        <w:pStyle w:val="NCDBodyText"/>
      </w:pPr>
      <w:r w:rsidRPr="000A7960">
        <w:t xml:space="preserve">Additionally, on March 21, 2023, the </w:t>
      </w:r>
      <w:proofErr w:type="spellStart"/>
      <w:r w:rsidRPr="000A7960">
        <w:t>AbilityOne</w:t>
      </w:r>
      <w:proofErr w:type="spellEnd"/>
      <w:r w:rsidRPr="000A7960">
        <w:t xml:space="preserve"> Commission promulgated a final rule, “Supporting Competition in the </w:t>
      </w:r>
      <w:proofErr w:type="spellStart"/>
      <w:r w:rsidRPr="000A7960">
        <w:t>AbilityOne</w:t>
      </w:r>
      <w:proofErr w:type="spellEnd"/>
      <w:r w:rsidRPr="000A7960">
        <w:t xml:space="preserve"> Program,” which introduces limited competition into the </w:t>
      </w:r>
      <w:proofErr w:type="spellStart"/>
      <w:r w:rsidRPr="000A7960">
        <w:t>AbilityOne</w:t>
      </w:r>
      <w:proofErr w:type="spellEnd"/>
      <w:r w:rsidRPr="000A7960">
        <w:t xml:space="preserve"> Commission. This final rule considers price and nonprice factors in high dollar value service contracts. The introduction of competition into the </w:t>
      </w:r>
      <w:proofErr w:type="spellStart"/>
      <w:r w:rsidRPr="000A7960">
        <w:t>AbilityOne</w:t>
      </w:r>
      <w:proofErr w:type="spellEnd"/>
      <w:r w:rsidRPr="000A7960">
        <w:t xml:space="preserve"> </w:t>
      </w:r>
      <w:r>
        <w:t>p</w:t>
      </w:r>
      <w:r w:rsidRPr="000A7960">
        <w:t xml:space="preserve">rogram was a recommendation from the Section 898 “Panel on Department of Defense and </w:t>
      </w:r>
      <w:proofErr w:type="spellStart"/>
      <w:r w:rsidRPr="000A7960">
        <w:t>AbilityOne</w:t>
      </w:r>
      <w:proofErr w:type="spellEnd"/>
      <w:r w:rsidRPr="000A7960">
        <w:t xml:space="preserve"> Contracting Oversight, Accountability, and Integrity” created by the 2017 NDAA.</w:t>
      </w:r>
      <w:r>
        <w:rPr>
          <w:rStyle w:val="EndnoteReference"/>
          <w:rFonts w:eastAsia="Times New Roman" w:cs="Arial"/>
          <w:sz w:val="23"/>
          <w:szCs w:val="23"/>
        </w:rPr>
        <w:endnoteReference w:id="21"/>
      </w:r>
    </w:p>
    <w:p w14:paraId="51970F88" w14:textId="77777777" w:rsidR="00567379" w:rsidRPr="000A7960" w:rsidRDefault="00567379" w:rsidP="001C3A71">
      <w:pPr>
        <w:pStyle w:val="NCDBodyText"/>
      </w:pPr>
      <w:r w:rsidRPr="000A7960">
        <w:t xml:space="preserve">The promulgation of these </w:t>
      </w:r>
      <w:proofErr w:type="spellStart"/>
      <w:r w:rsidRPr="000A7960">
        <w:t>AbilityOne</w:t>
      </w:r>
      <w:proofErr w:type="spellEnd"/>
      <w:r w:rsidRPr="000A7960">
        <w:t xml:space="preserve"> policy documents aligns with some of NCD’s interim recommendations from our 2020 report, “Policies from the Past in a Modern Era: The Unintended Consequences of the </w:t>
      </w:r>
      <w:proofErr w:type="spellStart"/>
      <w:r w:rsidRPr="000A7960">
        <w:t>AbilityOne</w:t>
      </w:r>
      <w:proofErr w:type="spellEnd"/>
      <w:r w:rsidRPr="000A7960">
        <w:t xml:space="preserve"> Program and Section 14(c).” However, NCD made clear in the report that the interim recommendations were only contextually appropriate during the phaseout of the </w:t>
      </w:r>
      <w:proofErr w:type="spellStart"/>
      <w:r w:rsidRPr="000A7960">
        <w:t>AbilityOne</w:t>
      </w:r>
      <w:proofErr w:type="spellEnd"/>
      <w:r w:rsidRPr="000A7960">
        <w:t xml:space="preserve"> </w:t>
      </w:r>
      <w:r>
        <w:t>p</w:t>
      </w:r>
      <w:r w:rsidRPr="000A7960">
        <w:t>rogram</w:t>
      </w:r>
      <w:r>
        <w:t>,</w:t>
      </w:r>
      <w:r w:rsidRPr="000A7960">
        <w:t xml:space="preserve"> and implementation of any NCD interim recommendations does not negate our recommendation to phase out the </w:t>
      </w:r>
      <w:proofErr w:type="spellStart"/>
      <w:r w:rsidRPr="000A7960">
        <w:t>AbilityOne</w:t>
      </w:r>
      <w:proofErr w:type="spellEnd"/>
      <w:r w:rsidRPr="000A7960">
        <w:t xml:space="preserve"> program. Recent updates to the </w:t>
      </w:r>
      <w:proofErr w:type="spellStart"/>
      <w:r w:rsidRPr="000A7960">
        <w:t>AbilityOne</w:t>
      </w:r>
      <w:proofErr w:type="spellEnd"/>
      <w:r w:rsidRPr="000A7960">
        <w:t xml:space="preserve"> </w:t>
      </w:r>
      <w:r>
        <w:t>p</w:t>
      </w:r>
      <w:r w:rsidRPr="000A7960">
        <w:t xml:space="preserve">rogram do not address the underlying structural problems and incompatibility of the </w:t>
      </w:r>
      <w:proofErr w:type="spellStart"/>
      <w:r w:rsidRPr="000A7960">
        <w:t>AbilityOne</w:t>
      </w:r>
      <w:proofErr w:type="spellEnd"/>
      <w:r w:rsidRPr="000A7960">
        <w:t xml:space="preserve"> </w:t>
      </w:r>
      <w:r>
        <w:t>p</w:t>
      </w:r>
      <w:r w:rsidRPr="000A7960">
        <w:t xml:space="preserve">rogram with modern disability policy. Therefore, NCD continues to recommend </w:t>
      </w:r>
      <w:bookmarkStart w:id="81" w:name="_Hlk175853474"/>
      <w:r w:rsidRPr="000A7960">
        <w:t xml:space="preserve">a phaseout of the </w:t>
      </w:r>
      <w:proofErr w:type="spellStart"/>
      <w:r w:rsidRPr="000A7960">
        <w:t>AbilityOne</w:t>
      </w:r>
      <w:proofErr w:type="spellEnd"/>
      <w:r w:rsidRPr="000A7960">
        <w:t xml:space="preserve"> program to be replaced by amending </w:t>
      </w:r>
      <w:r>
        <w:t>S</w:t>
      </w:r>
      <w:r w:rsidRPr="000A7960">
        <w:t xml:space="preserve">ection 503 of the Rehabilitation Act that would require federal contractors </w:t>
      </w:r>
      <w:proofErr w:type="gramStart"/>
      <w:r w:rsidRPr="000A7960">
        <w:t>employ</w:t>
      </w:r>
      <w:proofErr w:type="gramEnd"/>
      <w:r w:rsidRPr="000A7960">
        <w:t xml:space="preserve"> a percentage of people with significant disabilities and who are blind.</w:t>
      </w:r>
    </w:p>
    <w:p w14:paraId="2CD1CA77" w14:textId="77777777" w:rsidR="00567379" w:rsidRPr="0051019A" w:rsidRDefault="00567379" w:rsidP="0051019A">
      <w:pPr>
        <w:pStyle w:val="Heading2"/>
        <w:spacing w:after="0"/>
        <w:rPr>
          <w:i/>
          <w:iCs/>
          <w:sz w:val="24"/>
          <w:szCs w:val="24"/>
        </w:rPr>
      </w:pPr>
      <w:bookmarkStart w:id="82" w:name="_Toc178855302"/>
      <w:r w:rsidRPr="0051019A">
        <w:rPr>
          <w:i/>
          <w:iCs/>
          <w:sz w:val="24"/>
          <w:szCs w:val="24"/>
        </w:rPr>
        <w:t>Recommendation by NCD Concerning the US Department of Labor and Section 14(c) Certificates</w:t>
      </w:r>
      <w:bookmarkEnd w:id="82"/>
    </w:p>
    <w:p w14:paraId="47E400EF" w14:textId="27CCED1F" w:rsidR="00567379" w:rsidRPr="001C3A71" w:rsidRDefault="00567379" w:rsidP="001C3A71">
      <w:pPr>
        <w:pStyle w:val="NCDBodyText"/>
        <w:rPr>
          <w:b/>
          <w:i/>
        </w:rPr>
      </w:pPr>
      <w:r w:rsidRPr="001C3A71">
        <w:rPr>
          <w:b/>
          <w:i/>
        </w:rPr>
        <w:t xml:space="preserve">13. The US Department of Labor (DOL) should restrict the issuance of Fair Labor Standards Act Section 14(c) certificates (which allows businesses to pay people </w:t>
      </w:r>
      <w:r w:rsidRPr="001C3A71">
        <w:rPr>
          <w:b/>
          <w:i/>
        </w:rPr>
        <w:lastRenderedPageBreak/>
        <w:t xml:space="preserve">with disabilities less than the federal minimum wage) to nonprofit agencies that work on </w:t>
      </w:r>
      <w:proofErr w:type="spellStart"/>
      <w:r w:rsidRPr="001C3A71">
        <w:rPr>
          <w:b/>
          <w:i/>
        </w:rPr>
        <w:t>AbilityOne</w:t>
      </w:r>
      <w:proofErr w:type="spellEnd"/>
      <w:r w:rsidRPr="001C3A71">
        <w:rPr>
          <w:b/>
          <w:i/>
        </w:rPr>
        <w:t xml:space="preserve"> contracts. Issuance of Section 14(c) certificates should be phased out over time.</w:t>
      </w:r>
    </w:p>
    <w:p w14:paraId="78EF0621" w14:textId="77777777" w:rsidR="00567379" w:rsidRPr="001C3A71" w:rsidRDefault="00567379" w:rsidP="001C3A71">
      <w:pPr>
        <w:pStyle w:val="NCDBodyText"/>
        <w:rPr>
          <w:b/>
          <w:i/>
        </w:rPr>
      </w:pPr>
      <w:r w:rsidRPr="001C3A71">
        <w:rPr>
          <w:b/>
          <w:i/>
        </w:rPr>
        <w:t>DOL Development:</w:t>
      </w:r>
    </w:p>
    <w:p w14:paraId="04CB0D3D" w14:textId="77777777" w:rsidR="00567379" w:rsidRPr="000A7960" w:rsidRDefault="00567379" w:rsidP="001C3A71">
      <w:pPr>
        <w:pStyle w:val="NCDBodyText"/>
      </w:pPr>
      <w:r w:rsidRPr="000A7960">
        <w:t xml:space="preserve">As reported by </w:t>
      </w:r>
      <w:r>
        <w:t>DOL</w:t>
      </w:r>
      <w:r w:rsidRPr="000A7960">
        <w:t xml:space="preserve"> to congressional authorizing and appropriations committees</w:t>
      </w:r>
      <w:r>
        <w:t>,</w:t>
      </w:r>
      <w:r w:rsidRPr="000A7960">
        <w:t xml:space="preserve"> as of October 2023, 781 employers held issued 14(c) certificates</w:t>
      </w:r>
      <w:r>
        <w:t>,</w:t>
      </w:r>
      <w:r w:rsidRPr="000A7960">
        <w:t xml:space="preserve"> who reported paying 42,134 workers at subminimum wages in their previously completed fiscal quarter; and there were 65 employers with a pending certificate application.</w:t>
      </w:r>
      <w:r w:rsidRPr="000A7960">
        <w:rPr>
          <w:vertAlign w:val="superscript"/>
        </w:rPr>
        <w:endnoteReference w:id="22"/>
      </w:r>
      <w:r w:rsidRPr="000A7960">
        <w:t xml:space="preserve"> This number is significantly down from the 420,000 people earning subminimum wages under the 14(c) program in 2012 as indicated at that time by NCD in a report that recommended a phaseout of the 14(c) program.</w:t>
      </w:r>
      <w:r w:rsidRPr="000A7960">
        <w:rPr>
          <w:vertAlign w:val="superscript"/>
        </w:rPr>
        <w:endnoteReference w:id="23"/>
      </w:r>
      <w:r w:rsidRPr="000A7960">
        <w:t xml:space="preserve"> This downward trend is concurrent with a greater emphasis on competitive, integrated employment since the passage of the 2014 Workforce </w:t>
      </w:r>
      <w:r>
        <w:t>Innovation</w:t>
      </w:r>
      <w:r w:rsidRPr="000A7960">
        <w:t xml:space="preserve"> and Opportunity Act.</w:t>
      </w:r>
    </w:p>
    <w:p w14:paraId="0E1319C1" w14:textId="77777777" w:rsidR="00567379" w:rsidRPr="000A7960" w:rsidRDefault="00567379" w:rsidP="001C3A71">
      <w:pPr>
        <w:pStyle w:val="NCDBodyText"/>
      </w:pPr>
      <w:r w:rsidRPr="000A7960">
        <w:t>In the Spring 2024 Unified Agenda of Regulatory and Deregulatory Actions for the DOL, DOL</w:t>
      </w:r>
      <w:r w:rsidRPr="000A7960">
        <w:rPr>
          <w:b/>
          <w:bCs/>
        </w:rPr>
        <w:t xml:space="preserve"> </w:t>
      </w:r>
      <w:r w:rsidRPr="000A7960">
        <w:t>proposed a rule whereby it is conducting a regulatory review and is considering input from stakeholders to determine appropriate regulatory actions re</w:t>
      </w:r>
      <w:r>
        <w:t>garding</w:t>
      </w:r>
      <w:r w:rsidRPr="000A7960">
        <w:t xml:space="preserve"> “Employment of Workers with Disabilities Under Section 14(c) of the Fair Labor Standards Act.” </w:t>
      </w:r>
      <w:r w:rsidRPr="000A7960">
        <w:rPr>
          <w:vertAlign w:val="superscript"/>
        </w:rPr>
        <w:endnoteReference w:id="24"/>
      </w:r>
    </w:p>
    <w:p w14:paraId="2819218F" w14:textId="77777777" w:rsidR="00567379" w:rsidRPr="00EE0543" w:rsidRDefault="00567379" w:rsidP="00EE0543">
      <w:pPr>
        <w:pStyle w:val="Heading2"/>
        <w:spacing w:after="0"/>
        <w:rPr>
          <w:i/>
          <w:iCs/>
          <w:sz w:val="24"/>
          <w:szCs w:val="24"/>
        </w:rPr>
      </w:pPr>
      <w:bookmarkStart w:id="83" w:name="_Toc178855303"/>
      <w:bookmarkEnd w:id="81"/>
      <w:r w:rsidRPr="00EE0543">
        <w:rPr>
          <w:i/>
          <w:iCs/>
          <w:sz w:val="24"/>
          <w:szCs w:val="24"/>
        </w:rPr>
        <w:t>Recommendation by NCD Moving Forward Concerning Tribal Land Vocational Rehabilitation Developments</w:t>
      </w:r>
      <w:bookmarkEnd w:id="83"/>
    </w:p>
    <w:p w14:paraId="33F919CD" w14:textId="19A7989D" w:rsidR="00567379" w:rsidRPr="001C3A71" w:rsidRDefault="00567379" w:rsidP="001C3A71">
      <w:pPr>
        <w:pStyle w:val="NCDBodyText"/>
        <w:rPr>
          <w:b/>
          <w:i/>
        </w:rPr>
      </w:pPr>
      <w:r w:rsidRPr="001C3A71">
        <w:rPr>
          <w:b/>
          <w:i/>
        </w:rPr>
        <w:t>14.</w:t>
      </w:r>
      <w:r w:rsidR="001C3A71" w:rsidRPr="001C3A71">
        <w:rPr>
          <w:b/>
          <w:i/>
        </w:rPr>
        <w:t xml:space="preserve"> </w:t>
      </w:r>
      <w:r w:rsidRPr="001C3A71">
        <w:rPr>
          <w:b/>
          <w:i/>
        </w:rPr>
        <w:t>The Federal Government should address the disparity in federal programs and services for American Indians residing on tribal lands. Concerning tribal land vocational rehabilitation, NCD has elected to publish a report in the coming year with relevant recommendations that will review an NCD 2003 report and compare findings and uncover new disparities via talking circles with tribal citizens.</w:t>
      </w:r>
    </w:p>
    <w:p w14:paraId="6E52D5B2" w14:textId="23236D24" w:rsidR="00567379" w:rsidRPr="001C3A71" w:rsidRDefault="00567379" w:rsidP="001C3A71">
      <w:pPr>
        <w:pStyle w:val="NCDBodyText"/>
        <w:rPr>
          <w:b/>
          <w:i/>
        </w:rPr>
      </w:pPr>
      <w:r w:rsidRPr="001C3A71">
        <w:rPr>
          <w:b/>
          <w:i/>
        </w:rPr>
        <w:t>Tribal Lands Vocational Rehabilitation Developments</w:t>
      </w:r>
    </w:p>
    <w:p w14:paraId="7ADCF06B" w14:textId="77777777" w:rsidR="00567379" w:rsidRPr="000A7960" w:rsidRDefault="00567379" w:rsidP="001C3A71">
      <w:pPr>
        <w:pStyle w:val="NCDBodyText"/>
      </w:pPr>
      <w:r w:rsidRPr="000A7960">
        <w:t>In 2023, in coordination with the National Indian Council on Aging, NCD’s American Indian and Alaskan Native toolkit</w:t>
      </w:r>
      <w:r>
        <w:t>,</w:t>
      </w:r>
      <w:r w:rsidRPr="000A7960">
        <w:t xml:space="preserve"> developed many years ago</w:t>
      </w:r>
      <w:r>
        <w:t>, was</w:t>
      </w:r>
      <w:r w:rsidRPr="005245F1">
        <w:t xml:space="preserve"> </w:t>
      </w:r>
      <w:r w:rsidRPr="000A7960">
        <w:t>updated.</w:t>
      </w:r>
      <w:r w:rsidRPr="000A7960">
        <w:rPr>
          <w:rStyle w:val="EndnoteReference"/>
          <w:rFonts w:eastAsia="Times New Roman" w:cs="Arial"/>
          <w:sz w:val="23"/>
          <w:szCs w:val="23"/>
        </w:rPr>
        <w:endnoteReference w:id="25"/>
      </w:r>
      <w:r w:rsidRPr="000A7960">
        <w:t xml:space="preserve"> This </w:t>
      </w:r>
      <w:r w:rsidRPr="000A7960">
        <w:lastRenderedPageBreak/>
        <w:t xml:space="preserve">toolkit addresses the issue of the disparate treatment between funding for vocational rehabilitation (VR) programs for states and territories versus tribal lands and the persistent challenges that disparity creates. Tribal Vocational Rehabilitation Programs and American Indian tribes located on federal and state reservations are not eligible for the guaranteed annual funding that is provided to each state and territory. Funding for American Indian VR is through an American Indian Vocational Rehabilitation Services discretionary grant and is a competitive bid process; the grant provides funding for </w:t>
      </w:r>
      <w:r>
        <w:t>five</w:t>
      </w:r>
      <w:r w:rsidRPr="000A7960">
        <w:t xml:space="preserve"> years. The estimated average size of awards is approximately $531,000. Not all tribes have a VR program</w:t>
      </w:r>
      <w:r>
        <w:t>,</w:t>
      </w:r>
      <w:r w:rsidRPr="000A7960">
        <w:t xml:space="preserve"> and tribes with an existing VR program are not guaranteed funding during the next funding cycle, thus creating a lack of continuity in VR services to its tribal members. Tribes that have never had VR funding could be awarded a grant for the first time which present</w:t>
      </w:r>
      <w:r>
        <w:t>s</w:t>
      </w:r>
      <w:r w:rsidRPr="000A7960">
        <w:t xml:space="preserve"> startup and capacity building challenges. The way VR funds are allotted creates additional barriers for tribes who are attempting to provide a much-needed service.</w:t>
      </w:r>
    </w:p>
    <w:p w14:paraId="0900224D" w14:textId="77777777" w:rsidR="00567379" w:rsidRPr="000A7960" w:rsidRDefault="00567379" w:rsidP="001C3A71">
      <w:pPr>
        <w:pStyle w:val="NCDBodyText"/>
      </w:pPr>
      <w:r w:rsidRPr="000A7960">
        <w:t xml:space="preserve">The Council of State Administrators of Vocational Rehabilitation (CSAVR) collaborates with a variety of partners and stakeholders in </w:t>
      </w:r>
      <w:r>
        <w:t>VR</w:t>
      </w:r>
      <w:r w:rsidRPr="000A7960">
        <w:t>. The Consortia of Administrators for Native American Rehabilitation (CANAR) is a key partner in public VR and the 81 programs that provide vocational rehabilitation services to Native Americans and Alaskan Natives</w:t>
      </w:r>
      <w:r>
        <w:t>,</w:t>
      </w:r>
      <w:r w:rsidRPr="000A7960">
        <w:t xml:space="preserve"> which are funded under the Rehabilitation Act.</w:t>
      </w:r>
    </w:p>
    <w:p w14:paraId="3957714A" w14:textId="5E37E6D0" w:rsidR="001C3A71" w:rsidRDefault="00567379" w:rsidP="00ED6949">
      <w:pPr>
        <w:pStyle w:val="NCDBodyText"/>
      </w:pPr>
      <w:r w:rsidRPr="000A7960">
        <w:t xml:space="preserve">NCD is finalizing a report on the experiences of people with disabilities living on tribal lands. The report will </w:t>
      </w:r>
      <w:bookmarkStart w:id="84" w:name="_Hlk175854253"/>
      <w:r w:rsidRPr="000A7960">
        <w:t>address the disparity in federal programs and services for American Indians residing on tribal lands. This report will review NCD’s 2003 report</w:t>
      </w:r>
      <w:r w:rsidRPr="000A7960">
        <w:rPr>
          <w:rStyle w:val="EndnoteReference"/>
          <w:rFonts w:eastAsia="Times New Roman" w:cs="Arial"/>
          <w:sz w:val="23"/>
          <w:szCs w:val="23"/>
        </w:rPr>
        <w:endnoteReference w:id="26"/>
      </w:r>
      <w:r w:rsidRPr="000A7960">
        <w:t xml:space="preserve"> and compare findings and uncover new disparities via talking circles with tribal citizens.</w:t>
      </w:r>
      <w:bookmarkEnd w:id="84"/>
      <w:r w:rsidR="001C3A71">
        <w:br w:type="page"/>
      </w:r>
    </w:p>
    <w:p w14:paraId="28A61C3D" w14:textId="77777777" w:rsidR="00567379" w:rsidRPr="000A7960" w:rsidRDefault="00567379" w:rsidP="00A81ED8">
      <w:pPr>
        <w:pStyle w:val="Heading1"/>
        <w:spacing w:line="360" w:lineRule="auto"/>
      </w:pPr>
      <w:bookmarkStart w:id="85" w:name="_Toc178855304"/>
      <w:r w:rsidRPr="000A7960">
        <w:lastRenderedPageBreak/>
        <w:t xml:space="preserve">Section 4: Housing </w:t>
      </w:r>
      <w:r>
        <w:t>A</w:t>
      </w:r>
      <w:r w:rsidRPr="000A7960">
        <w:t>fter Disasters</w:t>
      </w:r>
      <w:bookmarkEnd w:id="85"/>
    </w:p>
    <w:p w14:paraId="25D91F0E" w14:textId="77777777" w:rsidR="00567379" w:rsidRPr="000A7960" w:rsidRDefault="00567379" w:rsidP="001C3A71">
      <w:pPr>
        <w:pStyle w:val="NCDBodyText"/>
      </w:pPr>
      <w:r w:rsidRPr="000A7960">
        <w:t>Undoubtedly, accessible homes are a critical issue for many people with disabilities. This is a policy area that intersects with disasters and how a person with a disability might move forward in tending to their accessibility needs following a disaster. Accordingly, developments concerning the intersectionality of these policy areas is something NCD has monitored.</w:t>
      </w:r>
    </w:p>
    <w:p w14:paraId="48B07BC2" w14:textId="77777777" w:rsidR="00567379" w:rsidRPr="00600F7B" w:rsidRDefault="00567379" w:rsidP="00600F7B">
      <w:pPr>
        <w:pStyle w:val="NCDBodyText"/>
        <w:rPr>
          <w:b/>
          <w:i/>
        </w:rPr>
      </w:pPr>
      <w:bookmarkStart w:id="86" w:name="_Hlk175131808"/>
      <w:r w:rsidRPr="00600F7B">
        <w:rPr>
          <w:b/>
          <w:i/>
        </w:rPr>
        <w:t>Housing After Disaster Developments:</w:t>
      </w:r>
    </w:p>
    <w:bookmarkEnd w:id="86"/>
    <w:p w14:paraId="3588903A" w14:textId="6707CC47" w:rsidR="00567379" w:rsidRPr="000A7960" w:rsidRDefault="00567379" w:rsidP="00600F7B">
      <w:pPr>
        <w:pStyle w:val="NCDBodyText"/>
      </w:pPr>
      <w:r w:rsidRPr="000A7960">
        <w:t xml:space="preserve">Survivors with disabilities can now use </w:t>
      </w:r>
      <w:proofErr w:type="gramStart"/>
      <w:r w:rsidRPr="000A7960">
        <w:t>Federal</w:t>
      </w:r>
      <w:proofErr w:type="gramEnd"/>
      <w:r w:rsidRPr="000A7960">
        <w:t xml:space="preserve"> Emergency Management Agency (FEMA) funding to make certain accessibility improvements to homes damaged by </w:t>
      </w:r>
      <w:r w:rsidR="00DF7606">
        <w:br/>
      </w:r>
      <w:r w:rsidRPr="000A7960">
        <w:t xml:space="preserve">a declared disaster. </w:t>
      </w:r>
      <w:r w:rsidR="006D4785" w:rsidRPr="006D4785">
        <w:t xml:space="preserve">This change helps survivors with disabilities improve their living conditions by making their homes even more accessible than they were before </w:t>
      </w:r>
      <w:r w:rsidR="00DF7606">
        <w:br/>
      </w:r>
      <w:r w:rsidR="006D4785" w:rsidRPr="006D4785">
        <w:t xml:space="preserve">disaster. Previously, FEMA could only help with accessibility items directly damaged </w:t>
      </w:r>
      <w:r w:rsidR="00DF7606">
        <w:br/>
      </w:r>
      <w:r w:rsidR="006D4785" w:rsidRPr="006D4785">
        <w:t>by the disaster or that were not present before the disaster but are required due to a disaster-caused disability.</w:t>
      </w:r>
    </w:p>
    <w:p w14:paraId="5311D73D" w14:textId="412F8045" w:rsidR="00567379" w:rsidRDefault="00567379" w:rsidP="00600F7B">
      <w:pPr>
        <w:pStyle w:val="NCDBodyText"/>
      </w:pPr>
      <w:r w:rsidRPr="000A7960">
        <w:t xml:space="preserve">FEMA’s interim final rule (IFR), which applies to emergencies and major disasters declared on or after March 22, 2024, provides FEMA funding for accessibility improvements to homes damaged by a declared disaster. The new regulations </w:t>
      </w:r>
      <w:r w:rsidR="00064F68">
        <w:br/>
      </w:r>
      <w:r w:rsidRPr="000A7960">
        <w:t xml:space="preserve">provide funding for accessibility features regardless of when or how the disability </w:t>
      </w:r>
      <w:r w:rsidR="00064F68">
        <w:br/>
      </w:r>
      <w:r w:rsidRPr="000A7960">
        <w:t>was acquired.</w:t>
      </w:r>
    </w:p>
    <w:p w14:paraId="192CB148" w14:textId="2FF0712A" w:rsidR="00600F7B" w:rsidRDefault="00600F7B">
      <w:pPr>
        <w:spacing w:after="160" w:line="259" w:lineRule="auto"/>
        <w:rPr>
          <w:rFonts w:eastAsia="Calibri" w:cs="Calibri"/>
          <w:color w:val="000000"/>
          <w:szCs w:val="24"/>
          <w:u w:color="000000"/>
          <w:bdr w:val="nil"/>
        </w:rPr>
      </w:pPr>
      <w:r>
        <w:br w:type="page"/>
      </w:r>
    </w:p>
    <w:p w14:paraId="183DF0A9" w14:textId="77777777" w:rsidR="00ED6949" w:rsidRDefault="00ED6949">
      <w:pPr>
        <w:spacing w:after="160" w:line="259" w:lineRule="auto"/>
        <w:rPr>
          <w:rFonts w:cs="Arial"/>
          <w:b/>
          <w:sz w:val="36"/>
          <w:szCs w:val="32"/>
        </w:rPr>
      </w:pPr>
      <w:bookmarkStart w:id="87" w:name="_Toc178855305"/>
      <w:r>
        <w:lastRenderedPageBreak/>
        <w:br w:type="page"/>
      </w:r>
    </w:p>
    <w:p w14:paraId="02D42E2D" w14:textId="06CA4176" w:rsidR="00567379" w:rsidRPr="000A7960" w:rsidRDefault="00567379" w:rsidP="00EE0543">
      <w:pPr>
        <w:pStyle w:val="Heading1"/>
        <w:spacing w:line="360" w:lineRule="auto"/>
      </w:pPr>
      <w:r w:rsidRPr="000A7960">
        <w:lastRenderedPageBreak/>
        <w:t>Section 5: Counting the Disability Population</w:t>
      </w:r>
      <w:bookmarkEnd w:id="87"/>
    </w:p>
    <w:p w14:paraId="05D28CD9" w14:textId="77777777" w:rsidR="00567379" w:rsidRPr="000A7960" w:rsidRDefault="00567379" w:rsidP="00600F7B">
      <w:pPr>
        <w:pStyle w:val="Heading2"/>
      </w:pPr>
      <w:bookmarkStart w:id="88" w:name="_Toc178855306"/>
      <w:r w:rsidRPr="000A7960">
        <w:t>US Census</w:t>
      </w:r>
      <w:bookmarkEnd w:id="88"/>
    </w:p>
    <w:p w14:paraId="25F569BB" w14:textId="77777777" w:rsidR="00567379" w:rsidRPr="000A7960" w:rsidRDefault="00567379" w:rsidP="00600F7B">
      <w:pPr>
        <w:pStyle w:val="NCDBodyText"/>
      </w:pPr>
      <w:r w:rsidRPr="000A7960">
        <w:t xml:space="preserve">The Census Bureau issued a notice informing the public that it planned to change the yes/no disability questions that are currently used in the US Census (American Community Survey </w:t>
      </w:r>
      <w:r>
        <w:t>[</w:t>
      </w:r>
      <w:r w:rsidRPr="000A7960">
        <w:t>ACS</w:t>
      </w:r>
      <w:r>
        <w:t>]</w:t>
      </w:r>
      <w:r w:rsidRPr="000A7960">
        <w:t xml:space="preserve"> questions) to questions that would be used in a manner that would cut the estimated population of people with disabilities from 13.9 percent to 8.1 percent, with no clear explanation for why, and without input from disability stakeholders during the process of decision</w:t>
      </w:r>
      <w:r>
        <w:t>-</w:t>
      </w:r>
      <w:r w:rsidRPr="000A7960">
        <w:t>making.</w:t>
      </w:r>
    </w:p>
    <w:p w14:paraId="59BA1AFC" w14:textId="77777777" w:rsidR="00567379" w:rsidRPr="00EE0543" w:rsidRDefault="00567379" w:rsidP="00EE0543">
      <w:pPr>
        <w:pStyle w:val="Heading2"/>
        <w:spacing w:after="0"/>
        <w:rPr>
          <w:i/>
          <w:iCs/>
          <w:sz w:val="24"/>
          <w:szCs w:val="24"/>
        </w:rPr>
      </w:pPr>
      <w:bookmarkStart w:id="89" w:name="_Toc178855307"/>
      <w:r w:rsidRPr="00EE0543">
        <w:rPr>
          <w:i/>
          <w:iCs/>
          <w:sz w:val="24"/>
          <w:szCs w:val="24"/>
        </w:rPr>
        <w:t>Recommendation Made by NCD Concerning the US Census</w:t>
      </w:r>
      <w:bookmarkEnd w:id="89"/>
    </w:p>
    <w:p w14:paraId="4033C295" w14:textId="0D196F53" w:rsidR="00567379" w:rsidRPr="00600F7B" w:rsidRDefault="00567379" w:rsidP="00600F7B">
      <w:pPr>
        <w:pStyle w:val="NCDBodyText"/>
        <w:rPr>
          <w:b/>
          <w:i/>
        </w:rPr>
      </w:pPr>
      <w:r w:rsidRPr="00600F7B">
        <w:rPr>
          <w:b/>
          <w:i/>
        </w:rPr>
        <w:t>15. The Census Bureau should fully engage the disability community and continue to work toward finding a manner to better count the disability population in the United States. This should include the active input of those with expertise in the field of disability, including researchers, and offices within federal agencies that focus on people with disabilities, including HHS’s National Institute on Disability, Independent Living, and Rehabilitation Research, and the broader stakeholder community. The Census Bureau should maintain the then current questions in the ACS until a set of questions is developed that can most accurately count people with disabilities in the United States. Going forward, the Census Bureau should include all relevant information related to its proposed actions in its Federal Register notices so individuals can provide informed comments, and the Census Bureau should post public comments as they are submitted to increase transparency and encourage engaged, meaningful participation from the public.</w:t>
      </w:r>
    </w:p>
    <w:p w14:paraId="0C902640" w14:textId="77777777" w:rsidR="00567379" w:rsidRPr="00600F7B" w:rsidRDefault="00567379" w:rsidP="00600F7B">
      <w:pPr>
        <w:pStyle w:val="NCDBodyText"/>
        <w:rPr>
          <w:b/>
          <w:i/>
        </w:rPr>
      </w:pPr>
      <w:r w:rsidRPr="00600F7B">
        <w:rPr>
          <w:b/>
          <w:i/>
        </w:rPr>
        <w:t>US Census Developments:</w:t>
      </w:r>
    </w:p>
    <w:p w14:paraId="3142069A" w14:textId="6B0C45DE" w:rsidR="00600F7B" w:rsidRDefault="00567379" w:rsidP="00600F7B">
      <w:pPr>
        <w:pStyle w:val="NCDBodyText"/>
      </w:pPr>
      <w:r w:rsidRPr="000A7960">
        <w:t>In February</w:t>
      </w:r>
      <w:r>
        <w:t xml:space="preserve"> 2024,</w:t>
      </w:r>
      <w:r w:rsidRPr="000A7960">
        <w:t xml:space="preserve"> the Census Bureau announced that it would not implement these changes in the 2025 ACS and would engage with disability stakeholders to help determine how it will move forward.</w:t>
      </w:r>
      <w:r w:rsidR="00600F7B">
        <w:br w:type="page"/>
      </w:r>
    </w:p>
    <w:p w14:paraId="202D2662" w14:textId="77777777" w:rsidR="00ED6949" w:rsidRDefault="00ED6949">
      <w:pPr>
        <w:spacing w:after="160" w:line="259" w:lineRule="auto"/>
        <w:rPr>
          <w:rFonts w:cs="Arial"/>
          <w:b/>
          <w:sz w:val="36"/>
          <w:szCs w:val="32"/>
        </w:rPr>
      </w:pPr>
      <w:bookmarkStart w:id="90" w:name="_Toc178855308"/>
      <w:r>
        <w:lastRenderedPageBreak/>
        <w:br w:type="page"/>
      </w:r>
    </w:p>
    <w:p w14:paraId="537195A4" w14:textId="789250A8" w:rsidR="00567379" w:rsidRPr="000A7960" w:rsidRDefault="00567379" w:rsidP="00EE0543">
      <w:pPr>
        <w:pStyle w:val="Heading1"/>
        <w:spacing w:line="360" w:lineRule="auto"/>
      </w:pPr>
      <w:r w:rsidRPr="000A7960">
        <w:lastRenderedPageBreak/>
        <w:t>Section 6: Technology</w:t>
      </w:r>
      <w:bookmarkEnd w:id="90"/>
    </w:p>
    <w:p w14:paraId="4786A139" w14:textId="77777777" w:rsidR="00567379" w:rsidRPr="000A7960" w:rsidRDefault="00567379" w:rsidP="00600F7B">
      <w:pPr>
        <w:pStyle w:val="NCDBodyText"/>
      </w:pPr>
      <w:r w:rsidRPr="000A7960">
        <w:t xml:space="preserve">As technologies advance, and the use of web and mobile applications </w:t>
      </w:r>
      <w:proofErr w:type="gramStart"/>
      <w:r w:rsidRPr="000A7960">
        <w:t>become</w:t>
      </w:r>
      <w:r>
        <w:t>s</w:t>
      </w:r>
      <w:proofErr w:type="gramEnd"/>
      <w:r w:rsidRPr="000A7960">
        <w:t xml:space="preserve"> increasingly more paramount in people’s daily lives, it is vital that those web and mobile applications be accessible in compliance with disability rights laws. Digital access is not an area that people with disabilities can afford to be excluded from.</w:t>
      </w:r>
    </w:p>
    <w:p w14:paraId="4D7E3071" w14:textId="77777777" w:rsidR="00567379" w:rsidRPr="003113F1" w:rsidRDefault="00567379" w:rsidP="00EE0543">
      <w:pPr>
        <w:pStyle w:val="Heading2"/>
        <w:spacing w:after="0"/>
        <w:rPr>
          <w:i/>
          <w:iCs/>
          <w:sz w:val="24"/>
          <w:szCs w:val="24"/>
        </w:rPr>
      </w:pPr>
      <w:bookmarkStart w:id="91" w:name="_Toc178855309"/>
      <w:r w:rsidRPr="003113F1">
        <w:rPr>
          <w:i/>
          <w:iCs/>
          <w:sz w:val="24"/>
          <w:szCs w:val="24"/>
        </w:rPr>
        <w:t>Recommendation by NCD Moving Forward Concerning Digital Access Regulation</w:t>
      </w:r>
      <w:bookmarkEnd w:id="91"/>
    </w:p>
    <w:p w14:paraId="330ECAAC" w14:textId="77777777" w:rsidR="00567379" w:rsidRPr="00600F7B" w:rsidRDefault="00567379" w:rsidP="00600F7B">
      <w:pPr>
        <w:pStyle w:val="NCDBodyText"/>
        <w:rPr>
          <w:b/>
          <w:i/>
        </w:rPr>
      </w:pPr>
      <w:r w:rsidRPr="00600F7B">
        <w:rPr>
          <w:b/>
          <w:i/>
        </w:rPr>
        <w:t xml:space="preserve">16. </w:t>
      </w:r>
      <w:proofErr w:type="gramStart"/>
      <w:r w:rsidRPr="00600F7B">
        <w:rPr>
          <w:b/>
          <w:i/>
        </w:rPr>
        <w:t>DOJ</w:t>
      </w:r>
      <w:proofErr w:type="gramEnd"/>
      <w:r w:rsidRPr="00600F7B">
        <w:rPr>
          <w:b/>
          <w:i/>
        </w:rPr>
        <w:t xml:space="preserve"> should ensure focused implementation and robust monitoring and enforcement of its final rule concerning the accessibility of services, programs, and activities offered by state and local government entities through web and mobile applications.</w:t>
      </w:r>
    </w:p>
    <w:p w14:paraId="6AA30734" w14:textId="77777777" w:rsidR="00567379" w:rsidRPr="00600F7B" w:rsidRDefault="00567379" w:rsidP="00600F7B">
      <w:pPr>
        <w:pStyle w:val="NCDBodyText"/>
        <w:rPr>
          <w:b/>
          <w:i/>
          <w:u w:val="single"/>
        </w:rPr>
      </w:pPr>
      <w:r w:rsidRPr="00600F7B">
        <w:rPr>
          <w:b/>
          <w:i/>
        </w:rPr>
        <w:t>Digital Access Developments:</w:t>
      </w:r>
    </w:p>
    <w:p w14:paraId="0B5840AB" w14:textId="7C231C6C" w:rsidR="00567379" w:rsidRDefault="00567379" w:rsidP="00600F7B">
      <w:pPr>
        <w:pStyle w:val="NCDBodyText"/>
        <w:rPr>
          <w:rFonts w:eastAsia="Times New Roman"/>
        </w:rPr>
      </w:pPr>
      <w:r w:rsidRPr="000A7960">
        <w:rPr>
          <w:rFonts w:eastAsia="Times New Roman"/>
        </w:rPr>
        <w:t xml:space="preserve">DOJ issued its final rule revising the regulation implementing Title II of the </w:t>
      </w:r>
      <w:r>
        <w:rPr>
          <w:rFonts w:eastAsia="Times New Roman"/>
        </w:rPr>
        <w:t>ADA</w:t>
      </w:r>
      <w:r w:rsidRPr="000A7960">
        <w:rPr>
          <w:rFonts w:eastAsia="Times New Roman"/>
        </w:rPr>
        <w:t xml:space="preserve">. </w:t>
      </w:r>
      <w:r w:rsidRPr="000A7960">
        <w:t xml:space="preserve">The rule establishes specific requirements, including the adoption of technical standards to ensure that the services, programs, and activities offered by </w:t>
      </w:r>
      <w:r>
        <w:t>s</w:t>
      </w:r>
      <w:r w:rsidRPr="000A7960">
        <w:t>tate and local government entities through web and mobile applications are accessible to the public.</w:t>
      </w:r>
      <w:r w:rsidRPr="000A7960">
        <w:rPr>
          <w:rFonts w:eastAsia="Times New Roman"/>
        </w:rPr>
        <w:t xml:space="preserve"> People with disabilities, including people who are blind, deaf, </w:t>
      </w:r>
      <w:r>
        <w:rPr>
          <w:rFonts w:eastAsia="Times New Roman"/>
        </w:rPr>
        <w:t xml:space="preserve">and </w:t>
      </w:r>
      <w:r w:rsidRPr="000A7960">
        <w:rPr>
          <w:rFonts w:eastAsia="Times New Roman"/>
        </w:rPr>
        <w:t xml:space="preserve">hard of hearing, and </w:t>
      </w:r>
      <w:r>
        <w:rPr>
          <w:rFonts w:eastAsia="Times New Roman"/>
        </w:rPr>
        <w:t xml:space="preserve">people with </w:t>
      </w:r>
      <w:r w:rsidRPr="000A7960">
        <w:rPr>
          <w:rFonts w:eastAsia="Times New Roman"/>
        </w:rPr>
        <w:t xml:space="preserve">other </w:t>
      </w:r>
      <w:proofErr w:type="gramStart"/>
      <w:r w:rsidRPr="000A7960">
        <w:rPr>
          <w:rFonts w:eastAsia="Times New Roman"/>
        </w:rPr>
        <w:t>disabilities,</w:t>
      </w:r>
      <w:proofErr w:type="gramEnd"/>
      <w:r w:rsidRPr="000A7960">
        <w:rPr>
          <w:rFonts w:eastAsia="Times New Roman"/>
        </w:rPr>
        <w:t xml:space="preserve"> face difficulties accessing public programs and services, including emergency information, courts, healthcare providers, schools, voting information, parking, permit applications, tax payments, and transit updates. In the absence of these technologies being accessible, it can be challenging or impossible for people with disabilities to access critical services. As a result, individuals with disabilities may be excluded from accessing public services that other people use with ease.</w:t>
      </w:r>
      <w:r w:rsidRPr="000A7960">
        <w:rPr>
          <w:rFonts w:eastAsia="Times New Roman"/>
          <w:b/>
          <w:bCs/>
        </w:rPr>
        <w:t> </w:t>
      </w:r>
      <w:r w:rsidRPr="000A7960">
        <w:rPr>
          <w:rFonts w:eastAsia="Times New Roman"/>
        </w:rPr>
        <w:t>NCD welcomes this positive step forward by DOJ.</w:t>
      </w:r>
    </w:p>
    <w:p w14:paraId="6A0645C8" w14:textId="71A600BD" w:rsidR="00600F7B" w:rsidRDefault="00600F7B">
      <w:pPr>
        <w:spacing w:after="160" w:line="259" w:lineRule="auto"/>
        <w:rPr>
          <w:rFonts w:eastAsia="Times New Roman" w:cs="Calibri"/>
          <w:color w:val="000000"/>
          <w:szCs w:val="24"/>
          <w:u w:color="000000"/>
          <w:bdr w:val="nil"/>
        </w:rPr>
      </w:pPr>
      <w:r>
        <w:rPr>
          <w:rFonts w:eastAsia="Times New Roman"/>
        </w:rPr>
        <w:br w:type="page"/>
      </w:r>
    </w:p>
    <w:p w14:paraId="507E09ED" w14:textId="77777777" w:rsidR="00ED6949" w:rsidRDefault="00ED6949">
      <w:pPr>
        <w:spacing w:after="160" w:line="259" w:lineRule="auto"/>
        <w:rPr>
          <w:rFonts w:cs="Arial"/>
          <w:b/>
          <w:sz w:val="36"/>
          <w:szCs w:val="32"/>
        </w:rPr>
      </w:pPr>
      <w:bookmarkStart w:id="92" w:name="_Toc178855310"/>
      <w:r>
        <w:lastRenderedPageBreak/>
        <w:br w:type="page"/>
      </w:r>
    </w:p>
    <w:p w14:paraId="76FD90FC" w14:textId="049B2F9B" w:rsidR="00567379" w:rsidRPr="000A7960" w:rsidRDefault="00567379" w:rsidP="00BE1F0E">
      <w:pPr>
        <w:pStyle w:val="Heading1"/>
        <w:spacing w:line="360" w:lineRule="auto"/>
      </w:pPr>
      <w:r w:rsidRPr="000A7960">
        <w:lastRenderedPageBreak/>
        <w:t>Section 7: Other Issues to Watch</w:t>
      </w:r>
      <w:bookmarkEnd w:id="92"/>
    </w:p>
    <w:p w14:paraId="1565A4E9" w14:textId="77777777" w:rsidR="00567379" w:rsidRPr="000A7960" w:rsidRDefault="00567379" w:rsidP="00600F7B">
      <w:pPr>
        <w:pStyle w:val="Heading2"/>
      </w:pPr>
      <w:bookmarkStart w:id="93" w:name="_Toc178855311"/>
      <w:r w:rsidRPr="000A7960">
        <w:t>Tax Code</w:t>
      </w:r>
      <w:bookmarkEnd w:id="93"/>
    </w:p>
    <w:p w14:paraId="777449CB" w14:textId="3F5E13AF" w:rsidR="00567379" w:rsidRDefault="00567379" w:rsidP="00600F7B">
      <w:pPr>
        <w:pStyle w:val="NCDBodyText"/>
      </w:pPr>
      <w:r w:rsidRPr="000A7960">
        <w:t>NCD continues to engage in ongoing discussions with the Internal Revenue Service to advocate for a review and update of the current tax code and policies. Our goal is to ensure a fair tax system that is inclusive of individuals with disabilities. The impetus for these meetings began during the COVID-19 pandemic in late 2020 when many businesses were forced to shut down, and employees were required to stay at home. Attorneys for a blind employee contacted NCD about a Louisiana unemployment appeal determination</w:t>
      </w:r>
      <w:r>
        <w:t xml:space="preserve"> that </w:t>
      </w:r>
      <w:r w:rsidRPr="000A7960">
        <w:t xml:space="preserve">ultimately concluded that a blind woman in the sheltered workshop was not an employee but rather a rehabilitation client. For this reason, despite working at the facility just like any other employee for years, she was ineligible for unemployment benefits when the workshop closed due to </w:t>
      </w:r>
      <w:r>
        <w:t xml:space="preserve">the </w:t>
      </w:r>
      <w:r w:rsidRPr="000A7960">
        <w:t>COVID</w:t>
      </w:r>
      <w:r>
        <w:t>-19 pandemic</w:t>
      </w:r>
      <w:r w:rsidRPr="000A7960">
        <w:t>. NCD immediately started researching whether this was an isolated incident or a systemic problem. Through this research, NCD identified an outdated Revenue Ruling from 1965 specific to sheltered workshops</w:t>
      </w:r>
      <w:r>
        <w:t xml:space="preserve"> that</w:t>
      </w:r>
      <w:r w:rsidRPr="000A7960">
        <w:t xml:space="preserve"> may be inappropriately applied </w:t>
      </w:r>
      <w:proofErr w:type="gramStart"/>
      <w:r w:rsidRPr="000A7960">
        <w:t>in order to</w:t>
      </w:r>
      <w:proofErr w:type="gramEnd"/>
      <w:r w:rsidRPr="000A7960">
        <w:t xml:space="preserve"> classify people with disabilities as either rehabilitation clients or independent contractors, and not employees. Consequently, this keeps putative employees off employers’ payroll. While the woman and her attorneys thought she was an employee, the Louisiana Workforce Commission concluded that she was a rehabilitation client for unemployment purposes. NCD continues to research this topic for an anticipated report on the topic in the near term.</w:t>
      </w:r>
    </w:p>
    <w:p w14:paraId="1725FCF7" w14:textId="65DE1C7C" w:rsidR="00600F7B" w:rsidRDefault="00600F7B">
      <w:pPr>
        <w:spacing w:after="160" w:line="259" w:lineRule="auto"/>
        <w:rPr>
          <w:rFonts w:eastAsia="Calibri" w:cs="Calibri"/>
          <w:color w:val="000000"/>
          <w:szCs w:val="24"/>
          <w:u w:color="000000"/>
          <w:bdr w:val="nil"/>
        </w:rPr>
      </w:pPr>
      <w:r>
        <w:br w:type="page"/>
      </w:r>
    </w:p>
    <w:p w14:paraId="0A84C306" w14:textId="77777777" w:rsidR="00ED6949" w:rsidRDefault="00ED6949">
      <w:pPr>
        <w:spacing w:after="160" w:line="259" w:lineRule="auto"/>
        <w:rPr>
          <w:rFonts w:cs="Arial"/>
          <w:b/>
          <w:sz w:val="36"/>
          <w:szCs w:val="32"/>
        </w:rPr>
      </w:pPr>
      <w:bookmarkStart w:id="94" w:name="_Toc178855312"/>
      <w:r>
        <w:lastRenderedPageBreak/>
        <w:br w:type="page"/>
      </w:r>
    </w:p>
    <w:p w14:paraId="081C7FD1" w14:textId="6E92A304" w:rsidR="00567379" w:rsidRPr="000A7960" w:rsidRDefault="00567379" w:rsidP="00BE1F0E">
      <w:pPr>
        <w:pStyle w:val="Heading1"/>
        <w:spacing w:line="360" w:lineRule="auto"/>
      </w:pPr>
      <w:r w:rsidRPr="000A7960">
        <w:lastRenderedPageBreak/>
        <w:t>Section 8: Conclusion</w:t>
      </w:r>
      <w:bookmarkEnd w:id="94"/>
    </w:p>
    <w:p w14:paraId="48602E05" w14:textId="77777777" w:rsidR="00567379" w:rsidRPr="000A7960" w:rsidRDefault="00567379" w:rsidP="00600F7B">
      <w:pPr>
        <w:pStyle w:val="NCDBodyText"/>
      </w:pPr>
      <w:r w:rsidRPr="000A7960">
        <w:t>The collective efforts of the Executive and Legislative branches are essential to advancing policy that support</w:t>
      </w:r>
      <w:r>
        <w:t>s</w:t>
      </w:r>
      <w:r w:rsidRPr="000A7960">
        <w:t xml:space="preserve"> the goals of the </w:t>
      </w:r>
      <w:r>
        <w:t>ADA</w:t>
      </w:r>
      <w:r w:rsidRPr="000A7960">
        <w:t>: equality of opportunity, economic self-sufficiency, independent living, and full participation of people with disabilities in all aspects of society</w:t>
      </w:r>
      <w:r>
        <w:t xml:space="preserve">, </w:t>
      </w:r>
      <w:r w:rsidRPr="000A7960">
        <w:t>regardless of type or severity of disability. While the past year marked significant progress in areas like healthcare and transportation, it</w:t>
      </w:r>
      <w:r>
        <w:t xml:space="preserve"> i</w:t>
      </w:r>
      <w:r w:rsidRPr="000A7960">
        <w:t>s crucial to acknowledge that many challenges persist for those whose primary struggles remain unaddressed. In the coming years, it is imperative to rectify these policy shortcomings and continue building on the positive strides made in the fight for disability rights.</w:t>
      </w:r>
    </w:p>
    <w:p w14:paraId="18EC97E7" w14:textId="239A8F8D" w:rsidR="001A449F" w:rsidRDefault="001A449F" w:rsidP="001A449F">
      <w:pPr>
        <w:pStyle w:val="NCDBodyText"/>
      </w:pPr>
      <w:r>
        <w:br w:type="page"/>
      </w:r>
    </w:p>
    <w:p w14:paraId="7B81DD80" w14:textId="3E43134B" w:rsidR="00ED6949" w:rsidRDefault="00ED6949">
      <w:pPr>
        <w:spacing w:after="160" w:line="259" w:lineRule="auto"/>
        <w:rPr>
          <w:rFonts w:eastAsia="Calibri" w:cs="Calibri"/>
          <w:color w:val="000000"/>
          <w:szCs w:val="24"/>
          <w:u w:color="000000"/>
          <w:bdr w:val="nil"/>
        </w:rPr>
      </w:pPr>
      <w:r>
        <w:lastRenderedPageBreak/>
        <w:br w:type="page"/>
      </w:r>
    </w:p>
    <w:p w14:paraId="2579979B" w14:textId="3FB493BB" w:rsidR="00DA67E6" w:rsidRPr="00FD5ED3" w:rsidRDefault="00342413" w:rsidP="00BE1F0E">
      <w:pPr>
        <w:pStyle w:val="Heading1"/>
        <w:spacing w:line="360" w:lineRule="auto"/>
      </w:pPr>
      <w:bookmarkStart w:id="95" w:name="_Hlk161477020"/>
      <w:bookmarkStart w:id="96" w:name="_Toc158038522"/>
      <w:bookmarkStart w:id="97" w:name="_Toc172109064"/>
      <w:bookmarkStart w:id="98" w:name="_Toc178855313"/>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FD5ED3">
        <w:lastRenderedPageBreak/>
        <w:t>Endnotes</w:t>
      </w:r>
      <w:bookmarkEnd w:id="95"/>
      <w:bookmarkEnd w:id="96"/>
      <w:bookmarkEnd w:id="97"/>
      <w:bookmarkEnd w:id="98"/>
    </w:p>
    <w:sectPr w:rsidR="00DA67E6" w:rsidRPr="00FD5ED3" w:rsidSect="00F40E96">
      <w:footerReference w:type="default" r:id="rId14"/>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5A46A" w14:textId="77777777" w:rsidR="004A626E" w:rsidRDefault="004A626E" w:rsidP="00841C72">
      <w:r>
        <w:separator/>
      </w:r>
    </w:p>
  </w:endnote>
  <w:endnote w:type="continuationSeparator" w:id="0">
    <w:p w14:paraId="49E8720E" w14:textId="77777777" w:rsidR="004A626E" w:rsidRDefault="004A626E" w:rsidP="00841C72">
      <w:r>
        <w:continuationSeparator/>
      </w:r>
    </w:p>
  </w:endnote>
  <w:endnote w:type="continuationNotice" w:id="1">
    <w:p w14:paraId="597ABEAA" w14:textId="77777777" w:rsidR="004A626E" w:rsidRDefault="004A626E"/>
  </w:endnote>
  <w:endnote w:id="2">
    <w:p w14:paraId="2CD25F64" w14:textId="77777777" w:rsidR="00567379" w:rsidRDefault="00567379" w:rsidP="001A449F">
      <w:pPr>
        <w:pStyle w:val="NCDReference"/>
        <w:spacing w:line="240" w:lineRule="auto"/>
        <w:ind w:left="0" w:firstLine="0"/>
      </w:pPr>
      <w:r>
        <w:rPr>
          <w:rStyle w:val="EndnoteReference"/>
        </w:rPr>
        <w:endnoteRef/>
      </w:r>
      <w:r>
        <w:t xml:space="preserve"> V. L. Forman-Hoffman, K. L. Ault, W. L. Anderson, J. M. Weiner, A. Stevens, V. A. Campbell, and B. S. Armour, “Disability Status, Mortality, and Leading Causes of Death in the United States Community Population,” </w:t>
      </w:r>
      <w:r w:rsidRPr="00BE429D">
        <w:rPr>
          <w:i/>
          <w:iCs/>
        </w:rPr>
        <w:t>Medical Care</w:t>
      </w:r>
      <w:r>
        <w:t xml:space="preserve"> 53, no. 4 (2015): 346–54. </w:t>
      </w:r>
      <w:r w:rsidRPr="00EB7DE7">
        <w:rPr>
          <w:color w:val="0000FF"/>
          <w:u w:val="single"/>
        </w:rPr>
        <w:t>https://pubmed.ncbi.nlm.nih.gov/25719432/</w:t>
      </w:r>
      <w:r>
        <w:t>.</w:t>
      </w:r>
    </w:p>
  </w:endnote>
  <w:endnote w:id="3">
    <w:p w14:paraId="1DA2568C" w14:textId="77777777" w:rsidR="00567379" w:rsidRDefault="00567379" w:rsidP="001A449F">
      <w:pPr>
        <w:pStyle w:val="NCDReference"/>
        <w:spacing w:line="240" w:lineRule="auto"/>
        <w:ind w:left="0" w:firstLine="0"/>
      </w:pPr>
      <w:r>
        <w:rPr>
          <w:rStyle w:val="EndnoteReference"/>
        </w:rPr>
        <w:endnoteRef/>
      </w:r>
      <w:r>
        <w:t xml:space="preserve"> M. Williams, J. Campbell, Y. Zhang, W. Felty, A. Harnden, E. Bannister, and V. Williams, “Exploring Health Disparities among Individuals with Disabilities within the United States,” paper presented at the American Public Health Association Annual Meeting and Expo (virtual), October 24–28, 2020. </w:t>
      </w:r>
      <w:r w:rsidRPr="00EB7DE7">
        <w:rPr>
          <w:color w:val="0000FF"/>
          <w:u w:val="single"/>
        </w:rPr>
        <w:t>https://apha.confex.com/apha/2020/meetingapp.cgi/Paper/473208</w:t>
      </w:r>
      <w:r>
        <w:t>.</w:t>
      </w:r>
    </w:p>
  </w:endnote>
  <w:endnote w:id="4">
    <w:p w14:paraId="77DEFCD1" w14:textId="77777777" w:rsidR="00567379" w:rsidRPr="00EB7DE7" w:rsidRDefault="00567379" w:rsidP="001A449F">
      <w:pPr>
        <w:pStyle w:val="NCDReference"/>
        <w:spacing w:line="240" w:lineRule="auto"/>
        <w:ind w:left="0" w:firstLine="0"/>
        <w:rPr>
          <w:color w:val="0000FF"/>
          <w:u w:val="single"/>
        </w:rPr>
      </w:pPr>
      <w:r>
        <w:rPr>
          <w:rStyle w:val="EndnoteReference"/>
        </w:rPr>
        <w:endnoteRef/>
      </w:r>
      <w:r>
        <w:t xml:space="preserve"> E. Mahmoudi and M. A. Meade, “Disparities in Access to Healthcare among Adults with Physical Disabilities: Analysis of a Representative National Sample for a Ten-Year Period,” </w:t>
      </w:r>
      <w:r w:rsidRPr="00BE429D">
        <w:rPr>
          <w:i/>
          <w:iCs/>
        </w:rPr>
        <w:t>Disability and Health Journal</w:t>
      </w:r>
      <w:r>
        <w:t xml:space="preserve"> 8, no. 2 (2015): 182–90. </w:t>
      </w:r>
      <w:r w:rsidRPr="00EB7DE7">
        <w:rPr>
          <w:color w:val="0000FF"/>
          <w:u w:val="single"/>
        </w:rPr>
        <w:t>https://doi.org/10.1016/j.dhjo.2014.08.007.</w:t>
      </w:r>
    </w:p>
  </w:endnote>
  <w:endnote w:id="5">
    <w:p w14:paraId="4095D476" w14:textId="6D202C41" w:rsidR="00567379" w:rsidRDefault="00567379" w:rsidP="001A449F">
      <w:pPr>
        <w:pStyle w:val="NCDReference"/>
        <w:spacing w:line="240" w:lineRule="auto"/>
        <w:ind w:left="0" w:firstLine="0"/>
      </w:pPr>
      <w:r>
        <w:rPr>
          <w:rStyle w:val="EndnoteReference"/>
        </w:rPr>
        <w:endnoteRef/>
      </w:r>
      <w:r>
        <w:t xml:space="preserve"> National Institutes of Health, “NIH Designates People with Disabilities as a Population with Health Disparities,” </w:t>
      </w:r>
      <w:r w:rsidRPr="00BE429D">
        <w:rPr>
          <w:i/>
          <w:iCs/>
        </w:rPr>
        <w:t>NIH Record</w:t>
      </w:r>
      <w:r>
        <w:t xml:space="preserve">, LXXV, no. 21 (2023). </w:t>
      </w:r>
      <w:hyperlink r:id="rId1" w:anchor=":~:text=Eliseo%20P%C3%A9rez%2DStable%2C%20" w:history="1">
        <w:r w:rsidR="00EB7DE7" w:rsidRPr="00451E56">
          <w:rPr>
            <w:rStyle w:val="Hyperlink"/>
          </w:rPr>
          <w:t>https://nihrecord.nih.gov/2023/10/13/nih-designates-people-disabilities-population-health-disparities#:~:text=Eliseo%20P%C3%A9rez%2DStable%2C%20</w:t>
        </w:r>
      </w:hyperlink>
      <w:r w:rsidR="00EB7DE7">
        <w:rPr>
          <w:color w:val="0000FF"/>
          <w:u w:val="single"/>
        </w:rPr>
        <w:br/>
      </w:r>
      <w:r w:rsidRPr="00EB7DE7">
        <w:rPr>
          <w:color w:val="0000FF"/>
          <w:u w:val="single"/>
        </w:rPr>
        <w:t>director%20of,for%20research%20supported%20by%20NIH</w:t>
      </w:r>
      <w:r w:rsidRPr="003A4D32">
        <w:t>.</w:t>
      </w:r>
    </w:p>
  </w:endnote>
  <w:endnote w:id="6">
    <w:p w14:paraId="4F049A7E" w14:textId="77777777" w:rsidR="00567379" w:rsidRDefault="00567379" w:rsidP="001A449F">
      <w:pPr>
        <w:pStyle w:val="NCDReference"/>
        <w:spacing w:line="240" w:lineRule="auto"/>
        <w:ind w:left="0" w:firstLine="0"/>
      </w:pPr>
      <w:r>
        <w:rPr>
          <w:rStyle w:val="EndnoteReference"/>
        </w:rPr>
        <w:endnoteRef/>
      </w:r>
      <w:r>
        <w:t xml:space="preserve"> </w:t>
      </w:r>
      <w:r w:rsidRPr="00BE429D">
        <w:rPr>
          <w:i/>
          <w:iCs/>
        </w:rPr>
        <w:t>Surveying the Landscape of Disability Data and Statistics: A Toolkit for Interagency Collaboration</w:t>
      </w:r>
      <w:r>
        <w:t xml:space="preserve"> (Interagency Committee on Disability Research, 2024). </w:t>
      </w:r>
      <w:r w:rsidRPr="00EB7DE7">
        <w:rPr>
          <w:color w:val="0000FF"/>
          <w:u w:val="single"/>
        </w:rPr>
        <w:t>https://pstrapiubntstorage.blob.core.windows.net/strapib/assets/ICDR_Disab_Data_Stats_Toolkit_03_25_24_REV_3_Combined_508_6cf0431310.pdf</w:t>
      </w:r>
      <w:r>
        <w:t>.</w:t>
      </w:r>
    </w:p>
  </w:endnote>
  <w:endnote w:id="7">
    <w:p w14:paraId="7EA7B5A0" w14:textId="77777777" w:rsidR="00567379" w:rsidRDefault="00567379" w:rsidP="001A449F">
      <w:pPr>
        <w:pStyle w:val="NCDReference"/>
        <w:spacing w:line="240" w:lineRule="auto"/>
        <w:ind w:left="0" w:firstLine="0"/>
      </w:pPr>
      <w:r>
        <w:rPr>
          <w:rStyle w:val="EndnoteReference"/>
        </w:rPr>
        <w:endnoteRef/>
      </w:r>
      <w:r>
        <w:t xml:space="preserve"> </w:t>
      </w:r>
      <w:r w:rsidRPr="00BE429D">
        <w:rPr>
          <w:i/>
          <w:iCs/>
        </w:rPr>
        <w:t>Enforceable Accessible Medical Equipment Standards: A Necessary Means to Address the Health Care Needs of People with Mobility Disabilities</w:t>
      </w:r>
      <w:r>
        <w:t xml:space="preserve"> (National Council on Disability, 2021).</w:t>
      </w:r>
    </w:p>
  </w:endnote>
  <w:endnote w:id="8">
    <w:p w14:paraId="02EFC3E0" w14:textId="77777777" w:rsidR="00567379" w:rsidRDefault="00567379" w:rsidP="001A449F">
      <w:pPr>
        <w:pStyle w:val="NCDReference"/>
        <w:spacing w:line="240" w:lineRule="auto"/>
        <w:ind w:left="0" w:firstLine="0"/>
      </w:pPr>
      <w:r>
        <w:rPr>
          <w:rStyle w:val="EndnoteReference"/>
        </w:rPr>
        <w:endnoteRef/>
      </w:r>
      <w:r>
        <w:t xml:space="preserve"> US Department of Health and Human Services, “Nondiscrimination on the Basis of Disability in Programs or Activities Receiving Federal</w:t>
      </w:r>
    </w:p>
    <w:p w14:paraId="433A0885" w14:textId="77777777" w:rsidR="00567379" w:rsidRDefault="00567379" w:rsidP="001A449F">
      <w:pPr>
        <w:pStyle w:val="NCDReference"/>
        <w:spacing w:line="240" w:lineRule="auto"/>
        <w:ind w:left="0" w:firstLine="0"/>
      </w:pPr>
      <w:r>
        <w:t xml:space="preserve">Financial Assistance,” </w:t>
      </w:r>
      <w:r>
        <w:rPr>
          <w:i/>
          <w:iCs/>
        </w:rPr>
        <w:t xml:space="preserve">Federal Register </w:t>
      </w:r>
      <w:r>
        <w:t xml:space="preserve">89, no. 91 (2024, May 9): 40066. </w:t>
      </w:r>
      <w:r w:rsidRPr="00EB7DE7">
        <w:rPr>
          <w:color w:val="0000FF"/>
          <w:u w:val="single"/>
        </w:rPr>
        <w:t>https://public-inspection.federalregister.gov/2024-09237.pdf</w:t>
      </w:r>
      <w:r>
        <w:t>.</w:t>
      </w:r>
    </w:p>
  </w:endnote>
  <w:endnote w:id="9">
    <w:p w14:paraId="2465AD3D" w14:textId="77777777" w:rsidR="00567379" w:rsidRDefault="00567379" w:rsidP="001A449F">
      <w:pPr>
        <w:pStyle w:val="NCDReference"/>
        <w:spacing w:line="240" w:lineRule="auto"/>
        <w:ind w:left="0" w:firstLine="0"/>
      </w:pPr>
      <w:r>
        <w:rPr>
          <w:rStyle w:val="EndnoteReference"/>
        </w:rPr>
        <w:endnoteRef/>
      </w:r>
      <w:r>
        <w:t xml:space="preserve"> </w:t>
      </w:r>
      <w:r w:rsidRPr="00BE429D">
        <w:rPr>
          <w:i/>
          <w:iCs/>
        </w:rPr>
        <w:t>Medicaid Oral Health Coverage for Adults with Intellectual &amp; Developmental Disabilities</w:t>
      </w:r>
      <w:r>
        <w:rPr>
          <w:i/>
          <w:iCs/>
        </w:rPr>
        <w:t>—</w:t>
      </w:r>
      <w:r w:rsidRPr="00BE429D">
        <w:rPr>
          <w:i/>
          <w:iCs/>
        </w:rPr>
        <w:t>A Fiscal Analysis</w:t>
      </w:r>
      <w:r>
        <w:t xml:space="preserve"> (National Council on Disability, 2023).</w:t>
      </w:r>
    </w:p>
  </w:endnote>
  <w:endnote w:id="10">
    <w:p w14:paraId="6BB3BC3F" w14:textId="77777777" w:rsidR="00567379" w:rsidRPr="00AF3C4E" w:rsidRDefault="00567379" w:rsidP="001A449F">
      <w:pPr>
        <w:pStyle w:val="NCDReference"/>
        <w:spacing w:line="240" w:lineRule="auto"/>
        <w:ind w:left="0" w:firstLine="0"/>
      </w:pPr>
      <w:r>
        <w:rPr>
          <w:rStyle w:val="EndnoteReference"/>
        </w:rPr>
        <w:endnoteRef/>
      </w:r>
      <w:r>
        <w:t xml:space="preserve"> </w:t>
      </w:r>
      <w:r w:rsidRPr="00AF3C4E">
        <w:t xml:space="preserve">Federal Aviation Administration, Bipartisan Infrastructure Law Airport Terminal Program Grants file, </w:t>
      </w:r>
      <w:r w:rsidRPr="00EB7DE7">
        <w:rPr>
          <w:color w:val="0000FF"/>
          <w:u w:val="single"/>
        </w:rPr>
        <w:t>https://www.faa.gov/sites/faa.gov/files/2024-02/FY2024_ATP_Approved_Selections_rev.pdf</w:t>
      </w:r>
      <w:r w:rsidRPr="00AF3C4E">
        <w:t>.</w:t>
      </w:r>
    </w:p>
    <w:p w14:paraId="6949BAD7" w14:textId="77777777" w:rsidR="00567379" w:rsidRDefault="00567379" w:rsidP="001A449F">
      <w:pPr>
        <w:pStyle w:val="NCDReference"/>
        <w:spacing w:line="240" w:lineRule="auto"/>
        <w:ind w:left="0" w:firstLine="0"/>
      </w:pPr>
      <w:r w:rsidRPr="00AF3C4E">
        <w:t xml:space="preserve">Amount reflects all projects listed in the </w:t>
      </w:r>
      <w:r>
        <w:t>“</w:t>
      </w:r>
      <w:r w:rsidRPr="00AF3C4E">
        <w:t>FY2024 Airport Terminal Program Selections</w:t>
      </w:r>
      <w:r>
        <w:t>”</w:t>
      </w:r>
      <w:r w:rsidRPr="00AF3C4E">
        <w:t xml:space="preserve"> that identify ADA improvements as a goal.</w:t>
      </w:r>
    </w:p>
  </w:endnote>
  <w:endnote w:id="11">
    <w:p w14:paraId="4C91B0FB" w14:textId="77777777" w:rsidR="00567379" w:rsidRDefault="00567379" w:rsidP="001A449F">
      <w:pPr>
        <w:pStyle w:val="NCDReference"/>
        <w:spacing w:line="240" w:lineRule="auto"/>
        <w:ind w:left="0" w:firstLine="0"/>
      </w:pPr>
      <w:r>
        <w:rPr>
          <w:rStyle w:val="EndnoteReference"/>
        </w:rPr>
        <w:endnoteRef/>
      </w:r>
      <w:r>
        <w:t xml:space="preserve"> </w:t>
      </w:r>
      <w:bookmarkStart w:id="76" w:name="_Hlk174961675"/>
      <w:r w:rsidRPr="00650ACF">
        <w:t>Presentation made to NCD by Kelly Buckland of the US Department of Transportation, February 8, 2024.</w:t>
      </w:r>
      <w:bookmarkEnd w:id="76"/>
    </w:p>
  </w:endnote>
  <w:endnote w:id="12">
    <w:p w14:paraId="0C3F7616" w14:textId="77777777" w:rsidR="00567379" w:rsidRDefault="00567379" w:rsidP="001A449F">
      <w:pPr>
        <w:pStyle w:val="NCDReference"/>
        <w:spacing w:line="240" w:lineRule="auto"/>
        <w:ind w:left="0" w:firstLine="0"/>
      </w:pPr>
      <w:r>
        <w:rPr>
          <w:rStyle w:val="EndnoteReference"/>
        </w:rPr>
        <w:endnoteRef/>
      </w:r>
      <w:r>
        <w:t xml:space="preserve"> “</w:t>
      </w:r>
      <w:r w:rsidRPr="00DA7433">
        <w:t>Wheelchairs and Other Assistive Devices</w:t>
      </w:r>
      <w:r>
        <w:t xml:space="preserve">,” </w:t>
      </w:r>
      <w:r w:rsidRPr="00DA7433">
        <w:t>US Department of Transportation, Aviation Consumer Protection,</w:t>
      </w:r>
      <w:r>
        <w:t xml:space="preserve"> updated December 11, 2023, </w:t>
      </w:r>
      <w:r w:rsidRPr="00EB7DE7">
        <w:rPr>
          <w:color w:val="0000FF"/>
          <w:u w:val="single"/>
        </w:rPr>
        <w:t>https://www.transportation.gov/individuals/aviation-consumer-protection/wheelchairs-and-other-assistive-devices</w:t>
      </w:r>
      <w:r w:rsidRPr="00DA7433">
        <w:t>.</w:t>
      </w:r>
    </w:p>
  </w:endnote>
  <w:endnote w:id="13">
    <w:p w14:paraId="79A1E8DB" w14:textId="77777777" w:rsidR="00567379" w:rsidRDefault="00567379" w:rsidP="001A449F">
      <w:pPr>
        <w:pStyle w:val="NCDReference"/>
        <w:spacing w:line="240" w:lineRule="auto"/>
        <w:ind w:left="0" w:firstLine="0"/>
      </w:pPr>
      <w:r>
        <w:rPr>
          <w:rStyle w:val="EndnoteReference"/>
        </w:rPr>
        <w:endnoteRef/>
      </w:r>
      <w:r>
        <w:t xml:space="preserve"> “</w:t>
      </w:r>
      <w:r w:rsidRPr="00FF7C28">
        <w:t>Agreement Between U.S. Department of Transportation and United Airlines</w:t>
      </w:r>
      <w:r>
        <w:t xml:space="preserve">,” US Department of Transportation, updated September 28, 2023, </w:t>
      </w:r>
      <w:r w:rsidRPr="00EB7DE7">
        <w:rPr>
          <w:color w:val="0000FF"/>
          <w:u w:val="single"/>
        </w:rPr>
        <w:t>https://www.transportation.gov/airconsumer/DOT-United-Airlines-Agreement-Improve-Wheelchair-Access-Word</w:t>
      </w:r>
      <w:r>
        <w:t>.</w:t>
      </w:r>
    </w:p>
  </w:endnote>
  <w:endnote w:id="14">
    <w:p w14:paraId="536F029B" w14:textId="77777777" w:rsidR="00567379" w:rsidRDefault="00567379" w:rsidP="001A449F">
      <w:pPr>
        <w:pStyle w:val="NCDReference"/>
        <w:spacing w:line="240" w:lineRule="auto"/>
        <w:ind w:left="0" w:firstLine="0"/>
      </w:pPr>
      <w:r>
        <w:rPr>
          <w:rStyle w:val="EndnoteReference"/>
        </w:rPr>
        <w:endnoteRef/>
      </w:r>
      <w:r>
        <w:t xml:space="preserve"> US Department of Transportation, “</w:t>
      </w:r>
      <w:r w:rsidRPr="002157FF">
        <w:t>Accessible Lavatories on Single-Aisle Aircraft</w:t>
      </w:r>
      <w:r>
        <w:t xml:space="preserve">,” </w:t>
      </w:r>
      <w:r>
        <w:rPr>
          <w:i/>
          <w:iCs/>
        </w:rPr>
        <w:t xml:space="preserve">Federal Register </w:t>
      </w:r>
      <w:r>
        <w:t xml:space="preserve">88, no. 146 (2023, August 1): 50020. </w:t>
      </w:r>
      <w:r w:rsidRPr="00EB7DE7">
        <w:rPr>
          <w:color w:val="0000FF"/>
          <w:u w:val="single"/>
        </w:rPr>
        <w:t>https://www.federalregister.gov/documents/2023/08/01/2023-16178/accessible-lavatories-on-single-aisle-aircraft</w:t>
      </w:r>
      <w:r>
        <w:t>.</w:t>
      </w:r>
    </w:p>
  </w:endnote>
  <w:endnote w:id="15">
    <w:p w14:paraId="64C3E79F" w14:textId="77777777" w:rsidR="00567379" w:rsidRDefault="00567379" w:rsidP="001A449F">
      <w:pPr>
        <w:pStyle w:val="NCDReference"/>
        <w:spacing w:line="240" w:lineRule="auto"/>
        <w:ind w:left="0" w:firstLine="0"/>
      </w:pPr>
      <w:r>
        <w:rPr>
          <w:rStyle w:val="EndnoteReference"/>
        </w:rPr>
        <w:endnoteRef/>
      </w:r>
      <w:r>
        <w:t xml:space="preserve"> US Department of Transportation, “</w:t>
      </w:r>
      <w:r w:rsidRPr="007C30B8">
        <w:t xml:space="preserve">Ensuring Safe Accommodations for Air Travelers </w:t>
      </w:r>
      <w:r>
        <w:t>w</w:t>
      </w:r>
      <w:r w:rsidRPr="007C30B8">
        <w:t>ith Disabilities Using Wheelchairs</w:t>
      </w:r>
      <w:r>
        <w:t xml:space="preserve">,” </w:t>
      </w:r>
      <w:r>
        <w:rPr>
          <w:i/>
          <w:iCs/>
        </w:rPr>
        <w:t xml:space="preserve">Federal Register </w:t>
      </w:r>
      <w:r>
        <w:t xml:space="preserve">89, no. 49 (2024, March 12): 17766. </w:t>
      </w:r>
      <w:r w:rsidRPr="00EB7DE7">
        <w:rPr>
          <w:color w:val="0000FF"/>
          <w:u w:val="single"/>
        </w:rPr>
        <w:t>https://www.federalregister.gov/documents/2024/03/12/2024-04729/ensuring-safe-accommodations-for-air-travelers-with-disabilities-using-wheelchairs</w:t>
      </w:r>
      <w:r>
        <w:t>.</w:t>
      </w:r>
    </w:p>
  </w:endnote>
  <w:endnote w:id="16">
    <w:p w14:paraId="4A99AD81" w14:textId="77777777" w:rsidR="00567379" w:rsidRDefault="00567379" w:rsidP="001A449F">
      <w:pPr>
        <w:pStyle w:val="NCDReference"/>
        <w:spacing w:line="240" w:lineRule="auto"/>
        <w:ind w:left="0" w:firstLine="0"/>
      </w:pPr>
      <w:r>
        <w:rPr>
          <w:rStyle w:val="EndnoteReference"/>
        </w:rPr>
        <w:endnoteRef/>
      </w:r>
      <w:r>
        <w:t xml:space="preserve"> Amtrak, </w:t>
      </w:r>
      <w:r w:rsidRPr="00BE429D">
        <w:rPr>
          <w:i/>
          <w:iCs/>
        </w:rPr>
        <w:t>Americans with Disabilities Act Progress Report</w:t>
      </w:r>
      <w:r>
        <w:t xml:space="preserve"> (2024, June). </w:t>
      </w:r>
      <w:r w:rsidRPr="00EB7DE7">
        <w:rPr>
          <w:color w:val="0000FF"/>
          <w:u w:val="single"/>
        </w:rPr>
        <w:t>https://www.amtrak.com/content/dam/projects/dotcom/english/public/documents/corporate/foia/amtrak-ada-progress-report-june-2024.pdf</w:t>
      </w:r>
      <w:r>
        <w:t>.</w:t>
      </w:r>
    </w:p>
  </w:endnote>
  <w:endnote w:id="17">
    <w:p w14:paraId="04A2198A" w14:textId="77777777" w:rsidR="00567379" w:rsidRDefault="00567379" w:rsidP="001A449F">
      <w:pPr>
        <w:pStyle w:val="NCDReference"/>
        <w:spacing w:line="240" w:lineRule="auto"/>
        <w:ind w:left="0" w:firstLine="0"/>
      </w:pPr>
      <w:r>
        <w:rPr>
          <w:rStyle w:val="EndnoteReference"/>
        </w:rPr>
        <w:endnoteRef/>
      </w:r>
      <w:r>
        <w:t xml:space="preserve"> “</w:t>
      </w:r>
      <w:r w:rsidRPr="0097659F">
        <w:t>ADA Transition Plan and Inventory Map,</w:t>
      </w:r>
      <w:r>
        <w:t>”</w:t>
      </w:r>
      <w:r w:rsidRPr="0097659F">
        <w:t xml:space="preserve"> Federal Highway Administration,</w:t>
      </w:r>
      <w:r>
        <w:t xml:space="preserve"> updated February 16, 2024. </w:t>
      </w:r>
      <w:r w:rsidRPr="00EB7DE7">
        <w:rPr>
          <w:color w:val="0000FF"/>
          <w:u w:val="single"/>
        </w:rPr>
        <w:t>https://highways.dot.gov/civil-rights/programs/ada/ada-transition-plan-and-inventory-map</w:t>
      </w:r>
      <w:r>
        <w:t>.</w:t>
      </w:r>
    </w:p>
  </w:endnote>
  <w:endnote w:id="18">
    <w:p w14:paraId="59BA7748" w14:textId="77777777" w:rsidR="00567379" w:rsidRPr="00A335AB" w:rsidRDefault="00567379" w:rsidP="001A449F">
      <w:pPr>
        <w:pStyle w:val="NCDReference"/>
        <w:spacing w:line="240" w:lineRule="auto"/>
        <w:ind w:left="0" w:firstLine="0"/>
      </w:pPr>
      <w:r w:rsidRPr="00A335AB">
        <w:rPr>
          <w:rStyle w:val="EndnoteReference"/>
        </w:rPr>
        <w:endnoteRef/>
      </w:r>
      <w:r w:rsidRPr="00A335AB">
        <w:t xml:space="preserve"> </w:t>
      </w:r>
      <w:r>
        <w:t>“</w:t>
      </w:r>
      <w:r w:rsidRPr="00A335AB">
        <w:t>U.S. Access Board Issues Final Rule on Public Right-of-Way Accessibility Guidelines,</w:t>
      </w:r>
      <w:r>
        <w:t>”</w:t>
      </w:r>
      <w:r w:rsidRPr="00A335AB">
        <w:t xml:space="preserve"> US Access Board, August 8, 2023. </w:t>
      </w:r>
      <w:r w:rsidRPr="00EB7DE7">
        <w:rPr>
          <w:color w:val="0000FF"/>
          <w:u w:val="single"/>
        </w:rPr>
        <w:t>https://www.access-board.gov/news/2023/08/08/u-s-access-board-issues-final-rule-on-public-right-of-way-accessibility-guidelines/</w:t>
      </w:r>
      <w:r w:rsidRPr="00A335AB">
        <w:t>.</w:t>
      </w:r>
    </w:p>
  </w:endnote>
  <w:endnote w:id="19">
    <w:p w14:paraId="617EEF2E" w14:textId="77777777" w:rsidR="00567379" w:rsidRDefault="00567379" w:rsidP="001A449F">
      <w:pPr>
        <w:pStyle w:val="NCDReference"/>
        <w:spacing w:line="240" w:lineRule="auto"/>
        <w:ind w:left="0" w:firstLine="0"/>
      </w:pPr>
      <w:r w:rsidRPr="00A335AB">
        <w:rPr>
          <w:rStyle w:val="EndnoteReference"/>
        </w:rPr>
        <w:endnoteRef/>
      </w:r>
      <w:r w:rsidRPr="00A335AB">
        <w:t xml:space="preserve"> General Services Administration, </w:t>
      </w:r>
      <w:r>
        <w:t>“</w:t>
      </w:r>
      <w:r w:rsidRPr="00A335AB">
        <w:t>Federal Management Regulation; Accessibility Standard for Pedestrian Facilities in the Public Right-of-Way,</w:t>
      </w:r>
      <w:r>
        <w:t xml:space="preserve">” </w:t>
      </w:r>
      <w:r>
        <w:rPr>
          <w:i/>
          <w:iCs/>
        </w:rPr>
        <w:t xml:space="preserve">Federal Register </w:t>
      </w:r>
      <w:r>
        <w:t>89, no. 128</w:t>
      </w:r>
      <w:r w:rsidRPr="00A335AB">
        <w:t xml:space="preserve"> </w:t>
      </w:r>
      <w:r>
        <w:t xml:space="preserve">(2024, </w:t>
      </w:r>
      <w:r w:rsidRPr="00A335AB">
        <w:t>July 3</w:t>
      </w:r>
      <w:r>
        <w:t>): 55072</w:t>
      </w:r>
      <w:r w:rsidRPr="00A335AB">
        <w:t xml:space="preserve">. </w:t>
      </w:r>
      <w:r w:rsidRPr="00EB7DE7">
        <w:rPr>
          <w:color w:val="0000FF"/>
          <w:u w:val="single"/>
        </w:rPr>
        <w:t>https://www.federalregister.gov/documents/2024/07/03/2024-14424/federal-management-regulation-accessibility-standard-for-pedestrian-facilities-in-the-public</w:t>
      </w:r>
      <w:r>
        <w:t>.</w:t>
      </w:r>
    </w:p>
  </w:endnote>
  <w:endnote w:id="20">
    <w:p w14:paraId="5DAA925F" w14:textId="77777777" w:rsidR="00567379" w:rsidRPr="00E76FCC" w:rsidRDefault="00567379" w:rsidP="001A449F">
      <w:pPr>
        <w:pStyle w:val="NCDReference"/>
        <w:spacing w:line="240" w:lineRule="auto"/>
        <w:ind w:left="0" w:firstLine="0"/>
      </w:pPr>
      <w:r>
        <w:rPr>
          <w:rStyle w:val="EndnoteReference"/>
        </w:rPr>
        <w:endnoteRef/>
      </w:r>
      <w:r>
        <w:t xml:space="preserve"> </w:t>
      </w:r>
      <w:r w:rsidRPr="00611572">
        <w:rPr>
          <w:i/>
          <w:iCs/>
        </w:rPr>
        <w:t>Policies from the Past in a Modern Era: The Unintended Consequences of the AbilityOne Program &amp; Section 14(c)</w:t>
      </w:r>
      <w:r>
        <w:rPr>
          <w:i/>
          <w:iCs/>
        </w:rPr>
        <w:t xml:space="preserve"> </w:t>
      </w:r>
      <w:r>
        <w:t>(National Council on Disability, 2020).</w:t>
      </w:r>
    </w:p>
  </w:endnote>
  <w:endnote w:id="21">
    <w:p w14:paraId="73BE3E78" w14:textId="77777777" w:rsidR="00567379" w:rsidRDefault="00567379" w:rsidP="001A449F">
      <w:pPr>
        <w:pStyle w:val="NCDReference"/>
        <w:spacing w:line="240" w:lineRule="auto"/>
        <w:ind w:left="0" w:firstLine="0"/>
      </w:pPr>
      <w:r>
        <w:rPr>
          <w:rStyle w:val="EndnoteReference"/>
        </w:rPr>
        <w:endnoteRef/>
      </w:r>
      <w:r>
        <w:t xml:space="preserve"> Panel on Department of Defense and AbilityOne Contracting Oversight, Accountability, and Integrity Third Annual Report to Congress, </w:t>
      </w:r>
      <w:r w:rsidRPr="00EB7DE7">
        <w:rPr>
          <w:color w:val="0000FF"/>
          <w:u w:val="single"/>
        </w:rPr>
        <w:t>https://www.acq.osd.mil/asda/dpc/cp/policy/docs/a1/3%20-%20Third%20Annual%20Sec%20898%20Panel%20RTC%20(Jan%202021).pdf</w:t>
      </w:r>
      <w:r>
        <w:t>, pp. 14, 33;</w:t>
      </w:r>
    </w:p>
    <w:p w14:paraId="646F7A60" w14:textId="77777777" w:rsidR="00567379" w:rsidRDefault="00567379" w:rsidP="001A449F">
      <w:pPr>
        <w:pStyle w:val="NCDReference"/>
        <w:spacing w:line="240" w:lineRule="auto"/>
        <w:ind w:left="0" w:firstLine="0"/>
      </w:pPr>
      <w:r>
        <w:t xml:space="preserve">Panel on Department of Defense and AbilityOne Contracting Oversight, Accountability, and Integrity Fourth and Final Annual Report to Congress, </w:t>
      </w:r>
      <w:r w:rsidRPr="00EB7DE7">
        <w:rPr>
          <w:color w:val="0000FF"/>
          <w:u w:val="single"/>
        </w:rPr>
        <w:t>https://www.acq.osd.mil/asda/dpc/cp/policy/docs/a1/USA002292-21-Report-w-Appendix.pdf</w:t>
      </w:r>
      <w:r>
        <w:t>, pp. 20, 29.</w:t>
      </w:r>
    </w:p>
  </w:endnote>
  <w:endnote w:id="22">
    <w:p w14:paraId="23B6AD96" w14:textId="36241402" w:rsidR="00567379" w:rsidRDefault="00567379" w:rsidP="001A449F">
      <w:pPr>
        <w:pStyle w:val="NCDReference"/>
        <w:spacing w:line="240" w:lineRule="auto"/>
        <w:ind w:left="0" w:firstLine="0"/>
      </w:pPr>
      <w:r>
        <w:rPr>
          <w:rStyle w:val="EndnoteReference"/>
        </w:rPr>
        <w:endnoteRef/>
      </w:r>
      <w:r>
        <w:t xml:space="preserve"> </w:t>
      </w:r>
      <w:r w:rsidRPr="00BE429D">
        <w:rPr>
          <w:i/>
          <w:iCs/>
        </w:rPr>
        <w:t>Annual Report to Authorizing and Appropriations Committees on the U.S. Department of Labor’s Wage and Hour Division Section 14(c) Program</w:t>
      </w:r>
      <w:r>
        <w:t xml:space="preserve"> (US Department of Labor, 2023). </w:t>
      </w:r>
      <w:r w:rsidRPr="00EB7DE7">
        <w:rPr>
          <w:color w:val="0000FF"/>
          <w:u w:val="single"/>
        </w:rPr>
        <w:t>https://www.dol.gov/sites/dolgov/files/WHD/14c/WHD_FY23_Annual_14(c)_</w:t>
      </w:r>
      <w:r w:rsidR="00EB7DE7">
        <w:rPr>
          <w:color w:val="0000FF"/>
          <w:u w:val="single"/>
        </w:rPr>
        <w:br/>
      </w:r>
      <w:r w:rsidRPr="00EB7DE7">
        <w:rPr>
          <w:color w:val="0000FF"/>
          <w:u w:val="single"/>
        </w:rPr>
        <w:t>Report_to_Congress.pdf</w:t>
      </w:r>
      <w:r>
        <w:t>.</w:t>
      </w:r>
    </w:p>
  </w:endnote>
  <w:endnote w:id="23">
    <w:p w14:paraId="322E1EDF" w14:textId="77777777" w:rsidR="00567379" w:rsidRDefault="00567379" w:rsidP="001A449F">
      <w:pPr>
        <w:pStyle w:val="NCDReference"/>
        <w:spacing w:line="240" w:lineRule="auto"/>
        <w:ind w:left="0" w:firstLine="0"/>
      </w:pPr>
      <w:r>
        <w:rPr>
          <w:rStyle w:val="EndnoteReference"/>
        </w:rPr>
        <w:endnoteRef/>
      </w:r>
      <w:r>
        <w:t xml:space="preserve"> </w:t>
      </w:r>
      <w:r w:rsidRPr="00BE429D">
        <w:rPr>
          <w:i/>
          <w:iCs/>
        </w:rPr>
        <w:t>Subminimum Wage and Supported Employment</w:t>
      </w:r>
      <w:r>
        <w:t xml:space="preserve"> (National Council on Disability, 2012).</w:t>
      </w:r>
    </w:p>
  </w:endnote>
  <w:endnote w:id="24">
    <w:p w14:paraId="2E632083" w14:textId="77777777" w:rsidR="00567379" w:rsidRDefault="00567379" w:rsidP="001A449F">
      <w:pPr>
        <w:pStyle w:val="NCDReference"/>
        <w:spacing w:line="240" w:lineRule="auto"/>
        <w:ind w:left="0" w:firstLine="0"/>
      </w:pPr>
      <w:r>
        <w:rPr>
          <w:rStyle w:val="EndnoteReference"/>
        </w:rPr>
        <w:endnoteRef/>
      </w:r>
      <w:r>
        <w:t xml:space="preserve"> </w:t>
      </w:r>
      <w:r w:rsidRPr="00BE429D">
        <w:rPr>
          <w:i/>
          <w:iCs/>
        </w:rPr>
        <w:t>Spring 2024 Unified Agenda of Regulatory and Deregulatory Actions</w:t>
      </w:r>
      <w:r>
        <w:t xml:space="preserve"> (US Department of Labor, 2024). </w:t>
      </w:r>
      <w:r w:rsidRPr="00EB7DE7">
        <w:rPr>
          <w:color w:val="0000FF"/>
          <w:u w:val="single"/>
        </w:rPr>
        <w:t>https://www.reginfo.gov/public/do/eAgendaViewRule?pubId=202404&amp;RIN=1235-AA14</w:t>
      </w:r>
      <w:r>
        <w:t>.</w:t>
      </w:r>
    </w:p>
  </w:endnote>
  <w:endnote w:id="25">
    <w:p w14:paraId="2BE310B7" w14:textId="77777777" w:rsidR="00567379" w:rsidRDefault="00567379" w:rsidP="001A449F">
      <w:pPr>
        <w:pStyle w:val="NCDReference"/>
        <w:spacing w:line="240" w:lineRule="auto"/>
        <w:ind w:left="0" w:firstLine="0"/>
      </w:pPr>
      <w:r>
        <w:rPr>
          <w:rStyle w:val="EndnoteReference"/>
        </w:rPr>
        <w:endnoteRef/>
      </w:r>
      <w:r>
        <w:t xml:space="preserve"> </w:t>
      </w:r>
      <w:r w:rsidRPr="00BE429D">
        <w:rPr>
          <w:i/>
          <w:iCs/>
        </w:rPr>
        <w:t>Understanding Disabilities in American Indian &amp; Alaska Native Communities Toolkit Guide</w:t>
      </w:r>
      <w:r>
        <w:t xml:space="preserve"> (National Council on Disability, 2023).</w:t>
      </w:r>
    </w:p>
  </w:endnote>
  <w:endnote w:id="26">
    <w:p w14:paraId="41050F20" w14:textId="77777777" w:rsidR="00567379" w:rsidRDefault="00567379" w:rsidP="001A449F">
      <w:pPr>
        <w:pStyle w:val="NCDReference"/>
        <w:spacing w:line="240" w:lineRule="auto"/>
        <w:ind w:left="0" w:firstLine="0"/>
      </w:pPr>
      <w:r>
        <w:rPr>
          <w:rStyle w:val="EndnoteReference"/>
        </w:rPr>
        <w:endnoteRef/>
      </w:r>
      <w:r>
        <w:t xml:space="preserve"> </w:t>
      </w:r>
      <w:r w:rsidRPr="00BE429D">
        <w:rPr>
          <w:i/>
          <w:iCs/>
        </w:rPr>
        <w:t xml:space="preserve">People </w:t>
      </w:r>
      <w:r>
        <w:rPr>
          <w:i/>
          <w:iCs/>
        </w:rPr>
        <w:t>w</w:t>
      </w:r>
      <w:r w:rsidRPr="00BE429D">
        <w:rPr>
          <w:i/>
          <w:iCs/>
        </w:rPr>
        <w:t>ith Disabilities on Tribal Lands: Education, Health Care, Vocational Rehabilitation, and Independent Living</w:t>
      </w:r>
      <w:r>
        <w:t xml:space="preserve"> (National Council on Disability, 2003).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Univers LT Std 45 Light">
    <w:altName w:val="Tw Cen MT Condensed Extra Bol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24"/>
      </w:rPr>
      <w:id w:val="970948915"/>
      <w:docPartObj>
        <w:docPartGallery w:val="Page Numbers (Bottom of Page)"/>
        <w:docPartUnique/>
      </w:docPartObj>
    </w:sdtPr>
    <w:sdtEndPr>
      <w:rPr>
        <w:noProof/>
      </w:rPr>
    </w:sdtEndPr>
    <w:sdtContent>
      <w:p w14:paraId="190C9AC7" w14:textId="374A0009" w:rsidR="00C673A7" w:rsidRPr="00202A5B" w:rsidRDefault="00C673A7" w:rsidP="00202A5B">
        <w:pP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A078C0">
          <w:rPr>
            <w:noProof/>
            <w:szCs w:val="24"/>
          </w:rPr>
          <w:t>2</w:t>
        </w:r>
        <w:r w:rsidRPr="002B54BE">
          <w:rPr>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A4E28" w14:textId="77777777" w:rsidR="004A626E" w:rsidRDefault="004A626E" w:rsidP="00841C72">
      <w:r>
        <w:separator/>
      </w:r>
    </w:p>
  </w:footnote>
  <w:footnote w:type="continuationSeparator" w:id="0">
    <w:p w14:paraId="2E856A10" w14:textId="77777777" w:rsidR="004A626E" w:rsidRDefault="004A626E" w:rsidP="00841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hybridMultilevel"/>
    <w:tmpl w:val="930A86DE"/>
    <w:lvl w:ilvl="0" w:tplc="23F27EEC">
      <w:start w:val="1"/>
      <w:numFmt w:val="decimal"/>
      <w:pStyle w:val="ListNumber"/>
      <w:lvlText w:val="%1."/>
      <w:lvlJc w:val="left"/>
      <w:pPr>
        <w:tabs>
          <w:tab w:val="num" w:pos="360"/>
        </w:tabs>
        <w:ind w:left="360" w:hanging="360"/>
      </w:pPr>
    </w:lvl>
    <w:lvl w:ilvl="1" w:tplc="86A2595A">
      <w:numFmt w:val="decimal"/>
      <w:lvlText w:val=""/>
      <w:lvlJc w:val="left"/>
    </w:lvl>
    <w:lvl w:ilvl="2" w:tplc="2B3CF998">
      <w:numFmt w:val="decimal"/>
      <w:lvlText w:val=""/>
      <w:lvlJc w:val="left"/>
    </w:lvl>
    <w:lvl w:ilvl="3" w:tplc="C8D29E48">
      <w:numFmt w:val="decimal"/>
      <w:lvlText w:val=""/>
      <w:lvlJc w:val="left"/>
    </w:lvl>
    <w:lvl w:ilvl="4" w:tplc="B4F2297C">
      <w:numFmt w:val="decimal"/>
      <w:lvlText w:val=""/>
      <w:lvlJc w:val="left"/>
    </w:lvl>
    <w:lvl w:ilvl="5" w:tplc="01E030B8">
      <w:numFmt w:val="decimal"/>
      <w:lvlText w:val=""/>
      <w:lvlJc w:val="left"/>
    </w:lvl>
    <w:lvl w:ilvl="6" w:tplc="78443C76">
      <w:numFmt w:val="decimal"/>
      <w:lvlText w:val=""/>
      <w:lvlJc w:val="left"/>
    </w:lvl>
    <w:lvl w:ilvl="7" w:tplc="FA20580A">
      <w:numFmt w:val="decimal"/>
      <w:lvlText w:val=""/>
      <w:lvlJc w:val="left"/>
    </w:lvl>
    <w:lvl w:ilvl="8" w:tplc="D7405950">
      <w:numFmt w:val="decimal"/>
      <w:lvlText w:val=""/>
      <w:lvlJc w:val="left"/>
    </w:lvl>
  </w:abstractNum>
  <w:abstractNum w:abstractNumId="1" w15:restartNumberingAfterBreak="0">
    <w:nsid w:val="FFFFFF89"/>
    <w:multiLevelType w:val="hybridMultilevel"/>
    <w:tmpl w:val="1682D62C"/>
    <w:lvl w:ilvl="0" w:tplc="73AABAEE">
      <w:start w:val="1"/>
      <w:numFmt w:val="bullet"/>
      <w:pStyle w:val="ListBullet"/>
      <w:lvlText w:val=""/>
      <w:lvlJc w:val="left"/>
      <w:pPr>
        <w:tabs>
          <w:tab w:val="num" w:pos="360"/>
        </w:tabs>
        <w:ind w:left="360" w:hanging="360"/>
      </w:pPr>
      <w:rPr>
        <w:rFonts w:ascii="Symbol" w:hAnsi="Symbol" w:hint="default"/>
      </w:rPr>
    </w:lvl>
    <w:lvl w:ilvl="1" w:tplc="C1B6EE60">
      <w:numFmt w:val="decimal"/>
      <w:lvlText w:val=""/>
      <w:lvlJc w:val="left"/>
    </w:lvl>
    <w:lvl w:ilvl="2" w:tplc="8CAE76B6">
      <w:numFmt w:val="decimal"/>
      <w:lvlText w:val=""/>
      <w:lvlJc w:val="left"/>
    </w:lvl>
    <w:lvl w:ilvl="3" w:tplc="BB706336">
      <w:numFmt w:val="decimal"/>
      <w:lvlText w:val=""/>
      <w:lvlJc w:val="left"/>
    </w:lvl>
    <w:lvl w:ilvl="4" w:tplc="6FBAB074">
      <w:numFmt w:val="decimal"/>
      <w:lvlText w:val=""/>
      <w:lvlJc w:val="left"/>
    </w:lvl>
    <w:lvl w:ilvl="5" w:tplc="D666961E">
      <w:numFmt w:val="decimal"/>
      <w:lvlText w:val=""/>
      <w:lvlJc w:val="left"/>
    </w:lvl>
    <w:lvl w:ilvl="6" w:tplc="89A4EEFC">
      <w:numFmt w:val="decimal"/>
      <w:lvlText w:val=""/>
      <w:lvlJc w:val="left"/>
    </w:lvl>
    <w:lvl w:ilvl="7" w:tplc="C8829DF4">
      <w:numFmt w:val="decimal"/>
      <w:lvlText w:val=""/>
      <w:lvlJc w:val="left"/>
    </w:lvl>
    <w:lvl w:ilvl="8" w:tplc="37341A1C">
      <w:numFmt w:val="decimal"/>
      <w:lvlText w:val=""/>
      <w:lvlJc w:val="left"/>
    </w:lvl>
  </w:abstractNum>
  <w:abstractNum w:abstractNumId="2" w15:restartNumberingAfterBreak="0">
    <w:nsid w:val="0EE05C93"/>
    <w:multiLevelType w:val="multilevel"/>
    <w:tmpl w:val="ACBA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2F3A"/>
    <w:multiLevelType w:val="hybridMultilevel"/>
    <w:tmpl w:val="FE76936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414CB"/>
    <w:multiLevelType w:val="multilevel"/>
    <w:tmpl w:val="CAA484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D481AEA"/>
    <w:multiLevelType w:val="multilevel"/>
    <w:tmpl w:val="048E3D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FF543E2"/>
    <w:multiLevelType w:val="hybridMultilevel"/>
    <w:tmpl w:val="373C8B1C"/>
    <w:lvl w:ilvl="0" w:tplc="35AEDAF6">
      <w:start w:val="1"/>
      <w:numFmt w:val="decimal"/>
      <w:pStyle w:val="NCDNumberedLevel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16F47"/>
    <w:multiLevelType w:val="hybridMultilevel"/>
    <w:tmpl w:val="E5105752"/>
    <w:lvl w:ilvl="0" w:tplc="4B08DF00">
      <w:start w:val="1"/>
      <w:numFmt w:val="bullet"/>
      <w:lvlText w:val=""/>
      <w:lvlJc w:val="left"/>
      <w:pPr>
        <w:ind w:left="360" w:hanging="360"/>
      </w:pPr>
      <w:rPr>
        <w:rFonts w:ascii="Symbol" w:hAnsi="Symbol" w:hint="default"/>
      </w:rPr>
    </w:lvl>
    <w:lvl w:ilvl="1" w:tplc="AF70E1EE">
      <w:start w:val="1"/>
      <w:numFmt w:val="bullet"/>
      <w:lvlText w:val="o"/>
      <w:lvlJc w:val="left"/>
      <w:pPr>
        <w:ind w:left="1080" w:hanging="360"/>
      </w:pPr>
      <w:rPr>
        <w:rFonts w:ascii="Courier New" w:hAnsi="Courier New" w:hint="default"/>
      </w:rPr>
    </w:lvl>
    <w:lvl w:ilvl="2" w:tplc="1CDA32D8">
      <w:start w:val="1"/>
      <w:numFmt w:val="bullet"/>
      <w:lvlText w:val=""/>
      <w:lvlJc w:val="left"/>
      <w:pPr>
        <w:ind w:left="1800" w:hanging="360"/>
      </w:pPr>
      <w:rPr>
        <w:rFonts w:ascii="Wingdings" w:hAnsi="Wingdings" w:hint="default"/>
      </w:rPr>
    </w:lvl>
    <w:lvl w:ilvl="3" w:tplc="F842B314">
      <w:start w:val="1"/>
      <w:numFmt w:val="bullet"/>
      <w:lvlText w:val=""/>
      <w:lvlJc w:val="left"/>
      <w:pPr>
        <w:ind w:left="2520" w:hanging="360"/>
      </w:pPr>
      <w:rPr>
        <w:rFonts w:ascii="Symbol" w:hAnsi="Symbol" w:hint="default"/>
      </w:rPr>
    </w:lvl>
    <w:lvl w:ilvl="4" w:tplc="8FB6D70E">
      <w:start w:val="1"/>
      <w:numFmt w:val="bullet"/>
      <w:lvlText w:val="o"/>
      <w:lvlJc w:val="left"/>
      <w:pPr>
        <w:ind w:left="3240" w:hanging="360"/>
      </w:pPr>
      <w:rPr>
        <w:rFonts w:ascii="Courier New" w:hAnsi="Courier New" w:hint="default"/>
      </w:rPr>
    </w:lvl>
    <w:lvl w:ilvl="5" w:tplc="BF42BFD8">
      <w:start w:val="1"/>
      <w:numFmt w:val="bullet"/>
      <w:lvlText w:val=""/>
      <w:lvlJc w:val="left"/>
      <w:pPr>
        <w:ind w:left="3960" w:hanging="360"/>
      </w:pPr>
      <w:rPr>
        <w:rFonts w:ascii="Wingdings" w:hAnsi="Wingdings" w:hint="default"/>
      </w:rPr>
    </w:lvl>
    <w:lvl w:ilvl="6" w:tplc="57526F80">
      <w:start w:val="1"/>
      <w:numFmt w:val="bullet"/>
      <w:lvlText w:val=""/>
      <w:lvlJc w:val="left"/>
      <w:pPr>
        <w:ind w:left="4680" w:hanging="360"/>
      </w:pPr>
      <w:rPr>
        <w:rFonts w:ascii="Symbol" w:hAnsi="Symbol" w:hint="default"/>
      </w:rPr>
    </w:lvl>
    <w:lvl w:ilvl="7" w:tplc="E0B621F0">
      <w:start w:val="1"/>
      <w:numFmt w:val="bullet"/>
      <w:lvlText w:val="o"/>
      <w:lvlJc w:val="left"/>
      <w:pPr>
        <w:ind w:left="5400" w:hanging="360"/>
      </w:pPr>
      <w:rPr>
        <w:rFonts w:ascii="Courier New" w:hAnsi="Courier New" w:hint="default"/>
      </w:rPr>
    </w:lvl>
    <w:lvl w:ilvl="8" w:tplc="3C18E230">
      <w:start w:val="1"/>
      <w:numFmt w:val="bullet"/>
      <w:lvlText w:val=""/>
      <w:lvlJc w:val="left"/>
      <w:pPr>
        <w:ind w:left="6120" w:hanging="360"/>
      </w:pPr>
      <w:rPr>
        <w:rFonts w:ascii="Wingdings" w:hAnsi="Wingdings" w:hint="default"/>
      </w:rPr>
    </w:lvl>
  </w:abstractNum>
  <w:abstractNum w:abstractNumId="8" w15:restartNumberingAfterBreak="0">
    <w:nsid w:val="29BE1DD9"/>
    <w:multiLevelType w:val="multilevel"/>
    <w:tmpl w:val="1224556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465A2"/>
    <w:multiLevelType w:val="multilevel"/>
    <w:tmpl w:val="6352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601B5"/>
    <w:multiLevelType w:val="hybridMultilevel"/>
    <w:tmpl w:val="528C4FE8"/>
    <w:styleLink w:val="ImportedStyle16"/>
    <w:lvl w:ilvl="0" w:tplc="F468D80C">
      <w:start w:val="1"/>
      <w:numFmt w:val="decimal"/>
      <w:lvlText w:val="%1."/>
      <w:lvlJc w:val="left"/>
      <w:pPr>
        <w:ind w:left="36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sz w:val="23"/>
        <w:szCs w:val="23"/>
        <w:highlight w:val="none"/>
        <w:vertAlign w:val="baseline"/>
      </w:rPr>
    </w:lvl>
    <w:lvl w:ilvl="1" w:tplc="ED3CA9C0">
      <w:start w:val="1"/>
      <w:numFmt w:val="lowerLetter"/>
      <w:lvlText w:val="%2."/>
      <w:lvlJc w:val="left"/>
      <w:pPr>
        <w:ind w:left="108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7FAA924">
      <w:start w:val="1"/>
      <w:numFmt w:val="lowerRoman"/>
      <w:lvlText w:val="%3."/>
      <w:lvlJc w:val="left"/>
      <w:pPr>
        <w:ind w:left="180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5C8067E">
      <w:start w:val="1"/>
      <w:numFmt w:val="decimal"/>
      <w:lvlText w:val="%4."/>
      <w:lvlJc w:val="left"/>
      <w:pPr>
        <w:ind w:left="252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CA29EDC">
      <w:start w:val="1"/>
      <w:numFmt w:val="lowerLetter"/>
      <w:lvlText w:val="%5."/>
      <w:lvlJc w:val="left"/>
      <w:pPr>
        <w:ind w:left="324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20A89C">
      <w:start w:val="1"/>
      <w:numFmt w:val="lowerRoman"/>
      <w:lvlText w:val="%6."/>
      <w:lvlJc w:val="left"/>
      <w:pPr>
        <w:ind w:left="396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FAE81C0">
      <w:start w:val="1"/>
      <w:numFmt w:val="decimal"/>
      <w:lvlText w:val="%7."/>
      <w:lvlJc w:val="left"/>
      <w:pPr>
        <w:ind w:left="468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60CBA02">
      <w:start w:val="1"/>
      <w:numFmt w:val="lowerLetter"/>
      <w:lvlText w:val="%8."/>
      <w:lvlJc w:val="left"/>
      <w:pPr>
        <w:ind w:left="540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8EAB860">
      <w:start w:val="1"/>
      <w:numFmt w:val="lowerRoman"/>
      <w:lvlText w:val="%9."/>
      <w:lvlJc w:val="left"/>
      <w:pPr>
        <w:ind w:left="612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3EE765CC"/>
    <w:multiLevelType w:val="multilevel"/>
    <w:tmpl w:val="0812E4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A2C4371"/>
    <w:multiLevelType w:val="hybridMultilevel"/>
    <w:tmpl w:val="0D94372C"/>
    <w:lvl w:ilvl="0" w:tplc="F0A6C018">
      <w:start w:val="1"/>
      <w:numFmt w:val="lowerLetter"/>
      <w:pStyle w:val="NCDNumberedLevel2"/>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B30389B"/>
    <w:multiLevelType w:val="multilevel"/>
    <w:tmpl w:val="9938A9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B7F1C84"/>
    <w:multiLevelType w:val="multilevel"/>
    <w:tmpl w:val="51D02F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6C20D27"/>
    <w:multiLevelType w:val="multilevel"/>
    <w:tmpl w:val="94A875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F72603E"/>
    <w:multiLevelType w:val="hybridMultilevel"/>
    <w:tmpl w:val="50D2ED3A"/>
    <w:lvl w:ilvl="0" w:tplc="68F04E98">
      <w:start w:val="1"/>
      <w:numFmt w:val="bullet"/>
      <w:pStyle w:val="NCDBullets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522C1B"/>
    <w:multiLevelType w:val="multilevel"/>
    <w:tmpl w:val="A70E517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7AD50595"/>
    <w:multiLevelType w:val="multilevel"/>
    <w:tmpl w:val="A5C402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845243605">
    <w:abstractNumId w:val="1"/>
  </w:num>
  <w:num w:numId="2" w16cid:durableId="555164223">
    <w:abstractNumId w:val="0"/>
  </w:num>
  <w:num w:numId="3" w16cid:durableId="1471363574">
    <w:abstractNumId w:val="8"/>
  </w:num>
  <w:num w:numId="4" w16cid:durableId="345181300">
    <w:abstractNumId w:val="16"/>
  </w:num>
  <w:num w:numId="5" w16cid:durableId="1882551633">
    <w:abstractNumId w:val="6"/>
  </w:num>
  <w:num w:numId="6" w16cid:durableId="1747871796">
    <w:abstractNumId w:val="12"/>
  </w:num>
  <w:num w:numId="7" w16cid:durableId="926503691">
    <w:abstractNumId w:val="10"/>
  </w:num>
  <w:num w:numId="8" w16cid:durableId="759328014">
    <w:abstractNumId w:val="2"/>
  </w:num>
  <w:num w:numId="9" w16cid:durableId="1486165746">
    <w:abstractNumId w:val="9"/>
  </w:num>
  <w:num w:numId="10" w16cid:durableId="873926322">
    <w:abstractNumId w:val="7"/>
  </w:num>
  <w:num w:numId="11" w16cid:durableId="733355537">
    <w:abstractNumId w:val="5"/>
  </w:num>
  <w:num w:numId="12" w16cid:durableId="945499640">
    <w:abstractNumId w:val="11"/>
  </w:num>
  <w:num w:numId="13" w16cid:durableId="1716343859">
    <w:abstractNumId w:val="15"/>
  </w:num>
  <w:num w:numId="14" w16cid:durableId="1873416307">
    <w:abstractNumId w:val="4"/>
  </w:num>
  <w:num w:numId="15" w16cid:durableId="1902128906">
    <w:abstractNumId w:val="13"/>
  </w:num>
  <w:num w:numId="16" w16cid:durableId="1610895115">
    <w:abstractNumId w:val="14"/>
  </w:num>
  <w:num w:numId="17" w16cid:durableId="1933202558">
    <w:abstractNumId w:val="17"/>
  </w:num>
  <w:num w:numId="18" w16cid:durableId="553976929">
    <w:abstractNumId w:val="18"/>
  </w:num>
  <w:num w:numId="19" w16cid:durableId="13024260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0B15"/>
    <w:rsid w:val="000017F4"/>
    <w:rsid w:val="00002065"/>
    <w:rsid w:val="00002B3D"/>
    <w:rsid w:val="00002EA0"/>
    <w:rsid w:val="000035D1"/>
    <w:rsid w:val="00003CA1"/>
    <w:rsid w:val="00003D77"/>
    <w:rsid w:val="0000426B"/>
    <w:rsid w:val="000049C9"/>
    <w:rsid w:val="00004B76"/>
    <w:rsid w:val="000051FC"/>
    <w:rsid w:val="00005BF8"/>
    <w:rsid w:val="00006306"/>
    <w:rsid w:val="00006E2F"/>
    <w:rsid w:val="0000737A"/>
    <w:rsid w:val="0000737D"/>
    <w:rsid w:val="0000758E"/>
    <w:rsid w:val="00010174"/>
    <w:rsid w:val="000102E5"/>
    <w:rsid w:val="00010376"/>
    <w:rsid w:val="00010434"/>
    <w:rsid w:val="000107BD"/>
    <w:rsid w:val="0001087C"/>
    <w:rsid w:val="00011095"/>
    <w:rsid w:val="00011289"/>
    <w:rsid w:val="000113A7"/>
    <w:rsid w:val="00011858"/>
    <w:rsid w:val="000118A8"/>
    <w:rsid w:val="00011DF9"/>
    <w:rsid w:val="000123CC"/>
    <w:rsid w:val="000124C0"/>
    <w:rsid w:val="00012AF4"/>
    <w:rsid w:val="000130C1"/>
    <w:rsid w:val="000148B9"/>
    <w:rsid w:val="000152EC"/>
    <w:rsid w:val="000157C6"/>
    <w:rsid w:val="00015C6D"/>
    <w:rsid w:val="00015D1A"/>
    <w:rsid w:val="00016385"/>
    <w:rsid w:val="000163D9"/>
    <w:rsid w:val="00016C6D"/>
    <w:rsid w:val="00016D9B"/>
    <w:rsid w:val="00016EDA"/>
    <w:rsid w:val="000173B7"/>
    <w:rsid w:val="000207D7"/>
    <w:rsid w:val="00020AC3"/>
    <w:rsid w:val="00020F4D"/>
    <w:rsid w:val="00021130"/>
    <w:rsid w:val="00021261"/>
    <w:rsid w:val="00021D35"/>
    <w:rsid w:val="000228BA"/>
    <w:rsid w:val="00022B50"/>
    <w:rsid w:val="00022D03"/>
    <w:rsid w:val="00023478"/>
    <w:rsid w:val="00023527"/>
    <w:rsid w:val="00024031"/>
    <w:rsid w:val="000257F6"/>
    <w:rsid w:val="00026495"/>
    <w:rsid w:val="00026DFA"/>
    <w:rsid w:val="00030D8D"/>
    <w:rsid w:val="0003136B"/>
    <w:rsid w:val="00031901"/>
    <w:rsid w:val="00031B19"/>
    <w:rsid w:val="000329F3"/>
    <w:rsid w:val="00032A5A"/>
    <w:rsid w:val="000332BD"/>
    <w:rsid w:val="000332FA"/>
    <w:rsid w:val="000347CF"/>
    <w:rsid w:val="00034964"/>
    <w:rsid w:val="00034D45"/>
    <w:rsid w:val="00034FC5"/>
    <w:rsid w:val="00035567"/>
    <w:rsid w:val="00035F81"/>
    <w:rsid w:val="00036014"/>
    <w:rsid w:val="00036020"/>
    <w:rsid w:val="00036C45"/>
    <w:rsid w:val="00037559"/>
    <w:rsid w:val="000378E0"/>
    <w:rsid w:val="00037AA7"/>
    <w:rsid w:val="00037AD9"/>
    <w:rsid w:val="00037C02"/>
    <w:rsid w:val="000406D9"/>
    <w:rsid w:val="000412D9"/>
    <w:rsid w:val="00041BE1"/>
    <w:rsid w:val="00041DDA"/>
    <w:rsid w:val="00041E1E"/>
    <w:rsid w:val="00041EA3"/>
    <w:rsid w:val="000421E3"/>
    <w:rsid w:val="000424A3"/>
    <w:rsid w:val="00042638"/>
    <w:rsid w:val="00043682"/>
    <w:rsid w:val="00043A14"/>
    <w:rsid w:val="00044DDB"/>
    <w:rsid w:val="00044E78"/>
    <w:rsid w:val="000454B7"/>
    <w:rsid w:val="000454C6"/>
    <w:rsid w:val="000455B5"/>
    <w:rsid w:val="000456A0"/>
    <w:rsid w:val="00045C50"/>
    <w:rsid w:val="00046181"/>
    <w:rsid w:val="00046301"/>
    <w:rsid w:val="0004643F"/>
    <w:rsid w:val="00047948"/>
    <w:rsid w:val="00047954"/>
    <w:rsid w:val="000479DD"/>
    <w:rsid w:val="00050306"/>
    <w:rsid w:val="00050844"/>
    <w:rsid w:val="00050E42"/>
    <w:rsid w:val="00051AF8"/>
    <w:rsid w:val="0005287D"/>
    <w:rsid w:val="00052C1C"/>
    <w:rsid w:val="000531B7"/>
    <w:rsid w:val="00053876"/>
    <w:rsid w:val="00053889"/>
    <w:rsid w:val="000542E5"/>
    <w:rsid w:val="000543A4"/>
    <w:rsid w:val="000548CD"/>
    <w:rsid w:val="00054B03"/>
    <w:rsid w:val="000554C4"/>
    <w:rsid w:val="0005564F"/>
    <w:rsid w:val="00055991"/>
    <w:rsid w:val="00055F44"/>
    <w:rsid w:val="000560DA"/>
    <w:rsid w:val="00060097"/>
    <w:rsid w:val="0006016B"/>
    <w:rsid w:val="000603EC"/>
    <w:rsid w:val="00060B27"/>
    <w:rsid w:val="00060F10"/>
    <w:rsid w:val="000612B4"/>
    <w:rsid w:val="000612BA"/>
    <w:rsid w:val="000613DA"/>
    <w:rsid w:val="0006151A"/>
    <w:rsid w:val="0006161A"/>
    <w:rsid w:val="000616DC"/>
    <w:rsid w:val="00061781"/>
    <w:rsid w:val="0006189F"/>
    <w:rsid w:val="0006234C"/>
    <w:rsid w:val="000623FB"/>
    <w:rsid w:val="00062AEE"/>
    <w:rsid w:val="000634E4"/>
    <w:rsid w:val="000636E8"/>
    <w:rsid w:val="000638E5"/>
    <w:rsid w:val="00063CCD"/>
    <w:rsid w:val="00064095"/>
    <w:rsid w:val="000640FB"/>
    <w:rsid w:val="000641B9"/>
    <w:rsid w:val="00064579"/>
    <w:rsid w:val="00064F68"/>
    <w:rsid w:val="000651DF"/>
    <w:rsid w:val="00065257"/>
    <w:rsid w:val="000653C0"/>
    <w:rsid w:val="0006597D"/>
    <w:rsid w:val="00065E65"/>
    <w:rsid w:val="000661AC"/>
    <w:rsid w:val="0006699D"/>
    <w:rsid w:val="00066A94"/>
    <w:rsid w:val="00066CBB"/>
    <w:rsid w:val="000673A9"/>
    <w:rsid w:val="00067464"/>
    <w:rsid w:val="0006755F"/>
    <w:rsid w:val="0006765E"/>
    <w:rsid w:val="0007082D"/>
    <w:rsid w:val="00070DB5"/>
    <w:rsid w:val="00071569"/>
    <w:rsid w:val="000716B0"/>
    <w:rsid w:val="0007179A"/>
    <w:rsid w:val="00071CA3"/>
    <w:rsid w:val="00071F1E"/>
    <w:rsid w:val="00072E09"/>
    <w:rsid w:val="00072EA3"/>
    <w:rsid w:val="00072EEE"/>
    <w:rsid w:val="00072F76"/>
    <w:rsid w:val="0007302C"/>
    <w:rsid w:val="000735A4"/>
    <w:rsid w:val="00073EB3"/>
    <w:rsid w:val="00075212"/>
    <w:rsid w:val="000753AA"/>
    <w:rsid w:val="000757BC"/>
    <w:rsid w:val="00075911"/>
    <w:rsid w:val="00075CE1"/>
    <w:rsid w:val="00075D0A"/>
    <w:rsid w:val="000760A2"/>
    <w:rsid w:val="0007651C"/>
    <w:rsid w:val="00077A4F"/>
    <w:rsid w:val="00080899"/>
    <w:rsid w:val="00080A03"/>
    <w:rsid w:val="00080E6A"/>
    <w:rsid w:val="00081CB2"/>
    <w:rsid w:val="00081F8F"/>
    <w:rsid w:val="0008276F"/>
    <w:rsid w:val="00083814"/>
    <w:rsid w:val="00084D94"/>
    <w:rsid w:val="0008504A"/>
    <w:rsid w:val="00085C40"/>
    <w:rsid w:val="00086051"/>
    <w:rsid w:val="000861F9"/>
    <w:rsid w:val="00086BA4"/>
    <w:rsid w:val="00087084"/>
    <w:rsid w:val="00087110"/>
    <w:rsid w:val="0008750C"/>
    <w:rsid w:val="00087734"/>
    <w:rsid w:val="00087899"/>
    <w:rsid w:val="00087964"/>
    <w:rsid w:val="00087AA6"/>
    <w:rsid w:val="00087DF5"/>
    <w:rsid w:val="00090096"/>
    <w:rsid w:val="0009010A"/>
    <w:rsid w:val="0009035D"/>
    <w:rsid w:val="000904B3"/>
    <w:rsid w:val="00090511"/>
    <w:rsid w:val="00090959"/>
    <w:rsid w:val="00090A5F"/>
    <w:rsid w:val="000913CA"/>
    <w:rsid w:val="00091790"/>
    <w:rsid w:val="000918AA"/>
    <w:rsid w:val="00091DFB"/>
    <w:rsid w:val="00091F9D"/>
    <w:rsid w:val="00092941"/>
    <w:rsid w:val="000945D9"/>
    <w:rsid w:val="00095BBC"/>
    <w:rsid w:val="000960AA"/>
    <w:rsid w:val="00096A46"/>
    <w:rsid w:val="00097524"/>
    <w:rsid w:val="00097643"/>
    <w:rsid w:val="0009764D"/>
    <w:rsid w:val="00097E75"/>
    <w:rsid w:val="000A031B"/>
    <w:rsid w:val="000A0388"/>
    <w:rsid w:val="000A06A6"/>
    <w:rsid w:val="000A07C7"/>
    <w:rsid w:val="000A0928"/>
    <w:rsid w:val="000A1925"/>
    <w:rsid w:val="000A1CB4"/>
    <w:rsid w:val="000A2367"/>
    <w:rsid w:val="000A2731"/>
    <w:rsid w:val="000A2944"/>
    <w:rsid w:val="000A2B4D"/>
    <w:rsid w:val="000A2EE2"/>
    <w:rsid w:val="000A36DB"/>
    <w:rsid w:val="000A377A"/>
    <w:rsid w:val="000A3CB6"/>
    <w:rsid w:val="000A4239"/>
    <w:rsid w:val="000A4259"/>
    <w:rsid w:val="000A4521"/>
    <w:rsid w:val="000A4B6A"/>
    <w:rsid w:val="000A5294"/>
    <w:rsid w:val="000A5988"/>
    <w:rsid w:val="000A606B"/>
    <w:rsid w:val="000A6577"/>
    <w:rsid w:val="000A6921"/>
    <w:rsid w:val="000A72B7"/>
    <w:rsid w:val="000A7906"/>
    <w:rsid w:val="000B0109"/>
    <w:rsid w:val="000B038D"/>
    <w:rsid w:val="000B073C"/>
    <w:rsid w:val="000B07B2"/>
    <w:rsid w:val="000B0DD0"/>
    <w:rsid w:val="000B0E0F"/>
    <w:rsid w:val="000B0E38"/>
    <w:rsid w:val="000B0F7F"/>
    <w:rsid w:val="000B1EB1"/>
    <w:rsid w:val="000B1F14"/>
    <w:rsid w:val="000B21F9"/>
    <w:rsid w:val="000B23C8"/>
    <w:rsid w:val="000B3398"/>
    <w:rsid w:val="000B3DE6"/>
    <w:rsid w:val="000B3FD4"/>
    <w:rsid w:val="000B448E"/>
    <w:rsid w:val="000B4969"/>
    <w:rsid w:val="000B4EF4"/>
    <w:rsid w:val="000B585C"/>
    <w:rsid w:val="000B5885"/>
    <w:rsid w:val="000B5C37"/>
    <w:rsid w:val="000B602A"/>
    <w:rsid w:val="000B6815"/>
    <w:rsid w:val="000B6C25"/>
    <w:rsid w:val="000B6F46"/>
    <w:rsid w:val="000B722C"/>
    <w:rsid w:val="000B7574"/>
    <w:rsid w:val="000B7C40"/>
    <w:rsid w:val="000C09D8"/>
    <w:rsid w:val="000C1248"/>
    <w:rsid w:val="000C1C23"/>
    <w:rsid w:val="000C1EE4"/>
    <w:rsid w:val="000C213B"/>
    <w:rsid w:val="000C286C"/>
    <w:rsid w:val="000C3570"/>
    <w:rsid w:val="000C3B97"/>
    <w:rsid w:val="000C4388"/>
    <w:rsid w:val="000C4CD8"/>
    <w:rsid w:val="000C4EE5"/>
    <w:rsid w:val="000C5511"/>
    <w:rsid w:val="000C6F87"/>
    <w:rsid w:val="000C6F9E"/>
    <w:rsid w:val="000C7FAD"/>
    <w:rsid w:val="000D0859"/>
    <w:rsid w:val="000D0B91"/>
    <w:rsid w:val="000D0FF8"/>
    <w:rsid w:val="000D1FDB"/>
    <w:rsid w:val="000D258F"/>
    <w:rsid w:val="000D25B0"/>
    <w:rsid w:val="000D2909"/>
    <w:rsid w:val="000D29E9"/>
    <w:rsid w:val="000D31E9"/>
    <w:rsid w:val="000D3218"/>
    <w:rsid w:val="000D32D8"/>
    <w:rsid w:val="000D3E9C"/>
    <w:rsid w:val="000D440A"/>
    <w:rsid w:val="000D4782"/>
    <w:rsid w:val="000D4B35"/>
    <w:rsid w:val="000D5BC9"/>
    <w:rsid w:val="000D5E4F"/>
    <w:rsid w:val="000D6605"/>
    <w:rsid w:val="000D6735"/>
    <w:rsid w:val="000D750E"/>
    <w:rsid w:val="000D7BCA"/>
    <w:rsid w:val="000D7DED"/>
    <w:rsid w:val="000D7F1E"/>
    <w:rsid w:val="000E05A1"/>
    <w:rsid w:val="000E05BB"/>
    <w:rsid w:val="000E0BF1"/>
    <w:rsid w:val="000E0D03"/>
    <w:rsid w:val="000E0DC3"/>
    <w:rsid w:val="000E1075"/>
    <w:rsid w:val="000E1340"/>
    <w:rsid w:val="000E1590"/>
    <w:rsid w:val="000E18C1"/>
    <w:rsid w:val="000E3520"/>
    <w:rsid w:val="000E399E"/>
    <w:rsid w:val="000E3BA7"/>
    <w:rsid w:val="000E496F"/>
    <w:rsid w:val="000E50B0"/>
    <w:rsid w:val="000E6112"/>
    <w:rsid w:val="000E62C8"/>
    <w:rsid w:val="000E65A2"/>
    <w:rsid w:val="000E6AC0"/>
    <w:rsid w:val="000E6ECA"/>
    <w:rsid w:val="000E6ED6"/>
    <w:rsid w:val="000E70CC"/>
    <w:rsid w:val="000E75CB"/>
    <w:rsid w:val="000E7A32"/>
    <w:rsid w:val="000E7B26"/>
    <w:rsid w:val="000E7B6B"/>
    <w:rsid w:val="000F0DDC"/>
    <w:rsid w:val="000F11EE"/>
    <w:rsid w:val="000F16E4"/>
    <w:rsid w:val="000F1993"/>
    <w:rsid w:val="000F1ADA"/>
    <w:rsid w:val="000F1F40"/>
    <w:rsid w:val="000F1F63"/>
    <w:rsid w:val="000F31FE"/>
    <w:rsid w:val="000F398E"/>
    <w:rsid w:val="000F3B20"/>
    <w:rsid w:val="000F42ED"/>
    <w:rsid w:val="000F438F"/>
    <w:rsid w:val="000F4632"/>
    <w:rsid w:val="000F4992"/>
    <w:rsid w:val="000F504A"/>
    <w:rsid w:val="000F5764"/>
    <w:rsid w:val="000F5905"/>
    <w:rsid w:val="000F5935"/>
    <w:rsid w:val="000F6463"/>
    <w:rsid w:val="000F6C2A"/>
    <w:rsid w:val="000F6EA8"/>
    <w:rsid w:val="000F7181"/>
    <w:rsid w:val="000F775B"/>
    <w:rsid w:val="000F7A59"/>
    <w:rsid w:val="000F7EFB"/>
    <w:rsid w:val="00100044"/>
    <w:rsid w:val="001003DE"/>
    <w:rsid w:val="00101AAF"/>
    <w:rsid w:val="00101B24"/>
    <w:rsid w:val="00101EAF"/>
    <w:rsid w:val="0010244A"/>
    <w:rsid w:val="00102A46"/>
    <w:rsid w:val="00103438"/>
    <w:rsid w:val="00103567"/>
    <w:rsid w:val="0010557E"/>
    <w:rsid w:val="001057D8"/>
    <w:rsid w:val="001059DA"/>
    <w:rsid w:val="00105AD2"/>
    <w:rsid w:val="00105AE9"/>
    <w:rsid w:val="00105C64"/>
    <w:rsid w:val="001061E0"/>
    <w:rsid w:val="0010692B"/>
    <w:rsid w:val="00106D9E"/>
    <w:rsid w:val="00107B68"/>
    <w:rsid w:val="001101FB"/>
    <w:rsid w:val="0011098D"/>
    <w:rsid w:val="00110BAD"/>
    <w:rsid w:val="00110DCA"/>
    <w:rsid w:val="001111B5"/>
    <w:rsid w:val="001111CA"/>
    <w:rsid w:val="0011139E"/>
    <w:rsid w:val="00111443"/>
    <w:rsid w:val="001115C1"/>
    <w:rsid w:val="0011232A"/>
    <w:rsid w:val="00112E8C"/>
    <w:rsid w:val="001130FD"/>
    <w:rsid w:val="001141E6"/>
    <w:rsid w:val="00114B1E"/>
    <w:rsid w:val="00114C38"/>
    <w:rsid w:val="00114F11"/>
    <w:rsid w:val="00115A4C"/>
    <w:rsid w:val="00117041"/>
    <w:rsid w:val="001175CA"/>
    <w:rsid w:val="001177B6"/>
    <w:rsid w:val="001177CE"/>
    <w:rsid w:val="001177FE"/>
    <w:rsid w:val="0012076B"/>
    <w:rsid w:val="00120A98"/>
    <w:rsid w:val="00120FD2"/>
    <w:rsid w:val="001217ED"/>
    <w:rsid w:val="0012257A"/>
    <w:rsid w:val="00122CCF"/>
    <w:rsid w:val="00122FC3"/>
    <w:rsid w:val="001236BD"/>
    <w:rsid w:val="0012408E"/>
    <w:rsid w:val="001246E7"/>
    <w:rsid w:val="00124FC7"/>
    <w:rsid w:val="00126039"/>
    <w:rsid w:val="0012682F"/>
    <w:rsid w:val="00126F74"/>
    <w:rsid w:val="0012732D"/>
    <w:rsid w:val="00127573"/>
    <w:rsid w:val="0012779F"/>
    <w:rsid w:val="00130074"/>
    <w:rsid w:val="00130536"/>
    <w:rsid w:val="001306F2"/>
    <w:rsid w:val="00130F41"/>
    <w:rsid w:val="00131922"/>
    <w:rsid w:val="001322B6"/>
    <w:rsid w:val="00132F07"/>
    <w:rsid w:val="00133E8B"/>
    <w:rsid w:val="00133F5E"/>
    <w:rsid w:val="0013480A"/>
    <w:rsid w:val="001348A8"/>
    <w:rsid w:val="00134CEF"/>
    <w:rsid w:val="00135AA9"/>
    <w:rsid w:val="001363FF"/>
    <w:rsid w:val="00136938"/>
    <w:rsid w:val="00136B3C"/>
    <w:rsid w:val="001404BF"/>
    <w:rsid w:val="001406DF"/>
    <w:rsid w:val="00140836"/>
    <w:rsid w:val="00140AF4"/>
    <w:rsid w:val="00140BDB"/>
    <w:rsid w:val="00141572"/>
    <w:rsid w:val="001416DF"/>
    <w:rsid w:val="00141A4F"/>
    <w:rsid w:val="00141AA6"/>
    <w:rsid w:val="00141C42"/>
    <w:rsid w:val="00141FA8"/>
    <w:rsid w:val="0014221F"/>
    <w:rsid w:val="00142462"/>
    <w:rsid w:val="001428F4"/>
    <w:rsid w:val="001428F5"/>
    <w:rsid w:val="00142BAE"/>
    <w:rsid w:val="00142BBF"/>
    <w:rsid w:val="00142C5C"/>
    <w:rsid w:val="00142D2A"/>
    <w:rsid w:val="00142E3D"/>
    <w:rsid w:val="00143048"/>
    <w:rsid w:val="001436F9"/>
    <w:rsid w:val="00143B49"/>
    <w:rsid w:val="00143C40"/>
    <w:rsid w:val="00144230"/>
    <w:rsid w:val="001451E6"/>
    <w:rsid w:val="00145242"/>
    <w:rsid w:val="00145331"/>
    <w:rsid w:val="00145AB8"/>
    <w:rsid w:val="00147EB3"/>
    <w:rsid w:val="001500B4"/>
    <w:rsid w:val="001501A5"/>
    <w:rsid w:val="0015093A"/>
    <w:rsid w:val="00151197"/>
    <w:rsid w:val="0015121D"/>
    <w:rsid w:val="00151385"/>
    <w:rsid w:val="00152335"/>
    <w:rsid w:val="00154B58"/>
    <w:rsid w:val="00154B85"/>
    <w:rsid w:val="00155E3C"/>
    <w:rsid w:val="00156391"/>
    <w:rsid w:val="0015665E"/>
    <w:rsid w:val="0015701B"/>
    <w:rsid w:val="001570FE"/>
    <w:rsid w:val="00157312"/>
    <w:rsid w:val="00157863"/>
    <w:rsid w:val="001601C7"/>
    <w:rsid w:val="001606C1"/>
    <w:rsid w:val="00160741"/>
    <w:rsid w:val="0016198D"/>
    <w:rsid w:val="00161C8E"/>
    <w:rsid w:val="0016364F"/>
    <w:rsid w:val="00163AC8"/>
    <w:rsid w:val="00165169"/>
    <w:rsid w:val="001657F4"/>
    <w:rsid w:val="00165BA5"/>
    <w:rsid w:val="00165E0E"/>
    <w:rsid w:val="001663A7"/>
    <w:rsid w:val="001670FE"/>
    <w:rsid w:val="00167A11"/>
    <w:rsid w:val="00167B8A"/>
    <w:rsid w:val="0017021D"/>
    <w:rsid w:val="00170A09"/>
    <w:rsid w:val="00171673"/>
    <w:rsid w:val="001720DF"/>
    <w:rsid w:val="0017224E"/>
    <w:rsid w:val="001726CB"/>
    <w:rsid w:val="0017292E"/>
    <w:rsid w:val="001729EE"/>
    <w:rsid w:val="00173177"/>
    <w:rsid w:val="001734C3"/>
    <w:rsid w:val="00173755"/>
    <w:rsid w:val="001737D7"/>
    <w:rsid w:val="00173F52"/>
    <w:rsid w:val="00174349"/>
    <w:rsid w:val="0017544D"/>
    <w:rsid w:val="00175E12"/>
    <w:rsid w:val="00176CEB"/>
    <w:rsid w:val="0017735B"/>
    <w:rsid w:val="00177766"/>
    <w:rsid w:val="00177C18"/>
    <w:rsid w:val="00177D42"/>
    <w:rsid w:val="00177E44"/>
    <w:rsid w:val="001801D0"/>
    <w:rsid w:val="00180507"/>
    <w:rsid w:val="00180509"/>
    <w:rsid w:val="00180A58"/>
    <w:rsid w:val="001816A2"/>
    <w:rsid w:val="00181EAC"/>
    <w:rsid w:val="001828A2"/>
    <w:rsid w:val="0018299E"/>
    <w:rsid w:val="00182C4A"/>
    <w:rsid w:val="00183070"/>
    <w:rsid w:val="001834F5"/>
    <w:rsid w:val="00183FEF"/>
    <w:rsid w:val="001841C7"/>
    <w:rsid w:val="001842E2"/>
    <w:rsid w:val="0018438E"/>
    <w:rsid w:val="0018439A"/>
    <w:rsid w:val="001843C0"/>
    <w:rsid w:val="00184924"/>
    <w:rsid w:val="001849F2"/>
    <w:rsid w:val="00184C1A"/>
    <w:rsid w:val="00184C55"/>
    <w:rsid w:val="001852D5"/>
    <w:rsid w:val="0018555C"/>
    <w:rsid w:val="001866FA"/>
    <w:rsid w:val="001868DE"/>
    <w:rsid w:val="00186F2F"/>
    <w:rsid w:val="0018711F"/>
    <w:rsid w:val="001878BF"/>
    <w:rsid w:val="001878D4"/>
    <w:rsid w:val="00187CA0"/>
    <w:rsid w:val="00187FDA"/>
    <w:rsid w:val="00190E56"/>
    <w:rsid w:val="001910C6"/>
    <w:rsid w:val="0019124B"/>
    <w:rsid w:val="0019132C"/>
    <w:rsid w:val="0019154A"/>
    <w:rsid w:val="0019154D"/>
    <w:rsid w:val="00191627"/>
    <w:rsid w:val="00191B17"/>
    <w:rsid w:val="00191C5F"/>
    <w:rsid w:val="001924E4"/>
    <w:rsid w:val="00192549"/>
    <w:rsid w:val="00192B26"/>
    <w:rsid w:val="001934EE"/>
    <w:rsid w:val="00193573"/>
    <w:rsid w:val="00193697"/>
    <w:rsid w:val="00193809"/>
    <w:rsid w:val="00193835"/>
    <w:rsid w:val="00193933"/>
    <w:rsid w:val="00194115"/>
    <w:rsid w:val="00195107"/>
    <w:rsid w:val="00195490"/>
    <w:rsid w:val="001956F8"/>
    <w:rsid w:val="00195E72"/>
    <w:rsid w:val="0019601A"/>
    <w:rsid w:val="0019617C"/>
    <w:rsid w:val="0019661D"/>
    <w:rsid w:val="00196948"/>
    <w:rsid w:val="0019695D"/>
    <w:rsid w:val="00196AD5"/>
    <w:rsid w:val="00197199"/>
    <w:rsid w:val="001972F8"/>
    <w:rsid w:val="00197755"/>
    <w:rsid w:val="001979B6"/>
    <w:rsid w:val="00197E58"/>
    <w:rsid w:val="00197F98"/>
    <w:rsid w:val="001A128F"/>
    <w:rsid w:val="001A14E5"/>
    <w:rsid w:val="001A1A26"/>
    <w:rsid w:val="001A1BC9"/>
    <w:rsid w:val="001A1C9E"/>
    <w:rsid w:val="001A23DD"/>
    <w:rsid w:val="001A2636"/>
    <w:rsid w:val="001A307E"/>
    <w:rsid w:val="001A3135"/>
    <w:rsid w:val="001A3145"/>
    <w:rsid w:val="001A3484"/>
    <w:rsid w:val="001A3855"/>
    <w:rsid w:val="001A3B4F"/>
    <w:rsid w:val="001A449F"/>
    <w:rsid w:val="001A456E"/>
    <w:rsid w:val="001A4685"/>
    <w:rsid w:val="001A4950"/>
    <w:rsid w:val="001A4A41"/>
    <w:rsid w:val="001A4E0E"/>
    <w:rsid w:val="001A54B0"/>
    <w:rsid w:val="001A55A7"/>
    <w:rsid w:val="001A5B3D"/>
    <w:rsid w:val="001A6223"/>
    <w:rsid w:val="001A674B"/>
    <w:rsid w:val="001A6906"/>
    <w:rsid w:val="001A6DD3"/>
    <w:rsid w:val="001A71E0"/>
    <w:rsid w:val="001A71EF"/>
    <w:rsid w:val="001B0592"/>
    <w:rsid w:val="001B07C9"/>
    <w:rsid w:val="001B0B60"/>
    <w:rsid w:val="001B1540"/>
    <w:rsid w:val="001B1562"/>
    <w:rsid w:val="001B16ED"/>
    <w:rsid w:val="001B2BDB"/>
    <w:rsid w:val="001B3506"/>
    <w:rsid w:val="001B3723"/>
    <w:rsid w:val="001B39B0"/>
    <w:rsid w:val="001B3A8D"/>
    <w:rsid w:val="001B5A77"/>
    <w:rsid w:val="001B5A8F"/>
    <w:rsid w:val="001B6815"/>
    <w:rsid w:val="001B69F3"/>
    <w:rsid w:val="001B6E59"/>
    <w:rsid w:val="001B71C6"/>
    <w:rsid w:val="001B7682"/>
    <w:rsid w:val="001B7B84"/>
    <w:rsid w:val="001B7E46"/>
    <w:rsid w:val="001C102A"/>
    <w:rsid w:val="001C1146"/>
    <w:rsid w:val="001C1530"/>
    <w:rsid w:val="001C1552"/>
    <w:rsid w:val="001C1FF8"/>
    <w:rsid w:val="001C2AE9"/>
    <w:rsid w:val="001C2D00"/>
    <w:rsid w:val="001C2D5A"/>
    <w:rsid w:val="001C30D9"/>
    <w:rsid w:val="001C3345"/>
    <w:rsid w:val="001C364D"/>
    <w:rsid w:val="001C39AD"/>
    <w:rsid w:val="001C3A71"/>
    <w:rsid w:val="001C3B34"/>
    <w:rsid w:val="001C47D1"/>
    <w:rsid w:val="001C4AA0"/>
    <w:rsid w:val="001C50CF"/>
    <w:rsid w:val="001C5C2B"/>
    <w:rsid w:val="001C5CBE"/>
    <w:rsid w:val="001C5E43"/>
    <w:rsid w:val="001C5F72"/>
    <w:rsid w:val="001C61BF"/>
    <w:rsid w:val="001C65EB"/>
    <w:rsid w:val="001C70E4"/>
    <w:rsid w:val="001C730D"/>
    <w:rsid w:val="001C737E"/>
    <w:rsid w:val="001C77E7"/>
    <w:rsid w:val="001D0821"/>
    <w:rsid w:val="001D0C91"/>
    <w:rsid w:val="001D0C96"/>
    <w:rsid w:val="001D18B9"/>
    <w:rsid w:val="001D1F7F"/>
    <w:rsid w:val="001D2359"/>
    <w:rsid w:val="001D2C3F"/>
    <w:rsid w:val="001D3AA3"/>
    <w:rsid w:val="001D3BBE"/>
    <w:rsid w:val="001D44F6"/>
    <w:rsid w:val="001D4658"/>
    <w:rsid w:val="001D4C99"/>
    <w:rsid w:val="001D4ECC"/>
    <w:rsid w:val="001D528A"/>
    <w:rsid w:val="001D579E"/>
    <w:rsid w:val="001D5F59"/>
    <w:rsid w:val="001D6677"/>
    <w:rsid w:val="001D69A5"/>
    <w:rsid w:val="001D6A54"/>
    <w:rsid w:val="001D6D6B"/>
    <w:rsid w:val="001D7885"/>
    <w:rsid w:val="001D7AF1"/>
    <w:rsid w:val="001D7F1C"/>
    <w:rsid w:val="001E0B92"/>
    <w:rsid w:val="001E100E"/>
    <w:rsid w:val="001E1314"/>
    <w:rsid w:val="001E134E"/>
    <w:rsid w:val="001E180D"/>
    <w:rsid w:val="001E27EF"/>
    <w:rsid w:val="001E2D29"/>
    <w:rsid w:val="001E5005"/>
    <w:rsid w:val="001E57B5"/>
    <w:rsid w:val="001E5D80"/>
    <w:rsid w:val="001E5EC1"/>
    <w:rsid w:val="001E65CB"/>
    <w:rsid w:val="001E6D61"/>
    <w:rsid w:val="001E6F65"/>
    <w:rsid w:val="001E7484"/>
    <w:rsid w:val="001F0072"/>
    <w:rsid w:val="001F0178"/>
    <w:rsid w:val="001F0FAF"/>
    <w:rsid w:val="001F14D5"/>
    <w:rsid w:val="001F158E"/>
    <w:rsid w:val="001F17A4"/>
    <w:rsid w:val="001F1BA1"/>
    <w:rsid w:val="001F1D69"/>
    <w:rsid w:val="001F1E6E"/>
    <w:rsid w:val="001F2238"/>
    <w:rsid w:val="001F418E"/>
    <w:rsid w:val="001F420B"/>
    <w:rsid w:val="001F4DED"/>
    <w:rsid w:val="001F4FD8"/>
    <w:rsid w:val="001F51A2"/>
    <w:rsid w:val="001F524D"/>
    <w:rsid w:val="001F54B3"/>
    <w:rsid w:val="001F55E2"/>
    <w:rsid w:val="001F5C20"/>
    <w:rsid w:val="001F5D95"/>
    <w:rsid w:val="001F5F1D"/>
    <w:rsid w:val="001F6698"/>
    <w:rsid w:val="001F7AF8"/>
    <w:rsid w:val="001F7BA7"/>
    <w:rsid w:val="001F7C9B"/>
    <w:rsid w:val="0020003D"/>
    <w:rsid w:val="00200601"/>
    <w:rsid w:val="002009A9"/>
    <w:rsid w:val="00200A16"/>
    <w:rsid w:val="00200DC6"/>
    <w:rsid w:val="002013A0"/>
    <w:rsid w:val="00201BB4"/>
    <w:rsid w:val="0020247B"/>
    <w:rsid w:val="0020254E"/>
    <w:rsid w:val="0020275F"/>
    <w:rsid w:val="00202A5B"/>
    <w:rsid w:val="00202B3F"/>
    <w:rsid w:val="00202FF4"/>
    <w:rsid w:val="002035FD"/>
    <w:rsid w:val="00203682"/>
    <w:rsid w:val="002036C3"/>
    <w:rsid w:val="00204DCB"/>
    <w:rsid w:val="00205090"/>
    <w:rsid w:val="00205485"/>
    <w:rsid w:val="002057EA"/>
    <w:rsid w:val="002058B2"/>
    <w:rsid w:val="002059E9"/>
    <w:rsid w:val="00205DEB"/>
    <w:rsid w:val="002060E5"/>
    <w:rsid w:val="002068ED"/>
    <w:rsid w:val="00207182"/>
    <w:rsid w:val="002101DC"/>
    <w:rsid w:val="00210226"/>
    <w:rsid w:val="0021032A"/>
    <w:rsid w:val="0021079B"/>
    <w:rsid w:val="00210A88"/>
    <w:rsid w:val="00210ED6"/>
    <w:rsid w:val="002111A2"/>
    <w:rsid w:val="0021142D"/>
    <w:rsid w:val="00212424"/>
    <w:rsid w:val="0021255D"/>
    <w:rsid w:val="00212DD1"/>
    <w:rsid w:val="00212ECD"/>
    <w:rsid w:val="00213175"/>
    <w:rsid w:val="00213C95"/>
    <w:rsid w:val="00214928"/>
    <w:rsid w:val="00214C3C"/>
    <w:rsid w:val="00215D2C"/>
    <w:rsid w:val="00216342"/>
    <w:rsid w:val="002166B9"/>
    <w:rsid w:val="00216CEA"/>
    <w:rsid w:val="00217A34"/>
    <w:rsid w:val="00217FF8"/>
    <w:rsid w:val="0022049E"/>
    <w:rsid w:val="00220832"/>
    <w:rsid w:val="00221354"/>
    <w:rsid w:val="002219A8"/>
    <w:rsid w:val="00221D77"/>
    <w:rsid w:val="00222259"/>
    <w:rsid w:val="002226EA"/>
    <w:rsid w:val="002228A2"/>
    <w:rsid w:val="00222D3A"/>
    <w:rsid w:val="002230C4"/>
    <w:rsid w:val="00223D7D"/>
    <w:rsid w:val="00223DD0"/>
    <w:rsid w:val="00224015"/>
    <w:rsid w:val="00224FDB"/>
    <w:rsid w:val="0022533B"/>
    <w:rsid w:val="0022562E"/>
    <w:rsid w:val="00225638"/>
    <w:rsid w:val="00225A0F"/>
    <w:rsid w:val="00225F8F"/>
    <w:rsid w:val="00226156"/>
    <w:rsid w:val="002266C2"/>
    <w:rsid w:val="00226936"/>
    <w:rsid w:val="00226A59"/>
    <w:rsid w:val="00226B5D"/>
    <w:rsid w:val="00226C4B"/>
    <w:rsid w:val="00226E42"/>
    <w:rsid w:val="00226E53"/>
    <w:rsid w:val="0023023B"/>
    <w:rsid w:val="00230404"/>
    <w:rsid w:val="0023078D"/>
    <w:rsid w:val="00230B8F"/>
    <w:rsid w:val="00230D0E"/>
    <w:rsid w:val="00230D27"/>
    <w:rsid w:val="00230DDE"/>
    <w:rsid w:val="0023105C"/>
    <w:rsid w:val="00231544"/>
    <w:rsid w:val="00231707"/>
    <w:rsid w:val="00231759"/>
    <w:rsid w:val="00231D4C"/>
    <w:rsid w:val="00231F7B"/>
    <w:rsid w:val="00231FD6"/>
    <w:rsid w:val="002333C3"/>
    <w:rsid w:val="002335BA"/>
    <w:rsid w:val="00233AF4"/>
    <w:rsid w:val="00234274"/>
    <w:rsid w:val="00234731"/>
    <w:rsid w:val="0023513D"/>
    <w:rsid w:val="00235376"/>
    <w:rsid w:val="00235946"/>
    <w:rsid w:val="00236149"/>
    <w:rsid w:val="00236625"/>
    <w:rsid w:val="0023729B"/>
    <w:rsid w:val="0023741C"/>
    <w:rsid w:val="0023793A"/>
    <w:rsid w:val="00237BB9"/>
    <w:rsid w:val="00237D70"/>
    <w:rsid w:val="00237DB8"/>
    <w:rsid w:val="00240357"/>
    <w:rsid w:val="00240735"/>
    <w:rsid w:val="002407E0"/>
    <w:rsid w:val="00240B3B"/>
    <w:rsid w:val="0024127E"/>
    <w:rsid w:val="002419E3"/>
    <w:rsid w:val="00241DF1"/>
    <w:rsid w:val="0024261E"/>
    <w:rsid w:val="00242AEF"/>
    <w:rsid w:val="00242B06"/>
    <w:rsid w:val="002431FF"/>
    <w:rsid w:val="0024335B"/>
    <w:rsid w:val="00243994"/>
    <w:rsid w:val="00243BA6"/>
    <w:rsid w:val="0024437D"/>
    <w:rsid w:val="002444E1"/>
    <w:rsid w:val="0024455B"/>
    <w:rsid w:val="0024459D"/>
    <w:rsid w:val="0024501D"/>
    <w:rsid w:val="00245CC6"/>
    <w:rsid w:val="00245F23"/>
    <w:rsid w:val="00246CD3"/>
    <w:rsid w:val="0024709A"/>
    <w:rsid w:val="002473D4"/>
    <w:rsid w:val="002512EE"/>
    <w:rsid w:val="00251300"/>
    <w:rsid w:val="00251C60"/>
    <w:rsid w:val="002528AB"/>
    <w:rsid w:val="00252ECA"/>
    <w:rsid w:val="002535C0"/>
    <w:rsid w:val="0025361F"/>
    <w:rsid w:val="0025424E"/>
    <w:rsid w:val="00254ABB"/>
    <w:rsid w:val="00254E18"/>
    <w:rsid w:val="00255A60"/>
    <w:rsid w:val="00255D99"/>
    <w:rsid w:val="002561C0"/>
    <w:rsid w:val="002564AF"/>
    <w:rsid w:val="00256596"/>
    <w:rsid w:val="00256897"/>
    <w:rsid w:val="002571B8"/>
    <w:rsid w:val="00257424"/>
    <w:rsid w:val="00260226"/>
    <w:rsid w:val="002604BB"/>
    <w:rsid w:val="00260A71"/>
    <w:rsid w:val="00260E5C"/>
    <w:rsid w:val="0026103F"/>
    <w:rsid w:val="002614ED"/>
    <w:rsid w:val="002616A2"/>
    <w:rsid w:val="00261C88"/>
    <w:rsid w:val="00262365"/>
    <w:rsid w:val="00262A86"/>
    <w:rsid w:val="00262AD1"/>
    <w:rsid w:val="00263070"/>
    <w:rsid w:val="0026318A"/>
    <w:rsid w:val="002636E3"/>
    <w:rsid w:val="0026387E"/>
    <w:rsid w:val="00263EB4"/>
    <w:rsid w:val="00264048"/>
    <w:rsid w:val="00264546"/>
    <w:rsid w:val="0026457A"/>
    <w:rsid w:val="00264906"/>
    <w:rsid w:val="00265798"/>
    <w:rsid w:val="00266AFC"/>
    <w:rsid w:val="00266FBC"/>
    <w:rsid w:val="002670B2"/>
    <w:rsid w:val="00267DC3"/>
    <w:rsid w:val="002706D2"/>
    <w:rsid w:val="00270E51"/>
    <w:rsid w:val="00270FDA"/>
    <w:rsid w:val="00271387"/>
    <w:rsid w:val="00271525"/>
    <w:rsid w:val="0027171F"/>
    <w:rsid w:val="00271915"/>
    <w:rsid w:val="00271DDA"/>
    <w:rsid w:val="002721E7"/>
    <w:rsid w:val="00272636"/>
    <w:rsid w:val="00272A36"/>
    <w:rsid w:val="00272F64"/>
    <w:rsid w:val="00273260"/>
    <w:rsid w:val="002736CA"/>
    <w:rsid w:val="00273770"/>
    <w:rsid w:val="002740A5"/>
    <w:rsid w:val="002744EA"/>
    <w:rsid w:val="00274BBB"/>
    <w:rsid w:val="00274D6A"/>
    <w:rsid w:val="0027509F"/>
    <w:rsid w:val="00275104"/>
    <w:rsid w:val="00275218"/>
    <w:rsid w:val="0027537C"/>
    <w:rsid w:val="00276179"/>
    <w:rsid w:val="002764D9"/>
    <w:rsid w:val="002767C8"/>
    <w:rsid w:val="00276843"/>
    <w:rsid w:val="00276926"/>
    <w:rsid w:val="00276B3F"/>
    <w:rsid w:val="00277A5A"/>
    <w:rsid w:val="00280077"/>
    <w:rsid w:val="00281674"/>
    <w:rsid w:val="00283241"/>
    <w:rsid w:val="00283596"/>
    <w:rsid w:val="00284024"/>
    <w:rsid w:val="00284265"/>
    <w:rsid w:val="002848F9"/>
    <w:rsid w:val="00285D74"/>
    <w:rsid w:val="002868E3"/>
    <w:rsid w:val="00287403"/>
    <w:rsid w:val="0028742B"/>
    <w:rsid w:val="002876B2"/>
    <w:rsid w:val="00287895"/>
    <w:rsid w:val="00287B11"/>
    <w:rsid w:val="00287BC5"/>
    <w:rsid w:val="00290DD8"/>
    <w:rsid w:val="00291233"/>
    <w:rsid w:val="00291935"/>
    <w:rsid w:val="00292890"/>
    <w:rsid w:val="002932DA"/>
    <w:rsid w:val="0029338D"/>
    <w:rsid w:val="002936D2"/>
    <w:rsid w:val="002947C3"/>
    <w:rsid w:val="002947F4"/>
    <w:rsid w:val="00295289"/>
    <w:rsid w:val="00295685"/>
    <w:rsid w:val="002957E2"/>
    <w:rsid w:val="00295990"/>
    <w:rsid w:val="00296607"/>
    <w:rsid w:val="002966DC"/>
    <w:rsid w:val="00296D46"/>
    <w:rsid w:val="00296DA5"/>
    <w:rsid w:val="0029702D"/>
    <w:rsid w:val="00297316"/>
    <w:rsid w:val="00297998"/>
    <w:rsid w:val="00297A67"/>
    <w:rsid w:val="002A070B"/>
    <w:rsid w:val="002A153D"/>
    <w:rsid w:val="002A1736"/>
    <w:rsid w:val="002A2266"/>
    <w:rsid w:val="002A287E"/>
    <w:rsid w:val="002A30E8"/>
    <w:rsid w:val="002A3766"/>
    <w:rsid w:val="002A3C14"/>
    <w:rsid w:val="002A3CA9"/>
    <w:rsid w:val="002A3D1D"/>
    <w:rsid w:val="002A4632"/>
    <w:rsid w:val="002A4DFC"/>
    <w:rsid w:val="002A50C9"/>
    <w:rsid w:val="002A5ABD"/>
    <w:rsid w:val="002A61D6"/>
    <w:rsid w:val="002A6473"/>
    <w:rsid w:val="002A656B"/>
    <w:rsid w:val="002A6F69"/>
    <w:rsid w:val="002A7009"/>
    <w:rsid w:val="002A7069"/>
    <w:rsid w:val="002A780D"/>
    <w:rsid w:val="002B01BB"/>
    <w:rsid w:val="002B0ED6"/>
    <w:rsid w:val="002B1032"/>
    <w:rsid w:val="002B104F"/>
    <w:rsid w:val="002B10CA"/>
    <w:rsid w:val="002B227B"/>
    <w:rsid w:val="002B2D61"/>
    <w:rsid w:val="002B3029"/>
    <w:rsid w:val="002B34DD"/>
    <w:rsid w:val="002B3EBB"/>
    <w:rsid w:val="002B3EC2"/>
    <w:rsid w:val="002B3FBE"/>
    <w:rsid w:val="002B45B1"/>
    <w:rsid w:val="002B4730"/>
    <w:rsid w:val="002B4829"/>
    <w:rsid w:val="002B49A0"/>
    <w:rsid w:val="002B5013"/>
    <w:rsid w:val="002B54BE"/>
    <w:rsid w:val="002B589D"/>
    <w:rsid w:val="002B5B82"/>
    <w:rsid w:val="002B5DF6"/>
    <w:rsid w:val="002B6177"/>
    <w:rsid w:val="002B6DB1"/>
    <w:rsid w:val="002B6E53"/>
    <w:rsid w:val="002B7485"/>
    <w:rsid w:val="002B7826"/>
    <w:rsid w:val="002B78D4"/>
    <w:rsid w:val="002B78E2"/>
    <w:rsid w:val="002B7E65"/>
    <w:rsid w:val="002C083D"/>
    <w:rsid w:val="002C09BE"/>
    <w:rsid w:val="002C0BA6"/>
    <w:rsid w:val="002C0D39"/>
    <w:rsid w:val="002C1087"/>
    <w:rsid w:val="002C1D67"/>
    <w:rsid w:val="002C1E9B"/>
    <w:rsid w:val="002C23B3"/>
    <w:rsid w:val="002C51C1"/>
    <w:rsid w:val="002C5832"/>
    <w:rsid w:val="002C592F"/>
    <w:rsid w:val="002C6650"/>
    <w:rsid w:val="002C7C16"/>
    <w:rsid w:val="002C7E88"/>
    <w:rsid w:val="002D0469"/>
    <w:rsid w:val="002D1CE5"/>
    <w:rsid w:val="002D1D67"/>
    <w:rsid w:val="002D1E82"/>
    <w:rsid w:val="002D2103"/>
    <w:rsid w:val="002D27D8"/>
    <w:rsid w:val="002D2ED8"/>
    <w:rsid w:val="002D3021"/>
    <w:rsid w:val="002D3A69"/>
    <w:rsid w:val="002D3ED2"/>
    <w:rsid w:val="002D48EC"/>
    <w:rsid w:val="002D49CD"/>
    <w:rsid w:val="002D4FF4"/>
    <w:rsid w:val="002D5620"/>
    <w:rsid w:val="002D5C37"/>
    <w:rsid w:val="002D5CA4"/>
    <w:rsid w:val="002D5D08"/>
    <w:rsid w:val="002D5F85"/>
    <w:rsid w:val="002D620F"/>
    <w:rsid w:val="002D6931"/>
    <w:rsid w:val="002D6943"/>
    <w:rsid w:val="002D72C0"/>
    <w:rsid w:val="002D734A"/>
    <w:rsid w:val="002D770B"/>
    <w:rsid w:val="002D7B94"/>
    <w:rsid w:val="002E0120"/>
    <w:rsid w:val="002E051F"/>
    <w:rsid w:val="002E05CC"/>
    <w:rsid w:val="002E0786"/>
    <w:rsid w:val="002E1518"/>
    <w:rsid w:val="002E1766"/>
    <w:rsid w:val="002E18D3"/>
    <w:rsid w:val="002E1D48"/>
    <w:rsid w:val="002E2545"/>
    <w:rsid w:val="002E2C1E"/>
    <w:rsid w:val="002E37D0"/>
    <w:rsid w:val="002E3DA6"/>
    <w:rsid w:val="002E3F73"/>
    <w:rsid w:val="002E42E5"/>
    <w:rsid w:val="002E42FC"/>
    <w:rsid w:val="002E4403"/>
    <w:rsid w:val="002E59E7"/>
    <w:rsid w:val="002E5C44"/>
    <w:rsid w:val="002E5C57"/>
    <w:rsid w:val="002E63B7"/>
    <w:rsid w:val="002E67AC"/>
    <w:rsid w:val="002E6972"/>
    <w:rsid w:val="002E6A65"/>
    <w:rsid w:val="002E76CB"/>
    <w:rsid w:val="002F0446"/>
    <w:rsid w:val="002F07C5"/>
    <w:rsid w:val="002F10E3"/>
    <w:rsid w:val="002F20A2"/>
    <w:rsid w:val="002F20EA"/>
    <w:rsid w:val="002F2249"/>
    <w:rsid w:val="002F2538"/>
    <w:rsid w:val="002F2D7E"/>
    <w:rsid w:val="002F2F2F"/>
    <w:rsid w:val="002F3137"/>
    <w:rsid w:val="002F3DE3"/>
    <w:rsid w:val="002F3E81"/>
    <w:rsid w:val="002F4388"/>
    <w:rsid w:val="002F4600"/>
    <w:rsid w:val="002F48DF"/>
    <w:rsid w:val="002F4F74"/>
    <w:rsid w:val="002F54D4"/>
    <w:rsid w:val="002F551F"/>
    <w:rsid w:val="002F5EAF"/>
    <w:rsid w:val="002F5F07"/>
    <w:rsid w:val="002F64EB"/>
    <w:rsid w:val="002F6A9A"/>
    <w:rsid w:val="002F6AC2"/>
    <w:rsid w:val="002F70EB"/>
    <w:rsid w:val="002F77E7"/>
    <w:rsid w:val="002F77F9"/>
    <w:rsid w:val="002F78B9"/>
    <w:rsid w:val="002F78F8"/>
    <w:rsid w:val="002F7D24"/>
    <w:rsid w:val="00300479"/>
    <w:rsid w:val="0030058E"/>
    <w:rsid w:val="003010C0"/>
    <w:rsid w:val="00301A2B"/>
    <w:rsid w:val="00301A5C"/>
    <w:rsid w:val="00301E6D"/>
    <w:rsid w:val="00301EB2"/>
    <w:rsid w:val="00301ECD"/>
    <w:rsid w:val="003027DC"/>
    <w:rsid w:val="00302887"/>
    <w:rsid w:val="00302B1C"/>
    <w:rsid w:val="00302EA0"/>
    <w:rsid w:val="00302FCB"/>
    <w:rsid w:val="003039C5"/>
    <w:rsid w:val="00303A68"/>
    <w:rsid w:val="00303F79"/>
    <w:rsid w:val="00303F93"/>
    <w:rsid w:val="0030441C"/>
    <w:rsid w:val="003048A7"/>
    <w:rsid w:val="00305A61"/>
    <w:rsid w:val="00305B04"/>
    <w:rsid w:val="003068FD"/>
    <w:rsid w:val="00306DF6"/>
    <w:rsid w:val="00310225"/>
    <w:rsid w:val="003103AB"/>
    <w:rsid w:val="00310BF9"/>
    <w:rsid w:val="00310DB0"/>
    <w:rsid w:val="003113F1"/>
    <w:rsid w:val="003117F8"/>
    <w:rsid w:val="00312908"/>
    <w:rsid w:val="00312A05"/>
    <w:rsid w:val="00312AFC"/>
    <w:rsid w:val="0031301A"/>
    <w:rsid w:val="003132D7"/>
    <w:rsid w:val="00313761"/>
    <w:rsid w:val="0031463A"/>
    <w:rsid w:val="00314DB8"/>
    <w:rsid w:val="0031557A"/>
    <w:rsid w:val="00315CE6"/>
    <w:rsid w:val="003165C7"/>
    <w:rsid w:val="003168DE"/>
    <w:rsid w:val="00316ACA"/>
    <w:rsid w:val="003170A7"/>
    <w:rsid w:val="00317350"/>
    <w:rsid w:val="00317DB6"/>
    <w:rsid w:val="00320B71"/>
    <w:rsid w:val="00321007"/>
    <w:rsid w:val="00321365"/>
    <w:rsid w:val="00321519"/>
    <w:rsid w:val="00321D49"/>
    <w:rsid w:val="003221C8"/>
    <w:rsid w:val="003225B5"/>
    <w:rsid w:val="00322ECB"/>
    <w:rsid w:val="003232B9"/>
    <w:rsid w:val="003234DC"/>
    <w:rsid w:val="003235AA"/>
    <w:rsid w:val="003235AB"/>
    <w:rsid w:val="00323DCF"/>
    <w:rsid w:val="003241DF"/>
    <w:rsid w:val="00324629"/>
    <w:rsid w:val="003249CD"/>
    <w:rsid w:val="00324B7D"/>
    <w:rsid w:val="00324D54"/>
    <w:rsid w:val="003251D5"/>
    <w:rsid w:val="0032549F"/>
    <w:rsid w:val="00325840"/>
    <w:rsid w:val="00325C5C"/>
    <w:rsid w:val="00327498"/>
    <w:rsid w:val="00327632"/>
    <w:rsid w:val="00327A28"/>
    <w:rsid w:val="00327CF5"/>
    <w:rsid w:val="00327EBA"/>
    <w:rsid w:val="003301A2"/>
    <w:rsid w:val="00330A50"/>
    <w:rsid w:val="00330B6C"/>
    <w:rsid w:val="00330C0C"/>
    <w:rsid w:val="00330E7A"/>
    <w:rsid w:val="00331365"/>
    <w:rsid w:val="0033193D"/>
    <w:rsid w:val="0033221A"/>
    <w:rsid w:val="00332530"/>
    <w:rsid w:val="003326BC"/>
    <w:rsid w:val="00332A5E"/>
    <w:rsid w:val="00332D17"/>
    <w:rsid w:val="00333903"/>
    <w:rsid w:val="0033396C"/>
    <w:rsid w:val="00333C83"/>
    <w:rsid w:val="0033413C"/>
    <w:rsid w:val="003341AB"/>
    <w:rsid w:val="003343E6"/>
    <w:rsid w:val="00334422"/>
    <w:rsid w:val="00334B95"/>
    <w:rsid w:val="00334D5E"/>
    <w:rsid w:val="0033518B"/>
    <w:rsid w:val="00336027"/>
    <w:rsid w:val="003363EC"/>
    <w:rsid w:val="00336575"/>
    <w:rsid w:val="00337221"/>
    <w:rsid w:val="00337D5B"/>
    <w:rsid w:val="00337DC0"/>
    <w:rsid w:val="00337EE3"/>
    <w:rsid w:val="00340153"/>
    <w:rsid w:val="00340176"/>
    <w:rsid w:val="003406D8"/>
    <w:rsid w:val="00340752"/>
    <w:rsid w:val="00340A90"/>
    <w:rsid w:val="003411C0"/>
    <w:rsid w:val="00341333"/>
    <w:rsid w:val="003417D8"/>
    <w:rsid w:val="00341AA3"/>
    <w:rsid w:val="00341DF8"/>
    <w:rsid w:val="00341E51"/>
    <w:rsid w:val="00342071"/>
    <w:rsid w:val="0034211F"/>
    <w:rsid w:val="00342413"/>
    <w:rsid w:val="0034283C"/>
    <w:rsid w:val="003429E0"/>
    <w:rsid w:val="00342EA2"/>
    <w:rsid w:val="00343D0E"/>
    <w:rsid w:val="00343EE6"/>
    <w:rsid w:val="0034491F"/>
    <w:rsid w:val="00344B47"/>
    <w:rsid w:val="00344D15"/>
    <w:rsid w:val="003458DD"/>
    <w:rsid w:val="003460F9"/>
    <w:rsid w:val="003464D7"/>
    <w:rsid w:val="0034677E"/>
    <w:rsid w:val="0034686E"/>
    <w:rsid w:val="003471ED"/>
    <w:rsid w:val="00347BF4"/>
    <w:rsid w:val="00347C68"/>
    <w:rsid w:val="00347ECD"/>
    <w:rsid w:val="003504B9"/>
    <w:rsid w:val="003505B5"/>
    <w:rsid w:val="003506E3"/>
    <w:rsid w:val="003506EB"/>
    <w:rsid w:val="003510F5"/>
    <w:rsid w:val="0035136A"/>
    <w:rsid w:val="00351E73"/>
    <w:rsid w:val="003522D7"/>
    <w:rsid w:val="00352A5E"/>
    <w:rsid w:val="00352BE2"/>
    <w:rsid w:val="00352CB2"/>
    <w:rsid w:val="0035327D"/>
    <w:rsid w:val="00353C8A"/>
    <w:rsid w:val="00353DC7"/>
    <w:rsid w:val="00354DB0"/>
    <w:rsid w:val="00354E39"/>
    <w:rsid w:val="00355320"/>
    <w:rsid w:val="00355460"/>
    <w:rsid w:val="0035605A"/>
    <w:rsid w:val="00356410"/>
    <w:rsid w:val="003571A5"/>
    <w:rsid w:val="0035768A"/>
    <w:rsid w:val="00357971"/>
    <w:rsid w:val="00357B39"/>
    <w:rsid w:val="00360801"/>
    <w:rsid w:val="0036147D"/>
    <w:rsid w:val="00361A80"/>
    <w:rsid w:val="00361EEB"/>
    <w:rsid w:val="0036230A"/>
    <w:rsid w:val="003629B9"/>
    <w:rsid w:val="00362BAA"/>
    <w:rsid w:val="00362D23"/>
    <w:rsid w:val="00363573"/>
    <w:rsid w:val="00363A21"/>
    <w:rsid w:val="003642C0"/>
    <w:rsid w:val="00364FC8"/>
    <w:rsid w:val="00365193"/>
    <w:rsid w:val="00365254"/>
    <w:rsid w:val="00365B63"/>
    <w:rsid w:val="00365D86"/>
    <w:rsid w:val="003661F7"/>
    <w:rsid w:val="003663FC"/>
    <w:rsid w:val="00366669"/>
    <w:rsid w:val="00366EFB"/>
    <w:rsid w:val="00367FB5"/>
    <w:rsid w:val="00370017"/>
    <w:rsid w:val="00370A71"/>
    <w:rsid w:val="00370F6C"/>
    <w:rsid w:val="00371410"/>
    <w:rsid w:val="0037186D"/>
    <w:rsid w:val="00371D8D"/>
    <w:rsid w:val="0037211F"/>
    <w:rsid w:val="00372383"/>
    <w:rsid w:val="00373051"/>
    <w:rsid w:val="0037340D"/>
    <w:rsid w:val="00374B19"/>
    <w:rsid w:val="003751AF"/>
    <w:rsid w:val="003754F6"/>
    <w:rsid w:val="003757BF"/>
    <w:rsid w:val="0037602C"/>
    <w:rsid w:val="00376DF9"/>
    <w:rsid w:val="00377858"/>
    <w:rsid w:val="00380A88"/>
    <w:rsid w:val="00380B08"/>
    <w:rsid w:val="0038125D"/>
    <w:rsid w:val="00382345"/>
    <w:rsid w:val="00382ABA"/>
    <w:rsid w:val="00382EEC"/>
    <w:rsid w:val="003837E2"/>
    <w:rsid w:val="00384082"/>
    <w:rsid w:val="00384BF0"/>
    <w:rsid w:val="00384ECD"/>
    <w:rsid w:val="00384EEC"/>
    <w:rsid w:val="003862A8"/>
    <w:rsid w:val="003864B5"/>
    <w:rsid w:val="00387167"/>
    <w:rsid w:val="00387559"/>
    <w:rsid w:val="00387E17"/>
    <w:rsid w:val="00387E75"/>
    <w:rsid w:val="00390069"/>
    <w:rsid w:val="00390185"/>
    <w:rsid w:val="003904DE"/>
    <w:rsid w:val="003906E3"/>
    <w:rsid w:val="00390773"/>
    <w:rsid w:val="003907CC"/>
    <w:rsid w:val="003909E6"/>
    <w:rsid w:val="00390B06"/>
    <w:rsid w:val="00391391"/>
    <w:rsid w:val="00391D43"/>
    <w:rsid w:val="00391EB7"/>
    <w:rsid w:val="003922D9"/>
    <w:rsid w:val="0039246B"/>
    <w:rsid w:val="0039256D"/>
    <w:rsid w:val="0039262F"/>
    <w:rsid w:val="00392A20"/>
    <w:rsid w:val="00392A84"/>
    <w:rsid w:val="00392C7B"/>
    <w:rsid w:val="00392C93"/>
    <w:rsid w:val="00392EF1"/>
    <w:rsid w:val="00393B62"/>
    <w:rsid w:val="00394393"/>
    <w:rsid w:val="00394449"/>
    <w:rsid w:val="003945A2"/>
    <w:rsid w:val="00394865"/>
    <w:rsid w:val="003951D5"/>
    <w:rsid w:val="00395A79"/>
    <w:rsid w:val="0039604B"/>
    <w:rsid w:val="00396405"/>
    <w:rsid w:val="00396808"/>
    <w:rsid w:val="00396A3D"/>
    <w:rsid w:val="00396D38"/>
    <w:rsid w:val="00396F53"/>
    <w:rsid w:val="00397100"/>
    <w:rsid w:val="003971BB"/>
    <w:rsid w:val="003A0843"/>
    <w:rsid w:val="003A0F35"/>
    <w:rsid w:val="003A149D"/>
    <w:rsid w:val="003A16F8"/>
    <w:rsid w:val="003A270E"/>
    <w:rsid w:val="003A3092"/>
    <w:rsid w:val="003A4F5C"/>
    <w:rsid w:val="003A511E"/>
    <w:rsid w:val="003A51EB"/>
    <w:rsid w:val="003A5487"/>
    <w:rsid w:val="003A5B6E"/>
    <w:rsid w:val="003A6395"/>
    <w:rsid w:val="003A65C3"/>
    <w:rsid w:val="003A752D"/>
    <w:rsid w:val="003A7C92"/>
    <w:rsid w:val="003A7E83"/>
    <w:rsid w:val="003A7E99"/>
    <w:rsid w:val="003B00D6"/>
    <w:rsid w:val="003B0808"/>
    <w:rsid w:val="003B08EB"/>
    <w:rsid w:val="003B0A2F"/>
    <w:rsid w:val="003B0EF0"/>
    <w:rsid w:val="003B11E2"/>
    <w:rsid w:val="003B2864"/>
    <w:rsid w:val="003B293A"/>
    <w:rsid w:val="003B2C54"/>
    <w:rsid w:val="003B318D"/>
    <w:rsid w:val="003B38D1"/>
    <w:rsid w:val="003B40CD"/>
    <w:rsid w:val="003B424F"/>
    <w:rsid w:val="003B4605"/>
    <w:rsid w:val="003B4AA4"/>
    <w:rsid w:val="003B506E"/>
    <w:rsid w:val="003B52D8"/>
    <w:rsid w:val="003B5754"/>
    <w:rsid w:val="003B5B2A"/>
    <w:rsid w:val="003B5C38"/>
    <w:rsid w:val="003B6330"/>
    <w:rsid w:val="003C047E"/>
    <w:rsid w:val="003C0523"/>
    <w:rsid w:val="003C06AB"/>
    <w:rsid w:val="003C1520"/>
    <w:rsid w:val="003C1749"/>
    <w:rsid w:val="003C175D"/>
    <w:rsid w:val="003C183D"/>
    <w:rsid w:val="003C1E57"/>
    <w:rsid w:val="003C204A"/>
    <w:rsid w:val="003C232E"/>
    <w:rsid w:val="003C269C"/>
    <w:rsid w:val="003C2E3F"/>
    <w:rsid w:val="003C2FA7"/>
    <w:rsid w:val="003C32E5"/>
    <w:rsid w:val="003C3807"/>
    <w:rsid w:val="003C384E"/>
    <w:rsid w:val="003C3D20"/>
    <w:rsid w:val="003C41B9"/>
    <w:rsid w:val="003C46D2"/>
    <w:rsid w:val="003C4D16"/>
    <w:rsid w:val="003C4E11"/>
    <w:rsid w:val="003C4E41"/>
    <w:rsid w:val="003C4F21"/>
    <w:rsid w:val="003C5E89"/>
    <w:rsid w:val="003C6524"/>
    <w:rsid w:val="003C6630"/>
    <w:rsid w:val="003C69AE"/>
    <w:rsid w:val="003C6A36"/>
    <w:rsid w:val="003C6E30"/>
    <w:rsid w:val="003C7017"/>
    <w:rsid w:val="003C705E"/>
    <w:rsid w:val="003C70DB"/>
    <w:rsid w:val="003C7240"/>
    <w:rsid w:val="003C7C4B"/>
    <w:rsid w:val="003C7FD6"/>
    <w:rsid w:val="003D00C5"/>
    <w:rsid w:val="003D1111"/>
    <w:rsid w:val="003D128E"/>
    <w:rsid w:val="003D138F"/>
    <w:rsid w:val="003D17A3"/>
    <w:rsid w:val="003D1FE5"/>
    <w:rsid w:val="003D21AF"/>
    <w:rsid w:val="003D249D"/>
    <w:rsid w:val="003D277B"/>
    <w:rsid w:val="003D293C"/>
    <w:rsid w:val="003D36BC"/>
    <w:rsid w:val="003D40F3"/>
    <w:rsid w:val="003D4B91"/>
    <w:rsid w:val="003D4ECD"/>
    <w:rsid w:val="003D55BA"/>
    <w:rsid w:val="003D5942"/>
    <w:rsid w:val="003D5B05"/>
    <w:rsid w:val="003D5CBA"/>
    <w:rsid w:val="003D5E1E"/>
    <w:rsid w:val="003D5F6A"/>
    <w:rsid w:val="003D645E"/>
    <w:rsid w:val="003D69F9"/>
    <w:rsid w:val="003D6F40"/>
    <w:rsid w:val="003D700F"/>
    <w:rsid w:val="003D79CC"/>
    <w:rsid w:val="003E0325"/>
    <w:rsid w:val="003E0D6D"/>
    <w:rsid w:val="003E18A0"/>
    <w:rsid w:val="003E29D6"/>
    <w:rsid w:val="003E2C3E"/>
    <w:rsid w:val="003E3408"/>
    <w:rsid w:val="003E3676"/>
    <w:rsid w:val="003E36AE"/>
    <w:rsid w:val="003E4583"/>
    <w:rsid w:val="003E4AF7"/>
    <w:rsid w:val="003E4B64"/>
    <w:rsid w:val="003E50D3"/>
    <w:rsid w:val="003E5236"/>
    <w:rsid w:val="003E58DD"/>
    <w:rsid w:val="003E5ABF"/>
    <w:rsid w:val="003E5FAA"/>
    <w:rsid w:val="003E63EB"/>
    <w:rsid w:val="003E6537"/>
    <w:rsid w:val="003E74CC"/>
    <w:rsid w:val="003E7517"/>
    <w:rsid w:val="003E76F2"/>
    <w:rsid w:val="003F0782"/>
    <w:rsid w:val="003F0E11"/>
    <w:rsid w:val="003F132A"/>
    <w:rsid w:val="003F1431"/>
    <w:rsid w:val="003F2269"/>
    <w:rsid w:val="003F2929"/>
    <w:rsid w:val="003F3203"/>
    <w:rsid w:val="003F34E7"/>
    <w:rsid w:val="003F3A7E"/>
    <w:rsid w:val="003F5998"/>
    <w:rsid w:val="003F5A39"/>
    <w:rsid w:val="003F5E22"/>
    <w:rsid w:val="003F6C88"/>
    <w:rsid w:val="003F7D39"/>
    <w:rsid w:val="004002A1"/>
    <w:rsid w:val="0040102B"/>
    <w:rsid w:val="004012C9"/>
    <w:rsid w:val="0040131D"/>
    <w:rsid w:val="00401382"/>
    <w:rsid w:val="00401FB3"/>
    <w:rsid w:val="00402166"/>
    <w:rsid w:val="00402655"/>
    <w:rsid w:val="004029ED"/>
    <w:rsid w:val="004031CE"/>
    <w:rsid w:val="0040350B"/>
    <w:rsid w:val="00403ED0"/>
    <w:rsid w:val="0040400C"/>
    <w:rsid w:val="004045DA"/>
    <w:rsid w:val="00405B43"/>
    <w:rsid w:val="00405E02"/>
    <w:rsid w:val="004060FB"/>
    <w:rsid w:val="0040673B"/>
    <w:rsid w:val="00406A1F"/>
    <w:rsid w:val="004101C7"/>
    <w:rsid w:val="004107F1"/>
    <w:rsid w:val="0041089E"/>
    <w:rsid w:val="00411C98"/>
    <w:rsid w:val="00412131"/>
    <w:rsid w:val="00412831"/>
    <w:rsid w:val="004128BC"/>
    <w:rsid w:val="00412924"/>
    <w:rsid w:val="0041299B"/>
    <w:rsid w:val="00412A3B"/>
    <w:rsid w:val="00412F8F"/>
    <w:rsid w:val="00413732"/>
    <w:rsid w:val="00413DAB"/>
    <w:rsid w:val="00413F78"/>
    <w:rsid w:val="00414517"/>
    <w:rsid w:val="004155A2"/>
    <w:rsid w:val="004157F6"/>
    <w:rsid w:val="004158F9"/>
    <w:rsid w:val="0041592B"/>
    <w:rsid w:val="00415A65"/>
    <w:rsid w:val="00415B9F"/>
    <w:rsid w:val="00415C96"/>
    <w:rsid w:val="00415FA2"/>
    <w:rsid w:val="00415FF8"/>
    <w:rsid w:val="00416173"/>
    <w:rsid w:val="00416945"/>
    <w:rsid w:val="00417603"/>
    <w:rsid w:val="00417A87"/>
    <w:rsid w:val="00417B24"/>
    <w:rsid w:val="00417F86"/>
    <w:rsid w:val="00420465"/>
    <w:rsid w:val="00420653"/>
    <w:rsid w:val="00420740"/>
    <w:rsid w:val="00420D83"/>
    <w:rsid w:val="00422178"/>
    <w:rsid w:val="00422229"/>
    <w:rsid w:val="004226C5"/>
    <w:rsid w:val="004227BA"/>
    <w:rsid w:val="00422C5C"/>
    <w:rsid w:val="00422C79"/>
    <w:rsid w:val="0042303A"/>
    <w:rsid w:val="004233AC"/>
    <w:rsid w:val="00423551"/>
    <w:rsid w:val="004237DE"/>
    <w:rsid w:val="00423A99"/>
    <w:rsid w:val="00423D2F"/>
    <w:rsid w:val="004243BB"/>
    <w:rsid w:val="00424658"/>
    <w:rsid w:val="00424845"/>
    <w:rsid w:val="00424876"/>
    <w:rsid w:val="00425A23"/>
    <w:rsid w:val="00425BBA"/>
    <w:rsid w:val="00426019"/>
    <w:rsid w:val="004263C3"/>
    <w:rsid w:val="004263CF"/>
    <w:rsid w:val="00426D8D"/>
    <w:rsid w:val="00426F6A"/>
    <w:rsid w:val="00427502"/>
    <w:rsid w:val="00427E76"/>
    <w:rsid w:val="00430BDD"/>
    <w:rsid w:val="00430BEE"/>
    <w:rsid w:val="00430C1D"/>
    <w:rsid w:val="00430C97"/>
    <w:rsid w:val="004312AD"/>
    <w:rsid w:val="00431467"/>
    <w:rsid w:val="00431753"/>
    <w:rsid w:val="00431D51"/>
    <w:rsid w:val="00431EC1"/>
    <w:rsid w:val="00432967"/>
    <w:rsid w:val="00432E86"/>
    <w:rsid w:val="004334EA"/>
    <w:rsid w:val="0043366F"/>
    <w:rsid w:val="00433AF9"/>
    <w:rsid w:val="00433EF6"/>
    <w:rsid w:val="00435309"/>
    <w:rsid w:val="00435528"/>
    <w:rsid w:val="00435B12"/>
    <w:rsid w:val="00436758"/>
    <w:rsid w:val="00436A7A"/>
    <w:rsid w:val="00436EEA"/>
    <w:rsid w:val="00437970"/>
    <w:rsid w:val="00437DFD"/>
    <w:rsid w:val="0044037D"/>
    <w:rsid w:val="004403CF"/>
    <w:rsid w:val="0044060B"/>
    <w:rsid w:val="0044091A"/>
    <w:rsid w:val="00440F9A"/>
    <w:rsid w:val="004418B6"/>
    <w:rsid w:val="00441CB4"/>
    <w:rsid w:val="004432B2"/>
    <w:rsid w:val="004434BC"/>
    <w:rsid w:val="00443F3F"/>
    <w:rsid w:val="004445B8"/>
    <w:rsid w:val="004446C4"/>
    <w:rsid w:val="00444926"/>
    <w:rsid w:val="00444945"/>
    <w:rsid w:val="004449E8"/>
    <w:rsid w:val="00444B68"/>
    <w:rsid w:val="0045014B"/>
    <w:rsid w:val="00450661"/>
    <w:rsid w:val="00451FFB"/>
    <w:rsid w:val="0045227E"/>
    <w:rsid w:val="004527F1"/>
    <w:rsid w:val="00452A86"/>
    <w:rsid w:val="00453139"/>
    <w:rsid w:val="0045321D"/>
    <w:rsid w:val="004534FE"/>
    <w:rsid w:val="0045399A"/>
    <w:rsid w:val="004546B5"/>
    <w:rsid w:val="00454B20"/>
    <w:rsid w:val="00454DD1"/>
    <w:rsid w:val="00455392"/>
    <w:rsid w:val="004553F9"/>
    <w:rsid w:val="00455ECB"/>
    <w:rsid w:val="004567EA"/>
    <w:rsid w:val="00456BEB"/>
    <w:rsid w:val="00457B2A"/>
    <w:rsid w:val="0046067D"/>
    <w:rsid w:val="00460741"/>
    <w:rsid w:val="00460EF8"/>
    <w:rsid w:val="00462407"/>
    <w:rsid w:val="004624DE"/>
    <w:rsid w:val="004628DE"/>
    <w:rsid w:val="00463EE3"/>
    <w:rsid w:val="00464243"/>
    <w:rsid w:val="00464B8D"/>
    <w:rsid w:val="00465235"/>
    <w:rsid w:val="00465281"/>
    <w:rsid w:val="00465D1F"/>
    <w:rsid w:val="00465F58"/>
    <w:rsid w:val="00467543"/>
    <w:rsid w:val="004677E7"/>
    <w:rsid w:val="004677EB"/>
    <w:rsid w:val="00470056"/>
    <w:rsid w:val="004702EA"/>
    <w:rsid w:val="0047034E"/>
    <w:rsid w:val="004703FF"/>
    <w:rsid w:val="00470B97"/>
    <w:rsid w:val="0047162B"/>
    <w:rsid w:val="00471E0B"/>
    <w:rsid w:val="00471E8F"/>
    <w:rsid w:val="00472243"/>
    <w:rsid w:val="00472885"/>
    <w:rsid w:val="004729FC"/>
    <w:rsid w:val="00472D06"/>
    <w:rsid w:val="004735D9"/>
    <w:rsid w:val="004737B8"/>
    <w:rsid w:val="00473BEF"/>
    <w:rsid w:val="00474FD8"/>
    <w:rsid w:val="00475168"/>
    <w:rsid w:val="0047527D"/>
    <w:rsid w:val="004757A0"/>
    <w:rsid w:val="004758BB"/>
    <w:rsid w:val="00475CEE"/>
    <w:rsid w:val="00476400"/>
    <w:rsid w:val="00476F68"/>
    <w:rsid w:val="004774FD"/>
    <w:rsid w:val="00477A86"/>
    <w:rsid w:val="00477CA2"/>
    <w:rsid w:val="00480857"/>
    <w:rsid w:val="00480E31"/>
    <w:rsid w:val="004814FC"/>
    <w:rsid w:val="00481AB8"/>
    <w:rsid w:val="004820C0"/>
    <w:rsid w:val="00483F6C"/>
    <w:rsid w:val="004848D4"/>
    <w:rsid w:val="00484EC3"/>
    <w:rsid w:val="004855B1"/>
    <w:rsid w:val="004859EC"/>
    <w:rsid w:val="00485ADA"/>
    <w:rsid w:val="00485ADC"/>
    <w:rsid w:val="00485FB1"/>
    <w:rsid w:val="004870BC"/>
    <w:rsid w:val="004875B9"/>
    <w:rsid w:val="004876DE"/>
    <w:rsid w:val="004877EF"/>
    <w:rsid w:val="00487F15"/>
    <w:rsid w:val="00490215"/>
    <w:rsid w:val="00490526"/>
    <w:rsid w:val="004905E9"/>
    <w:rsid w:val="004907F4"/>
    <w:rsid w:val="00490F8C"/>
    <w:rsid w:val="00490FC3"/>
    <w:rsid w:val="00491CB3"/>
    <w:rsid w:val="004920D2"/>
    <w:rsid w:val="00492EFF"/>
    <w:rsid w:val="00493EF1"/>
    <w:rsid w:val="00494806"/>
    <w:rsid w:val="0049498B"/>
    <w:rsid w:val="0049560D"/>
    <w:rsid w:val="004958AE"/>
    <w:rsid w:val="00495A75"/>
    <w:rsid w:val="00496676"/>
    <w:rsid w:val="004968E7"/>
    <w:rsid w:val="00496B84"/>
    <w:rsid w:val="004975AC"/>
    <w:rsid w:val="00497B91"/>
    <w:rsid w:val="004A04E2"/>
    <w:rsid w:val="004A0520"/>
    <w:rsid w:val="004A0874"/>
    <w:rsid w:val="004A095C"/>
    <w:rsid w:val="004A0AD2"/>
    <w:rsid w:val="004A0B9C"/>
    <w:rsid w:val="004A15C1"/>
    <w:rsid w:val="004A1887"/>
    <w:rsid w:val="004A214A"/>
    <w:rsid w:val="004A2ADA"/>
    <w:rsid w:val="004A2FCE"/>
    <w:rsid w:val="004A3B2B"/>
    <w:rsid w:val="004A41C2"/>
    <w:rsid w:val="004A4332"/>
    <w:rsid w:val="004A5840"/>
    <w:rsid w:val="004A5C8F"/>
    <w:rsid w:val="004A626E"/>
    <w:rsid w:val="004A63AA"/>
    <w:rsid w:val="004A6D46"/>
    <w:rsid w:val="004A71F7"/>
    <w:rsid w:val="004A749F"/>
    <w:rsid w:val="004A7915"/>
    <w:rsid w:val="004A7BC0"/>
    <w:rsid w:val="004A7D1F"/>
    <w:rsid w:val="004A7E18"/>
    <w:rsid w:val="004B0346"/>
    <w:rsid w:val="004B061E"/>
    <w:rsid w:val="004B068B"/>
    <w:rsid w:val="004B0CB8"/>
    <w:rsid w:val="004B1670"/>
    <w:rsid w:val="004B16EE"/>
    <w:rsid w:val="004B1E6A"/>
    <w:rsid w:val="004B218E"/>
    <w:rsid w:val="004B227E"/>
    <w:rsid w:val="004B27CD"/>
    <w:rsid w:val="004B3E48"/>
    <w:rsid w:val="004B3FF5"/>
    <w:rsid w:val="004B4490"/>
    <w:rsid w:val="004B4603"/>
    <w:rsid w:val="004B4C9D"/>
    <w:rsid w:val="004B5293"/>
    <w:rsid w:val="004B5376"/>
    <w:rsid w:val="004B5B8B"/>
    <w:rsid w:val="004B6006"/>
    <w:rsid w:val="004B65EA"/>
    <w:rsid w:val="004B6689"/>
    <w:rsid w:val="004B6983"/>
    <w:rsid w:val="004B6BE2"/>
    <w:rsid w:val="004B6D08"/>
    <w:rsid w:val="004B6DEF"/>
    <w:rsid w:val="004B6E0D"/>
    <w:rsid w:val="004B7940"/>
    <w:rsid w:val="004B7E79"/>
    <w:rsid w:val="004C084F"/>
    <w:rsid w:val="004C1443"/>
    <w:rsid w:val="004C1646"/>
    <w:rsid w:val="004C2DF2"/>
    <w:rsid w:val="004C3270"/>
    <w:rsid w:val="004C3447"/>
    <w:rsid w:val="004C39B4"/>
    <w:rsid w:val="004C3D5A"/>
    <w:rsid w:val="004C3E19"/>
    <w:rsid w:val="004C4132"/>
    <w:rsid w:val="004C4464"/>
    <w:rsid w:val="004C4DF7"/>
    <w:rsid w:val="004C50BC"/>
    <w:rsid w:val="004C5671"/>
    <w:rsid w:val="004C5D6D"/>
    <w:rsid w:val="004C5D71"/>
    <w:rsid w:val="004C6189"/>
    <w:rsid w:val="004C632A"/>
    <w:rsid w:val="004C69B2"/>
    <w:rsid w:val="004C6FBC"/>
    <w:rsid w:val="004D03F9"/>
    <w:rsid w:val="004D09FF"/>
    <w:rsid w:val="004D1134"/>
    <w:rsid w:val="004D14FC"/>
    <w:rsid w:val="004D179F"/>
    <w:rsid w:val="004D1B7F"/>
    <w:rsid w:val="004D1CB5"/>
    <w:rsid w:val="004D249F"/>
    <w:rsid w:val="004D252E"/>
    <w:rsid w:val="004D2AFD"/>
    <w:rsid w:val="004D2FE2"/>
    <w:rsid w:val="004D31ED"/>
    <w:rsid w:val="004D35AE"/>
    <w:rsid w:val="004D38D3"/>
    <w:rsid w:val="004D4D86"/>
    <w:rsid w:val="004D5E12"/>
    <w:rsid w:val="004D61F1"/>
    <w:rsid w:val="004D6A65"/>
    <w:rsid w:val="004D6F72"/>
    <w:rsid w:val="004D6F7F"/>
    <w:rsid w:val="004D7301"/>
    <w:rsid w:val="004D7443"/>
    <w:rsid w:val="004D784A"/>
    <w:rsid w:val="004D7A4F"/>
    <w:rsid w:val="004D7CBB"/>
    <w:rsid w:val="004E02FD"/>
    <w:rsid w:val="004E0488"/>
    <w:rsid w:val="004E20BF"/>
    <w:rsid w:val="004E2C93"/>
    <w:rsid w:val="004E2E4B"/>
    <w:rsid w:val="004E3104"/>
    <w:rsid w:val="004E3A36"/>
    <w:rsid w:val="004E43EC"/>
    <w:rsid w:val="004E4589"/>
    <w:rsid w:val="004E599F"/>
    <w:rsid w:val="004E5FD5"/>
    <w:rsid w:val="004E6636"/>
    <w:rsid w:val="004E6B56"/>
    <w:rsid w:val="004E6BDC"/>
    <w:rsid w:val="004E6E6F"/>
    <w:rsid w:val="004E72AC"/>
    <w:rsid w:val="004E753B"/>
    <w:rsid w:val="004E76C1"/>
    <w:rsid w:val="004E77B3"/>
    <w:rsid w:val="004E77F4"/>
    <w:rsid w:val="004E7839"/>
    <w:rsid w:val="004E7D2E"/>
    <w:rsid w:val="004F0079"/>
    <w:rsid w:val="004F05B8"/>
    <w:rsid w:val="004F05CF"/>
    <w:rsid w:val="004F080A"/>
    <w:rsid w:val="004F0AB6"/>
    <w:rsid w:val="004F0B32"/>
    <w:rsid w:val="004F0C8B"/>
    <w:rsid w:val="004F1394"/>
    <w:rsid w:val="004F15B5"/>
    <w:rsid w:val="004F1B11"/>
    <w:rsid w:val="004F1DBB"/>
    <w:rsid w:val="004F295C"/>
    <w:rsid w:val="004F2CC3"/>
    <w:rsid w:val="004F2DDA"/>
    <w:rsid w:val="004F301C"/>
    <w:rsid w:val="004F3298"/>
    <w:rsid w:val="004F32D8"/>
    <w:rsid w:val="004F3471"/>
    <w:rsid w:val="004F3572"/>
    <w:rsid w:val="004F3643"/>
    <w:rsid w:val="004F391C"/>
    <w:rsid w:val="004F4338"/>
    <w:rsid w:val="004F48AD"/>
    <w:rsid w:val="004F4D6C"/>
    <w:rsid w:val="004F52E3"/>
    <w:rsid w:val="004F6404"/>
    <w:rsid w:val="004F69D0"/>
    <w:rsid w:val="004F6EB8"/>
    <w:rsid w:val="004F6F2C"/>
    <w:rsid w:val="004F7260"/>
    <w:rsid w:val="004F7F26"/>
    <w:rsid w:val="00500568"/>
    <w:rsid w:val="00500D44"/>
    <w:rsid w:val="00501749"/>
    <w:rsid w:val="00501CB1"/>
    <w:rsid w:val="005023B3"/>
    <w:rsid w:val="005026A6"/>
    <w:rsid w:val="00502A85"/>
    <w:rsid w:val="0050335C"/>
    <w:rsid w:val="00503A82"/>
    <w:rsid w:val="00503D2F"/>
    <w:rsid w:val="00503FC6"/>
    <w:rsid w:val="0050496A"/>
    <w:rsid w:val="00505008"/>
    <w:rsid w:val="00505605"/>
    <w:rsid w:val="005060B3"/>
    <w:rsid w:val="005062CC"/>
    <w:rsid w:val="00506B92"/>
    <w:rsid w:val="00506DC6"/>
    <w:rsid w:val="0050751A"/>
    <w:rsid w:val="00507760"/>
    <w:rsid w:val="00507F4F"/>
    <w:rsid w:val="0051019A"/>
    <w:rsid w:val="00510393"/>
    <w:rsid w:val="005104E8"/>
    <w:rsid w:val="005104ED"/>
    <w:rsid w:val="00510AA9"/>
    <w:rsid w:val="00510BDE"/>
    <w:rsid w:val="005125EA"/>
    <w:rsid w:val="00512D71"/>
    <w:rsid w:val="00512E36"/>
    <w:rsid w:val="00512F66"/>
    <w:rsid w:val="00513B4F"/>
    <w:rsid w:val="00513BCB"/>
    <w:rsid w:val="00513CB4"/>
    <w:rsid w:val="00514513"/>
    <w:rsid w:val="00514672"/>
    <w:rsid w:val="00514763"/>
    <w:rsid w:val="00514792"/>
    <w:rsid w:val="005149E8"/>
    <w:rsid w:val="00514A68"/>
    <w:rsid w:val="00515675"/>
    <w:rsid w:val="00515BD3"/>
    <w:rsid w:val="005162ED"/>
    <w:rsid w:val="00516A82"/>
    <w:rsid w:val="00516B20"/>
    <w:rsid w:val="00516BAA"/>
    <w:rsid w:val="005178D2"/>
    <w:rsid w:val="005179C6"/>
    <w:rsid w:val="00517B44"/>
    <w:rsid w:val="005205BA"/>
    <w:rsid w:val="005207C1"/>
    <w:rsid w:val="00521351"/>
    <w:rsid w:val="00521B67"/>
    <w:rsid w:val="00521EAA"/>
    <w:rsid w:val="00521FF9"/>
    <w:rsid w:val="00522F90"/>
    <w:rsid w:val="005233F3"/>
    <w:rsid w:val="00523417"/>
    <w:rsid w:val="00524087"/>
    <w:rsid w:val="00524127"/>
    <w:rsid w:val="00524627"/>
    <w:rsid w:val="00524B02"/>
    <w:rsid w:val="00524D4E"/>
    <w:rsid w:val="00525794"/>
    <w:rsid w:val="0052587B"/>
    <w:rsid w:val="00526C15"/>
    <w:rsid w:val="00527232"/>
    <w:rsid w:val="0052730D"/>
    <w:rsid w:val="00530F78"/>
    <w:rsid w:val="00531255"/>
    <w:rsid w:val="00531DB5"/>
    <w:rsid w:val="00531E4F"/>
    <w:rsid w:val="00531E9D"/>
    <w:rsid w:val="0053215E"/>
    <w:rsid w:val="00532263"/>
    <w:rsid w:val="00532E37"/>
    <w:rsid w:val="00533426"/>
    <w:rsid w:val="00533C8C"/>
    <w:rsid w:val="005341F2"/>
    <w:rsid w:val="005342E8"/>
    <w:rsid w:val="00536503"/>
    <w:rsid w:val="005377F8"/>
    <w:rsid w:val="00537B09"/>
    <w:rsid w:val="00537C07"/>
    <w:rsid w:val="00537F90"/>
    <w:rsid w:val="00540159"/>
    <w:rsid w:val="005401DB"/>
    <w:rsid w:val="0054027E"/>
    <w:rsid w:val="0054043D"/>
    <w:rsid w:val="005405E4"/>
    <w:rsid w:val="00540655"/>
    <w:rsid w:val="00540977"/>
    <w:rsid w:val="00540EA2"/>
    <w:rsid w:val="00540F54"/>
    <w:rsid w:val="00541174"/>
    <w:rsid w:val="005413B1"/>
    <w:rsid w:val="005414C2"/>
    <w:rsid w:val="005414DC"/>
    <w:rsid w:val="00541651"/>
    <w:rsid w:val="00541E45"/>
    <w:rsid w:val="00542281"/>
    <w:rsid w:val="005422A8"/>
    <w:rsid w:val="0054232E"/>
    <w:rsid w:val="0054246B"/>
    <w:rsid w:val="00542916"/>
    <w:rsid w:val="00543361"/>
    <w:rsid w:val="005435E1"/>
    <w:rsid w:val="005441A4"/>
    <w:rsid w:val="00544717"/>
    <w:rsid w:val="005452D2"/>
    <w:rsid w:val="005453FC"/>
    <w:rsid w:val="00545690"/>
    <w:rsid w:val="005457A5"/>
    <w:rsid w:val="00545E3A"/>
    <w:rsid w:val="005464EE"/>
    <w:rsid w:val="00546ACD"/>
    <w:rsid w:val="00547443"/>
    <w:rsid w:val="00547481"/>
    <w:rsid w:val="00547E4F"/>
    <w:rsid w:val="00547EFD"/>
    <w:rsid w:val="0055036B"/>
    <w:rsid w:val="00550B37"/>
    <w:rsid w:val="00550EFC"/>
    <w:rsid w:val="00550F8A"/>
    <w:rsid w:val="005518B6"/>
    <w:rsid w:val="00551A30"/>
    <w:rsid w:val="00552958"/>
    <w:rsid w:val="00552C2A"/>
    <w:rsid w:val="00552D8E"/>
    <w:rsid w:val="00552EF7"/>
    <w:rsid w:val="005530B8"/>
    <w:rsid w:val="0055334C"/>
    <w:rsid w:val="00553E3C"/>
    <w:rsid w:val="00553E40"/>
    <w:rsid w:val="005541BF"/>
    <w:rsid w:val="00554D5D"/>
    <w:rsid w:val="00555876"/>
    <w:rsid w:val="00555DF6"/>
    <w:rsid w:val="00555E0D"/>
    <w:rsid w:val="005561F0"/>
    <w:rsid w:val="00556403"/>
    <w:rsid w:val="00556439"/>
    <w:rsid w:val="005565C4"/>
    <w:rsid w:val="005574A3"/>
    <w:rsid w:val="0055780E"/>
    <w:rsid w:val="005579DD"/>
    <w:rsid w:val="00557FA1"/>
    <w:rsid w:val="00560729"/>
    <w:rsid w:val="00560B82"/>
    <w:rsid w:val="00561303"/>
    <w:rsid w:val="0056188D"/>
    <w:rsid w:val="0056232D"/>
    <w:rsid w:val="0056277B"/>
    <w:rsid w:val="00562EA3"/>
    <w:rsid w:val="00563659"/>
    <w:rsid w:val="00563E9B"/>
    <w:rsid w:val="00563FF5"/>
    <w:rsid w:val="00564756"/>
    <w:rsid w:val="00564A81"/>
    <w:rsid w:val="005653D6"/>
    <w:rsid w:val="00565EF6"/>
    <w:rsid w:val="0056626A"/>
    <w:rsid w:val="005664AA"/>
    <w:rsid w:val="005664BA"/>
    <w:rsid w:val="0056658A"/>
    <w:rsid w:val="00566703"/>
    <w:rsid w:val="00567379"/>
    <w:rsid w:val="0057027C"/>
    <w:rsid w:val="005703FA"/>
    <w:rsid w:val="005704FE"/>
    <w:rsid w:val="00570543"/>
    <w:rsid w:val="00570708"/>
    <w:rsid w:val="00570E40"/>
    <w:rsid w:val="00570F1D"/>
    <w:rsid w:val="005710D3"/>
    <w:rsid w:val="0057251B"/>
    <w:rsid w:val="00573AF9"/>
    <w:rsid w:val="00573C0E"/>
    <w:rsid w:val="00573F51"/>
    <w:rsid w:val="005742AB"/>
    <w:rsid w:val="005756C4"/>
    <w:rsid w:val="005756DE"/>
    <w:rsid w:val="005764EF"/>
    <w:rsid w:val="0057660E"/>
    <w:rsid w:val="005768A4"/>
    <w:rsid w:val="00576F80"/>
    <w:rsid w:val="005773F9"/>
    <w:rsid w:val="005779DC"/>
    <w:rsid w:val="005804E7"/>
    <w:rsid w:val="0058055E"/>
    <w:rsid w:val="00580896"/>
    <w:rsid w:val="005811AC"/>
    <w:rsid w:val="005818F9"/>
    <w:rsid w:val="00581FBC"/>
    <w:rsid w:val="00582272"/>
    <w:rsid w:val="005825C8"/>
    <w:rsid w:val="0058278C"/>
    <w:rsid w:val="00582DAC"/>
    <w:rsid w:val="00583157"/>
    <w:rsid w:val="00583382"/>
    <w:rsid w:val="00584B28"/>
    <w:rsid w:val="00584DE5"/>
    <w:rsid w:val="00584E99"/>
    <w:rsid w:val="005851C1"/>
    <w:rsid w:val="00585CEE"/>
    <w:rsid w:val="0058653C"/>
    <w:rsid w:val="0058685F"/>
    <w:rsid w:val="00586981"/>
    <w:rsid w:val="00586C6F"/>
    <w:rsid w:val="005871DD"/>
    <w:rsid w:val="00587345"/>
    <w:rsid w:val="00587411"/>
    <w:rsid w:val="0058757F"/>
    <w:rsid w:val="005879D2"/>
    <w:rsid w:val="00587C2B"/>
    <w:rsid w:val="005905AA"/>
    <w:rsid w:val="005908B8"/>
    <w:rsid w:val="00590C37"/>
    <w:rsid w:val="005914DF"/>
    <w:rsid w:val="00592DE1"/>
    <w:rsid w:val="00592E29"/>
    <w:rsid w:val="00592E9D"/>
    <w:rsid w:val="0059357D"/>
    <w:rsid w:val="00593584"/>
    <w:rsid w:val="00593988"/>
    <w:rsid w:val="00593B97"/>
    <w:rsid w:val="00593BA8"/>
    <w:rsid w:val="005952C7"/>
    <w:rsid w:val="005953EA"/>
    <w:rsid w:val="005954E8"/>
    <w:rsid w:val="00595EE9"/>
    <w:rsid w:val="00596237"/>
    <w:rsid w:val="0059647C"/>
    <w:rsid w:val="00596D8A"/>
    <w:rsid w:val="00597C28"/>
    <w:rsid w:val="00597C8C"/>
    <w:rsid w:val="00597E42"/>
    <w:rsid w:val="005A0117"/>
    <w:rsid w:val="005A114F"/>
    <w:rsid w:val="005A15C7"/>
    <w:rsid w:val="005A1D59"/>
    <w:rsid w:val="005A1E03"/>
    <w:rsid w:val="005A29E6"/>
    <w:rsid w:val="005A2B23"/>
    <w:rsid w:val="005A2D9B"/>
    <w:rsid w:val="005A3BE9"/>
    <w:rsid w:val="005A481A"/>
    <w:rsid w:val="005A49BC"/>
    <w:rsid w:val="005A515F"/>
    <w:rsid w:val="005A5E84"/>
    <w:rsid w:val="005A5EC1"/>
    <w:rsid w:val="005A6ADB"/>
    <w:rsid w:val="005A6F64"/>
    <w:rsid w:val="005A77C6"/>
    <w:rsid w:val="005B0080"/>
    <w:rsid w:val="005B05EB"/>
    <w:rsid w:val="005B11DE"/>
    <w:rsid w:val="005B1A70"/>
    <w:rsid w:val="005B1A8E"/>
    <w:rsid w:val="005B32E2"/>
    <w:rsid w:val="005B3451"/>
    <w:rsid w:val="005B4A06"/>
    <w:rsid w:val="005B4E65"/>
    <w:rsid w:val="005B5670"/>
    <w:rsid w:val="005B5787"/>
    <w:rsid w:val="005B58F4"/>
    <w:rsid w:val="005B6583"/>
    <w:rsid w:val="005B681A"/>
    <w:rsid w:val="005B7705"/>
    <w:rsid w:val="005B785E"/>
    <w:rsid w:val="005B7887"/>
    <w:rsid w:val="005B7F6D"/>
    <w:rsid w:val="005C0107"/>
    <w:rsid w:val="005C06D0"/>
    <w:rsid w:val="005C0983"/>
    <w:rsid w:val="005C15AD"/>
    <w:rsid w:val="005C300D"/>
    <w:rsid w:val="005C304E"/>
    <w:rsid w:val="005C3299"/>
    <w:rsid w:val="005C360E"/>
    <w:rsid w:val="005C408E"/>
    <w:rsid w:val="005C4E9C"/>
    <w:rsid w:val="005C4F00"/>
    <w:rsid w:val="005C5160"/>
    <w:rsid w:val="005C5173"/>
    <w:rsid w:val="005C523D"/>
    <w:rsid w:val="005C580E"/>
    <w:rsid w:val="005C5A26"/>
    <w:rsid w:val="005C5A76"/>
    <w:rsid w:val="005C5CFD"/>
    <w:rsid w:val="005C6145"/>
    <w:rsid w:val="005C6CE0"/>
    <w:rsid w:val="005C7710"/>
    <w:rsid w:val="005C7A61"/>
    <w:rsid w:val="005C7EF5"/>
    <w:rsid w:val="005D0330"/>
    <w:rsid w:val="005D03B5"/>
    <w:rsid w:val="005D11B5"/>
    <w:rsid w:val="005D21A8"/>
    <w:rsid w:val="005D21EA"/>
    <w:rsid w:val="005D288A"/>
    <w:rsid w:val="005D2C6A"/>
    <w:rsid w:val="005D2F91"/>
    <w:rsid w:val="005D2FD7"/>
    <w:rsid w:val="005D352D"/>
    <w:rsid w:val="005D3C78"/>
    <w:rsid w:val="005D3D82"/>
    <w:rsid w:val="005D3F05"/>
    <w:rsid w:val="005D446C"/>
    <w:rsid w:val="005D4754"/>
    <w:rsid w:val="005D55C2"/>
    <w:rsid w:val="005D5705"/>
    <w:rsid w:val="005D5A9B"/>
    <w:rsid w:val="005D5C21"/>
    <w:rsid w:val="005D5CBC"/>
    <w:rsid w:val="005D5DDA"/>
    <w:rsid w:val="005D66E3"/>
    <w:rsid w:val="005D66FE"/>
    <w:rsid w:val="005D68F6"/>
    <w:rsid w:val="005D7748"/>
    <w:rsid w:val="005D7BB4"/>
    <w:rsid w:val="005D7EAE"/>
    <w:rsid w:val="005E0157"/>
    <w:rsid w:val="005E06EC"/>
    <w:rsid w:val="005E0AF7"/>
    <w:rsid w:val="005E1201"/>
    <w:rsid w:val="005E180E"/>
    <w:rsid w:val="005E1A45"/>
    <w:rsid w:val="005E3106"/>
    <w:rsid w:val="005E3498"/>
    <w:rsid w:val="005E37A6"/>
    <w:rsid w:val="005E38F6"/>
    <w:rsid w:val="005E38F9"/>
    <w:rsid w:val="005E4DD5"/>
    <w:rsid w:val="005E50DA"/>
    <w:rsid w:val="005E5C54"/>
    <w:rsid w:val="005E5CEF"/>
    <w:rsid w:val="005E6C15"/>
    <w:rsid w:val="005E7019"/>
    <w:rsid w:val="005E706F"/>
    <w:rsid w:val="005E736E"/>
    <w:rsid w:val="005F03CE"/>
    <w:rsid w:val="005F0F93"/>
    <w:rsid w:val="005F1026"/>
    <w:rsid w:val="005F126D"/>
    <w:rsid w:val="005F15DB"/>
    <w:rsid w:val="005F1DEA"/>
    <w:rsid w:val="005F2050"/>
    <w:rsid w:val="005F25DB"/>
    <w:rsid w:val="005F2D4D"/>
    <w:rsid w:val="005F2F49"/>
    <w:rsid w:val="005F38E0"/>
    <w:rsid w:val="005F4219"/>
    <w:rsid w:val="005F4385"/>
    <w:rsid w:val="005F46A1"/>
    <w:rsid w:val="005F46D7"/>
    <w:rsid w:val="005F4725"/>
    <w:rsid w:val="005F476E"/>
    <w:rsid w:val="005F4A2E"/>
    <w:rsid w:val="005F4BB1"/>
    <w:rsid w:val="005F4C83"/>
    <w:rsid w:val="005F4CBC"/>
    <w:rsid w:val="005F515C"/>
    <w:rsid w:val="005F545F"/>
    <w:rsid w:val="005F5726"/>
    <w:rsid w:val="005F62F7"/>
    <w:rsid w:val="005F6594"/>
    <w:rsid w:val="005F659C"/>
    <w:rsid w:val="005F6721"/>
    <w:rsid w:val="005F6B65"/>
    <w:rsid w:val="005F6EE0"/>
    <w:rsid w:val="005F716F"/>
    <w:rsid w:val="00600673"/>
    <w:rsid w:val="0060092F"/>
    <w:rsid w:val="00600B24"/>
    <w:rsid w:val="00600F7B"/>
    <w:rsid w:val="0060133B"/>
    <w:rsid w:val="006022EE"/>
    <w:rsid w:val="00602F98"/>
    <w:rsid w:val="00603863"/>
    <w:rsid w:val="00604374"/>
    <w:rsid w:val="00604CD1"/>
    <w:rsid w:val="00605248"/>
    <w:rsid w:val="00605678"/>
    <w:rsid w:val="00605A2B"/>
    <w:rsid w:val="00605B86"/>
    <w:rsid w:val="00605BFB"/>
    <w:rsid w:val="00605E98"/>
    <w:rsid w:val="0060657B"/>
    <w:rsid w:val="00606CF1"/>
    <w:rsid w:val="006077A0"/>
    <w:rsid w:val="006102F2"/>
    <w:rsid w:val="00610609"/>
    <w:rsid w:val="00610F89"/>
    <w:rsid w:val="0061103F"/>
    <w:rsid w:val="00611117"/>
    <w:rsid w:val="00613365"/>
    <w:rsid w:val="00613C97"/>
    <w:rsid w:val="00613D18"/>
    <w:rsid w:val="00614C69"/>
    <w:rsid w:val="00615945"/>
    <w:rsid w:val="006159DD"/>
    <w:rsid w:val="00615C15"/>
    <w:rsid w:val="00615D4C"/>
    <w:rsid w:val="00617F2F"/>
    <w:rsid w:val="006205B3"/>
    <w:rsid w:val="00620676"/>
    <w:rsid w:val="00621D45"/>
    <w:rsid w:val="00622929"/>
    <w:rsid w:val="00622A2B"/>
    <w:rsid w:val="0062346F"/>
    <w:rsid w:val="00623818"/>
    <w:rsid w:val="00624126"/>
    <w:rsid w:val="006248CA"/>
    <w:rsid w:val="00624BB7"/>
    <w:rsid w:val="006254FC"/>
    <w:rsid w:val="0062573D"/>
    <w:rsid w:val="00625850"/>
    <w:rsid w:val="00625A33"/>
    <w:rsid w:val="0062620B"/>
    <w:rsid w:val="00626AAC"/>
    <w:rsid w:val="00627CC1"/>
    <w:rsid w:val="00627DC7"/>
    <w:rsid w:val="00627E59"/>
    <w:rsid w:val="00630001"/>
    <w:rsid w:val="0063081D"/>
    <w:rsid w:val="00630D1F"/>
    <w:rsid w:val="006311A1"/>
    <w:rsid w:val="006311E2"/>
    <w:rsid w:val="0063168D"/>
    <w:rsid w:val="00631A56"/>
    <w:rsid w:val="00631A6B"/>
    <w:rsid w:val="00631C03"/>
    <w:rsid w:val="00631E24"/>
    <w:rsid w:val="006339C9"/>
    <w:rsid w:val="006339E3"/>
    <w:rsid w:val="00633E33"/>
    <w:rsid w:val="006341CD"/>
    <w:rsid w:val="00634C2E"/>
    <w:rsid w:val="006354BA"/>
    <w:rsid w:val="00635750"/>
    <w:rsid w:val="00635860"/>
    <w:rsid w:val="00635F91"/>
    <w:rsid w:val="006366CC"/>
    <w:rsid w:val="00636C1A"/>
    <w:rsid w:val="00637803"/>
    <w:rsid w:val="006379C6"/>
    <w:rsid w:val="00637C1C"/>
    <w:rsid w:val="00637E00"/>
    <w:rsid w:val="00640493"/>
    <w:rsid w:val="00640599"/>
    <w:rsid w:val="006411AA"/>
    <w:rsid w:val="0064315D"/>
    <w:rsid w:val="006436D5"/>
    <w:rsid w:val="00643969"/>
    <w:rsid w:val="00644A41"/>
    <w:rsid w:val="00644B6D"/>
    <w:rsid w:val="00644D26"/>
    <w:rsid w:val="0064522C"/>
    <w:rsid w:val="00645C4C"/>
    <w:rsid w:val="00646D51"/>
    <w:rsid w:val="00647004"/>
    <w:rsid w:val="00647291"/>
    <w:rsid w:val="006474CA"/>
    <w:rsid w:val="00647EF7"/>
    <w:rsid w:val="00650B9B"/>
    <w:rsid w:val="00651052"/>
    <w:rsid w:val="0065115D"/>
    <w:rsid w:val="00651969"/>
    <w:rsid w:val="0065209E"/>
    <w:rsid w:val="006521F9"/>
    <w:rsid w:val="0065279D"/>
    <w:rsid w:val="0065340F"/>
    <w:rsid w:val="00654600"/>
    <w:rsid w:val="006547F6"/>
    <w:rsid w:val="006549D3"/>
    <w:rsid w:val="00655234"/>
    <w:rsid w:val="0065629D"/>
    <w:rsid w:val="006564F2"/>
    <w:rsid w:val="006564F4"/>
    <w:rsid w:val="006569D6"/>
    <w:rsid w:val="00656B24"/>
    <w:rsid w:val="00656D7E"/>
    <w:rsid w:val="00656EBF"/>
    <w:rsid w:val="00657757"/>
    <w:rsid w:val="006606F6"/>
    <w:rsid w:val="00660754"/>
    <w:rsid w:val="00660AA2"/>
    <w:rsid w:val="00661038"/>
    <w:rsid w:val="00661A3F"/>
    <w:rsid w:val="00661EB7"/>
    <w:rsid w:val="00661F22"/>
    <w:rsid w:val="006620E0"/>
    <w:rsid w:val="00662285"/>
    <w:rsid w:val="0066264C"/>
    <w:rsid w:val="006626F2"/>
    <w:rsid w:val="0066287C"/>
    <w:rsid w:val="006628FD"/>
    <w:rsid w:val="00662A90"/>
    <w:rsid w:val="00662AC8"/>
    <w:rsid w:val="00663008"/>
    <w:rsid w:val="00663245"/>
    <w:rsid w:val="00663550"/>
    <w:rsid w:val="0066399C"/>
    <w:rsid w:val="00663EF7"/>
    <w:rsid w:val="0066488A"/>
    <w:rsid w:val="00664D57"/>
    <w:rsid w:val="00665A72"/>
    <w:rsid w:val="00665E8B"/>
    <w:rsid w:val="0066624F"/>
    <w:rsid w:val="0066628A"/>
    <w:rsid w:val="00666312"/>
    <w:rsid w:val="00666A1A"/>
    <w:rsid w:val="00666C2C"/>
    <w:rsid w:val="006675D4"/>
    <w:rsid w:val="00667C07"/>
    <w:rsid w:val="00667F57"/>
    <w:rsid w:val="00670373"/>
    <w:rsid w:val="00670DB9"/>
    <w:rsid w:val="00670ECC"/>
    <w:rsid w:val="006710E6"/>
    <w:rsid w:val="006711DB"/>
    <w:rsid w:val="006717FB"/>
    <w:rsid w:val="006718E6"/>
    <w:rsid w:val="00671AD7"/>
    <w:rsid w:val="00671B11"/>
    <w:rsid w:val="00671FB1"/>
    <w:rsid w:val="00672422"/>
    <w:rsid w:val="0067250D"/>
    <w:rsid w:val="00672854"/>
    <w:rsid w:val="00672CA4"/>
    <w:rsid w:val="00672E80"/>
    <w:rsid w:val="00673096"/>
    <w:rsid w:val="00673356"/>
    <w:rsid w:val="0067354A"/>
    <w:rsid w:val="00674E7F"/>
    <w:rsid w:val="00675356"/>
    <w:rsid w:val="00675755"/>
    <w:rsid w:val="00675BB0"/>
    <w:rsid w:val="00676450"/>
    <w:rsid w:val="0067655E"/>
    <w:rsid w:val="00676A96"/>
    <w:rsid w:val="0067776B"/>
    <w:rsid w:val="00677A23"/>
    <w:rsid w:val="00680D61"/>
    <w:rsid w:val="00680E06"/>
    <w:rsid w:val="00681E1A"/>
    <w:rsid w:val="00682A80"/>
    <w:rsid w:val="00682D45"/>
    <w:rsid w:val="006835F7"/>
    <w:rsid w:val="006840E7"/>
    <w:rsid w:val="006859C6"/>
    <w:rsid w:val="00685EA2"/>
    <w:rsid w:val="0068624D"/>
    <w:rsid w:val="006864EA"/>
    <w:rsid w:val="00686690"/>
    <w:rsid w:val="00686BA2"/>
    <w:rsid w:val="006872E3"/>
    <w:rsid w:val="00687798"/>
    <w:rsid w:val="00690FA7"/>
    <w:rsid w:val="00691F26"/>
    <w:rsid w:val="006920C4"/>
    <w:rsid w:val="006936C7"/>
    <w:rsid w:val="0069386B"/>
    <w:rsid w:val="00693B1F"/>
    <w:rsid w:val="00693E49"/>
    <w:rsid w:val="00693F5D"/>
    <w:rsid w:val="00695022"/>
    <w:rsid w:val="00695262"/>
    <w:rsid w:val="006956D7"/>
    <w:rsid w:val="00695762"/>
    <w:rsid w:val="006958D0"/>
    <w:rsid w:val="00695CEB"/>
    <w:rsid w:val="00695ED0"/>
    <w:rsid w:val="006974C8"/>
    <w:rsid w:val="00697E57"/>
    <w:rsid w:val="00697F24"/>
    <w:rsid w:val="006A0557"/>
    <w:rsid w:val="006A0566"/>
    <w:rsid w:val="006A1893"/>
    <w:rsid w:val="006A18A6"/>
    <w:rsid w:val="006A19D0"/>
    <w:rsid w:val="006A1DCD"/>
    <w:rsid w:val="006A2449"/>
    <w:rsid w:val="006A2D89"/>
    <w:rsid w:val="006A302E"/>
    <w:rsid w:val="006A326C"/>
    <w:rsid w:val="006A32B1"/>
    <w:rsid w:val="006A362D"/>
    <w:rsid w:val="006A38D6"/>
    <w:rsid w:val="006A3D1C"/>
    <w:rsid w:val="006A45B2"/>
    <w:rsid w:val="006A4727"/>
    <w:rsid w:val="006A4865"/>
    <w:rsid w:val="006A5EE7"/>
    <w:rsid w:val="006A60FA"/>
    <w:rsid w:val="006A61CF"/>
    <w:rsid w:val="006A6211"/>
    <w:rsid w:val="006A64EB"/>
    <w:rsid w:val="006A67EB"/>
    <w:rsid w:val="006A6C49"/>
    <w:rsid w:val="006A72E5"/>
    <w:rsid w:val="006B0E24"/>
    <w:rsid w:val="006B1135"/>
    <w:rsid w:val="006B140F"/>
    <w:rsid w:val="006B17CF"/>
    <w:rsid w:val="006B1D43"/>
    <w:rsid w:val="006B2751"/>
    <w:rsid w:val="006B299A"/>
    <w:rsid w:val="006B2C0B"/>
    <w:rsid w:val="006B2CEF"/>
    <w:rsid w:val="006B2FB6"/>
    <w:rsid w:val="006B304A"/>
    <w:rsid w:val="006B34B0"/>
    <w:rsid w:val="006B3CF0"/>
    <w:rsid w:val="006B3FCA"/>
    <w:rsid w:val="006B4665"/>
    <w:rsid w:val="006B4841"/>
    <w:rsid w:val="006B4931"/>
    <w:rsid w:val="006B4AE8"/>
    <w:rsid w:val="006B515F"/>
    <w:rsid w:val="006B59AF"/>
    <w:rsid w:val="006B62FB"/>
    <w:rsid w:val="006B66CB"/>
    <w:rsid w:val="006B69CA"/>
    <w:rsid w:val="006B6A6F"/>
    <w:rsid w:val="006B6D27"/>
    <w:rsid w:val="006B6D6E"/>
    <w:rsid w:val="006B6DBB"/>
    <w:rsid w:val="006B6F86"/>
    <w:rsid w:val="006C040F"/>
    <w:rsid w:val="006C0880"/>
    <w:rsid w:val="006C0B42"/>
    <w:rsid w:val="006C1320"/>
    <w:rsid w:val="006C134B"/>
    <w:rsid w:val="006C14E8"/>
    <w:rsid w:val="006C1993"/>
    <w:rsid w:val="006C1FE1"/>
    <w:rsid w:val="006C263C"/>
    <w:rsid w:val="006C2F81"/>
    <w:rsid w:val="006C3828"/>
    <w:rsid w:val="006C49E7"/>
    <w:rsid w:val="006C4B0D"/>
    <w:rsid w:val="006C4F54"/>
    <w:rsid w:val="006C54D4"/>
    <w:rsid w:val="006C59F2"/>
    <w:rsid w:val="006C5A32"/>
    <w:rsid w:val="006C5AF9"/>
    <w:rsid w:val="006C6484"/>
    <w:rsid w:val="006C6BC8"/>
    <w:rsid w:val="006C7616"/>
    <w:rsid w:val="006C7DAA"/>
    <w:rsid w:val="006D1440"/>
    <w:rsid w:val="006D1DB8"/>
    <w:rsid w:val="006D1DED"/>
    <w:rsid w:val="006D1E04"/>
    <w:rsid w:val="006D236D"/>
    <w:rsid w:val="006D2591"/>
    <w:rsid w:val="006D2659"/>
    <w:rsid w:val="006D294D"/>
    <w:rsid w:val="006D2A24"/>
    <w:rsid w:val="006D2B9C"/>
    <w:rsid w:val="006D2F2F"/>
    <w:rsid w:val="006D4785"/>
    <w:rsid w:val="006D49CC"/>
    <w:rsid w:val="006D4DE1"/>
    <w:rsid w:val="006D4FD3"/>
    <w:rsid w:val="006D53DA"/>
    <w:rsid w:val="006D5CAF"/>
    <w:rsid w:val="006D62E3"/>
    <w:rsid w:val="006D687B"/>
    <w:rsid w:val="006D6DC2"/>
    <w:rsid w:val="006D77EE"/>
    <w:rsid w:val="006D7867"/>
    <w:rsid w:val="006E000F"/>
    <w:rsid w:val="006E0113"/>
    <w:rsid w:val="006E04F6"/>
    <w:rsid w:val="006E073D"/>
    <w:rsid w:val="006E1438"/>
    <w:rsid w:val="006E1FD6"/>
    <w:rsid w:val="006E211C"/>
    <w:rsid w:val="006E342E"/>
    <w:rsid w:val="006E37D6"/>
    <w:rsid w:val="006E46EB"/>
    <w:rsid w:val="006E4824"/>
    <w:rsid w:val="006E484B"/>
    <w:rsid w:val="006E4C32"/>
    <w:rsid w:val="006E4CEF"/>
    <w:rsid w:val="006E50DB"/>
    <w:rsid w:val="006E641C"/>
    <w:rsid w:val="006E6941"/>
    <w:rsid w:val="006E7121"/>
    <w:rsid w:val="006E7382"/>
    <w:rsid w:val="006E74C0"/>
    <w:rsid w:val="006E76B1"/>
    <w:rsid w:val="006E7A97"/>
    <w:rsid w:val="006F0182"/>
    <w:rsid w:val="006F0A34"/>
    <w:rsid w:val="006F0B8F"/>
    <w:rsid w:val="006F10E7"/>
    <w:rsid w:val="006F1473"/>
    <w:rsid w:val="006F14CE"/>
    <w:rsid w:val="006F1751"/>
    <w:rsid w:val="006F1EDD"/>
    <w:rsid w:val="006F28B4"/>
    <w:rsid w:val="006F2A04"/>
    <w:rsid w:val="006F4942"/>
    <w:rsid w:val="006F56D6"/>
    <w:rsid w:val="006F5C3A"/>
    <w:rsid w:val="006F5C87"/>
    <w:rsid w:val="006F5E22"/>
    <w:rsid w:val="006F7579"/>
    <w:rsid w:val="006F7B1D"/>
    <w:rsid w:val="006F7DAE"/>
    <w:rsid w:val="007001DC"/>
    <w:rsid w:val="0070091B"/>
    <w:rsid w:val="00700A89"/>
    <w:rsid w:val="00701679"/>
    <w:rsid w:val="00701E25"/>
    <w:rsid w:val="00701E56"/>
    <w:rsid w:val="00702BA9"/>
    <w:rsid w:val="007039E4"/>
    <w:rsid w:val="00703B80"/>
    <w:rsid w:val="00703EB9"/>
    <w:rsid w:val="007059F0"/>
    <w:rsid w:val="00705EFF"/>
    <w:rsid w:val="00706131"/>
    <w:rsid w:val="00706501"/>
    <w:rsid w:val="007070B8"/>
    <w:rsid w:val="00707BCD"/>
    <w:rsid w:val="007108B5"/>
    <w:rsid w:val="00710901"/>
    <w:rsid w:val="007113EF"/>
    <w:rsid w:val="00711ED5"/>
    <w:rsid w:val="00712429"/>
    <w:rsid w:val="00712631"/>
    <w:rsid w:val="00712698"/>
    <w:rsid w:val="007138C9"/>
    <w:rsid w:val="007140AD"/>
    <w:rsid w:val="0071439C"/>
    <w:rsid w:val="0071444E"/>
    <w:rsid w:val="0071492D"/>
    <w:rsid w:val="0071495F"/>
    <w:rsid w:val="00714ECF"/>
    <w:rsid w:val="007150B1"/>
    <w:rsid w:val="00715403"/>
    <w:rsid w:val="00715C17"/>
    <w:rsid w:val="00715C29"/>
    <w:rsid w:val="00715CA2"/>
    <w:rsid w:val="00715DA9"/>
    <w:rsid w:val="0071614D"/>
    <w:rsid w:val="00716AC3"/>
    <w:rsid w:val="00716AC9"/>
    <w:rsid w:val="00716C8A"/>
    <w:rsid w:val="00716CDC"/>
    <w:rsid w:val="00716D6A"/>
    <w:rsid w:val="00716E4E"/>
    <w:rsid w:val="00717020"/>
    <w:rsid w:val="00717234"/>
    <w:rsid w:val="0071752A"/>
    <w:rsid w:val="007175BA"/>
    <w:rsid w:val="007175E0"/>
    <w:rsid w:val="007201A8"/>
    <w:rsid w:val="00720505"/>
    <w:rsid w:val="007207DC"/>
    <w:rsid w:val="007208BC"/>
    <w:rsid w:val="00721317"/>
    <w:rsid w:val="007216E2"/>
    <w:rsid w:val="00721997"/>
    <w:rsid w:val="00721AED"/>
    <w:rsid w:val="007220C7"/>
    <w:rsid w:val="007221E5"/>
    <w:rsid w:val="0072244F"/>
    <w:rsid w:val="007227B8"/>
    <w:rsid w:val="00722B81"/>
    <w:rsid w:val="00722C8A"/>
    <w:rsid w:val="00722D46"/>
    <w:rsid w:val="00722D55"/>
    <w:rsid w:val="00722E12"/>
    <w:rsid w:val="0072337C"/>
    <w:rsid w:val="00723856"/>
    <w:rsid w:val="0072415B"/>
    <w:rsid w:val="00725130"/>
    <w:rsid w:val="0072531C"/>
    <w:rsid w:val="00725749"/>
    <w:rsid w:val="0072636A"/>
    <w:rsid w:val="0072670C"/>
    <w:rsid w:val="007267A0"/>
    <w:rsid w:val="007268F8"/>
    <w:rsid w:val="00726B62"/>
    <w:rsid w:val="00727900"/>
    <w:rsid w:val="00727A1F"/>
    <w:rsid w:val="00727E23"/>
    <w:rsid w:val="00730BE6"/>
    <w:rsid w:val="00730C4A"/>
    <w:rsid w:val="00731C74"/>
    <w:rsid w:val="007320AD"/>
    <w:rsid w:val="00732679"/>
    <w:rsid w:val="00733874"/>
    <w:rsid w:val="007341A8"/>
    <w:rsid w:val="007342A4"/>
    <w:rsid w:val="00734CE1"/>
    <w:rsid w:val="00735A69"/>
    <w:rsid w:val="00735CE7"/>
    <w:rsid w:val="007364E2"/>
    <w:rsid w:val="007369F9"/>
    <w:rsid w:val="00736AEE"/>
    <w:rsid w:val="00736C90"/>
    <w:rsid w:val="00736DA8"/>
    <w:rsid w:val="00736DB7"/>
    <w:rsid w:val="007373CA"/>
    <w:rsid w:val="00737CCC"/>
    <w:rsid w:val="0074001C"/>
    <w:rsid w:val="007403BC"/>
    <w:rsid w:val="007409F8"/>
    <w:rsid w:val="00740ECD"/>
    <w:rsid w:val="00740F45"/>
    <w:rsid w:val="00740FFB"/>
    <w:rsid w:val="00741352"/>
    <w:rsid w:val="0074243D"/>
    <w:rsid w:val="00742BF8"/>
    <w:rsid w:val="00742E48"/>
    <w:rsid w:val="00743C72"/>
    <w:rsid w:val="00744B8B"/>
    <w:rsid w:val="00745029"/>
    <w:rsid w:val="00745239"/>
    <w:rsid w:val="007456BA"/>
    <w:rsid w:val="00745F13"/>
    <w:rsid w:val="007461B4"/>
    <w:rsid w:val="0074673B"/>
    <w:rsid w:val="00746FF8"/>
    <w:rsid w:val="0074717B"/>
    <w:rsid w:val="0074755B"/>
    <w:rsid w:val="00747777"/>
    <w:rsid w:val="00750895"/>
    <w:rsid w:val="00751518"/>
    <w:rsid w:val="0075156F"/>
    <w:rsid w:val="007516FC"/>
    <w:rsid w:val="0075179B"/>
    <w:rsid w:val="007518D4"/>
    <w:rsid w:val="00751BFB"/>
    <w:rsid w:val="00752045"/>
    <w:rsid w:val="0075204E"/>
    <w:rsid w:val="00752148"/>
    <w:rsid w:val="00752BCD"/>
    <w:rsid w:val="00752C26"/>
    <w:rsid w:val="00752D6F"/>
    <w:rsid w:val="00752DC4"/>
    <w:rsid w:val="0075381C"/>
    <w:rsid w:val="00753A8A"/>
    <w:rsid w:val="0075458B"/>
    <w:rsid w:val="007546AD"/>
    <w:rsid w:val="0075481B"/>
    <w:rsid w:val="00754E68"/>
    <w:rsid w:val="00754FC5"/>
    <w:rsid w:val="00755733"/>
    <w:rsid w:val="00755EEC"/>
    <w:rsid w:val="007565B5"/>
    <w:rsid w:val="00756785"/>
    <w:rsid w:val="00756C25"/>
    <w:rsid w:val="00756E2B"/>
    <w:rsid w:val="00756EF4"/>
    <w:rsid w:val="00757531"/>
    <w:rsid w:val="007577F0"/>
    <w:rsid w:val="007579C3"/>
    <w:rsid w:val="0076033E"/>
    <w:rsid w:val="007606EF"/>
    <w:rsid w:val="00760C17"/>
    <w:rsid w:val="00760EF2"/>
    <w:rsid w:val="0076190D"/>
    <w:rsid w:val="00761B04"/>
    <w:rsid w:val="007625BF"/>
    <w:rsid w:val="00763161"/>
    <w:rsid w:val="007637CE"/>
    <w:rsid w:val="00763DA4"/>
    <w:rsid w:val="00764EED"/>
    <w:rsid w:val="00765256"/>
    <w:rsid w:val="0076564F"/>
    <w:rsid w:val="00765AC6"/>
    <w:rsid w:val="00765B5F"/>
    <w:rsid w:val="0076607F"/>
    <w:rsid w:val="0076669A"/>
    <w:rsid w:val="007671B4"/>
    <w:rsid w:val="0076770F"/>
    <w:rsid w:val="00770525"/>
    <w:rsid w:val="00770986"/>
    <w:rsid w:val="00770C44"/>
    <w:rsid w:val="00771380"/>
    <w:rsid w:val="0077260B"/>
    <w:rsid w:val="00772A65"/>
    <w:rsid w:val="00772BB5"/>
    <w:rsid w:val="00772F82"/>
    <w:rsid w:val="007732EB"/>
    <w:rsid w:val="0077441E"/>
    <w:rsid w:val="007745F2"/>
    <w:rsid w:val="007746B8"/>
    <w:rsid w:val="00774E4D"/>
    <w:rsid w:val="00775507"/>
    <w:rsid w:val="00775573"/>
    <w:rsid w:val="00776091"/>
    <w:rsid w:val="0077609E"/>
    <w:rsid w:val="007761B8"/>
    <w:rsid w:val="00776A06"/>
    <w:rsid w:val="00776A0C"/>
    <w:rsid w:val="00776CEF"/>
    <w:rsid w:val="00780244"/>
    <w:rsid w:val="00780B85"/>
    <w:rsid w:val="00781AD7"/>
    <w:rsid w:val="00781AFE"/>
    <w:rsid w:val="00782615"/>
    <w:rsid w:val="00783040"/>
    <w:rsid w:val="007830DC"/>
    <w:rsid w:val="0078384C"/>
    <w:rsid w:val="00783F5C"/>
    <w:rsid w:val="00784773"/>
    <w:rsid w:val="007851FC"/>
    <w:rsid w:val="007852C9"/>
    <w:rsid w:val="007852F1"/>
    <w:rsid w:val="00785C4D"/>
    <w:rsid w:val="00785DF1"/>
    <w:rsid w:val="007862F5"/>
    <w:rsid w:val="00786492"/>
    <w:rsid w:val="00786BA3"/>
    <w:rsid w:val="00786E5D"/>
    <w:rsid w:val="0078711C"/>
    <w:rsid w:val="007872AE"/>
    <w:rsid w:val="007906B5"/>
    <w:rsid w:val="00790F18"/>
    <w:rsid w:val="00791558"/>
    <w:rsid w:val="00791726"/>
    <w:rsid w:val="007919AD"/>
    <w:rsid w:val="00791A84"/>
    <w:rsid w:val="007921A9"/>
    <w:rsid w:val="00792A97"/>
    <w:rsid w:val="0079353D"/>
    <w:rsid w:val="007939DC"/>
    <w:rsid w:val="007943A0"/>
    <w:rsid w:val="007943AF"/>
    <w:rsid w:val="007948D8"/>
    <w:rsid w:val="0079490F"/>
    <w:rsid w:val="00794CDD"/>
    <w:rsid w:val="0079534D"/>
    <w:rsid w:val="007954DA"/>
    <w:rsid w:val="00795DCE"/>
    <w:rsid w:val="0079611C"/>
    <w:rsid w:val="007961F7"/>
    <w:rsid w:val="007966EC"/>
    <w:rsid w:val="00796A1A"/>
    <w:rsid w:val="00796AF8"/>
    <w:rsid w:val="007978D3"/>
    <w:rsid w:val="007A0CCA"/>
    <w:rsid w:val="007A0D9E"/>
    <w:rsid w:val="007A139C"/>
    <w:rsid w:val="007A19F2"/>
    <w:rsid w:val="007A1BAD"/>
    <w:rsid w:val="007A1ED2"/>
    <w:rsid w:val="007A1F68"/>
    <w:rsid w:val="007A204D"/>
    <w:rsid w:val="007A2413"/>
    <w:rsid w:val="007A25EB"/>
    <w:rsid w:val="007A2B4E"/>
    <w:rsid w:val="007A2B9D"/>
    <w:rsid w:val="007A3343"/>
    <w:rsid w:val="007A339B"/>
    <w:rsid w:val="007A33D0"/>
    <w:rsid w:val="007A3F88"/>
    <w:rsid w:val="007A41D2"/>
    <w:rsid w:val="007A487E"/>
    <w:rsid w:val="007A4AA9"/>
    <w:rsid w:val="007A4B27"/>
    <w:rsid w:val="007A5144"/>
    <w:rsid w:val="007A5433"/>
    <w:rsid w:val="007A553D"/>
    <w:rsid w:val="007A5E08"/>
    <w:rsid w:val="007A62AE"/>
    <w:rsid w:val="007A635F"/>
    <w:rsid w:val="007A6C37"/>
    <w:rsid w:val="007A705A"/>
    <w:rsid w:val="007A73BA"/>
    <w:rsid w:val="007A76DC"/>
    <w:rsid w:val="007A7EC0"/>
    <w:rsid w:val="007B054B"/>
    <w:rsid w:val="007B09A6"/>
    <w:rsid w:val="007B0D88"/>
    <w:rsid w:val="007B1425"/>
    <w:rsid w:val="007B1432"/>
    <w:rsid w:val="007B14F4"/>
    <w:rsid w:val="007B205F"/>
    <w:rsid w:val="007B239A"/>
    <w:rsid w:val="007B24A5"/>
    <w:rsid w:val="007B2704"/>
    <w:rsid w:val="007B46D0"/>
    <w:rsid w:val="007B6D93"/>
    <w:rsid w:val="007B6FFD"/>
    <w:rsid w:val="007B71BF"/>
    <w:rsid w:val="007B7E10"/>
    <w:rsid w:val="007C0156"/>
    <w:rsid w:val="007C0767"/>
    <w:rsid w:val="007C0B29"/>
    <w:rsid w:val="007C0EC1"/>
    <w:rsid w:val="007C1AAE"/>
    <w:rsid w:val="007C1E9F"/>
    <w:rsid w:val="007C2088"/>
    <w:rsid w:val="007C20AF"/>
    <w:rsid w:val="007C29DA"/>
    <w:rsid w:val="007C3328"/>
    <w:rsid w:val="007C3774"/>
    <w:rsid w:val="007C51DD"/>
    <w:rsid w:val="007C523E"/>
    <w:rsid w:val="007C527B"/>
    <w:rsid w:val="007C52E1"/>
    <w:rsid w:val="007C6207"/>
    <w:rsid w:val="007C62CA"/>
    <w:rsid w:val="007C62E6"/>
    <w:rsid w:val="007C6FE6"/>
    <w:rsid w:val="007C77E4"/>
    <w:rsid w:val="007C7CE3"/>
    <w:rsid w:val="007C7D25"/>
    <w:rsid w:val="007C7EA6"/>
    <w:rsid w:val="007D100B"/>
    <w:rsid w:val="007D2481"/>
    <w:rsid w:val="007D2F54"/>
    <w:rsid w:val="007D3515"/>
    <w:rsid w:val="007D3876"/>
    <w:rsid w:val="007D3909"/>
    <w:rsid w:val="007D3E45"/>
    <w:rsid w:val="007D40A9"/>
    <w:rsid w:val="007D4C9F"/>
    <w:rsid w:val="007D5059"/>
    <w:rsid w:val="007D51E3"/>
    <w:rsid w:val="007D5A15"/>
    <w:rsid w:val="007D5D8D"/>
    <w:rsid w:val="007D6723"/>
    <w:rsid w:val="007D6961"/>
    <w:rsid w:val="007D791B"/>
    <w:rsid w:val="007D7AD2"/>
    <w:rsid w:val="007E0762"/>
    <w:rsid w:val="007E0982"/>
    <w:rsid w:val="007E1175"/>
    <w:rsid w:val="007E1593"/>
    <w:rsid w:val="007E1B0D"/>
    <w:rsid w:val="007E1E66"/>
    <w:rsid w:val="007E24CD"/>
    <w:rsid w:val="007E2A3C"/>
    <w:rsid w:val="007E2F7C"/>
    <w:rsid w:val="007E2FE1"/>
    <w:rsid w:val="007E3C7B"/>
    <w:rsid w:val="007E5335"/>
    <w:rsid w:val="007E5415"/>
    <w:rsid w:val="007E54C7"/>
    <w:rsid w:val="007E56C2"/>
    <w:rsid w:val="007E6206"/>
    <w:rsid w:val="007E66DE"/>
    <w:rsid w:val="007E6E26"/>
    <w:rsid w:val="007E73BE"/>
    <w:rsid w:val="007F041B"/>
    <w:rsid w:val="007F0438"/>
    <w:rsid w:val="007F0743"/>
    <w:rsid w:val="007F0AAE"/>
    <w:rsid w:val="007F0DB7"/>
    <w:rsid w:val="007F112C"/>
    <w:rsid w:val="007F1601"/>
    <w:rsid w:val="007F17E5"/>
    <w:rsid w:val="007F1883"/>
    <w:rsid w:val="007F189F"/>
    <w:rsid w:val="007F1F67"/>
    <w:rsid w:val="007F2000"/>
    <w:rsid w:val="007F23DC"/>
    <w:rsid w:val="007F23FC"/>
    <w:rsid w:val="007F278E"/>
    <w:rsid w:val="007F290D"/>
    <w:rsid w:val="007F29DE"/>
    <w:rsid w:val="007F3016"/>
    <w:rsid w:val="007F4036"/>
    <w:rsid w:val="007F4116"/>
    <w:rsid w:val="007F41FE"/>
    <w:rsid w:val="007F568F"/>
    <w:rsid w:val="007F585B"/>
    <w:rsid w:val="007F597F"/>
    <w:rsid w:val="007F5B42"/>
    <w:rsid w:val="007F620E"/>
    <w:rsid w:val="007F6E50"/>
    <w:rsid w:val="007F7103"/>
    <w:rsid w:val="007F7491"/>
    <w:rsid w:val="007F7843"/>
    <w:rsid w:val="007F7A0A"/>
    <w:rsid w:val="007F7A43"/>
    <w:rsid w:val="00800EB8"/>
    <w:rsid w:val="0080193E"/>
    <w:rsid w:val="00801954"/>
    <w:rsid w:val="00801FA9"/>
    <w:rsid w:val="00802252"/>
    <w:rsid w:val="008027F5"/>
    <w:rsid w:val="00802995"/>
    <w:rsid w:val="008035DB"/>
    <w:rsid w:val="00803707"/>
    <w:rsid w:val="00803BE3"/>
    <w:rsid w:val="00803F18"/>
    <w:rsid w:val="008047B2"/>
    <w:rsid w:val="0080486C"/>
    <w:rsid w:val="008053D6"/>
    <w:rsid w:val="008053F0"/>
    <w:rsid w:val="00806BC1"/>
    <w:rsid w:val="0080751A"/>
    <w:rsid w:val="0081015E"/>
    <w:rsid w:val="008104BC"/>
    <w:rsid w:val="0081078D"/>
    <w:rsid w:val="00811084"/>
    <w:rsid w:val="008111B7"/>
    <w:rsid w:val="00811486"/>
    <w:rsid w:val="00811E99"/>
    <w:rsid w:val="0081299E"/>
    <w:rsid w:val="00812E28"/>
    <w:rsid w:val="0081306E"/>
    <w:rsid w:val="00813111"/>
    <w:rsid w:val="008132C1"/>
    <w:rsid w:val="008134DF"/>
    <w:rsid w:val="00813A57"/>
    <w:rsid w:val="00813E63"/>
    <w:rsid w:val="00814169"/>
    <w:rsid w:val="00815BBC"/>
    <w:rsid w:val="00816165"/>
    <w:rsid w:val="008162A3"/>
    <w:rsid w:val="0081631A"/>
    <w:rsid w:val="0081636E"/>
    <w:rsid w:val="00816C7F"/>
    <w:rsid w:val="00817308"/>
    <w:rsid w:val="00817F4E"/>
    <w:rsid w:val="00820D13"/>
    <w:rsid w:val="00821387"/>
    <w:rsid w:val="008216D0"/>
    <w:rsid w:val="00821DBA"/>
    <w:rsid w:val="0082221D"/>
    <w:rsid w:val="00822325"/>
    <w:rsid w:val="0082278C"/>
    <w:rsid w:val="00822ABC"/>
    <w:rsid w:val="008234B4"/>
    <w:rsid w:val="008237DE"/>
    <w:rsid w:val="00823D8F"/>
    <w:rsid w:val="0082457A"/>
    <w:rsid w:val="008249C6"/>
    <w:rsid w:val="00825986"/>
    <w:rsid w:val="008263B5"/>
    <w:rsid w:val="00826958"/>
    <w:rsid w:val="00826AE6"/>
    <w:rsid w:val="00826D62"/>
    <w:rsid w:val="008273D7"/>
    <w:rsid w:val="00827DBB"/>
    <w:rsid w:val="00830674"/>
    <w:rsid w:val="00830D99"/>
    <w:rsid w:val="00831588"/>
    <w:rsid w:val="008320F3"/>
    <w:rsid w:val="00832D46"/>
    <w:rsid w:val="00833319"/>
    <w:rsid w:val="00833A03"/>
    <w:rsid w:val="00833BDA"/>
    <w:rsid w:val="0083483A"/>
    <w:rsid w:val="008348BE"/>
    <w:rsid w:val="00835DC1"/>
    <w:rsid w:val="008361BE"/>
    <w:rsid w:val="00836CFE"/>
    <w:rsid w:val="00836FA9"/>
    <w:rsid w:val="0083753C"/>
    <w:rsid w:val="00837FD2"/>
    <w:rsid w:val="0084063E"/>
    <w:rsid w:val="00840B48"/>
    <w:rsid w:val="00840CD1"/>
    <w:rsid w:val="00840D30"/>
    <w:rsid w:val="00840D5D"/>
    <w:rsid w:val="00841C72"/>
    <w:rsid w:val="00841EE5"/>
    <w:rsid w:val="00842335"/>
    <w:rsid w:val="00842409"/>
    <w:rsid w:val="00842B57"/>
    <w:rsid w:val="00842FB3"/>
    <w:rsid w:val="008430A7"/>
    <w:rsid w:val="008441E0"/>
    <w:rsid w:val="008442B4"/>
    <w:rsid w:val="008450F8"/>
    <w:rsid w:val="008455A5"/>
    <w:rsid w:val="00845C87"/>
    <w:rsid w:val="00845F08"/>
    <w:rsid w:val="008460FD"/>
    <w:rsid w:val="008468A2"/>
    <w:rsid w:val="00847087"/>
    <w:rsid w:val="00847AA9"/>
    <w:rsid w:val="00850A49"/>
    <w:rsid w:val="00850AEA"/>
    <w:rsid w:val="00851388"/>
    <w:rsid w:val="008518A3"/>
    <w:rsid w:val="00852824"/>
    <w:rsid w:val="00852CC6"/>
    <w:rsid w:val="00852FA8"/>
    <w:rsid w:val="00853060"/>
    <w:rsid w:val="0085368D"/>
    <w:rsid w:val="00853C8B"/>
    <w:rsid w:val="00853D1E"/>
    <w:rsid w:val="00853D61"/>
    <w:rsid w:val="00853E8B"/>
    <w:rsid w:val="00854A2D"/>
    <w:rsid w:val="00855A27"/>
    <w:rsid w:val="00855E4B"/>
    <w:rsid w:val="00855FC3"/>
    <w:rsid w:val="008566F9"/>
    <w:rsid w:val="00856EA5"/>
    <w:rsid w:val="008577FF"/>
    <w:rsid w:val="00857A1F"/>
    <w:rsid w:val="00857A5C"/>
    <w:rsid w:val="00857D29"/>
    <w:rsid w:val="00860244"/>
    <w:rsid w:val="0086040C"/>
    <w:rsid w:val="00860459"/>
    <w:rsid w:val="00861098"/>
    <w:rsid w:val="0086116B"/>
    <w:rsid w:val="008612C3"/>
    <w:rsid w:val="0086131D"/>
    <w:rsid w:val="00861471"/>
    <w:rsid w:val="00861FCB"/>
    <w:rsid w:val="0086227B"/>
    <w:rsid w:val="00862852"/>
    <w:rsid w:val="0086336F"/>
    <w:rsid w:val="008634B3"/>
    <w:rsid w:val="008636A5"/>
    <w:rsid w:val="00863859"/>
    <w:rsid w:val="008643BA"/>
    <w:rsid w:val="00865CA7"/>
    <w:rsid w:val="00865CF5"/>
    <w:rsid w:val="00865E89"/>
    <w:rsid w:val="008660D4"/>
    <w:rsid w:val="00866306"/>
    <w:rsid w:val="008666C1"/>
    <w:rsid w:val="00866AAF"/>
    <w:rsid w:val="0086726B"/>
    <w:rsid w:val="008674E2"/>
    <w:rsid w:val="008701FA"/>
    <w:rsid w:val="008704B6"/>
    <w:rsid w:val="00870531"/>
    <w:rsid w:val="00870EB1"/>
    <w:rsid w:val="00872864"/>
    <w:rsid w:val="008731B5"/>
    <w:rsid w:val="008733E7"/>
    <w:rsid w:val="00873726"/>
    <w:rsid w:val="00873BDB"/>
    <w:rsid w:val="00874003"/>
    <w:rsid w:val="008740BF"/>
    <w:rsid w:val="00874555"/>
    <w:rsid w:val="0087474B"/>
    <w:rsid w:val="00874CC5"/>
    <w:rsid w:val="0087591D"/>
    <w:rsid w:val="00875943"/>
    <w:rsid w:val="008765BD"/>
    <w:rsid w:val="00877259"/>
    <w:rsid w:val="00877CB8"/>
    <w:rsid w:val="00880323"/>
    <w:rsid w:val="00880D30"/>
    <w:rsid w:val="00880DBF"/>
    <w:rsid w:val="00880FA8"/>
    <w:rsid w:val="00881409"/>
    <w:rsid w:val="00881637"/>
    <w:rsid w:val="00881FA5"/>
    <w:rsid w:val="00883386"/>
    <w:rsid w:val="00883657"/>
    <w:rsid w:val="00883DCC"/>
    <w:rsid w:val="00883DD3"/>
    <w:rsid w:val="00884575"/>
    <w:rsid w:val="008845AC"/>
    <w:rsid w:val="0088588B"/>
    <w:rsid w:val="008858A1"/>
    <w:rsid w:val="008861C4"/>
    <w:rsid w:val="008868F3"/>
    <w:rsid w:val="00886CB0"/>
    <w:rsid w:val="0088748B"/>
    <w:rsid w:val="00887788"/>
    <w:rsid w:val="00887A2B"/>
    <w:rsid w:val="00887AE6"/>
    <w:rsid w:val="008904BF"/>
    <w:rsid w:val="00891293"/>
    <w:rsid w:val="00891300"/>
    <w:rsid w:val="008920BA"/>
    <w:rsid w:val="008923C4"/>
    <w:rsid w:val="008925CD"/>
    <w:rsid w:val="0089288A"/>
    <w:rsid w:val="008928B7"/>
    <w:rsid w:val="00892AD8"/>
    <w:rsid w:val="00893685"/>
    <w:rsid w:val="00893F03"/>
    <w:rsid w:val="00893FC7"/>
    <w:rsid w:val="00894DEC"/>
    <w:rsid w:val="00895677"/>
    <w:rsid w:val="008958AF"/>
    <w:rsid w:val="00896023"/>
    <w:rsid w:val="00896D60"/>
    <w:rsid w:val="008974F8"/>
    <w:rsid w:val="008977B0"/>
    <w:rsid w:val="00897FF6"/>
    <w:rsid w:val="008A0FAD"/>
    <w:rsid w:val="008A1588"/>
    <w:rsid w:val="008A2385"/>
    <w:rsid w:val="008A2814"/>
    <w:rsid w:val="008A2FAD"/>
    <w:rsid w:val="008A30A4"/>
    <w:rsid w:val="008A32B2"/>
    <w:rsid w:val="008A3358"/>
    <w:rsid w:val="008A3584"/>
    <w:rsid w:val="008A36DA"/>
    <w:rsid w:val="008A4474"/>
    <w:rsid w:val="008A48CE"/>
    <w:rsid w:val="008A4A41"/>
    <w:rsid w:val="008A5133"/>
    <w:rsid w:val="008A5DB6"/>
    <w:rsid w:val="008A5E97"/>
    <w:rsid w:val="008A663B"/>
    <w:rsid w:val="008A735B"/>
    <w:rsid w:val="008A7A40"/>
    <w:rsid w:val="008A7B06"/>
    <w:rsid w:val="008A7EF4"/>
    <w:rsid w:val="008B0293"/>
    <w:rsid w:val="008B05BF"/>
    <w:rsid w:val="008B09E3"/>
    <w:rsid w:val="008B15D1"/>
    <w:rsid w:val="008B1A8F"/>
    <w:rsid w:val="008B1B55"/>
    <w:rsid w:val="008B1E17"/>
    <w:rsid w:val="008B1F98"/>
    <w:rsid w:val="008B21CE"/>
    <w:rsid w:val="008B26A9"/>
    <w:rsid w:val="008B2BCA"/>
    <w:rsid w:val="008B3008"/>
    <w:rsid w:val="008B3437"/>
    <w:rsid w:val="008B365A"/>
    <w:rsid w:val="008B3763"/>
    <w:rsid w:val="008B3D9D"/>
    <w:rsid w:val="008B4101"/>
    <w:rsid w:val="008B421E"/>
    <w:rsid w:val="008B526A"/>
    <w:rsid w:val="008B548C"/>
    <w:rsid w:val="008B5C45"/>
    <w:rsid w:val="008B6E4C"/>
    <w:rsid w:val="008B6F57"/>
    <w:rsid w:val="008B7450"/>
    <w:rsid w:val="008B76B5"/>
    <w:rsid w:val="008B789C"/>
    <w:rsid w:val="008B7AC4"/>
    <w:rsid w:val="008B7BDC"/>
    <w:rsid w:val="008B7E9B"/>
    <w:rsid w:val="008C0596"/>
    <w:rsid w:val="008C090D"/>
    <w:rsid w:val="008C0F6E"/>
    <w:rsid w:val="008C12DB"/>
    <w:rsid w:val="008C14C7"/>
    <w:rsid w:val="008C2574"/>
    <w:rsid w:val="008C2B5D"/>
    <w:rsid w:val="008C3185"/>
    <w:rsid w:val="008C340C"/>
    <w:rsid w:val="008C4000"/>
    <w:rsid w:val="008C4BEC"/>
    <w:rsid w:val="008C4FC3"/>
    <w:rsid w:val="008C524D"/>
    <w:rsid w:val="008C52BA"/>
    <w:rsid w:val="008C541A"/>
    <w:rsid w:val="008C557F"/>
    <w:rsid w:val="008C5612"/>
    <w:rsid w:val="008C568D"/>
    <w:rsid w:val="008C60BF"/>
    <w:rsid w:val="008C6786"/>
    <w:rsid w:val="008C691C"/>
    <w:rsid w:val="008C6A36"/>
    <w:rsid w:val="008C6B39"/>
    <w:rsid w:val="008C77B7"/>
    <w:rsid w:val="008D0BDE"/>
    <w:rsid w:val="008D0D05"/>
    <w:rsid w:val="008D1009"/>
    <w:rsid w:val="008D14C9"/>
    <w:rsid w:val="008D1542"/>
    <w:rsid w:val="008D16E8"/>
    <w:rsid w:val="008D1EA7"/>
    <w:rsid w:val="008D2B05"/>
    <w:rsid w:val="008D2D60"/>
    <w:rsid w:val="008D2E97"/>
    <w:rsid w:val="008D37D5"/>
    <w:rsid w:val="008D3C95"/>
    <w:rsid w:val="008D4793"/>
    <w:rsid w:val="008D49AE"/>
    <w:rsid w:val="008D63BC"/>
    <w:rsid w:val="008D65F9"/>
    <w:rsid w:val="008D6889"/>
    <w:rsid w:val="008D71CE"/>
    <w:rsid w:val="008D7AE6"/>
    <w:rsid w:val="008D7CDF"/>
    <w:rsid w:val="008E03C8"/>
    <w:rsid w:val="008E068A"/>
    <w:rsid w:val="008E10E2"/>
    <w:rsid w:val="008E14E3"/>
    <w:rsid w:val="008E1D50"/>
    <w:rsid w:val="008E2632"/>
    <w:rsid w:val="008E3122"/>
    <w:rsid w:val="008E5B7C"/>
    <w:rsid w:val="008E5EDE"/>
    <w:rsid w:val="008E69A9"/>
    <w:rsid w:val="008E73C8"/>
    <w:rsid w:val="008E795D"/>
    <w:rsid w:val="008E7BA2"/>
    <w:rsid w:val="008F00B4"/>
    <w:rsid w:val="008F0505"/>
    <w:rsid w:val="008F061B"/>
    <w:rsid w:val="008F09A8"/>
    <w:rsid w:val="008F0B48"/>
    <w:rsid w:val="008F1F67"/>
    <w:rsid w:val="008F244C"/>
    <w:rsid w:val="008F259F"/>
    <w:rsid w:val="008F2C93"/>
    <w:rsid w:val="008F2D03"/>
    <w:rsid w:val="008F300F"/>
    <w:rsid w:val="008F396F"/>
    <w:rsid w:val="008F3B14"/>
    <w:rsid w:val="008F3CFC"/>
    <w:rsid w:val="008F4850"/>
    <w:rsid w:val="008F48C0"/>
    <w:rsid w:val="008F4FCF"/>
    <w:rsid w:val="008F54E7"/>
    <w:rsid w:val="008F56CB"/>
    <w:rsid w:val="008F5918"/>
    <w:rsid w:val="008F604F"/>
    <w:rsid w:val="008F65DF"/>
    <w:rsid w:val="008F6769"/>
    <w:rsid w:val="008F6ADD"/>
    <w:rsid w:val="008F7BC1"/>
    <w:rsid w:val="008F7C6E"/>
    <w:rsid w:val="0090087C"/>
    <w:rsid w:val="009009BB"/>
    <w:rsid w:val="00900BA2"/>
    <w:rsid w:val="00901041"/>
    <w:rsid w:val="0090152A"/>
    <w:rsid w:val="00901616"/>
    <w:rsid w:val="00901F7B"/>
    <w:rsid w:val="0090222F"/>
    <w:rsid w:val="009027A5"/>
    <w:rsid w:val="009029E9"/>
    <w:rsid w:val="00902AEB"/>
    <w:rsid w:val="00902CFC"/>
    <w:rsid w:val="009030A3"/>
    <w:rsid w:val="00903544"/>
    <w:rsid w:val="0090374D"/>
    <w:rsid w:val="009038BA"/>
    <w:rsid w:val="00904130"/>
    <w:rsid w:val="00904364"/>
    <w:rsid w:val="00904F35"/>
    <w:rsid w:val="009051E1"/>
    <w:rsid w:val="00905459"/>
    <w:rsid w:val="009056DD"/>
    <w:rsid w:val="00907927"/>
    <w:rsid w:val="00907FDB"/>
    <w:rsid w:val="009100F1"/>
    <w:rsid w:val="00910303"/>
    <w:rsid w:val="00910348"/>
    <w:rsid w:val="00910B53"/>
    <w:rsid w:val="00910DDF"/>
    <w:rsid w:val="00910EC9"/>
    <w:rsid w:val="00911696"/>
    <w:rsid w:val="0091282C"/>
    <w:rsid w:val="009130AF"/>
    <w:rsid w:val="009131CC"/>
    <w:rsid w:val="00913BC8"/>
    <w:rsid w:val="00914353"/>
    <w:rsid w:val="009143B0"/>
    <w:rsid w:val="0091478D"/>
    <w:rsid w:val="00914B55"/>
    <w:rsid w:val="0091517B"/>
    <w:rsid w:val="00915328"/>
    <w:rsid w:val="00915B9A"/>
    <w:rsid w:val="009171C0"/>
    <w:rsid w:val="00917900"/>
    <w:rsid w:val="0092039B"/>
    <w:rsid w:val="00920644"/>
    <w:rsid w:val="00920A9C"/>
    <w:rsid w:val="00920F96"/>
    <w:rsid w:val="009211A4"/>
    <w:rsid w:val="0092200C"/>
    <w:rsid w:val="00923565"/>
    <w:rsid w:val="0092388A"/>
    <w:rsid w:val="0092497A"/>
    <w:rsid w:val="00924F3F"/>
    <w:rsid w:val="00925504"/>
    <w:rsid w:val="00925508"/>
    <w:rsid w:val="009256B0"/>
    <w:rsid w:val="00926711"/>
    <w:rsid w:val="00926A82"/>
    <w:rsid w:val="00926BEA"/>
    <w:rsid w:val="009273C3"/>
    <w:rsid w:val="00930A80"/>
    <w:rsid w:val="00930D97"/>
    <w:rsid w:val="00930FAF"/>
    <w:rsid w:val="00931042"/>
    <w:rsid w:val="0093162D"/>
    <w:rsid w:val="0093199D"/>
    <w:rsid w:val="0093261A"/>
    <w:rsid w:val="0093316E"/>
    <w:rsid w:val="009332B7"/>
    <w:rsid w:val="00933930"/>
    <w:rsid w:val="00933A78"/>
    <w:rsid w:val="00933D8D"/>
    <w:rsid w:val="0093470A"/>
    <w:rsid w:val="009347C2"/>
    <w:rsid w:val="00934CE7"/>
    <w:rsid w:val="00934DB5"/>
    <w:rsid w:val="00935001"/>
    <w:rsid w:val="009356E0"/>
    <w:rsid w:val="00935CAF"/>
    <w:rsid w:val="00936D5B"/>
    <w:rsid w:val="00936E21"/>
    <w:rsid w:val="00937331"/>
    <w:rsid w:val="00937460"/>
    <w:rsid w:val="0093749E"/>
    <w:rsid w:val="00940273"/>
    <w:rsid w:val="00940510"/>
    <w:rsid w:val="00940BFF"/>
    <w:rsid w:val="00940D06"/>
    <w:rsid w:val="00940D12"/>
    <w:rsid w:val="00941336"/>
    <w:rsid w:val="00941569"/>
    <w:rsid w:val="009416E5"/>
    <w:rsid w:val="00941901"/>
    <w:rsid w:val="00941F4A"/>
    <w:rsid w:val="009427E0"/>
    <w:rsid w:val="009428D6"/>
    <w:rsid w:val="00942BF3"/>
    <w:rsid w:val="00942E38"/>
    <w:rsid w:val="0094399C"/>
    <w:rsid w:val="00943E30"/>
    <w:rsid w:val="00943FD2"/>
    <w:rsid w:val="009448AD"/>
    <w:rsid w:val="00945033"/>
    <w:rsid w:val="00945265"/>
    <w:rsid w:val="00945D79"/>
    <w:rsid w:val="00945FA0"/>
    <w:rsid w:val="00946397"/>
    <w:rsid w:val="009466D7"/>
    <w:rsid w:val="00947C54"/>
    <w:rsid w:val="00947CA7"/>
    <w:rsid w:val="00950769"/>
    <w:rsid w:val="00950889"/>
    <w:rsid w:val="00950C1F"/>
    <w:rsid w:val="009514BD"/>
    <w:rsid w:val="00951A96"/>
    <w:rsid w:val="009521A9"/>
    <w:rsid w:val="00952751"/>
    <w:rsid w:val="00953756"/>
    <w:rsid w:val="00954B72"/>
    <w:rsid w:val="009557E3"/>
    <w:rsid w:val="009559E9"/>
    <w:rsid w:val="009566E0"/>
    <w:rsid w:val="00957FC4"/>
    <w:rsid w:val="00960010"/>
    <w:rsid w:val="00960423"/>
    <w:rsid w:val="00960652"/>
    <w:rsid w:val="00961216"/>
    <w:rsid w:val="009613FF"/>
    <w:rsid w:val="00961844"/>
    <w:rsid w:val="00961C21"/>
    <w:rsid w:val="00961E1B"/>
    <w:rsid w:val="00961FB5"/>
    <w:rsid w:val="00961FB9"/>
    <w:rsid w:val="00962CE2"/>
    <w:rsid w:val="009633F8"/>
    <w:rsid w:val="00963B18"/>
    <w:rsid w:val="009644E9"/>
    <w:rsid w:val="00965237"/>
    <w:rsid w:val="00965884"/>
    <w:rsid w:val="00965BDB"/>
    <w:rsid w:val="00966382"/>
    <w:rsid w:val="00966505"/>
    <w:rsid w:val="0096687E"/>
    <w:rsid w:val="00966B61"/>
    <w:rsid w:val="0096769F"/>
    <w:rsid w:val="009678C6"/>
    <w:rsid w:val="00967900"/>
    <w:rsid w:val="009703CC"/>
    <w:rsid w:val="00970407"/>
    <w:rsid w:val="009708FD"/>
    <w:rsid w:val="00970AA0"/>
    <w:rsid w:val="00970C5B"/>
    <w:rsid w:val="00970EBA"/>
    <w:rsid w:val="00971218"/>
    <w:rsid w:val="00971258"/>
    <w:rsid w:val="009716D6"/>
    <w:rsid w:val="00971B10"/>
    <w:rsid w:val="00971D0B"/>
    <w:rsid w:val="0097271C"/>
    <w:rsid w:val="00973D3F"/>
    <w:rsid w:val="00974087"/>
    <w:rsid w:val="009743CC"/>
    <w:rsid w:val="0097529B"/>
    <w:rsid w:val="00975779"/>
    <w:rsid w:val="00975EF1"/>
    <w:rsid w:val="00975EFD"/>
    <w:rsid w:val="00976043"/>
    <w:rsid w:val="009765BE"/>
    <w:rsid w:val="00976C62"/>
    <w:rsid w:val="00976ED7"/>
    <w:rsid w:val="009770A2"/>
    <w:rsid w:val="00981364"/>
    <w:rsid w:val="00981E0E"/>
    <w:rsid w:val="00982C63"/>
    <w:rsid w:val="00983114"/>
    <w:rsid w:val="00983565"/>
    <w:rsid w:val="009836CF"/>
    <w:rsid w:val="00983B9A"/>
    <w:rsid w:val="00984336"/>
    <w:rsid w:val="009844E7"/>
    <w:rsid w:val="00984A0E"/>
    <w:rsid w:val="00985580"/>
    <w:rsid w:val="00986516"/>
    <w:rsid w:val="00986CD7"/>
    <w:rsid w:val="00990C55"/>
    <w:rsid w:val="0099144C"/>
    <w:rsid w:val="0099283B"/>
    <w:rsid w:val="00992B3C"/>
    <w:rsid w:val="009930B2"/>
    <w:rsid w:val="0099378C"/>
    <w:rsid w:val="0099380C"/>
    <w:rsid w:val="009948AB"/>
    <w:rsid w:val="00994EAA"/>
    <w:rsid w:val="0099620E"/>
    <w:rsid w:val="009969B9"/>
    <w:rsid w:val="00996A93"/>
    <w:rsid w:val="00996EF6"/>
    <w:rsid w:val="009971B0"/>
    <w:rsid w:val="009975B7"/>
    <w:rsid w:val="0099760B"/>
    <w:rsid w:val="009A004F"/>
    <w:rsid w:val="009A040B"/>
    <w:rsid w:val="009A0668"/>
    <w:rsid w:val="009A0CAD"/>
    <w:rsid w:val="009A1515"/>
    <w:rsid w:val="009A1B7A"/>
    <w:rsid w:val="009A22E7"/>
    <w:rsid w:val="009A2F5C"/>
    <w:rsid w:val="009A3E7E"/>
    <w:rsid w:val="009A3EF1"/>
    <w:rsid w:val="009A4461"/>
    <w:rsid w:val="009A506E"/>
    <w:rsid w:val="009A50D6"/>
    <w:rsid w:val="009A526E"/>
    <w:rsid w:val="009A5554"/>
    <w:rsid w:val="009A5BD1"/>
    <w:rsid w:val="009A6001"/>
    <w:rsid w:val="009A6E3D"/>
    <w:rsid w:val="009B0AEC"/>
    <w:rsid w:val="009B10BD"/>
    <w:rsid w:val="009B1A28"/>
    <w:rsid w:val="009B2B3D"/>
    <w:rsid w:val="009B3998"/>
    <w:rsid w:val="009B3BDE"/>
    <w:rsid w:val="009B4371"/>
    <w:rsid w:val="009B4872"/>
    <w:rsid w:val="009B592C"/>
    <w:rsid w:val="009B5D70"/>
    <w:rsid w:val="009B6FEC"/>
    <w:rsid w:val="009B7774"/>
    <w:rsid w:val="009B799D"/>
    <w:rsid w:val="009B7FB2"/>
    <w:rsid w:val="009C0072"/>
    <w:rsid w:val="009C05D8"/>
    <w:rsid w:val="009C07E9"/>
    <w:rsid w:val="009C0B00"/>
    <w:rsid w:val="009C1294"/>
    <w:rsid w:val="009C200F"/>
    <w:rsid w:val="009C2637"/>
    <w:rsid w:val="009C2A20"/>
    <w:rsid w:val="009C2B58"/>
    <w:rsid w:val="009C2D26"/>
    <w:rsid w:val="009C300D"/>
    <w:rsid w:val="009C3257"/>
    <w:rsid w:val="009C3641"/>
    <w:rsid w:val="009C44AC"/>
    <w:rsid w:val="009C4848"/>
    <w:rsid w:val="009C488D"/>
    <w:rsid w:val="009C48B5"/>
    <w:rsid w:val="009C49BB"/>
    <w:rsid w:val="009C4BBC"/>
    <w:rsid w:val="009C524B"/>
    <w:rsid w:val="009C5647"/>
    <w:rsid w:val="009C5835"/>
    <w:rsid w:val="009C5AE8"/>
    <w:rsid w:val="009C6244"/>
    <w:rsid w:val="009C6A28"/>
    <w:rsid w:val="009C7031"/>
    <w:rsid w:val="009C71C2"/>
    <w:rsid w:val="009C734E"/>
    <w:rsid w:val="009C784B"/>
    <w:rsid w:val="009C7950"/>
    <w:rsid w:val="009C7963"/>
    <w:rsid w:val="009D054E"/>
    <w:rsid w:val="009D1031"/>
    <w:rsid w:val="009D1462"/>
    <w:rsid w:val="009D1554"/>
    <w:rsid w:val="009D2008"/>
    <w:rsid w:val="009D225A"/>
    <w:rsid w:val="009D2455"/>
    <w:rsid w:val="009D29B3"/>
    <w:rsid w:val="009D3524"/>
    <w:rsid w:val="009D3737"/>
    <w:rsid w:val="009D42D2"/>
    <w:rsid w:val="009D4C67"/>
    <w:rsid w:val="009D53AA"/>
    <w:rsid w:val="009D55C4"/>
    <w:rsid w:val="009D5C33"/>
    <w:rsid w:val="009D6396"/>
    <w:rsid w:val="009D7897"/>
    <w:rsid w:val="009D7D3B"/>
    <w:rsid w:val="009E00E8"/>
    <w:rsid w:val="009E06D9"/>
    <w:rsid w:val="009E06DB"/>
    <w:rsid w:val="009E0D34"/>
    <w:rsid w:val="009E17BB"/>
    <w:rsid w:val="009E18C4"/>
    <w:rsid w:val="009E1E98"/>
    <w:rsid w:val="009E2254"/>
    <w:rsid w:val="009E2348"/>
    <w:rsid w:val="009E26C7"/>
    <w:rsid w:val="009E32D0"/>
    <w:rsid w:val="009E34BD"/>
    <w:rsid w:val="009E36BB"/>
    <w:rsid w:val="009E4200"/>
    <w:rsid w:val="009E48B9"/>
    <w:rsid w:val="009E4954"/>
    <w:rsid w:val="009E4C4C"/>
    <w:rsid w:val="009E5244"/>
    <w:rsid w:val="009E5640"/>
    <w:rsid w:val="009E5D89"/>
    <w:rsid w:val="009E5DAC"/>
    <w:rsid w:val="009E6611"/>
    <w:rsid w:val="009E6A84"/>
    <w:rsid w:val="009E6C88"/>
    <w:rsid w:val="009E71B2"/>
    <w:rsid w:val="009E731B"/>
    <w:rsid w:val="009E7A3F"/>
    <w:rsid w:val="009F01F0"/>
    <w:rsid w:val="009F1207"/>
    <w:rsid w:val="009F1D23"/>
    <w:rsid w:val="009F1DEB"/>
    <w:rsid w:val="009F222C"/>
    <w:rsid w:val="009F343F"/>
    <w:rsid w:val="009F4519"/>
    <w:rsid w:val="009F5222"/>
    <w:rsid w:val="009F5769"/>
    <w:rsid w:val="009F6084"/>
    <w:rsid w:val="009F6166"/>
    <w:rsid w:val="009F6B8C"/>
    <w:rsid w:val="009F76BE"/>
    <w:rsid w:val="00A00ADA"/>
    <w:rsid w:val="00A00BA9"/>
    <w:rsid w:val="00A00CED"/>
    <w:rsid w:val="00A00EE8"/>
    <w:rsid w:val="00A01573"/>
    <w:rsid w:val="00A018B8"/>
    <w:rsid w:val="00A01D1B"/>
    <w:rsid w:val="00A0200C"/>
    <w:rsid w:val="00A0214F"/>
    <w:rsid w:val="00A027EB"/>
    <w:rsid w:val="00A03160"/>
    <w:rsid w:val="00A043EF"/>
    <w:rsid w:val="00A04585"/>
    <w:rsid w:val="00A05229"/>
    <w:rsid w:val="00A05662"/>
    <w:rsid w:val="00A0570A"/>
    <w:rsid w:val="00A05F09"/>
    <w:rsid w:val="00A06D7F"/>
    <w:rsid w:val="00A06F6C"/>
    <w:rsid w:val="00A07220"/>
    <w:rsid w:val="00A078C0"/>
    <w:rsid w:val="00A0793B"/>
    <w:rsid w:val="00A07AB0"/>
    <w:rsid w:val="00A07E69"/>
    <w:rsid w:val="00A07FB4"/>
    <w:rsid w:val="00A1004B"/>
    <w:rsid w:val="00A105B0"/>
    <w:rsid w:val="00A10A79"/>
    <w:rsid w:val="00A10D7B"/>
    <w:rsid w:val="00A11688"/>
    <w:rsid w:val="00A1175B"/>
    <w:rsid w:val="00A11CC6"/>
    <w:rsid w:val="00A12240"/>
    <w:rsid w:val="00A124BD"/>
    <w:rsid w:val="00A139FE"/>
    <w:rsid w:val="00A1446F"/>
    <w:rsid w:val="00A14571"/>
    <w:rsid w:val="00A15640"/>
    <w:rsid w:val="00A16112"/>
    <w:rsid w:val="00A16CEE"/>
    <w:rsid w:val="00A1703B"/>
    <w:rsid w:val="00A2017C"/>
    <w:rsid w:val="00A2029F"/>
    <w:rsid w:val="00A21E1C"/>
    <w:rsid w:val="00A22156"/>
    <w:rsid w:val="00A223F1"/>
    <w:rsid w:val="00A22C44"/>
    <w:rsid w:val="00A23A6F"/>
    <w:rsid w:val="00A23F93"/>
    <w:rsid w:val="00A23FA0"/>
    <w:rsid w:val="00A24060"/>
    <w:rsid w:val="00A24C51"/>
    <w:rsid w:val="00A24EA8"/>
    <w:rsid w:val="00A25123"/>
    <w:rsid w:val="00A254ED"/>
    <w:rsid w:val="00A25C12"/>
    <w:rsid w:val="00A25D5E"/>
    <w:rsid w:val="00A26257"/>
    <w:rsid w:val="00A26A17"/>
    <w:rsid w:val="00A26C43"/>
    <w:rsid w:val="00A26E97"/>
    <w:rsid w:val="00A279C2"/>
    <w:rsid w:val="00A30020"/>
    <w:rsid w:val="00A3031C"/>
    <w:rsid w:val="00A309A6"/>
    <w:rsid w:val="00A30E4B"/>
    <w:rsid w:val="00A3151B"/>
    <w:rsid w:val="00A31727"/>
    <w:rsid w:val="00A31F32"/>
    <w:rsid w:val="00A322AA"/>
    <w:rsid w:val="00A32575"/>
    <w:rsid w:val="00A32C7C"/>
    <w:rsid w:val="00A332B2"/>
    <w:rsid w:val="00A3332F"/>
    <w:rsid w:val="00A3345A"/>
    <w:rsid w:val="00A3362F"/>
    <w:rsid w:val="00A33CE5"/>
    <w:rsid w:val="00A343E9"/>
    <w:rsid w:val="00A347D3"/>
    <w:rsid w:val="00A35129"/>
    <w:rsid w:val="00A35864"/>
    <w:rsid w:val="00A35B08"/>
    <w:rsid w:val="00A35C03"/>
    <w:rsid w:val="00A364FB"/>
    <w:rsid w:val="00A36733"/>
    <w:rsid w:val="00A37077"/>
    <w:rsid w:val="00A371DF"/>
    <w:rsid w:val="00A373FC"/>
    <w:rsid w:val="00A37451"/>
    <w:rsid w:val="00A403FB"/>
    <w:rsid w:val="00A40410"/>
    <w:rsid w:val="00A40DC3"/>
    <w:rsid w:val="00A41B81"/>
    <w:rsid w:val="00A41E8F"/>
    <w:rsid w:val="00A4202C"/>
    <w:rsid w:val="00A4245F"/>
    <w:rsid w:val="00A42473"/>
    <w:rsid w:val="00A43A00"/>
    <w:rsid w:val="00A43D6E"/>
    <w:rsid w:val="00A43F98"/>
    <w:rsid w:val="00A454C7"/>
    <w:rsid w:val="00A454F2"/>
    <w:rsid w:val="00A45A69"/>
    <w:rsid w:val="00A4653F"/>
    <w:rsid w:val="00A46F95"/>
    <w:rsid w:val="00A470CE"/>
    <w:rsid w:val="00A4714C"/>
    <w:rsid w:val="00A47477"/>
    <w:rsid w:val="00A478F0"/>
    <w:rsid w:val="00A50338"/>
    <w:rsid w:val="00A50B94"/>
    <w:rsid w:val="00A50C5F"/>
    <w:rsid w:val="00A5111B"/>
    <w:rsid w:val="00A517BB"/>
    <w:rsid w:val="00A51ADC"/>
    <w:rsid w:val="00A52060"/>
    <w:rsid w:val="00A5222D"/>
    <w:rsid w:val="00A52703"/>
    <w:rsid w:val="00A5297D"/>
    <w:rsid w:val="00A52998"/>
    <w:rsid w:val="00A53D5B"/>
    <w:rsid w:val="00A53F6C"/>
    <w:rsid w:val="00A541AC"/>
    <w:rsid w:val="00A54302"/>
    <w:rsid w:val="00A547A6"/>
    <w:rsid w:val="00A54C74"/>
    <w:rsid w:val="00A54C77"/>
    <w:rsid w:val="00A552AC"/>
    <w:rsid w:val="00A5564F"/>
    <w:rsid w:val="00A56193"/>
    <w:rsid w:val="00A5645B"/>
    <w:rsid w:val="00A568BE"/>
    <w:rsid w:val="00A56973"/>
    <w:rsid w:val="00A56FB3"/>
    <w:rsid w:val="00A573F4"/>
    <w:rsid w:val="00A57BCF"/>
    <w:rsid w:val="00A57DDB"/>
    <w:rsid w:val="00A57F82"/>
    <w:rsid w:val="00A60054"/>
    <w:rsid w:val="00A606D3"/>
    <w:rsid w:val="00A60E84"/>
    <w:rsid w:val="00A611DD"/>
    <w:rsid w:val="00A615E3"/>
    <w:rsid w:val="00A61C59"/>
    <w:rsid w:val="00A6275E"/>
    <w:rsid w:val="00A62CBE"/>
    <w:rsid w:val="00A63099"/>
    <w:rsid w:val="00A63BF4"/>
    <w:rsid w:val="00A63CDC"/>
    <w:rsid w:val="00A64836"/>
    <w:rsid w:val="00A65671"/>
    <w:rsid w:val="00A6581C"/>
    <w:rsid w:val="00A65D88"/>
    <w:rsid w:val="00A660D2"/>
    <w:rsid w:val="00A6616A"/>
    <w:rsid w:val="00A66509"/>
    <w:rsid w:val="00A6683A"/>
    <w:rsid w:val="00A66EF3"/>
    <w:rsid w:val="00A67991"/>
    <w:rsid w:val="00A67A2B"/>
    <w:rsid w:val="00A70444"/>
    <w:rsid w:val="00A70522"/>
    <w:rsid w:val="00A71DF4"/>
    <w:rsid w:val="00A720F1"/>
    <w:rsid w:val="00A72971"/>
    <w:rsid w:val="00A72EE1"/>
    <w:rsid w:val="00A7385F"/>
    <w:rsid w:val="00A73B58"/>
    <w:rsid w:val="00A73F6E"/>
    <w:rsid w:val="00A7578D"/>
    <w:rsid w:val="00A758E3"/>
    <w:rsid w:val="00A75AED"/>
    <w:rsid w:val="00A75CDD"/>
    <w:rsid w:val="00A75F29"/>
    <w:rsid w:val="00A76647"/>
    <w:rsid w:val="00A76D68"/>
    <w:rsid w:val="00A8154F"/>
    <w:rsid w:val="00A81749"/>
    <w:rsid w:val="00A817B2"/>
    <w:rsid w:val="00A8192B"/>
    <w:rsid w:val="00A81B19"/>
    <w:rsid w:val="00A81ED8"/>
    <w:rsid w:val="00A83D3D"/>
    <w:rsid w:val="00A83D42"/>
    <w:rsid w:val="00A84B58"/>
    <w:rsid w:val="00A85931"/>
    <w:rsid w:val="00A85E97"/>
    <w:rsid w:val="00A86608"/>
    <w:rsid w:val="00A8690A"/>
    <w:rsid w:val="00A873CC"/>
    <w:rsid w:val="00A87835"/>
    <w:rsid w:val="00A8793C"/>
    <w:rsid w:val="00A87A1B"/>
    <w:rsid w:val="00A90334"/>
    <w:rsid w:val="00A90778"/>
    <w:rsid w:val="00A90E0F"/>
    <w:rsid w:val="00A9178F"/>
    <w:rsid w:val="00A91DA4"/>
    <w:rsid w:val="00A91E7C"/>
    <w:rsid w:val="00A92095"/>
    <w:rsid w:val="00A93179"/>
    <w:rsid w:val="00A939DF"/>
    <w:rsid w:val="00A93D53"/>
    <w:rsid w:val="00A93DC9"/>
    <w:rsid w:val="00A93FEF"/>
    <w:rsid w:val="00A945C7"/>
    <w:rsid w:val="00A94C6A"/>
    <w:rsid w:val="00A94E16"/>
    <w:rsid w:val="00A953F8"/>
    <w:rsid w:val="00A95BD3"/>
    <w:rsid w:val="00A95E89"/>
    <w:rsid w:val="00A96059"/>
    <w:rsid w:val="00A96424"/>
    <w:rsid w:val="00A96C3E"/>
    <w:rsid w:val="00A96FF7"/>
    <w:rsid w:val="00A97CB8"/>
    <w:rsid w:val="00AA02F9"/>
    <w:rsid w:val="00AA18BB"/>
    <w:rsid w:val="00AA20D4"/>
    <w:rsid w:val="00AA214F"/>
    <w:rsid w:val="00AA223A"/>
    <w:rsid w:val="00AA233A"/>
    <w:rsid w:val="00AA2BF5"/>
    <w:rsid w:val="00AA3988"/>
    <w:rsid w:val="00AA41A2"/>
    <w:rsid w:val="00AA438F"/>
    <w:rsid w:val="00AA54EF"/>
    <w:rsid w:val="00AA58E1"/>
    <w:rsid w:val="00AA5D35"/>
    <w:rsid w:val="00AA6252"/>
    <w:rsid w:val="00AA670A"/>
    <w:rsid w:val="00AA6D7D"/>
    <w:rsid w:val="00AA7122"/>
    <w:rsid w:val="00AA730C"/>
    <w:rsid w:val="00AB071A"/>
    <w:rsid w:val="00AB1DB4"/>
    <w:rsid w:val="00AB22E2"/>
    <w:rsid w:val="00AB2864"/>
    <w:rsid w:val="00AB3DA7"/>
    <w:rsid w:val="00AB4122"/>
    <w:rsid w:val="00AB4773"/>
    <w:rsid w:val="00AB5050"/>
    <w:rsid w:val="00AB510A"/>
    <w:rsid w:val="00AB5422"/>
    <w:rsid w:val="00AB5BB1"/>
    <w:rsid w:val="00AB6568"/>
    <w:rsid w:val="00AB71DE"/>
    <w:rsid w:val="00AB7295"/>
    <w:rsid w:val="00AB733F"/>
    <w:rsid w:val="00AB7FCD"/>
    <w:rsid w:val="00AC0C88"/>
    <w:rsid w:val="00AC1223"/>
    <w:rsid w:val="00AC17B7"/>
    <w:rsid w:val="00AC1823"/>
    <w:rsid w:val="00AC1A10"/>
    <w:rsid w:val="00AC24AB"/>
    <w:rsid w:val="00AC27EC"/>
    <w:rsid w:val="00AC3464"/>
    <w:rsid w:val="00AC35B6"/>
    <w:rsid w:val="00AC37E3"/>
    <w:rsid w:val="00AC3BD5"/>
    <w:rsid w:val="00AC4B0B"/>
    <w:rsid w:val="00AC4EEC"/>
    <w:rsid w:val="00AC6D47"/>
    <w:rsid w:val="00AD039B"/>
    <w:rsid w:val="00AD098A"/>
    <w:rsid w:val="00AD0D68"/>
    <w:rsid w:val="00AD1839"/>
    <w:rsid w:val="00AD1B43"/>
    <w:rsid w:val="00AD257D"/>
    <w:rsid w:val="00AD28C3"/>
    <w:rsid w:val="00AD2A9B"/>
    <w:rsid w:val="00AD351F"/>
    <w:rsid w:val="00AD3572"/>
    <w:rsid w:val="00AD387A"/>
    <w:rsid w:val="00AD39BE"/>
    <w:rsid w:val="00AD400A"/>
    <w:rsid w:val="00AD45EA"/>
    <w:rsid w:val="00AD492D"/>
    <w:rsid w:val="00AD4C83"/>
    <w:rsid w:val="00AD4FEC"/>
    <w:rsid w:val="00AD5C27"/>
    <w:rsid w:val="00AD6851"/>
    <w:rsid w:val="00AD68DB"/>
    <w:rsid w:val="00AD704B"/>
    <w:rsid w:val="00AD783B"/>
    <w:rsid w:val="00AE0468"/>
    <w:rsid w:val="00AE0E44"/>
    <w:rsid w:val="00AE1006"/>
    <w:rsid w:val="00AE10D9"/>
    <w:rsid w:val="00AE136D"/>
    <w:rsid w:val="00AE1C18"/>
    <w:rsid w:val="00AE21D3"/>
    <w:rsid w:val="00AE2C3D"/>
    <w:rsid w:val="00AE2E80"/>
    <w:rsid w:val="00AE2FF9"/>
    <w:rsid w:val="00AE3122"/>
    <w:rsid w:val="00AE3B7F"/>
    <w:rsid w:val="00AE4E05"/>
    <w:rsid w:val="00AE6C2B"/>
    <w:rsid w:val="00AE6E53"/>
    <w:rsid w:val="00AE729E"/>
    <w:rsid w:val="00AE764C"/>
    <w:rsid w:val="00AE77FF"/>
    <w:rsid w:val="00AE7FB1"/>
    <w:rsid w:val="00AF090B"/>
    <w:rsid w:val="00AF0C5F"/>
    <w:rsid w:val="00AF100E"/>
    <w:rsid w:val="00AF12F4"/>
    <w:rsid w:val="00AF14B7"/>
    <w:rsid w:val="00AF1AC8"/>
    <w:rsid w:val="00AF1C28"/>
    <w:rsid w:val="00AF2074"/>
    <w:rsid w:val="00AF213A"/>
    <w:rsid w:val="00AF251D"/>
    <w:rsid w:val="00AF41B4"/>
    <w:rsid w:val="00AF41E4"/>
    <w:rsid w:val="00AF4575"/>
    <w:rsid w:val="00AF47B3"/>
    <w:rsid w:val="00AF58BB"/>
    <w:rsid w:val="00AF5ADA"/>
    <w:rsid w:val="00AF5BF1"/>
    <w:rsid w:val="00AF6545"/>
    <w:rsid w:val="00AF689A"/>
    <w:rsid w:val="00AF712E"/>
    <w:rsid w:val="00AF7231"/>
    <w:rsid w:val="00AF7C16"/>
    <w:rsid w:val="00AF7EA5"/>
    <w:rsid w:val="00B003CA"/>
    <w:rsid w:val="00B01E39"/>
    <w:rsid w:val="00B02796"/>
    <w:rsid w:val="00B027A5"/>
    <w:rsid w:val="00B03500"/>
    <w:rsid w:val="00B035EA"/>
    <w:rsid w:val="00B037E5"/>
    <w:rsid w:val="00B0391E"/>
    <w:rsid w:val="00B0394F"/>
    <w:rsid w:val="00B04240"/>
    <w:rsid w:val="00B044B2"/>
    <w:rsid w:val="00B04DAD"/>
    <w:rsid w:val="00B04E46"/>
    <w:rsid w:val="00B0534A"/>
    <w:rsid w:val="00B05408"/>
    <w:rsid w:val="00B0551B"/>
    <w:rsid w:val="00B0570D"/>
    <w:rsid w:val="00B0585D"/>
    <w:rsid w:val="00B0589D"/>
    <w:rsid w:val="00B05EB0"/>
    <w:rsid w:val="00B06977"/>
    <w:rsid w:val="00B06CCC"/>
    <w:rsid w:val="00B070D0"/>
    <w:rsid w:val="00B07B59"/>
    <w:rsid w:val="00B1043C"/>
    <w:rsid w:val="00B10B0B"/>
    <w:rsid w:val="00B11228"/>
    <w:rsid w:val="00B11320"/>
    <w:rsid w:val="00B1150D"/>
    <w:rsid w:val="00B115D7"/>
    <w:rsid w:val="00B11923"/>
    <w:rsid w:val="00B11A59"/>
    <w:rsid w:val="00B11C02"/>
    <w:rsid w:val="00B11CDF"/>
    <w:rsid w:val="00B11D50"/>
    <w:rsid w:val="00B11F4B"/>
    <w:rsid w:val="00B1328A"/>
    <w:rsid w:val="00B13749"/>
    <w:rsid w:val="00B13C50"/>
    <w:rsid w:val="00B140AF"/>
    <w:rsid w:val="00B144EA"/>
    <w:rsid w:val="00B145AF"/>
    <w:rsid w:val="00B145B3"/>
    <w:rsid w:val="00B149D7"/>
    <w:rsid w:val="00B16604"/>
    <w:rsid w:val="00B16AB9"/>
    <w:rsid w:val="00B16C95"/>
    <w:rsid w:val="00B17069"/>
    <w:rsid w:val="00B172CE"/>
    <w:rsid w:val="00B1732E"/>
    <w:rsid w:val="00B17990"/>
    <w:rsid w:val="00B21700"/>
    <w:rsid w:val="00B21F11"/>
    <w:rsid w:val="00B21F9B"/>
    <w:rsid w:val="00B22875"/>
    <w:rsid w:val="00B22CFA"/>
    <w:rsid w:val="00B22D54"/>
    <w:rsid w:val="00B23AAD"/>
    <w:rsid w:val="00B23CF1"/>
    <w:rsid w:val="00B23D11"/>
    <w:rsid w:val="00B2452C"/>
    <w:rsid w:val="00B246E4"/>
    <w:rsid w:val="00B24727"/>
    <w:rsid w:val="00B24BAD"/>
    <w:rsid w:val="00B24E0E"/>
    <w:rsid w:val="00B24F32"/>
    <w:rsid w:val="00B2546C"/>
    <w:rsid w:val="00B25573"/>
    <w:rsid w:val="00B25852"/>
    <w:rsid w:val="00B25F7A"/>
    <w:rsid w:val="00B26764"/>
    <w:rsid w:val="00B2687C"/>
    <w:rsid w:val="00B26C83"/>
    <w:rsid w:val="00B270DD"/>
    <w:rsid w:val="00B2754F"/>
    <w:rsid w:val="00B30596"/>
    <w:rsid w:val="00B31879"/>
    <w:rsid w:val="00B31FAF"/>
    <w:rsid w:val="00B33252"/>
    <w:rsid w:val="00B33BCC"/>
    <w:rsid w:val="00B33D31"/>
    <w:rsid w:val="00B340F1"/>
    <w:rsid w:val="00B34306"/>
    <w:rsid w:val="00B34403"/>
    <w:rsid w:val="00B3441E"/>
    <w:rsid w:val="00B3464F"/>
    <w:rsid w:val="00B347FA"/>
    <w:rsid w:val="00B34FB4"/>
    <w:rsid w:val="00B367A3"/>
    <w:rsid w:val="00B37984"/>
    <w:rsid w:val="00B37B19"/>
    <w:rsid w:val="00B37F0C"/>
    <w:rsid w:val="00B37FFB"/>
    <w:rsid w:val="00B40868"/>
    <w:rsid w:val="00B40A0D"/>
    <w:rsid w:val="00B41F29"/>
    <w:rsid w:val="00B42CC7"/>
    <w:rsid w:val="00B42CE8"/>
    <w:rsid w:val="00B43C35"/>
    <w:rsid w:val="00B43ECC"/>
    <w:rsid w:val="00B44432"/>
    <w:rsid w:val="00B4550E"/>
    <w:rsid w:val="00B45C2E"/>
    <w:rsid w:val="00B45D53"/>
    <w:rsid w:val="00B45D83"/>
    <w:rsid w:val="00B45F5D"/>
    <w:rsid w:val="00B45FD0"/>
    <w:rsid w:val="00B45FFC"/>
    <w:rsid w:val="00B4634A"/>
    <w:rsid w:val="00B46F0A"/>
    <w:rsid w:val="00B470B4"/>
    <w:rsid w:val="00B47282"/>
    <w:rsid w:val="00B474B0"/>
    <w:rsid w:val="00B47741"/>
    <w:rsid w:val="00B478BA"/>
    <w:rsid w:val="00B47DF3"/>
    <w:rsid w:val="00B500C0"/>
    <w:rsid w:val="00B50314"/>
    <w:rsid w:val="00B5057C"/>
    <w:rsid w:val="00B50799"/>
    <w:rsid w:val="00B50B1A"/>
    <w:rsid w:val="00B5152D"/>
    <w:rsid w:val="00B51855"/>
    <w:rsid w:val="00B51E5F"/>
    <w:rsid w:val="00B5263F"/>
    <w:rsid w:val="00B52873"/>
    <w:rsid w:val="00B52986"/>
    <w:rsid w:val="00B52D8C"/>
    <w:rsid w:val="00B531F8"/>
    <w:rsid w:val="00B53492"/>
    <w:rsid w:val="00B5419A"/>
    <w:rsid w:val="00B542EB"/>
    <w:rsid w:val="00B54A53"/>
    <w:rsid w:val="00B54D8A"/>
    <w:rsid w:val="00B55386"/>
    <w:rsid w:val="00B553B5"/>
    <w:rsid w:val="00B55655"/>
    <w:rsid w:val="00B55A9B"/>
    <w:rsid w:val="00B55E5B"/>
    <w:rsid w:val="00B564E5"/>
    <w:rsid w:val="00B57A83"/>
    <w:rsid w:val="00B57C13"/>
    <w:rsid w:val="00B60DE6"/>
    <w:rsid w:val="00B610AE"/>
    <w:rsid w:val="00B610D0"/>
    <w:rsid w:val="00B618C0"/>
    <w:rsid w:val="00B618C5"/>
    <w:rsid w:val="00B62016"/>
    <w:rsid w:val="00B623D2"/>
    <w:rsid w:val="00B6243D"/>
    <w:rsid w:val="00B62D6E"/>
    <w:rsid w:val="00B631DE"/>
    <w:rsid w:val="00B64EC4"/>
    <w:rsid w:val="00B652F1"/>
    <w:rsid w:val="00B65C43"/>
    <w:rsid w:val="00B65FBF"/>
    <w:rsid w:val="00B6607C"/>
    <w:rsid w:val="00B674C4"/>
    <w:rsid w:val="00B71F84"/>
    <w:rsid w:val="00B720D1"/>
    <w:rsid w:val="00B72A79"/>
    <w:rsid w:val="00B72C1B"/>
    <w:rsid w:val="00B733B4"/>
    <w:rsid w:val="00B73AD8"/>
    <w:rsid w:val="00B73DBA"/>
    <w:rsid w:val="00B74982"/>
    <w:rsid w:val="00B74F87"/>
    <w:rsid w:val="00B7527F"/>
    <w:rsid w:val="00B75B39"/>
    <w:rsid w:val="00B75D41"/>
    <w:rsid w:val="00B75D8D"/>
    <w:rsid w:val="00B75FDC"/>
    <w:rsid w:val="00B76468"/>
    <w:rsid w:val="00B765A7"/>
    <w:rsid w:val="00B76CCE"/>
    <w:rsid w:val="00B77191"/>
    <w:rsid w:val="00B7729B"/>
    <w:rsid w:val="00B77478"/>
    <w:rsid w:val="00B775A5"/>
    <w:rsid w:val="00B77774"/>
    <w:rsid w:val="00B77949"/>
    <w:rsid w:val="00B8015F"/>
    <w:rsid w:val="00B81135"/>
    <w:rsid w:val="00B818A4"/>
    <w:rsid w:val="00B81EFD"/>
    <w:rsid w:val="00B823D3"/>
    <w:rsid w:val="00B828C3"/>
    <w:rsid w:val="00B82CFA"/>
    <w:rsid w:val="00B82F1E"/>
    <w:rsid w:val="00B82FFE"/>
    <w:rsid w:val="00B8380B"/>
    <w:rsid w:val="00B83B0D"/>
    <w:rsid w:val="00B83B1E"/>
    <w:rsid w:val="00B83F09"/>
    <w:rsid w:val="00B83FF7"/>
    <w:rsid w:val="00B844F0"/>
    <w:rsid w:val="00B8459B"/>
    <w:rsid w:val="00B84A0E"/>
    <w:rsid w:val="00B84FF4"/>
    <w:rsid w:val="00B85027"/>
    <w:rsid w:val="00B85337"/>
    <w:rsid w:val="00B85556"/>
    <w:rsid w:val="00B85B76"/>
    <w:rsid w:val="00B862E8"/>
    <w:rsid w:val="00B863FB"/>
    <w:rsid w:val="00B865B3"/>
    <w:rsid w:val="00B86C3C"/>
    <w:rsid w:val="00B86D11"/>
    <w:rsid w:val="00B872E1"/>
    <w:rsid w:val="00B8790F"/>
    <w:rsid w:val="00B87B0B"/>
    <w:rsid w:val="00B905BF"/>
    <w:rsid w:val="00B90717"/>
    <w:rsid w:val="00B90719"/>
    <w:rsid w:val="00B90C53"/>
    <w:rsid w:val="00B90C6C"/>
    <w:rsid w:val="00B91210"/>
    <w:rsid w:val="00B914B3"/>
    <w:rsid w:val="00B918E0"/>
    <w:rsid w:val="00B91C91"/>
    <w:rsid w:val="00B91E6F"/>
    <w:rsid w:val="00B9218C"/>
    <w:rsid w:val="00B92637"/>
    <w:rsid w:val="00B92771"/>
    <w:rsid w:val="00B92A8E"/>
    <w:rsid w:val="00B92C6C"/>
    <w:rsid w:val="00B92D24"/>
    <w:rsid w:val="00B92FA7"/>
    <w:rsid w:val="00B937FF"/>
    <w:rsid w:val="00B945EC"/>
    <w:rsid w:val="00B94E00"/>
    <w:rsid w:val="00B9534C"/>
    <w:rsid w:val="00B95501"/>
    <w:rsid w:val="00B95848"/>
    <w:rsid w:val="00B95ECE"/>
    <w:rsid w:val="00B95F7D"/>
    <w:rsid w:val="00B967CC"/>
    <w:rsid w:val="00B96964"/>
    <w:rsid w:val="00B9699D"/>
    <w:rsid w:val="00B9775F"/>
    <w:rsid w:val="00B97ED1"/>
    <w:rsid w:val="00BA02A7"/>
    <w:rsid w:val="00BA0761"/>
    <w:rsid w:val="00BA0AF9"/>
    <w:rsid w:val="00BA123C"/>
    <w:rsid w:val="00BA15EF"/>
    <w:rsid w:val="00BA17DB"/>
    <w:rsid w:val="00BA1A23"/>
    <w:rsid w:val="00BA1B24"/>
    <w:rsid w:val="00BA1C0D"/>
    <w:rsid w:val="00BA1CAB"/>
    <w:rsid w:val="00BA1D75"/>
    <w:rsid w:val="00BA2644"/>
    <w:rsid w:val="00BA2B89"/>
    <w:rsid w:val="00BA2C4D"/>
    <w:rsid w:val="00BA2FAF"/>
    <w:rsid w:val="00BA3764"/>
    <w:rsid w:val="00BA3BA1"/>
    <w:rsid w:val="00BA3C5B"/>
    <w:rsid w:val="00BA3D2E"/>
    <w:rsid w:val="00BA3DDE"/>
    <w:rsid w:val="00BA441C"/>
    <w:rsid w:val="00BA4545"/>
    <w:rsid w:val="00BA4582"/>
    <w:rsid w:val="00BA4E79"/>
    <w:rsid w:val="00BA51F9"/>
    <w:rsid w:val="00BA576C"/>
    <w:rsid w:val="00BA5A60"/>
    <w:rsid w:val="00BA6109"/>
    <w:rsid w:val="00BA6CA0"/>
    <w:rsid w:val="00BA7CDD"/>
    <w:rsid w:val="00BB0BA5"/>
    <w:rsid w:val="00BB16B0"/>
    <w:rsid w:val="00BB177D"/>
    <w:rsid w:val="00BB1D21"/>
    <w:rsid w:val="00BB2423"/>
    <w:rsid w:val="00BB2928"/>
    <w:rsid w:val="00BB2983"/>
    <w:rsid w:val="00BB3307"/>
    <w:rsid w:val="00BB3D65"/>
    <w:rsid w:val="00BB4987"/>
    <w:rsid w:val="00BB4AD4"/>
    <w:rsid w:val="00BB4EBC"/>
    <w:rsid w:val="00BB4F5E"/>
    <w:rsid w:val="00BB608E"/>
    <w:rsid w:val="00BB7254"/>
    <w:rsid w:val="00BB7342"/>
    <w:rsid w:val="00BB7343"/>
    <w:rsid w:val="00BB7FE5"/>
    <w:rsid w:val="00BC018B"/>
    <w:rsid w:val="00BC0BB6"/>
    <w:rsid w:val="00BC107B"/>
    <w:rsid w:val="00BC17AC"/>
    <w:rsid w:val="00BC1BB2"/>
    <w:rsid w:val="00BC2849"/>
    <w:rsid w:val="00BC287F"/>
    <w:rsid w:val="00BC455E"/>
    <w:rsid w:val="00BC4703"/>
    <w:rsid w:val="00BC52DB"/>
    <w:rsid w:val="00BC5E12"/>
    <w:rsid w:val="00BC5EA5"/>
    <w:rsid w:val="00BC6F75"/>
    <w:rsid w:val="00BC71BB"/>
    <w:rsid w:val="00BC7EB1"/>
    <w:rsid w:val="00BD0BC0"/>
    <w:rsid w:val="00BD1154"/>
    <w:rsid w:val="00BD1C5D"/>
    <w:rsid w:val="00BD2B66"/>
    <w:rsid w:val="00BD422D"/>
    <w:rsid w:val="00BD44D3"/>
    <w:rsid w:val="00BD51FD"/>
    <w:rsid w:val="00BD54C2"/>
    <w:rsid w:val="00BD56F2"/>
    <w:rsid w:val="00BD6512"/>
    <w:rsid w:val="00BD65AF"/>
    <w:rsid w:val="00BD6637"/>
    <w:rsid w:val="00BD6AF0"/>
    <w:rsid w:val="00BD6DAA"/>
    <w:rsid w:val="00BD751C"/>
    <w:rsid w:val="00BD791D"/>
    <w:rsid w:val="00BD7EFC"/>
    <w:rsid w:val="00BE0B8E"/>
    <w:rsid w:val="00BE1060"/>
    <w:rsid w:val="00BE112B"/>
    <w:rsid w:val="00BE1603"/>
    <w:rsid w:val="00BE1926"/>
    <w:rsid w:val="00BE1F0E"/>
    <w:rsid w:val="00BE2256"/>
    <w:rsid w:val="00BE2F78"/>
    <w:rsid w:val="00BE2FDD"/>
    <w:rsid w:val="00BE3430"/>
    <w:rsid w:val="00BE36FA"/>
    <w:rsid w:val="00BE38C7"/>
    <w:rsid w:val="00BE3996"/>
    <w:rsid w:val="00BE3AC4"/>
    <w:rsid w:val="00BE45EE"/>
    <w:rsid w:val="00BE4943"/>
    <w:rsid w:val="00BE4D60"/>
    <w:rsid w:val="00BE5CA6"/>
    <w:rsid w:val="00BE65EE"/>
    <w:rsid w:val="00BE6673"/>
    <w:rsid w:val="00BE691E"/>
    <w:rsid w:val="00BE70F4"/>
    <w:rsid w:val="00BE7257"/>
    <w:rsid w:val="00BE7282"/>
    <w:rsid w:val="00BE7781"/>
    <w:rsid w:val="00BF0655"/>
    <w:rsid w:val="00BF0B4A"/>
    <w:rsid w:val="00BF19BC"/>
    <w:rsid w:val="00BF1D58"/>
    <w:rsid w:val="00BF1E45"/>
    <w:rsid w:val="00BF1F73"/>
    <w:rsid w:val="00BF2052"/>
    <w:rsid w:val="00BF221F"/>
    <w:rsid w:val="00BF2558"/>
    <w:rsid w:val="00BF278B"/>
    <w:rsid w:val="00BF3127"/>
    <w:rsid w:val="00BF3212"/>
    <w:rsid w:val="00BF3DC2"/>
    <w:rsid w:val="00BF3FFB"/>
    <w:rsid w:val="00BF40BB"/>
    <w:rsid w:val="00BF41E8"/>
    <w:rsid w:val="00BF42EA"/>
    <w:rsid w:val="00BF42EB"/>
    <w:rsid w:val="00BF478F"/>
    <w:rsid w:val="00BF4AEB"/>
    <w:rsid w:val="00BF4AF9"/>
    <w:rsid w:val="00BF551C"/>
    <w:rsid w:val="00BF5B3B"/>
    <w:rsid w:val="00BF6022"/>
    <w:rsid w:val="00BF6235"/>
    <w:rsid w:val="00BF68D2"/>
    <w:rsid w:val="00BF6A4C"/>
    <w:rsid w:val="00BF6DA0"/>
    <w:rsid w:val="00BF7675"/>
    <w:rsid w:val="00BF7FE8"/>
    <w:rsid w:val="00C01179"/>
    <w:rsid w:val="00C0162F"/>
    <w:rsid w:val="00C018E4"/>
    <w:rsid w:val="00C01B3F"/>
    <w:rsid w:val="00C01DAE"/>
    <w:rsid w:val="00C02211"/>
    <w:rsid w:val="00C025BA"/>
    <w:rsid w:val="00C02ACB"/>
    <w:rsid w:val="00C02B2C"/>
    <w:rsid w:val="00C02E00"/>
    <w:rsid w:val="00C02E3C"/>
    <w:rsid w:val="00C03338"/>
    <w:rsid w:val="00C04129"/>
    <w:rsid w:val="00C04810"/>
    <w:rsid w:val="00C04C1C"/>
    <w:rsid w:val="00C04C7A"/>
    <w:rsid w:val="00C04E95"/>
    <w:rsid w:val="00C04F27"/>
    <w:rsid w:val="00C050EA"/>
    <w:rsid w:val="00C05256"/>
    <w:rsid w:val="00C0599D"/>
    <w:rsid w:val="00C061D6"/>
    <w:rsid w:val="00C0635D"/>
    <w:rsid w:val="00C0642E"/>
    <w:rsid w:val="00C06853"/>
    <w:rsid w:val="00C1027E"/>
    <w:rsid w:val="00C1073E"/>
    <w:rsid w:val="00C10879"/>
    <w:rsid w:val="00C10CF5"/>
    <w:rsid w:val="00C11174"/>
    <w:rsid w:val="00C1128D"/>
    <w:rsid w:val="00C112D5"/>
    <w:rsid w:val="00C11C3D"/>
    <w:rsid w:val="00C11F28"/>
    <w:rsid w:val="00C11F5B"/>
    <w:rsid w:val="00C1274E"/>
    <w:rsid w:val="00C12DE0"/>
    <w:rsid w:val="00C136BB"/>
    <w:rsid w:val="00C13AFE"/>
    <w:rsid w:val="00C13EE0"/>
    <w:rsid w:val="00C14959"/>
    <w:rsid w:val="00C14B49"/>
    <w:rsid w:val="00C152F4"/>
    <w:rsid w:val="00C15595"/>
    <w:rsid w:val="00C15A2C"/>
    <w:rsid w:val="00C1625C"/>
    <w:rsid w:val="00C1665C"/>
    <w:rsid w:val="00C166AC"/>
    <w:rsid w:val="00C16D93"/>
    <w:rsid w:val="00C16FA2"/>
    <w:rsid w:val="00C17714"/>
    <w:rsid w:val="00C17CD2"/>
    <w:rsid w:val="00C20556"/>
    <w:rsid w:val="00C20B8B"/>
    <w:rsid w:val="00C21224"/>
    <w:rsid w:val="00C215C7"/>
    <w:rsid w:val="00C22CAE"/>
    <w:rsid w:val="00C2378D"/>
    <w:rsid w:val="00C246FC"/>
    <w:rsid w:val="00C248DC"/>
    <w:rsid w:val="00C24A9F"/>
    <w:rsid w:val="00C24E46"/>
    <w:rsid w:val="00C251C3"/>
    <w:rsid w:val="00C25E12"/>
    <w:rsid w:val="00C26013"/>
    <w:rsid w:val="00C2670B"/>
    <w:rsid w:val="00C2677D"/>
    <w:rsid w:val="00C26E64"/>
    <w:rsid w:val="00C26E6E"/>
    <w:rsid w:val="00C274AC"/>
    <w:rsid w:val="00C303F8"/>
    <w:rsid w:val="00C308D0"/>
    <w:rsid w:val="00C309E2"/>
    <w:rsid w:val="00C30CD7"/>
    <w:rsid w:val="00C31A7D"/>
    <w:rsid w:val="00C33911"/>
    <w:rsid w:val="00C3398D"/>
    <w:rsid w:val="00C340C2"/>
    <w:rsid w:val="00C348E9"/>
    <w:rsid w:val="00C35AF9"/>
    <w:rsid w:val="00C36312"/>
    <w:rsid w:val="00C367ED"/>
    <w:rsid w:val="00C36AEC"/>
    <w:rsid w:val="00C36C24"/>
    <w:rsid w:val="00C37350"/>
    <w:rsid w:val="00C374CB"/>
    <w:rsid w:val="00C379B2"/>
    <w:rsid w:val="00C37A78"/>
    <w:rsid w:val="00C37AE1"/>
    <w:rsid w:val="00C37B3B"/>
    <w:rsid w:val="00C40209"/>
    <w:rsid w:val="00C4047E"/>
    <w:rsid w:val="00C409D1"/>
    <w:rsid w:val="00C41697"/>
    <w:rsid w:val="00C41CBC"/>
    <w:rsid w:val="00C421A1"/>
    <w:rsid w:val="00C42994"/>
    <w:rsid w:val="00C434D1"/>
    <w:rsid w:val="00C44051"/>
    <w:rsid w:val="00C4459F"/>
    <w:rsid w:val="00C4494D"/>
    <w:rsid w:val="00C4510F"/>
    <w:rsid w:val="00C45786"/>
    <w:rsid w:val="00C45D70"/>
    <w:rsid w:val="00C461D8"/>
    <w:rsid w:val="00C462E9"/>
    <w:rsid w:val="00C4659A"/>
    <w:rsid w:val="00C470A5"/>
    <w:rsid w:val="00C474C4"/>
    <w:rsid w:val="00C47D22"/>
    <w:rsid w:val="00C47EA0"/>
    <w:rsid w:val="00C47EC5"/>
    <w:rsid w:val="00C50395"/>
    <w:rsid w:val="00C5146E"/>
    <w:rsid w:val="00C51666"/>
    <w:rsid w:val="00C51668"/>
    <w:rsid w:val="00C51CA1"/>
    <w:rsid w:val="00C51DA5"/>
    <w:rsid w:val="00C525DE"/>
    <w:rsid w:val="00C528E2"/>
    <w:rsid w:val="00C52F83"/>
    <w:rsid w:val="00C53289"/>
    <w:rsid w:val="00C534E3"/>
    <w:rsid w:val="00C53959"/>
    <w:rsid w:val="00C53F62"/>
    <w:rsid w:val="00C54039"/>
    <w:rsid w:val="00C54638"/>
    <w:rsid w:val="00C546AA"/>
    <w:rsid w:val="00C546F8"/>
    <w:rsid w:val="00C54CCF"/>
    <w:rsid w:val="00C54D10"/>
    <w:rsid w:val="00C55296"/>
    <w:rsid w:val="00C554BD"/>
    <w:rsid w:val="00C558AC"/>
    <w:rsid w:val="00C560E3"/>
    <w:rsid w:val="00C561A1"/>
    <w:rsid w:val="00C56381"/>
    <w:rsid w:val="00C56BF3"/>
    <w:rsid w:val="00C56D16"/>
    <w:rsid w:val="00C6080C"/>
    <w:rsid w:val="00C60E45"/>
    <w:rsid w:val="00C61799"/>
    <w:rsid w:val="00C61B35"/>
    <w:rsid w:val="00C61E91"/>
    <w:rsid w:val="00C6229C"/>
    <w:rsid w:val="00C62746"/>
    <w:rsid w:val="00C62835"/>
    <w:rsid w:val="00C64118"/>
    <w:rsid w:val="00C643A3"/>
    <w:rsid w:val="00C64557"/>
    <w:rsid w:val="00C64C1C"/>
    <w:rsid w:val="00C6539B"/>
    <w:rsid w:val="00C65EB9"/>
    <w:rsid w:val="00C66417"/>
    <w:rsid w:val="00C66C8A"/>
    <w:rsid w:val="00C673A7"/>
    <w:rsid w:val="00C67435"/>
    <w:rsid w:val="00C67867"/>
    <w:rsid w:val="00C70373"/>
    <w:rsid w:val="00C70A73"/>
    <w:rsid w:val="00C70ABD"/>
    <w:rsid w:val="00C70D95"/>
    <w:rsid w:val="00C70DF5"/>
    <w:rsid w:val="00C72274"/>
    <w:rsid w:val="00C736DA"/>
    <w:rsid w:val="00C7370F"/>
    <w:rsid w:val="00C73774"/>
    <w:rsid w:val="00C740A9"/>
    <w:rsid w:val="00C74350"/>
    <w:rsid w:val="00C74617"/>
    <w:rsid w:val="00C7564C"/>
    <w:rsid w:val="00C762EB"/>
    <w:rsid w:val="00C76384"/>
    <w:rsid w:val="00C768C8"/>
    <w:rsid w:val="00C76A76"/>
    <w:rsid w:val="00C76D29"/>
    <w:rsid w:val="00C7709E"/>
    <w:rsid w:val="00C7761C"/>
    <w:rsid w:val="00C77A22"/>
    <w:rsid w:val="00C808FC"/>
    <w:rsid w:val="00C80EB0"/>
    <w:rsid w:val="00C81C58"/>
    <w:rsid w:val="00C81D1F"/>
    <w:rsid w:val="00C81F30"/>
    <w:rsid w:val="00C82450"/>
    <w:rsid w:val="00C835C9"/>
    <w:rsid w:val="00C83B32"/>
    <w:rsid w:val="00C83BFA"/>
    <w:rsid w:val="00C83F9B"/>
    <w:rsid w:val="00C84763"/>
    <w:rsid w:val="00C847C1"/>
    <w:rsid w:val="00C84E27"/>
    <w:rsid w:val="00C84ED3"/>
    <w:rsid w:val="00C863DC"/>
    <w:rsid w:val="00C864C6"/>
    <w:rsid w:val="00C86860"/>
    <w:rsid w:val="00C8694C"/>
    <w:rsid w:val="00C87701"/>
    <w:rsid w:val="00C90169"/>
    <w:rsid w:val="00C9027B"/>
    <w:rsid w:val="00C90487"/>
    <w:rsid w:val="00C912CD"/>
    <w:rsid w:val="00C915D2"/>
    <w:rsid w:val="00C91C73"/>
    <w:rsid w:val="00C92404"/>
    <w:rsid w:val="00C928B3"/>
    <w:rsid w:val="00C92989"/>
    <w:rsid w:val="00C92BC0"/>
    <w:rsid w:val="00C92F15"/>
    <w:rsid w:val="00C9313D"/>
    <w:rsid w:val="00C940EB"/>
    <w:rsid w:val="00C94130"/>
    <w:rsid w:val="00C94289"/>
    <w:rsid w:val="00C94707"/>
    <w:rsid w:val="00C95BA2"/>
    <w:rsid w:val="00C95CDE"/>
    <w:rsid w:val="00C95ED7"/>
    <w:rsid w:val="00C968F6"/>
    <w:rsid w:val="00C9703D"/>
    <w:rsid w:val="00C9789E"/>
    <w:rsid w:val="00CA0417"/>
    <w:rsid w:val="00CA0535"/>
    <w:rsid w:val="00CA0F7E"/>
    <w:rsid w:val="00CA0FBD"/>
    <w:rsid w:val="00CA1787"/>
    <w:rsid w:val="00CA22AE"/>
    <w:rsid w:val="00CA288E"/>
    <w:rsid w:val="00CA3305"/>
    <w:rsid w:val="00CA40F7"/>
    <w:rsid w:val="00CA43A9"/>
    <w:rsid w:val="00CA4465"/>
    <w:rsid w:val="00CA4688"/>
    <w:rsid w:val="00CA5796"/>
    <w:rsid w:val="00CA5D45"/>
    <w:rsid w:val="00CA61FA"/>
    <w:rsid w:val="00CA6741"/>
    <w:rsid w:val="00CA6BAF"/>
    <w:rsid w:val="00CA7BB4"/>
    <w:rsid w:val="00CA7C5A"/>
    <w:rsid w:val="00CA7C6E"/>
    <w:rsid w:val="00CA7DB9"/>
    <w:rsid w:val="00CB0275"/>
    <w:rsid w:val="00CB0514"/>
    <w:rsid w:val="00CB1683"/>
    <w:rsid w:val="00CB19ED"/>
    <w:rsid w:val="00CB29F8"/>
    <w:rsid w:val="00CB2BDE"/>
    <w:rsid w:val="00CB2C10"/>
    <w:rsid w:val="00CB2E3E"/>
    <w:rsid w:val="00CB2FBC"/>
    <w:rsid w:val="00CB322D"/>
    <w:rsid w:val="00CB3B3C"/>
    <w:rsid w:val="00CB3EFF"/>
    <w:rsid w:val="00CB471F"/>
    <w:rsid w:val="00CB4879"/>
    <w:rsid w:val="00CB5A25"/>
    <w:rsid w:val="00CB5C87"/>
    <w:rsid w:val="00CB637B"/>
    <w:rsid w:val="00CB6469"/>
    <w:rsid w:val="00CB6C5E"/>
    <w:rsid w:val="00CB736C"/>
    <w:rsid w:val="00CB7E54"/>
    <w:rsid w:val="00CC0162"/>
    <w:rsid w:val="00CC057E"/>
    <w:rsid w:val="00CC05A6"/>
    <w:rsid w:val="00CC0620"/>
    <w:rsid w:val="00CC064C"/>
    <w:rsid w:val="00CC0BB7"/>
    <w:rsid w:val="00CC0C00"/>
    <w:rsid w:val="00CC0C9C"/>
    <w:rsid w:val="00CC120B"/>
    <w:rsid w:val="00CC15F1"/>
    <w:rsid w:val="00CC1865"/>
    <w:rsid w:val="00CC2331"/>
    <w:rsid w:val="00CC2BC1"/>
    <w:rsid w:val="00CC3048"/>
    <w:rsid w:val="00CC3536"/>
    <w:rsid w:val="00CC357A"/>
    <w:rsid w:val="00CC4451"/>
    <w:rsid w:val="00CC4BFE"/>
    <w:rsid w:val="00CC4C0B"/>
    <w:rsid w:val="00CC4FA5"/>
    <w:rsid w:val="00CC514B"/>
    <w:rsid w:val="00CC52E9"/>
    <w:rsid w:val="00CC59E3"/>
    <w:rsid w:val="00CC5B10"/>
    <w:rsid w:val="00CC607E"/>
    <w:rsid w:val="00CC61B2"/>
    <w:rsid w:val="00CC63DB"/>
    <w:rsid w:val="00CC6434"/>
    <w:rsid w:val="00CC6689"/>
    <w:rsid w:val="00CC66F5"/>
    <w:rsid w:val="00CC6AA8"/>
    <w:rsid w:val="00CC6BA7"/>
    <w:rsid w:val="00CC7636"/>
    <w:rsid w:val="00CC7A60"/>
    <w:rsid w:val="00CD002F"/>
    <w:rsid w:val="00CD0DFF"/>
    <w:rsid w:val="00CD14BB"/>
    <w:rsid w:val="00CD15E1"/>
    <w:rsid w:val="00CD1B9E"/>
    <w:rsid w:val="00CD1F36"/>
    <w:rsid w:val="00CD2163"/>
    <w:rsid w:val="00CD23E2"/>
    <w:rsid w:val="00CD2768"/>
    <w:rsid w:val="00CD2DB2"/>
    <w:rsid w:val="00CD2DD3"/>
    <w:rsid w:val="00CD2EE5"/>
    <w:rsid w:val="00CD35F3"/>
    <w:rsid w:val="00CD38B1"/>
    <w:rsid w:val="00CD3DC2"/>
    <w:rsid w:val="00CD3F35"/>
    <w:rsid w:val="00CD3FEA"/>
    <w:rsid w:val="00CD409A"/>
    <w:rsid w:val="00CD4BD4"/>
    <w:rsid w:val="00CD4C81"/>
    <w:rsid w:val="00CD56F8"/>
    <w:rsid w:val="00CD5853"/>
    <w:rsid w:val="00CD599F"/>
    <w:rsid w:val="00CD59DF"/>
    <w:rsid w:val="00CD5C77"/>
    <w:rsid w:val="00CD7270"/>
    <w:rsid w:val="00CD7733"/>
    <w:rsid w:val="00CE0481"/>
    <w:rsid w:val="00CE0EAF"/>
    <w:rsid w:val="00CE107A"/>
    <w:rsid w:val="00CE161A"/>
    <w:rsid w:val="00CE1A09"/>
    <w:rsid w:val="00CE2880"/>
    <w:rsid w:val="00CE2A77"/>
    <w:rsid w:val="00CE2AD3"/>
    <w:rsid w:val="00CE32B5"/>
    <w:rsid w:val="00CE34D8"/>
    <w:rsid w:val="00CE38E1"/>
    <w:rsid w:val="00CE39B0"/>
    <w:rsid w:val="00CE44A6"/>
    <w:rsid w:val="00CE4618"/>
    <w:rsid w:val="00CE4DCC"/>
    <w:rsid w:val="00CE5064"/>
    <w:rsid w:val="00CE5653"/>
    <w:rsid w:val="00CE572E"/>
    <w:rsid w:val="00CE58C7"/>
    <w:rsid w:val="00CE6926"/>
    <w:rsid w:val="00CE6D3C"/>
    <w:rsid w:val="00CE6E0E"/>
    <w:rsid w:val="00CE6E32"/>
    <w:rsid w:val="00CE75A2"/>
    <w:rsid w:val="00CE7AB5"/>
    <w:rsid w:val="00CF1375"/>
    <w:rsid w:val="00CF15AF"/>
    <w:rsid w:val="00CF2BA6"/>
    <w:rsid w:val="00CF2D56"/>
    <w:rsid w:val="00CF3038"/>
    <w:rsid w:val="00CF35BC"/>
    <w:rsid w:val="00CF3632"/>
    <w:rsid w:val="00CF414B"/>
    <w:rsid w:val="00CF417C"/>
    <w:rsid w:val="00CF4308"/>
    <w:rsid w:val="00CF4F03"/>
    <w:rsid w:val="00CF4FCD"/>
    <w:rsid w:val="00CF5045"/>
    <w:rsid w:val="00CF511B"/>
    <w:rsid w:val="00CF5341"/>
    <w:rsid w:val="00CF5DB5"/>
    <w:rsid w:val="00CF5F04"/>
    <w:rsid w:val="00CF6813"/>
    <w:rsid w:val="00CF6945"/>
    <w:rsid w:val="00CF6EAA"/>
    <w:rsid w:val="00CF71AF"/>
    <w:rsid w:val="00CF79F8"/>
    <w:rsid w:val="00CF7D25"/>
    <w:rsid w:val="00D0076B"/>
    <w:rsid w:val="00D01CDE"/>
    <w:rsid w:val="00D0220A"/>
    <w:rsid w:val="00D02842"/>
    <w:rsid w:val="00D02CC6"/>
    <w:rsid w:val="00D02E32"/>
    <w:rsid w:val="00D032EA"/>
    <w:rsid w:val="00D041B2"/>
    <w:rsid w:val="00D04415"/>
    <w:rsid w:val="00D04982"/>
    <w:rsid w:val="00D052B0"/>
    <w:rsid w:val="00D05A89"/>
    <w:rsid w:val="00D06CB2"/>
    <w:rsid w:val="00D06DB6"/>
    <w:rsid w:val="00D06F3A"/>
    <w:rsid w:val="00D071B7"/>
    <w:rsid w:val="00D0721A"/>
    <w:rsid w:val="00D07C07"/>
    <w:rsid w:val="00D07C86"/>
    <w:rsid w:val="00D10784"/>
    <w:rsid w:val="00D109BA"/>
    <w:rsid w:val="00D117A8"/>
    <w:rsid w:val="00D12225"/>
    <w:rsid w:val="00D125EB"/>
    <w:rsid w:val="00D12681"/>
    <w:rsid w:val="00D127E4"/>
    <w:rsid w:val="00D12915"/>
    <w:rsid w:val="00D13CA0"/>
    <w:rsid w:val="00D13DD7"/>
    <w:rsid w:val="00D13DFE"/>
    <w:rsid w:val="00D14151"/>
    <w:rsid w:val="00D14575"/>
    <w:rsid w:val="00D15191"/>
    <w:rsid w:val="00D151B9"/>
    <w:rsid w:val="00D15A5F"/>
    <w:rsid w:val="00D15F95"/>
    <w:rsid w:val="00D168F8"/>
    <w:rsid w:val="00D170A2"/>
    <w:rsid w:val="00D17A79"/>
    <w:rsid w:val="00D17C4A"/>
    <w:rsid w:val="00D20045"/>
    <w:rsid w:val="00D2044F"/>
    <w:rsid w:val="00D20526"/>
    <w:rsid w:val="00D20B1D"/>
    <w:rsid w:val="00D20D72"/>
    <w:rsid w:val="00D20DEB"/>
    <w:rsid w:val="00D2188C"/>
    <w:rsid w:val="00D21BF6"/>
    <w:rsid w:val="00D224BB"/>
    <w:rsid w:val="00D2278A"/>
    <w:rsid w:val="00D22B08"/>
    <w:rsid w:val="00D2374C"/>
    <w:rsid w:val="00D24101"/>
    <w:rsid w:val="00D24270"/>
    <w:rsid w:val="00D24753"/>
    <w:rsid w:val="00D2576A"/>
    <w:rsid w:val="00D25E44"/>
    <w:rsid w:val="00D2606F"/>
    <w:rsid w:val="00D26254"/>
    <w:rsid w:val="00D269CB"/>
    <w:rsid w:val="00D26BBD"/>
    <w:rsid w:val="00D26C2B"/>
    <w:rsid w:val="00D26E33"/>
    <w:rsid w:val="00D271A1"/>
    <w:rsid w:val="00D279EA"/>
    <w:rsid w:val="00D3032C"/>
    <w:rsid w:val="00D3080C"/>
    <w:rsid w:val="00D30886"/>
    <w:rsid w:val="00D30F6F"/>
    <w:rsid w:val="00D31379"/>
    <w:rsid w:val="00D31813"/>
    <w:rsid w:val="00D33214"/>
    <w:rsid w:val="00D335DB"/>
    <w:rsid w:val="00D3378E"/>
    <w:rsid w:val="00D33CCD"/>
    <w:rsid w:val="00D34AC1"/>
    <w:rsid w:val="00D34F8C"/>
    <w:rsid w:val="00D35334"/>
    <w:rsid w:val="00D35D4B"/>
    <w:rsid w:val="00D36464"/>
    <w:rsid w:val="00D368EA"/>
    <w:rsid w:val="00D37B93"/>
    <w:rsid w:val="00D37CE9"/>
    <w:rsid w:val="00D37D5C"/>
    <w:rsid w:val="00D37FB1"/>
    <w:rsid w:val="00D4071B"/>
    <w:rsid w:val="00D41ACF"/>
    <w:rsid w:val="00D41D9B"/>
    <w:rsid w:val="00D41EDD"/>
    <w:rsid w:val="00D43591"/>
    <w:rsid w:val="00D44637"/>
    <w:rsid w:val="00D449F4"/>
    <w:rsid w:val="00D44FB4"/>
    <w:rsid w:val="00D4671D"/>
    <w:rsid w:val="00D47294"/>
    <w:rsid w:val="00D475CC"/>
    <w:rsid w:val="00D47DCC"/>
    <w:rsid w:val="00D5072C"/>
    <w:rsid w:val="00D50E2E"/>
    <w:rsid w:val="00D50EF0"/>
    <w:rsid w:val="00D51094"/>
    <w:rsid w:val="00D51BCA"/>
    <w:rsid w:val="00D51BCD"/>
    <w:rsid w:val="00D51D00"/>
    <w:rsid w:val="00D524DF"/>
    <w:rsid w:val="00D526BD"/>
    <w:rsid w:val="00D52BE6"/>
    <w:rsid w:val="00D52F65"/>
    <w:rsid w:val="00D53734"/>
    <w:rsid w:val="00D53F48"/>
    <w:rsid w:val="00D5412E"/>
    <w:rsid w:val="00D54DF6"/>
    <w:rsid w:val="00D54EA3"/>
    <w:rsid w:val="00D55450"/>
    <w:rsid w:val="00D55698"/>
    <w:rsid w:val="00D557D1"/>
    <w:rsid w:val="00D55A28"/>
    <w:rsid w:val="00D56C1A"/>
    <w:rsid w:val="00D572F7"/>
    <w:rsid w:val="00D57D44"/>
    <w:rsid w:val="00D57DEA"/>
    <w:rsid w:val="00D6014E"/>
    <w:rsid w:val="00D60233"/>
    <w:rsid w:val="00D6045A"/>
    <w:rsid w:val="00D606EB"/>
    <w:rsid w:val="00D608D2"/>
    <w:rsid w:val="00D60D9A"/>
    <w:rsid w:val="00D615DF"/>
    <w:rsid w:val="00D61C48"/>
    <w:rsid w:val="00D6254E"/>
    <w:rsid w:val="00D62C42"/>
    <w:rsid w:val="00D636EB"/>
    <w:rsid w:val="00D63B54"/>
    <w:rsid w:val="00D6454D"/>
    <w:rsid w:val="00D64647"/>
    <w:rsid w:val="00D64DE8"/>
    <w:rsid w:val="00D64E18"/>
    <w:rsid w:val="00D65605"/>
    <w:rsid w:val="00D65D15"/>
    <w:rsid w:val="00D65EC8"/>
    <w:rsid w:val="00D66FF4"/>
    <w:rsid w:val="00D67274"/>
    <w:rsid w:val="00D6751E"/>
    <w:rsid w:val="00D67A86"/>
    <w:rsid w:val="00D67BA5"/>
    <w:rsid w:val="00D7005F"/>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3CBE"/>
    <w:rsid w:val="00D74447"/>
    <w:rsid w:val="00D744D9"/>
    <w:rsid w:val="00D75086"/>
    <w:rsid w:val="00D751F0"/>
    <w:rsid w:val="00D7526D"/>
    <w:rsid w:val="00D754B1"/>
    <w:rsid w:val="00D75664"/>
    <w:rsid w:val="00D75667"/>
    <w:rsid w:val="00D757DB"/>
    <w:rsid w:val="00D75CA1"/>
    <w:rsid w:val="00D75F00"/>
    <w:rsid w:val="00D762FC"/>
    <w:rsid w:val="00D7644E"/>
    <w:rsid w:val="00D765AE"/>
    <w:rsid w:val="00D76FB1"/>
    <w:rsid w:val="00D80012"/>
    <w:rsid w:val="00D800B7"/>
    <w:rsid w:val="00D8054E"/>
    <w:rsid w:val="00D80E88"/>
    <w:rsid w:val="00D811F0"/>
    <w:rsid w:val="00D812E6"/>
    <w:rsid w:val="00D81EA4"/>
    <w:rsid w:val="00D820F9"/>
    <w:rsid w:val="00D826D7"/>
    <w:rsid w:val="00D82A31"/>
    <w:rsid w:val="00D82D15"/>
    <w:rsid w:val="00D82E9C"/>
    <w:rsid w:val="00D83053"/>
    <w:rsid w:val="00D83542"/>
    <w:rsid w:val="00D83AC9"/>
    <w:rsid w:val="00D8551B"/>
    <w:rsid w:val="00D8553E"/>
    <w:rsid w:val="00D859DF"/>
    <w:rsid w:val="00D85A05"/>
    <w:rsid w:val="00D85EF6"/>
    <w:rsid w:val="00D8658E"/>
    <w:rsid w:val="00D86AE2"/>
    <w:rsid w:val="00D87A39"/>
    <w:rsid w:val="00D90647"/>
    <w:rsid w:val="00D90D9B"/>
    <w:rsid w:val="00D90E1D"/>
    <w:rsid w:val="00D9125E"/>
    <w:rsid w:val="00D91788"/>
    <w:rsid w:val="00D91D95"/>
    <w:rsid w:val="00D91DEE"/>
    <w:rsid w:val="00D92194"/>
    <w:rsid w:val="00D92344"/>
    <w:rsid w:val="00D92662"/>
    <w:rsid w:val="00D926EA"/>
    <w:rsid w:val="00D929B5"/>
    <w:rsid w:val="00D92AC1"/>
    <w:rsid w:val="00D92C0E"/>
    <w:rsid w:val="00D9361B"/>
    <w:rsid w:val="00D93659"/>
    <w:rsid w:val="00D936F7"/>
    <w:rsid w:val="00D93D5F"/>
    <w:rsid w:val="00D93F7A"/>
    <w:rsid w:val="00D94175"/>
    <w:rsid w:val="00D941A9"/>
    <w:rsid w:val="00D9449E"/>
    <w:rsid w:val="00D95024"/>
    <w:rsid w:val="00D950BD"/>
    <w:rsid w:val="00D95402"/>
    <w:rsid w:val="00D959DF"/>
    <w:rsid w:val="00D95B48"/>
    <w:rsid w:val="00D95E93"/>
    <w:rsid w:val="00D9600C"/>
    <w:rsid w:val="00D961EC"/>
    <w:rsid w:val="00D962DF"/>
    <w:rsid w:val="00D966A0"/>
    <w:rsid w:val="00D96B9F"/>
    <w:rsid w:val="00D96BB2"/>
    <w:rsid w:val="00DA0870"/>
    <w:rsid w:val="00DA0B29"/>
    <w:rsid w:val="00DA10AA"/>
    <w:rsid w:val="00DA14B5"/>
    <w:rsid w:val="00DA159E"/>
    <w:rsid w:val="00DA28D1"/>
    <w:rsid w:val="00DA2E13"/>
    <w:rsid w:val="00DA2E61"/>
    <w:rsid w:val="00DA30EC"/>
    <w:rsid w:val="00DA378B"/>
    <w:rsid w:val="00DA3CF0"/>
    <w:rsid w:val="00DA4608"/>
    <w:rsid w:val="00DA56E4"/>
    <w:rsid w:val="00DA67E6"/>
    <w:rsid w:val="00DA6BB6"/>
    <w:rsid w:val="00DB078C"/>
    <w:rsid w:val="00DB0DB2"/>
    <w:rsid w:val="00DB11E7"/>
    <w:rsid w:val="00DB14B0"/>
    <w:rsid w:val="00DB1A99"/>
    <w:rsid w:val="00DB1C03"/>
    <w:rsid w:val="00DB1E1A"/>
    <w:rsid w:val="00DB1F38"/>
    <w:rsid w:val="00DB2782"/>
    <w:rsid w:val="00DB353D"/>
    <w:rsid w:val="00DB36D0"/>
    <w:rsid w:val="00DB61D3"/>
    <w:rsid w:val="00DB68B9"/>
    <w:rsid w:val="00DB6CA7"/>
    <w:rsid w:val="00DB7147"/>
    <w:rsid w:val="00DB71C7"/>
    <w:rsid w:val="00DB77A1"/>
    <w:rsid w:val="00DB798A"/>
    <w:rsid w:val="00DB79F4"/>
    <w:rsid w:val="00DB7A4F"/>
    <w:rsid w:val="00DB7EEA"/>
    <w:rsid w:val="00DB7F73"/>
    <w:rsid w:val="00DC0078"/>
    <w:rsid w:val="00DC01F9"/>
    <w:rsid w:val="00DC041E"/>
    <w:rsid w:val="00DC0F6F"/>
    <w:rsid w:val="00DC1D82"/>
    <w:rsid w:val="00DC1E0D"/>
    <w:rsid w:val="00DC3271"/>
    <w:rsid w:val="00DC37E6"/>
    <w:rsid w:val="00DC5231"/>
    <w:rsid w:val="00DC52B2"/>
    <w:rsid w:val="00DC5F3F"/>
    <w:rsid w:val="00DC5FCB"/>
    <w:rsid w:val="00DC5FDE"/>
    <w:rsid w:val="00DC65AA"/>
    <w:rsid w:val="00DC696C"/>
    <w:rsid w:val="00DC6BA9"/>
    <w:rsid w:val="00DC75FE"/>
    <w:rsid w:val="00DC786B"/>
    <w:rsid w:val="00DC7921"/>
    <w:rsid w:val="00DD0549"/>
    <w:rsid w:val="00DD0733"/>
    <w:rsid w:val="00DD081D"/>
    <w:rsid w:val="00DD0C2B"/>
    <w:rsid w:val="00DD2A89"/>
    <w:rsid w:val="00DD2BED"/>
    <w:rsid w:val="00DD32DB"/>
    <w:rsid w:val="00DD3B40"/>
    <w:rsid w:val="00DD49CF"/>
    <w:rsid w:val="00DD5435"/>
    <w:rsid w:val="00DD5B5F"/>
    <w:rsid w:val="00DD5EAC"/>
    <w:rsid w:val="00DD6DCF"/>
    <w:rsid w:val="00DD718F"/>
    <w:rsid w:val="00DD7E65"/>
    <w:rsid w:val="00DE005C"/>
    <w:rsid w:val="00DE0DF0"/>
    <w:rsid w:val="00DE21C4"/>
    <w:rsid w:val="00DE2958"/>
    <w:rsid w:val="00DE2E14"/>
    <w:rsid w:val="00DE2FFC"/>
    <w:rsid w:val="00DE31B4"/>
    <w:rsid w:val="00DE373C"/>
    <w:rsid w:val="00DE4D9B"/>
    <w:rsid w:val="00DE55D0"/>
    <w:rsid w:val="00DE5ADB"/>
    <w:rsid w:val="00DE5D4B"/>
    <w:rsid w:val="00DE6848"/>
    <w:rsid w:val="00DE6FE6"/>
    <w:rsid w:val="00DF01E0"/>
    <w:rsid w:val="00DF11A2"/>
    <w:rsid w:val="00DF1414"/>
    <w:rsid w:val="00DF242A"/>
    <w:rsid w:val="00DF24CF"/>
    <w:rsid w:val="00DF2725"/>
    <w:rsid w:val="00DF2FA2"/>
    <w:rsid w:val="00DF3337"/>
    <w:rsid w:val="00DF3717"/>
    <w:rsid w:val="00DF3760"/>
    <w:rsid w:val="00DF37C2"/>
    <w:rsid w:val="00DF3ED7"/>
    <w:rsid w:val="00DF47F1"/>
    <w:rsid w:val="00DF4C94"/>
    <w:rsid w:val="00DF5328"/>
    <w:rsid w:val="00DF5605"/>
    <w:rsid w:val="00DF6532"/>
    <w:rsid w:val="00DF6667"/>
    <w:rsid w:val="00DF6A63"/>
    <w:rsid w:val="00DF6F23"/>
    <w:rsid w:val="00DF7606"/>
    <w:rsid w:val="00E004D1"/>
    <w:rsid w:val="00E009A5"/>
    <w:rsid w:val="00E00BCE"/>
    <w:rsid w:val="00E00D62"/>
    <w:rsid w:val="00E00ECD"/>
    <w:rsid w:val="00E0118C"/>
    <w:rsid w:val="00E0120A"/>
    <w:rsid w:val="00E01320"/>
    <w:rsid w:val="00E013F4"/>
    <w:rsid w:val="00E014ED"/>
    <w:rsid w:val="00E01FEC"/>
    <w:rsid w:val="00E020AA"/>
    <w:rsid w:val="00E02611"/>
    <w:rsid w:val="00E02731"/>
    <w:rsid w:val="00E03507"/>
    <w:rsid w:val="00E03C32"/>
    <w:rsid w:val="00E0404B"/>
    <w:rsid w:val="00E04669"/>
    <w:rsid w:val="00E0469D"/>
    <w:rsid w:val="00E04CB0"/>
    <w:rsid w:val="00E04D58"/>
    <w:rsid w:val="00E051AE"/>
    <w:rsid w:val="00E05359"/>
    <w:rsid w:val="00E059D2"/>
    <w:rsid w:val="00E05C55"/>
    <w:rsid w:val="00E06823"/>
    <w:rsid w:val="00E06A40"/>
    <w:rsid w:val="00E06CAC"/>
    <w:rsid w:val="00E07080"/>
    <w:rsid w:val="00E07168"/>
    <w:rsid w:val="00E107E1"/>
    <w:rsid w:val="00E107FF"/>
    <w:rsid w:val="00E10A71"/>
    <w:rsid w:val="00E10E20"/>
    <w:rsid w:val="00E11787"/>
    <w:rsid w:val="00E11A36"/>
    <w:rsid w:val="00E120E2"/>
    <w:rsid w:val="00E12256"/>
    <w:rsid w:val="00E13964"/>
    <w:rsid w:val="00E13D6A"/>
    <w:rsid w:val="00E13F28"/>
    <w:rsid w:val="00E142E5"/>
    <w:rsid w:val="00E14A18"/>
    <w:rsid w:val="00E14B76"/>
    <w:rsid w:val="00E14F64"/>
    <w:rsid w:val="00E15066"/>
    <w:rsid w:val="00E15361"/>
    <w:rsid w:val="00E15ACD"/>
    <w:rsid w:val="00E16844"/>
    <w:rsid w:val="00E16886"/>
    <w:rsid w:val="00E16B5B"/>
    <w:rsid w:val="00E172E9"/>
    <w:rsid w:val="00E17BFA"/>
    <w:rsid w:val="00E2027F"/>
    <w:rsid w:val="00E20329"/>
    <w:rsid w:val="00E20476"/>
    <w:rsid w:val="00E2098B"/>
    <w:rsid w:val="00E216F5"/>
    <w:rsid w:val="00E2178C"/>
    <w:rsid w:val="00E21A5D"/>
    <w:rsid w:val="00E21BD8"/>
    <w:rsid w:val="00E21CD0"/>
    <w:rsid w:val="00E225AE"/>
    <w:rsid w:val="00E22F94"/>
    <w:rsid w:val="00E241CD"/>
    <w:rsid w:val="00E24558"/>
    <w:rsid w:val="00E24D81"/>
    <w:rsid w:val="00E250A2"/>
    <w:rsid w:val="00E256F7"/>
    <w:rsid w:val="00E25989"/>
    <w:rsid w:val="00E25A77"/>
    <w:rsid w:val="00E27569"/>
    <w:rsid w:val="00E275F0"/>
    <w:rsid w:val="00E276DA"/>
    <w:rsid w:val="00E27F73"/>
    <w:rsid w:val="00E3048C"/>
    <w:rsid w:val="00E30B49"/>
    <w:rsid w:val="00E31037"/>
    <w:rsid w:val="00E310EA"/>
    <w:rsid w:val="00E31149"/>
    <w:rsid w:val="00E3153A"/>
    <w:rsid w:val="00E31A21"/>
    <w:rsid w:val="00E31E80"/>
    <w:rsid w:val="00E32E3E"/>
    <w:rsid w:val="00E32F39"/>
    <w:rsid w:val="00E33E53"/>
    <w:rsid w:val="00E33F5C"/>
    <w:rsid w:val="00E3433B"/>
    <w:rsid w:val="00E3458C"/>
    <w:rsid w:val="00E34A36"/>
    <w:rsid w:val="00E34B00"/>
    <w:rsid w:val="00E3514A"/>
    <w:rsid w:val="00E35894"/>
    <w:rsid w:val="00E35EA8"/>
    <w:rsid w:val="00E37537"/>
    <w:rsid w:val="00E402A4"/>
    <w:rsid w:val="00E40F6C"/>
    <w:rsid w:val="00E4144C"/>
    <w:rsid w:val="00E4163B"/>
    <w:rsid w:val="00E41ED5"/>
    <w:rsid w:val="00E42593"/>
    <w:rsid w:val="00E42ED0"/>
    <w:rsid w:val="00E43311"/>
    <w:rsid w:val="00E437C6"/>
    <w:rsid w:val="00E43AA7"/>
    <w:rsid w:val="00E43C31"/>
    <w:rsid w:val="00E43D84"/>
    <w:rsid w:val="00E440B4"/>
    <w:rsid w:val="00E442AF"/>
    <w:rsid w:val="00E4531A"/>
    <w:rsid w:val="00E45428"/>
    <w:rsid w:val="00E46117"/>
    <w:rsid w:val="00E4650B"/>
    <w:rsid w:val="00E46BAA"/>
    <w:rsid w:val="00E47103"/>
    <w:rsid w:val="00E50028"/>
    <w:rsid w:val="00E5005D"/>
    <w:rsid w:val="00E509D4"/>
    <w:rsid w:val="00E51017"/>
    <w:rsid w:val="00E51A86"/>
    <w:rsid w:val="00E51F09"/>
    <w:rsid w:val="00E51FB3"/>
    <w:rsid w:val="00E52184"/>
    <w:rsid w:val="00E521B0"/>
    <w:rsid w:val="00E5287E"/>
    <w:rsid w:val="00E52AB3"/>
    <w:rsid w:val="00E52AE8"/>
    <w:rsid w:val="00E52FA0"/>
    <w:rsid w:val="00E53998"/>
    <w:rsid w:val="00E539D8"/>
    <w:rsid w:val="00E53B5D"/>
    <w:rsid w:val="00E53DCD"/>
    <w:rsid w:val="00E550A8"/>
    <w:rsid w:val="00E5526D"/>
    <w:rsid w:val="00E55414"/>
    <w:rsid w:val="00E55A54"/>
    <w:rsid w:val="00E55BF1"/>
    <w:rsid w:val="00E55E60"/>
    <w:rsid w:val="00E56183"/>
    <w:rsid w:val="00E56192"/>
    <w:rsid w:val="00E572A3"/>
    <w:rsid w:val="00E57300"/>
    <w:rsid w:val="00E578DB"/>
    <w:rsid w:val="00E579E2"/>
    <w:rsid w:val="00E57A15"/>
    <w:rsid w:val="00E60FE8"/>
    <w:rsid w:val="00E6128C"/>
    <w:rsid w:val="00E61C83"/>
    <w:rsid w:val="00E62559"/>
    <w:rsid w:val="00E62917"/>
    <w:rsid w:val="00E62920"/>
    <w:rsid w:val="00E630E3"/>
    <w:rsid w:val="00E63F73"/>
    <w:rsid w:val="00E64104"/>
    <w:rsid w:val="00E6421A"/>
    <w:rsid w:val="00E6457F"/>
    <w:rsid w:val="00E653CF"/>
    <w:rsid w:val="00E6718B"/>
    <w:rsid w:val="00E677FA"/>
    <w:rsid w:val="00E7149C"/>
    <w:rsid w:val="00E7152A"/>
    <w:rsid w:val="00E715BC"/>
    <w:rsid w:val="00E718C4"/>
    <w:rsid w:val="00E71FC5"/>
    <w:rsid w:val="00E71FD2"/>
    <w:rsid w:val="00E7238C"/>
    <w:rsid w:val="00E727FE"/>
    <w:rsid w:val="00E72A89"/>
    <w:rsid w:val="00E7381C"/>
    <w:rsid w:val="00E740CA"/>
    <w:rsid w:val="00E7456F"/>
    <w:rsid w:val="00E747C3"/>
    <w:rsid w:val="00E7503E"/>
    <w:rsid w:val="00E750EF"/>
    <w:rsid w:val="00E7594C"/>
    <w:rsid w:val="00E766A8"/>
    <w:rsid w:val="00E76701"/>
    <w:rsid w:val="00E76F96"/>
    <w:rsid w:val="00E776EB"/>
    <w:rsid w:val="00E77FFB"/>
    <w:rsid w:val="00E80833"/>
    <w:rsid w:val="00E80A97"/>
    <w:rsid w:val="00E81DD2"/>
    <w:rsid w:val="00E82287"/>
    <w:rsid w:val="00E828A1"/>
    <w:rsid w:val="00E82D3D"/>
    <w:rsid w:val="00E830A2"/>
    <w:rsid w:val="00E83248"/>
    <w:rsid w:val="00E838DE"/>
    <w:rsid w:val="00E839B4"/>
    <w:rsid w:val="00E84DC0"/>
    <w:rsid w:val="00E84E8A"/>
    <w:rsid w:val="00E85478"/>
    <w:rsid w:val="00E85867"/>
    <w:rsid w:val="00E85934"/>
    <w:rsid w:val="00E85951"/>
    <w:rsid w:val="00E859E1"/>
    <w:rsid w:val="00E865AB"/>
    <w:rsid w:val="00E865B6"/>
    <w:rsid w:val="00E87DAE"/>
    <w:rsid w:val="00E87FC5"/>
    <w:rsid w:val="00E90030"/>
    <w:rsid w:val="00E902D3"/>
    <w:rsid w:val="00E90382"/>
    <w:rsid w:val="00E91132"/>
    <w:rsid w:val="00E913C4"/>
    <w:rsid w:val="00E91749"/>
    <w:rsid w:val="00E91AF4"/>
    <w:rsid w:val="00E931C4"/>
    <w:rsid w:val="00E932DB"/>
    <w:rsid w:val="00E93557"/>
    <w:rsid w:val="00E935F8"/>
    <w:rsid w:val="00E9416F"/>
    <w:rsid w:val="00E94528"/>
    <w:rsid w:val="00E957E6"/>
    <w:rsid w:val="00E962EE"/>
    <w:rsid w:val="00E96EF7"/>
    <w:rsid w:val="00E9749C"/>
    <w:rsid w:val="00E97E5D"/>
    <w:rsid w:val="00EA022E"/>
    <w:rsid w:val="00EA1237"/>
    <w:rsid w:val="00EA15FA"/>
    <w:rsid w:val="00EA198E"/>
    <w:rsid w:val="00EA1E9A"/>
    <w:rsid w:val="00EA2147"/>
    <w:rsid w:val="00EA2E82"/>
    <w:rsid w:val="00EA3127"/>
    <w:rsid w:val="00EA36B5"/>
    <w:rsid w:val="00EA3E41"/>
    <w:rsid w:val="00EA3E52"/>
    <w:rsid w:val="00EA4899"/>
    <w:rsid w:val="00EA4A29"/>
    <w:rsid w:val="00EA5283"/>
    <w:rsid w:val="00EA534F"/>
    <w:rsid w:val="00EA77C8"/>
    <w:rsid w:val="00EA7F43"/>
    <w:rsid w:val="00EB08DE"/>
    <w:rsid w:val="00EB1049"/>
    <w:rsid w:val="00EB138D"/>
    <w:rsid w:val="00EB13B1"/>
    <w:rsid w:val="00EB14FF"/>
    <w:rsid w:val="00EB1789"/>
    <w:rsid w:val="00EB17B6"/>
    <w:rsid w:val="00EB17D6"/>
    <w:rsid w:val="00EB1971"/>
    <w:rsid w:val="00EB19F9"/>
    <w:rsid w:val="00EB243B"/>
    <w:rsid w:val="00EB2BA6"/>
    <w:rsid w:val="00EB2F80"/>
    <w:rsid w:val="00EB350C"/>
    <w:rsid w:val="00EB3698"/>
    <w:rsid w:val="00EB3B99"/>
    <w:rsid w:val="00EB3C82"/>
    <w:rsid w:val="00EB3EDF"/>
    <w:rsid w:val="00EB4466"/>
    <w:rsid w:val="00EB4570"/>
    <w:rsid w:val="00EB4602"/>
    <w:rsid w:val="00EB4A90"/>
    <w:rsid w:val="00EB4B6B"/>
    <w:rsid w:val="00EB4C37"/>
    <w:rsid w:val="00EB50A3"/>
    <w:rsid w:val="00EB526B"/>
    <w:rsid w:val="00EB63B6"/>
    <w:rsid w:val="00EB68D2"/>
    <w:rsid w:val="00EB7564"/>
    <w:rsid w:val="00EB7836"/>
    <w:rsid w:val="00EB7861"/>
    <w:rsid w:val="00EB7910"/>
    <w:rsid w:val="00EB7DE7"/>
    <w:rsid w:val="00EC11A2"/>
    <w:rsid w:val="00EC1592"/>
    <w:rsid w:val="00EC1621"/>
    <w:rsid w:val="00EC1841"/>
    <w:rsid w:val="00EC21E3"/>
    <w:rsid w:val="00EC2663"/>
    <w:rsid w:val="00EC279B"/>
    <w:rsid w:val="00EC27BD"/>
    <w:rsid w:val="00EC31A2"/>
    <w:rsid w:val="00EC37AF"/>
    <w:rsid w:val="00EC38A0"/>
    <w:rsid w:val="00EC3BED"/>
    <w:rsid w:val="00EC4866"/>
    <w:rsid w:val="00EC4AA7"/>
    <w:rsid w:val="00EC4E3A"/>
    <w:rsid w:val="00EC5216"/>
    <w:rsid w:val="00EC58D2"/>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2E28"/>
    <w:rsid w:val="00ED3084"/>
    <w:rsid w:val="00ED3C76"/>
    <w:rsid w:val="00ED4DB2"/>
    <w:rsid w:val="00ED5FBC"/>
    <w:rsid w:val="00ED607C"/>
    <w:rsid w:val="00ED68CA"/>
    <w:rsid w:val="00ED6949"/>
    <w:rsid w:val="00ED6CDC"/>
    <w:rsid w:val="00ED751E"/>
    <w:rsid w:val="00ED7FEC"/>
    <w:rsid w:val="00EE0148"/>
    <w:rsid w:val="00EE033F"/>
    <w:rsid w:val="00EE041F"/>
    <w:rsid w:val="00EE0543"/>
    <w:rsid w:val="00EE0D3A"/>
    <w:rsid w:val="00EE1131"/>
    <w:rsid w:val="00EE1C42"/>
    <w:rsid w:val="00EE217F"/>
    <w:rsid w:val="00EE2D66"/>
    <w:rsid w:val="00EE2E71"/>
    <w:rsid w:val="00EE33D1"/>
    <w:rsid w:val="00EE39CD"/>
    <w:rsid w:val="00EE4B16"/>
    <w:rsid w:val="00EE4E31"/>
    <w:rsid w:val="00EE5123"/>
    <w:rsid w:val="00EE516A"/>
    <w:rsid w:val="00EE544D"/>
    <w:rsid w:val="00EE54F5"/>
    <w:rsid w:val="00EE59E4"/>
    <w:rsid w:val="00EE5A4C"/>
    <w:rsid w:val="00EE5AF4"/>
    <w:rsid w:val="00EE5D65"/>
    <w:rsid w:val="00EE6B3B"/>
    <w:rsid w:val="00EE6D48"/>
    <w:rsid w:val="00EE6D63"/>
    <w:rsid w:val="00EE6EB9"/>
    <w:rsid w:val="00EE7130"/>
    <w:rsid w:val="00EE7F83"/>
    <w:rsid w:val="00EE7F98"/>
    <w:rsid w:val="00EF00D5"/>
    <w:rsid w:val="00EF08DF"/>
    <w:rsid w:val="00EF0CAF"/>
    <w:rsid w:val="00EF2B09"/>
    <w:rsid w:val="00EF2C79"/>
    <w:rsid w:val="00EF2CDF"/>
    <w:rsid w:val="00EF311B"/>
    <w:rsid w:val="00EF33F5"/>
    <w:rsid w:val="00EF37E5"/>
    <w:rsid w:val="00EF38BC"/>
    <w:rsid w:val="00EF440F"/>
    <w:rsid w:val="00EF4D64"/>
    <w:rsid w:val="00EF5B91"/>
    <w:rsid w:val="00EF5CF6"/>
    <w:rsid w:val="00EF609A"/>
    <w:rsid w:val="00EF6371"/>
    <w:rsid w:val="00EF6A82"/>
    <w:rsid w:val="00EF6C9F"/>
    <w:rsid w:val="00EF6EAF"/>
    <w:rsid w:val="00EF723F"/>
    <w:rsid w:val="00EF7C24"/>
    <w:rsid w:val="00EF7CE7"/>
    <w:rsid w:val="00F002F9"/>
    <w:rsid w:val="00F003B7"/>
    <w:rsid w:val="00F00DC3"/>
    <w:rsid w:val="00F01133"/>
    <w:rsid w:val="00F012F2"/>
    <w:rsid w:val="00F0182E"/>
    <w:rsid w:val="00F019DC"/>
    <w:rsid w:val="00F01A64"/>
    <w:rsid w:val="00F02D23"/>
    <w:rsid w:val="00F03051"/>
    <w:rsid w:val="00F0325C"/>
    <w:rsid w:val="00F0326A"/>
    <w:rsid w:val="00F0416D"/>
    <w:rsid w:val="00F042CC"/>
    <w:rsid w:val="00F043D5"/>
    <w:rsid w:val="00F050BE"/>
    <w:rsid w:val="00F059A5"/>
    <w:rsid w:val="00F066DC"/>
    <w:rsid w:val="00F1094A"/>
    <w:rsid w:val="00F11FC8"/>
    <w:rsid w:val="00F121CD"/>
    <w:rsid w:val="00F12959"/>
    <w:rsid w:val="00F12A09"/>
    <w:rsid w:val="00F13385"/>
    <w:rsid w:val="00F137E9"/>
    <w:rsid w:val="00F13B4D"/>
    <w:rsid w:val="00F13E1B"/>
    <w:rsid w:val="00F142B5"/>
    <w:rsid w:val="00F14768"/>
    <w:rsid w:val="00F15D2A"/>
    <w:rsid w:val="00F168F1"/>
    <w:rsid w:val="00F16A00"/>
    <w:rsid w:val="00F16D6B"/>
    <w:rsid w:val="00F170E3"/>
    <w:rsid w:val="00F17ABB"/>
    <w:rsid w:val="00F2001C"/>
    <w:rsid w:val="00F2051C"/>
    <w:rsid w:val="00F20812"/>
    <w:rsid w:val="00F20B7A"/>
    <w:rsid w:val="00F2194D"/>
    <w:rsid w:val="00F22E18"/>
    <w:rsid w:val="00F23AF4"/>
    <w:rsid w:val="00F246A6"/>
    <w:rsid w:val="00F24E03"/>
    <w:rsid w:val="00F25A53"/>
    <w:rsid w:val="00F26358"/>
    <w:rsid w:val="00F263D7"/>
    <w:rsid w:val="00F26AE8"/>
    <w:rsid w:val="00F26B2E"/>
    <w:rsid w:val="00F26D3A"/>
    <w:rsid w:val="00F2765C"/>
    <w:rsid w:val="00F305FD"/>
    <w:rsid w:val="00F3075A"/>
    <w:rsid w:val="00F3075F"/>
    <w:rsid w:val="00F3087D"/>
    <w:rsid w:val="00F30A25"/>
    <w:rsid w:val="00F31616"/>
    <w:rsid w:val="00F31686"/>
    <w:rsid w:val="00F319A6"/>
    <w:rsid w:val="00F319C9"/>
    <w:rsid w:val="00F31D9D"/>
    <w:rsid w:val="00F31F3B"/>
    <w:rsid w:val="00F3221C"/>
    <w:rsid w:val="00F32818"/>
    <w:rsid w:val="00F32C38"/>
    <w:rsid w:val="00F3319B"/>
    <w:rsid w:val="00F3344B"/>
    <w:rsid w:val="00F3352E"/>
    <w:rsid w:val="00F33609"/>
    <w:rsid w:val="00F338D0"/>
    <w:rsid w:val="00F33E4F"/>
    <w:rsid w:val="00F34391"/>
    <w:rsid w:val="00F34544"/>
    <w:rsid w:val="00F34885"/>
    <w:rsid w:val="00F353D8"/>
    <w:rsid w:val="00F35539"/>
    <w:rsid w:val="00F355EF"/>
    <w:rsid w:val="00F35AE0"/>
    <w:rsid w:val="00F362E2"/>
    <w:rsid w:val="00F36AED"/>
    <w:rsid w:val="00F370C7"/>
    <w:rsid w:val="00F376EE"/>
    <w:rsid w:val="00F376FA"/>
    <w:rsid w:val="00F3775A"/>
    <w:rsid w:val="00F378A3"/>
    <w:rsid w:val="00F379FE"/>
    <w:rsid w:val="00F37E82"/>
    <w:rsid w:val="00F37EC3"/>
    <w:rsid w:val="00F37FC2"/>
    <w:rsid w:val="00F40DD0"/>
    <w:rsid w:val="00F40E96"/>
    <w:rsid w:val="00F41CEB"/>
    <w:rsid w:val="00F42B22"/>
    <w:rsid w:val="00F42C68"/>
    <w:rsid w:val="00F42EF7"/>
    <w:rsid w:val="00F4304D"/>
    <w:rsid w:val="00F43B86"/>
    <w:rsid w:val="00F44777"/>
    <w:rsid w:val="00F44A72"/>
    <w:rsid w:val="00F44CD1"/>
    <w:rsid w:val="00F454B0"/>
    <w:rsid w:val="00F45600"/>
    <w:rsid w:val="00F4572B"/>
    <w:rsid w:val="00F45A24"/>
    <w:rsid w:val="00F45A6F"/>
    <w:rsid w:val="00F4641F"/>
    <w:rsid w:val="00F46B9D"/>
    <w:rsid w:val="00F46CF1"/>
    <w:rsid w:val="00F47444"/>
    <w:rsid w:val="00F477C7"/>
    <w:rsid w:val="00F47B29"/>
    <w:rsid w:val="00F47F38"/>
    <w:rsid w:val="00F50585"/>
    <w:rsid w:val="00F5069F"/>
    <w:rsid w:val="00F506FD"/>
    <w:rsid w:val="00F50C4E"/>
    <w:rsid w:val="00F50D43"/>
    <w:rsid w:val="00F510A8"/>
    <w:rsid w:val="00F51AC5"/>
    <w:rsid w:val="00F522AC"/>
    <w:rsid w:val="00F52421"/>
    <w:rsid w:val="00F5285D"/>
    <w:rsid w:val="00F52EAF"/>
    <w:rsid w:val="00F53198"/>
    <w:rsid w:val="00F54EFE"/>
    <w:rsid w:val="00F56528"/>
    <w:rsid w:val="00F56B79"/>
    <w:rsid w:val="00F56EDE"/>
    <w:rsid w:val="00F56F2F"/>
    <w:rsid w:val="00F60EC8"/>
    <w:rsid w:val="00F617D3"/>
    <w:rsid w:val="00F623AF"/>
    <w:rsid w:val="00F62A0B"/>
    <w:rsid w:val="00F63432"/>
    <w:rsid w:val="00F63685"/>
    <w:rsid w:val="00F637E5"/>
    <w:rsid w:val="00F63E85"/>
    <w:rsid w:val="00F648CF"/>
    <w:rsid w:val="00F64AA1"/>
    <w:rsid w:val="00F659D8"/>
    <w:rsid w:val="00F65A7C"/>
    <w:rsid w:val="00F65DCD"/>
    <w:rsid w:val="00F65E9D"/>
    <w:rsid w:val="00F6717F"/>
    <w:rsid w:val="00F6792F"/>
    <w:rsid w:val="00F67A61"/>
    <w:rsid w:val="00F67FA6"/>
    <w:rsid w:val="00F7098C"/>
    <w:rsid w:val="00F70FBD"/>
    <w:rsid w:val="00F71070"/>
    <w:rsid w:val="00F71779"/>
    <w:rsid w:val="00F71EE4"/>
    <w:rsid w:val="00F7332E"/>
    <w:rsid w:val="00F7420A"/>
    <w:rsid w:val="00F754B8"/>
    <w:rsid w:val="00F7599F"/>
    <w:rsid w:val="00F75B4C"/>
    <w:rsid w:val="00F75D33"/>
    <w:rsid w:val="00F75E6B"/>
    <w:rsid w:val="00F75EF2"/>
    <w:rsid w:val="00F76B34"/>
    <w:rsid w:val="00F77ACB"/>
    <w:rsid w:val="00F77D72"/>
    <w:rsid w:val="00F804EE"/>
    <w:rsid w:val="00F808FD"/>
    <w:rsid w:val="00F80DC5"/>
    <w:rsid w:val="00F81A36"/>
    <w:rsid w:val="00F81CEF"/>
    <w:rsid w:val="00F81D56"/>
    <w:rsid w:val="00F82669"/>
    <w:rsid w:val="00F82A57"/>
    <w:rsid w:val="00F82E64"/>
    <w:rsid w:val="00F8339A"/>
    <w:rsid w:val="00F83523"/>
    <w:rsid w:val="00F838C1"/>
    <w:rsid w:val="00F8442B"/>
    <w:rsid w:val="00F85102"/>
    <w:rsid w:val="00F85D40"/>
    <w:rsid w:val="00F860BB"/>
    <w:rsid w:val="00F86285"/>
    <w:rsid w:val="00F8728F"/>
    <w:rsid w:val="00F8746F"/>
    <w:rsid w:val="00F90097"/>
    <w:rsid w:val="00F902D0"/>
    <w:rsid w:val="00F909DB"/>
    <w:rsid w:val="00F90CE7"/>
    <w:rsid w:val="00F91312"/>
    <w:rsid w:val="00F91329"/>
    <w:rsid w:val="00F9182E"/>
    <w:rsid w:val="00F91A0B"/>
    <w:rsid w:val="00F91D8C"/>
    <w:rsid w:val="00F93558"/>
    <w:rsid w:val="00F937BD"/>
    <w:rsid w:val="00F93EC2"/>
    <w:rsid w:val="00F941F4"/>
    <w:rsid w:val="00F94F74"/>
    <w:rsid w:val="00F952DF"/>
    <w:rsid w:val="00F95421"/>
    <w:rsid w:val="00F9543D"/>
    <w:rsid w:val="00F95C17"/>
    <w:rsid w:val="00F9604B"/>
    <w:rsid w:val="00F96DAA"/>
    <w:rsid w:val="00F96F8D"/>
    <w:rsid w:val="00F97175"/>
    <w:rsid w:val="00F971EB"/>
    <w:rsid w:val="00F97426"/>
    <w:rsid w:val="00F9778A"/>
    <w:rsid w:val="00F97DEF"/>
    <w:rsid w:val="00FA025A"/>
    <w:rsid w:val="00FA03F2"/>
    <w:rsid w:val="00FA143E"/>
    <w:rsid w:val="00FA16F0"/>
    <w:rsid w:val="00FA17B8"/>
    <w:rsid w:val="00FA2419"/>
    <w:rsid w:val="00FA24EC"/>
    <w:rsid w:val="00FA2DD5"/>
    <w:rsid w:val="00FA3763"/>
    <w:rsid w:val="00FA3CB5"/>
    <w:rsid w:val="00FA42E7"/>
    <w:rsid w:val="00FA466C"/>
    <w:rsid w:val="00FA4855"/>
    <w:rsid w:val="00FA4DC7"/>
    <w:rsid w:val="00FA4E87"/>
    <w:rsid w:val="00FA6158"/>
    <w:rsid w:val="00FA69E8"/>
    <w:rsid w:val="00FA6DEE"/>
    <w:rsid w:val="00FA7549"/>
    <w:rsid w:val="00FA7713"/>
    <w:rsid w:val="00FA7895"/>
    <w:rsid w:val="00FA7DC6"/>
    <w:rsid w:val="00FB03E8"/>
    <w:rsid w:val="00FB0D9A"/>
    <w:rsid w:val="00FB0E99"/>
    <w:rsid w:val="00FB1156"/>
    <w:rsid w:val="00FB13F0"/>
    <w:rsid w:val="00FB2011"/>
    <w:rsid w:val="00FB2020"/>
    <w:rsid w:val="00FB2047"/>
    <w:rsid w:val="00FB20E8"/>
    <w:rsid w:val="00FB2240"/>
    <w:rsid w:val="00FB23A9"/>
    <w:rsid w:val="00FB26B1"/>
    <w:rsid w:val="00FB2D3F"/>
    <w:rsid w:val="00FB349A"/>
    <w:rsid w:val="00FB3F70"/>
    <w:rsid w:val="00FB45D7"/>
    <w:rsid w:val="00FB4768"/>
    <w:rsid w:val="00FB4F5E"/>
    <w:rsid w:val="00FB5116"/>
    <w:rsid w:val="00FB5144"/>
    <w:rsid w:val="00FB59D7"/>
    <w:rsid w:val="00FB6465"/>
    <w:rsid w:val="00FB687A"/>
    <w:rsid w:val="00FB6B33"/>
    <w:rsid w:val="00FB70B5"/>
    <w:rsid w:val="00FB7AD6"/>
    <w:rsid w:val="00FB7CCD"/>
    <w:rsid w:val="00FC0458"/>
    <w:rsid w:val="00FC09D8"/>
    <w:rsid w:val="00FC0C51"/>
    <w:rsid w:val="00FC180B"/>
    <w:rsid w:val="00FC1D6C"/>
    <w:rsid w:val="00FC1EB2"/>
    <w:rsid w:val="00FC20FB"/>
    <w:rsid w:val="00FC2827"/>
    <w:rsid w:val="00FC2FF2"/>
    <w:rsid w:val="00FC3A66"/>
    <w:rsid w:val="00FC3C22"/>
    <w:rsid w:val="00FC42F4"/>
    <w:rsid w:val="00FC5B73"/>
    <w:rsid w:val="00FC622E"/>
    <w:rsid w:val="00FC67CB"/>
    <w:rsid w:val="00FC695A"/>
    <w:rsid w:val="00FC6DA4"/>
    <w:rsid w:val="00FC77E2"/>
    <w:rsid w:val="00FD01A2"/>
    <w:rsid w:val="00FD0265"/>
    <w:rsid w:val="00FD02A4"/>
    <w:rsid w:val="00FD032F"/>
    <w:rsid w:val="00FD0700"/>
    <w:rsid w:val="00FD08DC"/>
    <w:rsid w:val="00FD0B7D"/>
    <w:rsid w:val="00FD14E3"/>
    <w:rsid w:val="00FD1E73"/>
    <w:rsid w:val="00FD2127"/>
    <w:rsid w:val="00FD28AE"/>
    <w:rsid w:val="00FD307B"/>
    <w:rsid w:val="00FD3941"/>
    <w:rsid w:val="00FD3D7E"/>
    <w:rsid w:val="00FD3DED"/>
    <w:rsid w:val="00FD53B7"/>
    <w:rsid w:val="00FD55AE"/>
    <w:rsid w:val="00FD578C"/>
    <w:rsid w:val="00FD5B65"/>
    <w:rsid w:val="00FD5ED3"/>
    <w:rsid w:val="00FD636F"/>
    <w:rsid w:val="00FD6372"/>
    <w:rsid w:val="00FD66F7"/>
    <w:rsid w:val="00FD688D"/>
    <w:rsid w:val="00FD7182"/>
    <w:rsid w:val="00FD724B"/>
    <w:rsid w:val="00FE0097"/>
    <w:rsid w:val="00FE083A"/>
    <w:rsid w:val="00FE0A71"/>
    <w:rsid w:val="00FE0B61"/>
    <w:rsid w:val="00FE11DC"/>
    <w:rsid w:val="00FE125E"/>
    <w:rsid w:val="00FE1997"/>
    <w:rsid w:val="00FE1BE9"/>
    <w:rsid w:val="00FE1F15"/>
    <w:rsid w:val="00FE21E8"/>
    <w:rsid w:val="00FE26DB"/>
    <w:rsid w:val="00FE26ED"/>
    <w:rsid w:val="00FE3A02"/>
    <w:rsid w:val="00FE3B7B"/>
    <w:rsid w:val="00FE4656"/>
    <w:rsid w:val="00FE4692"/>
    <w:rsid w:val="00FE4A36"/>
    <w:rsid w:val="00FE4AB6"/>
    <w:rsid w:val="00FE4B6C"/>
    <w:rsid w:val="00FE4F2D"/>
    <w:rsid w:val="00FE5096"/>
    <w:rsid w:val="00FE51BF"/>
    <w:rsid w:val="00FE5A5B"/>
    <w:rsid w:val="00FE6077"/>
    <w:rsid w:val="00FE7226"/>
    <w:rsid w:val="00FE7639"/>
    <w:rsid w:val="00FE7A31"/>
    <w:rsid w:val="00FE7DFA"/>
    <w:rsid w:val="00FF0005"/>
    <w:rsid w:val="00FF00D7"/>
    <w:rsid w:val="00FF09E7"/>
    <w:rsid w:val="00FF0DA7"/>
    <w:rsid w:val="00FF20C3"/>
    <w:rsid w:val="00FF213F"/>
    <w:rsid w:val="00FF2DEA"/>
    <w:rsid w:val="00FF35C0"/>
    <w:rsid w:val="00FF38D3"/>
    <w:rsid w:val="00FF3986"/>
    <w:rsid w:val="00FF3A05"/>
    <w:rsid w:val="00FF3DD6"/>
    <w:rsid w:val="00FF4055"/>
    <w:rsid w:val="00FF44B8"/>
    <w:rsid w:val="00FF459A"/>
    <w:rsid w:val="00FF4B1B"/>
    <w:rsid w:val="00FF5019"/>
    <w:rsid w:val="00FF514C"/>
    <w:rsid w:val="00FF5555"/>
    <w:rsid w:val="00FF555B"/>
    <w:rsid w:val="00FF5E9A"/>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6D71E"/>
  <w15:docId w15:val="{7917EFEE-7C22-440E-A574-955EAB6C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379"/>
    <w:pPr>
      <w:spacing w:after="200" w:line="240" w:lineRule="auto"/>
    </w:pPr>
    <w:rPr>
      <w:rFonts w:ascii="Arial" w:hAnsi="Arial"/>
      <w:sz w:val="24"/>
    </w:rPr>
  </w:style>
  <w:style w:type="paragraph" w:styleId="Heading1">
    <w:name w:val="heading 1"/>
    <w:basedOn w:val="Normal"/>
    <w:next w:val="Normal"/>
    <w:link w:val="Heading1Char"/>
    <w:uiPriority w:val="9"/>
    <w:qFormat/>
    <w:rsid w:val="003C3D20"/>
    <w:pPr>
      <w:keepNext/>
      <w:keepLines/>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092941"/>
    <w:pPr>
      <w:keepNext/>
      <w:keepLines/>
      <w:spacing w:line="480" w:lineRule="auto"/>
      <w:ind w:left="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BF221F"/>
    <w:pPr>
      <w:keepNext/>
      <w:spacing w:line="480" w:lineRule="auto"/>
      <w:outlineLvl w:val="2"/>
    </w:pPr>
    <w:rPr>
      <w:rFonts w:eastAsia="Calibri" w:cs="Arial"/>
      <w:b/>
      <w:i/>
      <w:color w:val="000000" w:themeColor="text1"/>
      <w:szCs w:val="24"/>
    </w:rPr>
  </w:style>
  <w:style w:type="paragraph" w:styleId="Heading4">
    <w:name w:val="heading 4"/>
    <w:aliases w:val="NCD.Heading"/>
    <w:next w:val="Normal"/>
    <w:link w:val="Heading4Char"/>
    <w:uiPriority w:val="9"/>
    <w:unhideWhenUsed/>
    <w:qFormat/>
    <w:rsid w:val="00BF221F"/>
    <w:pPr>
      <w:outlineLvl w:val="3"/>
    </w:pPr>
    <w:rPr>
      <w:rFonts w:ascii="Arial" w:eastAsia="Calibri" w:hAnsi="Arial" w:cs="Arial"/>
      <w:b/>
      <w:color w:val="000000" w:themeColor="text1"/>
      <w:sz w:val="24"/>
      <w:szCs w:val="24"/>
    </w:rPr>
  </w:style>
  <w:style w:type="paragraph" w:styleId="Heading5">
    <w:name w:val="heading 5"/>
    <w:basedOn w:val="Normal"/>
    <w:next w:val="Normal"/>
    <w:link w:val="Heading5Char"/>
    <w:uiPriority w:val="9"/>
    <w:semiHidden/>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qFormat/>
    <w:rsid w:val="0009294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qFormat/>
    <w:rsid w:val="00BF221F"/>
    <w:rPr>
      <w:rFonts w:ascii="Arial" w:eastAsia="Calibri" w:hAnsi="Arial" w:cs="Arial"/>
      <w:b/>
      <w:i/>
      <w:color w:val="000000" w:themeColor="text1"/>
      <w:sz w:val="24"/>
      <w:szCs w:val="24"/>
    </w:rPr>
  </w:style>
  <w:style w:type="character" w:customStyle="1" w:styleId="Heading4Char">
    <w:name w:val="Heading 4 Char"/>
    <w:aliases w:val="NCD.Heading Char"/>
    <w:basedOn w:val="DefaultParagraphFont"/>
    <w:link w:val="Heading4"/>
    <w:uiPriority w:val="9"/>
    <w:qFormat/>
    <w:rsid w:val="00BF221F"/>
    <w:rPr>
      <w:rFonts w:ascii="Arial" w:eastAsia="Calibri" w:hAnsi="Arial" w:cs="Arial"/>
      <w:b/>
      <w:color w:val="000000" w:themeColor="text1"/>
      <w:sz w:val="24"/>
      <w:szCs w:val="24"/>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5C98"/>
  </w:style>
  <w:style w:type="character" w:customStyle="1" w:styleId="HeaderChar">
    <w:name w:val="Header Char"/>
    <w:basedOn w:val="DefaultParagraphFont"/>
    <w:link w:val="Header"/>
    <w:uiPriority w:val="99"/>
    <w:qFormat/>
    <w:rsid w:val="007C5C98"/>
  </w:style>
  <w:style w:type="paragraph" w:styleId="Footer">
    <w:name w:val="footer"/>
    <w:basedOn w:val="Normal"/>
    <w:link w:val="FooterChar"/>
    <w:uiPriority w:val="99"/>
    <w:unhideWhenUsed/>
    <w:rsid w:val="007C5C98"/>
  </w:style>
  <w:style w:type="character" w:customStyle="1" w:styleId="FooterChar">
    <w:name w:val="Footer Char"/>
    <w:basedOn w:val="DefaultParagraphFont"/>
    <w:link w:val="Footer"/>
    <w:uiPriority w:val="99"/>
    <w:qFormat/>
    <w:rsid w:val="007C5C98"/>
  </w:style>
  <w:style w:type="paragraph" w:styleId="Caption">
    <w:name w:val="caption"/>
    <w:basedOn w:val="Normal"/>
    <w:next w:val="Normal"/>
    <w:unhideWhenUsed/>
    <w:qFormat/>
    <w:rsid w:val="007C5C98"/>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uiPriority w:val="10"/>
    <w:qFormat/>
    <w:rsid w:val="007C5C98"/>
    <w:rPr>
      <w:sz w:val="28"/>
      <w:szCs w:val="28"/>
    </w:rPr>
  </w:style>
  <w:style w:type="character" w:customStyle="1" w:styleId="TitleChar">
    <w:name w:val="Title Char"/>
    <w:basedOn w:val="DefaultParagraphFont"/>
    <w:link w:val="Title"/>
    <w:uiPriority w:val="10"/>
    <w:qFormat/>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qFormat/>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5F6594"/>
    <w:pPr>
      <w:spacing w:before="200"/>
      <w:ind w:left="864" w:right="864"/>
      <w:jc w:val="center"/>
    </w:pPr>
    <w:rPr>
      <w:iCs/>
    </w:rPr>
  </w:style>
  <w:style w:type="character" w:customStyle="1" w:styleId="QuoteChar">
    <w:name w:val="Quote Char"/>
    <w:basedOn w:val="DefaultParagraphFont"/>
    <w:link w:val="Quote"/>
    <w:uiPriority w:val="29"/>
    <w:qFormat/>
    <w:rsid w:val="005F6594"/>
    <w:rPr>
      <w:rFonts w:ascii="Arial" w:hAnsi="Arial"/>
      <w:iCs/>
      <w:sz w:val="24"/>
    </w:rPr>
  </w:style>
  <w:style w:type="paragraph" w:styleId="IntenseQuote">
    <w:name w:val="Intense Quote"/>
    <w:basedOn w:val="Normal"/>
    <w:next w:val="Normal"/>
    <w:link w:val="IntenseQuoteChar"/>
    <w:uiPriority w:val="30"/>
    <w:qFormat/>
    <w:rsid w:val="00E83248"/>
    <w:pPr>
      <w:pBdr>
        <w:top w:val="single" w:sz="4" w:space="10" w:color="4F81BD" w:themeColor="accent1"/>
        <w:bottom w:val="single" w:sz="4" w:space="10" w:color="4F81BD" w:themeColor="accent1"/>
      </w:pBdr>
      <w:spacing w:before="360" w:after="360"/>
      <w:ind w:left="864" w:right="864"/>
      <w:jc w:val="center"/>
    </w:pPr>
    <w:rPr>
      <w:iCs/>
      <w:color w:val="4F81BD" w:themeColor="accent1"/>
    </w:rPr>
  </w:style>
  <w:style w:type="character" w:customStyle="1" w:styleId="IntenseQuoteChar">
    <w:name w:val="Intense Quote Char"/>
    <w:basedOn w:val="DefaultParagraphFont"/>
    <w:link w:val="IntenseQuote"/>
    <w:uiPriority w:val="30"/>
    <w:qFormat/>
    <w:rsid w:val="00E83248"/>
    <w:rPr>
      <w:rFonts w:ascii="Arial" w:hAnsi="Arial"/>
      <w:iCs/>
      <w:color w:val="4F81BD" w:themeColor="accent1"/>
      <w:sz w:val="24"/>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qFormat/>
    <w:rsid w:val="00AC7D93"/>
    <w:rPr>
      <w:color w:val="0000FF" w:themeColor="hyperlink"/>
      <w:u w:val="single"/>
    </w:rPr>
  </w:style>
  <w:style w:type="character" w:customStyle="1" w:styleId="UnresolvedMention1">
    <w:name w:val="Unresolved Mention1"/>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unhideWhenUsed/>
    <w:rsid w:val="00AC7D93"/>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qFormat/>
    <w:rsid w:val="00AC7D93"/>
    <w:pPr>
      <w:spacing w:before="100" w:beforeAutospacing="1" w:after="100" w:afterAutospacing="1"/>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pPr>
    <w:rPr>
      <w:rFonts w:eastAsia="Times New Roman" w:cs="Arial"/>
      <w:noProof/>
      <w:szCs w:val="24"/>
    </w:rPr>
  </w:style>
  <w:style w:type="paragraph" w:styleId="TOC2">
    <w:name w:val="toc 2"/>
    <w:basedOn w:val="Normal"/>
    <w:next w:val="Normal"/>
    <w:autoRedefine/>
    <w:uiPriority w:val="39"/>
    <w:unhideWhenUsed/>
    <w:rsid w:val="00012AF4"/>
    <w:pPr>
      <w:tabs>
        <w:tab w:val="left" w:pos="660"/>
        <w:tab w:val="left" w:pos="880"/>
        <w:tab w:val="right" w:leader="dot" w:pos="9350"/>
      </w:tabs>
      <w:spacing w:after="100"/>
      <w:ind w:left="720" w:hanging="360"/>
    </w:pPr>
    <w:rPr>
      <w:rFonts w:eastAsia="Times New Roman" w:cs="Arial"/>
      <w:szCs w:val="24"/>
    </w:rPr>
  </w:style>
  <w:style w:type="paragraph" w:styleId="TOC3">
    <w:name w:val="toc 3"/>
    <w:basedOn w:val="Normal"/>
    <w:next w:val="Normal"/>
    <w:autoRedefine/>
    <w:uiPriority w:val="39"/>
    <w:unhideWhenUsed/>
    <w:rsid w:val="00075D0A"/>
    <w:pPr>
      <w:tabs>
        <w:tab w:val="left" w:pos="1100"/>
        <w:tab w:val="right" w:leader="dot" w:pos="9350"/>
      </w:tabs>
      <w:spacing w:after="100"/>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unhideWhenUsed/>
    <w:rsid w:val="00ED668E"/>
    <w:rPr>
      <w:vertAlign w:val="superscript"/>
    </w:rPr>
  </w:style>
  <w:style w:type="paragraph" w:customStyle="1" w:styleId="pf0">
    <w:name w:val="pf0"/>
    <w:basedOn w:val="Normal"/>
    <w:rsid w:val="001E43D4"/>
    <w:pPr>
      <w:spacing w:before="100" w:beforeAutospacing="1" w:after="100" w:afterAutospacing="1"/>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qFormat/>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uiPriority w:val="99"/>
    <w:rsid w:val="00A470CE"/>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 w:type="character" w:customStyle="1" w:styleId="UnresolvedMention2">
    <w:name w:val="Unresolved Mention2"/>
    <w:basedOn w:val="DefaultParagraphFont"/>
    <w:uiPriority w:val="99"/>
    <w:semiHidden/>
    <w:unhideWhenUsed/>
    <w:rsid w:val="007E0762"/>
    <w:rPr>
      <w:color w:val="605E5C"/>
      <w:shd w:val="clear" w:color="auto" w:fill="E1DFDD"/>
    </w:rPr>
  </w:style>
  <w:style w:type="character" w:customStyle="1" w:styleId="FootnoteTextChar1">
    <w:name w:val="Footnote Text Char1"/>
    <w:basedOn w:val="DefaultParagraphFont"/>
    <w:uiPriority w:val="99"/>
    <w:semiHidden/>
    <w:rsid w:val="007E0762"/>
    <w:rPr>
      <w:sz w:val="20"/>
      <w:szCs w:val="20"/>
    </w:rPr>
  </w:style>
  <w:style w:type="paragraph" w:customStyle="1" w:styleId="KaraStyle">
    <w:name w:val="Kara Style"/>
    <w:basedOn w:val="Normal"/>
    <w:qFormat/>
    <w:rsid w:val="007E0762"/>
    <w:pPr>
      <w:spacing w:after="160" w:line="259" w:lineRule="auto"/>
    </w:pPr>
    <w:rPr>
      <w:rFonts w:cs="Arial"/>
      <w:szCs w:val="24"/>
    </w:rPr>
  </w:style>
  <w:style w:type="table" w:styleId="TableGrid">
    <w:name w:val="Table Grid"/>
    <w:basedOn w:val="TableNormal"/>
    <w:uiPriority w:val="59"/>
    <w:rsid w:val="007E076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076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0762"/>
    <w:rPr>
      <w:rFonts w:ascii="Consolas" w:hAnsi="Consolas"/>
      <w:sz w:val="20"/>
      <w:szCs w:val="20"/>
    </w:rPr>
  </w:style>
  <w:style w:type="character" w:styleId="BookTitle">
    <w:name w:val="Book Title"/>
    <w:basedOn w:val="DefaultParagraphFont"/>
    <w:uiPriority w:val="33"/>
    <w:qFormat/>
    <w:rsid w:val="00363A21"/>
    <w:rPr>
      <w:b/>
      <w:bCs/>
      <w:smallCaps/>
      <w:spacing w:val="10"/>
    </w:rPr>
  </w:style>
  <w:style w:type="character" w:customStyle="1" w:styleId="EndnoteTextChar1">
    <w:name w:val="Endnote Text Char1"/>
    <w:basedOn w:val="DefaultParagraphFont"/>
    <w:uiPriority w:val="99"/>
    <w:semiHidden/>
    <w:rsid w:val="00363A21"/>
    <w:rPr>
      <w:sz w:val="20"/>
      <w:szCs w:val="20"/>
    </w:rPr>
  </w:style>
  <w:style w:type="character" w:customStyle="1" w:styleId="highwire-cite-journal">
    <w:name w:val="highwire-cite-journal"/>
    <w:basedOn w:val="DefaultParagraphFont"/>
    <w:rsid w:val="00363A21"/>
  </w:style>
  <w:style w:type="table" w:customStyle="1" w:styleId="TableGrid1">
    <w:name w:val="Table Grid1"/>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qFormat/>
    <w:rsid w:val="00FC20FB"/>
  </w:style>
  <w:style w:type="character" w:customStyle="1" w:styleId="adr">
    <w:name w:val="adr"/>
    <w:basedOn w:val="DefaultParagraphFont"/>
    <w:rsid w:val="00FC20FB"/>
  </w:style>
  <w:style w:type="character" w:customStyle="1" w:styleId="street-address">
    <w:name w:val="street-address"/>
    <w:basedOn w:val="DefaultParagraphFont"/>
    <w:rsid w:val="00FC20FB"/>
  </w:style>
  <w:style w:type="character" w:customStyle="1" w:styleId="locality">
    <w:name w:val="locality"/>
    <w:basedOn w:val="DefaultParagraphFont"/>
    <w:rsid w:val="00FC20FB"/>
  </w:style>
  <w:style w:type="character" w:customStyle="1" w:styleId="region">
    <w:name w:val="region"/>
    <w:basedOn w:val="DefaultParagraphFont"/>
    <w:rsid w:val="00FC20FB"/>
  </w:style>
  <w:style w:type="character" w:customStyle="1" w:styleId="postal-code">
    <w:name w:val="postal-code"/>
    <w:basedOn w:val="DefaultParagraphFont"/>
    <w:rsid w:val="00FC20FB"/>
  </w:style>
  <w:style w:type="character" w:customStyle="1" w:styleId="tel">
    <w:name w:val="tel"/>
    <w:basedOn w:val="DefaultParagraphFont"/>
    <w:rsid w:val="00FC20FB"/>
  </w:style>
  <w:style w:type="character" w:customStyle="1" w:styleId="phone-name">
    <w:name w:val="phone-name"/>
    <w:basedOn w:val="DefaultParagraphFont"/>
    <w:rsid w:val="00FC20FB"/>
  </w:style>
  <w:style w:type="character" w:customStyle="1" w:styleId="cn-separator">
    <w:name w:val="cn-separator"/>
    <w:basedOn w:val="DefaultParagraphFont"/>
    <w:rsid w:val="00FC20FB"/>
  </w:style>
  <w:style w:type="character" w:customStyle="1" w:styleId="value">
    <w:name w:val="value"/>
    <w:basedOn w:val="DefaultParagraphFont"/>
    <w:rsid w:val="00FC20FB"/>
  </w:style>
  <w:style w:type="character" w:customStyle="1" w:styleId="email">
    <w:name w:val="email"/>
    <w:basedOn w:val="DefaultParagraphFont"/>
    <w:rsid w:val="00FC20FB"/>
  </w:style>
  <w:style w:type="character" w:customStyle="1" w:styleId="email-name">
    <w:name w:val="email-name"/>
    <w:basedOn w:val="DefaultParagraphFont"/>
    <w:rsid w:val="00FC20FB"/>
  </w:style>
  <w:style w:type="character" w:customStyle="1" w:styleId="email-address">
    <w:name w:val="email-address"/>
    <w:basedOn w:val="DefaultParagraphFont"/>
    <w:rsid w:val="00FC20FB"/>
  </w:style>
  <w:style w:type="character" w:customStyle="1" w:styleId="link">
    <w:name w:val="link"/>
    <w:basedOn w:val="DefaultParagraphFont"/>
    <w:rsid w:val="00FC20FB"/>
  </w:style>
  <w:style w:type="character" w:customStyle="1" w:styleId="link-name">
    <w:name w:val="link-name"/>
    <w:basedOn w:val="DefaultParagraphFont"/>
    <w:rsid w:val="00FC20FB"/>
  </w:style>
  <w:style w:type="paragraph" w:styleId="BodyText">
    <w:name w:val="Body Text"/>
    <w:basedOn w:val="Normal"/>
    <w:link w:val="BodyTextChar"/>
    <w:rsid w:val="00FC20FB"/>
    <w:pPr>
      <w:widowControl w:val="0"/>
      <w:autoSpaceDE w:val="0"/>
      <w:autoSpaceDN w:val="0"/>
    </w:pPr>
    <w:rPr>
      <w:rFonts w:ascii="Calibri" w:eastAsia="Calibri" w:hAnsi="Calibri" w:cs="Calibri"/>
      <w:szCs w:val="24"/>
    </w:rPr>
  </w:style>
  <w:style w:type="character" w:customStyle="1" w:styleId="BodyTextChar">
    <w:name w:val="Body Text Char"/>
    <w:basedOn w:val="DefaultParagraphFont"/>
    <w:link w:val="BodyText"/>
    <w:uiPriority w:val="1"/>
    <w:rsid w:val="00FC20FB"/>
    <w:rPr>
      <w:rFonts w:ascii="Calibri" w:eastAsia="Calibri" w:hAnsi="Calibri" w:cs="Calibri"/>
      <w:sz w:val="24"/>
      <w:szCs w:val="24"/>
    </w:rPr>
  </w:style>
  <w:style w:type="paragraph" w:customStyle="1" w:styleId="TableParagraph">
    <w:name w:val="Table Paragraph"/>
    <w:basedOn w:val="Normal"/>
    <w:uiPriority w:val="1"/>
    <w:rsid w:val="00FC20FB"/>
    <w:pPr>
      <w:widowControl w:val="0"/>
      <w:autoSpaceDE w:val="0"/>
      <w:autoSpaceDN w:val="0"/>
      <w:ind w:left="29"/>
    </w:pPr>
    <w:rPr>
      <w:rFonts w:eastAsia="Arial" w:cs="Arial"/>
      <w:sz w:val="22"/>
    </w:rPr>
  </w:style>
  <w:style w:type="table" w:customStyle="1" w:styleId="TableGrid2">
    <w:name w:val="Table Grid2"/>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20FB"/>
    <w:pPr>
      <w:widowControl w:val="0"/>
      <w:spacing w:after="0" w:line="240" w:lineRule="auto"/>
    </w:pPr>
    <w:rPr>
      <w:rFonts w:ascii="Libre Franklin" w:eastAsia="SimSun" w:hAnsi="Libre Franklin" w:cs="Libre Frank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FC20FB"/>
  </w:style>
  <w:style w:type="paragraph" w:customStyle="1" w:styleId="breadcrumb-current">
    <w:name w:val="breadcrumb-current"/>
    <w:basedOn w:val="Normal"/>
    <w:rsid w:val="00FC20FB"/>
    <w:pPr>
      <w:spacing w:before="100" w:beforeAutospacing="1" w:after="100" w:afterAutospacing="1"/>
    </w:pPr>
    <w:rPr>
      <w:rFonts w:ascii="Times New Roman" w:eastAsia="Times New Roman" w:hAnsi="Times New Roman" w:cs="Times New Roman"/>
      <w:szCs w:val="24"/>
    </w:rPr>
  </w:style>
  <w:style w:type="table" w:customStyle="1" w:styleId="TableGrid6">
    <w:name w:val="Table Grid6"/>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0FB"/>
    <w:rPr>
      <w:color w:val="808080"/>
    </w:rPr>
  </w:style>
  <w:style w:type="table" w:customStyle="1" w:styleId="GridTable4-Accent11">
    <w:name w:val="Grid Table 4 - Accent 11"/>
    <w:basedOn w:val="TableNormal"/>
    <w:uiPriority w:val="49"/>
    <w:rsid w:val="00FC20FB"/>
    <w:pPr>
      <w:spacing w:after="0" w:line="240" w:lineRule="auto"/>
    </w:pPr>
    <w:rPr>
      <w:rFonts w:ascii="Calibri" w:hAnsi="Calibri" w:cs="Calibr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CDReference">
    <w:name w:val="NCD.Reference"/>
    <w:basedOn w:val="NCDBodyText"/>
    <w:qFormat/>
    <w:rsid w:val="009056DD"/>
    <w:pPr>
      <w:ind w:left="720" w:hanging="720"/>
    </w:pPr>
  </w:style>
  <w:style w:type="paragraph" w:customStyle="1" w:styleId="NCDBulletsLevel2">
    <w:name w:val="NCD.Bullets Level 2"/>
    <w:basedOn w:val="NCDBulletsLevel1"/>
    <w:qFormat/>
    <w:rsid w:val="00853E8B"/>
    <w:pPr>
      <w:ind w:left="1080"/>
    </w:pPr>
  </w:style>
  <w:style w:type="paragraph" w:customStyle="1" w:styleId="NCDNumberedLevel2">
    <w:name w:val="NCD.Numbered Level 2"/>
    <w:basedOn w:val="NCDNumberedLevel1"/>
    <w:qFormat/>
    <w:rsid w:val="00371D8D"/>
    <w:pPr>
      <w:numPr>
        <w:numId w:val="6"/>
      </w:numPr>
    </w:pPr>
  </w:style>
  <w:style w:type="character" w:customStyle="1" w:styleId="UnresolvedMention3">
    <w:name w:val="Unresolved Mention3"/>
    <w:basedOn w:val="DefaultParagraphFont"/>
    <w:uiPriority w:val="99"/>
    <w:unhideWhenUsed/>
    <w:rsid w:val="000152EC"/>
    <w:rPr>
      <w:color w:val="605E5C"/>
      <w:shd w:val="clear" w:color="auto" w:fill="E1DFDD"/>
    </w:rPr>
  </w:style>
  <w:style w:type="character" w:customStyle="1" w:styleId="HeaderChar1">
    <w:name w:val="Header Char1"/>
    <w:basedOn w:val="DefaultParagraphFont"/>
    <w:uiPriority w:val="99"/>
    <w:semiHidden/>
    <w:rsid w:val="006B140F"/>
  </w:style>
  <w:style w:type="character" w:customStyle="1" w:styleId="mobilewrap">
    <w:name w:val="mobilewrap"/>
    <w:basedOn w:val="DefaultParagraphFont"/>
    <w:rsid w:val="006B140F"/>
  </w:style>
  <w:style w:type="character" w:customStyle="1" w:styleId="dewidow">
    <w:name w:val="dewidow"/>
    <w:basedOn w:val="DefaultParagraphFont"/>
    <w:rsid w:val="006B140F"/>
  </w:style>
  <w:style w:type="character" w:customStyle="1" w:styleId="xaccordion-tabbedtab-mobile">
    <w:name w:val="x_accordion-tabbedtab-mobile"/>
    <w:basedOn w:val="DefaultParagraphFont"/>
    <w:rsid w:val="006B140F"/>
  </w:style>
  <w:style w:type="character" w:customStyle="1" w:styleId="xcomma-separator">
    <w:name w:val="x_comma-separator"/>
    <w:basedOn w:val="DefaultParagraphFont"/>
    <w:rsid w:val="006B140F"/>
  </w:style>
  <w:style w:type="paragraph" w:customStyle="1" w:styleId="xmsonormal">
    <w:name w:val="x_msonormal"/>
    <w:basedOn w:val="Normal"/>
    <w:rsid w:val="006B140F"/>
    <w:pPr>
      <w:spacing w:before="100" w:beforeAutospacing="1" w:after="100" w:afterAutospacing="1"/>
    </w:pPr>
    <w:rPr>
      <w:rFonts w:ascii="Times New Roman" w:eastAsia="Times New Roman" w:hAnsi="Times New Roman" w:cs="Times New Roman"/>
      <w:szCs w:val="24"/>
    </w:rPr>
  </w:style>
  <w:style w:type="character" w:customStyle="1" w:styleId="xval">
    <w:name w:val="x_val"/>
    <w:basedOn w:val="DefaultParagraphFont"/>
    <w:rsid w:val="006B140F"/>
  </w:style>
  <w:style w:type="character" w:customStyle="1" w:styleId="xdefaultfonthxmailstyle">
    <w:name w:val="x_defaultfonthxmailstyle"/>
    <w:basedOn w:val="DefaultParagraphFont"/>
    <w:rsid w:val="006B140F"/>
  </w:style>
  <w:style w:type="character" w:customStyle="1" w:styleId="cf11">
    <w:name w:val="cf11"/>
    <w:basedOn w:val="DefaultParagraphFont"/>
    <w:rsid w:val="006B140F"/>
    <w:rPr>
      <w:rFonts w:ascii="Segoe UI" w:hAnsi="Segoe UI" w:cs="Segoe UI" w:hint="default"/>
      <w:i/>
      <w:iCs/>
      <w:sz w:val="18"/>
      <w:szCs w:val="18"/>
    </w:rPr>
  </w:style>
  <w:style w:type="table" w:customStyle="1" w:styleId="GridTable1Light-Accent11">
    <w:name w:val="Grid Table 1 Light - Accent 11"/>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1732E"/>
  </w:style>
  <w:style w:type="paragraph" w:customStyle="1" w:styleId="paragraph">
    <w:name w:val="paragraph"/>
    <w:basedOn w:val="Normal"/>
    <w:rsid w:val="00B1732E"/>
    <w:pPr>
      <w:spacing w:before="100" w:beforeAutospacing="1" w:after="100" w:afterAutospacing="1"/>
    </w:pPr>
    <w:rPr>
      <w:rFonts w:ascii="Times New Roman" w:eastAsia="Times New Roman" w:hAnsi="Times New Roman" w:cs="Times New Roman"/>
      <w:szCs w:val="24"/>
    </w:rPr>
  </w:style>
  <w:style w:type="character" w:customStyle="1" w:styleId="authors">
    <w:name w:val="authors"/>
    <w:basedOn w:val="DefaultParagraphFont"/>
    <w:rsid w:val="00B1732E"/>
  </w:style>
  <w:style w:type="character" w:customStyle="1" w:styleId="Date1">
    <w:name w:val="Date1"/>
    <w:basedOn w:val="DefaultParagraphFont"/>
    <w:rsid w:val="00B1732E"/>
  </w:style>
  <w:style w:type="character" w:customStyle="1" w:styleId="arttitle">
    <w:name w:val="art_title"/>
    <w:basedOn w:val="DefaultParagraphFont"/>
    <w:rsid w:val="00B1732E"/>
  </w:style>
  <w:style w:type="character" w:customStyle="1" w:styleId="serialtitle">
    <w:name w:val="serial_title"/>
    <w:basedOn w:val="DefaultParagraphFont"/>
    <w:rsid w:val="00B1732E"/>
  </w:style>
  <w:style w:type="character" w:customStyle="1" w:styleId="volumeissue">
    <w:name w:val="volume_issue"/>
    <w:basedOn w:val="DefaultParagraphFont"/>
    <w:rsid w:val="00B1732E"/>
  </w:style>
  <w:style w:type="character" w:customStyle="1" w:styleId="pagerange">
    <w:name w:val="page_range"/>
    <w:basedOn w:val="DefaultParagraphFont"/>
    <w:rsid w:val="00B1732E"/>
  </w:style>
  <w:style w:type="character" w:customStyle="1" w:styleId="doilink">
    <w:name w:val="doi_link"/>
    <w:basedOn w:val="DefaultParagraphFont"/>
    <w:rsid w:val="00B1732E"/>
  </w:style>
  <w:style w:type="character" w:customStyle="1" w:styleId="printhide">
    <w:name w:val="printhide"/>
    <w:basedOn w:val="DefaultParagraphFont"/>
    <w:rsid w:val="00B1732E"/>
  </w:style>
  <w:style w:type="character" w:customStyle="1" w:styleId="Mention1">
    <w:name w:val="Mention1"/>
    <w:basedOn w:val="DefaultParagraphFont"/>
    <w:uiPriority w:val="99"/>
    <w:unhideWhenUsed/>
    <w:rsid w:val="00B1732E"/>
    <w:rPr>
      <w:color w:val="2B579A"/>
      <w:shd w:val="clear" w:color="auto" w:fill="E1DFDD"/>
    </w:rPr>
  </w:style>
  <w:style w:type="character" w:customStyle="1" w:styleId="source-caption">
    <w:name w:val="source-caption"/>
    <w:basedOn w:val="DefaultParagraphFont"/>
    <w:rsid w:val="00B1732E"/>
  </w:style>
  <w:style w:type="character" w:customStyle="1" w:styleId="source">
    <w:name w:val="source"/>
    <w:basedOn w:val="DefaultParagraphFont"/>
    <w:rsid w:val="00B1732E"/>
  </w:style>
  <w:style w:type="character" w:customStyle="1" w:styleId="UnresolvedMention4">
    <w:name w:val="Unresolved Mention4"/>
    <w:basedOn w:val="DefaultParagraphFont"/>
    <w:uiPriority w:val="99"/>
    <w:semiHidden/>
    <w:unhideWhenUsed/>
    <w:rsid w:val="00657757"/>
    <w:rPr>
      <w:color w:val="605E5C"/>
      <w:shd w:val="clear" w:color="auto" w:fill="E1DFDD"/>
    </w:rPr>
  </w:style>
  <w:style w:type="character" w:customStyle="1" w:styleId="UnresolvedMention5">
    <w:name w:val="Unresolved Mention5"/>
    <w:basedOn w:val="DefaultParagraphFont"/>
    <w:uiPriority w:val="99"/>
    <w:semiHidden/>
    <w:unhideWhenUsed/>
    <w:qFormat/>
    <w:rsid w:val="00EC31A2"/>
    <w:rPr>
      <w:color w:val="605E5C"/>
      <w:shd w:val="clear" w:color="auto" w:fill="E1DFDD"/>
    </w:rPr>
  </w:style>
  <w:style w:type="paragraph" w:customStyle="1" w:styleId="Heading">
    <w:name w:val="Heading"/>
    <w:basedOn w:val="Normal"/>
    <w:next w:val="BodyText"/>
    <w:qFormat/>
    <w:rsid w:val="00EC31A2"/>
    <w:pPr>
      <w:keepNext/>
      <w:suppressAutoHyphens/>
      <w:spacing w:before="240" w:after="120" w:line="480" w:lineRule="auto"/>
    </w:pPr>
    <w:rPr>
      <w:rFonts w:ascii="Liberation Sans" w:eastAsia="Microsoft YaHei" w:hAnsi="Liberation Sans" w:cs="Lucida Sans"/>
      <w:sz w:val="28"/>
      <w:szCs w:val="28"/>
    </w:rPr>
  </w:style>
  <w:style w:type="paragraph" w:styleId="List">
    <w:name w:val="List"/>
    <w:basedOn w:val="BodyText"/>
    <w:rsid w:val="00EC31A2"/>
    <w:pPr>
      <w:widowControl/>
      <w:suppressAutoHyphens/>
      <w:autoSpaceDE/>
      <w:autoSpaceDN/>
      <w:spacing w:after="140" w:line="276" w:lineRule="auto"/>
    </w:pPr>
    <w:rPr>
      <w:rFonts w:asciiTheme="minorHAnsi" w:eastAsiaTheme="minorHAnsi" w:hAnsiTheme="minorHAnsi" w:cs="Lucida Sans"/>
    </w:rPr>
  </w:style>
  <w:style w:type="paragraph" w:customStyle="1" w:styleId="Index">
    <w:name w:val="Index"/>
    <w:basedOn w:val="Normal"/>
    <w:qFormat/>
    <w:rsid w:val="00EC31A2"/>
    <w:pPr>
      <w:suppressLineNumbers/>
      <w:suppressAutoHyphens/>
      <w:spacing w:after="160" w:line="480" w:lineRule="auto"/>
    </w:pPr>
    <w:rPr>
      <w:rFonts w:asciiTheme="minorHAnsi" w:hAnsiTheme="minorHAnsi" w:cs="Lucida Sans"/>
      <w:szCs w:val="24"/>
    </w:rPr>
  </w:style>
  <w:style w:type="paragraph" w:styleId="Bibliography">
    <w:name w:val="Bibliography"/>
    <w:basedOn w:val="Normal"/>
    <w:next w:val="Normal"/>
    <w:uiPriority w:val="37"/>
    <w:unhideWhenUsed/>
    <w:qFormat/>
    <w:rsid w:val="00EC31A2"/>
    <w:pPr>
      <w:tabs>
        <w:tab w:val="left" w:pos="380"/>
      </w:tabs>
      <w:suppressAutoHyphens/>
      <w:spacing w:after="160" w:line="480" w:lineRule="auto"/>
      <w:ind w:left="720" w:hanging="720"/>
    </w:pPr>
    <w:rPr>
      <w:rFonts w:asciiTheme="minorHAnsi" w:hAnsiTheme="minorHAnsi"/>
      <w:szCs w:val="24"/>
    </w:rPr>
  </w:style>
  <w:style w:type="paragraph" w:customStyle="1" w:styleId="HeaderandFooter">
    <w:name w:val="Header and Footer"/>
    <w:basedOn w:val="Normal"/>
    <w:qFormat/>
    <w:rsid w:val="00EC31A2"/>
    <w:pPr>
      <w:suppressAutoHyphens/>
      <w:spacing w:after="160" w:line="480" w:lineRule="auto"/>
    </w:pPr>
    <w:rPr>
      <w:rFonts w:asciiTheme="minorHAnsi" w:hAnsiTheme="minorHAnsi"/>
      <w:szCs w:val="24"/>
    </w:rPr>
  </w:style>
  <w:style w:type="character" w:customStyle="1" w:styleId="cf21">
    <w:name w:val="cf21"/>
    <w:basedOn w:val="DefaultParagraphFont"/>
    <w:rsid w:val="00EC31A2"/>
    <w:rPr>
      <w:rFonts w:ascii="Segoe UI" w:hAnsi="Segoe UI" w:cs="Segoe UI" w:hint="default"/>
      <w:b/>
      <w:bCs/>
      <w:color w:val="5F6367"/>
      <w:sz w:val="18"/>
      <w:szCs w:val="18"/>
      <w:shd w:val="clear" w:color="auto" w:fill="FFFFFF"/>
    </w:rPr>
  </w:style>
  <w:style w:type="paragraph" w:customStyle="1" w:styleId="Normal0">
    <w:name w:val="Normal0"/>
    <w:basedOn w:val="Normal"/>
    <w:uiPriority w:val="1"/>
    <w:rsid w:val="009F343F"/>
    <w:pPr>
      <w:spacing w:line="259" w:lineRule="auto"/>
    </w:pPr>
    <w:rPr>
      <w:rFonts w:asciiTheme="minorHAnsi" w:eastAsiaTheme="minorEastAsia" w:hAnsiTheme="minorHAnsi" w:cs="Times New Roman"/>
      <w:sz w:val="22"/>
      <w:lang w:eastAsia="ja-JP"/>
    </w:rPr>
  </w:style>
  <w:style w:type="paragraph" w:customStyle="1" w:styleId="NCDBodyTextSpaceBefore">
    <w:name w:val="NCD.Body Text Space Before"/>
    <w:basedOn w:val="Normal"/>
    <w:qFormat/>
    <w:rsid w:val="00DA67E6"/>
    <w:pPr>
      <w:pBdr>
        <w:top w:val="nil"/>
        <w:left w:val="nil"/>
        <w:bottom w:val="nil"/>
        <w:right w:val="nil"/>
        <w:between w:val="nil"/>
        <w:bar w:val="nil"/>
      </w:pBdr>
      <w:spacing w:before="240" w:after="360"/>
    </w:pPr>
    <w:rPr>
      <w:rFonts w:eastAsia="Calibri" w:cs="Calibri"/>
      <w:color w:val="000000"/>
      <w:szCs w:val="24"/>
      <w:u w:color="000000"/>
      <w:bdr w:val="nil"/>
    </w:rPr>
  </w:style>
  <w:style w:type="character" w:customStyle="1" w:styleId="eop">
    <w:name w:val="eop"/>
    <w:basedOn w:val="DefaultParagraphFont"/>
    <w:rsid w:val="00DA67E6"/>
  </w:style>
  <w:style w:type="character" w:customStyle="1" w:styleId="tabchar">
    <w:name w:val="tabchar"/>
    <w:basedOn w:val="DefaultParagraphFont"/>
    <w:rsid w:val="00DA67E6"/>
  </w:style>
  <w:style w:type="character" w:customStyle="1" w:styleId="Mention2">
    <w:name w:val="Mention2"/>
    <w:basedOn w:val="DefaultParagraphFont"/>
    <w:uiPriority w:val="99"/>
    <w:unhideWhenUsed/>
    <w:rsid w:val="00DA67E6"/>
    <w:rPr>
      <w:color w:val="2B579A"/>
      <w:shd w:val="clear" w:color="auto" w:fill="E6E6E6"/>
    </w:rPr>
  </w:style>
  <w:style w:type="character" w:customStyle="1" w:styleId="Hyperlink0">
    <w:name w:val="Hyperlink.0"/>
    <w:basedOn w:val="Hyperlink"/>
    <w:rsid w:val="00DA67E6"/>
    <w:rPr>
      <w:rFonts w:ascii="Arial" w:eastAsia="Arial" w:hAnsi="Arial" w:cs="Arial"/>
      <w:b w:val="0"/>
      <w:bCs w:val="0"/>
      <w:i w:val="0"/>
      <w:iCs w:val="0"/>
      <w:outline w:val="0"/>
      <w:color w:val="0000FF"/>
      <w:sz w:val="24"/>
      <w:szCs w:val="24"/>
      <w:u w:val="single" w:color="0000FF"/>
    </w:rPr>
  </w:style>
  <w:style w:type="numbering" w:customStyle="1" w:styleId="ImportedStyle16">
    <w:name w:val="Imported Style 16"/>
    <w:rsid w:val="00DA67E6"/>
    <w:pPr>
      <w:numPr>
        <w:numId w:val="7"/>
      </w:numPr>
    </w:pPr>
  </w:style>
  <w:style w:type="character" w:customStyle="1" w:styleId="UnresolvedMention6">
    <w:name w:val="Unresolved Mention6"/>
    <w:basedOn w:val="DefaultParagraphFont"/>
    <w:uiPriority w:val="99"/>
    <w:semiHidden/>
    <w:unhideWhenUsed/>
    <w:rsid w:val="00567379"/>
    <w:rPr>
      <w:color w:val="605E5C"/>
      <w:shd w:val="clear" w:color="auto" w:fill="E1DFDD"/>
    </w:rPr>
  </w:style>
  <w:style w:type="character" w:styleId="UnresolvedMention">
    <w:name w:val="Unresolved Mention"/>
    <w:basedOn w:val="DefaultParagraphFont"/>
    <w:uiPriority w:val="99"/>
    <w:semiHidden/>
    <w:unhideWhenUsed/>
    <w:rsid w:val="00EB7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nihrecord.nih.gov/2023/10/13/nih-designates-people-disabilities-population-health-dispar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5.xml><?xml version="1.0" encoding="utf-8"?>
<ds:datastoreItem xmlns:ds="http://schemas.openxmlformats.org/officeDocument/2006/customXml" ds:itemID="{AB1F4349-BBAC-41B2-9CC1-0EB28A6E6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41</Pages>
  <Words>7968</Words>
  <Characters>45419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National Disability Policy COVID-19: A Progress Report</vt:lpstr>
    </vt:vector>
  </TitlesOfParts>
  <Company>American Institutes for Research</Company>
  <LinksUpToDate>false</LinksUpToDate>
  <CharactersWithSpaces>53281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COVID-19: A Progress Report</dc:title>
  <dc:creator>NCD</dc:creator>
  <cp:lastModifiedBy>ACEPRO 19</cp:lastModifiedBy>
  <cp:revision>133</cp:revision>
  <cp:lastPrinted>2024-10-07T17:14:00Z</cp:lastPrinted>
  <dcterms:created xsi:type="dcterms:W3CDTF">2024-07-09T10:56:00Z</dcterms:created>
  <dcterms:modified xsi:type="dcterms:W3CDTF">2024-10-15T06:59:00Z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