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ort-on-iris-dataset"/>
    <w:p>
      <w:pPr>
        <w:pStyle w:val="Heading1"/>
      </w:pPr>
      <w:r>
        <w:t xml:space="preserve">Report on iris dataset</w:t>
      </w:r>
    </w:p>
    <w:bookmarkEnd w:id="21"/>
    <w:bookmarkStart w:id="22" w:name="introduction"/>
    <w:p>
      <w:pPr>
        <w:pStyle w:val="Heading2"/>
      </w:pPr>
      <w:r>
        <w:t xml:space="preserve">Introduction</w:t>
      </w:r>
    </w:p>
    <w:bookmarkEnd w:id="22"/>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Normal"/>
      </w:tblPr>
      <w:tblGrid>
        <w:gridCol w:w="1650"/>
        <w:gridCol w:w="1540"/>
        <w:gridCol w:w="1540"/>
      </w:tblGrid>
      <w:tr>
        <w:tc>
          <w:tcPr>
            <w:tcBorders>
              <w:bottom w:val="single"/>
            </w:tcBorders>
            <w:vAlign w:val="bottom"/>
          </w:tcPr>
          <w:p>
            <w:pPr>
              <w:jc w:val="center"/>
            </w:pPr>
            <w:r>
              <w:t xml:space="preserve">Sepal.Length</w:t>
            </w:r>
          </w:p>
        </w:tc>
        <w:tc>
          <w:tcPr>
            <w:tcBorders>
              <w:bottom w:val="single"/>
            </w:tcBorders>
            <w:vAlign w:val="bottom"/>
          </w:tcPr>
          <w:p>
            <w:pPr>
              <w:jc w:val="center"/>
            </w:pPr>
            <w:r>
              <w:t xml:space="preserve">Sepal.Width</w:t>
            </w:r>
          </w:p>
        </w:tc>
        <w:tc>
          <w:tcPr>
            <w:tcBorders>
              <w:bottom w:val="single"/>
            </w:tcBorders>
            <w:vAlign w:val="bottom"/>
          </w:tcPr>
          <w:p>
            <w:pPr>
              <w:jc w:val="center"/>
            </w:pPr>
            <w:r>
              <w:t xml:space="preserve">Petal.Length</w:t>
            </w:r>
          </w:p>
        </w:tc>
      </w:tr>
      <w:tr>
        <w:tc>
          <w:p>
            <w:pPr>
              <w:jc w:val="center"/>
            </w:pPr>
            <w:r>
              <w:t xml:space="preserve">5.1</w:t>
            </w:r>
          </w:p>
        </w:tc>
        <w:tc>
          <w:p>
            <w:pPr>
              <w:jc w:val="center"/>
            </w:pPr>
            <w:r>
              <w:t xml:space="preserve">3.5</w:t>
            </w:r>
          </w:p>
        </w:tc>
        <w:tc>
          <w:p>
            <w:pPr>
              <w:jc w:val="center"/>
            </w:pPr>
            <w:r>
              <w:t xml:space="preserve">1.4</w:t>
            </w:r>
          </w:p>
        </w:tc>
      </w:tr>
      <w:tr>
        <w:tc>
          <w:p>
            <w:pPr>
              <w:jc w:val="center"/>
            </w:pPr>
            <w:r>
              <w:t xml:space="preserve">4.9</w:t>
            </w:r>
          </w:p>
        </w:tc>
        <w:tc>
          <w:p>
            <w:pPr>
              <w:jc w:val="center"/>
            </w:pPr>
            <w:r>
              <w:t xml:space="preserve">3</w:t>
            </w:r>
          </w:p>
        </w:tc>
        <w:tc>
          <w:p>
            <w:pPr>
              <w:jc w:val="center"/>
            </w:pPr>
            <w:r>
              <w:t xml:space="preserve">1.4</w:t>
            </w:r>
          </w:p>
        </w:tc>
      </w:tr>
      <w:tr>
        <w:tc>
          <w:p>
            <w:pPr>
              <w:jc w:val="center"/>
            </w:pPr>
            <w:r>
              <w:t xml:space="preserve">4.7</w:t>
            </w:r>
          </w:p>
        </w:tc>
        <w:tc>
          <w:p>
            <w:pPr>
              <w:jc w:val="center"/>
            </w:pPr>
            <w:r>
              <w:t xml:space="preserve">3.2</w:t>
            </w:r>
          </w:p>
        </w:tc>
        <w:tc>
          <w:p>
            <w:pPr>
              <w:jc w:val="center"/>
            </w:pPr>
            <w:r>
              <w:t xml:space="preserve">1.3</w:t>
            </w:r>
          </w:p>
        </w:tc>
      </w:tr>
      <w:tr>
        <w:tc>
          <w:p>
            <w:pPr>
              <w:jc w:val="center"/>
            </w:pPr>
            <w:r>
              <w:t xml:space="preserve">4.6</w:t>
            </w:r>
          </w:p>
        </w:tc>
        <w:tc>
          <w:p>
            <w:pPr>
              <w:jc w:val="center"/>
            </w:pPr>
            <w:r>
              <w:t xml:space="preserve">3.1</w:t>
            </w:r>
          </w:p>
        </w:tc>
        <w:tc>
          <w:p>
            <w:pPr>
              <w:jc w:val="center"/>
            </w:pPr>
            <w:r>
              <w:t xml:space="preserve">1.5</w:t>
            </w:r>
          </w:p>
        </w:tc>
      </w:tr>
      <w:tr>
        <w:tc>
          <w:p>
            <w:pPr>
              <w:jc w:val="center"/>
            </w:pPr>
            <w:r>
              <w:t xml:space="preserve">5</w:t>
            </w:r>
          </w:p>
        </w:tc>
        <w:tc>
          <w:p>
            <w:pPr>
              <w:jc w:val="center"/>
            </w:pPr>
            <w:r>
              <w:t xml:space="preserve">3.6</w:t>
            </w:r>
          </w:p>
        </w:tc>
        <w:tc>
          <w:p>
            <w:pPr>
              <w:jc w:val="center"/>
            </w:pPr>
            <w:r>
              <w:t xml:space="preserve">1.4</w:t>
            </w:r>
          </w:p>
        </w:tc>
      </w:tr>
      <w:tr>
        <w:tc>
          <w:p>
            <w:pPr>
              <w:jc w:val="center"/>
            </w:pPr>
            <w:r>
              <w:t xml:space="preserve">5.4</w:t>
            </w:r>
          </w:p>
        </w:tc>
        <w:tc>
          <w:p>
            <w:pPr>
              <w:jc w:val="center"/>
            </w:pPr>
            <w:r>
              <w:t xml:space="preserve">3.9</w:t>
            </w:r>
          </w:p>
        </w:tc>
        <w:tc>
          <w:p>
            <w:pPr>
              <w:jc w:val="center"/>
            </w:pPr>
            <w:r>
              <w:t xml:space="preserve">1.7</w:t>
            </w:r>
          </w:p>
        </w:tc>
      </w:tr>
    </w:tbl>
    <w:bookmarkStart w:id="23" w:name="figures"/>
    <w:p>
      <w:pPr>
        <w:pStyle w:val="Heading1"/>
      </w:pPr>
      <w:r>
        <w:t xml:space="preserve">Figures</w:t>
      </w:r>
    </w:p>
    <w:bookmarkEnd w:id="23"/>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(Sepal.Length, Sepal.Width, </w:t>
      </w:r>
      <w:r>
        <w:rPr>
          <w:rStyle w:val="DataTypeTok"/>
        </w:rPr>
        <w:t xml:space="preserve">color =</w:t>
      </w:r>
      <w:r>
        <w:rPr>
          <w:rStyle w:val="NormalTok"/>
        </w:rPr>
        <w:t xml:space="preserve"> </w:t>
      </w:r>
      <w:r>
        <w:rPr>
          <w:rStyle w:val="NormalTok"/>
        </w:rPr>
        <w:t xml:space="preserve">Species))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cr/>
      </w:r>
      <w:r>
        <w:rPr>
          <w:rStyle w:val="StringTok"/>
        </w:rPr>
        <w:t xml:space="preserve">    </w:t>
      </w:r>
      <w:r>
        <w:rPr>
          <w:rStyle w:val="KeywordTok"/>
        </w:rPr>
        <w:t xml:space="preserve">ggtitle</w:t>
      </w:r>
      <w:r>
        <w:rPr>
          <w:rStyle w:val="NormalTok"/>
        </w:rPr>
        <w:t xml:space="preserve">(</w:t>
      </w:r>
      <w:r>
        <w:rPr>
          <w:rStyle w:val="StringTok"/>
        </w:rPr>
        <w:t xml:space="preserve">"Sepal Length vs Sepal Width"</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first_figure.png" id="0" name="Picture"/>
                    <pic:cNvPicPr>
                      <a:picLocks noChangeArrowheads="1" noChangeAspect="1"/>
                    </pic:cNvPicPr>
                  </pic:nvPicPr>
                  <pic:blipFill>
                    <a:blip r:embed="rId2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first_figure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f63e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