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1065" w:rsidRDefault="004B2F15">
      <w:pPr>
        <w:pStyle w:val="normal0"/>
      </w:pPr>
      <w:r>
        <w:rPr>
          <w:b/>
        </w:rPr>
        <w:t>Abstract</w:t>
      </w:r>
      <w:bookmarkStart w:id="0" w:name="_GoBack"/>
      <w:bookmarkEnd w:id="0"/>
    </w:p>
    <w:p w:rsidR="00941065" w:rsidRDefault="00941065">
      <w:pPr>
        <w:pStyle w:val="normal0"/>
      </w:pPr>
    </w:p>
    <w:p w:rsidR="00941065" w:rsidRDefault="004B2F15">
      <w:pPr>
        <w:pStyle w:val="normal0"/>
      </w:pPr>
      <w:r>
        <w:rPr>
          <w:b/>
        </w:rPr>
        <w:t>Introduction</w:t>
      </w:r>
    </w:p>
    <w:p w:rsidR="00941065" w:rsidRDefault="004B2F15">
      <w:pPr>
        <w:pStyle w:val="normal0"/>
      </w:pPr>
      <w:r>
        <w:t xml:space="preserve"> </w:t>
      </w:r>
    </w:p>
    <w:p w:rsidR="00941065" w:rsidRDefault="004B2F15">
      <w:pPr>
        <w:pStyle w:val="normal0"/>
      </w:pPr>
      <w:r>
        <w:t xml:space="preserve">Significant and enduring challenges have complicated efforts to identify and understand the ecological effects of the Exxon Valdez oil spill on marine communities. These include </w:t>
      </w:r>
      <w:proofErr w:type="spellStart"/>
      <w:r>
        <w:t>i</w:t>
      </w:r>
      <w:proofErr w:type="spellEnd"/>
      <w:r>
        <w:t>) a general lack of pre-spill data that restricts direct before-after compari</w:t>
      </w:r>
      <w:r>
        <w:t>sons of specific species or communities and ii) a substantial amount of spatial and habitat-driven variation of species and communities that confound direct comparison of oil exposed and unexposed areas.</w:t>
      </w:r>
    </w:p>
    <w:p w:rsidR="00941065" w:rsidRDefault="004B2F15">
      <w:pPr>
        <w:pStyle w:val="normal0"/>
      </w:pPr>
      <w:r>
        <w:t xml:space="preserve"> </w:t>
      </w:r>
    </w:p>
    <w:p w:rsidR="00941065" w:rsidRDefault="004B2F15">
      <w:pPr>
        <w:pStyle w:val="normal0"/>
      </w:pPr>
      <w:r>
        <w:t>It is well known that exposure to petroleum contam</w:t>
      </w:r>
      <w:r>
        <w:t xml:space="preserve">ination can have </w:t>
      </w:r>
      <w:del w:id="1" w:author="Benjamin Williams" w:date="2016-03-25T03:06:00Z">
        <w:r>
          <w:delText xml:space="preserve">a </w:delText>
        </w:r>
      </w:del>
      <w:r>
        <w:t>wide-ranging effects on marine species. Documented effects of petroleum range from the acute and direct (e.g. toxicological effects that cause serious injury or immediate death) to the gradual and indirect (modifications to physiological</w:t>
      </w:r>
      <w:r>
        <w:t xml:space="preserve"> pathways and reproductive character</w:t>
      </w:r>
      <w:ins w:id="2" w:author="Benjamin Williams" w:date="2016-03-25T03:07:00Z">
        <w:r>
          <w:t>istic</w:t>
        </w:r>
      </w:ins>
      <w:r>
        <w:t xml:space="preserve">s). In recent years, a consensus has developed indicating that even relatively low levels of exposure can have considerable fitness consequences for individuals (Collier et al. 1993, </w:t>
      </w:r>
      <w:proofErr w:type="spellStart"/>
      <w:r>
        <w:t>hicken</w:t>
      </w:r>
      <w:proofErr w:type="spellEnd"/>
      <w:r>
        <w:t xml:space="preserve">, </w:t>
      </w:r>
      <w:proofErr w:type="spellStart"/>
      <w:r>
        <w:t>incardona</w:t>
      </w:r>
      <w:proofErr w:type="spellEnd"/>
      <w:r>
        <w:t>). While detail</w:t>
      </w:r>
      <w:r>
        <w:t>ed laboratory studies have repeatedly found negative consequences of petroleum related contaminants, connecting these excellent individual level studies to population or community level effect in natural populations has proven exceedingly difficult (New Ec</w:t>
      </w:r>
      <w:r>
        <w:t xml:space="preserve">o Apps paper </w:t>
      </w:r>
      <w:proofErr w:type="spellStart"/>
      <w:r>
        <w:t>Awkerman</w:t>
      </w:r>
      <w:proofErr w:type="spellEnd"/>
      <w:r>
        <w:t xml:space="preserve"> et al 2016).</w:t>
      </w:r>
    </w:p>
    <w:p w:rsidR="00941065" w:rsidRDefault="00941065">
      <w:pPr>
        <w:pStyle w:val="normal0"/>
      </w:pPr>
    </w:p>
    <w:p w:rsidR="00941065" w:rsidRDefault="004B2F15">
      <w:pPr>
        <w:pStyle w:val="normal0"/>
      </w:pPr>
      <w:r>
        <w:t xml:space="preserve">The Exxon Valdez Oil Spill (hereafter “EVOS”) in March 1989 spilled approximately 257 thousand barrels (36,000 </w:t>
      </w:r>
      <w:proofErr w:type="spellStart"/>
      <w:r>
        <w:t>mt</w:t>
      </w:r>
      <w:proofErr w:type="spellEnd"/>
      <w:r>
        <w:t xml:space="preserve">) of crude oil into Prince William Sound, Alaska.  Over the following weeks and months </w:t>
      </w:r>
      <w:proofErr w:type="gramStart"/>
      <w:r>
        <w:t xml:space="preserve">the oil was </w:t>
      </w:r>
      <w:proofErr w:type="spellStart"/>
      <w:r>
        <w:t>advected</w:t>
      </w:r>
      <w:proofErr w:type="spellEnd"/>
      <w:r>
        <w:t xml:space="preserve"> by wind and currents to the southwest, spreading into the Gulf of Alaska</w:t>
      </w:r>
      <w:proofErr w:type="gramEnd"/>
      <w:r>
        <w:t>. While the exact dispersal path and final distribution of oil in water and sediments remains uncertain, the approximate distribution and extent of surface oil is documented (Wolfe et</w:t>
      </w:r>
      <w:r>
        <w:t xml:space="preserve"> al). Multiple lines of evidence suggest that oil from EVOS reached a wide range of habitats – oil was observed both directly in some deep water trawls (Armstrong et al. 1995) and a range of elevated petroleum metabolites were detected in a wide range of i</w:t>
      </w:r>
      <w:r>
        <w:t xml:space="preserve">nvertebrate and fish species from a wide spatial area (Collier et al. 1993, Anderson et al. 1995, </w:t>
      </w:r>
      <w:proofErr w:type="spellStart"/>
      <w:r>
        <w:t>Krahn</w:t>
      </w:r>
      <w:proofErr w:type="spellEnd"/>
      <w:r>
        <w:t xml:space="preserve"> et al. 1992, Marty et al. 2003, Sol et al. 2000).  In at least some habitats EVOS oil persists in the environment: oil has been documented nearly 30 yea</w:t>
      </w:r>
      <w:r>
        <w:t>rs after the spill along shorelines (Short et al. 2007, Peterson et al 2003).</w:t>
      </w:r>
    </w:p>
    <w:p w:rsidR="00941065" w:rsidRDefault="00941065">
      <w:pPr>
        <w:pStyle w:val="normal0"/>
      </w:pPr>
    </w:p>
    <w:p w:rsidR="00941065" w:rsidRDefault="004B2F15">
      <w:pPr>
        <w:pStyle w:val="normal0"/>
      </w:pPr>
      <w:r>
        <w:t xml:space="preserve">Despite undisputed evidence that oil spills have negative consequences for marine ecosystems () </w:t>
      </w:r>
      <w:proofErr w:type="gramStart"/>
      <w:r>
        <w:t>and</w:t>
      </w:r>
      <w:proofErr w:type="gramEnd"/>
      <w:r>
        <w:t xml:space="preserve"> that EVOS was a widely dispersed and disruptive event in the Gulf of Alaska (</w:t>
      </w:r>
      <w:r>
        <w:t>Peterson et al. 2003), it has been difficult to quantify ecosystem wide consequences of EVOS. Certainly direct mortality to marine mammals (</w:t>
      </w:r>
      <w:proofErr w:type="spellStart"/>
      <w:r>
        <w:t>Garrott</w:t>
      </w:r>
      <w:proofErr w:type="spellEnd"/>
      <w:r>
        <w:t xml:space="preserve"> et al. 1993, </w:t>
      </w:r>
      <w:proofErr w:type="spellStart"/>
      <w:r>
        <w:t>Doroff</w:t>
      </w:r>
      <w:proofErr w:type="spellEnd"/>
      <w:r>
        <w:t xml:space="preserve"> et al. 1993), birds (Piatt et al. 1990, Piatt and Ford 1996), and other highly visible a</w:t>
      </w:r>
      <w:r>
        <w:t xml:space="preserve">nd charismatic species that were directly exposed to crude oil is well documented.  However, ecological systems are extraordinarily complex systems and theory suggests that many ecosystem level consequences of an event like EVOS are </w:t>
      </w:r>
      <w:ins w:id="3" w:author="Benjamin Williams" w:date="2016-03-25T03:14:00Z">
        <w:r>
          <w:t>the</w:t>
        </w:r>
      </w:ins>
      <w:del w:id="4" w:author="Benjamin Williams" w:date="2016-03-25T03:14:00Z">
        <w:r>
          <w:delText>likely to be unexpec</w:delText>
        </w:r>
        <w:r>
          <w:delText>ted</w:delText>
        </w:r>
      </w:del>
      <w:r>
        <w:t xml:space="preserve"> result</w:t>
      </w:r>
      <w:del w:id="5" w:author="Benjamin Williams" w:date="2016-03-25T03:14:00Z">
        <w:r>
          <w:delText>s</w:delText>
        </w:r>
      </w:del>
      <w:r>
        <w:t xml:space="preserve"> </w:t>
      </w:r>
      <w:proofErr w:type="gramStart"/>
      <w:r>
        <w:t>of  indirect</w:t>
      </w:r>
      <w:proofErr w:type="gramEnd"/>
      <w:r>
        <w:t xml:space="preserve"> interactions and complex species-by-environment interactions (</w:t>
      </w:r>
      <w:proofErr w:type="spellStart"/>
      <w:r>
        <w:t>Wootton</w:t>
      </w:r>
      <w:proofErr w:type="spellEnd"/>
      <w:r>
        <w:t xml:space="preserve"> refs, others). Thus, a retrospective examination of the ecological consequences of EVOS 35 years later is warranted.</w:t>
      </w:r>
    </w:p>
    <w:p w:rsidR="00941065" w:rsidRDefault="00941065">
      <w:pPr>
        <w:pStyle w:val="normal0"/>
      </w:pPr>
    </w:p>
    <w:p w:rsidR="00941065" w:rsidRDefault="004B2F15">
      <w:pPr>
        <w:pStyle w:val="normal0"/>
      </w:pPr>
      <w:r>
        <w:t xml:space="preserve">Here we focus on </w:t>
      </w:r>
      <w:proofErr w:type="spellStart"/>
      <w:r>
        <w:t>demersal</w:t>
      </w:r>
      <w:proofErr w:type="spellEnd"/>
      <w:r>
        <w:t xml:space="preserve"> fish communities </w:t>
      </w:r>
      <w:r>
        <w:t xml:space="preserve">of the central and western Gulf of Alaska and use available information to explore community responses to the EVOS spill. </w:t>
      </w:r>
      <w:proofErr w:type="spellStart"/>
      <w:r>
        <w:t>Demersal</w:t>
      </w:r>
      <w:proofErr w:type="spellEnd"/>
      <w:r>
        <w:t xml:space="preserve"> fish communities were exposed to EVOS as oil swept west out of Prince William Sound (Fig. 1, Collier et al. 1993</w:t>
      </w:r>
      <w:proofErr w:type="gramStart"/>
      <w:r>
        <w:t>,  Sol</w:t>
      </w:r>
      <w:proofErr w:type="gramEnd"/>
      <w:r>
        <w:t xml:space="preserve"> et al.</w:t>
      </w:r>
      <w:r>
        <w:t xml:space="preserve"> 2000).  While the extent and exposure of fish communities to oil is almost wholly unknown, it is clear that </w:t>
      </w:r>
      <w:proofErr w:type="gramStart"/>
      <w:r>
        <w:t xml:space="preserve">some areas were exposed to </w:t>
      </w:r>
      <w:ins w:id="6" w:author="Benjamin Williams" w:date="2016-03-25T03:16:00Z">
        <w:r>
          <w:t>oiling</w:t>
        </w:r>
      </w:ins>
      <w:del w:id="7" w:author="Benjamin Williams" w:date="2016-03-25T03:16:00Z">
        <w:r>
          <w:delText>areas</w:delText>
        </w:r>
      </w:del>
      <w:r>
        <w:t xml:space="preserve"> while other</w:t>
      </w:r>
      <w:proofErr w:type="gramEnd"/>
      <w:r>
        <w:t xml:space="preserve">, </w:t>
      </w:r>
      <w:proofErr w:type="gramStart"/>
      <w:r>
        <w:t>similar habitats were left unexposed</w:t>
      </w:r>
      <w:proofErr w:type="gramEnd"/>
      <w:r>
        <w:t>. We leverage this spatial gradient in exposure to contrast</w:t>
      </w:r>
      <w:r>
        <w:t xml:space="preserve"> </w:t>
      </w:r>
      <w:proofErr w:type="spellStart"/>
      <w:r>
        <w:t>demersal</w:t>
      </w:r>
      <w:proofErr w:type="spellEnd"/>
      <w:r>
        <w:t xml:space="preserve"> fish communities over the past 40 years (1984-2015). Specifically, we develop and apply a suite of </w:t>
      </w:r>
      <w:proofErr w:type="spellStart"/>
      <w:r>
        <w:t>spatio</w:t>
      </w:r>
      <w:proofErr w:type="spellEnd"/>
      <w:r>
        <w:t xml:space="preserve">-temporal models to the </w:t>
      </w:r>
      <w:commentRangeStart w:id="8"/>
      <w:proofErr w:type="spellStart"/>
      <w:r>
        <w:t>groundfish</w:t>
      </w:r>
      <w:proofErr w:type="spellEnd"/>
      <w:r>
        <w:t xml:space="preserve"> survey data</w:t>
      </w:r>
      <w:commentRangeEnd w:id="8"/>
      <w:r>
        <w:commentReference w:id="8"/>
      </w:r>
      <w:r>
        <w:t xml:space="preserve">, assess multiple metrics of </w:t>
      </w:r>
      <w:proofErr w:type="spellStart"/>
      <w:r>
        <w:t>demersal</w:t>
      </w:r>
      <w:proofErr w:type="spellEnd"/>
      <w:r>
        <w:t xml:space="preserve"> fish communities, and compare areas that experienced a</w:t>
      </w:r>
      <w:r>
        <w:t xml:space="preserve"> range of exposure to EVOS to identify any potential EVOS related signal in changes to the </w:t>
      </w:r>
      <w:proofErr w:type="spellStart"/>
      <w:r>
        <w:t>groundfish</w:t>
      </w:r>
      <w:proofErr w:type="spellEnd"/>
      <w:r>
        <w:t xml:space="preserve"> community. </w:t>
      </w:r>
    </w:p>
    <w:p w:rsidR="00941065" w:rsidRDefault="00941065">
      <w:pPr>
        <w:pStyle w:val="normal0"/>
      </w:pPr>
    </w:p>
    <w:p w:rsidR="00941065" w:rsidRDefault="004B2F15">
      <w:pPr>
        <w:pStyle w:val="normal0"/>
      </w:pPr>
      <w:r>
        <w:rPr>
          <w:b/>
        </w:rPr>
        <w:t>Methods</w:t>
      </w:r>
    </w:p>
    <w:p w:rsidR="00941065" w:rsidRDefault="00941065">
      <w:pPr>
        <w:pStyle w:val="normal0"/>
      </w:pPr>
    </w:p>
    <w:p w:rsidR="00941065" w:rsidRDefault="004B2F15">
      <w:pPr>
        <w:pStyle w:val="normal0"/>
      </w:pPr>
      <w:r>
        <w:rPr>
          <w:i/>
        </w:rPr>
        <w:t>Data</w:t>
      </w:r>
    </w:p>
    <w:p w:rsidR="00941065" w:rsidRDefault="004B2F15">
      <w:pPr>
        <w:pStyle w:val="normal0"/>
      </w:pPr>
      <w:r>
        <w:t xml:space="preserve">To assess spatial and temporal patterns in </w:t>
      </w:r>
      <w:proofErr w:type="spellStart"/>
      <w:r>
        <w:t>groundfish</w:t>
      </w:r>
      <w:proofErr w:type="spellEnd"/>
      <w:r>
        <w:t xml:space="preserve"> communities we used fisheries independent surveys conducted by the Alaska</w:t>
      </w:r>
      <w:r>
        <w:t xml:space="preserve"> Fisheries Science Center (AFSC) between 1984 and 2015. This AFSC dataset has used the same methodology over the time series (stratified random sampling design, with the same bottom trawl sampling gear throughout the time series; Stauffer (2004) and</w:t>
      </w:r>
      <w:hyperlink r:id="rId6" w:anchor="pone.0066025-Armistead1">
        <w:r>
          <w:t xml:space="preserve"> </w:t>
        </w:r>
      </w:hyperlink>
      <w:r>
        <w:t>Armistead (1993)</w:t>
      </w:r>
      <w:del w:id="9" w:author="Benjamin Williams" w:date="2016-03-25T03:28:00Z">
        <w:r>
          <w:delText>)</w:delText>
        </w:r>
      </w:del>
      <w:r>
        <w:t>. The average latitude and longitude of survey tows were used to represent the spatial locations of each sample, and these v</w:t>
      </w:r>
      <w:r>
        <w:t xml:space="preserve">alues were converted to ALBERS </w:t>
      </w:r>
      <w:proofErr w:type="gramStart"/>
      <w:r>
        <w:t>PROJECTION which</w:t>
      </w:r>
      <w:proofErr w:type="gramEnd"/>
      <w:r>
        <w:t xml:space="preserve"> is appropriate for the Gulf of Alaska (need to dig out methods for Albers projection). As our interest was primarily in the waters most likely affected by </w:t>
      </w:r>
      <w:ins w:id="10" w:author="Benjamin Williams" w:date="2016-03-25T03:29:00Z">
        <w:r>
          <w:t>EVOS</w:t>
        </w:r>
      </w:ins>
      <w:del w:id="11" w:author="Benjamin Williams" w:date="2016-03-25T03:29:00Z">
        <w:r>
          <w:delText>the Exxon Valdez oil spill</w:delText>
        </w:r>
      </w:del>
      <w:r>
        <w:t>, we restricted our ana</w:t>
      </w:r>
      <w:r>
        <w:t xml:space="preserve">lysis to trawls conducted shallower than 600m. In total, we included 7601 individual hauls between 1984 and 2015. </w:t>
      </w:r>
    </w:p>
    <w:p w:rsidR="00941065" w:rsidRDefault="00941065">
      <w:pPr>
        <w:pStyle w:val="normal0"/>
      </w:pPr>
    </w:p>
    <w:p w:rsidR="00941065" w:rsidRDefault="004B2F15">
      <w:pPr>
        <w:pStyle w:val="normal0"/>
      </w:pPr>
      <w:r>
        <w:t xml:space="preserve">We applied our models to 55 species groups. These groups represent species that were observed in at least </w:t>
      </w:r>
      <w:commentRangeStart w:id="12"/>
      <w:r>
        <w:t>270 survey tows</w:t>
      </w:r>
      <w:commentRangeEnd w:id="12"/>
      <w:r>
        <w:commentReference w:id="12"/>
      </w:r>
      <w:r>
        <w:t xml:space="preserve">. 53? </w:t>
      </w:r>
      <w:proofErr w:type="gramStart"/>
      <w:r>
        <w:t>represent</w:t>
      </w:r>
      <w:proofErr w:type="gramEnd"/>
      <w:r>
        <w:t xml:space="preserve"> </w:t>
      </w:r>
      <w:r>
        <w:t>individual species and YY represent species complexes that were not identified to species separately during field sampling throughout the survey extent (supplementary TABLE). For brevity, we refer to these species and species groups simply as “species” sub</w:t>
      </w:r>
      <w:r>
        <w:t>sequently. We provide the full species list and number of tows in which each species was observed in the supplement.</w:t>
      </w:r>
    </w:p>
    <w:p w:rsidR="00941065" w:rsidRDefault="00941065">
      <w:pPr>
        <w:pStyle w:val="normal0"/>
      </w:pPr>
    </w:p>
    <w:p w:rsidR="00941065" w:rsidRDefault="004B2F15">
      <w:pPr>
        <w:pStyle w:val="normal0"/>
        <w:rPr>
          <w:del w:id="13" w:author="Benjamin Williams" w:date="2016-03-25T03:38:00Z"/>
        </w:rPr>
      </w:pPr>
      <w:del w:id="14" w:author="Benjamin Williams" w:date="2016-03-25T03:38:00Z">
        <w:r>
          <w:delText>For 6 abundant species, we used the size distribution data to divide our groundfish data into two components…. Big individuals and small individuals.  We follow some ecopath models developed by Kerim and friends (Aydin et al. 2007) and use a 20</w:delText>
        </w:r>
      </w:del>
      <w:ins w:id="15" w:author="Benjamin Williams" w:date="2016-03-25T03:38:00Z">
        <w:del w:id="16" w:author="Benjamin Williams" w:date="2016-03-25T03:38:00Z">
          <w:r>
            <w:delText xml:space="preserve"> </w:delText>
          </w:r>
        </w:del>
      </w:ins>
      <w:del w:id="17" w:author="Benjamin Williams" w:date="2016-03-25T03:38:00Z">
        <w:r>
          <w:delText>cm cutoff t</w:delText>
        </w:r>
        <w:r>
          <w:delText>o divide individuals into juvenile and adult size classes. Something about how the cutoff size was identified (chat with Mary H.) [not sure even if we will include different size information in the paper]</w:delText>
        </w:r>
      </w:del>
    </w:p>
    <w:p w:rsidR="00941065" w:rsidRDefault="004B2F15">
      <w:pPr>
        <w:pStyle w:val="normal0"/>
      </w:pPr>
      <w:r>
        <w:t xml:space="preserve"> </w:t>
      </w:r>
    </w:p>
    <w:p w:rsidR="00941065" w:rsidRDefault="004B2F15">
      <w:pPr>
        <w:pStyle w:val="normal0"/>
      </w:pPr>
      <w:r>
        <w:t>Things to do for Data:</w:t>
      </w:r>
    </w:p>
    <w:p w:rsidR="00941065" w:rsidRDefault="004B2F15">
      <w:pPr>
        <w:pStyle w:val="normal0"/>
      </w:pPr>
      <w:r>
        <w:t xml:space="preserve"> </w:t>
      </w:r>
    </w:p>
    <w:p w:rsidR="00941065" w:rsidRDefault="004B2F15">
      <w:pPr>
        <w:pStyle w:val="normal0"/>
      </w:pPr>
      <w:r>
        <w:t>Make map of trawl locati</w:t>
      </w:r>
      <w:r>
        <w:t>ons for each year.</w:t>
      </w:r>
    </w:p>
    <w:p w:rsidR="00941065" w:rsidRDefault="004B2F15">
      <w:pPr>
        <w:pStyle w:val="normal0"/>
      </w:pPr>
      <w:r>
        <w:t>·      Write detailed methods for how I separated out the different sizes</w:t>
      </w:r>
    </w:p>
    <w:p w:rsidR="00941065" w:rsidRDefault="004B2F15">
      <w:pPr>
        <w:pStyle w:val="normal0"/>
      </w:pPr>
      <w:proofErr w:type="gramStart"/>
      <w:r>
        <w:t>o</w:t>
      </w:r>
      <w:proofErr w:type="gramEnd"/>
      <w:r>
        <w:t xml:space="preserve">   Dealing with no observed size data.</w:t>
      </w:r>
    </w:p>
    <w:p w:rsidR="00941065" w:rsidRDefault="004B2F15">
      <w:pPr>
        <w:pStyle w:val="normal0"/>
      </w:pPr>
      <w:proofErr w:type="gramStart"/>
      <w:r>
        <w:t>o</w:t>
      </w:r>
      <w:proofErr w:type="gramEnd"/>
      <w:r>
        <w:t xml:space="preserve">   Converting observed length to weight using </w:t>
      </w:r>
      <w:proofErr w:type="spellStart"/>
      <w:r>
        <w:t>allometric</w:t>
      </w:r>
      <w:proofErr w:type="spellEnd"/>
      <w:r>
        <w:t xml:space="preserve"> equations.</w:t>
      </w:r>
    </w:p>
    <w:p w:rsidR="00941065" w:rsidRDefault="004B2F15">
      <w:pPr>
        <w:pStyle w:val="normal0"/>
      </w:pPr>
      <w:proofErr w:type="gramStart"/>
      <w:r>
        <w:t>o</w:t>
      </w:r>
      <w:proofErr w:type="gramEnd"/>
      <w:r>
        <w:t xml:space="preserve">   Determining which fraction are “big” versus “small” and applying that to the CPUE data to generate CPUE for each size class.</w:t>
      </w:r>
    </w:p>
    <w:p w:rsidR="00941065" w:rsidRDefault="004B2F15">
      <w:pPr>
        <w:pStyle w:val="normal0"/>
      </w:pPr>
      <w:r>
        <w:t xml:space="preserve"> </w:t>
      </w:r>
    </w:p>
    <w:p w:rsidR="00941065" w:rsidRDefault="004B2F15">
      <w:pPr>
        <w:pStyle w:val="normal0"/>
      </w:pPr>
      <w:r>
        <w:t xml:space="preserve"> </w:t>
      </w:r>
    </w:p>
    <w:p w:rsidR="00941065" w:rsidRDefault="004B2F15">
      <w:pPr>
        <w:pStyle w:val="normal0"/>
      </w:pPr>
      <w:r>
        <w:rPr>
          <w:i/>
        </w:rPr>
        <w:lastRenderedPageBreak/>
        <w:t>Statistical modeling</w:t>
      </w:r>
    </w:p>
    <w:p w:rsidR="00941065" w:rsidRDefault="004B2F15">
      <w:pPr>
        <w:pStyle w:val="normal0"/>
      </w:pPr>
      <w:r>
        <w:t xml:space="preserve">We constructed separate models for each </w:t>
      </w:r>
      <w:proofErr w:type="spellStart"/>
      <w:r>
        <w:t>groundfish</w:t>
      </w:r>
      <w:proofErr w:type="spellEnd"/>
      <w:r>
        <w:t xml:space="preserve"> species to understand the spatiotemporal patterns o</w:t>
      </w:r>
      <w:r>
        <w:t xml:space="preserve">f occurrence and abundance. We estimated a model for each species independently and subsequently combined the model outputs to generate a suite of multi-species metrics of the </w:t>
      </w:r>
      <w:proofErr w:type="spellStart"/>
      <w:r>
        <w:t>groundfish</w:t>
      </w:r>
      <w:proofErr w:type="spellEnd"/>
      <w:r>
        <w:t xml:space="preserve"> communities. We first present the </w:t>
      </w:r>
      <w:proofErr w:type="spellStart"/>
      <w:r>
        <w:t>spatio</w:t>
      </w:r>
      <w:proofErr w:type="spellEnd"/>
      <w:r>
        <w:t>-temporal statistical model a</w:t>
      </w:r>
      <w:r>
        <w:t xml:space="preserve">nd then describe the </w:t>
      </w:r>
      <w:proofErr w:type="spellStart"/>
      <w:r>
        <w:t>spatio</w:t>
      </w:r>
      <w:proofErr w:type="spellEnd"/>
      <w:r>
        <w:t>-temporal metrics of community change.</w:t>
      </w:r>
    </w:p>
    <w:p w:rsidR="00941065" w:rsidRDefault="00941065">
      <w:pPr>
        <w:pStyle w:val="normal0"/>
      </w:pPr>
    </w:p>
    <w:p w:rsidR="00941065" w:rsidRDefault="004B2F15">
      <w:pPr>
        <w:pStyle w:val="normal0"/>
      </w:pPr>
      <w:r>
        <w:rPr>
          <w:rFonts w:ascii="Nova Mono" w:eastAsia="Nova Mono" w:hAnsi="Nova Mono" w:cs="Nova Mono"/>
        </w:rPr>
        <w:t>In all models, we used catch per unit effort (kg∙hectare</w:t>
      </w:r>
      <w:r>
        <w:rPr>
          <w:vertAlign w:val="superscript"/>
        </w:rPr>
        <w:t>-1</w:t>
      </w:r>
      <w:r>
        <w:t>) observed on each trawl as the response variable. Because most species were absent from a large number of observed trawls, we sepa</w:t>
      </w:r>
      <w:r>
        <w:t xml:space="preserve">rately modeled the presence and distribution of species density, adopting a delta-GLM approach with two sub-models (Pennington 1983, Maunder and Punt 2004, Shelton et al. 2014). Probability of occurrence of the </w:t>
      </w:r>
      <w:proofErr w:type="spellStart"/>
      <w:r>
        <w:rPr>
          <w:i/>
        </w:rPr>
        <w:t>i</w:t>
      </w:r>
      <w:r>
        <w:t>th</w:t>
      </w:r>
      <w:proofErr w:type="spellEnd"/>
      <w:r>
        <w:t xml:space="preserve"> species in year </w:t>
      </w:r>
      <w:r>
        <w:rPr>
          <w:i/>
        </w:rPr>
        <w:t>t</w:t>
      </w:r>
      <w:r>
        <w:t xml:space="preserve"> for a set of locations </w:t>
      </w:r>
      <w:r>
        <w:rPr>
          <w:b/>
          <w:i/>
        </w:rPr>
        <w:t>s</w:t>
      </w:r>
      <w:r>
        <w:t xml:space="preserve">, </w:t>
      </w:r>
      <w:r>
        <w:rPr>
          <w:b/>
          <w:i/>
        </w:rPr>
        <w:t>π</w:t>
      </w:r>
      <w:r>
        <w:rPr>
          <w:i/>
          <w:vertAlign w:val="subscript"/>
        </w:rPr>
        <w:t>it</w:t>
      </w:r>
      <w:r>
        <w:t>(</w:t>
      </w:r>
      <w:r>
        <w:rPr>
          <w:b/>
          <w:i/>
        </w:rPr>
        <w:t>s</w:t>
      </w:r>
      <w:r>
        <w:t xml:space="preserve">), was modeled using a binomial GLMM with </w:t>
      </w:r>
      <w:proofErr w:type="spellStart"/>
      <w:r>
        <w:t>logit</w:t>
      </w:r>
      <w:proofErr w:type="spellEnd"/>
      <w:r>
        <w:t xml:space="preserve"> link,</w:t>
      </w:r>
    </w:p>
    <w:p w:rsidR="00941065" w:rsidRDefault="004B2F15">
      <w:pPr>
        <w:pStyle w:val="normal0"/>
      </w:pPr>
      <w:r>
        <w:t xml:space="preserve"> </w:t>
      </w:r>
    </w:p>
    <w:p w:rsidR="00941065" w:rsidRDefault="004B2F15">
      <w:pPr>
        <w:pStyle w:val="normal0"/>
        <w:ind w:left="2160"/>
      </w:pPr>
      <w:proofErr w:type="spellStart"/>
      <w:proofErr w:type="gramStart"/>
      <w:r>
        <w:rPr>
          <w:i/>
        </w:rPr>
        <w:t>logit</w:t>
      </w:r>
      <w:proofErr w:type="spellEnd"/>
      <w:proofErr w:type="gramEnd"/>
      <w:r>
        <w:t>[</w:t>
      </w:r>
      <w:r>
        <w:rPr>
          <w:b/>
          <w:i/>
        </w:rPr>
        <w:t>π</w:t>
      </w:r>
      <w:r>
        <w:rPr>
          <w:i/>
          <w:vertAlign w:val="subscript"/>
        </w:rPr>
        <w:t>it</w:t>
      </w:r>
      <w:r>
        <w:t>(</w:t>
      </w:r>
      <w:r>
        <w:rPr>
          <w:b/>
          <w:i/>
        </w:rPr>
        <w:t>s</w:t>
      </w:r>
      <w:r>
        <w:t xml:space="preserve">)] = </w:t>
      </w:r>
      <w:proofErr w:type="spellStart"/>
      <w:r>
        <w:rPr>
          <w:b/>
          <w:i/>
        </w:rPr>
        <w:t>X</w:t>
      </w:r>
      <w:r>
        <w:rPr>
          <w:i/>
          <w:vertAlign w:val="subscript"/>
        </w:rPr>
        <w:t>t</w:t>
      </w:r>
      <w:proofErr w:type="spellEnd"/>
      <w:r>
        <w:t>(</w:t>
      </w:r>
      <w:r>
        <w:rPr>
          <w:b/>
          <w:i/>
        </w:rPr>
        <w:t>s</w:t>
      </w:r>
      <w:r>
        <w:t xml:space="preserve">) </w:t>
      </w:r>
      <w:r>
        <w:rPr>
          <w:b/>
          <w:i/>
        </w:rPr>
        <w:t>β</w:t>
      </w:r>
      <w:proofErr w:type="spellStart"/>
      <w:r>
        <w:rPr>
          <w:vertAlign w:val="subscript"/>
        </w:rPr>
        <w:t>i</w:t>
      </w:r>
      <w:r>
        <w:t>+</w:t>
      </w:r>
      <w:r>
        <w:rPr>
          <w:i/>
        </w:rPr>
        <w:t>ε</w:t>
      </w:r>
      <w:r>
        <w:rPr>
          <w:i/>
          <w:vertAlign w:val="subscript"/>
        </w:rPr>
        <w:t>it</w:t>
      </w:r>
      <w:proofErr w:type="spellEnd"/>
      <w:r>
        <w:t>(</w:t>
      </w:r>
      <w:r>
        <w:rPr>
          <w:b/>
          <w:i/>
        </w:rPr>
        <w:t>s</w:t>
      </w:r>
      <w:r>
        <w:t>)</w:t>
      </w:r>
      <w:r>
        <w:tab/>
      </w:r>
      <w:r>
        <w:tab/>
        <w:t>(1)</w:t>
      </w:r>
    </w:p>
    <w:p w:rsidR="00941065" w:rsidRDefault="004B2F15">
      <w:pPr>
        <w:pStyle w:val="normal0"/>
      </w:pPr>
      <w:r>
        <w:t xml:space="preserve"> </w:t>
      </w:r>
    </w:p>
    <w:p w:rsidR="00941065" w:rsidRDefault="004B2F15">
      <w:pPr>
        <w:pStyle w:val="normal0"/>
      </w:pPr>
      <w:proofErr w:type="gramStart"/>
      <w:r>
        <w:t>where</w:t>
      </w:r>
      <w:proofErr w:type="gramEnd"/>
      <w:r>
        <w:t xml:space="preserve"> </w:t>
      </w:r>
      <w:proofErr w:type="spellStart"/>
      <w:r>
        <w:rPr>
          <w:b/>
          <w:i/>
        </w:rPr>
        <w:t>X</w:t>
      </w:r>
      <w:r>
        <w:rPr>
          <w:i/>
          <w:vertAlign w:val="subscript"/>
        </w:rPr>
        <w:t>t</w:t>
      </w:r>
      <w:proofErr w:type="spellEnd"/>
      <w:r>
        <w:rPr>
          <w:i/>
          <w:vertAlign w:val="subscript"/>
        </w:rPr>
        <w:t xml:space="preserve"> </w:t>
      </w:r>
      <w:r>
        <w:t>(</w:t>
      </w:r>
      <w:r>
        <w:rPr>
          <w:b/>
          <w:i/>
        </w:rPr>
        <w:t>s</w:t>
      </w:r>
      <w:r>
        <w:t xml:space="preserve">) represents a matrix of fixed effect covariates at locations </w:t>
      </w:r>
      <w:r>
        <w:rPr>
          <w:b/>
          <w:i/>
        </w:rPr>
        <w:t>s</w:t>
      </w:r>
      <w:r>
        <w:t xml:space="preserve"> in year </w:t>
      </w:r>
      <w:r>
        <w:rPr>
          <w:i/>
        </w:rPr>
        <w:t>t</w:t>
      </w:r>
      <w:r>
        <w:t xml:space="preserve">, </w:t>
      </w:r>
      <w:r>
        <w:rPr>
          <w:b/>
          <w:i/>
        </w:rPr>
        <w:t>β</w:t>
      </w:r>
      <w:proofErr w:type="spellStart"/>
      <w:r>
        <w:rPr>
          <w:vertAlign w:val="subscript"/>
        </w:rPr>
        <w:t>i</w:t>
      </w:r>
      <w:proofErr w:type="spellEnd"/>
      <w:r>
        <w:rPr>
          <w:vertAlign w:val="subscript"/>
        </w:rPr>
        <w:t xml:space="preserve"> </w:t>
      </w:r>
      <w:r>
        <w:t xml:space="preserve">represents a vector of coefficients for species </w:t>
      </w:r>
      <w:proofErr w:type="spellStart"/>
      <w:r>
        <w:rPr>
          <w:i/>
        </w:rPr>
        <w:t>i</w:t>
      </w:r>
      <w:proofErr w:type="spellEnd"/>
      <w:r>
        <w:t xml:space="preserve">, and </w:t>
      </w:r>
      <w:proofErr w:type="spellStart"/>
      <w:r>
        <w:rPr>
          <w:b/>
          <w:i/>
        </w:rPr>
        <w:t>ε</w:t>
      </w:r>
      <w:r>
        <w:rPr>
          <w:i/>
          <w:vertAlign w:val="subscript"/>
        </w:rPr>
        <w:t>it</w:t>
      </w:r>
      <w:proofErr w:type="spellEnd"/>
      <w:r>
        <w:t>(</w:t>
      </w:r>
      <w:r>
        <w:rPr>
          <w:b/>
          <w:i/>
        </w:rPr>
        <w:t>s</w:t>
      </w:r>
      <w:r>
        <w:t>) represents a vector of spatial random effects that follow a first-order autoregressive process:</w:t>
      </w:r>
    </w:p>
    <w:p w:rsidR="00941065" w:rsidRDefault="004B2F15">
      <w:pPr>
        <w:pStyle w:val="normal0"/>
      </w:pPr>
      <w:r>
        <w:t xml:space="preserve"> </w:t>
      </w:r>
    </w:p>
    <w:p w:rsidR="00941065" w:rsidRDefault="004B2F15">
      <w:pPr>
        <w:pStyle w:val="normal0"/>
      </w:pPr>
      <w:r>
        <w:t xml:space="preserve">            </w:t>
      </w:r>
      <w:r>
        <w:tab/>
      </w:r>
      <w:r>
        <w:tab/>
      </w:r>
      <w:proofErr w:type="spellStart"/>
      <w:r>
        <w:rPr>
          <w:b/>
          <w:i/>
        </w:rPr>
        <w:t>ε</w:t>
      </w:r>
      <w:r>
        <w:rPr>
          <w:i/>
          <w:vertAlign w:val="subscript"/>
        </w:rPr>
        <w:t>it</w:t>
      </w:r>
      <w:proofErr w:type="spellEnd"/>
      <w:r>
        <w:t>(</w:t>
      </w:r>
      <w:r>
        <w:rPr>
          <w:b/>
          <w:i/>
        </w:rPr>
        <w:t>s</w:t>
      </w:r>
      <w:r>
        <w:t>)~</w:t>
      </w:r>
      <w:proofErr w:type="gramStart"/>
      <w:r>
        <w:rPr>
          <w:i/>
        </w:rPr>
        <w:t>Normal</w:t>
      </w:r>
      <w:r>
        <w:t>[</w:t>
      </w:r>
      <w:proofErr w:type="gramEnd"/>
      <w:r>
        <w:rPr>
          <w:b/>
          <w:i/>
        </w:rPr>
        <w:t>ρε</w:t>
      </w:r>
      <w:r>
        <w:rPr>
          <w:b/>
          <w:i/>
          <w:vertAlign w:val="subscript"/>
        </w:rPr>
        <w:t>i</w:t>
      </w:r>
      <w:r>
        <w:rPr>
          <w:i/>
          <w:vertAlign w:val="subscript"/>
        </w:rPr>
        <w:t>t-1</w:t>
      </w:r>
      <w:r>
        <w:t>(</w:t>
      </w:r>
      <w:r>
        <w:rPr>
          <w:b/>
          <w:i/>
        </w:rPr>
        <w:t>s</w:t>
      </w:r>
      <w:r>
        <w:t>),</w:t>
      </w:r>
      <w:proofErr w:type="spellStart"/>
      <w:r>
        <w:rPr>
          <w:b/>
          <w:i/>
        </w:rPr>
        <w:t>Σ</w:t>
      </w:r>
      <w:r>
        <w:rPr>
          <w:i/>
          <w:vertAlign w:val="subscript"/>
        </w:rPr>
        <w:t>i</w:t>
      </w:r>
      <w:proofErr w:type="spellEnd"/>
      <w:r>
        <w:t>(</w:t>
      </w:r>
      <w:r>
        <w:rPr>
          <w:b/>
          <w:i/>
        </w:rPr>
        <w:t>s)</w:t>
      </w:r>
      <w:r>
        <w:t>]</w:t>
      </w:r>
      <w:r>
        <w:tab/>
      </w:r>
      <w:r>
        <w:tab/>
        <w:t>(2)</w:t>
      </w:r>
    </w:p>
    <w:p w:rsidR="00941065" w:rsidRDefault="004B2F15">
      <w:pPr>
        <w:pStyle w:val="normal0"/>
      </w:pPr>
      <w:r>
        <w:t xml:space="preserve"> </w:t>
      </w:r>
    </w:p>
    <w:p w:rsidR="00941065" w:rsidRDefault="004B2F15">
      <w:pPr>
        <w:pStyle w:val="normal0"/>
      </w:pPr>
      <w:proofErr w:type="gramStart"/>
      <w:r>
        <w:t>where</w:t>
      </w:r>
      <w:proofErr w:type="gramEnd"/>
      <w:r>
        <w:t xml:space="preserve"> </w:t>
      </w:r>
      <w:r>
        <w:rPr>
          <w:b/>
          <w:i/>
        </w:rPr>
        <w:t>ρ</w:t>
      </w:r>
      <w:r>
        <w:t xml:space="preserve"> represents the degree of </w:t>
      </w:r>
      <w:proofErr w:type="spellStart"/>
      <w:r>
        <w:t>autoregression</w:t>
      </w:r>
      <w:proofErr w:type="spellEnd"/>
      <w:r>
        <w:t xml:space="preserve"> in encounter probabilities and </w:t>
      </w:r>
      <w:r>
        <w:rPr>
          <w:b/>
          <w:i/>
        </w:rPr>
        <w:t>Σ</w:t>
      </w:r>
      <w:r>
        <w:t xml:space="preserve"> represents spatial </w:t>
      </w:r>
      <w:proofErr w:type="spellStart"/>
      <w:r>
        <w:t>cova</w:t>
      </w:r>
      <w:r>
        <w:t>riation</w:t>
      </w:r>
      <w:proofErr w:type="spellEnd"/>
      <w:r>
        <w:t xml:space="preserve"> in random effects (discussed below). Random effects were assumed to be autoregressive to account for variation not explicitly included in our model (</w:t>
      </w:r>
      <w:ins w:id="18" w:author="Benjamin Williams" w:date="2016-03-25T05:30:00Z">
        <w:r>
          <w:t xml:space="preserve">e.g., </w:t>
        </w:r>
      </w:ins>
      <w:r>
        <w:t>variation due to the environment or population processes such as density dependence). Note th</w:t>
      </w:r>
      <w:r>
        <w:t>at because trawl surveys are not conducted annually but triennially (1984-1999) or biennially (1999-2015) the autoregressive term refers to the date of the previous survey year, not the previous calendar year.</w:t>
      </w:r>
    </w:p>
    <w:p w:rsidR="00941065" w:rsidRDefault="00941065">
      <w:pPr>
        <w:pStyle w:val="normal0"/>
      </w:pPr>
    </w:p>
    <w:p w:rsidR="00941065" w:rsidRDefault="004B2F15">
      <w:pPr>
        <w:pStyle w:val="normal0"/>
      </w:pPr>
      <w:r>
        <w:t xml:space="preserve">For the second </w:t>
      </w:r>
      <w:proofErr w:type="spellStart"/>
      <w:r>
        <w:t>groundfish</w:t>
      </w:r>
      <w:proofErr w:type="spellEnd"/>
      <w:r>
        <w:t xml:space="preserve"> sub-model (hereafte</w:t>
      </w:r>
      <w:r>
        <w:t xml:space="preserve">r positive model), we assumed that </w:t>
      </w:r>
      <w:proofErr w:type="spellStart"/>
      <w:r>
        <w:t>groundfish</w:t>
      </w:r>
      <w:proofErr w:type="spellEnd"/>
      <w:r>
        <w:t xml:space="preserve"> CPUE was gamma distributed and used a log-link,</w:t>
      </w:r>
    </w:p>
    <w:p w:rsidR="00941065" w:rsidRDefault="004B2F15">
      <w:pPr>
        <w:pStyle w:val="normal0"/>
      </w:pPr>
      <w:r>
        <w:t xml:space="preserve"> </w:t>
      </w:r>
    </w:p>
    <w:p w:rsidR="00941065" w:rsidRDefault="004B2F15">
      <w:pPr>
        <w:pStyle w:val="normal0"/>
      </w:pPr>
      <w:r>
        <w:t xml:space="preserve">               </w:t>
      </w:r>
      <w:r>
        <w:tab/>
      </w:r>
      <w:r>
        <w:tab/>
      </w:r>
      <w:proofErr w:type="spellStart"/>
      <w:r>
        <w:rPr>
          <w:i/>
        </w:rPr>
        <w:t>Y</w:t>
      </w:r>
      <w:r>
        <w:rPr>
          <w:i/>
          <w:vertAlign w:val="subscript"/>
        </w:rPr>
        <w:t>it</w:t>
      </w:r>
      <w:proofErr w:type="spellEnd"/>
      <w:r>
        <w:t xml:space="preserve"> (</w:t>
      </w:r>
      <w:r>
        <w:rPr>
          <w:b/>
          <w:i/>
        </w:rPr>
        <w:t>s</w:t>
      </w:r>
      <w:r>
        <w:t>)~</w:t>
      </w:r>
      <w:proofErr w:type="gramStart"/>
      <w:r>
        <w:rPr>
          <w:i/>
        </w:rPr>
        <w:t>Gamma</w:t>
      </w:r>
      <w:r>
        <w:t>(</w:t>
      </w:r>
      <w:proofErr w:type="spellStart"/>
      <w:proofErr w:type="gramEnd"/>
      <w:r>
        <w:rPr>
          <w:b/>
          <w:i/>
        </w:rPr>
        <w:t>μ</w:t>
      </w:r>
      <w:r>
        <w:rPr>
          <w:vertAlign w:val="subscript"/>
        </w:rPr>
        <w:t>it</w:t>
      </w:r>
      <w:proofErr w:type="spellEnd"/>
      <w:r>
        <w:rPr>
          <w:vertAlign w:val="subscript"/>
        </w:rPr>
        <w:t xml:space="preserve"> </w:t>
      </w:r>
      <w:r>
        <w:t>(</w:t>
      </w:r>
      <w:r>
        <w:rPr>
          <w:b/>
          <w:i/>
        </w:rPr>
        <w:t>s</w:t>
      </w:r>
      <w:r>
        <w:t>),</w:t>
      </w:r>
      <w:proofErr w:type="spellStart"/>
      <w:r>
        <w:rPr>
          <w:i/>
        </w:rPr>
        <w:t>σ</w:t>
      </w:r>
      <w:r>
        <w:rPr>
          <w:i/>
          <w:vertAlign w:val="subscript"/>
        </w:rPr>
        <w:t>i</w:t>
      </w:r>
      <w:proofErr w:type="spellEnd"/>
      <w:r>
        <w:t>)</w:t>
      </w:r>
      <w:r>
        <w:br/>
      </w:r>
      <w:r>
        <w:tab/>
      </w:r>
      <w:r>
        <w:tab/>
      </w:r>
      <w:r>
        <w:tab/>
      </w:r>
      <w:r>
        <w:rPr>
          <w:i/>
        </w:rPr>
        <w:t>log</w:t>
      </w:r>
      <w:r>
        <w:t>[</w:t>
      </w:r>
      <w:proofErr w:type="spellStart"/>
      <w:r>
        <w:rPr>
          <w:b/>
          <w:i/>
        </w:rPr>
        <w:t>μ</w:t>
      </w:r>
      <w:r>
        <w:rPr>
          <w:i/>
          <w:vertAlign w:val="subscript"/>
        </w:rPr>
        <w:t>it</w:t>
      </w:r>
      <w:proofErr w:type="spellEnd"/>
      <w:r>
        <w:rPr>
          <w:i/>
        </w:rPr>
        <w:t xml:space="preserve"> </w:t>
      </w:r>
      <w:r>
        <w:t>(</w:t>
      </w:r>
      <w:r>
        <w:rPr>
          <w:b/>
          <w:i/>
        </w:rPr>
        <w:t>s</w:t>
      </w:r>
      <w:r>
        <w:t xml:space="preserve">) ]= </w:t>
      </w:r>
      <w:proofErr w:type="spellStart"/>
      <w:r>
        <w:rPr>
          <w:b/>
          <w:i/>
        </w:rPr>
        <w:t>Z</w:t>
      </w:r>
      <w:r>
        <w:rPr>
          <w:i/>
          <w:vertAlign w:val="subscript"/>
        </w:rPr>
        <w:t>t</w:t>
      </w:r>
      <w:proofErr w:type="spellEnd"/>
      <w:r>
        <w:t>(</w:t>
      </w:r>
      <w:r>
        <w:rPr>
          <w:b/>
          <w:i/>
        </w:rPr>
        <w:t>s</w:t>
      </w:r>
      <w:r>
        <w:t xml:space="preserve">) </w:t>
      </w:r>
      <w:proofErr w:type="spellStart"/>
      <w:r>
        <w:rPr>
          <w:b/>
          <w:i/>
        </w:rPr>
        <w:t>γ</w:t>
      </w:r>
      <w:r>
        <w:rPr>
          <w:i/>
          <w:vertAlign w:val="subscript"/>
        </w:rPr>
        <w:t>i</w:t>
      </w:r>
      <w:r>
        <w:t>+</w:t>
      </w:r>
      <w:r>
        <w:rPr>
          <w:b/>
          <w:i/>
        </w:rPr>
        <w:t>η</w:t>
      </w:r>
      <w:r>
        <w:rPr>
          <w:i/>
          <w:vertAlign w:val="subscript"/>
        </w:rPr>
        <w:t>it</w:t>
      </w:r>
      <w:proofErr w:type="spellEnd"/>
      <w:r>
        <w:rPr>
          <w:i/>
        </w:rPr>
        <w:t xml:space="preserve"> </w:t>
      </w:r>
      <w:r>
        <w:t>(</w:t>
      </w:r>
      <w:r>
        <w:rPr>
          <w:b/>
          <w:i/>
        </w:rPr>
        <w:t>s</w:t>
      </w:r>
      <w:r>
        <w:t>)</w:t>
      </w:r>
      <w:r>
        <w:tab/>
      </w:r>
      <w:r>
        <w:tab/>
        <w:t>(3)</w:t>
      </w:r>
      <w:r>
        <w:br/>
      </w:r>
    </w:p>
    <w:p w:rsidR="00941065" w:rsidRDefault="004B2F15">
      <w:pPr>
        <w:pStyle w:val="normal0"/>
      </w:pPr>
      <w:proofErr w:type="gramStart"/>
      <w:r>
        <w:t>where</w:t>
      </w:r>
      <w:proofErr w:type="gramEnd"/>
      <w:r>
        <w:t xml:space="preserve"> </w:t>
      </w:r>
      <w:proofErr w:type="spellStart"/>
      <w:r>
        <w:rPr>
          <w:b/>
          <w:i/>
        </w:rPr>
        <w:t>Z</w:t>
      </w:r>
      <w:r>
        <w:rPr>
          <w:i/>
          <w:vertAlign w:val="subscript"/>
        </w:rPr>
        <w:t>t</w:t>
      </w:r>
      <w:proofErr w:type="spellEnd"/>
      <w:r>
        <w:t>(</w:t>
      </w:r>
      <w:r>
        <w:rPr>
          <w:b/>
          <w:i/>
        </w:rPr>
        <w:t>s</w:t>
      </w:r>
      <w:r>
        <w:t xml:space="preserve">) is a matrix of covariates corresponding to each haul location, </w:t>
      </w:r>
      <w:proofErr w:type="spellStart"/>
      <w:r>
        <w:rPr>
          <w:b/>
          <w:i/>
        </w:rPr>
        <w:t>γ</w:t>
      </w:r>
      <w:r>
        <w:rPr>
          <w:i/>
          <w:vertAlign w:val="subscript"/>
        </w:rPr>
        <w:t>i</w:t>
      </w:r>
      <w:proofErr w:type="spellEnd"/>
      <w:r>
        <w:rPr>
          <w:i/>
          <w:vertAlign w:val="subscript"/>
        </w:rPr>
        <w:t xml:space="preserve">  </w:t>
      </w:r>
      <w:r>
        <w:t xml:space="preserve">represents the estimated species-specific coefficients, </w:t>
      </w:r>
      <w:proofErr w:type="spellStart"/>
      <w:r>
        <w:rPr>
          <w:b/>
          <w:i/>
        </w:rPr>
        <w:t>η</w:t>
      </w:r>
      <w:r>
        <w:rPr>
          <w:i/>
          <w:vertAlign w:val="subscript"/>
        </w:rPr>
        <w:t>it</w:t>
      </w:r>
      <w:proofErr w:type="spellEnd"/>
      <w:r>
        <w:rPr>
          <w:i/>
        </w:rPr>
        <w:t xml:space="preserve"> </w:t>
      </w:r>
      <w:r>
        <w:t>(</w:t>
      </w:r>
      <w:r>
        <w:rPr>
          <w:b/>
          <w:i/>
        </w:rPr>
        <w:t>s</w:t>
      </w:r>
      <w:r>
        <w:t xml:space="preserve">) represent spatial random effects that again follow an autoregressive process (analogous to </w:t>
      </w:r>
      <w:proofErr w:type="spellStart"/>
      <w:r>
        <w:t>eqn</w:t>
      </w:r>
      <w:proofErr w:type="spellEnd"/>
      <w:r>
        <w:t xml:space="preserve"> 2, but with a independently derived covariance matrix). Then </w:t>
      </w:r>
      <w:proofErr w:type="spellStart"/>
      <w:r>
        <w:rPr>
          <w:b/>
          <w:i/>
        </w:rPr>
        <w:t>μ</w:t>
      </w:r>
      <w:r>
        <w:rPr>
          <w:i/>
          <w:vertAlign w:val="subscript"/>
        </w:rPr>
        <w:t>it</w:t>
      </w:r>
      <w:proofErr w:type="spellEnd"/>
      <w:r>
        <w:rPr>
          <w:i/>
        </w:rPr>
        <w:t xml:space="preserve"> </w:t>
      </w:r>
      <w:r>
        <w:t>(</w:t>
      </w:r>
      <w:r>
        <w:rPr>
          <w:b/>
          <w:i/>
        </w:rPr>
        <w:t>s</w:t>
      </w:r>
      <w:r>
        <w:t>) represents the mean of th</w:t>
      </w:r>
      <w:r>
        <w:t xml:space="preserve">e gamma distribution and </w:t>
      </w:r>
      <w:proofErr w:type="spellStart"/>
      <w:r>
        <w:rPr>
          <w:i/>
        </w:rPr>
        <w:t>σ</w:t>
      </w:r>
      <w:r>
        <w:rPr>
          <w:i/>
          <w:vertAlign w:val="subscript"/>
        </w:rPr>
        <w:t>i</w:t>
      </w:r>
      <w:proofErr w:type="spellEnd"/>
      <w:r>
        <w:rPr>
          <w:i/>
          <w:vertAlign w:val="subscript"/>
        </w:rPr>
        <w:t xml:space="preserve"> </w:t>
      </w:r>
      <w:r>
        <w:t xml:space="preserve">represents the </w:t>
      </w:r>
      <w:r>
        <w:rPr>
          <w:b/>
        </w:rPr>
        <w:t xml:space="preserve">shape </w:t>
      </w:r>
      <w:r>
        <w:t>parameter of the gamma distribution. This model only uses the hauls in which the species was observed and so the</w:t>
      </w:r>
      <w:commentRangeStart w:id="19"/>
      <w:r>
        <w:t xml:space="preserve"> positive model</w:t>
      </w:r>
      <w:commentRangeEnd w:id="19"/>
      <w:r>
        <w:commentReference w:id="19"/>
      </w:r>
      <w:r>
        <w:t xml:space="preserve"> describes the CPUE of each species conditioned on the species presence.</w:t>
      </w:r>
    </w:p>
    <w:p w:rsidR="00941065" w:rsidRDefault="00941065">
      <w:pPr>
        <w:pStyle w:val="normal0"/>
      </w:pPr>
    </w:p>
    <w:p w:rsidR="00941065" w:rsidRDefault="004B2F15">
      <w:pPr>
        <w:pStyle w:val="normal0"/>
      </w:pPr>
      <w:r>
        <w:lastRenderedPageBreak/>
        <w:t>For</w:t>
      </w:r>
      <w:r>
        <w:t xml:space="preserve"> all models we used available haul level information about bottom depth (m) and included both linear and quadratic terms for </w:t>
      </w:r>
      <w:proofErr w:type="gramStart"/>
      <w:r>
        <w:t>log(</w:t>
      </w:r>
      <w:proofErr w:type="gramEnd"/>
      <w:r>
        <w:t xml:space="preserve">depth) in the occurrence and positive models (Shelton et al. 2014, </w:t>
      </w:r>
      <w:proofErr w:type="spellStart"/>
      <w:r>
        <w:t>Tolimieri</w:t>
      </w:r>
      <w:proofErr w:type="spellEnd"/>
      <w:r>
        <w:t xml:space="preserve"> et al. 2015). We centered </w:t>
      </w:r>
      <w:proofErr w:type="gramStart"/>
      <w:r>
        <w:t>log(</w:t>
      </w:r>
      <w:proofErr w:type="gramEnd"/>
      <w:r>
        <w:t>depth) by subtractin</w:t>
      </w:r>
      <w:r>
        <w:t>g the mean. We also considered two models for fixed year effects: in one model we estimated a single intercept while in the other we allowed for a distinct intercept for each year. As the intercept scales the occurrence (or CPUE, respectively) for the enti</w:t>
      </w:r>
      <w:r>
        <w:t>re region, models with variable intercepts allow for spatially uniform, region wide changes in occurrence or CPUE.</w:t>
      </w:r>
    </w:p>
    <w:p w:rsidR="00941065" w:rsidRDefault="00941065">
      <w:pPr>
        <w:pStyle w:val="normal0"/>
      </w:pPr>
    </w:p>
    <w:p w:rsidR="00941065" w:rsidRDefault="004B2F15">
      <w:pPr>
        <w:pStyle w:val="normal0"/>
      </w:pPr>
      <w:r>
        <w:t xml:space="preserve">For the spatial random effects in the occurrence and positive models, we used the </w:t>
      </w:r>
      <w:proofErr w:type="spellStart"/>
      <w:r>
        <w:t>Matern</w:t>
      </w:r>
      <w:proofErr w:type="spellEnd"/>
      <w:r>
        <w:t xml:space="preserve"> function to model covariance as a function of Eucli</w:t>
      </w:r>
      <w:r>
        <w:t xml:space="preserve">dian distance, so </w:t>
      </w:r>
      <w:proofErr w:type="gramStart"/>
      <w:r>
        <w:rPr>
          <w:b/>
          <w:i/>
        </w:rPr>
        <w:t>Σ</w:t>
      </w:r>
      <w:r>
        <w:t>(</w:t>
      </w:r>
      <w:proofErr w:type="spellStart"/>
      <w:proofErr w:type="gramEnd"/>
      <w:r>
        <w:rPr>
          <w:i/>
        </w:rPr>
        <w:t>s</w:t>
      </w:r>
      <w:r>
        <w:rPr>
          <w:i/>
          <w:vertAlign w:val="subscript"/>
        </w:rPr>
        <w:t>j</w:t>
      </w:r>
      <w:r>
        <w:t>,</w:t>
      </w:r>
      <w:r>
        <w:rPr>
          <w:i/>
        </w:rPr>
        <w:t>s</w:t>
      </w:r>
      <w:r>
        <w:rPr>
          <w:i/>
          <w:vertAlign w:val="subscript"/>
        </w:rPr>
        <w:t>k</w:t>
      </w:r>
      <w:proofErr w:type="spellEnd"/>
      <w:r>
        <w:t xml:space="preserve">) = </w:t>
      </w:r>
      <w:r>
        <w:rPr>
          <w:i/>
        </w:rPr>
        <w:t>τ</w:t>
      </w:r>
      <w:r>
        <w:rPr>
          <w:vertAlign w:val="superscript"/>
        </w:rPr>
        <w:t>2</w:t>
      </w:r>
      <w:r>
        <w:t>/</w:t>
      </w:r>
      <w:r>
        <w:rPr>
          <w:i/>
        </w:rPr>
        <w:t>Γ</w:t>
      </w:r>
      <w:r>
        <w:t>(</w:t>
      </w:r>
      <w:r>
        <w:rPr>
          <w:i/>
        </w:rPr>
        <w:t>ν</w:t>
      </w:r>
      <w:r>
        <w:t>)2</w:t>
      </w:r>
      <w:r>
        <w:rPr>
          <w:vertAlign w:val="superscript"/>
        </w:rPr>
        <w:t xml:space="preserve">ν-1 </w:t>
      </w:r>
      <w:r>
        <w:t>(</w:t>
      </w:r>
      <w:proofErr w:type="spellStart"/>
      <w:r>
        <w:rPr>
          <w:i/>
        </w:rPr>
        <w:t>κd</w:t>
      </w:r>
      <w:r>
        <w:rPr>
          <w:i/>
          <w:vertAlign w:val="subscript"/>
        </w:rPr>
        <w:t>jk</w:t>
      </w:r>
      <w:proofErr w:type="spellEnd"/>
      <w:r>
        <w:t>)</w:t>
      </w:r>
      <w:r>
        <w:rPr>
          <w:vertAlign w:val="superscript"/>
        </w:rPr>
        <w:t>ν</w:t>
      </w:r>
      <w:r>
        <w:t xml:space="preserve"> </w:t>
      </w:r>
      <w:proofErr w:type="spellStart"/>
      <w:r>
        <w:rPr>
          <w:i/>
        </w:rPr>
        <w:t>K</w:t>
      </w:r>
      <w:r>
        <w:rPr>
          <w:vertAlign w:val="subscript"/>
        </w:rPr>
        <w:t>ν</w:t>
      </w:r>
      <w:proofErr w:type="spellEnd"/>
      <w:r>
        <w:t>(</w:t>
      </w:r>
      <w:proofErr w:type="spellStart"/>
      <w:r>
        <w:rPr>
          <w:i/>
        </w:rPr>
        <w:t>κd</w:t>
      </w:r>
      <w:r>
        <w:rPr>
          <w:i/>
          <w:vertAlign w:val="subscript"/>
        </w:rPr>
        <w:t>jk</w:t>
      </w:r>
      <w:proofErr w:type="spellEnd"/>
      <w:r>
        <w:t xml:space="preserve">), is the covariance between location </w:t>
      </w:r>
      <w:proofErr w:type="spellStart"/>
      <w:r>
        <w:rPr>
          <w:i/>
        </w:rPr>
        <w:t>s</w:t>
      </w:r>
      <w:r>
        <w:rPr>
          <w:i/>
          <w:vertAlign w:val="subscript"/>
        </w:rPr>
        <w:t>j</w:t>
      </w:r>
      <w:proofErr w:type="spellEnd"/>
      <w:r>
        <w:t xml:space="preserve"> and </w:t>
      </w:r>
      <w:proofErr w:type="spellStart"/>
      <w:r>
        <w:rPr>
          <w:i/>
        </w:rPr>
        <w:t>s</w:t>
      </w:r>
      <w:r>
        <w:rPr>
          <w:i/>
          <w:vertAlign w:val="subscript"/>
        </w:rPr>
        <w:t>k</w:t>
      </w:r>
      <w:proofErr w:type="spellEnd"/>
      <w:r>
        <w:t xml:space="preserve">, </w:t>
      </w:r>
      <w:r>
        <w:rPr>
          <w:i/>
        </w:rPr>
        <w:t>τ</w:t>
      </w:r>
      <w:r>
        <w:rPr>
          <w:vertAlign w:val="superscript"/>
        </w:rPr>
        <w:t xml:space="preserve">2 </w:t>
      </w:r>
      <w:r>
        <w:t xml:space="preserve">is the spatial variance,  </w:t>
      </w:r>
      <w:r>
        <w:rPr>
          <w:i/>
        </w:rPr>
        <w:t>Γ</w:t>
      </w:r>
      <w:r>
        <w:t xml:space="preserve">() and </w:t>
      </w:r>
      <w:proofErr w:type="spellStart"/>
      <w:r>
        <w:rPr>
          <w:i/>
        </w:rPr>
        <w:t>K</w:t>
      </w:r>
      <w:r>
        <w:rPr>
          <w:vertAlign w:val="subscript"/>
        </w:rPr>
        <w:t>ν</w:t>
      </w:r>
      <w:proofErr w:type="spellEnd"/>
      <w:r>
        <w:t xml:space="preserve">() represent the Gamma and Bessel functions, respectively, </w:t>
      </w:r>
      <w:proofErr w:type="spellStart"/>
      <w:r>
        <w:rPr>
          <w:i/>
        </w:rPr>
        <w:t>d</w:t>
      </w:r>
      <w:r>
        <w:rPr>
          <w:i/>
          <w:vertAlign w:val="subscript"/>
        </w:rPr>
        <w:t>jk</w:t>
      </w:r>
      <w:proofErr w:type="spellEnd"/>
      <w:r>
        <w:rPr>
          <w:i/>
          <w:vertAlign w:val="subscript"/>
        </w:rPr>
        <w:t xml:space="preserve"> </w:t>
      </w:r>
      <w:r>
        <w:t xml:space="preserve">is the Euclidian distance between locations </w:t>
      </w:r>
      <w:proofErr w:type="spellStart"/>
      <w:r>
        <w:rPr>
          <w:i/>
        </w:rPr>
        <w:t>s</w:t>
      </w:r>
      <w:r>
        <w:rPr>
          <w:i/>
          <w:vertAlign w:val="subscript"/>
        </w:rPr>
        <w:t>j</w:t>
      </w:r>
      <w:proofErr w:type="spellEnd"/>
      <w:r>
        <w:t xml:space="preserve"> and </w:t>
      </w:r>
      <w:proofErr w:type="spellStart"/>
      <w:r>
        <w:rPr>
          <w:i/>
        </w:rPr>
        <w:t>s</w:t>
      </w:r>
      <w:r>
        <w:rPr>
          <w:i/>
          <w:vertAlign w:val="subscript"/>
        </w:rPr>
        <w:t>k</w:t>
      </w:r>
      <w:proofErr w:type="spellEnd"/>
      <w:r>
        <w:t xml:space="preserve">, and </w:t>
      </w:r>
      <w:r>
        <w:rPr>
          <w:i/>
        </w:rPr>
        <w:t xml:space="preserve">κ </w:t>
      </w:r>
      <w:r>
        <w:t xml:space="preserve">is an estimated scaling parameter (Lindgren et al. 2011). The parameter </w:t>
      </w:r>
      <w:r>
        <w:rPr>
          <w:i/>
        </w:rPr>
        <w:t xml:space="preserve">ν </w:t>
      </w:r>
      <w:r>
        <w:t xml:space="preserve">controls the smoothness of the </w:t>
      </w:r>
      <w:proofErr w:type="spellStart"/>
      <w:r>
        <w:t>Matern</w:t>
      </w:r>
      <w:proofErr w:type="spellEnd"/>
      <w:r>
        <w:t xml:space="preserve"> function and is usually fixed rather than estimated from data (when </w:t>
      </w:r>
      <w:r>
        <w:rPr>
          <w:i/>
        </w:rPr>
        <w:t xml:space="preserve">ν </w:t>
      </w:r>
      <w:r>
        <w:t xml:space="preserve"> = 0.5, the </w:t>
      </w:r>
      <w:proofErr w:type="spellStart"/>
      <w:r>
        <w:t>Matern</w:t>
      </w:r>
      <w:proofErr w:type="spellEnd"/>
      <w:r>
        <w:t xml:space="preserve"> reduces to the exponential covariance fu</w:t>
      </w:r>
      <w:r>
        <w:t xml:space="preserve">nction). Following previous work, we chose </w:t>
      </w:r>
      <w:r>
        <w:rPr>
          <w:i/>
        </w:rPr>
        <w:t xml:space="preserve">ν </w:t>
      </w:r>
      <w:r>
        <w:t xml:space="preserve">= 3/2; this allows the </w:t>
      </w:r>
      <w:proofErr w:type="spellStart"/>
      <w:r>
        <w:t>Matern</w:t>
      </w:r>
      <w:proofErr w:type="spellEnd"/>
      <w:r>
        <w:t xml:space="preserve"> to be more flexible than the exponential, but also allows the function to be differentiable (Rasmussen &amp; Williams 2006, Ward et al 2015). The covariance matrices for the presence-ab</w:t>
      </w:r>
      <w:r>
        <w:t xml:space="preserve">sence and positive models for each species have separate parameters </w:t>
      </w:r>
      <w:r>
        <w:rPr>
          <w:i/>
        </w:rPr>
        <w:t>τ</w:t>
      </w:r>
      <w:r>
        <w:rPr>
          <w:vertAlign w:val="superscript"/>
        </w:rPr>
        <w:t>2</w:t>
      </w:r>
      <w:r>
        <w:t xml:space="preserve"> and </w:t>
      </w:r>
      <w:r>
        <w:rPr>
          <w:i/>
        </w:rPr>
        <w:t>κ</w:t>
      </w:r>
      <w:r>
        <w:t>, reflecting the assumptions that each model component may have a different variance or rate at which correlations decline as a function of distance. Further details can be found i</w:t>
      </w:r>
      <w:r>
        <w:t>n Ono et al. (2015) and Ward et al. (2015).</w:t>
      </w:r>
    </w:p>
    <w:p w:rsidR="00941065" w:rsidRDefault="00941065">
      <w:pPr>
        <w:pStyle w:val="normal0"/>
      </w:pPr>
    </w:p>
    <w:p w:rsidR="00941065" w:rsidRDefault="004B2F15">
      <w:pPr>
        <w:pStyle w:val="normal0"/>
      </w:pPr>
      <w:r>
        <w:t>We estimate the model using the integrated nested Laplace approximation as implemented in the R package INLA (www.r-inla.org,</w:t>
      </w:r>
      <w:r>
        <w:t xml:space="preserve"> Martins et al. 2013). INLA approximates the inverse of the spatial variance-covariance matrix of fixed locations using three large sparse matrices using stochastic partial differential equations (Rue et al. 2009, Ruiz-Cardenas et al. 2012). Estimation of </w:t>
      </w:r>
      <w:r>
        <w:t>the fixed effects is then done via marginal maximum likelihood using the Laplace approximation to approximate the integral across random effects, and random effects are estimated via Empirical Bayes. Using these estimates (and Bayesian priors on fixed effe</w:t>
      </w:r>
      <w:r>
        <w:t>cts), INLA allows Monte Carlo samples to be generated from the posterior distribution, as the Laplace approximation to the marginal likelihood.</w:t>
      </w:r>
    </w:p>
    <w:p w:rsidR="00941065" w:rsidRDefault="004B2F15">
      <w:pPr>
        <w:pStyle w:val="normal0"/>
      </w:pPr>
      <w:r>
        <w:t xml:space="preserve">        </w:t>
      </w:r>
      <w:r>
        <w:tab/>
      </w:r>
    </w:p>
    <w:p w:rsidR="00941065" w:rsidRDefault="004B2F15">
      <w:pPr>
        <w:pStyle w:val="normal0"/>
      </w:pPr>
      <w:r>
        <w:t xml:space="preserve">For each species, we estimated two occurrence models and two positive models.  For each </w:t>
      </w:r>
      <w:proofErr w:type="spellStart"/>
      <w:r>
        <w:t>submodel</w:t>
      </w:r>
      <w:proofErr w:type="spellEnd"/>
      <w:r>
        <w:t>, we e</w:t>
      </w:r>
      <w:r>
        <w:t xml:space="preserve">stimate one model with a single intercept and one with a year-specific intercept. We compare single and year-specific models using posterior predictive plots and deviance information criterion (DIC) and then identified preferred models for each species. </w:t>
      </w:r>
    </w:p>
    <w:p w:rsidR="00941065" w:rsidRDefault="004B2F15">
      <w:pPr>
        <w:pStyle w:val="normal0"/>
      </w:pPr>
      <w:r>
        <w:t xml:space="preserve"> </w:t>
      </w:r>
    </w:p>
    <w:p w:rsidR="00941065" w:rsidRDefault="004B2F15">
      <w:pPr>
        <w:pStyle w:val="normal0"/>
      </w:pPr>
      <w:r>
        <w:rPr>
          <w:i/>
        </w:rPr>
        <w:t>Generating predictive densities for each species</w:t>
      </w:r>
    </w:p>
    <w:p w:rsidR="00941065" w:rsidRDefault="004B2F15">
      <w:pPr>
        <w:pStyle w:val="normal0"/>
      </w:pPr>
      <w:r>
        <w:t>After the two sub-models were estimated for each species, we used the estimated models to generate predicted densities for Gulf of Alaska. We projected our model estimates to the center of 2x2 km grid creat</w:t>
      </w:r>
      <w:r>
        <w:t>ed for the entire Gulf of Alaska (add details of the projection to a supplement). We generated 1,000 Markov Chain Monte Carlo (MCMC) samples from the joint approximate posterior density for each species and for each MCMC sample we predicted a density for e</w:t>
      </w:r>
      <w:r>
        <w:t xml:space="preserve">ach sub-model to the 2x2km grid.  We then combined the occurrence and positive </w:t>
      </w:r>
      <w:r>
        <w:lastRenderedPageBreak/>
        <w:t xml:space="preserve">models to generate an unconditional expectation for CPUE for each grid cell. Using MCMC samples from the full posterior distribution maintains the </w:t>
      </w:r>
      <w:proofErr w:type="spellStart"/>
      <w:r>
        <w:t>spatio</w:t>
      </w:r>
      <w:proofErr w:type="spellEnd"/>
      <w:r>
        <w:t>-temporal correlation st</w:t>
      </w:r>
      <w:r>
        <w:t>ructure of the estimated parameters and random effects and properly accounts for uncertainty in these estimates. Because the occurrence and positive models are estimated independently, we can calculate the unconditional expectation for CPUE of species at t</w:t>
      </w:r>
      <w:r>
        <w:t xml:space="preserve">ime </w:t>
      </w:r>
      <w:r>
        <w:rPr>
          <w:i/>
        </w:rPr>
        <w:t xml:space="preserve">t </w:t>
      </w:r>
      <w:r>
        <w:t xml:space="preserve">and location </w:t>
      </w:r>
      <w:r>
        <w:rPr>
          <w:i/>
        </w:rPr>
        <w:t>s</w:t>
      </w:r>
      <w:r>
        <w:t xml:space="preserve"> by multiplying each MCMC sample from the occurrence and positive model. Specifically, for the </w:t>
      </w:r>
      <w:proofErr w:type="spellStart"/>
      <w:r>
        <w:rPr>
          <w:i/>
        </w:rPr>
        <w:t>g</w:t>
      </w:r>
      <w:r>
        <w:t>th</w:t>
      </w:r>
      <w:proofErr w:type="spellEnd"/>
      <w:r>
        <w:t xml:space="preserve"> MCMC sample, the unconditional CPUE estimate is </w:t>
      </w:r>
      <w:r>
        <w:rPr>
          <w:i/>
        </w:rPr>
        <w:t>π</w:t>
      </w:r>
      <w:proofErr w:type="spellStart"/>
      <w:r>
        <w:rPr>
          <w:i/>
          <w:vertAlign w:val="subscript"/>
        </w:rPr>
        <w:t>it</w:t>
      </w:r>
      <w:r>
        <w:rPr>
          <w:vertAlign w:val="superscript"/>
        </w:rPr>
        <w:t>g</w:t>
      </w:r>
      <w:proofErr w:type="spellEnd"/>
      <w:r>
        <w:t>(</w:t>
      </w:r>
      <w:r>
        <w:rPr>
          <w:i/>
        </w:rPr>
        <w:t>s</w:t>
      </w:r>
      <w:r>
        <w:rPr>
          <w:rFonts w:ascii="Nova Mono" w:eastAsia="Nova Mono" w:hAnsi="Nova Mono" w:cs="Nova Mono"/>
        </w:rPr>
        <w:t xml:space="preserve">) ∙ </w:t>
      </w:r>
      <w:proofErr w:type="spellStart"/>
      <w:r>
        <w:rPr>
          <w:i/>
        </w:rPr>
        <w:t>μ</w:t>
      </w:r>
      <w:r>
        <w:rPr>
          <w:vertAlign w:val="subscript"/>
        </w:rPr>
        <w:t>it</w:t>
      </w:r>
      <w:r>
        <w:rPr>
          <w:vertAlign w:val="superscript"/>
        </w:rPr>
        <w:t>g</w:t>
      </w:r>
      <w:proofErr w:type="spellEnd"/>
      <w:r>
        <w:rPr>
          <w:vertAlign w:val="superscript"/>
        </w:rPr>
        <w:t xml:space="preserve"> </w:t>
      </w:r>
      <w:r>
        <w:t>(</w:t>
      </w:r>
      <w:r>
        <w:rPr>
          <w:i/>
        </w:rPr>
        <w:t>s</w:t>
      </w:r>
      <w:r>
        <w:rPr>
          <w:rFonts w:ascii="Nova Mono" w:eastAsia="Nova Mono" w:hAnsi="Nova Mono" w:cs="Nova Mono"/>
        </w:rPr>
        <w:t xml:space="preserve">) in </w:t>
      </w:r>
      <w:proofErr w:type="gramStart"/>
      <w:r>
        <w:rPr>
          <w:rFonts w:ascii="Nova Mono" w:eastAsia="Nova Mono" w:hAnsi="Nova Mono" w:cs="Nova Mono"/>
        </w:rPr>
        <w:t>units</w:t>
      </w:r>
      <w:proofErr w:type="gramEnd"/>
      <w:r>
        <w:rPr>
          <w:rFonts w:ascii="Nova Mono" w:eastAsia="Nova Mono" w:hAnsi="Nova Mono" w:cs="Nova Mono"/>
        </w:rPr>
        <w:t xml:space="preserve"> kg∙hectare</w:t>
      </w:r>
      <w:r>
        <w:rPr>
          <w:vertAlign w:val="superscript"/>
        </w:rPr>
        <w:t>-1</w:t>
      </w:r>
      <w:r>
        <w:t xml:space="preserve">. </w:t>
      </w:r>
    </w:p>
    <w:p w:rsidR="00941065" w:rsidRDefault="004B2F15">
      <w:pPr>
        <w:pStyle w:val="normal0"/>
      </w:pPr>
      <w:r>
        <w:t xml:space="preserve"> </w:t>
      </w:r>
    </w:p>
    <w:p w:rsidR="00941065" w:rsidRDefault="004B2F15">
      <w:pPr>
        <w:pStyle w:val="normal0"/>
      </w:pPr>
      <w:r>
        <w:rPr>
          <w:i/>
        </w:rPr>
        <w:t>Defining areas for comparison across the Gul</w:t>
      </w:r>
      <w:r>
        <w:rPr>
          <w:i/>
        </w:rPr>
        <w:t>f of Alaska</w:t>
      </w:r>
    </w:p>
    <w:p w:rsidR="00941065" w:rsidRDefault="004B2F15">
      <w:pPr>
        <w:pStyle w:val="normal0"/>
      </w:pPr>
      <w:r>
        <w:t xml:space="preserve">We identified eleven areas across the Gulf of Alaska to compare </w:t>
      </w:r>
      <w:proofErr w:type="spellStart"/>
      <w:r>
        <w:t>groundfish</w:t>
      </w:r>
      <w:proofErr w:type="spellEnd"/>
      <w:r>
        <w:t xml:space="preserve"> communities through time (Fig. 1). Each area represents habitat between 50 and 150m deep divided by natural bathymetric breaks (canyons).  Areas ranged from X to Y km</w:t>
      </w:r>
      <w:r>
        <w:rPr>
          <w:vertAlign w:val="superscript"/>
        </w:rPr>
        <w:t xml:space="preserve">2 </w:t>
      </w:r>
      <w:r>
        <w:t>(</w:t>
      </w:r>
      <w:r>
        <w:t>Table YYY).  We ensured that each area was separated by at least THIS MANY km.</w:t>
      </w:r>
    </w:p>
    <w:p w:rsidR="00941065" w:rsidRDefault="004B2F15">
      <w:pPr>
        <w:pStyle w:val="normal0"/>
      </w:pPr>
      <w:r>
        <w:t xml:space="preserve"> </w:t>
      </w:r>
    </w:p>
    <w:p w:rsidR="00941065" w:rsidRDefault="004B2F15">
      <w:pPr>
        <w:pStyle w:val="normal0"/>
      </w:pPr>
      <w:r>
        <w:rPr>
          <w:i/>
        </w:rPr>
        <w:t>Community metrics</w:t>
      </w:r>
    </w:p>
    <w:p w:rsidR="00941065" w:rsidRDefault="004B2F15">
      <w:pPr>
        <w:pStyle w:val="normal0"/>
      </w:pPr>
      <w:r>
        <w:t xml:space="preserve">For each area, we summarized the </w:t>
      </w:r>
      <w:proofErr w:type="spellStart"/>
      <w:r>
        <w:t>groundfish</w:t>
      </w:r>
      <w:proofErr w:type="spellEnd"/>
      <w:r>
        <w:t xml:space="preserve"> community by constructing 10 community metrics. We summarize the predicted CPUE for each species in each year in </w:t>
      </w:r>
      <w:r>
        <w:t>each region using the MCMC draws for each 2x2 km grid cell.  We then combine information across grid cells within each area to produce a mean estimate (and uncertainty) for CPUE within each area. Thus for each area, we have a time-series of density for eac</w:t>
      </w:r>
      <w:r>
        <w:t xml:space="preserve">h species for survey years </w:t>
      </w:r>
      <w:proofErr w:type="gramStart"/>
      <w:r>
        <w:t>between 1984 to 2015</w:t>
      </w:r>
      <w:proofErr w:type="gramEnd"/>
      <w:r>
        <w:t>. We then combine these species-specific metrics to generate multi-species community metrics for each area in each year (see below). These time-series allow for</w:t>
      </w:r>
    </w:p>
    <w:p w:rsidR="00941065" w:rsidRDefault="004B2F15">
      <w:pPr>
        <w:pStyle w:val="normal0"/>
      </w:pPr>
      <w:r>
        <w:t xml:space="preserve"> </w:t>
      </w:r>
    </w:p>
    <w:p w:rsidR="00941065" w:rsidRDefault="004B2F15">
      <w:pPr>
        <w:pStyle w:val="normal0"/>
      </w:pPr>
      <w:r>
        <w:t xml:space="preserve">Total biomass. </w:t>
      </w:r>
      <w:proofErr w:type="gramStart"/>
      <w:r>
        <w:t>Simple sum of all species in th</w:t>
      </w:r>
      <w:r>
        <w:t>e sample.</w:t>
      </w:r>
      <w:proofErr w:type="gramEnd"/>
    </w:p>
    <w:p w:rsidR="00941065" w:rsidRDefault="004B2F15">
      <w:pPr>
        <w:pStyle w:val="normal0"/>
      </w:pPr>
      <w:r>
        <w:t xml:space="preserve"> </w:t>
      </w:r>
    </w:p>
    <w:p w:rsidR="00941065" w:rsidRDefault="004B2F15">
      <w:pPr>
        <w:pStyle w:val="normal0"/>
      </w:pPr>
      <w:r>
        <w:t>Guild biomass:</w:t>
      </w:r>
    </w:p>
    <w:p w:rsidR="00941065" w:rsidRDefault="00941065">
      <w:pPr>
        <w:pStyle w:val="normal0"/>
      </w:pPr>
    </w:p>
    <w:p w:rsidR="00941065" w:rsidRDefault="004B2F15">
      <w:pPr>
        <w:pStyle w:val="normal0"/>
      </w:pPr>
      <w:r>
        <w:t>Apex predators (</w:t>
      </w:r>
      <w:proofErr w:type="spellStart"/>
      <w:r>
        <w:t>piscivore</w:t>
      </w:r>
      <w:proofErr w:type="spellEnd"/>
      <w:r>
        <w:t xml:space="preserve">), </w:t>
      </w:r>
      <w:proofErr w:type="spellStart"/>
      <w:r>
        <w:t>Benthivore</w:t>
      </w:r>
      <w:proofErr w:type="spellEnd"/>
      <w:r>
        <w:t>, pelagic</w:t>
      </w:r>
    </w:p>
    <w:p w:rsidR="00941065" w:rsidRDefault="004B2F15">
      <w:pPr>
        <w:pStyle w:val="normal0"/>
      </w:pPr>
      <w:r>
        <w:t xml:space="preserve"> </w:t>
      </w:r>
    </w:p>
    <w:p w:rsidR="00941065" w:rsidRDefault="004B2F15">
      <w:pPr>
        <w:pStyle w:val="normal0"/>
      </w:pPr>
      <w:r>
        <w:t>Feeding Groups:</w:t>
      </w:r>
    </w:p>
    <w:p w:rsidR="00941065" w:rsidRDefault="004B2F15">
      <w:pPr>
        <w:pStyle w:val="normal0"/>
      </w:pPr>
      <w:r>
        <w:t xml:space="preserve"> </w:t>
      </w:r>
    </w:p>
    <w:p w:rsidR="00941065" w:rsidRDefault="004B2F15">
      <w:pPr>
        <w:pStyle w:val="normal0"/>
      </w:pPr>
      <w:r>
        <w:t>Taxonomic Groups:</w:t>
      </w:r>
    </w:p>
    <w:p w:rsidR="00941065" w:rsidRDefault="004B2F15">
      <w:pPr>
        <w:pStyle w:val="normal0"/>
      </w:pPr>
      <w:proofErr w:type="gramStart"/>
      <w:r>
        <w:t>Sharks vs. non-Sharks.</w:t>
      </w:r>
      <w:proofErr w:type="gramEnd"/>
    </w:p>
    <w:p w:rsidR="00941065" w:rsidRDefault="004B2F15">
      <w:pPr>
        <w:pStyle w:val="normal0"/>
      </w:pPr>
      <w:r>
        <w:t xml:space="preserve"> </w:t>
      </w:r>
    </w:p>
    <w:p w:rsidR="00941065" w:rsidRDefault="004B2F15">
      <w:pPr>
        <w:pStyle w:val="normal0"/>
      </w:pPr>
      <w:r>
        <w:t>Diversity.</w:t>
      </w:r>
    </w:p>
    <w:p w:rsidR="00941065" w:rsidRDefault="004B2F15">
      <w:pPr>
        <w:pStyle w:val="normal0"/>
      </w:pPr>
      <w:r>
        <w:t>We assessed three biodiversity indices: species richness, Shannon diversity (H’), and Simpson’s index of species dominance (D). We calculated species richness for each area as the summed occurrence of all species in an area. We calculated H’</w:t>
      </w:r>
      <w:r>
        <w:rPr>
          <w:i/>
        </w:rPr>
        <w:t xml:space="preserve"> </w:t>
      </w:r>
      <w:r>
        <w:t xml:space="preserve">as the sum of </w:t>
      </w:r>
      <w:r>
        <w:t>proportional biomass (CPUE) of all species in an area:</w:t>
      </w:r>
      <m:oMath>
        <m:sSup>
          <m:sSupPr>
            <m:ctrlPr>
              <w:rPr>
                <w:rFonts w:ascii="Cambria Math" w:hAnsi="Cambria Math"/>
              </w:rPr>
            </m:ctrlPr>
          </m:sSupPr>
          <m:e>
            <m:r>
              <w:rPr>
                <w:rFonts w:ascii="Cambria Math" w:hAnsi="Cambria Math"/>
              </w:rPr>
              <m:t>H</m:t>
            </m:r>
            <m:r>
              <w:rPr>
                <w:rFonts w:ascii="Cambria Math" w:hAnsi="Cambria Math"/>
              </w:rPr>
              <m:t>'</m:t>
            </m:r>
          </m:e>
          <m:sup/>
        </m:sSup>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ln</m:t>
                </m:r>
                <m:r>
                  <w:rPr>
                    <w:rFonts w:ascii="Cambria Math" w:hAnsi="Cambria Math"/>
                  </w:rPr>
                  <m:t xml:space="preserve"> </m:t>
                </m:r>
                <m:r>
                  <w:rPr>
                    <w:rFonts w:ascii="Cambria Math" w:hAnsi="Cambria Math"/>
                  </w:rPr>
                  <m:t>p</m:t>
                </m:r>
              </m:e>
              <m:sub>
                <m:r>
                  <w:rPr>
                    <w:rFonts w:ascii="Cambria Math" w:hAnsi="Cambria Math"/>
                  </w:rPr>
                  <m:t>i</m:t>
                </m:r>
              </m:sub>
            </m:sSub>
          </m:e>
          <m:sub/>
        </m:sSub>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is the proportional abundance of species </w:t>
      </w:r>
      <m:oMath>
        <m:sSub>
          <m:sSubPr>
            <m:ctrlPr>
              <w:rPr>
                <w:rFonts w:ascii="Cambria Math" w:hAnsi="Cambria Math"/>
                <w:i/>
              </w:rPr>
            </m:ctrlPr>
          </m:sSubPr>
          <m:e>
            <m:r>
              <w:rPr>
                <w:rFonts w:ascii="Cambria Math" w:hAnsi="Cambria Math"/>
              </w:rPr>
              <m:t>i</m:t>
            </m:r>
          </m:e>
          <m:sub/>
        </m:sSub>
      </m:oMath>
      <w:r>
        <w:t xml:space="preserve">in an area. The Simpson’s index was quantified as </w:t>
      </w:r>
      <m:oMath>
        <m:r>
          <w:rPr>
            <w:rFonts w:ascii="Cambria Math" w:hAnsi="Cambria Math"/>
          </w:rPr>
          <m:t>D</m:t>
        </m:r>
        <m:r>
          <w:rPr>
            <w:rFonts w:ascii="Cambria Math" w:hAnsi="Cambria Math"/>
          </w:rPr>
          <m:t>=</m:t>
        </m:r>
        <m:nary>
          <m:naryPr>
            <m:chr m:val="∑"/>
            <m:ctrlPr>
              <w:rPr>
                <w:rFonts w:ascii="Cambria Math" w:hAnsi="Cambria Math"/>
              </w:rPr>
            </m:ctrlPr>
          </m:naryPr>
          <m:sub/>
          <m:sup/>
          <m:e/>
        </m:nary>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2</m:t>
            </m:r>
          </m:sup>
        </m:sSubSup>
      </m:oMath>
      <w:r>
        <w:t>. We converted H’ and D to effective species diversity (or true d</w:t>
      </w:r>
      <w:proofErr w:type="spellStart"/>
      <w:r>
        <w:t>iversity</w:t>
      </w:r>
      <w:proofErr w:type="spellEnd"/>
      <w:r>
        <w:t xml:space="preserve">) by </w:t>
      </w:r>
      <w:proofErr w:type="spellStart"/>
      <w:proofErr w:type="gramStart"/>
      <w:r>
        <w:t>exp</w:t>
      </w:r>
      <w:proofErr w:type="spellEnd"/>
      <w:r>
        <w:t>(</w:t>
      </w:r>
      <w:proofErr w:type="gramEnd"/>
      <w:r>
        <w:t xml:space="preserve">H’) and 1/D, respectively (see </w:t>
      </w:r>
      <w:proofErr w:type="spellStart"/>
      <w:r>
        <w:t>Jost</w:t>
      </w:r>
      <w:proofErr w:type="spellEnd"/>
      <w:r>
        <w:t xml:space="preserve"> papers for rationale in using effective measures. Also need to decide on whether to use occurrence data or biomass data - maybe do both and include some results in supplementary materials). These latter </w:t>
      </w:r>
      <w:r>
        <w:t xml:space="preserve">two diversity metrics were estimated in the R package </w:t>
      </w:r>
      <w:r>
        <w:lastRenderedPageBreak/>
        <w:t>vegan (</w:t>
      </w:r>
      <w:proofErr w:type="spellStart"/>
      <w:r>
        <w:t>Oksanen</w:t>
      </w:r>
      <w:proofErr w:type="spellEnd"/>
      <w:r>
        <w:t xml:space="preserve"> 2016). In addition, we used </w:t>
      </w:r>
      <w:proofErr w:type="spellStart"/>
      <w:r>
        <w:t>Rao’s</w:t>
      </w:r>
      <w:proofErr w:type="spellEnd"/>
      <w:r>
        <w:t xml:space="preserve"> quadratic index (</w:t>
      </w:r>
      <w:proofErr w:type="spellStart"/>
      <w:r>
        <w:t>Rao</w:t>
      </w:r>
      <w:proofErr w:type="spellEnd"/>
      <w:r>
        <w:t xml:space="preserve"> 1982) to quantify the functional and taxonomic diversity of </w:t>
      </w:r>
      <w:proofErr w:type="spellStart"/>
      <w:r>
        <w:t>demersal</w:t>
      </w:r>
      <w:proofErr w:type="spellEnd"/>
      <w:r>
        <w:t xml:space="preserve"> species in each area, using life history and trophic characteri</w:t>
      </w:r>
      <w:r>
        <w:t xml:space="preserve">stics of each species or similar species (supplementary table). </w:t>
      </w:r>
      <w:proofErr w:type="spellStart"/>
      <w:r>
        <w:t>Rao’s</w:t>
      </w:r>
      <w:proofErr w:type="spellEnd"/>
      <w:r>
        <w:t xml:space="preserve"> Q was calculated in the R package XX (ref).</w:t>
      </w:r>
    </w:p>
    <w:p w:rsidR="00941065" w:rsidRDefault="00941065">
      <w:pPr>
        <w:pStyle w:val="normal0"/>
      </w:pPr>
    </w:p>
    <w:p w:rsidR="00941065" w:rsidRDefault="00941065">
      <w:pPr>
        <w:pStyle w:val="normal0"/>
      </w:pPr>
    </w:p>
    <w:p w:rsidR="00941065" w:rsidRDefault="004B2F15">
      <w:pPr>
        <w:pStyle w:val="normal0"/>
      </w:pPr>
      <w:r>
        <w:t xml:space="preserve">Others </w:t>
      </w:r>
    </w:p>
    <w:p w:rsidR="00941065" w:rsidRDefault="004B2F15">
      <w:pPr>
        <w:pStyle w:val="normal0"/>
      </w:pPr>
      <w:r>
        <w:t>Calculate these metrics:</w:t>
      </w:r>
    </w:p>
    <w:p w:rsidR="00941065" w:rsidRDefault="004B2F15">
      <w:pPr>
        <w:pStyle w:val="normal0"/>
      </w:pPr>
      <w:r>
        <w:t>1.     Linear Trend (weighted by inverse of variance)</w:t>
      </w:r>
    </w:p>
    <w:p w:rsidR="00941065" w:rsidRDefault="004B2F15">
      <w:pPr>
        <w:pStyle w:val="normal0"/>
      </w:pPr>
      <w:r>
        <w:t>2.     Grand Mean Density (weighted by inverse of variance)</w:t>
      </w:r>
    </w:p>
    <w:p w:rsidR="00941065" w:rsidRDefault="004B2F15">
      <w:pPr>
        <w:pStyle w:val="normal0"/>
      </w:pPr>
      <w:r>
        <w:t>3.     Temporal Variance around trend in each area</w:t>
      </w:r>
    </w:p>
    <w:p w:rsidR="00941065" w:rsidRDefault="004B2F15">
      <w:pPr>
        <w:pStyle w:val="normal0"/>
      </w:pPr>
      <w:r>
        <w:t>4.     Total variance across area through time</w:t>
      </w:r>
    </w:p>
    <w:p w:rsidR="00941065" w:rsidRDefault="004B2F15">
      <w:pPr>
        <w:pStyle w:val="normal0"/>
      </w:pPr>
      <w:r>
        <w:t xml:space="preserve"> </w:t>
      </w:r>
    </w:p>
    <w:p w:rsidR="00941065" w:rsidRDefault="004B2F15">
      <w:pPr>
        <w:pStyle w:val="normal0"/>
      </w:pPr>
      <w:r>
        <w:t>Plots:</w:t>
      </w:r>
    </w:p>
    <w:p w:rsidR="00941065" w:rsidRDefault="004B2F15">
      <w:pPr>
        <w:pStyle w:val="normal0"/>
      </w:pPr>
      <w:r>
        <w:t xml:space="preserve"> </w:t>
      </w:r>
    </w:p>
    <w:p w:rsidR="00941065" w:rsidRDefault="004B2F15">
      <w:pPr>
        <w:pStyle w:val="normal0"/>
      </w:pPr>
      <w:proofErr w:type="gramStart"/>
      <w:r>
        <w:t>Plot time series for each area</w:t>
      </w:r>
      <w:proofErr w:type="gramEnd"/>
      <w:r>
        <w:t xml:space="preserve"> (highlight areas expected to be most influenced by oil),</w:t>
      </w:r>
      <w:r>
        <w:t xml:space="preserve"> </w:t>
      </w:r>
      <w:proofErr w:type="gramStart"/>
      <w:r>
        <w:t>look for change around 1989</w:t>
      </w:r>
      <w:proofErr w:type="gramEnd"/>
      <w:r>
        <w:t>.</w:t>
      </w:r>
    </w:p>
    <w:p w:rsidR="00941065" w:rsidRDefault="00941065">
      <w:pPr>
        <w:pStyle w:val="normal0"/>
      </w:pPr>
    </w:p>
    <w:p w:rsidR="00941065" w:rsidRDefault="00941065">
      <w:pPr>
        <w:pStyle w:val="normal0"/>
      </w:pPr>
    </w:p>
    <w:p w:rsidR="00941065" w:rsidRDefault="004B2F15">
      <w:pPr>
        <w:pStyle w:val="normal0"/>
      </w:pPr>
      <w:r>
        <w:t xml:space="preserve"> </w:t>
      </w:r>
    </w:p>
    <w:p w:rsidR="00941065" w:rsidRDefault="004B2F15">
      <w:pPr>
        <w:pStyle w:val="normal0"/>
      </w:pPr>
      <w:r>
        <w:rPr>
          <w:noProof/>
        </w:rPr>
        <w:drawing>
          <wp:inline distT="114300" distB="114300" distL="114300" distR="114300">
            <wp:extent cx="5943600" cy="2971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rsidR="00941065" w:rsidRDefault="00941065">
      <w:pPr>
        <w:pStyle w:val="normal0"/>
      </w:pPr>
    </w:p>
    <w:p w:rsidR="00941065" w:rsidRDefault="004B2F15">
      <w:pPr>
        <w:pStyle w:val="normal0"/>
      </w:pPr>
      <w:r>
        <w:t xml:space="preserve">Each of the numbered circles is a shallow area that should have approximately similar fish communities based on physical parameters (50 to 150m) and they were all surveys before the </w:t>
      </w:r>
      <w:proofErr w:type="spellStart"/>
      <w:r>
        <w:t>exxon</w:t>
      </w:r>
      <w:proofErr w:type="spellEnd"/>
      <w:r>
        <w:t xml:space="preserve"> spill (1984 and 1987) and after</w:t>
      </w:r>
      <w:r>
        <w:t xml:space="preserve"> the spill (1990 and on).  They experienced different levels of direct exposure to the oil spill, though. We would expect that oil spill effects would be most intense near the oil (in space and time) and decline as a function of both distance from the spil</w:t>
      </w:r>
      <w:r>
        <w:t xml:space="preserve">l and time since the spill.  So we would expect to see the largest changes at the site number 3,4,5, somewhat less at 2,6,7, and much less at 1,8-11. </w:t>
      </w:r>
    </w:p>
    <w:p w:rsidR="00941065" w:rsidRDefault="004B2F15">
      <w:pPr>
        <w:pStyle w:val="normal0"/>
      </w:pPr>
      <w:r>
        <w:lastRenderedPageBreak/>
        <w:t xml:space="preserve"> </w:t>
      </w:r>
    </w:p>
    <w:p w:rsidR="00941065" w:rsidRDefault="004B2F15">
      <w:pPr>
        <w:pStyle w:val="normal0"/>
      </w:pPr>
      <w:r>
        <w:t xml:space="preserve">How do we measure changes among these areas to look at the effect of the spill? </w:t>
      </w:r>
    </w:p>
    <w:p w:rsidR="00941065" w:rsidRDefault="004B2F15">
      <w:pPr>
        <w:pStyle w:val="normal0"/>
      </w:pPr>
      <w:r>
        <w:t xml:space="preserve"> </w:t>
      </w:r>
    </w:p>
    <w:p w:rsidR="00941065" w:rsidRDefault="004B2F15">
      <w:pPr>
        <w:pStyle w:val="normal0"/>
      </w:pPr>
      <w:r>
        <w:t xml:space="preserve">First we estimate a </w:t>
      </w:r>
      <w:r>
        <w:t>model for the CPUE observed in the AFSC survey for each of 55 species for each year we have data (1984-2015; every 3 years, switch to every other year in 1999).  We then generate a predictive density for each species on a 2x2km grid in each year. So we hav</w:t>
      </w:r>
      <w:r>
        <w:t>e a stack of 57 species distribution models for each location in each year.  Using these predicted densities we can calculate all sorts of community metrics for each spatial location.</w:t>
      </w:r>
    </w:p>
    <w:p w:rsidR="00941065" w:rsidRDefault="004B2F15">
      <w:pPr>
        <w:pStyle w:val="normal0"/>
      </w:pPr>
      <w:r>
        <w:t xml:space="preserve"> </w:t>
      </w:r>
    </w:p>
    <w:p w:rsidR="00941065" w:rsidRDefault="004B2F15">
      <w:pPr>
        <w:pStyle w:val="normal0"/>
      </w:pPr>
      <w:r>
        <w:t>In this paper we focus on one metrics analyzed in several different wa</w:t>
      </w:r>
      <w:r>
        <w:t>ys:</w:t>
      </w:r>
    </w:p>
    <w:p w:rsidR="00941065" w:rsidRDefault="004B2F15">
      <w:pPr>
        <w:pStyle w:val="normal0"/>
      </w:pPr>
      <w:r>
        <w:t>·</w:t>
      </w:r>
      <w:r>
        <w:rPr>
          <w:rFonts w:ascii="Times New Roman" w:eastAsia="Times New Roman" w:hAnsi="Times New Roman" w:cs="Times New Roman"/>
          <w:sz w:val="14"/>
          <w:szCs w:val="14"/>
        </w:rPr>
        <w:t xml:space="preserve">      </w:t>
      </w:r>
      <w:r>
        <w:t>Total biomass</w:t>
      </w:r>
    </w:p>
    <w:p w:rsidR="00941065" w:rsidRDefault="004B2F15">
      <w:pPr>
        <w:pStyle w:val="normal0"/>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r>
        <w:t>By Taxonomy</w:t>
      </w:r>
    </w:p>
    <w:p w:rsidR="00941065" w:rsidRDefault="004B2F15">
      <w:pPr>
        <w:pStyle w:val="normal0"/>
      </w:pPr>
      <w:r>
        <w:t>§</w:t>
      </w:r>
      <w:r>
        <w:rPr>
          <w:rFonts w:ascii="Times New Roman" w:eastAsia="Times New Roman" w:hAnsi="Times New Roman" w:cs="Times New Roman"/>
          <w:sz w:val="14"/>
          <w:szCs w:val="14"/>
        </w:rPr>
        <w:t xml:space="preserve">  </w:t>
      </w:r>
      <w:r>
        <w:t>Fish only (top 54 species)</w:t>
      </w:r>
    </w:p>
    <w:p w:rsidR="00941065" w:rsidRDefault="004B2F15">
      <w:pPr>
        <w:pStyle w:val="normal0"/>
      </w:pPr>
      <w:r>
        <w:t>§</w:t>
      </w:r>
      <w:r>
        <w:rPr>
          <w:rFonts w:ascii="Times New Roman" w:eastAsia="Times New Roman" w:hAnsi="Times New Roman" w:cs="Times New Roman"/>
          <w:sz w:val="14"/>
          <w:szCs w:val="14"/>
        </w:rPr>
        <w:t xml:space="preserve">  </w:t>
      </w:r>
      <w:r>
        <w:t>Fish + common crabs (55 species)</w:t>
      </w:r>
    </w:p>
    <w:p w:rsidR="00941065" w:rsidRDefault="004B2F15">
      <w:pPr>
        <w:pStyle w:val="normal0"/>
      </w:pPr>
      <w:r>
        <w:t>§</w:t>
      </w:r>
      <w:r>
        <w:rPr>
          <w:rFonts w:ascii="Times New Roman" w:eastAsia="Times New Roman" w:hAnsi="Times New Roman" w:cs="Times New Roman"/>
          <w:sz w:val="14"/>
          <w:szCs w:val="14"/>
        </w:rPr>
        <w:t xml:space="preserve">  </w:t>
      </w:r>
      <w:r>
        <w:t>Within Fish</w:t>
      </w:r>
    </w:p>
    <w:p w:rsidR="00941065" w:rsidRDefault="004B2F15">
      <w:pPr>
        <w:pStyle w:val="normal0"/>
      </w:pPr>
      <w:r>
        <w:t>·</w:t>
      </w:r>
      <w:r>
        <w:rPr>
          <w:rFonts w:ascii="Times New Roman" w:eastAsia="Times New Roman" w:hAnsi="Times New Roman" w:cs="Times New Roman"/>
          <w:sz w:val="14"/>
          <w:szCs w:val="14"/>
        </w:rPr>
        <w:t xml:space="preserve">      </w:t>
      </w:r>
      <w:r>
        <w:t>Sharks and allies vs. all others</w:t>
      </w:r>
    </w:p>
    <w:p w:rsidR="00941065" w:rsidRDefault="004B2F15">
      <w:pPr>
        <w:pStyle w:val="normal0"/>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r>
        <w:t>By life-habits</w:t>
      </w:r>
    </w:p>
    <w:p w:rsidR="00941065" w:rsidRDefault="004B2F15">
      <w:pPr>
        <w:pStyle w:val="normal0"/>
      </w:pPr>
      <w:proofErr w:type="gramStart"/>
      <w:r>
        <w:t>§</w:t>
      </w:r>
      <w:r>
        <w:rPr>
          <w:rFonts w:ascii="Times New Roman" w:eastAsia="Times New Roman" w:hAnsi="Times New Roman" w:cs="Times New Roman"/>
          <w:sz w:val="14"/>
          <w:szCs w:val="14"/>
        </w:rPr>
        <w:t xml:space="preserve">  </w:t>
      </w:r>
      <w:r>
        <w:t>Pelagic vs. Benthic.</w:t>
      </w:r>
      <w:proofErr w:type="gramEnd"/>
    </w:p>
    <w:p w:rsidR="00941065" w:rsidRDefault="004B2F15">
      <w:pPr>
        <w:pStyle w:val="normal0"/>
      </w:pPr>
      <w:r>
        <w:t>§</w:t>
      </w:r>
      <w:r>
        <w:rPr>
          <w:rFonts w:ascii="Times New Roman" w:eastAsia="Times New Roman" w:hAnsi="Times New Roman" w:cs="Times New Roman"/>
          <w:sz w:val="14"/>
          <w:szCs w:val="14"/>
        </w:rPr>
        <w:t xml:space="preserve">  </w:t>
      </w:r>
      <w:r>
        <w:t>Functional feeding Groups</w:t>
      </w:r>
    </w:p>
    <w:p w:rsidR="00941065" w:rsidRDefault="004B2F15">
      <w:pPr>
        <w:pStyle w:val="normal0"/>
      </w:pPr>
      <w:r>
        <w:t>·</w:t>
      </w:r>
      <w:r>
        <w:rPr>
          <w:rFonts w:ascii="Times New Roman" w:eastAsia="Times New Roman" w:hAnsi="Times New Roman" w:cs="Times New Roman"/>
          <w:sz w:val="14"/>
          <w:szCs w:val="14"/>
        </w:rPr>
        <w:t xml:space="preserve">      </w:t>
      </w:r>
      <w:proofErr w:type="gramStart"/>
      <w:r>
        <w:t>there</w:t>
      </w:r>
      <w:proofErr w:type="gramEnd"/>
      <w:r>
        <w:t xml:space="preserve"> is some evidence that different groups have different exposure and susceptibility to oil.</w:t>
      </w:r>
    </w:p>
    <w:p w:rsidR="00941065" w:rsidRDefault="004B2F15">
      <w:pPr>
        <w:pStyle w:val="normal0"/>
      </w:pPr>
      <w:r>
        <w:t xml:space="preserve"> </w:t>
      </w:r>
    </w:p>
    <w:p w:rsidR="00941065" w:rsidRDefault="004B2F15">
      <w:pPr>
        <w:pStyle w:val="normal0"/>
      </w:pPr>
      <w:r>
        <w:t xml:space="preserve"> </w:t>
      </w:r>
    </w:p>
    <w:p w:rsidR="00941065" w:rsidRDefault="004B2F15">
      <w:pPr>
        <w:pStyle w:val="normal0"/>
      </w:pPr>
      <w:r>
        <w:t xml:space="preserve">After we have calculated a metric for each location, we can aggregate the predictions across all of the locations within a specified area to come up with a </w:t>
      </w:r>
      <w:r>
        <w:t>spatial mean or median for that metric in that year-area combination.  I’d propose looking at each metric in three ways.</w:t>
      </w:r>
    </w:p>
    <w:p w:rsidR="00941065" w:rsidRDefault="004B2F15">
      <w:pPr>
        <w:pStyle w:val="normal0"/>
      </w:pPr>
      <w:r>
        <w:t xml:space="preserve"> </w:t>
      </w:r>
    </w:p>
    <w:p w:rsidR="00941065" w:rsidRDefault="004B2F15">
      <w:pPr>
        <w:pStyle w:val="normal0"/>
      </w:pPr>
      <w:r>
        <w:t>1.</w:t>
      </w:r>
      <w:r>
        <w:rPr>
          <w:rFonts w:ascii="Times New Roman" w:eastAsia="Times New Roman" w:hAnsi="Times New Roman" w:cs="Times New Roman"/>
          <w:sz w:val="14"/>
          <w:szCs w:val="14"/>
        </w:rPr>
        <w:t xml:space="preserve">     </w:t>
      </w:r>
      <w:r>
        <w:t xml:space="preserve">Treat each area as a </w:t>
      </w:r>
      <w:proofErr w:type="spellStart"/>
      <w:r>
        <w:t>univariate</w:t>
      </w:r>
      <w:proofErr w:type="spellEnd"/>
      <w:r>
        <w:t xml:space="preserve"> time-series for the metric. </w:t>
      </w:r>
    </w:p>
    <w:p w:rsidR="00941065" w:rsidRDefault="004B2F15">
      <w:pPr>
        <w:pStyle w:val="normal0"/>
      </w:pPr>
      <w:r>
        <w:t>a.</w:t>
      </w:r>
      <w:r>
        <w:rPr>
          <w:rFonts w:ascii="Times New Roman" w:eastAsia="Times New Roman" w:hAnsi="Times New Roman" w:cs="Times New Roman"/>
          <w:sz w:val="14"/>
          <w:szCs w:val="14"/>
        </w:rPr>
        <w:t xml:space="preserve">     </w:t>
      </w:r>
      <w:r>
        <w:t>Ask if there is a trend in the metric, or any notable chan</w:t>
      </w:r>
      <w:r>
        <w:t xml:space="preserve">ges at the dates that bracket the spill (1987 </w:t>
      </w:r>
      <w:proofErr w:type="spellStart"/>
      <w:r>
        <w:t>vs</w:t>
      </w:r>
      <w:proofErr w:type="spellEnd"/>
      <w:r>
        <w:t xml:space="preserve"> 1990 or 1993).</w:t>
      </w:r>
    </w:p>
    <w:p w:rsidR="00941065" w:rsidRDefault="004B2F15">
      <w:pPr>
        <w:pStyle w:val="normal0"/>
      </w:pPr>
      <w:r>
        <w:t>b.</w:t>
      </w:r>
      <w:r>
        <w:rPr>
          <w:rFonts w:ascii="Times New Roman" w:eastAsia="Times New Roman" w:hAnsi="Times New Roman" w:cs="Times New Roman"/>
          <w:sz w:val="14"/>
          <w:szCs w:val="14"/>
        </w:rPr>
        <w:t xml:space="preserve">     </w:t>
      </w:r>
      <w:r>
        <w:t>Ask if particular metrics return or diverge from pre-spill values</w:t>
      </w:r>
    </w:p>
    <w:p w:rsidR="00941065" w:rsidRDefault="004B2F15">
      <w:pPr>
        <w:pStyle w:val="normal0"/>
      </w:pPr>
      <w:r>
        <w:t>a.</w:t>
      </w:r>
      <w:r>
        <w:rPr>
          <w:rFonts w:ascii="Times New Roman" w:eastAsia="Times New Roman" w:hAnsi="Times New Roman" w:cs="Times New Roman"/>
          <w:sz w:val="14"/>
          <w:szCs w:val="14"/>
        </w:rPr>
        <w:t xml:space="preserve">     </w:t>
      </w:r>
      <w:r>
        <w:t>Any pattern with sites based on their proximity to the spill</w:t>
      </w:r>
    </w:p>
    <w:p w:rsidR="00941065" w:rsidRDefault="004B2F15">
      <w:pPr>
        <w:pStyle w:val="normal0"/>
      </w:pPr>
      <w:r>
        <w:t>2.</w:t>
      </w:r>
      <w:r>
        <w:rPr>
          <w:rFonts w:ascii="Times New Roman" w:eastAsia="Times New Roman" w:hAnsi="Times New Roman" w:cs="Times New Roman"/>
          <w:sz w:val="14"/>
          <w:szCs w:val="14"/>
        </w:rPr>
        <w:t xml:space="preserve">     </w:t>
      </w:r>
      <w:r>
        <w:t>Look at all areas simultaneously.  Do the ag</w:t>
      </w:r>
      <w:r>
        <w:t>gregate properties across all areas change with the spill</w:t>
      </w:r>
    </w:p>
    <w:p w:rsidR="00941065" w:rsidRDefault="004B2F15">
      <w:pPr>
        <w:pStyle w:val="normal0"/>
      </w:pPr>
      <w:r>
        <w:t>a.</w:t>
      </w:r>
      <w:r>
        <w:rPr>
          <w:rFonts w:ascii="Times New Roman" w:eastAsia="Times New Roman" w:hAnsi="Times New Roman" w:cs="Times New Roman"/>
          <w:sz w:val="14"/>
          <w:szCs w:val="14"/>
        </w:rPr>
        <w:t xml:space="preserve">     </w:t>
      </w:r>
      <w:r>
        <w:t xml:space="preserve">Is there a change in variance among </w:t>
      </w:r>
      <w:proofErr w:type="gramStart"/>
      <w:r>
        <w:t>sites</w:t>
      </w:r>
      <w:proofErr w:type="gramEnd"/>
    </w:p>
    <w:p w:rsidR="00941065" w:rsidRDefault="004B2F15">
      <w:pPr>
        <w:pStyle w:val="normal0"/>
      </w:pPr>
      <w:r>
        <w:t>b.</w:t>
      </w:r>
      <w:r>
        <w:rPr>
          <w:rFonts w:ascii="Times New Roman" w:eastAsia="Times New Roman" w:hAnsi="Times New Roman" w:cs="Times New Roman"/>
          <w:sz w:val="14"/>
          <w:szCs w:val="14"/>
        </w:rPr>
        <w:t xml:space="preserve">     </w:t>
      </w:r>
      <w:r>
        <w:t xml:space="preserve">Does the pairwise correlation between site </w:t>
      </w:r>
      <w:proofErr w:type="gramStart"/>
      <w:r>
        <w:t>change</w:t>
      </w:r>
      <w:proofErr w:type="gramEnd"/>
      <w:r>
        <w:t xml:space="preserve"> in some way?</w:t>
      </w:r>
    </w:p>
    <w:p w:rsidR="00941065" w:rsidRDefault="004B2F15">
      <w:pPr>
        <w:pStyle w:val="normal0"/>
      </w:pPr>
      <w:r>
        <w:t>c.</w:t>
      </w:r>
      <w:r>
        <w:rPr>
          <w:rFonts w:ascii="Times New Roman" w:eastAsia="Times New Roman" w:hAnsi="Times New Roman" w:cs="Times New Roman"/>
          <w:sz w:val="14"/>
          <w:szCs w:val="14"/>
        </w:rPr>
        <w:t xml:space="preserve">      </w:t>
      </w:r>
      <w:r>
        <w:t>Are areas becoming more similar or more distinct post-spill?</w:t>
      </w:r>
    </w:p>
    <w:p w:rsidR="00941065" w:rsidRDefault="00941065">
      <w:pPr>
        <w:pStyle w:val="normal0"/>
      </w:pPr>
    </w:p>
    <w:p w:rsidR="00941065" w:rsidRDefault="00941065">
      <w:pPr>
        <w:pStyle w:val="normal0"/>
      </w:pPr>
    </w:p>
    <w:p w:rsidR="00941065" w:rsidRDefault="004B2F15">
      <w:pPr>
        <w:pStyle w:val="normal0"/>
      </w:pPr>
      <w:r>
        <w:rPr>
          <w:b/>
        </w:rPr>
        <w:t xml:space="preserve">What is </w:t>
      </w:r>
      <w:r>
        <w:rPr>
          <w:b/>
        </w:rPr>
        <w:t xml:space="preserve">done so </w:t>
      </w:r>
      <w:proofErr w:type="gramStart"/>
      <w:r>
        <w:rPr>
          <w:b/>
        </w:rPr>
        <w:t>far:</w:t>
      </w:r>
      <w:proofErr w:type="gramEnd"/>
    </w:p>
    <w:p w:rsidR="00941065" w:rsidRDefault="004B2F15">
      <w:pPr>
        <w:pStyle w:val="normal0"/>
      </w:pPr>
      <w:r>
        <w:t>Work Completed (except where noted)</w:t>
      </w:r>
    </w:p>
    <w:p w:rsidR="00941065" w:rsidRDefault="004B2F15">
      <w:pPr>
        <w:pStyle w:val="normal0"/>
      </w:pPr>
      <w:r>
        <w:t>1.</w:t>
      </w:r>
      <w:r>
        <w:rPr>
          <w:rFonts w:ascii="Times New Roman" w:eastAsia="Times New Roman" w:hAnsi="Times New Roman" w:cs="Times New Roman"/>
          <w:sz w:val="14"/>
          <w:szCs w:val="14"/>
        </w:rPr>
        <w:t xml:space="preserve">     </w:t>
      </w:r>
      <w:r>
        <w:t>Identified the most common fish and mobile invert species</w:t>
      </w:r>
    </w:p>
    <w:p w:rsidR="00941065" w:rsidRDefault="004B2F15">
      <w:pPr>
        <w:pStyle w:val="normal0"/>
      </w:pPr>
      <w:r>
        <w:t>a.</w:t>
      </w:r>
      <w:r>
        <w:rPr>
          <w:rFonts w:ascii="Times New Roman" w:eastAsia="Times New Roman" w:hAnsi="Times New Roman" w:cs="Times New Roman"/>
          <w:sz w:val="14"/>
          <w:szCs w:val="14"/>
        </w:rPr>
        <w:t xml:space="preserve">     </w:t>
      </w:r>
      <w:r>
        <w:t>52 fish</w:t>
      </w:r>
    </w:p>
    <w:p w:rsidR="00941065" w:rsidRDefault="004B2F15">
      <w:pPr>
        <w:pStyle w:val="normal0"/>
      </w:pPr>
      <w:r>
        <w:rPr>
          <w:rFonts w:ascii="Times New Roman" w:eastAsia="Times New Roman" w:hAnsi="Times New Roman" w:cs="Times New Roman"/>
          <w:sz w:val="14"/>
          <w:szCs w:val="14"/>
        </w:rPr>
        <w:t xml:space="preserve">          I. </w:t>
      </w:r>
      <w:proofErr w:type="gramStart"/>
      <w:r>
        <w:t>also</w:t>
      </w:r>
      <w:proofErr w:type="gramEnd"/>
      <w:r>
        <w:t xml:space="preserve"> did 6 species of abundant fish divided into “large” and “small” categories (20 cm break for all based on </w:t>
      </w:r>
      <w:proofErr w:type="spellStart"/>
      <w:r>
        <w:t>EcoP</w:t>
      </w:r>
      <w:r>
        <w:t>ath</w:t>
      </w:r>
      <w:proofErr w:type="spellEnd"/>
      <w:r>
        <w:t xml:space="preserve"> model).</w:t>
      </w:r>
    </w:p>
    <w:p w:rsidR="00941065" w:rsidRDefault="004B2F15">
      <w:pPr>
        <w:pStyle w:val="normal0"/>
      </w:pPr>
      <w:proofErr w:type="gramStart"/>
      <w:r>
        <w:lastRenderedPageBreak/>
        <w:t>b.</w:t>
      </w:r>
      <w:r>
        <w:rPr>
          <w:rFonts w:ascii="Times New Roman" w:eastAsia="Times New Roman" w:hAnsi="Times New Roman" w:cs="Times New Roman"/>
          <w:sz w:val="14"/>
          <w:szCs w:val="14"/>
        </w:rPr>
        <w:t xml:space="preserve">     </w:t>
      </w:r>
      <w:r>
        <w:t>3 crab</w:t>
      </w:r>
      <w:proofErr w:type="gramEnd"/>
    </w:p>
    <w:p w:rsidR="00941065" w:rsidRDefault="004B2F15">
      <w:pPr>
        <w:pStyle w:val="normal0"/>
      </w:pPr>
      <w:r>
        <w:t>2.</w:t>
      </w:r>
      <w:r>
        <w:rPr>
          <w:rFonts w:ascii="Times New Roman" w:eastAsia="Times New Roman" w:hAnsi="Times New Roman" w:cs="Times New Roman"/>
          <w:sz w:val="14"/>
          <w:szCs w:val="14"/>
        </w:rPr>
        <w:t xml:space="preserve">     </w:t>
      </w:r>
      <w:r>
        <w:t>Fit several occurrence and abundance model for each.</w:t>
      </w:r>
    </w:p>
    <w:p w:rsidR="00941065" w:rsidRDefault="004B2F15">
      <w:pPr>
        <w:pStyle w:val="normal0"/>
      </w:pPr>
      <w:r>
        <w:t>a.</w:t>
      </w:r>
      <w:r>
        <w:rPr>
          <w:rFonts w:ascii="Times New Roman" w:eastAsia="Times New Roman" w:hAnsi="Times New Roman" w:cs="Times New Roman"/>
          <w:sz w:val="14"/>
          <w:szCs w:val="14"/>
        </w:rPr>
        <w:t xml:space="preserve">     </w:t>
      </w:r>
      <w:r>
        <w:t>Compared several models, picked a favorite.</w:t>
      </w:r>
    </w:p>
    <w:p w:rsidR="00941065" w:rsidRDefault="004B2F15">
      <w:pPr>
        <w:pStyle w:val="normal0"/>
      </w:pPr>
      <w:r>
        <w:rPr>
          <w:rFonts w:ascii="Times New Roman" w:eastAsia="Times New Roman" w:hAnsi="Times New Roman" w:cs="Times New Roman"/>
          <w:sz w:val="14"/>
          <w:szCs w:val="14"/>
        </w:rPr>
        <w:t xml:space="preserve">           I. </w:t>
      </w:r>
      <w:r>
        <w:t>Only used depth as a fixed covariate (bottom temperature proved inconvenient)</w:t>
      </w:r>
    </w:p>
    <w:p w:rsidR="00941065" w:rsidRDefault="004B2F15">
      <w:pPr>
        <w:pStyle w:val="normal0"/>
      </w:pPr>
      <w:r>
        <w:t>b.</w:t>
      </w:r>
      <w:r>
        <w:rPr>
          <w:rFonts w:ascii="Times New Roman" w:eastAsia="Times New Roman" w:hAnsi="Times New Roman" w:cs="Times New Roman"/>
          <w:sz w:val="14"/>
          <w:szCs w:val="14"/>
        </w:rPr>
        <w:t xml:space="preserve">     </w:t>
      </w:r>
      <w:r>
        <w:t>Saved model objects</w:t>
      </w:r>
    </w:p>
    <w:p w:rsidR="00941065" w:rsidRDefault="004B2F15">
      <w:pPr>
        <w:pStyle w:val="normal0"/>
      </w:pPr>
      <w:r>
        <w:t>3.</w:t>
      </w:r>
      <w:r>
        <w:rPr>
          <w:rFonts w:ascii="Times New Roman" w:eastAsia="Times New Roman" w:hAnsi="Times New Roman" w:cs="Times New Roman"/>
          <w:sz w:val="14"/>
          <w:szCs w:val="14"/>
        </w:rPr>
        <w:t xml:space="preserve">     </w:t>
      </w:r>
      <w:r>
        <w:t>Resampled from these estimated models to generate predictions for locations on a 2x2km grid in the Gulf of Alaska for each species (with uncertainty)</w:t>
      </w:r>
    </w:p>
    <w:p w:rsidR="00941065" w:rsidRDefault="004B2F15">
      <w:pPr>
        <w:pStyle w:val="normal0"/>
      </w:pPr>
      <w:r>
        <w:t>a.</w:t>
      </w:r>
      <w:r>
        <w:rPr>
          <w:rFonts w:ascii="Times New Roman" w:eastAsia="Times New Roman" w:hAnsi="Times New Roman" w:cs="Times New Roman"/>
          <w:sz w:val="14"/>
          <w:szCs w:val="14"/>
        </w:rPr>
        <w:t xml:space="preserve">     </w:t>
      </w:r>
      <w:r>
        <w:t>Made maps for each species</w:t>
      </w:r>
    </w:p>
    <w:p w:rsidR="00941065" w:rsidRDefault="004B2F15">
      <w:pPr>
        <w:pStyle w:val="normal0"/>
      </w:pPr>
      <w:r>
        <w:t>b.</w:t>
      </w:r>
      <w:r>
        <w:rPr>
          <w:rFonts w:ascii="Times New Roman" w:eastAsia="Times New Roman" w:hAnsi="Times New Roman" w:cs="Times New Roman"/>
          <w:sz w:val="14"/>
          <w:szCs w:val="14"/>
        </w:rPr>
        <w:t xml:space="preserve">     </w:t>
      </w:r>
      <w:r>
        <w:t>Made maps for aggregate quantities</w:t>
      </w:r>
    </w:p>
    <w:p w:rsidR="00941065" w:rsidRDefault="004B2F15">
      <w:pPr>
        <w:pStyle w:val="normal0"/>
      </w:pPr>
      <w:r>
        <w:rPr>
          <w:rFonts w:ascii="Times New Roman" w:eastAsia="Times New Roman" w:hAnsi="Times New Roman" w:cs="Times New Roman"/>
          <w:sz w:val="14"/>
          <w:szCs w:val="14"/>
        </w:rPr>
        <w:t xml:space="preserve">                                               </w:t>
      </w:r>
      <w:proofErr w:type="spellStart"/>
      <w:r>
        <w:t>i</w:t>
      </w:r>
      <w:proofErr w:type="spell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Total biomass</w:t>
      </w:r>
    </w:p>
    <w:p w:rsidR="00941065" w:rsidRDefault="004B2F15">
      <w:pPr>
        <w:pStyle w:val="normal0"/>
      </w:pPr>
      <w:r>
        <w:t>1.</w:t>
      </w:r>
      <w:r>
        <w:rPr>
          <w:rFonts w:ascii="Times New Roman" w:eastAsia="Times New Roman" w:hAnsi="Times New Roman" w:cs="Times New Roman"/>
          <w:sz w:val="14"/>
          <w:szCs w:val="14"/>
        </w:rPr>
        <w:t xml:space="preserve">     </w:t>
      </w:r>
      <w:r>
        <w:t>All</w:t>
      </w:r>
    </w:p>
    <w:p w:rsidR="00941065" w:rsidRDefault="004B2F15">
      <w:pPr>
        <w:pStyle w:val="normal0"/>
      </w:pPr>
      <w:r>
        <w:t>2.</w:t>
      </w:r>
      <w:r>
        <w:rPr>
          <w:rFonts w:ascii="Times New Roman" w:eastAsia="Times New Roman" w:hAnsi="Times New Roman" w:cs="Times New Roman"/>
          <w:sz w:val="14"/>
          <w:szCs w:val="14"/>
        </w:rPr>
        <w:t xml:space="preserve">     </w:t>
      </w:r>
      <w:r>
        <w:t>Fish only</w:t>
      </w:r>
    </w:p>
    <w:p w:rsidR="00941065" w:rsidRDefault="004B2F15">
      <w:pPr>
        <w:pStyle w:val="normal0"/>
      </w:pPr>
      <w:r>
        <w:t>3.</w:t>
      </w:r>
      <w:r>
        <w:rPr>
          <w:rFonts w:ascii="Times New Roman" w:eastAsia="Times New Roman" w:hAnsi="Times New Roman" w:cs="Times New Roman"/>
          <w:sz w:val="14"/>
          <w:szCs w:val="14"/>
        </w:rPr>
        <w:t xml:space="preserve">     </w:t>
      </w:r>
      <w:r>
        <w:t>Cartilage vs. Boney</w:t>
      </w:r>
    </w:p>
    <w:p w:rsidR="00941065" w:rsidRDefault="004B2F15">
      <w:pPr>
        <w:pStyle w:val="normal0"/>
      </w:pPr>
      <w:proofErr w:type="gramStart"/>
      <w:r>
        <w:t>4.</w:t>
      </w:r>
      <w:r>
        <w:rPr>
          <w:rFonts w:ascii="Times New Roman" w:eastAsia="Times New Roman" w:hAnsi="Times New Roman" w:cs="Times New Roman"/>
          <w:sz w:val="14"/>
          <w:szCs w:val="14"/>
        </w:rPr>
        <w:t xml:space="preserve">     </w:t>
      </w:r>
      <w:r>
        <w:t>Pelagic vs. Benthic</w:t>
      </w:r>
      <w:proofErr w:type="gramEnd"/>
    </w:p>
    <w:p w:rsidR="00941065" w:rsidRDefault="004B2F15">
      <w:pPr>
        <w:pStyle w:val="normal0"/>
      </w:pPr>
      <w:r>
        <w:t>5.</w:t>
      </w:r>
      <w:r>
        <w:rPr>
          <w:rFonts w:ascii="Times New Roman" w:eastAsia="Times New Roman" w:hAnsi="Times New Roman" w:cs="Times New Roman"/>
          <w:sz w:val="14"/>
          <w:szCs w:val="14"/>
        </w:rPr>
        <w:t xml:space="preserve">     </w:t>
      </w:r>
      <w:r>
        <w:rPr>
          <w:highlight w:val="yellow"/>
        </w:rPr>
        <w:t>To do:</w:t>
      </w:r>
    </w:p>
    <w:p w:rsidR="00941065" w:rsidRDefault="004B2F15">
      <w:pPr>
        <w:pStyle w:val="normal0"/>
      </w:pPr>
      <w:r>
        <w:t>a.</w:t>
      </w:r>
      <w:r>
        <w:rPr>
          <w:rFonts w:ascii="Times New Roman" w:eastAsia="Times New Roman" w:hAnsi="Times New Roman" w:cs="Times New Roman"/>
          <w:sz w:val="14"/>
          <w:szCs w:val="14"/>
        </w:rPr>
        <w:t xml:space="preserve">     </w:t>
      </w:r>
      <w:r>
        <w:t>Feeding categories.</w:t>
      </w:r>
    </w:p>
    <w:p w:rsidR="00941065" w:rsidRDefault="004B2F15">
      <w:pPr>
        <w:pStyle w:val="normal0"/>
      </w:pPr>
      <w:r>
        <w:t>b.</w:t>
      </w:r>
      <w:r>
        <w:rPr>
          <w:rFonts w:ascii="Times New Roman" w:eastAsia="Times New Roman" w:hAnsi="Times New Roman" w:cs="Times New Roman"/>
          <w:sz w:val="14"/>
          <w:szCs w:val="14"/>
        </w:rPr>
        <w:t xml:space="preserve">     </w:t>
      </w:r>
      <w:r>
        <w:t>Other functional traits.</w:t>
      </w:r>
    </w:p>
    <w:p w:rsidR="00941065" w:rsidRDefault="004B2F15">
      <w:pPr>
        <w:pStyle w:val="normal0"/>
      </w:pPr>
      <w:r>
        <w:t>4.</w:t>
      </w:r>
      <w:r>
        <w:rPr>
          <w:rFonts w:ascii="Times New Roman" w:eastAsia="Times New Roman" w:hAnsi="Times New Roman" w:cs="Times New Roman"/>
          <w:sz w:val="14"/>
          <w:szCs w:val="14"/>
        </w:rPr>
        <w:t xml:space="preserve">     </w:t>
      </w:r>
      <w:r>
        <w:t>Identified 11 areas with simi</w:t>
      </w:r>
      <w:r>
        <w:t>lar attributes to calculate index-standardized measures of abundance of each species.</w:t>
      </w:r>
    </w:p>
    <w:p w:rsidR="00941065" w:rsidRDefault="004B2F15">
      <w:pPr>
        <w:pStyle w:val="normal0"/>
      </w:pPr>
      <w:r>
        <w:t>a.</w:t>
      </w:r>
      <w:r>
        <w:rPr>
          <w:rFonts w:ascii="Times New Roman" w:eastAsia="Times New Roman" w:hAnsi="Times New Roman" w:cs="Times New Roman"/>
          <w:sz w:val="14"/>
          <w:szCs w:val="14"/>
        </w:rPr>
        <w:t xml:space="preserve">     </w:t>
      </w:r>
      <w:r>
        <w:t xml:space="preserve">Started creating </w:t>
      </w:r>
      <w:proofErr w:type="spellStart"/>
      <w:r>
        <w:t>univariate</w:t>
      </w:r>
      <w:proofErr w:type="spellEnd"/>
      <w:r>
        <w:t xml:space="preserve"> summaries of each site through time for aggregate measures.</w:t>
      </w:r>
    </w:p>
    <w:p w:rsidR="00941065" w:rsidRDefault="004B2F15">
      <w:pPr>
        <w:pStyle w:val="normal0"/>
      </w:pPr>
      <w:r>
        <w:t>b.</w:t>
      </w:r>
      <w:r>
        <w:rPr>
          <w:rFonts w:ascii="Times New Roman" w:eastAsia="Times New Roman" w:hAnsi="Times New Roman" w:cs="Times New Roman"/>
          <w:sz w:val="14"/>
          <w:szCs w:val="14"/>
        </w:rPr>
        <w:t xml:space="preserve">     </w:t>
      </w:r>
      <w:r>
        <w:t xml:space="preserve">Need to work up true </w:t>
      </w:r>
      <w:proofErr w:type="spellStart"/>
      <w:r>
        <w:t>portolio</w:t>
      </w:r>
      <w:proofErr w:type="spellEnd"/>
      <w:r>
        <w:t xml:space="preserve"> metrics</w:t>
      </w:r>
    </w:p>
    <w:p w:rsidR="00941065" w:rsidRDefault="004B2F15">
      <w:pPr>
        <w:pStyle w:val="normal0"/>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proofErr w:type="spellStart"/>
      <w:r>
        <w:t>i</w:t>
      </w:r>
      <w:proofErr w:type="spell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Variance, other metrics</w:t>
      </w:r>
    </w:p>
    <w:p w:rsidR="00941065" w:rsidRDefault="004B2F15">
      <w:pPr>
        <w:pStyle w:val="normal0"/>
      </w:pPr>
      <w:r>
        <w:t>c.</w:t>
      </w:r>
      <w:r>
        <w:rPr>
          <w:rFonts w:ascii="Times New Roman" w:eastAsia="Times New Roman" w:hAnsi="Times New Roman" w:cs="Times New Roman"/>
          <w:sz w:val="14"/>
          <w:szCs w:val="14"/>
        </w:rPr>
        <w:t xml:space="preserve">      </w:t>
      </w:r>
      <w:r>
        <w:t>To Do:</w:t>
      </w:r>
    </w:p>
    <w:p w:rsidR="00941065" w:rsidRDefault="004B2F15">
      <w:pPr>
        <w:pStyle w:val="normal0"/>
      </w:pPr>
      <w:r>
        <w:rPr>
          <w:rFonts w:ascii="Cambria" w:eastAsia="Cambria" w:hAnsi="Cambria" w:cs="Cambria"/>
          <w:sz w:val="24"/>
          <w:szCs w:val="24"/>
        </w:rPr>
        <w:t>Assess whether we like the areas I chose or should add some.</w:t>
      </w:r>
    </w:p>
    <w:p w:rsidR="00941065" w:rsidRDefault="00941065">
      <w:pPr>
        <w:pStyle w:val="normal0"/>
      </w:pPr>
    </w:p>
    <w:p w:rsidR="00941065" w:rsidRDefault="004B2F15">
      <w:pPr>
        <w:pStyle w:val="normal0"/>
      </w:pPr>
      <w:r>
        <w:rPr>
          <w:rFonts w:ascii="Cambria" w:eastAsia="Cambria" w:hAnsi="Cambria" w:cs="Cambria"/>
          <w:b/>
          <w:sz w:val="24"/>
          <w:szCs w:val="24"/>
        </w:rPr>
        <w:t>References</w:t>
      </w:r>
    </w:p>
    <w:p w:rsidR="00941065" w:rsidRDefault="00941065">
      <w:pPr>
        <w:pStyle w:val="normal0"/>
      </w:pPr>
    </w:p>
    <w:p w:rsidR="00941065" w:rsidRDefault="004B2F15">
      <w:pPr>
        <w:pStyle w:val="normal0"/>
        <w:spacing w:after="240" w:line="240" w:lineRule="auto"/>
      </w:pPr>
      <w:proofErr w:type="spellStart"/>
      <w:proofErr w:type="gramStart"/>
      <w:r>
        <w:rPr>
          <w:rFonts w:ascii="Times New Roman" w:eastAsia="Times New Roman" w:hAnsi="Times New Roman" w:cs="Times New Roman"/>
          <w:sz w:val="24"/>
          <w:szCs w:val="24"/>
        </w:rPr>
        <w:t>Aydin</w:t>
      </w:r>
      <w:proofErr w:type="spellEnd"/>
      <w:r>
        <w:rPr>
          <w:rFonts w:ascii="Times New Roman" w:eastAsia="Times New Roman" w:hAnsi="Times New Roman" w:cs="Times New Roman"/>
          <w:sz w:val="24"/>
          <w:szCs w:val="24"/>
        </w:rPr>
        <w:t xml:space="preserve">, K., S. </w:t>
      </w:r>
      <w:proofErr w:type="spellStart"/>
      <w:r>
        <w:rPr>
          <w:rFonts w:ascii="Times New Roman" w:eastAsia="Times New Roman" w:hAnsi="Times New Roman" w:cs="Times New Roman"/>
          <w:sz w:val="24"/>
          <w:szCs w:val="24"/>
        </w:rPr>
        <w:t>Gaichas</w:t>
      </w:r>
      <w:proofErr w:type="spellEnd"/>
      <w:r>
        <w:rPr>
          <w:rFonts w:ascii="Times New Roman" w:eastAsia="Times New Roman" w:hAnsi="Times New Roman" w:cs="Times New Roman"/>
          <w:sz w:val="24"/>
          <w:szCs w:val="24"/>
        </w:rPr>
        <w:t xml:space="preserve">, I. Ortiz, D. </w:t>
      </w:r>
      <w:proofErr w:type="spellStart"/>
      <w:r>
        <w:rPr>
          <w:rFonts w:ascii="Times New Roman" w:eastAsia="Times New Roman" w:hAnsi="Times New Roman" w:cs="Times New Roman"/>
          <w:sz w:val="24"/>
          <w:szCs w:val="24"/>
        </w:rPr>
        <w:t>Kinzey</w:t>
      </w:r>
      <w:proofErr w:type="spellEnd"/>
      <w:r>
        <w:rPr>
          <w:rFonts w:ascii="Times New Roman" w:eastAsia="Times New Roman" w:hAnsi="Times New Roman" w:cs="Times New Roman"/>
          <w:sz w:val="24"/>
          <w:szCs w:val="24"/>
        </w:rPr>
        <w:t>, and N. Friday.</w:t>
      </w:r>
      <w:proofErr w:type="gramEnd"/>
      <w:r>
        <w:rPr>
          <w:rFonts w:ascii="Times New Roman" w:eastAsia="Times New Roman" w:hAnsi="Times New Roman" w:cs="Times New Roman"/>
          <w:sz w:val="24"/>
          <w:szCs w:val="24"/>
        </w:rPr>
        <w:t xml:space="preserve"> 2007. A comparison of the Bering Sea, Gulf of Alaska, and Aleut</w:t>
      </w:r>
      <w:r>
        <w:rPr>
          <w:rFonts w:ascii="Times New Roman" w:eastAsia="Times New Roman" w:hAnsi="Times New Roman" w:cs="Times New Roman"/>
          <w:sz w:val="24"/>
          <w:szCs w:val="24"/>
        </w:rPr>
        <w:t xml:space="preserve">ian Islands large marine ecosystems through food web modeling. U.S. Dep. </w:t>
      </w:r>
      <w:proofErr w:type="spellStart"/>
      <w:r>
        <w:rPr>
          <w:rFonts w:ascii="Times New Roman" w:eastAsia="Times New Roman" w:hAnsi="Times New Roman" w:cs="Times New Roman"/>
          <w:sz w:val="24"/>
          <w:szCs w:val="24"/>
        </w:rPr>
        <w:t>Commer</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NOAA Tech. Memo. </w:t>
      </w:r>
      <w:proofErr w:type="gramStart"/>
      <w:r>
        <w:rPr>
          <w:rFonts w:ascii="Times New Roman" w:eastAsia="Times New Roman" w:hAnsi="Times New Roman" w:cs="Times New Roman"/>
          <w:sz w:val="24"/>
          <w:szCs w:val="24"/>
        </w:rPr>
        <w:t>NMFS-AFSC-178, 298 p.</w:t>
      </w:r>
      <w:proofErr w:type="gramEnd"/>
    </w:p>
    <w:p w:rsidR="00941065" w:rsidRDefault="004B2F15">
      <w:pPr>
        <w:pStyle w:val="normal0"/>
        <w:spacing w:after="240" w:line="240" w:lineRule="auto"/>
      </w:pPr>
      <w:r>
        <w:rPr>
          <w:rFonts w:ascii="Times New Roman" w:eastAsia="Times New Roman" w:hAnsi="Times New Roman" w:cs="Times New Roman"/>
          <w:sz w:val="24"/>
          <w:szCs w:val="24"/>
        </w:rPr>
        <w:t xml:space="preserve">Stauffer G (2004) NOAA protocols for </w:t>
      </w:r>
      <w:proofErr w:type="spellStart"/>
      <w:r>
        <w:rPr>
          <w:rFonts w:ascii="Times New Roman" w:eastAsia="Times New Roman" w:hAnsi="Times New Roman" w:cs="Times New Roman"/>
          <w:sz w:val="24"/>
          <w:szCs w:val="24"/>
        </w:rPr>
        <w:t>groundfish</w:t>
      </w:r>
      <w:proofErr w:type="spellEnd"/>
      <w:r>
        <w:rPr>
          <w:rFonts w:ascii="Times New Roman" w:eastAsia="Times New Roman" w:hAnsi="Times New Roman" w:cs="Times New Roman"/>
          <w:sz w:val="24"/>
          <w:szCs w:val="24"/>
        </w:rPr>
        <w:t xml:space="preserve"> bottom trawl surveys of the nation’s fishery resources. NOAA Tech. Memo. NMFS-F/SPO-65.</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 Department of Commerce, Washington, D.C., USA.</w:t>
      </w:r>
      <w:proofErr w:type="gramEnd"/>
    </w:p>
    <w:p w:rsidR="00941065" w:rsidRDefault="004B2F15">
      <w:pPr>
        <w:pStyle w:val="normal0"/>
        <w:spacing w:after="240" w:line="240" w:lineRule="auto"/>
      </w:pPr>
      <w:r>
        <w:rPr>
          <w:rFonts w:ascii="Times New Roman" w:eastAsia="Times New Roman" w:hAnsi="Times New Roman" w:cs="Times New Roman"/>
          <w:sz w:val="24"/>
          <w:szCs w:val="24"/>
        </w:rPr>
        <w:t xml:space="preserve">Armistead CE, Nichol DG (1993) Bottom trawl survey of the eastern Bering Sea continental shelf. NOAA Tech. Memo. NMFS AFSC-7. </w:t>
      </w:r>
      <w:proofErr w:type="gramStart"/>
      <w:r>
        <w:rPr>
          <w:rFonts w:ascii="Times New Roman" w:eastAsia="Times New Roman" w:hAnsi="Times New Roman" w:cs="Times New Roman"/>
          <w:sz w:val="24"/>
          <w:szCs w:val="24"/>
        </w:rPr>
        <w:t>US Department of Commerce, Seattle, WA.</w:t>
      </w:r>
      <w:proofErr w:type="gramEnd"/>
    </w:p>
    <w:p w:rsidR="00941065" w:rsidRDefault="004B2F15">
      <w:pPr>
        <w:pStyle w:val="normal0"/>
        <w:spacing w:after="240" w:line="240" w:lineRule="auto"/>
      </w:pPr>
      <w:proofErr w:type="spellStart"/>
      <w:r>
        <w:rPr>
          <w:rFonts w:ascii="Times New Roman" w:eastAsia="Times New Roman" w:hAnsi="Times New Roman" w:cs="Times New Roman"/>
          <w:sz w:val="24"/>
          <w:szCs w:val="24"/>
        </w:rPr>
        <w:t>Doroff</w:t>
      </w:r>
      <w:proofErr w:type="spellEnd"/>
      <w:r>
        <w:rPr>
          <w:rFonts w:ascii="Times New Roman" w:eastAsia="Times New Roman" w:hAnsi="Times New Roman" w:cs="Times New Roman"/>
          <w:sz w:val="24"/>
          <w:szCs w:val="24"/>
        </w:rPr>
        <w:t xml:space="preserve">, A. M., A. R. </w:t>
      </w:r>
      <w:proofErr w:type="spellStart"/>
      <w:r>
        <w:rPr>
          <w:rFonts w:ascii="Times New Roman" w:eastAsia="Times New Roman" w:hAnsi="Times New Roman" w:cs="Times New Roman"/>
          <w:sz w:val="24"/>
          <w:szCs w:val="24"/>
        </w:rPr>
        <w:t>DeGange</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Lens</w:t>
      </w:r>
      <w:r>
        <w:rPr>
          <w:rFonts w:ascii="Times New Roman" w:eastAsia="Times New Roman" w:hAnsi="Times New Roman" w:cs="Times New Roman"/>
          <w:sz w:val="24"/>
          <w:szCs w:val="24"/>
        </w:rPr>
        <w:t>ink</w:t>
      </w:r>
      <w:proofErr w:type="spellEnd"/>
      <w:r>
        <w:rPr>
          <w:rFonts w:ascii="Times New Roman" w:eastAsia="Times New Roman" w:hAnsi="Times New Roman" w:cs="Times New Roman"/>
          <w:sz w:val="24"/>
          <w:szCs w:val="24"/>
        </w:rPr>
        <w:t xml:space="preserve">, B. E. </w:t>
      </w:r>
      <w:proofErr w:type="spellStart"/>
      <w:r>
        <w:rPr>
          <w:rFonts w:ascii="Times New Roman" w:eastAsia="Times New Roman" w:hAnsi="Times New Roman" w:cs="Times New Roman"/>
          <w:sz w:val="24"/>
          <w:szCs w:val="24"/>
        </w:rPr>
        <w:t>Ballachey</w:t>
      </w:r>
      <w:proofErr w:type="spellEnd"/>
      <w:r>
        <w:rPr>
          <w:rFonts w:ascii="Times New Roman" w:eastAsia="Times New Roman" w:hAnsi="Times New Roman" w:cs="Times New Roman"/>
          <w:sz w:val="24"/>
          <w:szCs w:val="24"/>
        </w:rPr>
        <w:t xml:space="preserve">, J. L. Bodkin, and D. </w:t>
      </w:r>
      <w:proofErr w:type="spellStart"/>
      <w:r>
        <w:rPr>
          <w:rFonts w:ascii="Times New Roman" w:eastAsia="Times New Roman" w:hAnsi="Times New Roman" w:cs="Times New Roman"/>
          <w:sz w:val="24"/>
          <w:szCs w:val="24"/>
        </w:rPr>
        <w:t>Bruden</w:t>
      </w:r>
      <w:proofErr w:type="spellEnd"/>
      <w:r>
        <w:rPr>
          <w:rFonts w:ascii="Times New Roman" w:eastAsia="Times New Roman" w:hAnsi="Times New Roman" w:cs="Times New Roman"/>
          <w:sz w:val="24"/>
          <w:szCs w:val="24"/>
        </w:rPr>
        <w:t xml:space="preserve">. 1993. Recovery of sea otter carcasses following the Exxon Valdez oil spill. Pages 285–288 in Exxon Valdez oil spill symposium abstracts. </w:t>
      </w:r>
      <w:proofErr w:type="gramStart"/>
      <w:r>
        <w:rPr>
          <w:rFonts w:ascii="Times New Roman" w:eastAsia="Times New Roman" w:hAnsi="Times New Roman" w:cs="Times New Roman"/>
          <w:sz w:val="24"/>
          <w:szCs w:val="24"/>
        </w:rPr>
        <w:t>February 2–5, 1993, Anchorage, Alaska.</w:t>
      </w:r>
      <w:proofErr w:type="gramEnd"/>
    </w:p>
    <w:p w:rsidR="00941065" w:rsidRDefault="004B2F15">
      <w:pPr>
        <w:pStyle w:val="normal0"/>
        <w:spacing w:after="240" w:line="240" w:lineRule="auto"/>
      </w:pPr>
      <w:proofErr w:type="spellStart"/>
      <w:r>
        <w:rPr>
          <w:rFonts w:ascii="Times New Roman" w:eastAsia="Times New Roman" w:hAnsi="Times New Roman" w:cs="Times New Roman"/>
          <w:sz w:val="24"/>
          <w:szCs w:val="24"/>
        </w:rPr>
        <w:t>Thiago</w:t>
      </w:r>
      <w:proofErr w:type="spellEnd"/>
      <w:r>
        <w:rPr>
          <w:rFonts w:ascii="Times New Roman" w:eastAsia="Times New Roman" w:hAnsi="Times New Roman" w:cs="Times New Roman"/>
          <w:sz w:val="24"/>
          <w:szCs w:val="24"/>
        </w:rPr>
        <w:t xml:space="preserve"> G. Martins, Daniel Simpson, Finn Lindgren and </w:t>
      </w:r>
      <w:proofErr w:type="spellStart"/>
      <w:r>
        <w:rPr>
          <w:rFonts w:ascii="Times New Roman" w:eastAsia="Times New Roman" w:hAnsi="Times New Roman" w:cs="Times New Roman"/>
          <w:sz w:val="24"/>
          <w:szCs w:val="24"/>
        </w:rPr>
        <w:t>Havard</w:t>
      </w:r>
      <w:proofErr w:type="spellEnd"/>
      <w:r>
        <w:rPr>
          <w:rFonts w:ascii="Times New Roman" w:eastAsia="Times New Roman" w:hAnsi="Times New Roman" w:cs="Times New Roman"/>
          <w:sz w:val="24"/>
          <w:szCs w:val="24"/>
        </w:rPr>
        <w:t xml:space="preserve"> Rue (2013)."Bayesian computing with INLA: New features.”</w:t>
      </w:r>
    </w:p>
    <w:p w:rsidR="00941065" w:rsidRDefault="004B2F15">
      <w:pPr>
        <w:pStyle w:val="normal0"/>
        <w:spacing w:after="240" w:line="240" w:lineRule="auto"/>
      </w:pPr>
      <w:r>
        <w:rPr>
          <w:rFonts w:ascii="Times New Roman" w:eastAsia="Times New Roman" w:hAnsi="Times New Roman" w:cs="Times New Roman"/>
          <w:sz w:val="24"/>
          <w:szCs w:val="24"/>
        </w:rPr>
        <w:lastRenderedPageBreak/>
        <w:t xml:space="preserve">Piatt, J. F., and R. G. Ford. 1996. How many seabirds were killed by the Exxon Valdez oil spill? Pages 712-719 in S. D. Rice, R. B. Spies, </w:t>
      </w:r>
      <w:r>
        <w:rPr>
          <w:rFonts w:ascii="Times New Roman" w:eastAsia="Times New Roman" w:hAnsi="Times New Roman" w:cs="Times New Roman"/>
          <w:sz w:val="24"/>
          <w:szCs w:val="24"/>
        </w:rPr>
        <w:t xml:space="preserve">D. A. Wolfe, and B. A. Wright editors. Proceedings of the Exxon Valdez Oil Spill Symposium, Anchorage, Alaska, 2-5 </w:t>
      </w:r>
      <w:proofErr w:type="gramStart"/>
      <w:r>
        <w:rPr>
          <w:rFonts w:ascii="Times New Roman" w:eastAsia="Times New Roman" w:hAnsi="Times New Roman" w:cs="Times New Roman"/>
          <w:sz w:val="24"/>
          <w:szCs w:val="24"/>
        </w:rPr>
        <w:t>February,</w:t>
      </w:r>
      <w:proofErr w:type="gramEnd"/>
      <w:r>
        <w:rPr>
          <w:rFonts w:ascii="Times New Roman" w:eastAsia="Times New Roman" w:hAnsi="Times New Roman" w:cs="Times New Roman"/>
          <w:sz w:val="24"/>
          <w:szCs w:val="24"/>
        </w:rPr>
        <w:t xml:space="preserve"> 1993. </w:t>
      </w:r>
      <w:proofErr w:type="gramStart"/>
      <w:r>
        <w:rPr>
          <w:rFonts w:ascii="Times New Roman" w:eastAsia="Times New Roman" w:hAnsi="Times New Roman" w:cs="Times New Roman"/>
          <w:sz w:val="24"/>
          <w:szCs w:val="24"/>
        </w:rPr>
        <w:t>American Fish Society, Bethesda, MD.</w:t>
      </w:r>
      <w:proofErr w:type="gramEnd"/>
    </w:p>
    <w:p w:rsidR="00941065" w:rsidRDefault="004B2F15">
      <w:pPr>
        <w:pStyle w:val="normal0"/>
        <w:spacing w:after="240" w:line="240" w:lineRule="auto"/>
      </w:pPr>
      <w:proofErr w:type="gramStart"/>
      <w:r>
        <w:rPr>
          <w:rFonts w:ascii="Times New Roman" w:eastAsia="Times New Roman" w:hAnsi="Times New Roman" w:cs="Times New Roman"/>
          <w:sz w:val="24"/>
          <w:szCs w:val="24"/>
        </w:rPr>
        <w:t xml:space="preserve">Piatt, J.F., C.J. </w:t>
      </w:r>
      <w:proofErr w:type="spellStart"/>
      <w:r>
        <w:rPr>
          <w:rFonts w:ascii="Times New Roman" w:eastAsia="Times New Roman" w:hAnsi="Times New Roman" w:cs="Times New Roman"/>
          <w:sz w:val="24"/>
          <w:szCs w:val="24"/>
        </w:rPr>
        <w:t>Lensink</w:t>
      </w:r>
      <w:proofErr w:type="spellEnd"/>
      <w:r>
        <w:rPr>
          <w:rFonts w:ascii="Times New Roman" w:eastAsia="Times New Roman" w:hAnsi="Times New Roman" w:cs="Times New Roman"/>
          <w:sz w:val="24"/>
          <w:szCs w:val="24"/>
        </w:rPr>
        <w:t xml:space="preserve">, W. Butler, M. </w:t>
      </w:r>
      <w:proofErr w:type="spellStart"/>
      <w:r>
        <w:rPr>
          <w:rFonts w:ascii="Times New Roman" w:eastAsia="Times New Roman" w:hAnsi="Times New Roman" w:cs="Times New Roman"/>
          <w:sz w:val="24"/>
          <w:szCs w:val="24"/>
        </w:rPr>
        <w:t>Kendziorek</w:t>
      </w:r>
      <w:proofErr w:type="spellEnd"/>
      <w:r>
        <w:rPr>
          <w:rFonts w:ascii="Times New Roman" w:eastAsia="Times New Roman" w:hAnsi="Times New Roman" w:cs="Times New Roman"/>
          <w:sz w:val="24"/>
          <w:szCs w:val="24"/>
        </w:rPr>
        <w:t xml:space="preserve">, and D.R. </w:t>
      </w:r>
      <w:proofErr w:type="spellStart"/>
      <w:r>
        <w:rPr>
          <w:rFonts w:ascii="Times New Roman" w:eastAsia="Times New Roman" w:hAnsi="Times New Roman" w:cs="Times New Roman"/>
          <w:sz w:val="24"/>
          <w:szCs w:val="24"/>
        </w:rPr>
        <w:t>Nysewander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1990. Immediat</w:t>
      </w:r>
      <w:r>
        <w:rPr>
          <w:rFonts w:ascii="Times New Roman" w:eastAsia="Times New Roman" w:hAnsi="Times New Roman" w:cs="Times New Roman"/>
          <w:sz w:val="24"/>
          <w:szCs w:val="24"/>
        </w:rPr>
        <w:t xml:space="preserve">e impact of the 'Exxon Valdez' oil spill on marine birds. </w:t>
      </w:r>
      <w:proofErr w:type="gramStart"/>
      <w:r>
        <w:rPr>
          <w:rFonts w:ascii="Times New Roman" w:eastAsia="Times New Roman" w:hAnsi="Times New Roman" w:cs="Times New Roman"/>
          <w:sz w:val="24"/>
          <w:szCs w:val="24"/>
        </w:rPr>
        <w:t>Auk 107: 387-397.</w:t>
      </w:r>
      <w:proofErr w:type="gramEnd"/>
    </w:p>
    <w:p w:rsidR="00941065" w:rsidRDefault="004B2F15">
      <w:pPr>
        <w:pStyle w:val="normal0"/>
        <w:spacing w:after="240" w:line="240" w:lineRule="auto"/>
      </w:pPr>
      <w:r>
        <w:rPr>
          <w:rFonts w:ascii="Times New Roman" w:eastAsia="Times New Roman" w:hAnsi="Times New Roman" w:cs="Times New Roman"/>
          <w:sz w:val="20"/>
          <w:szCs w:val="20"/>
        </w:rPr>
        <w:t xml:space="preserve"> </w:t>
      </w:r>
    </w:p>
    <w:p w:rsidR="00941065" w:rsidRDefault="00941065">
      <w:pPr>
        <w:pStyle w:val="normal0"/>
        <w:spacing w:after="240" w:line="240" w:lineRule="auto"/>
      </w:pPr>
    </w:p>
    <w:p w:rsidR="00941065" w:rsidRDefault="00941065">
      <w:pPr>
        <w:pStyle w:val="normal0"/>
        <w:spacing w:after="240" w:line="240" w:lineRule="auto"/>
      </w:pPr>
    </w:p>
    <w:p w:rsidR="00941065" w:rsidRDefault="00941065">
      <w:pPr>
        <w:pStyle w:val="normal0"/>
        <w:spacing w:after="240" w:line="392" w:lineRule="auto"/>
      </w:pPr>
    </w:p>
    <w:p w:rsidR="00941065" w:rsidRDefault="00941065">
      <w:pPr>
        <w:pStyle w:val="normal0"/>
      </w:pPr>
    </w:p>
    <w:sectPr w:rsidR="0094106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enjamin Williams" w:date="2016-03-25T03:23:00Z" w:initials="">
    <w:p w:rsidR="00941065" w:rsidRDefault="004B2F15">
      <w:pPr>
        <w:pStyle w:val="normal0"/>
        <w:widowControl w:val="0"/>
        <w:spacing w:line="240" w:lineRule="auto"/>
      </w:pPr>
      <w:proofErr w:type="gramStart"/>
      <w:r>
        <w:t>clarification</w:t>
      </w:r>
      <w:proofErr w:type="gramEnd"/>
      <w:r>
        <w:t xml:space="preserve"> of data source</w:t>
      </w:r>
    </w:p>
  </w:comment>
  <w:comment w:id="12" w:author="Benjamin Williams" w:date="2016-03-25T03:31:00Z" w:initials="">
    <w:p w:rsidR="00941065" w:rsidRDefault="004B2F15">
      <w:pPr>
        <w:pStyle w:val="normal0"/>
        <w:widowControl w:val="0"/>
        <w:spacing w:line="240" w:lineRule="auto"/>
      </w:pPr>
      <w:r>
        <w:t>Is there a reason for this number or was there a certain biomass cutoff?</w:t>
      </w:r>
    </w:p>
  </w:comment>
  <w:comment w:id="19" w:author="Benjamin Williams" w:date="2016-03-25T05:33:00Z" w:initials="">
    <w:p w:rsidR="00941065" w:rsidRDefault="004B2F15">
      <w:pPr>
        <w:pStyle w:val="normal0"/>
        <w:widowControl w:val="0"/>
        <w:spacing w:line="240" w:lineRule="auto"/>
      </w:pPr>
      <w:proofErr w:type="gramStart"/>
      <w:r>
        <w:t>positive</w:t>
      </w:r>
      <w:proofErr w:type="gramEnd"/>
      <w:r>
        <w:t xml:space="preserve"> model is a bit confusing we should clearly define the particular output models and maintain the language </w:t>
      </w:r>
      <w:proofErr w:type="spellStart"/>
      <w:r>
        <w:t>througout</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941065"/>
    <w:rsid w:val="004B2F15"/>
    <w:rsid w:val="00941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journals.plos.org/plosone/article?id=10.1371/journal.pone.0066025"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3229</Words>
  <Characters>18407</Characters>
  <Application>Microsoft Macintosh Word</Application>
  <DocSecurity>0</DocSecurity>
  <Lines>153</Lines>
  <Paragraphs>43</Paragraphs>
  <ScaleCrop>false</ScaleCrop>
  <Company/>
  <LinksUpToDate>false</LinksUpToDate>
  <CharactersWithSpaces>21593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2</cp:revision>
  <dcterms:created xsi:type="dcterms:W3CDTF">2016-03-31T19:55:00Z</dcterms:created>
  <dcterms:modified xsi:type="dcterms:W3CDTF">2016-03-31T19:55:00Z</dcterms:modified>
</cp:coreProperties>
</file>