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C2" w:rsidRPr="00BD2EC2" w:rsidRDefault="00BD2EC2" w:rsidP="00BD2EC2">
      <w:pPr>
        <w:pBdr>
          <w:bottom w:val="single" w:sz="8" w:space="0" w:color="FF7605"/>
        </w:pBdr>
        <w:suppressAutoHyphens/>
        <w:spacing w:after="300" w:line="100" w:lineRule="atLeast"/>
        <w:contextualSpacing/>
        <w:rPr>
          <w:rFonts w:ascii="Calibri" w:eastAsia="DejaVu Sans" w:hAnsi="Calibri" w:cs="Calibri"/>
          <w:color w:val="4D4542"/>
          <w:spacing w:val="5"/>
          <w:sz w:val="52"/>
          <w:szCs w:val="52"/>
        </w:rPr>
      </w:pPr>
      <w:r w:rsidRPr="00BD2EC2">
        <w:rPr>
          <w:rFonts w:ascii="Calibri" w:eastAsia="DejaVu Sans" w:hAnsi="Calibri" w:cs="Calibri"/>
          <w:b/>
          <w:color w:val="002060"/>
          <w:spacing w:val="5"/>
          <w:sz w:val="52"/>
          <w:szCs w:val="52"/>
        </w:rPr>
        <w:t xml:space="preserve">Release Notes </w:t>
      </w:r>
    </w:p>
    <w:tbl>
      <w:tblPr>
        <w:tblW w:w="0" w:type="auto"/>
        <w:jc w:val="center"/>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35"/>
        <w:gridCol w:w="7528"/>
      </w:tblGrid>
      <w:tr w:rsidR="00BD2EC2" w:rsidRPr="00BD2EC2" w:rsidTr="00BD2EC2">
        <w:trPr>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Model</w:t>
            </w:r>
          </w:p>
        </w:tc>
        <w:tc>
          <w:tcPr>
            <w:tcW w:w="8131" w:type="dxa"/>
            <w:tcBorders>
              <w:top w:val="single" w:sz="4" w:space="0" w:color="00000A"/>
              <w:left w:val="single" w:sz="4" w:space="0" w:color="00000A"/>
              <w:bottom w:val="single" w:sz="4" w:space="0" w:color="00000A"/>
              <w:right w:val="single" w:sz="4" w:space="0" w:color="00000A"/>
            </w:tcBorders>
            <w:vAlign w:val="center"/>
          </w:tcPr>
          <w:p w:rsidR="00BD2EC2" w:rsidRPr="00BD2EC2" w:rsidRDefault="00BD2EC2" w:rsidP="00875CCA">
            <w:pPr>
              <w:suppressAutoHyphens/>
              <w:spacing w:after="0" w:line="100" w:lineRule="atLeast"/>
              <w:rPr>
                <w:rFonts w:ascii="Calibri" w:eastAsia="DejaVu Sans" w:hAnsi="Calibri" w:cs="Calibri"/>
              </w:rPr>
            </w:pPr>
            <w:r w:rsidRPr="00BD2EC2">
              <w:rPr>
                <w:rFonts w:ascii="Calibri" w:eastAsia="DejaVu Sans" w:hAnsi="Calibri" w:cs="Calibri"/>
                <w:sz w:val="24"/>
                <w:szCs w:val="24"/>
              </w:rPr>
              <w:t>Extra-tropical Storm Surge (ETSS)</w:t>
            </w:r>
            <w:r>
              <w:rPr>
                <w:rFonts w:ascii="Calibri" w:eastAsia="DejaVu Sans" w:hAnsi="Calibri" w:cs="Calibri"/>
                <w:sz w:val="24"/>
                <w:szCs w:val="24"/>
              </w:rPr>
              <w:t xml:space="preserve"> </w:t>
            </w:r>
          </w:p>
        </w:tc>
      </w:tr>
      <w:tr w:rsidR="00BD2EC2" w:rsidRPr="00BD2EC2" w:rsidTr="00BD2EC2">
        <w:trPr>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Version</w:t>
            </w:r>
          </w:p>
        </w:tc>
        <w:tc>
          <w:tcPr>
            <w:tcW w:w="8131" w:type="dxa"/>
            <w:tcBorders>
              <w:top w:val="single" w:sz="4" w:space="0" w:color="00000A"/>
              <w:left w:val="single" w:sz="4" w:space="0" w:color="00000A"/>
              <w:bottom w:val="single" w:sz="4" w:space="0" w:color="00000A"/>
              <w:right w:val="single" w:sz="4" w:space="0" w:color="00000A"/>
            </w:tcBorders>
            <w:vAlign w:val="center"/>
          </w:tcPr>
          <w:p w:rsidR="00BD2EC2" w:rsidRPr="00BD2EC2" w:rsidRDefault="00BD2EC2" w:rsidP="00BD2EC2">
            <w:pPr>
              <w:suppressAutoHyphens/>
              <w:spacing w:after="0" w:line="100" w:lineRule="atLeast"/>
              <w:rPr>
                <w:rFonts w:ascii="Calibri" w:eastAsia="DejaVu Sans" w:hAnsi="Calibri" w:cs="Calibri"/>
              </w:rPr>
            </w:pPr>
            <w:r>
              <w:rPr>
                <w:rFonts w:ascii="Calibri" w:eastAsia="DejaVu Sans" w:hAnsi="Calibri" w:cs="Calibri"/>
                <w:sz w:val="24"/>
                <w:szCs w:val="24"/>
              </w:rPr>
              <w:t>V2.0</w:t>
            </w:r>
          </w:p>
          <w:p w:rsidR="00BD2EC2" w:rsidRPr="00BD2EC2" w:rsidRDefault="00BD2EC2" w:rsidP="00BD2EC2">
            <w:pPr>
              <w:suppressAutoHyphens/>
              <w:spacing w:after="0" w:line="100" w:lineRule="atLeast"/>
              <w:rPr>
                <w:rFonts w:ascii="Calibri" w:eastAsia="DejaVu Sans" w:hAnsi="Calibri" w:cs="Calibri"/>
              </w:rPr>
            </w:pPr>
          </w:p>
        </w:tc>
      </w:tr>
      <w:tr w:rsidR="00BD2EC2" w:rsidRPr="00BD2EC2" w:rsidTr="00BD2EC2">
        <w:trPr>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Implementation date/time</w:t>
            </w:r>
          </w:p>
        </w:tc>
        <w:tc>
          <w:tcPr>
            <w:tcW w:w="8131" w:type="dxa"/>
            <w:tcBorders>
              <w:top w:val="single" w:sz="4" w:space="0" w:color="00000A"/>
              <w:left w:val="single" w:sz="4" w:space="0" w:color="00000A"/>
              <w:bottom w:val="single" w:sz="4" w:space="0" w:color="00000A"/>
              <w:right w:val="single" w:sz="4" w:space="0" w:color="00000A"/>
            </w:tcBorders>
            <w:vAlign w:val="center"/>
          </w:tcPr>
          <w:p w:rsidR="00BD2EC2" w:rsidRPr="00BD2EC2" w:rsidRDefault="00E65BC5" w:rsidP="00BD2EC2">
            <w:pPr>
              <w:suppressAutoHyphens/>
              <w:spacing w:after="0" w:line="100" w:lineRule="atLeast"/>
              <w:rPr>
                <w:rFonts w:ascii="Calibri" w:eastAsia="DejaVu Sans" w:hAnsi="Calibri" w:cs="Calibri"/>
              </w:rPr>
            </w:pPr>
            <w:r w:rsidRPr="00E65BC5">
              <w:rPr>
                <w:rFonts w:ascii="Calibri" w:eastAsia="DejaVu Sans" w:hAnsi="Calibri" w:cs="Calibri"/>
                <w:highlight w:val="yellow"/>
              </w:rPr>
              <w:t>TBD</w:t>
            </w:r>
          </w:p>
        </w:tc>
      </w:tr>
      <w:tr w:rsidR="00BD2EC2" w:rsidRPr="00BD2EC2" w:rsidTr="00BD2EC2">
        <w:trPr>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 xml:space="preserve">Purpose  </w:t>
            </w:r>
          </w:p>
        </w:tc>
        <w:tc>
          <w:tcPr>
            <w:tcW w:w="8131" w:type="dxa"/>
            <w:tcBorders>
              <w:top w:val="single" w:sz="4" w:space="0" w:color="00000A"/>
              <w:left w:val="single" w:sz="4" w:space="0" w:color="00000A"/>
              <w:bottom w:val="single" w:sz="4" w:space="0" w:color="00000A"/>
              <w:right w:val="single" w:sz="4" w:space="0" w:color="00000A"/>
            </w:tcBorders>
            <w:vAlign w:val="center"/>
            <w:hideMark/>
          </w:tcPr>
          <w:p w:rsidR="00BD2EC2" w:rsidRPr="00BD2EC2" w:rsidRDefault="00FD7221" w:rsidP="004B47D3">
            <w:pPr>
              <w:tabs>
                <w:tab w:val="left" w:pos="1440"/>
              </w:tabs>
              <w:autoSpaceDE w:val="0"/>
              <w:autoSpaceDN w:val="0"/>
              <w:adjustRightInd w:val="0"/>
              <w:spacing w:after="0"/>
              <w:jc w:val="both"/>
              <w:rPr>
                <w:rFonts w:ascii="Calibri" w:eastAsia="Calibri" w:hAnsi="Calibri" w:cs="Times New Roman"/>
                <w:sz w:val="24"/>
                <w:szCs w:val="24"/>
              </w:rPr>
            </w:pPr>
            <w:r w:rsidRPr="00BD2EC2">
              <w:rPr>
                <w:rFonts w:ascii="Calibri" w:eastAsia="Calibri" w:hAnsi="Calibri" w:cs="Courier New"/>
                <w:color w:val="000000"/>
                <w:sz w:val="24"/>
                <w:szCs w:val="24"/>
              </w:rPr>
              <w:t>The Extra Tropical Storm Surge model is a modification of the SLOSH model that uses GFS winds to predict storm surge up to the coastline (and not overland) based o</w:t>
            </w:r>
            <w:r>
              <w:rPr>
                <w:rFonts w:ascii="Calibri" w:eastAsia="Calibri" w:hAnsi="Calibri" w:cs="Courier New"/>
                <w:color w:val="000000"/>
                <w:sz w:val="24"/>
                <w:szCs w:val="24"/>
              </w:rPr>
              <w:t>n large extra-tropical storms. Surge predictions combined with tide calculations create total water level guidance at many coastal locations. River forecast centers that use the Advanced Hydrologic Prediction Service (AHPS) find water level guidance at river mouths useful, so ETSS output data is post-processed into SHEF-encoded messages for the system to ingest.</w:t>
            </w:r>
          </w:p>
        </w:tc>
      </w:tr>
      <w:tr w:rsidR="00BD2EC2" w:rsidRPr="00BD2EC2" w:rsidTr="00BD2EC2">
        <w:trPr>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b/>
                <w:color w:val="002060"/>
              </w:rPr>
            </w:pPr>
            <w:r w:rsidRPr="00BD2EC2">
              <w:rPr>
                <w:rFonts w:ascii="Calibri" w:eastAsia="DejaVu Sans" w:hAnsi="Calibri" w:cs="Calibri"/>
                <w:b/>
                <w:color w:val="002060"/>
              </w:rPr>
              <w:t>Changes being made for this release</w:t>
            </w:r>
          </w:p>
        </w:tc>
        <w:tc>
          <w:tcPr>
            <w:tcW w:w="8131" w:type="dxa"/>
            <w:tcBorders>
              <w:top w:val="single" w:sz="4" w:space="0" w:color="00000A"/>
              <w:left w:val="single" w:sz="4" w:space="0" w:color="00000A"/>
              <w:bottom w:val="single" w:sz="4" w:space="0" w:color="00000A"/>
              <w:right w:val="single" w:sz="4" w:space="0" w:color="00000A"/>
            </w:tcBorders>
            <w:vAlign w:val="center"/>
            <w:hideMark/>
          </w:tcPr>
          <w:p w:rsidR="000B52C4" w:rsidRPr="000B52C4" w:rsidRDefault="000B52C4" w:rsidP="000B52C4">
            <w:pPr>
              <w:pStyle w:val="ListParagraph"/>
              <w:numPr>
                <w:ilvl w:val="0"/>
                <w:numId w:val="4"/>
              </w:numPr>
              <w:rPr>
                <w:rFonts w:ascii="Calibri" w:eastAsia="DejaVu Sans Mono" w:hAnsi="Calibri" w:cs="DejaVu Sans Mono"/>
                <w:sz w:val="24"/>
                <w:szCs w:val="20"/>
                <w:lang w:eastAsia="zh-CN" w:bidi="hi-IN"/>
              </w:rPr>
            </w:pPr>
            <w:r w:rsidRPr="000B52C4">
              <w:rPr>
                <w:rFonts w:ascii="Calibri" w:eastAsia="DejaVu Sans Mono" w:hAnsi="Calibri" w:cs="DejaVu Sans Mono"/>
                <w:sz w:val="24"/>
                <w:szCs w:val="20"/>
                <w:lang w:eastAsia="zh-CN" w:bidi="hi-IN"/>
              </w:rPr>
              <w:t>Re-introducing the inundation algorithm based on surge</w:t>
            </w:r>
          </w:p>
          <w:p w:rsidR="005D1550" w:rsidRDefault="000B52C4" w:rsidP="000B52C4">
            <w:pPr>
              <w:pStyle w:val="ListParagraph"/>
              <w:widowControl w:val="0"/>
              <w:numPr>
                <w:ilvl w:val="0"/>
                <w:numId w:val="4"/>
              </w:numPr>
              <w:suppressAutoHyphens/>
              <w:spacing w:after="0" w:line="100" w:lineRule="atLeast"/>
              <w:rPr>
                <w:rFonts w:ascii="Calibri" w:eastAsia="DejaVu Sans Mono" w:hAnsi="Calibri" w:cs="DejaVu Sans Mono"/>
                <w:sz w:val="24"/>
                <w:szCs w:val="20"/>
                <w:lang w:eastAsia="zh-CN" w:bidi="hi-IN"/>
              </w:rPr>
            </w:pPr>
            <w:r w:rsidRPr="000B52C4">
              <w:rPr>
                <w:rFonts w:ascii="Calibri" w:eastAsia="DejaVu Sans Mono" w:hAnsi="Calibri" w:cs="DejaVu Sans Mono"/>
                <w:sz w:val="24"/>
                <w:szCs w:val="20"/>
                <w:lang w:eastAsia="zh-CN" w:bidi="hi-IN"/>
              </w:rPr>
              <w:t>Nesting the tropical and extra-tropical computational grids to leverage the finer overland details contained within tropical grids</w:t>
            </w:r>
            <w:r w:rsidR="005D1550">
              <w:rPr>
                <w:rFonts w:ascii="Calibri" w:eastAsia="DejaVu Sans Mono" w:hAnsi="Calibri" w:cs="DejaVu Sans Mono"/>
                <w:sz w:val="24"/>
                <w:szCs w:val="20"/>
                <w:lang w:eastAsia="zh-CN" w:bidi="hi-IN"/>
              </w:rPr>
              <w:t xml:space="preserve">. </w:t>
            </w:r>
          </w:p>
          <w:p w:rsidR="00FD7221" w:rsidRDefault="00FD7221" w:rsidP="00FD7221">
            <w:pPr>
              <w:widowControl w:val="0"/>
              <w:suppressAutoHyphens/>
              <w:spacing w:after="0" w:line="100" w:lineRule="atLeast"/>
              <w:rPr>
                <w:rFonts w:ascii="Calibri" w:eastAsia="DejaVu Sans Mono" w:hAnsi="Calibri" w:cs="DejaVu Sans Mono"/>
                <w:sz w:val="24"/>
                <w:szCs w:val="20"/>
                <w:lang w:eastAsia="zh-CN" w:bidi="hi-IN"/>
              </w:rPr>
            </w:pPr>
            <w:r w:rsidRPr="001212BB">
              <w:rPr>
                <w:rFonts w:ascii="Calibri" w:eastAsia="DejaVu Sans Mono" w:hAnsi="Calibri" w:cs="DejaVu Sans Mono"/>
                <w:sz w:val="24"/>
                <w:szCs w:val="20"/>
                <w:lang w:eastAsia="zh-CN" w:bidi="hi-IN"/>
              </w:rPr>
              <w:t>Although non-operational ETSS post processing exists, this is</w:t>
            </w:r>
            <w:r>
              <w:rPr>
                <w:rFonts w:ascii="Calibri" w:eastAsia="DejaVu Sans Mono" w:hAnsi="Calibri" w:cs="DejaVu Sans Mono"/>
                <w:sz w:val="24"/>
                <w:szCs w:val="20"/>
                <w:lang w:eastAsia="zh-CN" w:bidi="hi-IN"/>
              </w:rPr>
              <w:t xml:space="preserve"> the first operational release. Changes from the experimental version are:</w:t>
            </w:r>
          </w:p>
          <w:p w:rsidR="00FD7221" w:rsidRDefault="00FD7221" w:rsidP="00FD7221">
            <w:pPr>
              <w:pStyle w:val="ListParagraph"/>
              <w:widowControl w:val="0"/>
              <w:numPr>
                <w:ilvl w:val="0"/>
                <w:numId w:val="7"/>
              </w:numPr>
              <w:suppressAutoHyphens/>
              <w:spacing w:after="0" w:line="100" w:lineRule="atLeast"/>
              <w:rPr>
                <w:rFonts w:ascii="Calibri" w:eastAsia="DejaVu Sans Mono" w:hAnsi="Calibri" w:cs="DejaVu Sans Mono"/>
                <w:sz w:val="24"/>
                <w:szCs w:val="20"/>
                <w:lang w:eastAsia="zh-CN" w:bidi="hi-IN"/>
              </w:rPr>
            </w:pPr>
            <w:r>
              <w:rPr>
                <w:rFonts w:ascii="Calibri" w:eastAsia="DejaVu Sans Mono" w:hAnsi="Calibri" w:cs="DejaVu Sans Mono"/>
                <w:sz w:val="24"/>
                <w:szCs w:val="20"/>
                <w:lang w:eastAsia="zh-CN" w:bidi="hi-IN"/>
              </w:rPr>
              <w:t>Observations were scraped from the internet using TCL/TK code, but they are now provided through NCEP’s BUFR tanks for more robust and reliable retrieval.</w:t>
            </w:r>
          </w:p>
          <w:p w:rsidR="00FD7221" w:rsidRDefault="00FD7221" w:rsidP="00FD7221">
            <w:pPr>
              <w:pStyle w:val="ListParagraph"/>
              <w:widowControl w:val="0"/>
              <w:numPr>
                <w:ilvl w:val="0"/>
                <w:numId w:val="7"/>
              </w:numPr>
              <w:suppressAutoHyphens/>
              <w:spacing w:after="0" w:line="100" w:lineRule="atLeast"/>
              <w:rPr>
                <w:rFonts w:ascii="Calibri" w:eastAsia="DejaVu Sans Mono" w:hAnsi="Calibri" w:cs="DejaVu Sans Mono"/>
                <w:sz w:val="24"/>
                <w:szCs w:val="20"/>
                <w:lang w:eastAsia="zh-CN" w:bidi="hi-IN"/>
              </w:rPr>
            </w:pPr>
            <w:r>
              <w:rPr>
                <w:rFonts w:ascii="Calibri" w:eastAsia="DejaVu Sans Mono" w:hAnsi="Calibri" w:cs="DejaVu Sans Mono"/>
                <w:sz w:val="24"/>
                <w:szCs w:val="20"/>
                <w:lang w:eastAsia="zh-CN" w:bidi="hi-IN"/>
              </w:rPr>
              <w:t xml:space="preserve">Code is now separated into several </w:t>
            </w:r>
            <w:proofErr w:type="gramStart"/>
            <w:r>
              <w:rPr>
                <w:rFonts w:ascii="Calibri" w:eastAsia="DejaVu Sans Mono" w:hAnsi="Calibri" w:cs="DejaVu Sans Mono"/>
                <w:sz w:val="24"/>
                <w:szCs w:val="20"/>
                <w:lang w:eastAsia="zh-CN" w:bidi="hi-IN"/>
              </w:rPr>
              <w:t>Fortran</w:t>
            </w:r>
            <w:proofErr w:type="gramEnd"/>
            <w:r>
              <w:rPr>
                <w:rFonts w:ascii="Calibri" w:eastAsia="DejaVu Sans Mono" w:hAnsi="Calibri" w:cs="DejaVu Sans Mono"/>
                <w:sz w:val="24"/>
                <w:szCs w:val="20"/>
                <w:lang w:eastAsia="zh-CN" w:bidi="hi-IN"/>
              </w:rPr>
              <w:t xml:space="preserve"> libraries and executables and run using NCEP’s parallel processing system for greater speed of processing.</w:t>
            </w:r>
          </w:p>
          <w:p w:rsidR="00FD7221" w:rsidRPr="00FD7221" w:rsidRDefault="00FD7221" w:rsidP="00FD7221">
            <w:pPr>
              <w:widowControl w:val="0"/>
              <w:suppressAutoHyphens/>
              <w:spacing w:after="0" w:line="100" w:lineRule="atLeast"/>
              <w:ind w:left="360"/>
              <w:rPr>
                <w:rFonts w:ascii="Calibri" w:eastAsia="DejaVu Sans Mono" w:hAnsi="Calibri" w:cs="DejaVu Sans Mono"/>
                <w:sz w:val="24"/>
                <w:szCs w:val="20"/>
                <w:lang w:eastAsia="zh-CN" w:bidi="hi-IN"/>
              </w:rPr>
            </w:pPr>
            <w:r>
              <w:rPr>
                <w:rFonts w:ascii="Calibri" w:eastAsia="DejaVu Sans Mono" w:hAnsi="Calibri" w:cs="DejaVu Sans Mono"/>
                <w:sz w:val="24"/>
                <w:szCs w:val="20"/>
                <w:lang w:eastAsia="zh-CN" w:bidi="hi-IN"/>
              </w:rPr>
              <w:t>Most importantly, ETSS output data is now used to create SHEF-encoded water level guidance for river forecast centers in coastal areas.</w:t>
            </w:r>
          </w:p>
        </w:tc>
      </w:tr>
      <w:tr w:rsidR="00BD2EC2" w:rsidRPr="00BD2EC2" w:rsidTr="00BD2EC2">
        <w:trPr>
          <w:trHeight w:val="575"/>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 xml:space="preserve">Developed by </w:t>
            </w:r>
          </w:p>
        </w:tc>
        <w:tc>
          <w:tcPr>
            <w:tcW w:w="8131" w:type="dxa"/>
            <w:tcBorders>
              <w:top w:val="single" w:sz="4" w:space="0" w:color="00000A"/>
              <w:left w:val="single" w:sz="4" w:space="0" w:color="00000A"/>
              <w:bottom w:val="single" w:sz="4" w:space="0" w:color="00000A"/>
              <w:right w:val="single" w:sz="4" w:space="0" w:color="00000A"/>
            </w:tcBorders>
            <w:vAlign w:val="center"/>
          </w:tcPr>
          <w:p w:rsidR="00BD2EC2" w:rsidRPr="00BD2EC2" w:rsidRDefault="00BD2EC2" w:rsidP="00BD2EC2">
            <w:pPr>
              <w:suppressAutoHyphens/>
              <w:spacing w:after="0" w:line="100" w:lineRule="atLeast"/>
              <w:rPr>
                <w:rFonts w:ascii="Calibri" w:eastAsia="DejaVu Sans" w:hAnsi="Calibri" w:cs="Calibri"/>
              </w:rPr>
            </w:pPr>
            <w:r w:rsidRPr="00BD2EC2">
              <w:rPr>
                <w:rFonts w:ascii="Calibri" w:eastAsia="DejaVu Sans" w:hAnsi="Calibri" w:cs="Calibri"/>
                <w:sz w:val="24"/>
                <w:szCs w:val="24"/>
              </w:rPr>
              <w:t>NOAA/NWS/Meteorological Development Laboratory (MDL)</w:t>
            </w:r>
          </w:p>
          <w:p w:rsidR="00BD2EC2" w:rsidRPr="00BD2EC2" w:rsidRDefault="00BD2EC2" w:rsidP="00BD2EC2">
            <w:pPr>
              <w:suppressAutoHyphens/>
              <w:spacing w:after="0" w:line="100" w:lineRule="atLeast"/>
              <w:rPr>
                <w:rFonts w:ascii="Calibri" w:eastAsia="DejaVu Sans" w:hAnsi="Calibri" w:cs="Calibri"/>
              </w:rPr>
            </w:pPr>
          </w:p>
        </w:tc>
      </w:tr>
      <w:tr w:rsidR="00BD2EC2" w:rsidRPr="00BD2EC2" w:rsidTr="00BD2EC2">
        <w:trPr>
          <w:trHeight w:val="664"/>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 xml:space="preserve">Runs on </w:t>
            </w:r>
          </w:p>
        </w:tc>
        <w:tc>
          <w:tcPr>
            <w:tcW w:w="8131" w:type="dxa"/>
            <w:tcBorders>
              <w:top w:val="single" w:sz="4" w:space="0" w:color="00000A"/>
              <w:left w:val="single" w:sz="4" w:space="0" w:color="00000A"/>
              <w:bottom w:val="single" w:sz="4" w:space="0" w:color="00000A"/>
              <w:right w:val="single" w:sz="4" w:space="0" w:color="00000A"/>
            </w:tcBorders>
            <w:vAlign w:val="center"/>
            <w:hideMark/>
          </w:tcPr>
          <w:p w:rsidR="00BD2EC2" w:rsidRPr="00BD2EC2" w:rsidRDefault="00BD2EC2" w:rsidP="00BD2EC2">
            <w:pPr>
              <w:suppressAutoHyphens/>
              <w:spacing w:after="0" w:line="100" w:lineRule="atLeast"/>
              <w:rPr>
                <w:rFonts w:ascii="Calibri" w:eastAsia="DejaVu Sans" w:hAnsi="Calibri" w:cs="Calibri"/>
              </w:rPr>
            </w:pPr>
            <w:r w:rsidRPr="00BD2EC2">
              <w:rPr>
                <w:rFonts w:ascii="Calibri" w:eastAsia="DejaVu Sans" w:hAnsi="Calibri" w:cs="Calibri"/>
                <w:sz w:val="24"/>
                <w:szCs w:val="24"/>
              </w:rPr>
              <w:t>The National Weather Service (NWS) Weather and Climate Operational Supercomputing System (WCOSS)</w:t>
            </w:r>
          </w:p>
        </w:tc>
      </w:tr>
      <w:tr w:rsidR="00BD2EC2" w:rsidRPr="00BD2EC2" w:rsidTr="00BD2EC2">
        <w:trPr>
          <w:trHeight w:val="506"/>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 xml:space="preserve">Community software  </w:t>
            </w:r>
          </w:p>
        </w:tc>
        <w:tc>
          <w:tcPr>
            <w:tcW w:w="8131" w:type="dxa"/>
            <w:tcBorders>
              <w:top w:val="single" w:sz="4" w:space="0" w:color="00000A"/>
              <w:left w:val="single" w:sz="4" w:space="0" w:color="00000A"/>
              <w:bottom w:val="single" w:sz="4" w:space="0" w:color="00000A"/>
              <w:right w:val="single" w:sz="4" w:space="0" w:color="00000A"/>
            </w:tcBorders>
            <w:vAlign w:val="center"/>
          </w:tcPr>
          <w:p w:rsidR="00BD2EC2" w:rsidRPr="00BD2EC2" w:rsidRDefault="00BD2EC2" w:rsidP="00BD2EC2">
            <w:pPr>
              <w:suppressAutoHyphens/>
              <w:spacing w:after="0" w:line="100" w:lineRule="atLeast"/>
              <w:rPr>
                <w:rFonts w:ascii="Calibri" w:eastAsia="DejaVu Sans" w:hAnsi="Calibri" w:cs="Calibri"/>
              </w:rPr>
            </w:pPr>
            <w:r w:rsidRPr="00BD2EC2">
              <w:rPr>
                <w:rFonts w:ascii="Calibri" w:eastAsia="DejaVu Sans" w:hAnsi="Calibri" w:cs="Calibri"/>
                <w:sz w:val="24"/>
                <w:szCs w:val="24"/>
              </w:rPr>
              <w:t>None</w:t>
            </w:r>
          </w:p>
          <w:p w:rsidR="00BD2EC2" w:rsidRPr="00BD2EC2" w:rsidRDefault="00BD2EC2" w:rsidP="00BD2EC2">
            <w:pPr>
              <w:suppressAutoHyphens/>
              <w:spacing w:after="0" w:line="100" w:lineRule="atLeast"/>
              <w:rPr>
                <w:rFonts w:ascii="Calibri" w:eastAsia="DejaVu Sans" w:hAnsi="Calibri" w:cs="Calibri"/>
              </w:rPr>
            </w:pPr>
          </w:p>
        </w:tc>
      </w:tr>
      <w:tr w:rsidR="00BD2EC2" w:rsidRPr="00BD2EC2" w:rsidTr="00BD2EC2">
        <w:trPr>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 xml:space="preserve">Input  </w:t>
            </w:r>
          </w:p>
        </w:tc>
        <w:tc>
          <w:tcPr>
            <w:tcW w:w="8131" w:type="dxa"/>
            <w:tcBorders>
              <w:top w:val="single" w:sz="4" w:space="0" w:color="00000A"/>
              <w:left w:val="single" w:sz="4" w:space="0" w:color="00000A"/>
              <w:bottom w:val="single" w:sz="4" w:space="0" w:color="00000A"/>
              <w:right w:val="single" w:sz="4" w:space="0" w:color="00000A"/>
            </w:tcBorders>
            <w:vAlign w:val="center"/>
            <w:hideMark/>
          </w:tcPr>
          <w:p w:rsidR="00BD2EC2" w:rsidRPr="00BD2EC2" w:rsidRDefault="000B52C4" w:rsidP="00BD2EC2">
            <w:pPr>
              <w:suppressAutoHyphens/>
              <w:spacing w:after="0" w:line="100" w:lineRule="atLeast"/>
              <w:rPr>
                <w:rFonts w:ascii="Calibri" w:eastAsia="DejaVu Sans" w:hAnsi="Calibri" w:cs="Calibri"/>
              </w:rPr>
            </w:pPr>
            <w:r w:rsidRPr="000B52C4">
              <w:rPr>
                <w:rFonts w:ascii="Calibri" w:eastAsia="DejaVu Sans" w:hAnsi="Calibri" w:cs="Calibri"/>
                <w:sz w:val="24"/>
                <w:szCs w:val="24"/>
              </w:rPr>
              <w:t xml:space="preserve">Using GRIB2 </w:t>
            </w:r>
            <w:r>
              <w:rPr>
                <w:rFonts w:ascii="Calibri" w:eastAsia="DejaVu Sans" w:hAnsi="Calibri" w:cs="Calibri"/>
                <w:sz w:val="24"/>
                <w:szCs w:val="24"/>
              </w:rPr>
              <w:t xml:space="preserve">0.5 degree </w:t>
            </w:r>
            <w:r w:rsidRPr="000B52C4">
              <w:rPr>
                <w:rFonts w:ascii="Calibri" w:eastAsia="DejaVu Sans" w:hAnsi="Calibri" w:cs="Calibri"/>
                <w:sz w:val="24"/>
                <w:szCs w:val="24"/>
              </w:rPr>
              <w:t>GFS data</w:t>
            </w:r>
            <w:r w:rsidR="00FD7221">
              <w:rPr>
                <w:rFonts w:ascii="Calibri" w:eastAsia="DejaVu Sans" w:hAnsi="Calibri" w:cs="Calibri"/>
                <w:sz w:val="24"/>
                <w:szCs w:val="24"/>
              </w:rPr>
              <w:t xml:space="preserve">, </w:t>
            </w:r>
            <w:r w:rsidR="00FD7221">
              <w:rPr>
                <w:rFonts w:ascii="Calibri" w:eastAsia="DejaVu Sans" w:hAnsi="Calibri" w:cs="Calibri"/>
                <w:sz w:val="24"/>
                <w:szCs w:val="24"/>
              </w:rPr>
              <w:t xml:space="preserve">ETSS output surge predictions, COOPS water level </w:t>
            </w:r>
            <w:proofErr w:type="spellStart"/>
            <w:r w:rsidR="00FD7221">
              <w:rPr>
                <w:rFonts w:ascii="Calibri" w:eastAsia="DejaVu Sans" w:hAnsi="Calibri" w:cs="Calibri"/>
                <w:sz w:val="24"/>
                <w:szCs w:val="24"/>
              </w:rPr>
              <w:t>obs</w:t>
            </w:r>
            <w:proofErr w:type="spellEnd"/>
            <w:r w:rsidR="00FD7221">
              <w:rPr>
                <w:rFonts w:ascii="Calibri" w:eastAsia="DejaVu Sans" w:hAnsi="Calibri" w:cs="Calibri"/>
                <w:sz w:val="24"/>
                <w:szCs w:val="24"/>
              </w:rPr>
              <w:t xml:space="preserve"> and tide constituents</w:t>
            </w:r>
          </w:p>
        </w:tc>
      </w:tr>
      <w:tr w:rsidR="00BD2EC2" w:rsidRPr="00BD2EC2" w:rsidTr="00BD2EC2">
        <w:trPr>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 xml:space="preserve">Output and where to find it  </w:t>
            </w:r>
          </w:p>
        </w:tc>
        <w:tc>
          <w:tcPr>
            <w:tcW w:w="8131" w:type="dxa"/>
            <w:tcBorders>
              <w:top w:val="single" w:sz="4" w:space="0" w:color="00000A"/>
              <w:left w:val="single" w:sz="4" w:space="0" w:color="00000A"/>
              <w:bottom w:val="single" w:sz="4" w:space="0" w:color="00000A"/>
              <w:right w:val="single" w:sz="4" w:space="0" w:color="00000A"/>
            </w:tcBorders>
            <w:vAlign w:val="center"/>
          </w:tcPr>
          <w:p w:rsidR="00BD2EC2" w:rsidRDefault="000B52C4" w:rsidP="00BD2EC2">
            <w:pPr>
              <w:suppressAutoHyphens/>
              <w:spacing w:after="0" w:line="100" w:lineRule="atLeast"/>
              <w:rPr>
                <w:rFonts w:ascii="Calibri" w:eastAsia="DejaVu Sans" w:hAnsi="Calibri" w:cs="Calibri"/>
                <w:sz w:val="24"/>
                <w:szCs w:val="24"/>
              </w:rPr>
            </w:pPr>
            <w:r w:rsidRPr="000B52C4">
              <w:rPr>
                <w:rFonts w:ascii="Calibri" w:eastAsia="DejaVu Sans" w:hAnsi="Calibri" w:cs="Calibri"/>
                <w:sz w:val="24"/>
                <w:szCs w:val="24"/>
              </w:rPr>
              <w:t xml:space="preserve">Produce coastal and on land flooding guidance 4 times a day on NDFD CONUS </w:t>
            </w:r>
            <w:r>
              <w:rPr>
                <w:rFonts w:ascii="Calibri" w:eastAsia="DejaVu Sans" w:hAnsi="Calibri" w:cs="Calibri"/>
                <w:sz w:val="24"/>
                <w:szCs w:val="24"/>
              </w:rPr>
              <w:t xml:space="preserve">(2.5km) </w:t>
            </w:r>
            <w:r w:rsidRPr="000B52C4">
              <w:rPr>
                <w:rFonts w:ascii="Calibri" w:eastAsia="DejaVu Sans" w:hAnsi="Calibri" w:cs="Calibri"/>
                <w:sz w:val="24"/>
                <w:szCs w:val="24"/>
              </w:rPr>
              <w:t xml:space="preserve">and Alaska </w:t>
            </w:r>
            <w:r>
              <w:rPr>
                <w:rFonts w:ascii="Calibri" w:eastAsia="DejaVu Sans" w:hAnsi="Calibri" w:cs="Calibri"/>
                <w:sz w:val="24"/>
                <w:szCs w:val="24"/>
              </w:rPr>
              <w:t xml:space="preserve">(3kM) grid (grib2 files) and </w:t>
            </w:r>
            <w:r w:rsidRPr="000B52C4">
              <w:rPr>
                <w:rFonts w:ascii="Calibri" w:eastAsia="DejaVu Sans" w:hAnsi="Calibri" w:cs="Calibri"/>
                <w:sz w:val="24"/>
                <w:szCs w:val="24"/>
              </w:rPr>
              <w:t>water level forecast 4 times a day on COOPS and USGS stations</w:t>
            </w:r>
            <w:r>
              <w:rPr>
                <w:rFonts w:ascii="Calibri" w:eastAsia="DejaVu Sans" w:hAnsi="Calibri" w:cs="Calibri"/>
                <w:sz w:val="24"/>
                <w:szCs w:val="24"/>
              </w:rPr>
              <w:t xml:space="preserve"> (ASCII text files).</w:t>
            </w:r>
            <w:r w:rsidRPr="000B52C4">
              <w:rPr>
                <w:rFonts w:ascii="Calibri" w:eastAsia="DejaVu Sans" w:hAnsi="Calibri" w:cs="Calibri"/>
                <w:sz w:val="24"/>
                <w:szCs w:val="24"/>
              </w:rPr>
              <w:t xml:space="preserve"> </w:t>
            </w:r>
            <w:r>
              <w:rPr>
                <w:rFonts w:ascii="Calibri" w:eastAsia="DejaVu Sans" w:hAnsi="Calibri" w:cs="Calibri"/>
                <w:sz w:val="24"/>
                <w:szCs w:val="24"/>
              </w:rPr>
              <w:t xml:space="preserve"> </w:t>
            </w:r>
            <w:r w:rsidR="00982550">
              <w:rPr>
                <w:rFonts w:ascii="Calibri" w:eastAsia="DejaVu Sans" w:hAnsi="Calibri" w:cs="Calibri"/>
                <w:sz w:val="24"/>
                <w:szCs w:val="24"/>
              </w:rPr>
              <w:t>Output</w:t>
            </w:r>
            <w:r>
              <w:rPr>
                <w:rFonts w:ascii="Calibri" w:eastAsia="DejaVu Sans" w:hAnsi="Calibri" w:cs="Calibri"/>
                <w:sz w:val="24"/>
                <w:szCs w:val="24"/>
              </w:rPr>
              <w:t xml:space="preserve">s </w:t>
            </w:r>
            <w:proofErr w:type="gramStart"/>
            <w:r>
              <w:rPr>
                <w:rFonts w:ascii="Calibri" w:eastAsia="DejaVu Sans" w:hAnsi="Calibri" w:cs="Calibri"/>
                <w:sz w:val="24"/>
                <w:szCs w:val="24"/>
              </w:rPr>
              <w:t>are</w:t>
            </w:r>
            <w:r w:rsidR="00982550">
              <w:rPr>
                <w:rFonts w:ascii="Calibri" w:eastAsia="DejaVu Sans" w:hAnsi="Calibri" w:cs="Calibri"/>
                <w:sz w:val="24"/>
                <w:szCs w:val="24"/>
              </w:rPr>
              <w:t xml:space="preserve">  placed</w:t>
            </w:r>
            <w:proofErr w:type="gramEnd"/>
            <w:r w:rsidR="00982550">
              <w:rPr>
                <w:rFonts w:ascii="Calibri" w:eastAsia="DejaVu Sans" w:hAnsi="Calibri" w:cs="Calibri"/>
                <w:sz w:val="24"/>
                <w:szCs w:val="24"/>
              </w:rPr>
              <w:t xml:space="preserve"> in /com and /</w:t>
            </w:r>
            <w:proofErr w:type="spellStart"/>
            <w:r w:rsidR="00982550">
              <w:rPr>
                <w:rFonts w:ascii="Calibri" w:eastAsia="DejaVu Sans" w:hAnsi="Calibri" w:cs="Calibri"/>
                <w:sz w:val="24"/>
                <w:szCs w:val="24"/>
              </w:rPr>
              <w:t>pcom</w:t>
            </w:r>
            <w:proofErr w:type="spellEnd"/>
            <w:r>
              <w:rPr>
                <w:rFonts w:ascii="Calibri" w:eastAsia="DejaVu Sans" w:hAnsi="Calibri" w:cs="Calibri"/>
                <w:sz w:val="24"/>
                <w:szCs w:val="24"/>
              </w:rPr>
              <w:t>.</w:t>
            </w:r>
            <w:r w:rsidR="00FD7221">
              <w:rPr>
                <w:rFonts w:ascii="Calibri" w:eastAsia="DejaVu Sans" w:hAnsi="Calibri" w:cs="Calibri"/>
                <w:sz w:val="24"/>
                <w:szCs w:val="24"/>
              </w:rPr>
              <w:t xml:space="preserve"> </w:t>
            </w:r>
            <w:r w:rsidR="00FD7221" w:rsidRPr="00FD7221">
              <w:rPr>
                <w:rFonts w:ascii="Calibri" w:eastAsia="DejaVu Sans" w:hAnsi="Calibri" w:cs="Calibri"/>
                <w:sz w:val="24"/>
                <w:szCs w:val="24"/>
              </w:rPr>
              <w:t xml:space="preserve">NWS FTP: </w:t>
            </w:r>
            <w:hyperlink r:id="rId6" w:history="1">
              <w:r w:rsidR="00FD7221" w:rsidRPr="00FD7221">
                <w:rPr>
                  <w:rStyle w:val="Hyperlink"/>
                  <w:rFonts w:ascii="Calibri" w:eastAsia="DejaVu Sans" w:hAnsi="Calibri" w:cs="Calibri"/>
                  <w:sz w:val="24"/>
                  <w:szCs w:val="24"/>
                </w:rPr>
                <w:t>http://weather.noaa.gov/pub/SL.us008001/DF.anf/DC.etss/</w:t>
              </w:r>
            </w:hyperlink>
          </w:p>
          <w:p w:rsidR="00FD7221" w:rsidRPr="00BD2EC2" w:rsidRDefault="00FD7221" w:rsidP="00FD7221">
            <w:pPr>
              <w:suppressAutoHyphens/>
              <w:spacing w:after="0" w:line="100" w:lineRule="atLeast"/>
              <w:rPr>
                <w:rFonts w:ascii="Calibri" w:eastAsia="DejaVu Sans" w:hAnsi="Calibri" w:cs="Calibri"/>
                <w:sz w:val="24"/>
                <w:szCs w:val="24"/>
              </w:rPr>
            </w:pPr>
            <w:r>
              <w:rPr>
                <w:rFonts w:ascii="Calibri" w:eastAsia="DejaVu Sans" w:hAnsi="Calibri" w:cs="Calibri"/>
                <w:sz w:val="24"/>
                <w:szCs w:val="24"/>
              </w:rPr>
              <w:lastRenderedPageBreak/>
              <w:t>Post processing</w:t>
            </w:r>
            <w:r>
              <w:rPr>
                <w:rFonts w:ascii="Calibri" w:eastAsia="DejaVu Sans" w:hAnsi="Calibri" w:cs="Calibri"/>
                <w:sz w:val="24"/>
                <w:szCs w:val="24"/>
              </w:rPr>
              <w:t xml:space="preserve"> is kicked off after ETSS2.0 model runs</w:t>
            </w:r>
            <w:r>
              <w:rPr>
                <w:rFonts w:ascii="Calibri" w:eastAsia="DejaVu Sans" w:hAnsi="Calibri" w:cs="Calibri"/>
                <w:sz w:val="24"/>
                <w:szCs w:val="24"/>
              </w:rPr>
              <w:t>. Output ASCII SHEF-encoded water level guidance is placed in /com and /</w:t>
            </w:r>
            <w:proofErr w:type="spellStart"/>
            <w:r>
              <w:rPr>
                <w:rFonts w:ascii="Calibri" w:eastAsia="DejaVu Sans" w:hAnsi="Calibri" w:cs="Calibri"/>
                <w:sz w:val="24"/>
                <w:szCs w:val="24"/>
              </w:rPr>
              <w:t>pcom</w:t>
            </w:r>
            <w:proofErr w:type="spellEnd"/>
            <w:r>
              <w:rPr>
                <w:rFonts w:ascii="Calibri" w:eastAsia="DejaVu Sans" w:hAnsi="Calibri" w:cs="Calibri"/>
                <w:sz w:val="24"/>
                <w:szCs w:val="24"/>
              </w:rPr>
              <w:t xml:space="preserve"> once post-processing completes ten minutes after kickoff. From these folders, the output is ingested into AWIPS and undergoes an arduous journey through several databases and file formats to NIDS, where it is finally placed in the AHPS system.</w:t>
            </w:r>
          </w:p>
          <w:p w:rsidR="00FD7221" w:rsidRPr="00BD2EC2" w:rsidRDefault="00FD7221" w:rsidP="00FD7221">
            <w:pPr>
              <w:suppressAutoHyphens/>
              <w:spacing w:after="0" w:line="100" w:lineRule="atLeast"/>
              <w:rPr>
                <w:rFonts w:ascii="Calibri" w:eastAsia="DejaVu Sans" w:hAnsi="Calibri" w:cs="Calibri"/>
                <w:sz w:val="24"/>
                <w:szCs w:val="24"/>
              </w:rPr>
            </w:pPr>
          </w:p>
          <w:p w:rsidR="00FD7221" w:rsidRPr="00BD2EC2" w:rsidRDefault="00FD7221" w:rsidP="00FD7221">
            <w:pPr>
              <w:suppressAutoHyphens/>
              <w:spacing w:after="0" w:line="100" w:lineRule="atLeast"/>
              <w:rPr>
                <w:rFonts w:ascii="Calibri" w:eastAsia="DejaVu Sans" w:hAnsi="Calibri" w:cs="Calibri"/>
                <w:sz w:val="24"/>
                <w:szCs w:val="24"/>
              </w:rPr>
            </w:pPr>
            <w:r w:rsidRPr="00BD2EC2">
              <w:rPr>
                <w:rFonts w:ascii="Calibri" w:eastAsia="DejaVu Sans" w:hAnsi="Calibri" w:cs="Calibri"/>
                <w:sz w:val="24"/>
                <w:szCs w:val="24"/>
              </w:rPr>
              <w:t>MDL also provides a station based total water level guidance website: (</w:t>
            </w:r>
            <w:hyperlink r:id="rId7" w:history="1">
              <w:r w:rsidRPr="000B5F94">
                <w:rPr>
                  <w:rStyle w:val="Hyperlink"/>
                  <w:rFonts w:ascii="Calibri" w:eastAsia="DejaVu Sans" w:hAnsi="Calibri" w:cs="Calibri"/>
                  <w:sz w:val="24"/>
                  <w:szCs w:val="24"/>
                </w:rPr>
                <w:t>http://www.nws.weather.gov/mdlsurge/etsurge</w:t>
              </w:r>
            </w:hyperlink>
            <w:r>
              <w:rPr>
                <w:rFonts w:ascii="Calibri" w:eastAsia="DejaVu Sans" w:hAnsi="Calibri" w:cs="Calibri"/>
                <w:color w:val="0000FF" w:themeColor="hyperlink"/>
                <w:sz w:val="24"/>
                <w:szCs w:val="24"/>
                <w:u w:val="single"/>
              </w:rPr>
              <w:t>2.0e/</w:t>
            </w:r>
            <w:r w:rsidRPr="00BD2EC2">
              <w:rPr>
                <w:rFonts w:ascii="Calibri" w:eastAsia="DejaVu Sans" w:hAnsi="Calibri" w:cs="Calibri"/>
                <w:sz w:val="24"/>
                <w:szCs w:val="24"/>
              </w:rPr>
              <w:t>) based on ETSS output, NOS-COOPS tide gauge calculations, and NOS-COOPS observations (where available).  If observations are available, the total water level guidance is corrected based on the 5 day bias.</w:t>
            </w:r>
          </w:p>
          <w:p w:rsidR="00FD7221" w:rsidRPr="00BD2EC2" w:rsidRDefault="00FD7221" w:rsidP="00FD7221">
            <w:pPr>
              <w:suppressAutoHyphens/>
              <w:spacing w:after="0" w:line="100" w:lineRule="atLeast"/>
              <w:rPr>
                <w:rFonts w:ascii="Calibri" w:eastAsia="DejaVu Sans" w:hAnsi="Calibri" w:cs="Calibri"/>
                <w:sz w:val="24"/>
                <w:szCs w:val="24"/>
              </w:rPr>
            </w:pPr>
          </w:p>
          <w:p w:rsidR="00FD7221" w:rsidRPr="00BD2EC2" w:rsidRDefault="00FD7221" w:rsidP="00FD7221">
            <w:pPr>
              <w:suppressAutoHyphens/>
              <w:spacing w:after="0" w:line="100" w:lineRule="atLeast"/>
              <w:rPr>
                <w:rFonts w:ascii="Calibri" w:eastAsia="DejaVu Sans" w:hAnsi="Calibri" w:cs="Calibri"/>
                <w:sz w:val="24"/>
                <w:szCs w:val="24"/>
              </w:rPr>
            </w:pPr>
            <w:r w:rsidRPr="00BD2EC2">
              <w:rPr>
                <w:rFonts w:ascii="Calibri" w:eastAsia="DejaVu Sans" w:hAnsi="Calibri" w:cs="Calibri"/>
                <w:sz w:val="24"/>
                <w:szCs w:val="24"/>
              </w:rPr>
              <w:t xml:space="preserve">OPC also provides a map based depiction of surge guidance and pressure fields here: </w:t>
            </w:r>
            <w:hyperlink r:id="rId8" w:history="1">
              <w:r w:rsidRPr="00BD2EC2">
                <w:rPr>
                  <w:rFonts w:ascii="Calibri" w:eastAsia="DejaVu Sans" w:hAnsi="Calibri" w:cs="Calibri"/>
                  <w:color w:val="0000FF" w:themeColor="hyperlink"/>
                  <w:sz w:val="24"/>
                  <w:szCs w:val="24"/>
                  <w:u w:val="single"/>
                </w:rPr>
                <w:t>http://www.opc.ncep.noaa.gov/et_surge/et_surge_info.shtml</w:t>
              </w:r>
            </w:hyperlink>
          </w:p>
          <w:p w:rsidR="00FD7221" w:rsidRPr="00BD2EC2" w:rsidRDefault="00FD7221" w:rsidP="00BD2EC2">
            <w:pPr>
              <w:suppressAutoHyphens/>
              <w:spacing w:after="0" w:line="100" w:lineRule="atLeast"/>
              <w:rPr>
                <w:rFonts w:ascii="Calibri" w:eastAsia="DejaVu Sans" w:hAnsi="Calibri" w:cs="Calibri"/>
                <w:sz w:val="24"/>
                <w:szCs w:val="24"/>
              </w:rPr>
            </w:pPr>
          </w:p>
          <w:p w:rsidR="00BD2EC2" w:rsidRPr="00BD2EC2" w:rsidRDefault="00BD2EC2" w:rsidP="000B52C4">
            <w:pPr>
              <w:suppressAutoHyphens/>
              <w:spacing w:after="0" w:line="100" w:lineRule="atLeast"/>
              <w:rPr>
                <w:rFonts w:ascii="Calibri" w:eastAsia="DejaVu Sans" w:hAnsi="Calibri" w:cs="Calibri"/>
              </w:rPr>
            </w:pPr>
          </w:p>
        </w:tc>
      </w:tr>
      <w:tr w:rsidR="00BD2EC2" w:rsidRPr="00BD2EC2" w:rsidTr="00BD2EC2">
        <w:trPr>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lastRenderedPageBreak/>
              <w:t xml:space="preserve">Primary users  </w:t>
            </w:r>
          </w:p>
        </w:tc>
        <w:tc>
          <w:tcPr>
            <w:tcW w:w="8131" w:type="dxa"/>
            <w:tcBorders>
              <w:top w:val="single" w:sz="4" w:space="0" w:color="00000A"/>
              <w:left w:val="single" w:sz="4" w:space="0" w:color="00000A"/>
              <w:bottom w:val="single" w:sz="4" w:space="0" w:color="00000A"/>
              <w:right w:val="single" w:sz="4" w:space="0" w:color="00000A"/>
            </w:tcBorders>
            <w:vAlign w:val="center"/>
            <w:hideMark/>
          </w:tcPr>
          <w:p w:rsidR="00BD2EC2" w:rsidRPr="00BD2EC2" w:rsidRDefault="00FD7221" w:rsidP="00BD2EC2">
            <w:pPr>
              <w:suppressAutoHyphens/>
              <w:spacing w:after="0" w:line="100" w:lineRule="atLeast"/>
              <w:rPr>
                <w:rFonts w:ascii="Calibri" w:eastAsia="DejaVu Sans" w:hAnsi="Calibri" w:cs="Calibri"/>
                <w:sz w:val="24"/>
                <w:szCs w:val="24"/>
              </w:rPr>
            </w:pPr>
            <w:r w:rsidRPr="004001B9">
              <w:rPr>
                <w:rFonts w:ascii="Calibri" w:eastAsia="DejaVu Sans" w:hAnsi="Calibri" w:cs="Calibri"/>
                <w:sz w:val="24"/>
                <w:szCs w:val="24"/>
              </w:rPr>
              <w:t>NCEP's Ocean Prediction Center (OPC), NCEP’s National Hurricane Center (NHC), NWS’s Eastern, Alaska, Southern, and Western Regions (HQ, coastal RFCs and WFOs</w:t>
            </w:r>
            <w:r>
              <w:rPr>
                <w:rFonts w:ascii="Calibri" w:eastAsia="DejaVu Sans" w:hAnsi="Calibri" w:cs="Calibri"/>
                <w:sz w:val="24"/>
                <w:szCs w:val="24"/>
              </w:rPr>
              <w:t>)</w:t>
            </w:r>
          </w:p>
        </w:tc>
      </w:tr>
      <w:tr w:rsidR="00BD2EC2" w:rsidRPr="00BD2EC2" w:rsidTr="00BD2EC2">
        <w:trPr>
          <w:trHeight w:val="729"/>
          <w:jc w:val="center"/>
        </w:trPr>
        <w:tc>
          <w:tcPr>
            <w:tcW w:w="2052" w:type="dxa"/>
            <w:tcBorders>
              <w:top w:val="single" w:sz="4" w:space="0" w:color="00000A"/>
              <w:left w:val="single" w:sz="4" w:space="0" w:color="00000A"/>
              <w:bottom w:val="single" w:sz="4" w:space="0" w:color="00000A"/>
              <w:right w:val="single" w:sz="4" w:space="0" w:color="00000A"/>
            </w:tcBorders>
            <w:hideMark/>
          </w:tcPr>
          <w:p w:rsidR="00BD2EC2" w:rsidRPr="00BD2EC2" w:rsidRDefault="00BD2EC2" w:rsidP="00BD2EC2">
            <w:pPr>
              <w:suppressAutoHyphens/>
              <w:spacing w:after="0" w:line="100" w:lineRule="atLeast"/>
              <w:jc w:val="right"/>
              <w:rPr>
                <w:rFonts w:ascii="Calibri" w:eastAsia="DejaVu Sans" w:hAnsi="Calibri" w:cs="Calibri"/>
              </w:rPr>
            </w:pPr>
            <w:r w:rsidRPr="00BD2EC2">
              <w:rPr>
                <w:rFonts w:ascii="Calibri" w:eastAsia="DejaVu Sans" w:hAnsi="Calibri" w:cs="Calibri"/>
                <w:b/>
                <w:color w:val="002060"/>
              </w:rPr>
              <w:t xml:space="preserve">In the future  </w:t>
            </w:r>
          </w:p>
        </w:tc>
        <w:tc>
          <w:tcPr>
            <w:tcW w:w="8131" w:type="dxa"/>
            <w:tcBorders>
              <w:top w:val="single" w:sz="4" w:space="0" w:color="00000A"/>
              <w:left w:val="single" w:sz="4" w:space="0" w:color="00000A"/>
              <w:bottom w:val="single" w:sz="4" w:space="0" w:color="00000A"/>
              <w:right w:val="single" w:sz="4" w:space="0" w:color="00000A"/>
            </w:tcBorders>
            <w:vAlign w:val="center"/>
          </w:tcPr>
          <w:p w:rsidR="00BD2EC2" w:rsidRDefault="00AA1974" w:rsidP="00E65BC5">
            <w:pPr>
              <w:suppressAutoHyphens/>
              <w:spacing w:after="0" w:line="100" w:lineRule="atLeast"/>
              <w:contextualSpacing/>
              <w:rPr>
                <w:rFonts w:ascii="Calibri" w:eastAsia="DejaVu Sans" w:hAnsi="Calibri" w:cs="Calibri"/>
                <w:sz w:val="24"/>
                <w:szCs w:val="24"/>
              </w:rPr>
            </w:pPr>
            <w:r>
              <w:rPr>
                <w:rFonts w:ascii="Calibri" w:eastAsia="DejaVu Sans" w:hAnsi="Calibri" w:cs="Calibri"/>
                <w:sz w:val="24"/>
                <w:szCs w:val="24"/>
              </w:rPr>
              <w:t xml:space="preserve">ETSS2.1 </w:t>
            </w:r>
          </w:p>
          <w:p w:rsidR="00AA1974" w:rsidRDefault="00AA1974" w:rsidP="00AA1974">
            <w:pPr>
              <w:pStyle w:val="ListParagraph"/>
              <w:numPr>
                <w:ilvl w:val="0"/>
                <w:numId w:val="6"/>
              </w:numPr>
              <w:spacing w:after="0" w:line="240" w:lineRule="auto"/>
              <w:rPr>
                <w:sz w:val="24"/>
                <w:szCs w:val="24"/>
              </w:rPr>
            </w:pPr>
            <w:r w:rsidRPr="000B52C4">
              <w:rPr>
                <w:sz w:val="24"/>
                <w:szCs w:val="24"/>
              </w:rPr>
              <w:t>Incorporating a tide algorithm to allow inundation based on surge and tide</w:t>
            </w:r>
          </w:p>
          <w:p w:rsidR="005531BA" w:rsidRDefault="005531BA" w:rsidP="005531BA">
            <w:pPr>
              <w:pStyle w:val="ListParagraph"/>
              <w:numPr>
                <w:ilvl w:val="0"/>
                <w:numId w:val="6"/>
              </w:numPr>
              <w:rPr>
                <w:sz w:val="24"/>
                <w:szCs w:val="24"/>
                <w:lang w:val="en-CA"/>
              </w:rPr>
            </w:pPr>
            <w:r w:rsidRPr="005531BA">
              <w:rPr>
                <w:sz w:val="24"/>
                <w:szCs w:val="24"/>
                <w:lang w:val="en-CA"/>
              </w:rPr>
              <w:t>Support development of ETSS 2.1 (Bering Sea / Arctic basin replacement)</w:t>
            </w:r>
          </w:p>
          <w:p w:rsidR="00FD7221" w:rsidRPr="00FD7221" w:rsidRDefault="00FD7221" w:rsidP="00FD7221">
            <w:pPr>
              <w:rPr>
                <w:sz w:val="24"/>
                <w:szCs w:val="24"/>
                <w:lang w:val="en-CA"/>
              </w:rPr>
            </w:pPr>
            <w:r>
              <w:rPr>
                <w:rFonts w:ascii="Calibri" w:eastAsia="DejaVu Sans" w:hAnsi="Calibri" w:cs="Calibri"/>
                <w:sz w:val="24"/>
                <w:szCs w:val="24"/>
              </w:rPr>
              <w:t>Add more stations; Upgrades to post-processing TBD</w:t>
            </w:r>
            <w:bookmarkStart w:id="0" w:name="_GoBack"/>
            <w:bookmarkEnd w:id="0"/>
          </w:p>
          <w:p w:rsidR="00AA1974" w:rsidRPr="00BD2EC2" w:rsidRDefault="00AA1974" w:rsidP="00E65BC5">
            <w:pPr>
              <w:suppressAutoHyphens/>
              <w:spacing w:after="0" w:line="100" w:lineRule="atLeast"/>
              <w:contextualSpacing/>
              <w:rPr>
                <w:rFonts w:ascii="Calibri" w:eastAsia="DejaVu Sans" w:hAnsi="Calibri" w:cs="Calibri"/>
                <w:sz w:val="24"/>
                <w:szCs w:val="24"/>
              </w:rPr>
            </w:pPr>
          </w:p>
        </w:tc>
      </w:tr>
    </w:tbl>
    <w:p w:rsidR="00BD2EC2" w:rsidRPr="00BD2EC2" w:rsidRDefault="00BD2EC2" w:rsidP="00BD2EC2">
      <w:pPr>
        <w:suppressAutoHyphens/>
        <w:spacing w:line="100" w:lineRule="atLeast"/>
        <w:rPr>
          <w:rFonts w:ascii="Calibri" w:eastAsia="DejaVu Sans" w:hAnsi="Calibri" w:cs="Calibri"/>
        </w:rPr>
      </w:pPr>
    </w:p>
    <w:p w:rsidR="00193B49" w:rsidRDefault="00BD2EC2" w:rsidP="005531BA">
      <w:pPr>
        <w:suppressAutoHyphens/>
        <w:spacing w:line="100" w:lineRule="atLeast"/>
      </w:pPr>
      <w:r w:rsidRPr="00BD2EC2">
        <w:rPr>
          <w:rFonts w:ascii="Calibri" w:eastAsia="DejaVu Sans" w:hAnsi="Calibri" w:cs="Calibri"/>
        </w:rPr>
        <w:t xml:space="preserve">For more information on this model, please contact </w:t>
      </w:r>
      <w:hyperlink r:id="rId9" w:history="1">
        <w:r w:rsidRPr="00BD2EC2">
          <w:rPr>
            <w:rFonts w:ascii="Calibri" w:eastAsia="DejaVu Sans" w:hAnsi="Calibri" w:cs="Calibri"/>
            <w:color w:val="0000FF" w:themeColor="hyperlink"/>
            <w:u w:val="single"/>
          </w:rPr>
          <w:t>ncep.pmb.dataflow@noaa.gov</w:t>
        </w:r>
      </w:hyperlink>
      <w:r w:rsidRPr="00BD2EC2">
        <w:rPr>
          <w:rFonts w:ascii="Calibri" w:eastAsia="DejaVu Sans" w:hAnsi="Calibri" w:cs="Calibri"/>
        </w:rPr>
        <w:t xml:space="preserve"> .</w:t>
      </w:r>
    </w:p>
    <w:sectPr w:rsidR="00193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DejaVu Sans Mono">
    <w:altName w:val="MS PMincho"/>
    <w:charset w:val="8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70A35"/>
    <w:multiLevelType w:val="hybridMultilevel"/>
    <w:tmpl w:val="F2C870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36033D0"/>
    <w:multiLevelType w:val="hybridMultilevel"/>
    <w:tmpl w:val="568C8D38"/>
    <w:lvl w:ilvl="0" w:tplc="C6B6B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513DF"/>
    <w:multiLevelType w:val="hybridMultilevel"/>
    <w:tmpl w:val="D3503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6426A5"/>
    <w:multiLevelType w:val="hybridMultilevel"/>
    <w:tmpl w:val="A3F69392"/>
    <w:lvl w:ilvl="0" w:tplc="E3C0E5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7334D"/>
    <w:multiLevelType w:val="hybridMultilevel"/>
    <w:tmpl w:val="F2C870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0E71690"/>
    <w:multiLevelType w:val="hybridMultilevel"/>
    <w:tmpl w:val="568C8D38"/>
    <w:lvl w:ilvl="0" w:tplc="C6B6B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247341"/>
    <w:multiLevelType w:val="hybridMultilevel"/>
    <w:tmpl w:val="568C8D38"/>
    <w:lvl w:ilvl="0" w:tplc="C6B6B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EC2"/>
    <w:rsid w:val="000B52C4"/>
    <w:rsid w:val="001212BB"/>
    <w:rsid w:val="00193B49"/>
    <w:rsid w:val="002A69DA"/>
    <w:rsid w:val="004B47D3"/>
    <w:rsid w:val="005531BA"/>
    <w:rsid w:val="005D1550"/>
    <w:rsid w:val="00875CCA"/>
    <w:rsid w:val="00967963"/>
    <w:rsid w:val="00982550"/>
    <w:rsid w:val="00AA1974"/>
    <w:rsid w:val="00B60DD8"/>
    <w:rsid w:val="00BD2EC2"/>
    <w:rsid w:val="00E65BC5"/>
    <w:rsid w:val="00FD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2BB"/>
    <w:pPr>
      <w:ind w:left="720"/>
      <w:contextualSpacing/>
    </w:pPr>
  </w:style>
  <w:style w:type="character" w:styleId="Hyperlink">
    <w:name w:val="Hyperlink"/>
    <w:basedOn w:val="DefaultParagraphFont"/>
    <w:uiPriority w:val="99"/>
    <w:unhideWhenUsed/>
    <w:rsid w:val="00E65B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2BB"/>
    <w:pPr>
      <w:ind w:left="720"/>
      <w:contextualSpacing/>
    </w:pPr>
  </w:style>
  <w:style w:type="character" w:styleId="Hyperlink">
    <w:name w:val="Hyperlink"/>
    <w:basedOn w:val="DefaultParagraphFont"/>
    <w:uiPriority w:val="99"/>
    <w:unhideWhenUsed/>
    <w:rsid w:val="00E6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0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c.ncep.noaa.gov/et_surge/et_surge_info.shtml" TargetMode="External"/><Relationship Id="rId3" Type="http://schemas.microsoft.com/office/2007/relationships/stylesWithEffects" Target="stylesWithEffects.xml"/><Relationship Id="rId7" Type="http://schemas.openxmlformats.org/officeDocument/2006/relationships/hyperlink" Target="http://www.nws.weather.gov/mdlsurge/etsur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ather.noaa.gov/pub/SL.us008001/DF.anf/DC.et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cep.pmb.dataflow@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NOAA National Weather Service</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Schuster</dc:creator>
  <cp:lastModifiedBy>Huiqing Liu</cp:lastModifiedBy>
  <cp:revision>3</cp:revision>
  <dcterms:created xsi:type="dcterms:W3CDTF">2014-12-11T21:30:00Z</dcterms:created>
  <dcterms:modified xsi:type="dcterms:W3CDTF">2014-12-11T21:37:00Z</dcterms:modified>
</cp:coreProperties>
</file>