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00" w:lineRule="auto"/>
        <w:contextualSpacing w:val="0"/>
      </w:pPr>
      <w:r w:rsidDel="00000000" w:rsidR="00000000" w:rsidRPr="00000000">
        <w:rPr>
          <w:b w:val="1"/>
          <w:color w:val="002060"/>
          <w:sz w:val="52"/>
          <w:szCs w:val="52"/>
          <w:rtl w:val="0"/>
        </w:rPr>
        <w:t xml:space="preserve">Release Notes </w:t>
      </w:r>
      <w:r w:rsidDel="00000000" w:rsidR="00000000" w:rsidRPr="00000000">
        <w:rPr>
          <w:rtl w:val="0"/>
        </w:rPr>
      </w:r>
    </w:p>
    <w:tbl>
      <w:tblPr>
        <w:tblStyle w:val="Table1"/>
        <w:bidiVisual w:val="0"/>
        <w:tblW w:w="9463.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400"/>
      </w:tblPr>
      <w:tblGrid>
        <w:gridCol w:w="1935"/>
        <w:gridCol w:w="7528"/>
        <w:tblGridChange w:id="0">
          <w:tblGrid>
            <w:gridCol w:w="1935"/>
            <w:gridCol w:w="7528"/>
          </w:tblGrid>
        </w:tblGridChange>
      </w:tblGrid>
      <w:t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pPr>
              <w:spacing w:after="0" w:lineRule="auto"/>
              <w:contextualSpacing w:val="0"/>
              <w:jc w:val="right"/>
            </w:pPr>
            <w:r w:rsidDel="00000000" w:rsidR="00000000" w:rsidRPr="00000000">
              <w:rPr>
                <w:b w:val="1"/>
                <w:color w:val="002060"/>
                <w:rtl w:val="0"/>
              </w:rPr>
              <w:t xml:space="preserve">Model</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pPr>
              <w:spacing w:after="0" w:lineRule="auto"/>
              <w:contextualSpacing w:val="0"/>
            </w:pPr>
            <w:r w:rsidDel="00000000" w:rsidR="00000000" w:rsidRPr="00000000">
              <w:rPr>
                <w:sz w:val="24"/>
                <w:szCs w:val="24"/>
                <w:rtl w:val="0"/>
              </w:rPr>
              <w:t xml:space="preserve">Extra-Tropical Storm Surge (ETSS) </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pPr>
              <w:spacing w:after="0" w:lineRule="auto"/>
              <w:contextualSpacing w:val="0"/>
              <w:jc w:val="right"/>
            </w:pPr>
            <w:r w:rsidDel="00000000" w:rsidR="00000000" w:rsidRPr="00000000">
              <w:rPr>
                <w:b w:val="1"/>
                <w:color w:val="002060"/>
                <w:rtl w:val="0"/>
              </w:rPr>
              <w:t xml:space="preserve">Version</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pPr>
              <w:spacing w:after="0" w:lineRule="auto"/>
              <w:contextualSpacing w:val="0"/>
            </w:pPr>
            <w:r w:rsidDel="00000000" w:rsidR="00000000" w:rsidRPr="00000000">
              <w:rPr>
                <w:sz w:val="24"/>
                <w:szCs w:val="24"/>
                <w:rtl w:val="0"/>
              </w:rPr>
              <w:t xml:space="preserve">V2.2</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pPr>
              <w:spacing w:after="0" w:lineRule="auto"/>
              <w:contextualSpacing w:val="0"/>
              <w:jc w:val="right"/>
            </w:pPr>
            <w:r w:rsidDel="00000000" w:rsidR="00000000" w:rsidRPr="00000000">
              <w:rPr>
                <w:b w:val="1"/>
                <w:color w:val="002060"/>
                <w:rtl w:val="0"/>
              </w:rPr>
              <w:t xml:space="preserve">Implementation date/time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pPr>
              <w:spacing w:after="0" w:lineRule="auto"/>
              <w:contextualSpacing w:val="0"/>
            </w:pPr>
            <w:r w:rsidDel="00000000" w:rsidR="00000000" w:rsidRPr="00000000">
              <w:rPr>
                <w:rtl w:val="0"/>
              </w:rPr>
              <w:t xml:space="preserve">6/6/2017</w:t>
            </w:r>
          </w:p>
        </w:tc>
      </w:tr>
      <w:t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pPr>
              <w:spacing w:after="0" w:lineRule="auto"/>
              <w:contextualSpacing w:val="0"/>
              <w:jc w:val="right"/>
            </w:pPr>
            <w:r w:rsidDel="00000000" w:rsidR="00000000" w:rsidRPr="00000000">
              <w:rPr>
                <w:b w:val="1"/>
                <w:color w:val="002060"/>
                <w:rtl w:val="0"/>
              </w:rPr>
              <w:t xml:space="preserve">Purpose  </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pPr>
              <w:tabs>
                <w:tab w:val="left" w:pos="1440"/>
              </w:tabs>
              <w:spacing w:after="0" w:lineRule="auto"/>
              <w:contextualSpacing w:val="0"/>
              <w:jc w:val="both"/>
            </w:pPr>
            <w:r w:rsidDel="00000000" w:rsidR="00000000" w:rsidRPr="00000000">
              <w:rPr>
                <w:sz w:val="24"/>
                <w:szCs w:val="24"/>
                <w:rtl w:val="0"/>
              </w:rPr>
              <w:t xml:space="preserve">The Extra-Tropical Storm Surge model is a modification of the SLOSH model that uses GFS wind and pressure input to predict storm surge from large extra-tropical storms.  With version 2.1, it produced storm tide overland (based on storm surge + tide) for the continental U.S. and Alaska coastlines.  Additionally, the post processing stage combined ETSS surge guidance with station based tidal predictions and observations (where available) to create bias corrected total water level guidance which was SHEF encoded and sent over the SBN.</w:t>
            </w:r>
            <w:r w:rsidDel="00000000" w:rsidR="00000000" w:rsidRPr="00000000">
              <w:rPr>
                <w:rtl w:val="0"/>
              </w:rPr>
            </w:r>
          </w:p>
          <w:p w:rsidR="00000000" w:rsidDel="00000000" w:rsidP="00000000" w:rsidRDefault="00000000" w:rsidRPr="00000000">
            <w:pPr>
              <w:tabs>
                <w:tab w:val="left" w:pos="1440"/>
              </w:tabs>
              <w:spacing w:after="0" w:before="0" w:line="276" w:lineRule="auto"/>
              <w:ind w:left="0" w:firstLine="0"/>
              <w:contextualSpacing w:val="0"/>
              <w:jc w:val="both"/>
            </w:pP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pPr>
              <w:spacing w:after="0" w:lineRule="auto"/>
              <w:contextualSpacing w:val="0"/>
              <w:jc w:val="right"/>
            </w:pPr>
            <w:r w:rsidDel="00000000" w:rsidR="00000000" w:rsidRPr="00000000">
              <w:rPr>
                <w:b w:val="1"/>
                <w:color w:val="002060"/>
                <w:rtl w:val="0"/>
              </w:rPr>
              <w:t xml:space="preserve">Changes being made for this release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pPr>
              <w:tabs>
                <w:tab w:val="left" w:pos="1440"/>
              </w:tabs>
              <w:spacing w:after="0" w:lineRule="auto"/>
              <w:contextualSpacing w:val="0"/>
              <w:jc w:val="both"/>
            </w:pPr>
            <w:r w:rsidDel="00000000" w:rsidR="00000000" w:rsidRPr="00000000">
              <w:rPr>
                <w:sz w:val="24"/>
                <w:szCs w:val="24"/>
                <w:rtl w:val="0"/>
              </w:rPr>
              <w:t xml:space="preserve">This upgrade will </w:t>
            </w:r>
          </w:p>
          <w:p w:rsidR="00000000" w:rsidDel="00000000" w:rsidP="00000000" w:rsidRDefault="00000000" w:rsidRPr="00000000">
            <w:pPr>
              <w:numPr>
                <w:ilvl w:val="0"/>
                <w:numId w:val="4"/>
              </w:numPr>
              <w:tabs>
                <w:tab w:val="left" w:pos="1440"/>
              </w:tabs>
              <w:spacing w:after="0" w:lineRule="auto"/>
              <w:ind w:left="720" w:hanging="360"/>
              <w:contextualSpacing w:val="1"/>
              <w:jc w:val="both"/>
              <w:rPr>
                <w:sz w:val="24"/>
                <w:szCs w:val="24"/>
                <w:u w:val="none"/>
              </w:rPr>
            </w:pPr>
            <w:r w:rsidDel="00000000" w:rsidR="00000000" w:rsidRPr="00000000">
              <w:rPr>
                <w:sz w:val="24"/>
                <w:szCs w:val="24"/>
                <w:rtl w:val="0"/>
              </w:rPr>
              <w:t xml:space="preserve">Replace the west coast basin with a new basin (NEP) with updated topography/bathymetry that allows surge to propagate southward along the Canadian coast.</w:t>
            </w:r>
          </w:p>
          <w:p w:rsidR="00000000" w:rsidDel="00000000" w:rsidP="00000000" w:rsidRDefault="00000000" w:rsidRPr="00000000">
            <w:pPr>
              <w:widowControl w:val="0"/>
              <w:numPr>
                <w:ilvl w:val="0"/>
                <w:numId w:val="4"/>
              </w:numPr>
              <w:spacing w:after="0" w:line="276" w:lineRule="auto"/>
              <w:ind w:left="720" w:hanging="360"/>
              <w:contextualSpacing w:val="1"/>
              <w:rPr>
                <w:sz w:val="24"/>
                <w:szCs w:val="24"/>
              </w:rPr>
            </w:pPr>
            <w:r w:rsidDel="00000000" w:rsidR="00000000" w:rsidRPr="00000000">
              <w:rPr>
                <w:sz w:val="24"/>
                <w:szCs w:val="24"/>
                <w:rtl w:val="0"/>
              </w:rPr>
              <w:t xml:space="preserve">Create a new Tide version to resolve tide phase shift in Cedar Key FL (CD2), Tampa Bay FL (ETP3) and Apalachicola FL (AP3).</w:t>
            </w:r>
          </w:p>
          <w:p w:rsidR="00000000" w:rsidDel="00000000" w:rsidP="00000000" w:rsidRDefault="00000000" w:rsidRPr="00000000">
            <w:pPr>
              <w:widowControl w:val="0"/>
              <w:numPr>
                <w:ilvl w:val="0"/>
                <w:numId w:val="4"/>
              </w:numPr>
              <w:spacing w:after="0" w:line="276" w:lineRule="auto"/>
              <w:ind w:left="720" w:hanging="360"/>
              <w:contextualSpacing w:val="1"/>
              <w:rPr>
                <w:sz w:val="24"/>
                <w:szCs w:val="24"/>
              </w:rPr>
            </w:pPr>
            <w:r w:rsidDel="00000000" w:rsidR="00000000" w:rsidRPr="00000000">
              <w:rPr>
                <w:sz w:val="24"/>
                <w:szCs w:val="24"/>
                <w:rtl w:val="0"/>
              </w:rPr>
              <w:t xml:space="preserve">Incorporated 13 tidal constituents from Notre Dame's ADCIRC model in the Bering-Beaufort-Chukchi Sea (</w:t>
            </w:r>
            <w:r w:rsidDel="00000000" w:rsidR="00000000" w:rsidRPr="00000000">
              <w:rPr>
                <w:b w:val="1"/>
                <w:sz w:val="24"/>
                <w:szCs w:val="24"/>
                <w:rtl w:val="0"/>
              </w:rPr>
              <w:t xml:space="preserve">eBBC</w:t>
            </w:r>
            <w:r w:rsidDel="00000000" w:rsidR="00000000" w:rsidRPr="00000000">
              <w:rPr>
                <w:sz w:val="24"/>
                <w:szCs w:val="24"/>
                <w:rtl w:val="0"/>
              </w:rPr>
              <w:t xml:space="preserve">) basin.</w:t>
            </w:r>
          </w:p>
          <w:p w:rsidR="00000000" w:rsidDel="00000000" w:rsidP="00000000" w:rsidRDefault="00000000" w:rsidRPr="00000000">
            <w:pPr>
              <w:numPr>
                <w:ilvl w:val="0"/>
                <w:numId w:val="4"/>
              </w:numPr>
              <w:tabs>
                <w:tab w:val="left" w:pos="1440"/>
              </w:tabs>
              <w:spacing w:after="0" w:lineRule="auto"/>
              <w:ind w:left="720" w:hanging="360"/>
              <w:contextualSpacing w:val="1"/>
              <w:jc w:val="both"/>
              <w:rPr>
                <w:sz w:val="24"/>
                <w:szCs w:val="24"/>
              </w:rPr>
            </w:pPr>
            <w:r w:rsidDel="00000000" w:rsidR="00000000" w:rsidRPr="00000000">
              <w:rPr>
                <w:sz w:val="24"/>
                <w:szCs w:val="24"/>
                <w:rtl w:val="0"/>
              </w:rPr>
              <w:t xml:space="preserve">Experimentally generate max surge + tide above NAVD-88 for 0–102 hours</w:t>
            </w:r>
          </w:p>
          <w:p w:rsidR="00000000" w:rsidDel="00000000" w:rsidP="00000000" w:rsidRDefault="00000000" w:rsidRPr="00000000">
            <w:pPr>
              <w:numPr>
                <w:ilvl w:val="0"/>
                <w:numId w:val="4"/>
              </w:numPr>
              <w:tabs>
                <w:tab w:val="left" w:pos="1440"/>
              </w:tabs>
              <w:spacing w:after="0" w:lineRule="auto"/>
              <w:ind w:left="720" w:hanging="360"/>
              <w:contextualSpacing w:val="1"/>
              <w:jc w:val="both"/>
              <w:rPr>
                <w:sz w:val="24"/>
                <w:szCs w:val="24"/>
              </w:rPr>
            </w:pPr>
            <w:r w:rsidDel="00000000" w:rsidR="00000000" w:rsidRPr="00000000">
              <w:rPr>
                <w:sz w:val="24"/>
                <w:szCs w:val="24"/>
                <w:rtl w:val="0"/>
              </w:rPr>
              <w:t xml:space="preserve">Extend forecast from 96 to 102 hours</w:t>
            </w:r>
          </w:p>
          <w:p w:rsidR="00000000" w:rsidDel="00000000" w:rsidP="00000000" w:rsidRDefault="00000000" w:rsidRPr="00000000">
            <w:pPr>
              <w:numPr>
                <w:ilvl w:val="0"/>
                <w:numId w:val="4"/>
              </w:numPr>
              <w:tabs>
                <w:tab w:val="left" w:pos="1440"/>
              </w:tabs>
              <w:spacing w:after="0" w:lineRule="auto"/>
              <w:ind w:left="720" w:hanging="360"/>
              <w:contextualSpacing w:val="1"/>
              <w:jc w:val="both"/>
              <w:rPr>
                <w:sz w:val="24"/>
                <w:szCs w:val="24"/>
                <w:u w:val="none"/>
              </w:rPr>
            </w:pPr>
            <w:r w:rsidDel="00000000" w:rsidR="00000000" w:rsidRPr="00000000">
              <w:rPr>
                <w:sz w:val="24"/>
                <w:szCs w:val="24"/>
                <w:rtl w:val="0"/>
              </w:rPr>
              <w:t xml:space="preserve">Removed the reported storm surge 'wiggle' for the East Coast and  Gulf of Mexico in version 2.1</w:t>
            </w:r>
          </w:p>
          <w:p w:rsidR="00000000" w:rsidDel="00000000" w:rsidP="00000000" w:rsidRDefault="00000000" w:rsidRPr="00000000">
            <w:pPr>
              <w:numPr>
                <w:ilvl w:val="0"/>
                <w:numId w:val="4"/>
              </w:numPr>
              <w:tabs>
                <w:tab w:val="left" w:pos="1440"/>
              </w:tabs>
              <w:spacing w:after="0" w:lineRule="auto"/>
              <w:ind w:left="720" w:hanging="360"/>
              <w:contextualSpacing w:val="1"/>
              <w:jc w:val="both"/>
              <w:rPr>
                <w:sz w:val="24"/>
                <w:szCs w:val="24"/>
                <w:u w:val="none"/>
              </w:rPr>
            </w:pPr>
            <w:r w:rsidDel="00000000" w:rsidR="00000000" w:rsidRPr="00000000">
              <w:rPr>
                <w:sz w:val="24"/>
                <w:szCs w:val="24"/>
                <w:rtl w:val="0"/>
              </w:rPr>
              <w:t xml:space="preserve">Run on National Centers for Environmental Prediction's (NCEP) Cray system</w:t>
            </w:r>
          </w:p>
          <w:p w:rsidR="00000000" w:rsidDel="00000000" w:rsidP="00000000" w:rsidRDefault="00000000" w:rsidRPr="00000000">
            <w:pPr>
              <w:numPr>
                <w:ilvl w:val="0"/>
                <w:numId w:val="4"/>
              </w:numPr>
              <w:tabs>
                <w:tab w:val="left" w:pos="1440"/>
              </w:tabs>
              <w:spacing w:after="0" w:lineRule="auto"/>
              <w:ind w:left="720" w:hanging="360"/>
              <w:contextualSpacing w:val="1"/>
              <w:jc w:val="both"/>
              <w:rPr>
                <w:sz w:val="24"/>
                <w:szCs w:val="24"/>
                <w:u w:val="none"/>
              </w:rPr>
            </w:pPr>
            <w:r w:rsidDel="00000000" w:rsidR="00000000" w:rsidRPr="00000000">
              <w:rPr>
                <w:sz w:val="24"/>
                <w:szCs w:val="24"/>
                <w:rtl w:val="0"/>
              </w:rPr>
              <w:t xml:space="preserve">Discontinue 5.0 km CONUS and 6.0 km AK grids</w:t>
            </w:r>
          </w:p>
          <w:p w:rsidR="00000000" w:rsidDel="00000000" w:rsidP="00000000" w:rsidRDefault="00000000" w:rsidRPr="00000000">
            <w:pPr>
              <w:widowControl w:val="0"/>
              <w:numPr>
                <w:ilvl w:val="0"/>
                <w:numId w:val="4"/>
              </w:numPr>
              <w:spacing w:after="0" w:line="276" w:lineRule="auto"/>
              <w:ind w:left="720" w:hanging="360"/>
              <w:contextualSpacing w:val="1"/>
              <w:rPr>
                <w:sz w:val="24"/>
                <w:szCs w:val="24"/>
              </w:rPr>
            </w:pPr>
            <w:r w:rsidDel="00000000" w:rsidR="00000000" w:rsidRPr="00000000">
              <w:rPr>
                <w:sz w:val="24"/>
                <w:szCs w:val="24"/>
                <w:rtl w:val="0"/>
              </w:rPr>
              <w:t xml:space="preserve">General Enhancements / Bug fixes (-check bounds IT test, improve merge mask, make the CSV files self-describing and remove a linear interpolation bug in the post-processing codes)</w:t>
            </w:r>
            <w:r w:rsidDel="00000000" w:rsidR="00000000" w:rsidRPr="00000000">
              <w:rPr>
                <w:rtl w:val="0"/>
              </w:rPr>
            </w:r>
          </w:p>
          <w:p w:rsidR="00000000" w:rsidDel="00000000" w:rsidP="00000000" w:rsidRDefault="00000000" w:rsidRPr="00000000">
            <w:pPr>
              <w:spacing w:after="0" w:before="0" w:lineRule="auto"/>
              <w:ind w:left="0" w:firstLine="0"/>
              <w:contextualSpacing w:val="0"/>
            </w:pPr>
            <w:r w:rsidDel="00000000" w:rsidR="00000000" w:rsidRPr="00000000">
              <w:rPr>
                <w:rtl w:val="0"/>
              </w:rPr>
            </w:r>
          </w:p>
        </w:tc>
      </w:tr>
      <w:tr>
        <w:trPr>
          <w:trHeight w:val="560" w:hRule="atLeast"/>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pPr>
              <w:spacing w:after="0" w:lineRule="auto"/>
              <w:contextualSpacing w:val="0"/>
              <w:jc w:val="right"/>
            </w:pPr>
            <w:r w:rsidDel="00000000" w:rsidR="00000000" w:rsidRPr="00000000">
              <w:rPr>
                <w:b w:val="1"/>
                <w:color w:val="002060"/>
                <w:rtl w:val="0"/>
              </w:rPr>
              <w:t xml:space="preserve">Developed by </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pPr>
              <w:spacing w:after="0" w:lineRule="auto"/>
              <w:contextualSpacing w:val="0"/>
            </w:pPr>
            <w:r w:rsidDel="00000000" w:rsidR="00000000" w:rsidRPr="00000000">
              <w:rPr>
                <w:sz w:val="24"/>
                <w:szCs w:val="24"/>
                <w:rtl w:val="0"/>
              </w:rPr>
              <w:t xml:space="preserve">NOAA/NWS/OST/Meteorological Development Laboratory (MDL)</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tc>
      </w:tr>
      <w:tr>
        <w:trPr>
          <w:trHeight w:val="660" w:hRule="atLeast"/>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pPr>
              <w:spacing w:after="0" w:lineRule="auto"/>
              <w:contextualSpacing w:val="0"/>
              <w:jc w:val="right"/>
            </w:pPr>
            <w:r w:rsidDel="00000000" w:rsidR="00000000" w:rsidRPr="00000000">
              <w:rPr>
                <w:b w:val="1"/>
                <w:color w:val="002060"/>
                <w:rtl w:val="0"/>
              </w:rPr>
              <w:t xml:space="preserve">Runs on </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pPr>
              <w:spacing w:after="0" w:lineRule="auto"/>
              <w:contextualSpacing w:val="0"/>
            </w:pPr>
            <w:r w:rsidDel="00000000" w:rsidR="00000000" w:rsidRPr="00000000">
              <w:rPr>
                <w:sz w:val="24"/>
                <w:szCs w:val="24"/>
                <w:rtl w:val="0"/>
              </w:rPr>
              <w:t xml:space="preserve">The National Weather Service (NWS) Weather and Climate Operational Supercomputing System (WCOSS)</w:t>
            </w:r>
            <w:r w:rsidDel="00000000" w:rsidR="00000000" w:rsidRPr="00000000">
              <w:rPr>
                <w:rtl w:val="0"/>
              </w:rPr>
            </w:r>
          </w:p>
        </w:tc>
      </w:tr>
      <w:tr>
        <w:trPr>
          <w:trHeight w:val="500" w:hRule="atLeast"/>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pPr>
              <w:spacing w:after="0" w:lineRule="auto"/>
              <w:contextualSpacing w:val="0"/>
              <w:jc w:val="right"/>
            </w:pPr>
            <w:r w:rsidDel="00000000" w:rsidR="00000000" w:rsidRPr="00000000">
              <w:rPr>
                <w:b w:val="1"/>
                <w:color w:val="002060"/>
                <w:rtl w:val="0"/>
              </w:rPr>
              <w:t xml:space="preserve">Community software  </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pPr>
              <w:spacing w:after="0" w:lineRule="auto"/>
              <w:contextualSpacing w:val="0"/>
            </w:pPr>
            <w:r w:rsidDel="00000000" w:rsidR="00000000" w:rsidRPr="00000000">
              <w:rPr>
                <w:sz w:val="24"/>
                <w:szCs w:val="24"/>
                <w:rtl w:val="0"/>
              </w:rPr>
              <w:t xml:space="preserve">None</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pPr>
              <w:spacing w:after="0" w:lineRule="auto"/>
              <w:contextualSpacing w:val="0"/>
              <w:jc w:val="right"/>
            </w:pPr>
            <w:r w:rsidDel="00000000" w:rsidR="00000000" w:rsidRPr="00000000">
              <w:rPr>
                <w:b w:val="1"/>
                <w:color w:val="002060"/>
                <w:rtl w:val="0"/>
              </w:rPr>
              <w:t xml:space="preserve">Input  </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pPr>
              <w:spacing w:after="0" w:lineRule="auto"/>
              <w:contextualSpacing w:val="0"/>
            </w:pPr>
            <w:r w:rsidDel="00000000" w:rsidR="00000000" w:rsidRPr="00000000">
              <w:rPr>
                <w:sz w:val="24"/>
                <w:szCs w:val="24"/>
                <w:u w:val="single"/>
                <w:rtl w:val="0"/>
              </w:rPr>
              <w:t xml:space="preserve">Model</w:t>
            </w:r>
            <w:r w:rsidDel="00000000" w:rsidR="00000000" w:rsidRPr="00000000">
              <w:rPr>
                <w:sz w:val="24"/>
                <w:szCs w:val="24"/>
                <w:rtl w:val="0"/>
              </w:rPr>
              <w:t xml:space="preserve">: GRIB2 0.5 degree GFS wind and pressure data</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sz w:val="24"/>
                <w:szCs w:val="24"/>
                <w:u w:val="single"/>
                <w:rtl w:val="0"/>
              </w:rPr>
              <w:t xml:space="preserve">Post-Processing</w:t>
            </w:r>
            <w:r w:rsidDel="00000000" w:rsidR="00000000" w:rsidRPr="00000000">
              <w:rPr>
                <w:sz w:val="24"/>
                <w:szCs w:val="24"/>
                <w:rtl w:val="0"/>
              </w:rPr>
              <w:t xml:space="preserve">: COOPS’ 6-minute water level observations  (from NCEP’s BUFR tanks)</w:t>
            </w:r>
          </w:p>
        </w:tc>
      </w:tr>
      <w:t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pPr>
              <w:spacing w:after="0" w:lineRule="auto"/>
              <w:contextualSpacing w:val="0"/>
              <w:jc w:val="right"/>
            </w:pPr>
            <w:r w:rsidDel="00000000" w:rsidR="00000000" w:rsidRPr="00000000">
              <w:rPr>
                <w:b w:val="1"/>
                <w:color w:val="002060"/>
                <w:rtl w:val="0"/>
              </w:rPr>
              <w:t xml:space="preserve">Output and where to find it  </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pPr>
              <w:spacing w:after="0" w:lineRule="auto"/>
              <w:contextualSpacing w:val="0"/>
              <w:jc w:val="center"/>
            </w:pPr>
            <w:r w:rsidDel="00000000" w:rsidR="00000000" w:rsidRPr="00000000">
              <w:rPr>
                <w:b w:val="1"/>
                <w:sz w:val="24"/>
                <w:szCs w:val="24"/>
                <w:u w:val="single"/>
                <w:rtl w:val="0"/>
              </w:rPr>
              <w:t xml:space="preserve">Gridded Products</w:t>
            </w:r>
            <w:r w:rsidDel="00000000" w:rsidR="00000000" w:rsidRPr="00000000">
              <w:rPr>
                <w:sz w:val="24"/>
                <w:szCs w:val="24"/>
                <w:rtl w:val="0"/>
              </w:rPr>
              <w:t xml:space="preserve"> </w:t>
            </w:r>
          </w:p>
          <w:p w:rsidR="00000000" w:rsidDel="00000000" w:rsidP="00000000" w:rsidRDefault="00000000" w:rsidRPr="00000000">
            <w:pPr>
              <w:spacing w:after="0" w:lineRule="auto"/>
              <w:contextualSpacing w:val="0"/>
            </w:pPr>
            <w:r w:rsidDel="00000000" w:rsidR="00000000" w:rsidRPr="00000000">
              <w:rPr>
                <w:b w:val="1"/>
                <w:rtl w:val="0"/>
              </w:rPr>
              <w:t xml:space="preserve">Satellite Broadcast Network</w:t>
            </w:r>
          </w:p>
          <w:p w:rsidR="00000000" w:rsidDel="00000000" w:rsidP="00000000" w:rsidRDefault="00000000" w:rsidRPr="00000000">
            <w:pPr>
              <w:numPr>
                <w:ilvl w:val="0"/>
                <w:numId w:val="2"/>
              </w:numPr>
              <w:spacing w:after="0" w:before="0" w:line="276" w:lineRule="auto"/>
              <w:ind w:left="720" w:hanging="360"/>
              <w:contextualSpacing w:val="1"/>
              <w:rPr>
                <w:b w:val="0"/>
                <w:color w:val="000000"/>
              </w:rPr>
            </w:pPr>
            <w:r w:rsidDel="00000000" w:rsidR="00000000" w:rsidRPr="00000000">
              <w:rPr>
                <w:rFonts w:ascii="Calibri" w:cs="Calibri" w:eastAsia="Calibri" w:hAnsi="Calibri"/>
                <w:b w:val="0"/>
                <w:color w:val="000000"/>
                <w:rtl w:val="0"/>
              </w:rPr>
              <w:t xml:space="preserve">Storm Surge </w:t>
            </w:r>
            <w:r w:rsidDel="00000000" w:rsidR="00000000" w:rsidRPr="00000000">
              <w:rPr>
                <w:rtl w:val="0"/>
              </w:rPr>
              <w:t xml:space="preserve"> – CONUS 2.5 km, Alaska 3.0 km GRIB2 files</w:t>
            </w:r>
            <w:r w:rsidDel="00000000" w:rsidR="00000000" w:rsidRPr="00000000">
              <w:rPr>
                <w:rtl w:val="0"/>
              </w:rPr>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Storm Tide – CONUS 2.5 km,</w:t>
            </w:r>
            <w:r w:rsidDel="00000000" w:rsidR="00000000" w:rsidRPr="00000000">
              <w:rPr>
                <w:rFonts w:ascii="Calibri" w:cs="Calibri" w:eastAsia="Calibri" w:hAnsi="Calibri"/>
                <w:b w:val="0"/>
                <w:color w:val="000000"/>
                <w:rtl w:val="0"/>
              </w:rPr>
              <w:t xml:space="preserve"> Alaska 3.0 km GRIB2 files</w:t>
            </w:r>
          </w:p>
          <w:p w:rsidR="00000000" w:rsidDel="00000000" w:rsidP="00000000" w:rsidRDefault="00000000" w:rsidRPr="00000000">
            <w:pPr>
              <w:numPr>
                <w:ilvl w:val="0"/>
                <w:numId w:val="2"/>
              </w:numPr>
              <w:spacing w:after="0" w:before="0" w:line="276" w:lineRule="auto"/>
              <w:ind w:left="720" w:hanging="360"/>
              <w:contextualSpacing w:val="1"/>
              <w:rPr>
                <w:b w:val="0"/>
                <w:color w:val="000000"/>
              </w:rPr>
            </w:pPr>
            <w:r w:rsidDel="00000000" w:rsidR="00000000" w:rsidRPr="00000000">
              <w:rPr>
                <w:rFonts w:ascii="Calibri" w:cs="Calibri" w:eastAsia="Calibri" w:hAnsi="Calibri"/>
                <w:b w:val="0"/>
                <w:color w:val="000000"/>
                <w:rtl w:val="0"/>
              </w:rPr>
              <w:t xml:space="preserve">Storm Tid</w:t>
            </w:r>
            <w:r w:rsidDel="00000000" w:rsidR="00000000" w:rsidRPr="00000000">
              <w:rPr>
                <w:rtl w:val="0"/>
              </w:rPr>
              <w:t xml:space="preserve">e – CONUS 625 m (missing for West coast) GRIB2 files</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b w:val="0"/>
                <w:color w:val="000000"/>
              </w:rPr>
            </w:pPr>
            <w:r w:rsidDel="00000000" w:rsidR="00000000" w:rsidRPr="00000000">
              <w:rPr>
                <w:rFonts w:ascii="Calibri" w:cs="Calibri" w:eastAsia="Calibri" w:hAnsi="Calibri"/>
                <w:b w:val="0"/>
                <w:color w:val="000000"/>
                <w:rtl w:val="0"/>
              </w:rPr>
              <w:t xml:space="preserve">Tide Only – CONUS 625 </w:t>
            </w:r>
            <w:r w:rsidDel="00000000" w:rsidR="00000000" w:rsidRPr="00000000">
              <w:rPr>
                <w:rtl w:val="0"/>
              </w:rPr>
              <w:t xml:space="preserve">m (missing for West coast) GRIB2 files</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b w:val="1"/>
                <w:rtl w:val="0"/>
              </w:rPr>
              <w:t xml:space="preserve">NCEP NOMADS </w:t>
            </w:r>
          </w:p>
          <w:p w:rsidR="00000000" w:rsidDel="00000000" w:rsidP="00000000" w:rsidRDefault="00000000" w:rsidRPr="00000000">
            <w:pPr>
              <w:spacing w:after="0" w:lineRule="auto"/>
              <w:contextualSpacing w:val="0"/>
            </w:pPr>
            <w:hyperlink r:id="rId5">
              <w:r w:rsidDel="00000000" w:rsidR="00000000" w:rsidRPr="00000000">
                <w:rPr>
                  <w:color w:val="0000ff"/>
                  <w:u w:val="single"/>
                  <w:rtl w:val="0"/>
                </w:rPr>
                <w:t xml:space="preserve">http://nomads.ncep.noaa.gov/pub/data/nccf/com/etss/prod/etss.YYYYMMDD</w:t>
              </w:r>
            </w:hyperlink>
            <w:hyperlink r:id="rId6">
              <w:r w:rsidDel="00000000" w:rsidR="00000000" w:rsidRPr="00000000">
                <w:rPr>
                  <w:rtl w:val="0"/>
                </w:rPr>
              </w:r>
            </w:hyperlink>
          </w:p>
          <w:p w:rsidR="00000000" w:rsidDel="00000000" w:rsidP="00000000" w:rsidRDefault="00000000" w:rsidRPr="00000000">
            <w:pPr>
              <w:numPr>
                <w:ilvl w:val="0"/>
                <w:numId w:val="2"/>
              </w:numPr>
              <w:spacing w:after="0" w:before="0" w:line="276" w:lineRule="auto"/>
              <w:ind w:left="720" w:hanging="360"/>
              <w:contextualSpacing w:val="1"/>
              <w:rPr>
                <w:b w:val="0"/>
                <w:color w:val="000000"/>
              </w:rPr>
            </w:pPr>
            <w:r w:rsidDel="00000000" w:rsidR="00000000" w:rsidRPr="00000000">
              <w:rPr>
                <w:rFonts w:ascii="Calibri" w:cs="Calibri" w:eastAsia="Calibri" w:hAnsi="Calibri"/>
                <w:b w:val="0"/>
                <w:color w:val="000000"/>
                <w:rtl w:val="0"/>
              </w:rPr>
              <w:t xml:space="preserve">Storm Surg</w:t>
            </w:r>
            <w:r w:rsidDel="00000000" w:rsidR="00000000" w:rsidRPr="00000000">
              <w:rPr>
                <w:rtl w:val="0"/>
              </w:rPr>
              <w:t xml:space="preserve">e </w:t>
            </w:r>
            <w:r w:rsidDel="00000000" w:rsidR="00000000" w:rsidRPr="00000000">
              <w:rPr>
                <w:rFonts w:ascii="Calibri" w:cs="Calibri" w:eastAsia="Calibri" w:hAnsi="Calibri"/>
                <w:b w:val="0"/>
                <w:color w:val="000000"/>
                <w:rtl w:val="0"/>
              </w:rPr>
              <w:t xml:space="preserve">– CONUS 2.5 km, Alaska 3.0 km GRIB2 files</w:t>
            </w:r>
          </w:p>
          <w:p w:rsidR="00000000" w:rsidDel="00000000" w:rsidP="00000000" w:rsidRDefault="00000000" w:rsidRPr="00000000">
            <w:pPr>
              <w:numPr>
                <w:ilvl w:val="0"/>
                <w:numId w:val="2"/>
              </w:numPr>
              <w:spacing w:after="0" w:before="0" w:line="276" w:lineRule="auto"/>
              <w:ind w:left="720" w:hanging="360"/>
              <w:contextualSpacing w:val="1"/>
              <w:rPr>
                <w:b w:val="0"/>
                <w:color w:val="000000"/>
              </w:rPr>
            </w:pPr>
            <w:r w:rsidDel="00000000" w:rsidR="00000000" w:rsidRPr="00000000">
              <w:rPr>
                <w:rFonts w:ascii="Calibri" w:cs="Calibri" w:eastAsia="Calibri" w:hAnsi="Calibri"/>
                <w:b w:val="0"/>
                <w:color w:val="000000"/>
                <w:rtl w:val="0"/>
              </w:rPr>
              <w:t xml:space="preserve">Storm Tide– CONUS 2.5 km, Alaska 3.0 km GRIB2 files</w:t>
            </w:r>
          </w:p>
          <w:p w:rsidR="00000000" w:rsidDel="00000000" w:rsidP="00000000" w:rsidRDefault="00000000" w:rsidRPr="00000000">
            <w:pPr>
              <w:numPr>
                <w:ilvl w:val="0"/>
                <w:numId w:val="2"/>
              </w:numPr>
              <w:spacing w:after="0" w:before="0" w:line="276" w:lineRule="auto"/>
              <w:ind w:left="720" w:hanging="360"/>
              <w:contextualSpacing w:val="1"/>
              <w:rPr>
                <w:b w:val="0"/>
                <w:color w:val="000000"/>
              </w:rPr>
            </w:pPr>
            <w:r w:rsidDel="00000000" w:rsidR="00000000" w:rsidRPr="00000000">
              <w:rPr>
                <w:rFonts w:ascii="Calibri" w:cs="Calibri" w:eastAsia="Calibri" w:hAnsi="Calibri"/>
                <w:b w:val="0"/>
                <w:color w:val="000000"/>
                <w:rtl w:val="0"/>
              </w:rPr>
              <w:t xml:space="preserve">Storm Tide – CONUS 625 m (missing for West coast) GRIB2 files</w:t>
            </w:r>
          </w:p>
          <w:p w:rsidR="00000000" w:rsidDel="00000000" w:rsidP="00000000" w:rsidRDefault="00000000" w:rsidRPr="00000000">
            <w:pPr>
              <w:numPr>
                <w:ilvl w:val="0"/>
                <w:numId w:val="2"/>
              </w:numPr>
              <w:spacing w:after="0" w:before="0" w:line="276" w:lineRule="auto"/>
              <w:ind w:left="720" w:hanging="360"/>
              <w:contextualSpacing w:val="1"/>
              <w:rPr>
                <w:b w:val="0"/>
                <w:color w:val="000000"/>
              </w:rPr>
            </w:pPr>
            <w:r w:rsidDel="00000000" w:rsidR="00000000" w:rsidRPr="00000000">
              <w:rPr>
                <w:rFonts w:ascii="Calibri" w:cs="Calibri" w:eastAsia="Calibri" w:hAnsi="Calibri"/>
                <w:b w:val="0"/>
                <w:color w:val="000000"/>
                <w:rtl w:val="0"/>
              </w:rPr>
              <w:t xml:space="preserve">Tide only  – CONUS 625 m (missing for West coast) GRIB2 files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b w:val="1"/>
                <w:rtl w:val="0"/>
              </w:rPr>
              <w:t xml:space="preserve">NWS NDGD</w:t>
            </w:r>
          </w:p>
          <w:p w:rsidR="00000000" w:rsidDel="00000000" w:rsidP="00000000" w:rsidRDefault="00000000" w:rsidRPr="00000000">
            <w:pPr>
              <w:spacing w:after="0" w:lineRule="auto"/>
              <w:contextualSpacing w:val="0"/>
            </w:pPr>
            <w:hyperlink r:id="rId7">
              <w:r w:rsidDel="00000000" w:rsidR="00000000" w:rsidRPr="00000000">
                <w:rPr>
                  <w:color w:val="1155cc"/>
                  <w:u w:val="single"/>
                  <w:rtl w:val="0"/>
                </w:rPr>
                <w:t xml:space="preserve">http://weather.noaa.gov/pub/SL.us008001/ST.expr/DF.gr2/DC.ndgd/GT.slosh/</w:t>
              </w:r>
            </w:hyperlink>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b w:val="0"/>
                <w:color w:val="000000"/>
              </w:rPr>
            </w:pPr>
            <w:r w:rsidDel="00000000" w:rsidR="00000000" w:rsidRPr="00000000">
              <w:rPr>
                <w:rFonts w:ascii="Calibri" w:cs="Calibri" w:eastAsia="Calibri" w:hAnsi="Calibri"/>
                <w:b w:val="0"/>
                <w:color w:val="000000"/>
                <w:rtl w:val="0"/>
              </w:rPr>
              <w:t xml:space="preserve">Storm Su</w:t>
            </w:r>
            <w:r w:rsidDel="00000000" w:rsidR="00000000" w:rsidRPr="00000000">
              <w:rPr>
                <w:rtl w:val="0"/>
              </w:rPr>
              <w:t xml:space="preserve">rge </w:t>
            </w:r>
            <w:r w:rsidDel="00000000" w:rsidR="00000000" w:rsidRPr="00000000">
              <w:rPr>
                <w:rFonts w:ascii="Calibri" w:cs="Calibri" w:eastAsia="Calibri" w:hAnsi="Calibri"/>
                <w:b w:val="0"/>
                <w:color w:val="000000"/>
                <w:rtl w:val="0"/>
              </w:rPr>
              <w:t xml:space="preserve">– CONUS 2.5 km, Alaska 3.0 km GRIB2 files</w:t>
            </w:r>
          </w:p>
          <w:p w:rsidR="00000000" w:rsidDel="00000000" w:rsidP="00000000" w:rsidRDefault="00000000" w:rsidRPr="00000000">
            <w:pPr>
              <w:numPr>
                <w:ilvl w:val="0"/>
                <w:numId w:val="2"/>
              </w:numPr>
              <w:spacing w:after="0" w:before="0" w:line="276" w:lineRule="auto"/>
              <w:ind w:left="720" w:hanging="360"/>
              <w:contextualSpacing w:val="1"/>
              <w:rPr>
                <w:b w:val="0"/>
                <w:color w:val="000000"/>
              </w:rPr>
            </w:pPr>
            <w:r w:rsidDel="00000000" w:rsidR="00000000" w:rsidRPr="00000000">
              <w:rPr>
                <w:rFonts w:ascii="Calibri" w:cs="Calibri" w:eastAsia="Calibri" w:hAnsi="Calibri"/>
                <w:b w:val="0"/>
                <w:color w:val="000000"/>
                <w:rtl w:val="0"/>
              </w:rPr>
              <w:t xml:space="preserve">Storm Tide– CONUS 2.5 km, Alaska 3.0 km GRIB2 files</w:t>
            </w:r>
          </w:p>
          <w:p w:rsidR="00000000" w:rsidDel="00000000" w:rsidP="00000000" w:rsidRDefault="00000000" w:rsidRPr="00000000">
            <w:pPr>
              <w:numPr>
                <w:ilvl w:val="0"/>
                <w:numId w:val="2"/>
              </w:numPr>
              <w:spacing w:after="0" w:before="0" w:line="276" w:lineRule="auto"/>
              <w:ind w:left="720" w:hanging="360"/>
              <w:contextualSpacing w:val="1"/>
              <w:rPr>
                <w:b w:val="0"/>
                <w:color w:val="000000"/>
              </w:rPr>
            </w:pPr>
            <w:r w:rsidDel="00000000" w:rsidR="00000000" w:rsidRPr="00000000">
              <w:rPr>
                <w:rFonts w:ascii="Calibri" w:cs="Calibri" w:eastAsia="Calibri" w:hAnsi="Calibri"/>
                <w:b w:val="0"/>
                <w:color w:val="000000"/>
                <w:rtl w:val="0"/>
              </w:rPr>
              <w:t xml:space="preserve">Storm Tide – CONUS 625 m (missing for West coast) GRIB2 files</w:t>
            </w:r>
          </w:p>
          <w:p w:rsidR="00000000" w:rsidDel="00000000" w:rsidP="00000000" w:rsidRDefault="00000000" w:rsidRPr="00000000">
            <w:pPr>
              <w:numPr>
                <w:ilvl w:val="0"/>
                <w:numId w:val="2"/>
              </w:numPr>
              <w:spacing w:after="0" w:before="0" w:line="276" w:lineRule="auto"/>
              <w:ind w:left="720" w:hanging="360"/>
              <w:contextualSpacing w:val="1"/>
              <w:rPr>
                <w:b w:val="0"/>
                <w:color w:val="000000"/>
              </w:rPr>
            </w:pPr>
            <w:r w:rsidDel="00000000" w:rsidR="00000000" w:rsidRPr="00000000">
              <w:rPr>
                <w:rFonts w:ascii="Calibri" w:cs="Calibri" w:eastAsia="Calibri" w:hAnsi="Calibri"/>
                <w:b w:val="0"/>
                <w:color w:val="000000"/>
                <w:rtl w:val="0"/>
              </w:rPr>
              <w:t xml:space="preserve">Tide only  – CONUS 625 m (missing for West coast) GRIB2 files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b w:val="1"/>
                <w:sz w:val="24"/>
                <w:szCs w:val="24"/>
                <w:u w:val="single"/>
                <w:rtl w:val="0"/>
              </w:rPr>
              <w:t xml:space="preserve">Text Products</w:t>
            </w:r>
            <w:r w:rsidDel="00000000" w:rsidR="00000000" w:rsidRPr="00000000">
              <w:rPr>
                <w:sz w:val="24"/>
                <w:szCs w:val="24"/>
                <w:rtl w:val="0"/>
              </w:rPr>
              <w:t xml:space="preserve"> </w:t>
            </w:r>
          </w:p>
          <w:p w:rsidR="00000000" w:rsidDel="00000000" w:rsidP="00000000" w:rsidRDefault="00000000" w:rsidRPr="00000000">
            <w:pPr>
              <w:spacing w:after="0" w:lineRule="auto"/>
              <w:contextualSpacing w:val="0"/>
            </w:pPr>
            <w:r w:rsidDel="00000000" w:rsidR="00000000" w:rsidRPr="00000000">
              <w:rPr>
                <w:b w:val="1"/>
                <w:rtl w:val="0"/>
              </w:rPr>
              <w:t xml:space="preserve">Satellite Broadcast Network</w:t>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color w:val="000000"/>
                <w:rtl w:val="0"/>
              </w:rPr>
              <w:t xml:space="preserve">SHEF encoded water level guidance for stations with NWSLI (typically COOPS or USGS).  The type of water level guidance is either surge-only, surge + station tide, or observation based bias corrected surge + station tide</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color w:val="000000"/>
                <w:rtl w:val="0"/>
              </w:rPr>
              <w:t xml:space="preserve">Model specific text formatted surge only guidance for historic set of stations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b w:val="1"/>
                <w:rtl w:val="0"/>
              </w:rPr>
              <w:t xml:space="preserve">NCEP NOMADS </w:t>
            </w:r>
          </w:p>
          <w:p w:rsidR="00000000" w:rsidDel="00000000" w:rsidP="00000000" w:rsidRDefault="00000000" w:rsidRPr="00000000">
            <w:pPr>
              <w:spacing w:after="0" w:lineRule="auto"/>
              <w:contextualSpacing w:val="0"/>
            </w:pPr>
            <w:hyperlink r:id="rId8">
              <w:r w:rsidDel="00000000" w:rsidR="00000000" w:rsidRPr="00000000">
                <w:rPr>
                  <w:color w:val="0000ff"/>
                  <w:u w:val="single"/>
                  <w:rtl w:val="0"/>
                </w:rPr>
                <w:t xml:space="preserve">http://nomads.ncep.noaa.gov/pub/data/nccf/com/etss/prod/etss.YYYYMMDD</w:t>
              </w:r>
            </w:hyperlink>
            <w:hyperlink r:id="rId9">
              <w:r w:rsidDel="00000000" w:rsidR="00000000" w:rsidRPr="00000000">
                <w:rPr>
                  <w:rtl w:val="0"/>
                </w:rPr>
              </w:r>
            </w:hyperlink>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color w:val="000000"/>
                <w:rtl w:val="0"/>
              </w:rPr>
              <w:t xml:space="preserve">SHEF encoded water level guidance for station </w:t>
            </w:r>
            <w:r w:rsidDel="00000000" w:rsidR="00000000" w:rsidRPr="00000000">
              <w:rPr>
                <w:rFonts w:ascii="Calibri" w:cs="Calibri" w:eastAsia="Calibri" w:hAnsi="Calibri"/>
                <w:b w:val="1"/>
                <w:color w:val="000000"/>
                <w:rtl w:val="0"/>
              </w:rPr>
              <w:t xml:space="preserve">with</w:t>
            </w:r>
            <w:r w:rsidDel="00000000" w:rsidR="00000000" w:rsidRPr="00000000">
              <w:rPr>
                <w:rFonts w:ascii="Calibri" w:cs="Calibri" w:eastAsia="Calibri" w:hAnsi="Calibri"/>
                <w:b w:val="0"/>
                <w:color w:val="000000"/>
                <w:rtl w:val="0"/>
              </w:rPr>
              <w:t xml:space="preserve"> NWSLI (typically COOPS or USGS).  The type of water level guidance is either surge-only, surge + station tide, or observation based bias corrected surge + station tide</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color w:val="000000"/>
                <w:rtl w:val="0"/>
              </w:rPr>
              <w:t xml:space="preserve">CSV encoded water level guidance for stations </w:t>
            </w:r>
            <w:r w:rsidDel="00000000" w:rsidR="00000000" w:rsidRPr="00000000">
              <w:rPr>
                <w:rFonts w:ascii="Calibri" w:cs="Calibri" w:eastAsia="Calibri" w:hAnsi="Calibri"/>
                <w:b w:val="1"/>
                <w:color w:val="000000"/>
                <w:rtl w:val="0"/>
              </w:rPr>
              <w:t xml:space="preserve">with or without</w:t>
            </w:r>
            <w:r w:rsidDel="00000000" w:rsidR="00000000" w:rsidRPr="00000000">
              <w:rPr>
                <w:rFonts w:ascii="Calibri" w:cs="Calibri" w:eastAsia="Calibri" w:hAnsi="Calibri"/>
                <w:b w:val="0"/>
                <w:color w:val="000000"/>
                <w:rtl w:val="0"/>
              </w:rPr>
              <w:t xml:space="preserve"> NWSLI.</w:t>
            </w:r>
            <w:r w:rsidDel="00000000" w:rsidR="00000000" w:rsidRPr="00000000">
              <w:rPr>
                <w:rFonts w:ascii="Calibri" w:cs="Calibri" w:eastAsia="Calibri" w:hAnsi="Calibri"/>
                <w:b w:val="0"/>
                <w:color w:val="000000"/>
                <w:rtl w:val="0"/>
              </w:rPr>
              <w:t xml:space="preserve">  The type of water level guidance is either surge-only, surge + station tide, or observation based bias corrected surge + station tide.</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color w:val="000000"/>
                <w:rtl w:val="0"/>
              </w:rPr>
              <w:t xml:space="preserve">Surge only - model specific text formatted for historic set of stations</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b w:val="0"/>
                <w:color w:val="000000"/>
              </w:rPr>
            </w:pPr>
            <w:r w:rsidDel="00000000" w:rsidR="00000000" w:rsidRPr="00000000">
              <w:rPr>
                <w:rFonts w:ascii="Calibri" w:cs="Calibri" w:eastAsia="Calibri" w:hAnsi="Calibri"/>
                <w:b w:val="0"/>
                <w:color w:val="000000"/>
                <w:rtl w:val="0"/>
              </w:rPr>
              <w:t xml:space="preserve">Surge only and surge + modeled tide - updated model specific text formatted for a </w:t>
            </w:r>
            <w:r w:rsidDel="00000000" w:rsidR="00000000" w:rsidRPr="00000000">
              <w:rPr>
                <w:rtl w:val="0"/>
              </w:rPr>
              <w:t xml:space="preserve">larger</w:t>
            </w:r>
            <w:r w:rsidDel="00000000" w:rsidR="00000000" w:rsidRPr="00000000">
              <w:rPr>
                <w:rFonts w:ascii="Calibri" w:cs="Calibri" w:eastAsia="Calibri" w:hAnsi="Calibri"/>
                <w:b w:val="0"/>
                <w:color w:val="000000"/>
                <w:rtl w:val="0"/>
              </w:rPr>
              <w:t xml:space="preserve"> set of stations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b w:val="1"/>
                <w:sz w:val="24"/>
                <w:szCs w:val="24"/>
                <w:u w:val="single"/>
                <w:rtl w:val="0"/>
              </w:rPr>
              <w:t xml:space="preserve">Websites</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MDL provides an index to all NWS extra-tropical guidance product websites here:</w:t>
            </w:r>
          </w:p>
          <w:p w:rsidR="00000000" w:rsidDel="00000000" w:rsidP="00000000" w:rsidRDefault="00000000" w:rsidRPr="00000000">
            <w:pPr>
              <w:numPr>
                <w:ilvl w:val="0"/>
                <w:numId w:val="1"/>
              </w:numPr>
              <w:spacing w:after="0" w:lineRule="auto"/>
              <w:ind w:left="720" w:hanging="360"/>
              <w:contextualSpacing w:val="1"/>
              <w:rPr>
                <w:u w:val="none"/>
              </w:rPr>
            </w:pPr>
            <w:hyperlink r:id="rId10">
              <w:r w:rsidDel="00000000" w:rsidR="00000000" w:rsidRPr="00000000">
                <w:rPr>
                  <w:color w:val="1155cc"/>
                  <w:u w:val="single"/>
                  <w:rtl w:val="0"/>
                </w:rPr>
                <w:t xml:space="preserve">http://slosh.nws.noaa.gov/etss/</w:t>
              </w:r>
            </w:hyperlink>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MDL provides station based total water level guidance websites as follows:</w:t>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Calibri" w:cs="Calibri" w:eastAsia="Calibri" w:hAnsi="Calibri"/>
                <w:b w:val="0"/>
                <w:color w:val="000000"/>
                <w:rtl w:val="0"/>
              </w:rPr>
              <w:t xml:space="preserve">Original site: </w:t>
            </w:r>
            <w:hyperlink r:id="rId11">
              <w:r w:rsidDel="00000000" w:rsidR="00000000" w:rsidRPr="00000000">
                <w:rPr>
                  <w:rFonts w:ascii="Calibri" w:cs="Calibri" w:eastAsia="Calibri" w:hAnsi="Calibri"/>
                  <w:b w:val="0"/>
                  <w:color w:val="1155cc"/>
                  <w:u w:val="single"/>
                  <w:rtl w:val="0"/>
                </w:rPr>
                <w:t xml:space="preserve">http://slosh.nws.noaa.gov/etss/station/etsurge/</w:t>
              </w:r>
            </w:hyperlink>
            <w:r w:rsidDel="00000000" w:rsidR="00000000" w:rsidRPr="00000000">
              <w:rPr>
                <w:rtl w:val="0"/>
              </w:rPr>
              <w:t xml:space="preserve"> </w:t>
            </w:r>
            <w:r w:rsidDel="00000000" w:rsidR="00000000" w:rsidRPr="00000000">
              <w:rPr>
                <w:rFonts w:ascii="Calibri" w:cs="Calibri" w:eastAsia="Calibri" w:hAnsi="Calibri"/>
                <w:b w:val="0"/>
                <w:color w:val="000000"/>
                <w:rtl w:val="0"/>
              </w:rPr>
              <w:t xml:space="preserve">based on ETSS output, NOS-COOPs tide gauge data and NOS observations (where available).  If observations are available, the total water level guidance is corrected based on the five-day bias.</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Calibri" w:cs="Calibri" w:eastAsia="Calibri" w:hAnsi="Calibri"/>
                <w:b w:val="0"/>
                <w:color w:val="000000"/>
                <w:rtl w:val="0"/>
              </w:rPr>
              <w:t xml:space="preserve">Updated site: </w:t>
            </w:r>
            <w:hyperlink r:id="rId12">
              <w:r w:rsidDel="00000000" w:rsidR="00000000" w:rsidRPr="00000000">
                <w:rPr>
                  <w:color w:val="1155cc"/>
                  <w:u w:val="single"/>
                  <w:rtl w:val="0"/>
                </w:rPr>
                <w:t xml:space="preserve">http://slosh.nws.noaa.gov/etss/station/etsurge2.0esri/</w:t>
              </w:r>
            </w:hyperlink>
            <w:r w:rsidDel="00000000" w:rsidR="00000000" w:rsidRPr="00000000">
              <w:rPr>
                <w:rtl w:val="0"/>
              </w:rPr>
              <w:t xml:space="preserve"> </w:t>
            </w:r>
            <w:r w:rsidDel="00000000" w:rsidR="00000000" w:rsidRPr="00000000">
              <w:rPr>
                <w:rFonts w:ascii="Calibri" w:cs="Calibri" w:eastAsia="Calibri" w:hAnsi="Calibri"/>
                <w:b w:val="0"/>
                <w:color w:val="000000"/>
                <w:rtl w:val="0"/>
              </w:rPr>
              <w:t xml:space="preserve">based on the ETSS - CSV output.</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OPC provides a map based depiction of surge guidance and pressure fields here: </w:t>
            </w:r>
            <w:hyperlink r:id="rId13">
              <w:r w:rsidDel="00000000" w:rsidR="00000000" w:rsidRPr="00000000">
                <w:rPr>
                  <w:color w:val="0000ff"/>
                  <w:u w:val="single"/>
                  <w:rtl w:val="0"/>
                </w:rPr>
                <w:t xml:space="preserve">http://www.opc.ncep.noaa.gov/et_surge/et_surge_info.shtml</w:t>
              </w:r>
            </w:hyperlink>
            <w:hyperlink r:id="rId14">
              <w:r w:rsidDel="00000000" w:rsidR="00000000" w:rsidRPr="00000000">
                <w:rPr>
                  <w:rtl w:val="0"/>
                </w:rPr>
              </w:r>
            </w:hyperlink>
          </w:p>
        </w:tc>
      </w:tr>
      <w:t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pPr>
              <w:spacing w:after="0" w:lineRule="auto"/>
              <w:contextualSpacing w:val="0"/>
              <w:jc w:val="right"/>
            </w:pPr>
            <w:r w:rsidDel="00000000" w:rsidR="00000000" w:rsidRPr="00000000">
              <w:rPr>
                <w:b w:val="1"/>
                <w:color w:val="002060"/>
                <w:rtl w:val="0"/>
              </w:rPr>
              <w:t xml:space="preserve">Primary users  </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pPr>
              <w:spacing w:after="0" w:lineRule="auto"/>
              <w:contextualSpacing w:val="0"/>
            </w:pPr>
            <w:r w:rsidDel="00000000" w:rsidR="00000000" w:rsidRPr="00000000">
              <w:rPr>
                <w:sz w:val="24"/>
                <w:szCs w:val="24"/>
                <w:rtl w:val="0"/>
              </w:rPr>
              <w:t xml:space="preserve">NCEP's Ocean Prediction Center (OPC), NCEP’s National Hurricane Center (NHC), NWS’s Eastern, Alaska, Southern, and Western Regions (HQ, coastal RFCs and WFOs)</w:t>
            </w:r>
            <w:r w:rsidDel="00000000" w:rsidR="00000000" w:rsidRPr="00000000">
              <w:rPr>
                <w:rtl w:val="0"/>
              </w:rPr>
            </w:r>
          </w:p>
        </w:tc>
      </w:tr>
      <w:tr>
        <w:trPr>
          <w:trHeight w:val="720" w:hRule="atLeast"/>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pPr>
              <w:spacing w:after="0" w:lineRule="auto"/>
              <w:contextualSpacing w:val="0"/>
              <w:jc w:val="right"/>
            </w:pPr>
            <w:r w:rsidDel="00000000" w:rsidR="00000000" w:rsidRPr="00000000">
              <w:rPr>
                <w:b w:val="1"/>
                <w:color w:val="002060"/>
                <w:rtl w:val="0"/>
              </w:rPr>
              <w:t xml:space="preserve">In the future  </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more information on this model, please contact </w:t>
      </w:r>
      <w:hyperlink r:id="rId15">
        <w:r w:rsidDel="00000000" w:rsidR="00000000" w:rsidRPr="00000000">
          <w:rPr>
            <w:color w:val="0000ff"/>
            <w:u w:val="single"/>
            <w:rtl w:val="0"/>
          </w:rPr>
          <w:t xml:space="preserve">ncep.pmb.dataflow@noaa.gov</w:t>
        </w:r>
      </w:hyperlink>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6" w:lineRule="auto"/>
    </w:pPr>
    <w:rPr>
      <w:rFonts w:ascii="Calibri" w:cs="Calibri" w:eastAsia="Calibri" w:hAnsi="Calibri"/>
      <w:b w:val="1"/>
      <w:color w:val="000000"/>
      <w:sz w:val="48"/>
      <w:szCs w:val="48"/>
    </w:rPr>
  </w:style>
  <w:style w:type="paragraph" w:styleId="Heading2">
    <w:name w:val="heading 2"/>
    <w:basedOn w:val="Normal"/>
    <w:next w:val="Normal"/>
    <w:pPr>
      <w:keepNext w:val="1"/>
      <w:keepLines w:val="1"/>
      <w:spacing w:after="80" w:before="360" w:line="276"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76"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76"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76"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76"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76"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76" w:lineRule="auto"/>
    </w:pPr>
    <w:rPr>
      <w:rFonts w:ascii="Georgia" w:cs="Georgia" w:eastAsia="Georgia" w:hAnsi="Georgia"/>
      <w:b w:val="0"/>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losh.nws.noaa.gov/etss/station/etsurge/" TargetMode="External"/><Relationship Id="rId10" Type="http://schemas.openxmlformats.org/officeDocument/2006/relationships/hyperlink" Target="http://slosh.nws.noaa.gov/etss/" TargetMode="External"/><Relationship Id="rId13" Type="http://schemas.openxmlformats.org/officeDocument/2006/relationships/hyperlink" Target="http://www.opc.ncep.noaa.gov/et_surge/et_surge_info.shtml" TargetMode="External"/><Relationship Id="rId12" Type="http://schemas.openxmlformats.org/officeDocument/2006/relationships/hyperlink" Target="http://slosh.nws.noaa.gov/etss/station/etsurge2.0esri/"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nomads.ncep.noaa.gov/pub/data/nccf/com/etss/prod/etss.YYYYMMDD" TargetMode="External"/><Relationship Id="rId15" Type="http://schemas.openxmlformats.org/officeDocument/2006/relationships/hyperlink" Target="mailto:ncep.pmb.dataflow@noaa.gov" TargetMode="External"/><Relationship Id="rId14" Type="http://schemas.openxmlformats.org/officeDocument/2006/relationships/hyperlink" Target="http://www.opc.ncep.noaa.gov/et_surge/et_surge_info.shtml" TargetMode="External"/><Relationship Id="rId5" Type="http://schemas.openxmlformats.org/officeDocument/2006/relationships/hyperlink" Target="http://nomads.ncep.noaa.gov/pub/data/nccf/com/etss/prod/etss.YYYYMMDD" TargetMode="External"/><Relationship Id="rId6" Type="http://schemas.openxmlformats.org/officeDocument/2006/relationships/hyperlink" Target="http://nomads.ncep.noaa.gov/pub/data/nccf/com/etss/prod/etss.YYYYMMDD" TargetMode="External"/><Relationship Id="rId7" Type="http://schemas.openxmlformats.org/officeDocument/2006/relationships/hyperlink" Target="http://weather.noaa.gov/pub/SL.us008001/ST.expr/DF.gr2/DC.ndgd/GT.slosh/" TargetMode="External"/><Relationship Id="rId8" Type="http://schemas.openxmlformats.org/officeDocument/2006/relationships/hyperlink" Target="http://nomads.ncep.noaa.gov/pub/data/nccf/com/etss/prod/etss.YYYYMMDD" TargetMode="External"/></Relationships>
</file>