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113B" w:rsidRDefault="00FD74FE">
      <w:pPr>
        <w:spacing w:after="300"/>
      </w:pPr>
      <w:r>
        <w:rPr>
          <w:b/>
          <w:color w:val="002060"/>
          <w:sz w:val="52"/>
        </w:rPr>
        <w:t xml:space="preserve">Release Notes </w:t>
      </w:r>
    </w:p>
    <w:tbl>
      <w:tblPr>
        <w:tblStyle w:val="a"/>
        <w:tblW w:w="9463" w:type="dxa"/>
        <w:jc w:val="center"/>
        <w:tblInd w:w="-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1935"/>
        <w:gridCol w:w="7528"/>
      </w:tblGrid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Model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6D6B1B">
            <w:pPr>
              <w:spacing w:after="0"/>
            </w:pPr>
            <w:r>
              <w:rPr>
                <w:sz w:val="24"/>
              </w:rPr>
              <w:t xml:space="preserve">Probabilistic </w:t>
            </w:r>
            <w:r w:rsidR="00FD74FE">
              <w:rPr>
                <w:sz w:val="24"/>
              </w:rPr>
              <w:t>Extra-Tropical Storm Surge (</w:t>
            </w:r>
            <w:r>
              <w:rPr>
                <w:sz w:val="24"/>
              </w:rPr>
              <w:t>P-</w:t>
            </w:r>
            <w:r w:rsidR="00FD74FE">
              <w:rPr>
                <w:sz w:val="24"/>
              </w:rPr>
              <w:t xml:space="preserve">ETSS) 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Version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 w:rsidP="00501D87">
            <w:pPr>
              <w:spacing w:after="0"/>
            </w:pPr>
            <w:r>
              <w:rPr>
                <w:sz w:val="24"/>
              </w:rPr>
              <w:t>V</w:t>
            </w:r>
            <w:r w:rsidR="00501D87">
              <w:rPr>
                <w:sz w:val="24"/>
              </w:rPr>
              <w:t>1</w:t>
            </w:r>
            <w:r>
              <w:rPr>
                <w:sz w:val="24"/>
              </w:rPr>
              <w:t>.</w:t>
            </w:r>
            <w:r w:rsidR="00501D87">
              <w:rPr>
                <w:sz w:val="24"/>
              </w:rPr>
              <w:t>0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Implementation date/time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A876DD" w:rsidP="00A876DD">
            <w:pPr>
              <w:spacing w:after="0"/>
            </w:pPr>
            <w:r>
              <w:t>6</w:t>
            </w:r>
            <w:r w:rsidR="00FD74FE">
              <w:t>/</w:t>
            </w:r>
            <w:r>
              <w:t>6</w:t>
            </w:r>
            <w:bookmarkStart w:id="0" w:name="_GoBack"/>
            <w:bookmarkEnd w:id="0"/>
            <w:r>
              <w:t>/2017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Purpose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163B1E" w:rsidRDefault="00FD74FE" w:rsidP="00A3513D">
            <w:pPr>
              <w:tabs>
                <w:tab w:val="left" w:pos="1440"/>
              </w:tabs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6D6B1B">
              <w:rPr>
                <w:sz w:val="24"/>
              </w:rPr>
              <w:t xml:space="preserve">Probabilistic </w:t>
            </w:r>
            <w:r>
              <w:rPr>
                <w:sz w:val="24"/>
              </w:rPr>
              <w:t>Extra-Tropical Storm Surge model</w:t>
            </w:r>
            <w:r w:rsidR="00A3513D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is a modification of the </w:t>
            </w:r>
            <w:r w:rsidR="006D6B1B">
              <w:rPr>
                <w:sz w:val="24"/>
              </w:rPr>
              <w:t xml:space="preserve">ETSS </w:t>
            </w:r>
            <w:r>
              <w:rPr>
                <w:sz w:val="24"/>
              </w:rPr>
              <w:t xml:space="preserve">model </w:t>
            </w:r>
            <w:r w:rsidR="006D6B1B">
              <w:rPr>
                <w:sz w:val="24"/>
              </w:rPr>
              <w:t>(</w:t>
            </w:r>
            <w:r w:rsidR="00570845">
              <w:rPr>
                <w:sz w:val="24"/>
              </w:rPr>
              <w:t xml:space="preserve">which in turn is </w:t>
            </w:r>
            <w:r w:rsidR="006D6B1B">
              <w:rPr>
                <w:sz w:val="24"/>
              </w:rPr>
              <w:t xml:space="preserve">based on SLOSH) </w:t>
            </w:r>
            <w:r>
              <w:rPr>
                <w:sz w:val="24"/>
              </w:rPr>
              <w:t xml:space="preserve">that uses </w:t>
            </w:r>
            <w:r w:rsidR="006D6B1B">
              <w:rPr>
                <w:sz w:val="24"/>
              </w:rPr>
              <w:t xml:space="preserve">21 </w:t>
            </w:r>
            <w:r>
              <w:rPr>
                <w:sz w:val="24"/>
              </w:rPr>
              <w:t xml:space="preserve">GFS </w:t>
            </w:r>
            <w:r w:rsidR="006D6B1B">
              <w:rPr>
                <w:sz w:val="24"/>
              </w:rPr>
              <w:t xml:space="preserve">ensemble members </w:t>
            </w:r>
            <w:r>
              <w:rPr>
                <w:sz w:val="24"/>
              </w:rPr>
              <w:t xml:space="preserve">wind and pressure input to </w:t>
            </w:r>
            <w:r w:rsidR="006D6B1B">
              <w:rPr>
                <w:sz w:val="24"/>
              </w:rPr>
              <w:t xml:space="preserve">generate probabilistic </w:t>
            </w:r>
            <w:r>
              <w:rPr>
                <w:sz w:val="24"/>
              </w:rPr>
              <w:t>storm surge</w:t>
            </w:r>
            <w:r w:rsidR="00570845">
              <w:rPr>
                <w:sz w:val="24"/>
              </w:rPr>
              <w:t xml:space="preserve"> products</w:t>
            </w:r>
            <w:r>
              <w:rPr>
                <w:sz w:val="24"/>
              </w:rPr>
              <w:t xml:space="preserve"> </w:t>
            </w:r>
            <w:r w:rsidR="007261F4">
              <w:rPr>
                <w:sz w:val="24"/>
              </w:rPr>
              <w:t>(</w:t>
            </w:r>
            <w:r w:rsidR="00570845">
              <w:rPr>
                <w:sz w:val="24"/>
              </w:rPr>
              <w:t>e</w:t>
            </w:r>
            <w:r w:rsidR="007261F4">
              <w:rPr>
                <w:sz w:val="24"/>
              </w:rPr>
              <w:t xml:space="preserve">xceedance </w:t>
            </w:r>
            <w:r w:rsidR="00570845">
              <w:rPr>
                <w:sz w:val="24"/>
              </w:rPr>
              <w:t>h</w:t>
            </w:r>
            <w:r w:rsidR="007261F4">
              <w:rPr>
                <w:sz w:val="24"/>
              </w:rPr>
              <w:t xml:space="preserve">eight and </w:t>
            </w:r>
            <w:r w:rsidR="00570845">
              <w:rPr>
                <w:sz w:val="24"/>
              </w:rPr>
              <w:t>p</w:t>
            </w:r>
            <w:r w:rsidR="007261F4">
              <w:rPr>
                <w:sz w:val="24"/>
              </w:rPr>
              <w:t xml:space="preserve">robability of </w:t>
            </w:r>
            <w:r w:rsidR="00570845">
              <w:rPr>
                <w:sz w:val="24"/>
              </w:rPr>
              <w:t>s</w:t>
            </w:r>
            <w:r w:rsidR="007261F4">
              <w:rPr>
                <w:sz w:val="24"/>
              </w:rPr>
              <w:t xml:space="preserve">torm </w:t>
            </w:r>
            <w:r w:rsidR="00570845">
              <w:rPr>
                <w:sz w:val="24"/>
              </w:rPr>
              <w:t>surge + t</w:t>
            </w:r>
            <w:r w:rsidR="007261F4">
              <w:rPr>
                <w:sz w:val="24"/>
              </w:rPr>
              <w:t xml:space="preserve">ide) </w:t>
            </w:r>
            <w:r w:rsidR="00A3513D">
              <w:rPr>
                <w:sz w:val="24"/>
              </w:rPr>
              <w:t>fr</w:t>
            </w:r>
            <w:r w:rsidR="00570845">
              <w:rPr>
                <w:sz w:val="24"/>
              </w:rPr>
              <w:t>om large extra-tropical storms.</w:t>
            </w:r>
          </w:p>
          <w:p w:rsidR="00163B1E" w:rsidRDefault="00163B1E">
            <w:pPr>
              <w:tabs>
                <w:tab w:val="left" w:pos="1440"/>
              </w:tabs>
              <w:spacing w:after="0"/>
              <w:jc w:val="both"/>
              <w:rPr>
                <w:sz w:val="24"/>
              </w:rPr>
            </w:pPr>
          </w:p>
          <w:p w:rsidR="004220DE" w:rsidRDefault="007261F4">
            <w:pPr>
              <w:tabs>
                <w:tab w:val="left" w:pos="1440"/>
              </w:tabs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Initial implementation </w:t>
            </w:r>
            <w:r w:rsidR="00570845">
              <w:rPr>
                <w:sz w:val="24"/>
              </w:rPr>
              <w:t>will</w:t>
            </w:r>
          </w:p>
          <w:p w:rsidR="004220DE" w:rsidRPr="00C445CF" w:rsidRDefault="007261F4" w:rsidP="00C445CF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>
              <w:t>Run ETSS2.2 using 21 GFS ensemble members wind and pressure</w:t>
            </w:r>
          </w:p>
          <w:p w:rsidR="00A3513D" w:rsidRDefault="007261F4" w:rsidP="007261F4">
            <w:pPr>
              <w:pStyle w:val="ListParagraph"/>
              <w:numPr>
                <w:ilvl w:val="0"/>
                <w:numId w:val="9"/>
              </w:numPr>
              <w:tabs>
                <w:tab w:val="left" w:pos="1440"/>
              </w:tabs>
              <w:spacing w:after="0"/>
              <w:jc w:val="both"/>
            </w:pPr>
            <w:r>
              <w:t xml:space="preserve">Use equally weighted method to generate the probability 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>Changes being made for this release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  <w:u w:val="single"/>
              </w:rPr>
              <w:t>Model</w:t>
            </w:r>
            <w:r>
              <w:rPr>
                <w:sz w:val="24"/>
              </w:rPr>
              <w:t>:</w:t>
            </w:r>
          </w:p>
          <w:p w:rsidR="00E04DB2" w:rsidRDefault="00001EEA" w:rsidP="00001EEA">
            <w:pPr>
              <w:spacing w:after="0"/>
              <w:ind w:left="702"/>
              <w:contextualSpacing/>
              <w:rPr>
                <w:sz w:val="24"/>
              </w:rPr>
            </w:pPr>
            <w:r>
              <w:rPr>
                <w:sz w:val="24"/>
              </w:rPr>
              <w:t>First Release</w:t>
            </w:r>
          </w:p>
          <w:p w:rsidR="00574DFF" w:rsidRDefault="00574DFF" w:rsidP="00574DFF">
            <w:pPr>
              <w:spacing w:after="0"/>
              <w:ind w:left="702"/>
              <w:contextualSpacing/>
              <w:rPr>
                <w:sz w:val="24"/>
              </w:rPr>
            </w:pPr>
          </w:p>
        </w:tc>
      </w:tr>
      <w:tr w:rsidR="0042113B">
        <w:trPr>
          <w:trHeight w:val="56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Developed by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NOAA/NWS/OST/Meteorological Development Laboratory (MDL)</w:t>
            </w:r>
          </w:p>
          <w:p w:rsidR="0042113B" w:rsidRDefault="0042113B">
            <w:pPr>
              <w:spacing w:after="0"/>
            </w:pPr>
          </w:p>
        </w:tc>
      </w:tr>
      <w:tr w:rsidR="0042113B">
        <w:trPr>
          <w:trHeight w:val="66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Runs on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The National Weather Service (NWS) Weather and Climate Operational Supercomputing System (WCOSS)</w:t>
            </w:r>
          </w:p>
        </w:tc>
      </w:tr>
      <w:tr w:rsidR="0042113B">
        <w:trPr>
          <w:trHeight w:val="50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Community software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None</w:t>
            </w:r>
          </w:p>
          <w:p w:rsidR="0042113B" w:rsidRDefault="0042113B">
            <w:pPr>
              <w:spacing w:after="0"/>
            </w:pP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Input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Pr="00001EEA" w:rsidRDefault="00FD74FE" w:rsidP="003D6F3E">
            <w:pPr>
              <w:spacing w:after="0"/>
            </w:pPr>
            <w:r>
              <w:rPr>
                <w:sz w:val="24"/>
                <w:u w:val="single"/>
              </w:rPr>
              <w:t>Model</w:t>
            </w:r>
            <w:r>
              <w:rPr>
                <w:sz w:val="24"/>
              </w:rPr>
              <w:t>: GRIB2 0.5 degree G</w:t>
            </w:r>
            <w:r w:rsidR="00001EEA">
              <w:rPr>
                <w:sz w:val="24"/>
              </w:rPr>
              <w:t>E</w:t>
            </w:r>
            <w:r>
              <w:rPr>
                <w:sz w:val="24"/>
              </w:rPr>
              <w:t>FS data</w:t>
            </w:r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Output and where to find it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3059F0" w:rsidRDefault="003059F0">
            <w:pPr>
              <w:spacing w:after="0"/>
              <w:rPr>
                <w:sz w:val="24"/>
              </w:rPr>
            </w:pPr>
            <w:r>
              <w:rPr>
                <w:sz w:val="24"/>
                <w:u w:val="single"/>
              </w:rPr>
              <w:t>Gridded Products</w:t>
            </w:r>
            <w:r w:rsidR="00FD74FE">
              <w:rPr>
                <w:sz w:val="24"/>
              </w:rPr>
              <w:t xml:space="preserve">: </w:t>
            </w:r>
          </w:p>
          <w:p w:rsidR="003059F0" w:rsidRDefault="003059F0" w:rsidP="003059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NCEP NOMADS </w:t>
            </w:r>
          </w:p>
          <w:p w:rsidR="003059F0" w:rsidRDefault="00A876DD" w:rsidP="003059F0">
            <w:pPr>
              <w:spacing w:after="0"/>
              <w:rPr>
                <w:sz w:val="24"/>
              </w:rPr>
            </w:pPr>
            <w:hyperlink r:id="rId7" w:history="1">
              <w:r w:rsidR="00D8444D" w:rsidRPr="001171C2">
                <w:rPr>
                  <w:rStyle w:val="Hyperlink"/>
                  <w:sz w:val="24"/>
                </w:rPr>
                <w:t>http://nomads.ncep.noaa.gov/pub/data/nccf/com/petss/prod/petss.YYYYMMDD</w:t>
              </w:r>
            </w:hyperlink>
          </w:p>
          <w:p w:rsidR="00D8444D" w:rsidRDefault="00D8444D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D8444D">
              <w:rPr>
                <w:sz w:val="24"/>
              </w:rPr>
              <w:t xml:space="preserve">Surge and tide height above NAVD-88/AGL exceeded by 10% of the storms, hourly to hour 102 </w:t>
            </w:r>
          </w:p>
          <w:p w:rsidR="00D57C51" w:rsidRPr="00D8444D" w:rsidRDefault="00D57C51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D8444D">
              <w:rPr>
                <w:sz w:val="24"/>
              </w:rPr>
              <w:t>Surge and tide height above NAVD-88/AGL exceeded by 10% of storms for 0-102 hours</w:t>
            </w:r>
          </w:p>
          <w:p w:rsidR="00D8444D" w:rsidRDefault="00D8444D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D8444D">
              <w:rPr>
                <w:sz w:val="24"/>
              </w:rPr>
              <w:t>Surge and tide height above NAVD-88/AGL exceeded by 10% of storms in 6-hr incremental and cumulative groups to hour 102 (e.g. 0-6, 6-12, 12-18,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...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96-102 and 0-6, 0-12,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...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 xml:space="preserve">0-102) </w:t>
            </w:r>
          </w:p>
          <w:p w:rsidR="00D57C51" w:rsidRPr="00D8444D" w:rsidRDefault="00D57C51" w:rsidP="00D57C51">
            <w:pPr>
              <w:pStyle w:val="ListParagraph"/>
              <w:spacing w:after="0"/>
              <w:rPr>
                <w:sz w:val="24"/>
              </w:rPr>
            </w:pPr>
          </w:p>
          <w:p w:rsidR="00D57C51" w:rsidRDefault="00D57C51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D8444D">
              <w:rPr>
                <w:sz w:val="24"/>
              </w:rPr>
              <w:lastRenderedPageBreak/>
              <w:t>Probability of surge and tide height greater than 1, 2, 3, 6, 9 feet above NAVD-88/AGL</w:t>
            </w:r>
            <w:r>
              <w:rPr>
                <w:sz w:val="24"/>
              </w:rPr>
              <w:t xml:space="preserve"> for 0-102 hours</w:t>
            </w:r>
          </w:p>
          <w:p w:rsidR="00D57C51" w:rsidRDefault="00D57C51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D8444D">
              <w:rPr>
                <w:sz w:val="24"/>
              </w:rPr>
              <w:t>Probability of surge and tide height greater than 1, 2, 3, 6, 9 feet above NAVD-88/AGL</w:t>
            </w:r>
            <w:r>
              <w:rPr>
                <w:sz w:val="24"/>
              </w:rPr>
              <w:t xml:space="preserve">, </w:t>
            </w:r>
            <w:r w:rsidRPr="00D8444D">
              <w:rPr>
                <w:sz w:val="24"/>
              </w:rPr>
              <w:t>hourly to hour 102</w:t>
            </w:r>
          </w:p>
          <w:p w:rsidR="00D8444D" w:rsidRPr="00D8444D" w:rsidRDefault="00D8444D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D8444D">
              <w:rPr>
                <w:sz w:val="24"/>
              </w:rPr>
              <w:t>Probability of surge and tide height greater than 1, 2, 3, 6, 9 feet above NAVD-88/AGL in 6-hr incremental and cumulative groups to hour 102 (e.g. 0-6, 6-12, 12-18,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...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6-102</w:t>
            </w:r>
            <w:r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and 0-6, 0-12,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>...</w:t>
            </w:r>
            <w:r w:rsidR="00570845">
              <w:rPr>
                <w:sz w:val="24"/>
              </w:rPr>
              <w:t xml:space="preserve"> </w:t>
            </w:r>
            <w:r w:rsidRPr="00D8444D">
              <w:rPr>
                <w:sz w:val="24"/>
              </w:rPr>
              <w:t xml:space="preserve">0-102) </w:t>
            </w:r>
          </w:p>
          <w:p w:rsidR="00570845" w:rsidRDefault="00D57C51" w:rsidP="00570845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Ensemble m</w:t>
            </w:r>
            <w:r w:rsidR="00570845" w:rsidRPr="00D8444D">
              <w:rPr>
                <w:sz w:val="24"/>
              </w:rPr>
              <w:t>ean, max</w:t>
            </w:r>
            <w:r w:rsidR="00601BFB">
              <w:rPr>
                <w:sz w:val="24"/>
              </w:rPr>
              <w:t>imum</w:t>
            </w:r>
            <w:r w:rsidR="00570845" w:rsidRPr="00D8444D">
              <w:rPr>
                <w:sz w:val="24"/>
              </w:rPr>
              <w:t xml:space="preserve"> and min</w:t>
            </w:r>
            <w:r w:rsidR="00601BFB">
              <w:rPr>
                <w:sz w:val="24"/>
              </w:rPr>
              <w:t>imum</w:t>
            </w:r>
            <w:r w:rsidR="00570845" w:rsidRPr="00D8444D">
              <w:rPr>
                <w:sz w:val="24"/>
              </w:rPr>
              <w:t xml:space="preserve"> </w:t>
            </w:r>
            <w:r w:rsidR="00601BFB">
              <w:rPr>
                <w:sz w:val="24"/>
              </w:rPr>
              <w:t xml:space="preserve">of </w:t>
            </w:r>
            <w:r w:rsidR="00570845" w:rsidRPr="00D8444D">
              <w:rPr>
                <w:sz w:val="24"/>
              </w:rPr>
              <w:t xml:space="preserve">surge and tide height above NAVD-88/AGL hourly to </w:t>
            </w:r>
            <w:r w:rsidR="00570845">
              <w:rPr>
                <w:sz w:val="24"/>
              </w:rPr>
              <w:t xml:space="preserve">hour </w:t>
            </w:r>
            <w:r w:rsidR="00570845" w:rsidRPr="00D8444D">
              <w:rPr>
                <w:sz w:val="24"/>
              </w:rPr>
              <w:t>102</w:t>
            </w:r>
          </w:p>
          <w:p w:rsidR="00601BFB" w:rsidRDefault="00570845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Maximum over 0-102 hours of the ensemble (a) mean</w:t>
            </w:r>
            <w:r w:rsidR="00D8444D" w:rsidRPr="00D8444D"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(b) maximum </w:t>
            </w:r>
            <w:r w:rsidR="00D8444D" w:rsidRPr="00D8444D">
              <w:rPr>
                <w:sz w:val="24"/>
              </w:rPr>
              <w:t xml:space="preserve">and </w:t>
            </w:r>
            <w:r>
              <w:rPr>
                <w:sz w:val="24"/>
              </w:rPr>
              <w:t>(c) minimum</w:t>
            </w:r>
            <w:r w:rsidR="00601BFB">
              <w:rPr>
                <w:sz w:val="24"/>
              </w:rPr>
              <w:t xml:space="preserve"> of surge and tide height above </w:t>
            </w:r>
            <w:r w:rsidR="00601BFB" w:rsidRPr="00D8444D">
              <w:rPr>
                <w:sz w:val="24"/>
              </w:rPr>
              <w:t>NAVD-88/AGL</w:t>
            </w:r>
          </w:p>
          <w:p w:rsidR="00570845" w:rsidRPr="00601BFB" w:rsidRDefault="00570845" w:rsidP="00D8444D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601BFB">
              <w:rPr>
                <w:sz w:val="24"/>
              </w:rPr>
              <w:t xml:space="preserve"> </w:t>
            </w:r>
            <w:r w:rsidR="00601BFB" w:rsidRPr="00601BFB">
              <w:rPr>
                <w:sz w:val="24"/>
              </w:rPr>
              <w:t>Ensemble mean, maximum and minimum of surge and tide height above NAVD-88/AGL in 6-hr incremental and cumulative groups to hour 102 (e.g. 0-6, 6-12, 12-18, ... 6-102 and 0-6, 0-12, ... 0-102)</w:t>
            </w:r>
          </w:p>
          <w:p w:rsidR="004A2FDC" w:rsidRDefault="003059F0">
            <w:pPr>
              <w:spacing w:after="0"/>
              <w:rPr>
                <w:sz w:val="24"/>
              </w:rPr>
            </w:pPr>
            <w:r>
              <w:rPr>
                <w:sz w:val="24"/>
                <w:u w:val="single"/>
              </w:rPr>
              <w:t>Text Products</w:t>
            </w:r>
            <w:r w:rsidR="00FD74FE">
              <w:rPr>
                <w:sz w:val="24"/>
              </w:rPr>
              <w:t xml:space="preserve">: </w:t>
            </w:r>
          </w:p>
          <w:p w:rsidR="00206628" w:rsidRDefault="00206628" w:rsidP="00206628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NCEP NOMADS </w:t>
            </w:r>
          </w:p>
          <w:p w:rsidR="00206628" w:rsidRDefault="00A876DD" w:rsidP="00206628">
            <w:pPr>
              <w:spacing w:after="0"/>
            </w:pPr>
            <w:hyperlink r:id="rId8" w:history="1">
              <w:r w:rsidR="00D8444D" w:rsidRPr="001171C2">
                <w:rPr>
                  <w:rStyle w:val="Hyperlink"/>
                  <w:sz w:val="24"/>
                </w:rPr>
                <w:t>http://nomads.ncep.noaa.gov/pub/data/nccf/com/petss/prod/petss.YYYYMMDD</w:t>
              </w:r>
            </w:hyperlink>
          </w:p>
          <w:p w:rsidR="004C79B6" w:rsidRDefault="004C79B6" w:rsidP="004C79B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>
              <w:rPr>
                <w:sz w:val="24"/>
              </w:rPr>
              <w:t>Surge only and s</w:t>
            </w:r>
            <w:r w:rsidRPr="004C79B6">
              <w:rPr>
                <w:sz w:val="24"/>
              </w:rPr>
              <w:t xml:space="preserve">urge and tide height above NAVD-88 exceeded by 10% </w:t>
            </w:r>
            <w:r>
              <w:rPr>
                <w:sz w:val="24"/>
              </w:rPr>
              <w:t xml:space="preserve">and 90% </w:t>
            </w:r>
            <w:r w:rsidRPr="004C79B6">
              <w:rPr>
                <w:sz w:val="24"/>
              </w:rPr>
              <w:t xml:space="preserve">of the storms, hourly to hour 102 </w:t>
            </w:r>
            <w:r>
              <w:rPr>
                <w:sz w:val="24"/>
              </w:rPr>
              <w:t>with model specific text file format for a set of stations</w:t>
            </w:r>
          </w:p>
          <w:p w:rsidR="008C22BE" w:rsidRPr="004C79B6" w:rsidRDefault="004C79B6" w:rsidP="004C79B6">
            <w:pPr>
              <w:pStyle w:val="ListParagraph"/>
              <w:numPr>
                <w:ilvl w:val="0"/>
                <w:numId w:val="11"/>
              </w:numPr>
              <w:spacing w:after="0"/>
              <w:rPr>
                <w:sz w:val="24"/>
              </w:rPr>
            </w:pPr>
            <w:r w:rsidRPr="004C79B6">
              <w:rPr>
                <w:sz w:val="24"/>
              </w:rPr>
              <w:t xml:space="preserve">Ensemble mean, maximum and minimum of </w:t>
            </w:r>
            <w:r>
              <w:rPr>
                <w:sz w:val="24"/>
              </w:rPr>
              <w:t xml:space="preserve">surge only and </w:t>
            </w:r>
            <w:r w:rsidRPr="004C79B6">
              <w:rPr>
                <w:sz w:val="24"/>
              </w:rPr>
              <w:t xml:space="preserve">surge and tide height above NAVD-88, hourly to hour 102 </w:t>
            </w:r>
            <w:r>
              <w:rPr>
                <w:sz w:val="24"/>
              </w:rPr>
              <w:t>with model specific text file format for a set of stations</w:t>
            </w:r>
          </w:p>
          <w:p w:rsidR="00182A73" w:rsidRDefault="00182A73">
            <w:pPr>
              <w:spacing w:after="0"/>
              <w:rPr>
                <w:sz w:val="24"/>
              </w:rPr>
            </w:pPr>
            <w:r w:rsidRPr="00182A73">
              <w:rPr>
                <w:sz w:val="24"/>
                <w:u w:val="single"/>
              </w:rPr>
              <w:t>Webs</w:t>
            </w:r>
            <w:r>
              <w:rPr>
                <w:sz w:val="24"/>
                <w:u w:val="single"/>
              </w:rPr>
              <w:t>it</w:t>
            </w:r>
            <w:r w:rsidRPr="00182A73">
              <w:rPr>
                <w:sz w:val="24"/>
                <w:u w:val="single"/>
              </w:rPr>
              <w:t>es</w:t>
            </w:r>
            <w:r>
              <w:rPr>
                <w:sz w:val="24"/>
              </w:rPr>
              <w:t>:</w:t>
            </w:r>
          </w:p>
          <w:p w:rsidR="00182A73" w:rsidRPr="00182A73" w:rsidRDefault="00FD74FE" w:rsidP="00A11F83">
            <w:pPr>
              <w:spacing w:after="0"/>
            </w:pPr>
            <w:r>
              <w:rPr>
                <w:sz w:val="24"/>
              </w:rPr>
              <w:t xml:space="preserve">MDL </w:t>
            </w:r>
            <w:r w:rsidR="00A11F83">
              <w:rPr>
                <w:sz w:val="24"/>
              </w:rPr>
              <w:t>anticipates providing a site in the future.</w:t>
            </w:r>
          </w:p>
          <w:p w:rsidR="00182A73" w:rsidRDefault="00A876DD">
            <w:pPr>
              <w:spacing w:after="0"/>
            </w:pPr>
            <w:hyperlink r:id="rId9"/>
          </w:p>
        </w:tc>
      </w:tr>
      <w:tr w:rsidR="0042113B">
        <w:trPr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lastRenderedPageBreak/>
              <w:t xml:space="preserve">Primary users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FD74FE">
            <w:pPr>
              <w:spacing w:after="0"/>
            </w:pPr>
            <w:r>
              <w:rPr>
                <w:sz w:val="24"/>
              </w:rPr>
              <w:t>NCEP's Ocean Prediction Center (OPC), NCEP’s National Hurricane Center (NHC), NWS’s Eastern, Alaska, Southern, and Western Regions (HQ, coastal RFCs and WFOs)</w:t>
            </w:r>
          </w:p>
        </w:tc>
      </w:tr>
      <w:tr w:rsidR="0042113B">
        <w:trPr>
          <w:trHeight w:val="720"/>
          <w:jc w:val="center"/>
        </w:trPr>
        <w:tc>
          <w:tcPr>
            <w:tcW w:w="19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2113B" w:rsidRDefault="00FD74FE">
            <w:pPr>
              <w:spacing w:after="0"/>
              <w:jc w:val="right"/>
            </w:pPr>
            <w:r>
              <w:rPr>
                <w:b/>
                <w:color w:val="002060"/>
              </w:rPr>
              <w:t xml:space="preserve">In the future  </w:t>
            </w:r>
          </w:p>
        </w:tc>
        <w:tc>
          <w:tcPr>
            <w:tcW w:w="7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:rsidR="0042113B" w:rsidRDefault="0042113B" w:rsidP="00E80ACB"/>
        </w:tc>
      </w:tr>
    </w:tbl>
    <w:p w:rsidR="0042113B" w:rsidRDefault="0042113B"/>
    <w:p w:rsidR="0042113B" w:rsidRDefault="00FD74FE">
      <w:r>
        <w:t xml:space="preserve">For more information on this model, please contact </w:t>
      </w:r>
      <w:hyperlink r:id="rId10">
        <w:r>
          <w:rPr>
            <w:color w:val="0000FF"/>
            <w:u w:val="single"/>
          </w:rPr>
          <w:t>ncep.pmb.dataflow@noaa.gov</w:t>
        </w:r>
      </w:hyperlink>
      <w:r>
        <w:t xml:space="preserve"> .</w:t>
      </w:r>
    </w:p>
    <w:sectPr w:rsidR="004211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006"/>
    <w:multiLevelType w:val="hybridMultilevel"/>
    <w:tmpl w:val="9F982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27DEB"/>
    <w:multiLevelType w:val="hybridMultilevel"/>
    <w:tmpl w:val="FCB6757C"/>
    <w:lvl w:ilvl="0" w:tplc="709EC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EC4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101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45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AA65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44EF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644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563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749F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1145F"/>
    <w:multiLevelType w:val="hybridMultilevel"/>
    <w:tmpl w:val="6EB46EAA"/>
    <w:lvl w:ilvl="0" w:tplc="0E460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408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92C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D24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6E9D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5E1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E5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CF5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941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F4007"/>
    <w:multiLevelType w:val="hybridMultilevel"/>
    <w:tmpl w:val="3F4CC1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F64AD"/>
    <w:multiLevelType w:val="multilevel"/>
    <w:tmpl w:val="2250D222"/>
    <w:lvl w:ilvl="0">
      <w:start w:val="1"/>
      <w:numFmt w:val="lowerLetter"/>
      <w:lvlText w:val="%1."/>
      <w:lvlJc w:val="left"/>
      <w:pPr>
        <w:ind w:left="9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-27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153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25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297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369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441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13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5850" w:firstLine="6120"/>
      </w:pPr>
      <w:rPr>
        <w:u w:val="none"/>
      </w:rPr>
    </w:lvl>
  </w:abstractNum>
  <w:abstractNum w:abstractNumId="5">
    <w:nsid w:val="2A9D766F"/>
    <w:multiLevelType w:val="hybridMultilevel"/>
    <w:tmpl w:val="377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27ABE"/>
    <w:multiLevelType w:val="hybridMultilevel"/>
    <w:tmpl w:val="3C808952"/>
    <w:lvl w:ilvl="0" w:tplc="AAD0A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EED3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E2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63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10D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08D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940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69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9CB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48400C"/>
    <w:multiLevelType w:val="hybridMultilevel"/>
    <w:tmpl w:val="B9103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FA497E"/>
    <w:multiLevelType w:val="hybridMultilevel"/>
    <w:tmpl w:val="3884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5F40A5"/>
    <w:multiLevelType w:val="multilevel"/>
    <w:tmpl w:val="8A463A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A8B5AAF"/>
    <w:multiLevelType w:val="hybridMultilevel"/>
    <w:tmpl w:val="6178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C95025"/>
    <w:multiLevelType w:val="multilevel"/>
    <w:tmpl w:val="B684856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614328D"/>
    <w:multiLevelType w:val="multilevel"/>
    <w:tmpl w:val="00A2C42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79A63133"/>
    <w:multiLevelType w:val="multilevel"/>
    <w:tmpl w:val="4E081756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8"/>
  </w:num>
  <w:num w:numId="11">
    <w:abstractNumId w:val="5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113B"/>
    <w:rsid w:val="00001EEA"/>
    <w:rsid w:val="00043008"/>
    <w:rsid w:val="00070D76"/>
    <w:rsid w:val="00097D4B"/>
    <w:rsid w:val="00163B1E"/>
    <w:rsid w:val="00182A73"/>
    <w:rsid w:val="00206628"/>
    <w:rsid w:val="002D0B94"/>
    <w:rsid w:val="003059F0"/>
    <w:rsid w:val="003355F2"/>
    <w:rsid w:val="003562DA"/>
    <w:rsid w:val="003D6F3E"/>
    <w:rsid w:val="0042113B"/>
    <w:rsid w:val="004220DE"/>
    <w:rsid w:val="004A2FDC"/>
    <w:rsid w:val="004C79B6"/>
    <w:rsid w:val="00501D87"/>
    <w:rsid w:val="00570845"/>
    <w:rsid w:val="00574DFF"/>
    <w:rsid w:val="00597FC8"/>
    <w:rsid w:val="005D4FC4"/>
    <w:rsid w:val="00601BFB"/>
    <w:rsid w:val="006A1FE9"/>
    <w:rsid w:val="006D6B1B"/>
    <w:rsid w:val="007261F4"/>
    <w:rsid w:val="00737B65"/>
    <w:rsid w:val="008C22BE"/>
    <w:rsid w:val="00920634"/>
    <w:rsid w:val="009B0EFE"/>
    <w:rsid w:val="00A11F83"/>
    <w:rsid w:val="00A3513D"/>
    <w:rsid w:val="00A876DD"/>
    <w:rsid w:val="00B96087"/>
    <w:rsid w:val="00BB39C1"/>
    <w:rsid w:val="00C445CF"/>
    <w:rsid w:val="00D57C51"/>
    <w:rsid w:val="00D8444D"/>
    <w:rsid w:val="00E04DB2"/>
    <w:rsid w:val="00E80ACB"/>
    <w:rsid w:val="00ED16DE"/>
    <w:rsid w:val="00F11E04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2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22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9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34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065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648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8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29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99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153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86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8556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mads.ncep.noaa.gov/pub/data/nccf/com/petss/prod/petss.YYYYMMDD" TargetMode="External"/><Relationship Id="rId3" Type="http://schemas.openxmlformats.org/officeDocument/2006/relationships/styles" Target="styles.xml"/><Relationship Id="rId7" Type="http://schemas.openxmlformats.org/officeDocument/2006/relationships/hyperlink" Target="http://nomads.ncep.noaa.gov/pub/data/nccf/com/petss/prod/petss.YYYYMMD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ncep.pmb.dataflow@noaa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c.ncep.noaa.gov/et_surge/et_surge_info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79648-2415-48AD-AE15-0FCE5976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ETSurge2.0_Final_release_notes.docx.docx</vt:lpstr>
    </vt:vector>
  </TitlesOfParts>
  <Company>NOAA National Weather Service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ETSurge2.0_Final_release_notes.docx.docx</dc:title>
  <dc:creator>Huiqing Liu</dc:creator>
  <cp:lastModifiedBy>Huiqing Liu</cp:lastModifiedBy>
  <cp:revision>30</cp:revision>
  <dcterms:created xsi:type="dcterms:W3CDTF">2015-06-16T18:02:00Z</dcterms:created>
  <dcterms:modified xsi:type="dcterms:W3CDTF">2017-01-04T14:18:00Z</dcterms:modified>
</cp:coreProperties>
</file>