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77777777"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scheme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790EDEAD"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This is the whole exome</w:t>
      </w:r>
      <w:r w:rsidR="004942DC">
        <w:rPr>
          <w:rFonts w:ascii="Cambria" w:hAnsi="Cambria"/>
          <w:b/>
          <w:color w:val="365F91"/>
          <w:sz w:val="24"/>
          <w:szCs w:val="24"/>
        </w:rPr>
        <w:t>/targeted</w:t>
      </w:r>
      <w:r w:rsidRPr="00FA5D77">
        <w:rPr>
          <w:rFonts w:ascii="Cambria" w:hAnsi="Cambria"/>
          <w:b/>
          <w:color w:val="365F91"/>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commentRangeStart w:id="0"/>
      <w:commentRangeStart w:id="1"/>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commentRangeEnd w:id="0"/>
      <w:r w:rsidRPr="003A7F5D">
        <w:rPr>
          <w:rFonts w:ascii="Cambria" w:hAnsi="Cambria"/>
          <w:b/>
          <w:sz w:val="24"/>
          <w:szCs w:val="24"/>
        </w:rPr>
        <w:commentReference w:id="0"/>
      </w:r>
      <w:commentRangeEnd w:id="1"/>
      <w:r w:rsidRPr="003A7F5D">
        <w:rPr>
          <w:rFonts w:ascii="Cambria" w:hAnsi="Cambria"/>
          <w:b/>
          <w:sz w:val="24"/>
          <w:szCs w:val="24"/>
        </w:rPr>
        <w:commentReference w:id="1"/>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7A263908" w14:textId="77777777" w:rsidR="00FA5D77" w:rsidRPr="009359B4" w:rsidRDefault="00FA5D77" w:rsidP="009359B4">
      <w:pPr>
        <w:rPr>
          <w:rFonts w:ascii="Cambria" w:hAnsi="Cambria"/>
          <w:b/>
          <w:sz w:val="24"/>
          <w:szCs w:val="24"/>
        </w:rPr>
      </w:pPr>
      <w:proofErr w:type="spellStart"/>
      <w:proofErr w:type="gramStart"/>
      <w:r w:rsidRPr="009359B4">
        <w:rPr>
          <w:rFonts w:ascii="Cambria" w:hAnsi="Cambria"/>
          <w:b/>
          <w:sz w:val="24"/>
          <w:szCs w:val="24"/>
        </w:rPr>
        <w:t>FastQC</w:t>
      </w:r>
      <w:proofErr w:type="spellEnd"/>
      <w:r w:rsidRPr="009359B4">
        <w:rPr>
          <w:rFonts w:ascii="Cambria" w:hAnsi="Cambria"/>
          <w:b/>
          <w:sz w:val="24"/>
          <w:szCs w:val="24"/>
        </w:rPr>
        <w:t>(</w:t>
      </w:r>
      <w:proofErr w:type="gramEnd"/>
      <w:r w:rsidRPr="009359B4">
        <w:rPr>
          <w:rFonts w:ascii="Cambria" w:hAnsi="Cambria"/>
          <w:b/>
          <w:sz w:val="24"/>
          <w:szCs w:val="24"/>
        </w:rPr>
        <w:t xml:space="preserve">consolidated in </w:t>
      </w:r>
      <w:proofErr w:type="spellStart"/>
      <w:r w:rsidRPr="009359B4">
        <w:rPr>
          <w:rFonts w:ascii="Cambria" w:hAnsi="Cambria"/>
          <w:b/>
          <w:sz w:val="24"/>
          <w:szCs w:val="24"/>
        </w:rPr>
        <w:t>MultiQC</w:t>
      </w:r>
      <w:proofErr w:type="spellEnd"/>
      <w:r w:rsidRPr="009359B4">
        <w:rPr>
          <w:rFonts w:ascii="Cambria" w:hAnsi="Cambria"/>
          <w:b/>
          <w:sz w:val="24"/>
          <w:szCs w:val="24"/>
        </w:rPr>
        <w:t xml:space="preserve"> format) is a widely used high through put sequencing data quality control tool.  It provides a modular set of analyses which includes:  Basic Statistics, Per Base Sequence Quality, Per Sequence Quality Scores, </w:t>
      </w:r>
      <w:proofErr w:type="spellStart"/>
      <w:r w:rsidRPr="009359B4">
        <w:rPr>
          <w:rFonts w:ascii="Cambria" w:hAnsi="Cambria"/>
          <w:b/>
          <w:sz w:val="24"/>
          <w:szCs w:val="24"/>
        </w:rPr>
        <w:t>PerBase</w:t>
      </w:r>
      <w:proofErr w:type="spellEnd"/>
      <w:r w:rsidRPr="009359B4">
        <w:rPr>
          <w:rFonts w:ascii="Cambria" w:hAnsi="Cambria"/>
          <w:b/>
          <w:sz w:val="24"/>
          <w:szCs w:val="24"/>
        </w:rPr>
        <w:t xml:space="preserve"> Sequence Content, Per Sequence GC Content, Per Base N Content, Sequence Length Distribution, Duplicate Sequences, </w:t>
      </w:r>
    </w:p>
    <w:p w14:paraId="2766EC1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Overrepresented Sequences, Adapter Content, </w:t>
      </w:r>
      <w:proofErr w:type="spellStart"/>
      <w:r w:rsidRPr="009359B4">
        <w:rPr>
          <w:rFonts w:ascii="Cambria" w:hAnsi="Cambria"/>
          <w:b/>
          <w:sz w:val="24"/>
          <w:szCs w:val="24"/>
        </w:rPr>
        <w:t>Kmer</w:t>
      </w:r>
      <w:proofErr w:type="spellEnd"/>
      <w:r w:rsidRPr="009359B4">
        <w:rPr>
          <w:rFonts w:ascii="Cambria" w:hAnsi="Cambria"/>
          <w:b/>
          <w:sz w:val="24"/>
          <w:szCs w:val="24"/>
        </w:rPr>
        <w:t xml:space="preserve"> Content, Per Tile Sequence Quality. For all </w:t>
      </w:r>
      <w:proofErr w:type="spellStart"/>
      <w:r w:rsidRPr="009359B4">
        <w:rPr>
          <w:rFonts w:ascii="Cambria" w:hAnsi="Cambria"/>
          <w:b/>
          <w:sz w:val="24"/>
          <w:szCs w:val="24"/>
        </w:rPr>
        <w:t>fastqc</w:t>
      </w:r>
      <w:proofErr w:type="spellEnd"/>
      <w:r w:rsidRPr="009359B4">
        <w:rPr>
          <w:rFonts w:ascii="Cambria" w:hAnsi="Cambria"/>
          <w:b/>
          <w:sz w:val="24"/>
          <w:szCs w:val="24"/>
        </w:rPr>
        <w:t xml:space="preserve"> results, please refer to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4387A81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w:t>
      </w:r>
      <w:proofErr w:type="gramStart"/>
      <w:r w:rsidRPr="009359B4">
        <w:rPr>
          <w:rFonts w:ascii="Cambria" w:hAnsi="Cambria"/>
          <w:b/>
          <w:sz w:val="24"/>
          <w:szCs w:val="24"/>
        </w:rPr>
        <w:t>of  PCR</w:t>
      </w:r>
      <w:proofErr w:type="gramEnd"/>
      <w:r w:rsidRPr="009359B4">
        <w:rPr>
          <w:rFonts w:ascii="Cambria" w:hAnsi="Cambria"/>
          <w:b/>
          <w:sz w:val="24"/>
          <w:szCs w:val="24"/>
        </w:rPr>
        <w:t xml:space="preserve"> amplification of a library molecule, and multiple copies of that amplified molecule being sequenced.  Optical duplication refers to large clusters of molecules being erroneously called as two separate clusters (on non-patterned </w:t>
      </w:r>
      <w:proofErr w:type="spellStart"/>
      <w:r w:rsidRPr="009359B4">
        <w:rPr>
          <w:rFonts w:ascii="Cambria" w:hAnsi="Cambria"/>
          <w:b/>
          <w:sz w:val="24"/>
          <w:szCs w:val="24"/>
        </w:rPr>
        <w:t>flowcells</w:t>
      </w:r>
      <w:proofErr w:type="spellEnd"/>
      <w:r w:rsidRPr="009359B4">
        <w:rPr>
          <w:rFonts w:ascii="Cambria" w:hAnsi="Cambria"/>
          <w:b/>
          <w:sz w:val="24"/>
          <w:szCs w:val="24"/>
        </w:rPr>
        <w:t xml:space="preserve">), or duplicates generated when a template molecule on a </w:t>
      </w:r>
      <w:proofErr w:type="spellStart"/>
      <w:r w:rsidRPr="009359B4">
        <w:rPr>
          <w:rFonts w:ascii="Cambria" w:hAnsi="Cambria"/>
          <w:b/>
          <w:sz w:val="24"/>
          <w:szCs w:val="24"/>
        </w:rPr>
        <w:t>flowcell</w:t>
      </w:r>
      <w:proofErr w:type="spellEnd"/>
      <w:r w:rsidRPr="009359B4">
        <w:rPr>
          <w:rFonts w:ascii="Cambria" w:hAnsi="Cambria"/>
          <w:b/>
          <w:sz w:val="24"/>
          <w:szCs w:val="24"/>
        </w:rPr>
        <w:t xml:space="preserve"> seeds more than 1 cluster on a </w:t>
      </w:r>
      <w:proofErr w:type="spellStart"/>
      <w:r w:rsidRPr="009359B4">
        <w:rPr>
          <w:rFonts w:ascii="Cambria" w:hAnsi="Cambria"/>
          <w:b/>
          <w:sz w:val="24"/>
          <w:szCs w:val="24"/>
        </w:rPr>
        <w:t>flowcell</w:t>
      </w:r>
      <w:proofErr w:type="spellEnd"/>
      <w:r w:rsidRPr="009359B4">
        <w:rPr>
          <w:rFonts w:ascii="Cambria" w:hAnsi="Cambria"/>
          <w:b/>
          <w:sz w:val="24"/>
          <w:szCs w:val="24"/>
        </w:rPr>
        <w:t xml:space="preserve"> (on patterned </w:t>
      </w:r>
      <w:proofErr w:type="spellStart"/>
      <w:r w:rsidRPr="009359B4">
        <w:rPr>
          <w:rFonts w:ascii="Cambria" w:hAnsi="Cambria"/>
          <w:b/>
          <w:sz w:val="24"/>
          <w:szCs w:val="24"/>
        </w:rPr>
        <w:t>flowcells</w:t>
      </w:r>
      <w:proofErr w:type="spellEnd"/>
      <w:r w:rsidRPr="009359B4">
        <w:rPr>
          <w:rFonts w:ascii="Cambria" w:hAnsi="Cambria"/>
          <w:b/>
          <w:sz w:val="24"/>
          <w:szCs w:val="24"/>
        </w:rPr>
        <w:t xml:space="preserve">).  We use Picard </w:t>
      </w:r>
      <w:proofErr w:type="spellStart"/>
      <w:r w:rsidRPr="009359B4">
        <w:rPr>
          <w:rFonts w:ascii="Cambria" w:hAnsi="Cambria"/>
          <w:b/>
          <w:sz w:val="24"/>
          <w:szCs w:val="24"/>
        </w:rPr>
        <w:t>MarkDuplicates</w:t>
      </w:r>
      <w:proofErr w:type="spellEnd"/>
      <w:r w:rsidRPr="009359B4">
        <w:rPr>
          <w:rFonts w:ascii="Cambria" w:hAnsi="Cambria"/>
          <w:b/>
          <w:sz w:val="24"/>
          <w:szCs w:val="24"/>
        </w:rPr>
        <w:t xml:space="preserve"> to remove duplicate reads from both lane level BAM files and subject (merged lane) level BAM files.  The lane level duplication rate consists of optical duplicates within the same sequencing lane and PCR duplicates within one sample prep library run on one lane.  The subject level duplication rate </w:t>
      </w:r>
      <w:r w:rsidRPr="009359B4">
        <w:rPr>
          <w:rFonts w:ascii="Cambria" w:hAnsi="Cambria"/>
          <w:b/>
          <w:sz w:val="24"/>
          <w:szCs w:val="24"/>
        </w:rPr>
        <w:lastRenderedPageBreak/>
        <w:t xml:space="preserve">consists of PCR duplicates coming from the same sample prep library run across two or more lane level BAM files.  Below is a </w:t>
      </w:r>
      <w:proofErr w:type="spellStart"/>
      <w:r w:rsidRPr="009359B4">
        <w:rPr>
          <w:rFonts w:ascii="Cambria" w:hAnsi="Cambria"/>
          <w:b/>
          <w:sz w:val="24"/>
          <w:szCs w:val="24"/>
        </w:rPr>
        <w:t>beeswarm</w:t>
      </w:r>
      <w:proofErr w:type="spellEnd"/>
      <w:r w:rsidRPr="009359B4">
        <w:rPr>
          <w:rFonts w:ascii="Cambria" w:hAnsi="Cambria"/>
          <w:b/>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3BE3B69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9E1D7D1"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0C2986F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We use </w:t>
      </w:r>
      <w:proofErr w:type="spellStart"/>
      <w:r w:rsidRPr="009359B4">
        <w:rPr>
          <w:rFonts w:ascii="Cambria" w:hAnsi="Cambria"/>
          <w:b/>
          <w:sz w:val="24"/>
          <w:szCs w:val="24"/>
        </w:rPr>
        <w:t>verifyBamID</w:t>
      </w:r>
      <w:proofErr w:type="spellEnd"/>
      <w:r w:rsidRPr="009359B4">
        <w:rPr>
          <w:rFonts w:ascii="Cambria" w:hAnsi="Cambria"/>
          <w:b/>
          <w:sz w:val="24"/>
          <w:szCs w:val="24"/>
        </w:rPr>
        <w:t xml:space="preserve"> (G. Jun, M. Flickinger, </w:t>
      </w:r>
      <w:proofErr w:type="spellStart"/>
      <w:proofErr w:type="gramStart"/>
      <w:r w:rsidRPr="009359B4">
        <w:rPr>
          <w:rFonts w:ascii="Cambria" w:hAnsi="Cambria"/>
          <w:b/>
          <w:sz w:val="24"/>
          <w:szCs w:val="24"/>
        </w:rPr>
        <w:t>et,al</w:t>
      </w:r>
      <w:proofErr w:type="spellEnd"/>
      <w:r w:rsidRPr="009359B4">
        <w:rPr>
          <w:rFonts w:ascii="Cambria" w:hAnsi="Cambria"/>
          <w:b/>
          <w:sz w:val="24"/>
          <w:szCs w:val="24"/>
        </w:rPr>
        <w:t>.</w:t>
      </w:r>
      <w:proofErr w:type="gramEnd"/>
      <w:r w:rsidRPr="009359B4">
        <w:rPr>
          <w:rFonts w:ascii="Cambria" w:hAnsi="Cambria"/>
          <w:b/>
          <w:sz w:val="24"/>
          <w:szCs w:val="24"/>
        </w:rPr>
        <w:t xml:space="preserve"> Detecting and Estimating Contamination of Human DNA Samples in Sequencing and Array-Based Genotype Data, American journal of human genetics doi:10.1016/j.ajhg.2012.09.004) to cross-individual contamination.  Note that </w:t>
      </w:r>
      <w:proofErr w:type="spellStart"/>
      <w:r w:rsidRPr="009359B4">
        <w:rPr>
          <w:rFonts w:ascii="Cambria" w:hAnsi="Cambria"/>
          <w:b/>
          <w:sz w:val="24"/>
          <w:szCs w:val="24"/>
        </w:rPr>
        <w:t>verifyBamID</w:t>
      </w:r>
      <w:proofErr w:type="spellEnd"/>
      <w:r w:rsidRPr="009359B4">
        <w:rPr>
          <w:rFonts w:ascii="Cambria" w:hAnsi="Cambria"/>
          <w:b/>
          <w:sz w:val="24"/>
          <w:szCs w:val="24"/>
        </w:rPr>
        <w:t xml:space="preserve"> performs well in mostly diploid samples (e.g. germline data), but there are caveats to usage with tumor samples: those with substantial allelic imbalance can be misinterpreted as contamination.  Our contamination rate flag is 5%. No samples excluded from variant calling for the build.  </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4DA4A700"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Average coverage across all case and control samples is based on </w:t>
      </w:r>
      <w:proofErr w:type="spellStart"/>
      <w:r w:rsidRPr="009359B4">
        <w:rPr>
          <w:rFonts w:ascii="Cambria" w:hAnsi="Cambria"/>
          <w:b/>
          <w:sz w:val="24"/>
          <w:szCs w:val="24"/>
        </w:rPr>
        <w:t>samtools</w:t>
      </w:r>
      <w:proofErr w:type="spellEnd"/>
      <w:r w:rsidRPr="009359B4">
        <w:rPr>
          <w:rFonts w:ascii="Cambria" w:hAnsi="Cambria"/>
          <w:b/>
          <w:sz w:val="24"/>
          <w:szCs w:val="24"/>
        </w:rPr>
        <w:t xml:space="preserve"> </w:t>
      </w:r>
      <w:proofErr w:type="spellStart"/>
      <w:r w:rsidRPr="009359B4">
        <w:rPr>
          <w:rFonts w:ascii="Cambria" w:hAnsi="Cambria"/>
          <w:b/>
          <w:sz w:val="24"/>
          <w:szCs w:val="24"/>
        </w:rPr>
        <w:t>mpileup</w:t>
      </w:r>
      <w:proofErr w:type="spellEnd"/>
      <w:r w:rsidRPr="009359B4">
        <w:rPr>
          <w:rFonts w:ascii="Cambria" w:hAnsi="Cambria"/>
          <w:b/>
          <w:sz w:val="24"/>
          <w:szCs w:val="24"/>
        </w:rPr>
        <w:t xml:space="preserve"> function. Coverage is sorted from lowest to highest. </w:t>
      </w:r>
      <w:proofErr w:type="spellStart"/>
      <w:r w:rsidRPr="009359B4">
        <w:rPr>
          <w:rFonts w:ascii="Cambria" w:hAnsi="Cambria"/>
          <w:b/>
          <w:sz w:val="24"/>
          <w:szCs w:val="24"/>
        </w:rPr>
        <w:t>Mosdepth</w:t>
      </w:r>
      <w:proofErr w:type="spellEnd"/>
      <w:r w:rsidRPr="009359B4">
        <w:rPr>
          <w:rFonts w:ascii="Cambria" w:hAnsi="Cambria"/>
          <w:b/>
          <w:sz w:val="24"/>
          <w:szCs w:val="24"/>
        </w:rPr>
        <w:t xml:space="preserve"> coverage plots reflect the coverage distribution for each sample. One curve represents one sample. Due to large numbers of disease groups, please refer to build directory for </w:t>
      </w:r>
      <w:proofErr w:type="spellStart"/>
      <w:r w:rsidRPr="009359B4">
        <w:rPr>
          <w:rFonts w:ascii="Cambria" w:hAnsi="Cambria"/>
          <w:b/>
          <w:sz w:val="24"/>
          <w:szCs w:val="24"/>
        </w:rPr>
        <w:t>mosdepth</w:t>
      </w:r>
      <w:proofErr w:type="spellEnd"/>
      <w:r w:rsidRPr="009359B4">
        <w:rPr>
          <w:rFonts w:ascii="Cambria" w:hAnsi="Cambria"/>
          <w:b/>
          <w:sz w:val="24"/>
          <w:szCs w:val="24"/>
        </w:rPr>
        <w:t xml:space="preserve"> plots for each group: </w:t>
      </w:r>
    </w:p>
    <w:p w14:paraId="40A79553" w14:textId="77777777" w:rsidR="00FA5D77" w:rsidRPr="009359B4" w:rsidRDefault="00FA5D77" w:rsidP="009359B4">
      <w:pPr>
        <w:rPr>
          <w:rFonts w:ascii="Cambria" w:hAnsi="Cambria"/>
          <w:b/>
          <w:sz w:val="24"/>
          <w:szCs w:val="24"/>
        </w:rPr>
      </w:pPr>
      <w:r w:rsidRPr="009359B4">
        <w:rPr>
          <w:rFonts w:ascii="Cambria" w:hAnsi="Cambria"/>
          <w:b/>
          <w:sz w:val="24"/>
          <w:szCs w:val="24"/>
        </w:rPr>
        <w:t>MOSDEPTH_DIR</w:t>
      </w:r>
    </w:p>
    <w:p w14:paraId="7818615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38F2236D" w14:textId="77777777" w:rsidR="00FA5D77" w:rsidRPr="009359B4" w:rsidRDefault="00FA5D77" w:rsidP="009359B4">
      <w:pPr>
        <w:rPr>
          <w:rFonts w:ascii="Cambria" w:hAnsi="Cambria"/>
          <w:b/>
          <w:sz w:val="24"/>
          <w:szCs w:val="24"/>
        </w:rPr>
      </w:pPr>
      <w:proofErr w:type="spellStart"/>
      <w:proofErr w:type="gramStart"/>
      <w:r w:rsidRPr="009359B4">
        <w:rPr>
          <w:rFonts w:ascii="Cambria" w:hAnsi="Cambria"/>
          <w:b/>
          <w:sz w:val="24"/>
          <w:szCs w:val="24"/>
        </w:rPr>
        <w:t>ExomeCQA</w:t>
      </w:r>
      <w:proofErr w:type="spellEnd"/>
      <w:r w:rsidRPr="009359B4">
        <w:rPr>
          <w:rFonts w:ascii="Cambria" w:hAnsi="Cambria"/>
          <w:b/>
          <w:sz w:val="24"/>
          <w:szCs w:val="24"/>
        </w:rPr>
        <w:t>(</w:t>
      </w:r>
      <w:proofErr w:type="gramEnd"/>
      <w:r w:rsidRPr="009359B4">
        <w:rPr>
          <w:rFonts w:ascii="Cambria" w:hAnsi="Cambria"/>
          <w:b/>
          <w:sz w:val="24"/>
          <w:szCs w:val="24"/>
        </w:rPr>
        <w:t xml:space="preserve">Qingyu Wang,   </w:t>
      </w:r>
      <w:proofErr w:type="spellStart"/>
      <w:r w:rsidRPr="009359B4">
        <w:rPr>
          <w:rFonts w:ascii="Cambria" w:hAnsi="Cambria"/>
          <w:b/>
          <w:sz w:val="24"/>
          <w:szCs w:val="24"/>
        </w:rPr>
        <w:t>Cooduvalli</w:t>
      </w:r>
      <w:proofErr w:type="spellEnd"/>
      <w:r w:rsidRPr="009359B4">
        <w:rPr>
          <w:rFonts w:ascii="Cambria" w:hAnsi="Cambria"/>
          <w:b/>
          <w:sz w:val="24"/>
          <w:szCs w:val="24"/>
        </w:rPr>
        <w:t xml:space="preserve"> S. Shashikant,  Matthew Jensen, et al.  Novel metrics to measure coverage in whole exome sequencing datasets reveal local and global non-uniformity, Scientific Reports, 7-885, 2017) was run as the coverage qc tool for cohort-based WES datasets. </w:t>
      </w:r>
    </w:p>
    <w:p w14:paraId="3C45DE7F" w14:textId="1D5E8844" w:rsidR="00FA5D77" w:rsidRPr="009359B4" w:rsidRDefault="00FA5D77" w:rsidP="009359B4">
      <w:pPr>
        <w:rPr>
          <w:rFonts w:ascii="Cambria" w:hAnsi="Cambria"/>
          <w:b/>
          <w:sz w:val="24"/>
          <w:szCs w:val="24"/>
        </w:rPr>
      </w:pPr>
      <w:r w:rsidRPr="009359B4">
        <w:rPr>
          <w:rFonts w:ascii="Cambria" w:hAnsi="Cambria"/>
          <w:b/>
          <w:sz w:val="24"/>
          <w:szCs w:val="24"/>
        </w:rPr>
        <w:t xml:space="preserve">The two scores are calculated based on both GENE_NUM genes and EXON_NUM target regions </w:t>
      </w:r>
      <w:r w:rsidR="001B24DA" w:rsidRPr="009359B4">
        <w:rPr>
          <w:rFonts w:ascii="Cambria" w:hAnsi="Cambria"/>
          <w:b/>
          <w:sz w:val="24"/>
          <w:szCs w:val="24"/>
        </w:rPr>
        <w:t xml:space="preserve">of </w:t>
      </w:r>
      <w:proofErr w:type="spellStart"/>
      <w:r w:rsidR="001B24DA" w:rsidRPr="009359B4">
        <w:rPr>
          <w:rFonts w:ascii="Cambria" w:hAnsi="Cambria"/>
          <w:b/>
          <w:sz w:val="24"/>
          <w:szCs w:val="24"/>
        </w:rPr>
        <w:t>capturekit</w:t>
      </w:r>
      <w:proofErr w:type="spellEnd"/>
      <w:r w:rsidR="001B24DA" w:rsidRPr="009359B4">
        <w:rPr>
          <w:rFonts w:ascii="Cambria" w:hAnsi="Cambria"/>
          <w:b/>
          <w:sz w:val="24"/>
          <w:szCs w:val="24"/>
        </w:rPr>
        <w:t xml:space="preserve"> </w:t>
      </w:r>
      <w:r w:rsidR="001B24DA">
        <w:rPr>
          <w:rFonts w:ascii="Cambria" w:hAnsi="Cambria"/>
          <w:b/>
          <w:sz w:val="24"/>
          <w:szCs w:val="24"/>
        </w:rPr>
        <w:t xml:space="preserve">bed file </w:t>
      </w:r>
      <w:r w:rsidR="001B24DA" w:rsidRPr="009359B4">
        <w:rPr>
          <w:rFonts w:ascii="Cambria" w:hAnsi="Cambria"/>
          <w:b/>
          <w:sz w:val="24"/>
          <w:szCs w:val="24"/>
        </w:rPr>
        <w:t>across the all samples</w:t>
      </w:r>
      <w:r w:rsidRPr="009359B4">
        <w:rPr>
          <w:rFonts w:ascii="Cambria" w:hAnsi="Cambria"/>
          <w:b/>
          <w:sz w:val="24"/>
          <w:szCs w:val="24"/>
        </w:rPr>
        <w:t xml:space="preserve">. </w:t>
      </w:r>
    </w:p>
    <w:p w14:paraId="5F75761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w:t>
      </w:r>
      <w:proofErr w:type="gramStart"/>
      <w:r w:rsidRPr="009359B4">
        <w:rPr>
          <w:rFonts w:ascii="Cambria" w:hAnsi="Cambria"/>
          <w:b/>
          <w:sz w:val="24"/>
          <w:szCs w:val="24"/>
        </w:rPr>
        <w:t>particular capture</w:t>
      </w:r>
      <w:proofErr w:type="gramEnd"/>
      <w:r w:rsidRPr="009359B4">
        <w:rPr>
          <w:rFonts w:ascii="Cambria" w:hAnsi="Cambria"/>
          <w:b/>
          <w:sz w:val="24"/>
          <w:szCs w:val="24"/>
        </w:rPr>
        <w:t xml:space="preserve"> region. Thus, it may vary between 0 and 1, with high CCS scores indicating low sequence coverage. </w:t>
      </w:r>
    </w:p>
    <w:p w14:paraId="383F526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The UE(Unevenness)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in the capture region is.  </w:t>
      </w:r>
    </w:p>
    <w:p w14:paraId="7049064B"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Both tables and figures are stats based on gene level. For more details of target exon capture region level stats, refer to </w:t>
      </w:r>
    </w:p>
    <w:p w14:paraId="3C835306"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113ACF73"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proofErr w:type="spellStart"/>
      <w:r w:rsidRPr="009359B4">
        <w:rPr>
          <w:rFonts w:ascii="Cambria" w:hAnsi="Cambria"/>
          <w:b/>
          <w:sz w:val="24"/>
          <w:szCs w:val="24"/>
        </w:rPr>
        <w:t>dceg</w:t>
      </w:r>
      <w:proofErr w:type="spellEnd"/>
      <w:r w:rsidRPr="009359B4">
        <w:rPr>
          <w:rFonts w:ascii="Cambria" w:hAnsi="Cambria"/>
          <w:b/>
          <w:sz w:val="24"/>
          <w:szCs w:val="24"/>
        </w:rPr>
        <w:t xml:space="preserve"> control sample (V3+UTR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28341F8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From the subject level pre-calling qc report, we collect Fold 80 base penalty from </w:t>
      </w:r>
      <w:proofErr w:type="spellStart"/>
      <w:r w:rsidRPr="009359B4">
        <w:rPr>
          <w:rFonts w:ascii="Cambria" w:hAnsi="Cambria"/>
          <w:b/>
          <w:sz w:val="24"/>
          <w:szCs w:val="24"/>
        </w:rPr>
        <w:t>picard</w:t>
      </w:r>
      <w:proofErr w:type="spellEnd"/>
      <w:r w:rsidRPr="009359B4">
        <w:rPr>
          <w:rFonts w:ascii="Cambria" w:hAnsi="Cambria"/>
          <w:b/>
          <w:sz w:val="24"/>
          <w:szCs w:val="24"/>
        </w:rPr>
        <w:t xml:space="preserve"> </w:t>
      </w:r>
    </w:p>
    <w:p w14:paraId="72AACECA" w14:textId="77777777" w:rsidR="00FA5D77" w:rsidRPr="009359B4" w:rsidRDefault="00FA5D77" w:rsidP="009359B4">
      <w:pPr>
        <w:rPr>
          <w:rFonts w:ascii="Cambria" w:hAnsi="Cambria"/>
          <w:b/>
          <w:sz w:val="24"/>
          <w:szCs w:val="24"/>
        </w:rPr>
      </w:pPr>
      <w:proofErr w:type="spellStart"/>
      <w:r w:rsidRPr="009359B4">
        <w:rPr>
          <w:rFonts w:ascii="Cambria" w:hAnsi="Cambria"/>
          <w:b/>
          <w:sz w:val="24"/>
          <w:szCs w:val="24"/>
        </w:rPr>
        <w:t>CollectHsMetrics</w:t>
      </w:r>
      <w:proofErr w:type="spellEnd"/>
      <w:r w:rsidRPr="009359B4">
        <w:rPr>
          <w:rFonts w:ascii="Cambria" w:hAnsi="Cambria"/>
          <w:b/>
          <w:sz w:val="24"/>
          <w:szCs w:val="24"/>
        </w:rPr>
        <w:t xml:space="preserve">, average Oxidation Quality from </w:t>
      </w:r>
      <w:proofErr w:type="spellStart"/>
      <w:r w:rsidRPr="009359B4">
        <w:rPr>
          <w:rFonts w:ascii="Cambria" w:hAnsi="Cambria"/>
          <w:b/>
          <w:sz w:val="24"/>
          <w:szCs w:val="24"/>
        </w:rPr>
        <w:t>picard</w:t>
      </w:r>
      <w:proofErr w:type="spellEnd"/>
      <w:r w:rsidRPr="009359B4">
        <w:rPr>
          <w:rFonts w:ascii="Cambria" w:hAnsi="Cambria"/>
          <w:b/>
          <w:sz w:val="24"/>
          <w:szCs w:val="24"/>
        </w:rPr>
        <w:t xml:space="preserve"> </w:t>
      </w:r>
      <w:proofErr w:type="spellStart"/>
      <w:r w:rsidRPr="009359B4">
        <w:rPr>
          <w:rFonts w:ascii="Cambria" w:hAnsi="Cambria"/>
          <w:b/>
          <w:sz w:val="24"/>
          <w:szCs w:val="24"/>
        </w:rPr>
        <w:t>CollectOxoGMetrics</w:t>
      </w:r>
      <w:proofErr w:type="spellEnd"/>
      <w:r w:rsidRPr="009359B4">
        <w:rPr>
          <w:rFonts w:ascii="Cambria" w:hAnsi="Cambria"/>
          <w:b/>
          <w:sz w:val="24"/>
          <w:szCs w:val="24"/>
        </w:rPr>
        <w:t xml:space="preserve"> and Lowest </w:t>
      </w:r>
      <w:proofErr w:type="spellStart"/>
      <w:r w:rsidRPr="009359B4">
        <w:rPr>
          <w:rFonts w:ascii="Cambria" w:hAnsi="Cambria"/>
          <w:b/>
          <w:sz w:val="24"/>
          <w:szCs w:val="24"/>
        </w:rPr>
        <w:t>Preadapter</w:t>
      </w:r>
      <w:proofErr w:type="spellEnd"/>
      <w:r w:rsidRPr="009359B4">
        <w:rPr>
          <w:rFonts w:ascii="Cambria" w:hAnsi="Cambria"/>
          <w:b/>
          <w:sz w:val="24"/>
          <w:szCs w:val="24"/>
        </w:rPr>
        <w:t>/</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from </w:t>
      </w:r>
      <w:proofErr w:type="spellStart"/>
      <w:r w:rsidRPr="009359B4">
        <w:rPr>
          <w:rFonts w:ascii="Cambria" w:hAnsi="Cambria"/>
          <w:b/>
          <w:sz w:val="24"/>
          <w:szCs w:val="24"/>
        </w:rPr>
        <w:t>picard</w:t>
      </w:r>
      <w:proofErr w:type="spellEnd"/>
      <w:r w:rsidRPr="009359B4">
        <w:rPr>
          <w:rFonts w:ascii="Cambria" w:hAnsi="Cambria"/>
          <w:b/>
          <w:sz w:val="24"/>
          <w:szCs w:val="24"/>
        </w:rPr>
        <w:t xml:space="preserve"> </w:t>
      </w:r>
      <w:proofErr w:type="spellStart"/>
      <w:r w:rsidRPr="009359B4">
        <w:rPr>
          <w:rFonts w:ascii="Cambria" w:hAnsi="Cambria"/>
          <w:b/>
          <w:sz w:val="24"/>
          <w:szCs w:val="24"/>
        </w:rPr>
        <w:t>CollectSequencingArtifactMetrics</w:t>
      </w:r>
      <w:proofErr w:type="spellEnd"/>
      <w:r w:rsidRPr="009359B4">
        <w:rPr>
          <w:rFonts w:ascii="Cambria" w:hAnsi="Cambria"/>
          <w:b/>
          <w:sz w:val="24"/>
          <w:szCs w:val="24"/>
        </w:rPr>
        <w:t xml:space="preserve"> for all 5300 samples in familial_build_2019_23806 in this summary. For more details and metrics, refer to: </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A95D7E1" w14:textId="77777777" w:rsidR="00FA5D77" w:rsidRPr="009359B4" w:rsidRDefault="00FA5D77" w:rsidP="009359B4">
      <w:pPr>
        <w:rPr>
          <w:rFonts w:ascii="Cambria" w:hAnsi="Cambria"/>
          <w:b/>
          <w:sz w:val="24"/>
          <w:szCs w:val="24"/>
        </w:rPr>
      </w:pPr>
      <w:r w:rsidRPr="009359B4">
        <w:rPr>
          <w:rFonts w:ascii="Cambria" w:hAnsi="Cambria"/>
          <w:b/>
          <w:sz w:val="24"/>
          <w:szCs w:val="24"/>
        </w:rPr>
        <w:t>Fold80 is defined as the fold over-coverage necessary to raise 80% of bases in non-zero-coverage targets to the mean coverage level in those targets). The higher Fold80 penalty is, the less even coverage is.</w:t>
      </w:r>
    </w:p>
    <w:p w14:paraId="218794AD" w14:textId="77777777" w:rsidR="00FA5D77" w:rsidRPr="009359B4" w:rsidRDefault="00FA5D77" w:rsidP="009359B4">
      <w:pPr>
        <w:rPr>
          <w:rFonts w:ascii="Cambria" w:hAnsi="Cambria"/>
          <w:b/>
          <w:sz w:val="24"/>
          <w:szCs w:val="24"/>
        </w:rPr>
      </w:pPr>
      <w:proofErr w:type="spellStart"/>
      <w:r w:rsidRPr="009359B4">
        <w:rPr>
          <w:rFonts w:ascii="Cambria" w:hAnsi="Cambria"/>
          <w:b/>
          <w:sz w:val="24"/>
          <w:szCs w:val="24"/>
        </w:rPr>
        <w:lastRenderedPageBreak/>
        <w:t>CollectOxoGMetrics</w:t>
      </w:r>
      <w:proofErr w:type="spellEnd"/>
      <w:r w:rsidRPr="009359B4">
        <w:rPr>
          <w:rFonts w:ascii="Cambria" w:hAnsi="Cambria"/>
          <w:b/>
          <w:sz w:val="24"/>
          <w:szCs w:val="24"/>
        </w:rPr>
        <w:t xml:space="preserve"> calculates the </w:t>
      </w:r>
      <w:proofErr w:type="spellStart"/>
      <w:r w:rsidRPr="009359B4">
        <w:rPr>
          <w:rFonts w:ascii="Cambria" w:hAnsi="Cambria"/>
          <w:b/>
          <w:sz w:val="24"/>
          <w:szCs w:val="24"/>
        </w:rPr>
        <w:t>Phred</w:t>
      </w:r>
      <w:proofErr w:type="spellEnd"/>
      <w:r w:rsidRPr="009359B4">
        <w:rPr>
          <w:rFonts w:ascii="Cambria" w:hAnsi="Cambria"/>
          <w:b/>
          <w:sz w:val="24"/>
          <w:szCs w:val="24"/>
        </w:rPr>
        <w:t xml:space="preserve">-scaled probability that an alternate base call results from an oxidation artifact. This probability score is based on base context, sequencing read orientation, and the characteristic low allelic frequency. (Maura Costello, Trevor J. Pugh, Timothy J. Fennell, et al. Discovery and characterization of artifactual mutations in deep coverage targeted capture sequencing data due to oxidative DNA damage during sample preparation. Nucleic Acids Research, Volume 41, Issue 6, 2013). </w:t>
      </w:r>
    </w:p>
    <w:p w14:paraId="695F84B1" w14:textId="77777777" w:rsidR="00FA5D77" w:rsidRPr="009359B4" w:rsidRDefault="00FA5D77" w:rsidP="009359B4">
      <w:pPr>
        <w:rPr>
          <w:rFonts w:ascii="Cambria" w:hAnsi="Cambria"/>
          <w:b/>
          <w:sz w:val="24"/>
          <w:szCs w:val="24"/>
        </w:rPr>
      </w:pPr>
      <w:proofErr w:type="spellStart"/>
      <w:r w:rsidRPr="009359B4">
        <w:rPr>
          <w:rFonts w:ascii="Cambria" w:hAnsi="Cambria"/>
          <w:b/>
          <w:sz w:val="24"/>
          <w:szCs w:val="24"/>
        </w:rPr>
        <w:t>CollectSequencingArtifactMetrics</w:t>
      </w:r>
      <w:proofErr w:type="spellEnd"/>
      <w:r w:rsidRPr="009359B4">
        <w:rPr>
          <w:rFonts w:ascii="Cambria" w:hAnsi="Cambria"/>
          <w:b/>
          <w:sz w:val="24"/>
          <w:szCs w:val="24"/>
        </w:rPr>
        <w:t xml:space="preserve"> examines two sources of sequencing errors associated with hybrid selection protocols. These errors are divided into two broad categories, pre-adapter and bait-bias. Pre-adapter errors can arise from laboratory manipulations of a nucleic acid sample including DNA already damaged before library prep (such as FFPE).  Hence named pre-adapter. Bait-bias artifacts occur during or after the target selection step, and correlate with substitution rates that are 'biased', or higher for sites having one base on the reference/positive strand relative to sites having the complementary base on that strand. A lower </w:t>
      </w:r>
      <w:proofErr w:type="spellStart"/>
      <w:r w:rsidRPr="009359B4">
        <w:rPr>
          <w:rFonts w:ascii="Cambria" w:hAnsi="Cambria"/>
          <w:b/>
          <w:sz w:val="24"/>
          <w:szCs w:val="24"/>
        </w:rPr>
        <w:t>Qscore</w:t>
      </w:r>
      <w:proofErr w:type="spellEnd"/>
      <w:r w:rsidRPr="009359B4">
        <w:rPr>
          <w:rFonts w:ascii="Cambria" w:hAnsi="Cambria"/>
          <w:b/>
          <w:sz w:val="24"/>
          <w:szCs w:val="24"/>
        </w:rPr>
        <w:t xml:space="preserve"> means a higher probability that a REF_</w:t>
      </w:r>
      <w:proofErr w:type="gramStart"/>
      <w:r w:rsidRPr="009359B4">
        <w:rPr>
          <w:rFonts w:ascii="Cambria" w:hAnsi="Cambria"/>
          <w:b/>
          <w:sz w:val="24"/>
          <w:szCs w:val="24"/>
        </w:rPr>
        <w:t>BASE:ALT</w:t>
      </w:r>
      <w:proofErr w:type="gramEnd"/>
      <w:r w:rsidRPr="009359B4">
        <w:rPr>
          <w:rFonts w:ascii="Cambria" w:hAnsi="Cambria"/>
          <w:b/>
          <w:sz w:val="24"/>
          <w:szCs w:val="24"/>
        </w:rPr>
        <w:t xml:space="preserve">_BASE observation randomly picked from the data will be due to this </w:t>
      </w:r>
      <w:proofErr w:type="spellStart"/>
      <w:r w:rsidRPr="009359B4">
        <w:rPr>
          <w:rFonts w:ascii="Cambria" w:hAnsi="Cambria"/>
          <w:b/>
          <w:sz w:val="24"/>
          <w:szCs w:val="24"/>
        </w:rPr>
        <w:t>preadapter</w:t>
      </w:r>
      <w:proofErr w:type="spellEnd"/>
      <w:r w:rsidRPr="009359B4">
        <w:rPr>
          <w:rFonts w:ascii="Cambria" w:hAnsi="Cambria"/>
          <w:b/>
          <w:sz w:val="24"/>
          <w:szCs w:val="24"/>
        </w:rPr>
        <w:t>/</w:t>
      </w:r>
      <w:proofErr w:type="spellStart"/>
      <w:r w:rsidRPr="009359B4">
        <w:rPr>
          <w:rFonts w:ascii="Cambria" w:hAnsi="Cambria"/>
          <w:b/>
          <w:sz w:val="24"/>
          <w:szCs w:val="24"/>
        </w:rPr>
        <w:t>baitbias</w:t>
      </w:r>
      <w:proofErr w:type="spellEnd"/>
      <w:r w:rsidRPr="009359B4">
        <w:rPr>
          <w:rFonts w:ascii="Cambria" w:hAnsi="Cambria"/>
          <w:b/>
          <w:sz w:val="24"/>
          <w:szCs w:val="24"/>
        </w:rPr>
        <w:t xml:space="preserve"> artifact, rather than a true variant for the lowest base change.</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3E040585"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(OPTIONAL) </w:t>
      </w:r>
    </w:p>
    <w:p w14:paraId="22A4DDAD"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Sex concordance between reads mapped to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ratio from sequence data and IDENTIFILER detected gender.</w:t>
      </w:r>
    </w:p>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5ED5110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 tool (C Wang, X Zhan, L Liang, GR </w:t>
      </w:r>
      <w:proofErr w:type="spellStart"/>
      <w:r w:rsidRPr="009359B4">
        <w:rPr>
          <w:rFonts w:ascii="Cambria" w:hAnsi="Cambria"/>
          <w:b/>
          <w:sz w:val="24"/>
          <w:szCs w:val="24"/>
        </w:rPr>
        <w:t>Abecasis</w:t>
      </w:r>
      <w:proofErr w:type="spellEnd"/>
      <w:r w:rsidRPr="009359B4">
        <w:rPr>
          <w:rFonts w:ascii="Cambria" w:hAnsi="Cambria"/>
          <w:b/>
          <w:sz w:val="24"/>
          <w:szCs w:val="24"/>
        </w:rPr>
        <w:t xml:space="preserve">, X Lin (2015) Improved Ancestry estimation for both genotyping and sequencing data using projection Procrustes analysis and genotype imputation. American Journal of Human Genetics, 96: 926-937.) 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w:t>
      </w:r>
      <w:proofErr w:type="gramStart"/>
      <w:r w:rsidRPr="009359B4">
        <w:rPr>
          <w:rFonts w:ascii="Cambria" w:hAnsi="Cambria"/>
          <w:b/>
          <w:sz w:val="24"/>
          <w:szCs w:val="24"/>
        </w:rPr>
        <w:t>HGDP(</w:t>
      </w:r>
      <w:proofErr w:type="gramEnd"/>
      <w:r w:rsidRPr="009359B4">
        <w:rPr>
          <w:rFonts w:ascii="Cambria" w:hAnsi="Cambria"/>
          <w:b/>
          <w:sz w:val="24"/>
          <w:szCs w:val="24"/>
        </w:rPr>
        <w:t xml:space="preserve">Human Genome Diversity Project) data, including 632,958 autosomal SNPs loci for 938 unrelated individuals is used as reference panel. </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3CE2538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After Ensemble variant calling pipeline, we perform a standard post variant calling qc check on ensemble variants. Items checked </w:t>
      </w:r>
      <w:proofErr w:type="gramStart"/>
      <w:r w:rsidRPr="009359B4">
        <w:rPr>
          <w:rFonts w:ascii="Cambria" w:hAnsi="Cambria"/>
          <w:b/>
          <w:sz w:val="24"/>
          <w:szCs w:val="24"/>
        </w:rPr>
        <w:t>include:</w:t>
      </w:r>
      <w:proofErr w:type="gramEnd"/>
      <w:r w:rsidRPr="009359B4">
        <w:rPr>
          <w:rFonts w:ascii="Cambria" w:hAnsi="Cambria"/>
          <w:b/>
          <w:sz w:val="24"/>
          <w:szCs w:val="24"/>
        </w:rPr>
        <w:t xml:space="preserve"> filtered variant total counts on case and control samples; </w:t>
      </w:r>
      <w:proofErr w:type="spellStart"/>
      <w:r w:rsidRPr="009359B4">
        <w:rPr>
          <w:rFonts w:ascii="Cambria" w:hAnsi="Cambria"/>
          <w:b/>
          <w:sz w:val="24"/>
          <w:szCs w:val="24"/>
        </w:rPr>
        <w:t>ti</w:t>
      </w:r>
      <w:proofErr w:type="spellEnd"/>
      <w:r w:rsidRPr="009359B4">
        <w:rPr>
          <w:rFonts w:ascii="Cambria" w:hAnsi="Cambria"/>
          <w:b/>
          <w:sz w:val="24"/>
          <w:szCs w:val="24"/>
        </w:rPr>
        <w:t xml:space="preserve">/tv(transition/transversion) ratio on case and control samples; base change counts across different levels of </w:t>
      </w:r>
      <w:proofErr w:type="spellStart"/>
      <w:r w:rsidRPr="009359B4">
        <w:rPr>
          <w:rFonts w:ascii="Cambria" w:hAnsi="Cambria"/>
          <w:b/>
          <w:sz w:val="24"/>
          <w:szCs w:val="24"/>
        </w:rPr>
        <w:t>phred</w:t>
      </w:r>
      <w:proofErr w:type="spellEnd"/>
      <w:r w:rsidRPr="009359B4">
        <w:rPr>
          <w:rFonts w:ascii="Cambria" w:hAnsi="Cambria"/>
          <w:b/>
          <w:sz w:val="24"/>
          <w:szCs w:val="24"/>
        </w:rPr>
        <w:t xml:space="preserve">-scale quality for each disease group.  </w:t>
      </w:r>
    </w:p>
    <w:p w14:paraId="51AC00A5"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In substitution mutations, transitions are defined as the interchange of the purine-based A↔G or </w:t>
      </w:r>
      <w:proofErr w:type="spellStart"/>
      <w:r w:rsidRPr="009359B4">
        <w:rPr>
          <w:rFonts w:ascii="Cambria" w:hAnsi="Cambria"/>
          <w:b/>
          <w:sz w:val="24"/>
          <w:szCs w:val="24"/>
        </w:rPr>
        <w:t>pryimidine</w:t>
      </w:r>
      <w:proofErr w:type="spellEnd"/>
      <w:r w:rsidRPr="009359B4">
        <w:rPr>
          <w:rFonts w:ascii="Cambria" w:hAnsi="Cambria"/>
          <w:b/>
          <w:sz w:val="24"/>
          <w:szCs w:val="24"/>
        </w:rPr>
        <w:t xml:space="preserve">-based C↔T. Transversions are defined as the interchange between two-ring purine nucleobases and one-ring pyrimidine bases. The possible transversions are A↔C, A↔T, C↔G, G↔T. (Jing Wang, Leon </w:t>
      </w:r>
      <w:proofErr w:type="spellStart"/>
      <w:r w:rsidRPr="009359B4">
        <w:rPr>
          <w:rFonts w:ascii="Cambria" w:hAnsi="Cambria"/>
          <w:b/>
          <w:sz w:val="24"/>
          <w:szCs w:val="24"/>
        </w:rPr>
        <w:t>Raskin</w:t>
      </w:r>
      <w:proofErr w:type="spellEnd"/>
      <w:r w:rsidRPr="009359B4">
        <w:rPr>
          <w:rFonts w:ascii="Cambria" w:hAnsi="Cambria"/>
          <w:b/>
          <w:sz w:val="24"/>
          <w:szCs w:val="24"/>
        </w:rPr>
        <w:t xml:space="preserve">, David C. Samuels, et al. Genome measures used for quality control are dependent on gene function and ancestry. Bioinformatics. 31(3): 318–323. 2015)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7772AD9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the elevated variant count of BL and PLCO group in the post filter plot, it is mainly due to ethical group (AFR vs EUR) difference.  </w:t>
      </w:r>
    </w:p>
    <w:p w14:paraId="057B76C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11F1E601" w14:textId="77777777" w:rsidR="00FA5D77" w:rsidRPr="009359B4" w:rsidRDefault="00FA5D77" w:rsidP="009359B4">
      <w:pPr>
        <w:rPr>
          <w:rFonts w:ascii="Cambria" w:hAnsi="Cambria"/>
          <w:b/>
          <w:sz w:val="24"/>
          <w:szCs w:val="24"/>
        </w:rPr>
      </w:pPr>
      <w:r w:rsidRPr="009359B4">
        <w:rPr>
          <w:rFonts w:ascii="Cambria" w:hAnsi="Cambria"/>
          <w:b/>
          <w:sz w:val="24"/>
          <w:szCs w:val="24"/>
        </w:rPr>
        <w:t>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254EAB8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6469B13" w14:textId="0A5EF7E4" w:rsidR="001E215F" w:rsidRDefault="001E215F" w:rsidP="00E54AFF">
      <w:pPr>
        <w:jc w:val="center"/>
        <w:rPr>
          <w:rFonts w:eastAsia="Times New Roman" w:cs="Calibri"/>
          <w:color w:val="000000"/>
          <w:sz w:val="14"/>
          <w:szCs w:val="14"/>
          <w:lang w:eastAsia="ko-KR"/>
        </w:rPr>
      </w:pPr>
      <w:bookmarkStart w:id="2" w:name="_GoBack"/>
      <w:bookmarkEnd w:id="2"/>
    </w:p>
    <w:sectPr w:rsidR="001E215F" w:rsidSect="00FA5D77">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ldstein, Alisa (NIH/NCI) [E]" w:date="2020-05-07T18:26:00Z" w:initials="GA([">
    <w:p w14:paraId="4C123137" w14:textId="77777777" w:rsidR="003A7F5D" w:rsidRDefault="003A7F5D" w:rsidP="003A7F5D">
      <w:pPr>
        <w:pStyle w:val="CommentText"/>
      </w:pPr>
      <w:r>
        <w:rPr>
          <w:rStyle w:val="CommentReference"/>
        </w:rPr>
        <w:annotationRef/>
      </w:r>
      <w:r>
        <w:t>Numbers in table 1 are identical to numbers in table 7 (post-QC table).  That doesn’t seem correct.  Is one of the tables incorrect?</w:t>
      </w:r>
    </w:p>
  </w:comment>
  <w:comment w:id="1" w:author="Luo, Wen (NIH/NCI) [C]" w:date="2020-05-11T09:47:00Z" w:initials="LW([">
    <w:p w14:paraId="70F6F3F4" w14:textId="77777777" w:rsidR="003A7F5D" w:rsidRDefault="003A7F5D" w:rsidP="003A7F5D">
      <w:pPr>
        <w:pStyle w:val="CommentText"/>
      </w:pPr>
      <w:r>
        <w:rPr>
          <w:rStyle w:val="CommentReference"/>
        </w:rPr>
        <w:annotationRef/>
      </w:r>
      <w:r>
        <w:t>I still think if we are not excluding samples by qc metrics, it will be redundant and confusing to include 2 sample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23137" w15:done="0"/>
  <w15:commentEx w15:paraId="70F6F3F4" w15:paraIdParent="4C123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23137" w16cid:durableId="225ED16C"/>
  <w16cid:commentId w16cid:paraId="70F6F3F4" w16cid:durableId="22639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dstein, Alisa (NIH/NCI) [E]">
    <w15:presenceInfo w15:providerId="AD" w15:userId="S::goldstea@nih.gov::4c674a30-4385-45c8-8a45-87884ddb089a"/>
  </w15:person>
  <w15:person w15:author="Luo, Wen (NIH/NCI) [C]">
    <w15:presenceInfo w15:providerId="AD" w15:userId="S::luow2@nih.gov::1f0de1be-bac4-4c8e-9e26-b222f4cc7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FA0"/>
    <w:rsid w:val="00056F27"/>
    <w:rsid w:val="00057F95"/>
    <w:rsid w:val="00061C32"/>
    <w:rsid w:val="00074F5A"/>
    <w:rsid w:val="00076FB3"/>
    <w:rsid w:val="00080052"/>
    <w:rsid w:val="000811E4"/>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589E09-71BF-4F91-AE05-D5DDA56C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7</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121</cp:revision>
  <cp:lastPrinted>2018-01-19T14:37:00Z</cp:lastPrinted>
  <dcterms:created xsi:type="dcterms:W3CDTF">2018-02-15T19:24:00Z</dcterms:created>
  <dcterms:modified xsi:type="dcterms:W3CDTF">2020-07-02T16:14:00Z</dcterms:modified>
</cp:coreProperties>
</file>