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tiff" ContentType="image/tiff"/>
  <Override PartName="/word/media/rId31.tiff" ContentType="image/tiff"/>
  <Override PartName="/word/media/rId54.tiff" ContentType="image/tiff"/>
  <Override PartName="/word/media/rId37.tiff" ContentType="image/tiff"/>
  <Override PartName="/word/media/rId55.tiff" ContentType="image/tiff"/>
  <Override PartName="/word/media/rId56.tiff" ContentType="image/tiff"/>
  <Override PartName="/word/media/rId39.tiff" ContentType="image/tiff"/>
  <Override PartName="/word/media/rId47.tiff" ContentType="image/tiff"/>
  <Override PartName="/word/media/rId52.tiff" ContentType="image/tiff"/>
  <Override PartName="/word/media/rId35.tiff" ContentType="image/tiff"/>
  <Override PartName="/word/media/rId45.tiff" ContentType="image/tiff"/>
  <Override PartName="/word/media/rId50.tiff" ContentType="image/tiff"/>
  <Override PartName="/word/media/rId41.tiff" ContentType="image/tiff"/>
  <Override PartName="/word/media/rId57.tiff" ContentType="image/tiff"/>
  <Override PartName="/word/media/rId58.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QC Report</w:t>
      </w:r>
    </w:p>
    <w:p>
      <w:pPr>
        <w:pStyle w:val="Heading1"/>
      </w:pPr>
      <w:bookmarkStart w:id="21" w:name="project-information"/>
      <w:bookmarkEnd w:id="21"/>
      <w:r>
        <w:t xml:space="preserve">Project Information</w:t>
      </w:r>
    </w:p>
    <w:p>
      <w:pPr>
        <w:pStyle w:val="FirstParagraph"/>
      </w:pPr>
      <w:r>
        <w:t xml:space="preserve">ProjectID: NP0440-MB4</w:t>
      </w:r>
    </w:p>
    <w:p>
      <w:pPr>
        <w:pStyle w:val="BodyText"/>
      </w:pPr>
      <w:r>
        <w:t xml:space="preserve">Source: sTVOM</w:t>
      </w:r>
    </w:p>
    <w:p>
      <w:pPr>
        <w:pStyle w:val="BodyText"/>
      </w:pPr>
      <w:r>
        <w:t xml:space="preserve">Date Reported:</w:t>
      </w:r>
    </w:p>
    <w:p>
      <w:pPr>
        <w:pStyle w:val="BodyText"/>
      </w:pPr>
      <w:r>
        <w:t xml:space="preserve">Pipeline: Version2</w:t>
      </w:r>
    </w:p>
    <w:p>
      <w:pPr>
        <w:pStyle w:val="BodyText"/>
      </w:pPr>
      <w:r>
        <w:t xml:space="preserve">QIIME: 2017.11</w:t>
      </w:r>
    </w:p>
    <w:p>
      <w:pPr>
        <w:pStyle w:val="Heading1"/>
      </w:pPr>
      <w:bookmarkStart w:id="22" w:name="metadata"/>
      <w:bookmarkEnd w:id="22"/>
      <w:r>
        <w:t xml:space="preserve">Metadata</w:t>
      </w:r>
    </w:p>
    <w:p>
      <w:pPr>
        <w:pStyle w:val="Heading2"/>
      </w:pPr>
      <w:bookmarkStart w:id="23" w:name="summary"/>
      <w:bookmarkEnd w:id="23"/>
      <w:r>
        <w:t xml:space="preserve">Summary</w:t>
      </w:r>
    </w:p>
    <w:p>
      <w:pPr>
        <w:pStyle w:val="Heading3"/>
      </w:pPr>
      <w:bookmarkStart w:id="24" w:name="sample-type"/>
      <w:bookmarkEnd w:id="24"/>
      <w:r>
        <w:t xml:space="preserve">Sample Type</w:t>
      </w:r>
    </w:p>
    <w:p>
      <w:pPr>
        <w:pStyle w:val="FirstParagraph"/>
      </w:pPr>
      <w:r>
        <w:t xml:space="preserve">Sample types for the project included study samples, robogut, artifical colony, extraction blank, sequencing blank, and non-template controls.</w:t>
      </w:r>
    </w:p>
    <w:p>
      <w:pPr>
        <w:pStyle w:val="Heading3"/>
      </w:pPr>
      <w:bookmarkStart w:id="25" w:name="before-filtering"/>
      <w:bookmarkEnd w:id="25"/>
      <w:r>
        <w:t xml:space="preserve">Before filtering</w:t>
      </w:r>
    </w:p>
    <w:p>
      <w:pPr>
        <w:pStyle w:val="FirstParagraph"/>
      </w:pPr>
      <w:r>
        <w:t xml:space="preserve">Prior to filtering, these were the number of samples observed:</w:t>
      </w:r>
    </w:p>
    <w:p>
      <w:pPr>
        <w:pStyle w:val="Heading3"/>
      </w:pPr>
      <w:bookmarkStart w:id="26" w:name="after-filtering"/>
      <w:bookmarkEnd w:id="26"/>
      <w:r>
        <w:t xml:space="preserve">After Filtering</w:t>
      </w:r>
    </w:p>
    <w:p>
      <w:pPr>
        <w:pStyle w:val="FirstParagraph"/>
      </w:pPr>
      <w:r>
        <w:t xml:space="preserve">After filtering to a minimum of 10,000 reads, only taxa with a mean absolute abundance greater than 0.1% were included. Taxonomically, only taxa in the Bacteria kingdom, that were not in the chrloroplast class or mitochondrial family were included. Rarefying to 20,000 was implemented, to more clearly cluster samples according to biological origin, by drawing without replacement from each sample so that all samples have the same total count. The maximum rarefaction rate was set to 54,000 (the highest count of all samples) for this particular dataset. A citation on measurements of richness can be found here:</w:t>
      </w:r>
      <w:r>
        <w:t xml:space="preserve"> </w:t>
      </w:r>
      <w:hyperlink r:id="rId27">
        <w:r>
          <w:rPr>
            <w:rStyle w:val="Hyperlink"/>
          </w:rPr>
          <w:t xml:space="preserve">https://onlinelibrary.wiley.com/doi/full/10.1046/j.1461-0248.2001.00230.x</w:t>
        </w:r>
      </w:hyperlink>
    </w:p>
    <w:p>
      <w:pPr>
        <w:pStyle w:val="BodyText"/>
      </w:pPr>
      <w:r>
        <w:t xml:space="preserve">After filtering, these were the number of samples observed:</w:t>
      </w:r>
    </w:p>
    <w:p>
      <w:pPr>
        <w:pStyle w:val="Heading3"/>
      </w:pPr>
      <w:bookmarkStart w:id="28" w:name="variables"/>
      <w:bookmarkEnd w:id="28"/>
      <w:r>
        <w:t xml:space="preserve">Variables</w:t>
      </w:r>
    </w:p>
    <w:p>
      <w:pPr>
        <w:pStyle w:val="FirstParagraph"/>
      </w:pPr>
      <w:r>
        <w:t xml:space="preserve">The filtered cohort was broken down by the following variables:</w:t>
      </w:r>
    </w:p>
    <w:p>
      <w:pPr>
        <w:pStyle w:val="Heading1"/>
      </w:pPr>
      <w:bookmarkStart w:id="29" w:name="results"/>
      <w:bookmarkEnd w:id="29"/>
      <w:r>
        <w:t xml:space="preserve">Results</w:t>
      </w:r>
    </w:p>
    <w:p>
      <w:pPr>
        <w:pStyle w:val="Heading2"/>
      </w:pPr>
      <w:bookmarkStart w:id="30" w:name="sequencing-depth"/>
      <w:bookmarkEnd w:id="30"/>
      <w:r>
        <w:t xml:space="preserve">Sequencing Depth</w:t>
      </w:r>
    </w:p>
    <w:p>
      <w:pPr>
        <w:pStyle w:val="FirstParagraph"/>
      </w:pPr>
      <w:r>
        <w:t xml:space="preserve">This image shows the sequencing depth prior to filtering:</w:t>
      </w:r>
      <w:r>
        <w:t xml:space="preserve"> </w:t>
      </w:r>
      <w:r>
        <w:drawing>
          <wp:inline>
            <wp:extent cx="3810000" cy="2540000"/>
            <wp:effectExtent b="0" l="0" r="0" t="0"/>
            <wp:docPr descr="" title="" id="1" name="Picture"/>
            <a:graphic>
              <a:graphicData uri="http://schemas.openxmlformats.org/drawingml/2006/picture">
                <pic:pic>
                  <pic:nvPicPr>
                    <pic:cNvPr descr="Graphs/SeqDepth_prefilter.tif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This image shows the depth after filtering:</w:t>
      </w:r>
      <w:r>
        <w:t xml:space="preserve"> </w:t>
      </w:r>
      <w:r>
        <w:drawing>
          <wp:inline>
            <wp:extent cx="3810000" cy="2540000"/>
            <wp:effectExtent b="0" l="0" r="0" t="0"/>
            <wp:docPr descr="" title="" id="1" name="Picture"/>
            <a:graphic>
              <a:graphicData uri="http://schemas.openxmlformats.org/drawingml/2006/picture">
                <pic:pic>
                  <pic:nvPicPr>
                    <pic:cNvPr descr="Graphs/SeqDepth_filter.tif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2"/>
      </w:pPr>
      <w:bookmarkStart w:id="33" w:name="alpha-diversity"/>
      <w:bookmarkEnd w:id="33"/>
      <w:r>
        <w:t xml:space="preserve">Alpha Diversity</w:t>
      </w:r>
    </w:p>
    <w:p>
      <w:pPr>
        <w:pStyle w:val="Heading3"/>
      </w:pPr>
      <w:bookmarkStart w:id="34" w:name="by-sample-types"/>
      <w:bookmarkEnd w:id="34"/>
      <w:r>
        <w:t xml:space="preserve">By Sample Types</w:t>
      </w:r>
    </w:p>
    <w:p>
      <w:pPr>
        <w:pStyle w:val="FirstParagraph"/>
      </w:pPr>
      <w:r>
        <w:t xml:space="preserve">This image shows alpha diversity metrics by sample type:</w:t>
      </w:r>
      <w:r>
        <w:t xml:space="preserve"> </w:t>
      </w:r>
      <w:r>
        <w:drawing>
          <wp:inline>
            <wp:extent cx="3810000" cy="2540000"/>
            <wp:effectExtent b="0" l="0" r="0" t="0"/>
            <wp:docPr descr="" title="" id="1" name="Picture"/>
            <a:graphic>
              <a:graphicData uri="http://schemas.openxmlformats.org/drawingml/2006/picture">
                <pic:pic>
                  <pic:nvPicPr>
                    <pic:cNvPr descr="Graphs/sampletype_alphadiv.tif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Viewing the dataset by extraction and sequencing batches, helps to ensure consistency between processing:</w:t>
      </w:r>
    </w:p>
    <w:p>
      <w:pPr>
        <w:pStyle w:val="Heading3"/>
      </w:pPr>
      <w:bookmarkStart w:id="36" w:name="by-extraction-batch"/>
      <w:bookmarkEnd w:id="36"/>
      <w:r>
        <w:t xml:space="preserve">By Extraction Batch:</w:t>
      </w:r>
    </w:p>
    <w:p>
      <w:pPr>
        <w:pStyle w:val="Figure"/>
      </w:pPr>
      <w:r>
        <w:drawing>
          <wp:inline>
            <wp:extent cx="3810000" cy="2540000"/>
            <wp:effectExtent b="0" l="0" r="0" t="0"/>
            <wp:docPr descr="" title="" id="1" name="Picture"/>
            <a:graphic>
              <a:graphicData uri="http://schemas.openxmlformats.org/drawingml/2006/picture">
                <pic:pic>
                  <pic:nvPicPr>
                    <pic:cNvPr descr="Graphs/alpha_extractionbatch.tif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3"/>
      </w:pPr>
      <w:bookmarkStart w:id="38" w:name="by-sequencing-batch"/>
      <w:bookmarkEnd w:id="38"/>
      <w:r>
        <w:t xml:space="preserve">By Sequencing Batch:</w:t>
      </w:r>
    </w:p>
    <w:p>
      <w:pPr>
        <w:pStyle w:val="Figure"/>
      </w:pPr>
      <w:r>
        <w:drawing>
          <wp:inline>
            <wp:extent cx="3810000" cy="2540000"/>
            <wp:effectExtent b="0" l="0" r="0" t="0"/>
            <wp:docPr descr="" title="" id="1" name="Picture"/>
            <a:graphic>
              <a:graphicData uri="http://schemas.openxmlformats.org/drawingml/2006/picture">
                <pic:pic>
                  <pic:nvPicPr>
                    <pic:cNvPr descr="Graphs/alpha_sequencingbatch.tif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3"/>
      </w:pPr>
      <w:bookmarkStart w:id="40" w:name="top-otus-by-genus"/>
      <w:bookmarkEnd w:id="40"/>
      <w:r>
        <w:t xml:space="preserve">Top OTUs by Genus</w:t>
      </w:r>
    </w:p>
    <w:p>
      <w:pPr>
        <w:pStyle w:val="FirstParagraph"/>
      </w:pPr>
      <w:r>
        <w:t xml:space="preserve">The top 30 OTUs across all study samples, in terms of abundance, were graphed by Genus:</w:t>
      </w:r>
      <w:r>
        <w:t xml:space="preserve"> </w:t>
      </w:r>
      <w:r>
        <w:drawing>
          <wp:inline>
            <wp:extent cx="3810000" cy="2540000"/>
            <wp:effectExtent b="0" l="0" r="0" t="0"/>
            <wp:docPr descr="" title="" id="1" name="Picture"/>
            <a:graphic>
              <a:graphicData uri="http://schemas.openxmlformats.org/drawingml/2006/picture">
                <pic:pic>
                  <pic:nvPicPr>
                    <pic:cNvPr descr="Graphs/study_topgenus.tif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2"/>
      </w:pPr>
      <w:bookmarkStart w:id="42" w:name="beta-diversity---pcoa-graphs"/>
      <w:bookmarkEnd w:id="42"/>
      <w:r>
        <w:t xml:space="preserve">Beta Diversity - pCOA Graphs</w:t>
      </w:r>
    </w:p>
    <w:p>
      <w:pPr>
        <w:pStyle w:val="FirstParagraph"/>
      </w:pPr>
      <w:r>
        <w:t xml:space="preserve">Beta diversity was measured using both quantitative (weighted UniFrac and Bray-Curtis) and qualitative measures (unweighted UniFrac and Binomial).Quantitative measures are ideally suited to revealing community differences that are due to changes in relative taxon abundance (e.g., when a particular set of taxa flourish because a limiting nutrient source becomes abundant). Quantitative measures are shown below.</w:t>
      </w:r>
    </w:p>
    <w:p>
      <w:pPr>
        <w:pStyle w:val="Heading3"/>
      </w:pPr>
      <w:bookmarkStart w:id="43" w:name="bray-curtis"/>
      <w:bookmarkEnd w:id="43"/>
      <w:r>
        <w:t xml:space="preserve">Bray Curtis</w:t>
      </w:r>
    </w:p>
    <w:p>
      <w:pPr>
        <w:pStyle w:val="FirstParagraph"/>
      </w:pPr>
      <w:r>
        <w:t xml:space="preserve">Bray-Curtis dissimilarity creates a matrix of the differences in microbial abundances between two samples. A 0 indicates that the samples share the same species at the same abundances, whereas a 1 indicates that both samples have complete different speices abundances.</w:t>
      </w:r>
    </w:p>
    <w:p>
      <w:pPr>
        <w:pStyle w:val="Heading4"/>
      </w:pPr>
      <w:bookmarkStart w:id="44" w:name="results-by-sample-type"/>
      <w:bookmarkEnd w:id="44"/>
      <w:r>
        <w:t xml:space="preserve">Results by Sample Type:</w:t>
      </w:r>
    </w:p>
    <w:p>
      <w:pPr>
        <w:pStyle w:val="Figure"/>
      </w:pPr>
      <w:r>
        <w:drawing>
          <wp:inline>
            <wp:extent cx="3810000" cy="2540000"/>
            <wp:effectExtent b="0" l="0" r="0" t="0"/>
            <wp:docPr descr="" title="" id="1" name="Picture"/>
            <a:graphic>
              <a:graphicData uri="http://schemas.openxmlformats.org/drawingml/2006/picture">
                <pic:pic>
                  <pic:nvPicPr>
                    <pic:cNvPr descr="Graphs/sampletype_bray.tif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bookmarkStart w:id="46" w:name="results-by-subject-replicates-only"/>
      <w:bookmarkEnd w:id="46"/>
      <w:r>
        <w:t xml:space="preserve">Results by subject (Replicates Only):</w:t>
      </w:r>
    </w:p>
    <w:p>
      <w:pPr>
        <w:pStyle w:val="Figure"/>
      </w:pPr>
      <w:r>
        <w:drawing>
          <wp:inline>
            <wp:extent cx="3810000" cy="2540000"/>
            <wp:effectExtent b="0" l="0" r="0" t="0"/>
            <wp:docPr descr="" title="" id="1" name="Picture"/>
            <a:graphic>
              <a:graphicData uri="http://schemas.openxmlformats.org/drawingml/2006/picture">
                <pic:pic>
                  <pic:nvPicPr>
                    <pic:cNvPr descr="Graphs/reps_bray.tiff"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3"/>
      </w:pPr>
      <w:bookmarkStart w:id="48" w:name="weighted-unifrac"/>
      <w:bookmarkEnd w:id="48"/>
      <w:r>
        <w:t xml:space="preserve">Weighted Unifrac</w:t>
      </w:r>
    </w:p>
    <w:p>
      <w:pPr>
        <w:pStyle w:val="FirstParagraph"/>
      </w:pPr>
      <w:r>
        <w:t xml:space="preserve">The UniFrac measures the phylogenetic distance between sets of taxa in a phylogenetic tree as the fraction of the branch length of the tree that leads to descendants from either one environment.It differs from dissimilarity measures such as Bray-Curtis, in that it incorporates information on the relative relatedness of community members by incorporating phylogenetic distances between observed organisms in the computation.Finally, this weighted version of the UniFrac metric accounts for the relative abundance of each of the taxa within the communities.</w:t>
      </w:r>
    </w:p>
    <w:p>
      <w:pPr>
        <w:pStyle w:val="Heading4"/>
      </w:pPr>
      <w:bookmarkStart w:id="49" w:name="results-by-sample-type-1"/>
      <w:bookmarkEnd w:id="49"/>
      <w:r>
        <w:t xml:space="preserve">Results by Sample Type:</w:t>
      </w:r>
    </w:p>
    <w:p>
      <w:pPr>
        <w:pStyle w:val="Figure"/>
      </w:pPr>
      <w:r>
        <w:drawing>
          <wp:inline>
            <wp:extent cx="3810000" cy="2540000"/>
            <wp:effectExtent b="0" l="0" r="0" t="0"/>
            <wp:docPr descr="" title="" id="1" name="Picture"/>
            <a:graphic>
              <a:graphicData uri="http://schemas.openxmlformats.org/drawingml/2006/picture">
                <pic:pic>
                  <pic:nvPicPr>
                    <pic:cNvPr descr="Graphs/sampletype_weightunifrac.tiff"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4"/>
      </w:pPr>
      <w:bookmarkStart w:id="51" w:name="results-by-subject-replicates-only-1"/>
      <w:bookmarkEnd w:id="51"/>
      <w:r>
        <w:t xml:space="preserve">Results by subject (Replicates Only):</w:t>
      </w:r>
    </w:p>
    <w:p>
      <w:pPr>
        <w:pStyle w:val="Figure"/>
      </w:pPr>
      <w:r>
        <w:drawing>
          <wp:inline>
            <wp:extent cx="3810000" cy="2540000"/>
            <wp:effectExtent b="0" l="0" r="0" t="0"/>
            <wp:docPr descr="" title="" id="1" name="Picture"/>
            <a:graphic>
              <a:graphicData uri="http://schemas.openxmlformats.org/drawingml/2006/picture">
                <pic:pic>
                  <pic:nvPicPr>
                    <pic:cNvPr descr="Graphs/reps_weightunifrac.tiff"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1"/>
      </w:pPr>
      <w:bookmarkStart w:id="53" w:name="additional-information"/>
      <w:bookmarkEnd w:id="53"/>
      <w:r>
        <w:t xml:space="preserve">Additional Information</w:t>
      </w:r>
    </w:p>
    <w:p>
      <w:pPr>
        <w:pStyle w:val="FirstParagraph"/>
      </w:pPr>
      <w:r>
        <w:t xml:space="preserve">Viewing the dataset by other feature variables, provided the following insights:</w:t>
      </w:r>
      <w:r>
        <w:t xml:space="preserve"> </w:t>
      </w:r>
      <w:r>
        <w:drawing>
          <wp:inline>
            <wp:extent cx="3810000" cy="2540000"/>
            <wp:effectExtent b="0" l="0" r="0" t="0"/>
            <wp:docPr descr="" title="" id="1" name="Picture"/>
            <a:graphic>
              <a:graphicData uri="http://schemas.openxmlformats.org/drawingml/2006/picture">
                <pic:pic>
                  <pic:nvPicPr>
                    <pic:cNvPr descr="Graphs/alpha_collection.tiff" id="0"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drawing>
          <wp:inline>
            <wp:extent cx="3810000" cy="2540000"/>
            <wp:effectExtent b="0" l="0" r="0" t="0"/>
            <wp:docPr descr="" title="" id="1" name="Picture"/>
            <a:graphic>
              <a:graphicData uri="http://schemas.openxmlformats.org/drawingml/2006/picture">
                <pic:pic>
                  <pic:nvPicPr>
                    <pic:cNvPr descr="Graphs/alpha_instrument.tif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drawing>
          <wp:inline>
            <wp:extent cx="3810000" cy="2540000"/>
            <wp:effectExtent b="0" l="0" r="0" t="0"/>
            <wp:docPr descr="" title="" id="1" name="Picture"/>
            <a:graphic>
              <a:graphicData uri="http://schemas.openxmlformats.org/drawingml/2006/picture">
                <pic:pic>
                  <pic:nvPicPr>
                    <pic:cNvPr descr="Graphs/alpha_month.tiff" id="0" name="Picture"/>
                    <pic:cNvPicPr>
                      <a:picLocks noChangeArrowheads="1" noChangeAspect="1"/>
                    </pic:cNvPicPr>
                  </pic:nvPicPr>
                  <pic:blipFill>
                    <a:blip r:embed="rId5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drawing>
          <wp:inline>
            <wp:extent cx="3810000" cy="2540000"/>
            <wp:effectExtent b="0" l="0" r="0" t="0"/>
            <wp:docPr descr="" title="" id="1" name="Picture"/>
            <a:graphic>
              <a:graphicData uri="http://schemas.openxmlformats.org/drawingml/2006/picture">
                <pic:pic>
                  <pic:nvPicPr>
                    <pic:cNvPr descr="Graphs/summary_genus_-20C.tif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drawing>
          <wp:inline>
            <wp:extent cx="3810000" cy="2540000"/>
            <wp:effectExtent b="0" l="0" r="0" t="0"/>
            <wp:docPr descr="" title="" id="1" name="Picture"/>
            <a:graphic>
              <a:graphicData uri="http://schemas.openxmlformats.org/drawingml/2006/picture">
                <pic:pic>
                  <pic:nvPicPr>
                    <pic:cNvPr descr="Graphs/summary_genus_-80C.tiff" id="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4cce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tiff" /><Relationship Type="http://schemas.openxmlformats.org/officeDocument/2006/relationships/image" Id="rId31" Target="media/rId31.tiff" /><Relationship Type="http://schemas.openxmlformats.org/officeDocument/2006/relationships/image" Id="rId54" Target="media/rId54.tiff" /><Relationship Type="http://schemas.openxmlformats.org/officeDocument/2006/relationships/image" Id="rId37" Target="media/rId37.tiff" /><Relationship Type="http://schemas.openxmlformats.org/officeDocument/2006/relationships/image" Id="rId55" Target="media/rId55.tiff" /><Relationship Type="http://schemas.openxmlformats.org/officeDocument/2006/relationships/image" Id="rId56" Target="media/rId56.tiff" /><Relationship Type="http://schemas.openxmlformats.org/officeDocument/2006/relationships/image" Id="rId39" Target="media/rId39.tiff" /><Relationship Type="http://schemas.openxmlformats.org/officeDocument/2006/relationships/image" Id="rId47" Target="media/rId47.tiff" /><Relationship Type="http://schemas.openxmlformats.org/officeDocument/2006/relationships/image" Id="rId52" Target="media/rId52.tiff" /><Relationship Type="http://schemas.openxmlformats.org/officeDocument/2006/relationships/image" Id="rId35" Target="media/rId35.tiff" /><Relationship Type="http://schemas.openxmlformats.org/officeDocument/2006/relationships/image" Id="rId45" Target="media/rId45.tiff" /><Relationship Type="http://schemas.openxmlformats.org/officeDocument/2006/relationships/image" Id="rId50" Target="media/rId50.tiff" /><Relationship Type="http://schemas.openxmlformats.org/officeDocument/2006/relationships/image" Id="rId41" Target="media/rId41.tiff" /><Relationship Type="http://schemas.openxmlformats.org/officeDocument/2006/relationships/image" Id="rId57" Target="media/rId57.tiff" /><Relationship Type="http://schemas.openxmlformats.org/officeDocument/2006/relationships/image" Id="rId58" Target="media/rId58.tiff" /><Relationship Type="http://schemas.openxmlformats.org/officeDocument/2006/relationships/hyperlink" Id="rId27" Target="https://onlinelibrary.wiley.com/doi/full/10.1046/j.1461-0248.2001.00230.x" TargetMode="External" /></Relationships>
</file>

<file path=word/_rels/footnotes.xml.rels><?xml version="1.0" encoding="UTF-8"?>
<Relationships xmlns="http://schemas.openxmlformats.org/package/2006/relationships"><Relationship Type="http://schemas.openxmlformats.org/officeDocument/2006/relationships/hyperlink" Id="rId27" Target="https://onlinelibrary.wiley.com/doi/full/10.1046/j.1461-0248.2001.00230.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2019-06-18T19:37:14Z</dcterms:created>
  <dcterms:modified xsi:type="dcterms:W3CDTF">2019-06-18T19:37:14Z</dcterms:modified>
</cp:coreProperties>
</file>