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bCs/>
          <w:color w:val="auto"/>
        </w:rPr>
        <w:t>Development and Applications of</w:t>
      </w:r>
      <w:r>
        <w:rPr>
          <w:b/>
          <w:bCs/>
          <w:color w:val="000000"/>
          <w:shd w:fill="auto" w:val="clear"/>
        </w:rPr>
        <w:t xml:space="preserve"> NCI SI Service Metadata Ontology (SSIMO)</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highlight w:val="none"/>
          <w:shd w:fill="auto" w:val="clear"/>
        </w:rPr>
      </w:pPr>
      <w:r>
        <w:rPr>
          <w:b/>
          <w:bCs/>
          <w:color w:val="000000"/>
          <w:shd w:fill="auto" w:val="clear"/>
        </w:rPr>
        <w:t>Main Page / Introduction</w:t>
      </w:r>
    </w:p>
    <w:p>
      <w:pPr>
        <w:pStyle w:val="Normal"/>
        <w:numPr>
          <w:ilvl w:val="1"/>
          <w:numId w:val="2"/>
        </w:numPr>
        <w:rPr>
          <w:color w:val="auto"/>
          <w:highlight w:val="none"/>
          <w:shd w:fill="auto" w:val="clear"/>
        </w:rPr>
      </w:pPr>
      <w:r>
        <w:rPr>
          <w:color w:val="000000"/>
          <w:shd w:fill="auto" w:val="clear"/>
        </w:rPr>
        <w:t>Introduction of SSIMO</w:t>
      </w:r>
    </w:p>
    <w:p>
      <w:pPr>
        <w:pStyle w:val="Normal"/>
        <w:numPr>
          <w:ilvl w:val="1"/>
          <w:numId w:val="2"/>
        </w:numPr>
        <w:rPr>
          <w:color w:val="auto"/>
          <w:highlight w:val="none"/>
          <w:shd w:fill="auto" w:val="clear"/>
        </w:rPr>
      </w:pPr>
      <w:r>
        <w:rPr>
          <w:color w:val="000000"/>
          <w:shd w:fill="auto" w:val="clear"/>
        </w:rPr>
        <w:t xml:space="preserve">Introduction of metadata and its uses for NCI SI project </w:t>
      </w:r>
    </w:p>
    <w:p>
      <w:pPr>
        <w:pStyle w:val="Normal"/>
        <w:numPr>
          <w:ilvl w:val="1"/>
          <w:numId w:val="2"/>
        </w:numPr>
        <w:rPr>
          <w:color w:val="auto"/>
          <w:highlight w:val="none"/>
          <w:shd w:fill="auto" w:val="clear"/>
        </w:rPr>
      </w:pPr>
      <w:r>
        <w:rPr>
          <w:color w:val="000000"/>
          <w:shd w:fill="auto" w:val="clear"/>
        </w:rPr>
        <w:t>Project purposes</w:t>
      </w:r>
    </w:p>
    <w:p>
      <w:pPr>
        <w:pStyle w:val="Normal"/>
        <w:numPr>
          <w:ilvl w:val="1"/>
          <w:numId w:val="2"/>
        </w:numPr>
        <w:rPr>
          <w:color w:val="auto"/>
          <w:highlight w:val="none"/>
          <w:shd w:fill="auto" w:val="clear"/>
        </w:rPr>
      </w:pPr>
      <w:r>
        <w:rPr>
          <w:color w:val="000000"/>
          <w:shd w:fill="auto" w:val="clear"/>
        </w:rPr>
        <w:t>Team</w:t>
      </w:r>
    </w:p>
    <w:p>
      <w:pPr>
        <w:pStyle w:val="Normal"/>
        <w:numPr>
          <w:ilvl w:val="0"/>
          <w:numId w:val="2"/>
        </w:numPr>
        <w:rPr>
          <w:color w:val="auto"/>
        </w:rPr>
      </w:pPr>
      <w:r>
        <w:rPr>
          <w:b/>
          <w:bCs/>
          <w:color w:val="000000"/>
          <w:shd w:fill="auto" w:val="clear"/>
        </w:rPr>
        <w:t>Services Metadata Ontology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Mapping of SI-Resource Annotations</w:t>
      </w:r>
    </w:p>
    <w:p>
      <w:pPr>
        <w:pStyle w:val="Normal"/>
        <w:numPr>
          <w:ilvl w:val="1"/>
          <w:numId w:val="2"/>
        </w:numPr>
        <w:rPr>
          <w:b w:val="false"/>
          <w:b w:val="false"/>
          <w:bCs w:val="false"/>
          <w:color w:val="auto"/>
        </w:rPr>
      </w:pPr>
      <w:r>
        <w:rPr>
          <w:b w:val="false"/>
          <w:bCs w:val="false"/>
          <w:color w:val="auto"/>
        </w:rPr>
        <w:t>Mapping of Features in the Shared SI Service Query</w:t>
      </w:r>
    </w:p>
    <w:p>
      <w:pPr>
        <w:pStyle w:val="ListParagraph"/>
        <w:ind w:left="720" w:hanging="0"/>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The purpose of this document is to lay out our development of a metadata ontology for our CanSI system. We have named this metadata ontology the Semantic Infrastructure Service Metadata Ontology (SSIMO). SSIMO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SSIMO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color w:val="auto"/>
        </w:rPr>
      </w:pPr>
      <w:r>
        <w:rPr>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sz w:val="24"/>
          <w:szCs w:val="24"/>
        </w:rPr>
      </w:pPr>
      <w:r>
        <w:rPr>
          <w:b/>
          <w:bCs/>
          <w:color w:val="auto"/>
          <w:sz w:val="24"/>
          <w:szCs w:val="24"/>
        </w:rPr>
        <w:tab/>
      </w:r>
      <w:r>
        <w:rPr>
          <w:b w:val="false"/>
          <w:bCs w:val="false"/>
          <w:color w:val="auto"/>
          <w:sz w:val="24"/>
          <w:szCs w:val="24"/>
        </w:rPr>
        <w:t xml:space="preserve">We provide a definitions for common related terms so that users who are unfamiliar with ontology can understand. Ontology is concerned with clear and shared definitions in order to enable data interoperability. </w:t>
      </w:r>
    </w:p>
    <w:p>
      <w:pPr>
        <w:pStyle w:val="Normal"/>
        <w:rPr>
          <w:color w:val="auto"/>
        </w:rPr>
      </w:pPr>
      <w:r>
        <w:rPr>
          <w:color w:val="auto"/>
        </w:rPr>
      </w:r>
    </w:p>
    <w:p>
      <w:pPr>
        <w:pStyle w:val="Normal"/>
        <w:rPr>
          <w:color w:val="auto"/>
        </w:rPr>
      </w:pPr>
      <w:r>
        <w:rPr>
          <w:b/>
          <w:bCs/>
          <w:color w:val="auto"/>
          <w:sz w:val="28"/>
          <w:szCs w:val="28"/>
        </w:rPr>
        <w:t>Definitions of Related Ontology Terms</w:t>
      </w:r>
    </w:p>
    <w:p>
      <w:pPr>
        <w:pStyle w:val="Normal"/>
        <w:rPr>
          <w:color w:val="auto"/>
        </w:rPr>
      </w:pPr>
      <w:r>
        <w:rPr>
          <w:color w:val="auto"/>
        </w:rPr>
      </w:r>
    </w:p>
    <w:p>
      <w:pPr>
        <w:pStyle w:val="Normal"/>
        <w:rPr>
          <w:sz w:val="24"/>
          <w:szCs w:val="24"/>
        </w:rPr>
      </w:pPr>
      <w:r>
        <w:rPr>
          <w:b/>
          <w:bCs/>
          <w:color w:val="auto"/>
          <w:sz w:val="24"/>
          <w:szCs w:val="24"/>
        </w:rPr>
        <w:t xml:space="preserve">Term. </w:t>
      </w:r>
      <w:r>
        <w:rPr>
          <w:b w:val="false"/>
          <w:bCs w:val="false"/>
          <w:color w:val="auto"/>
          <w:sz w:val="24"/>
          <w:szCs w:val="24"/>
        </w:rPr>
        <w:t>A word or phrase that is used to describe an object or thing. Terms can be composed of a single word or multiple words. If a term is listed as multiple words, it will be denoted in a paragraph with single quotation marks (‘’). Any definitions included within SSIMO will be denoted in italicized text.</w:t>
      </w:r>
    </w:p>
    <w:p>
      <w:pPr>
        <w:pStyle w:val="Normal"/>
        <w:rPr>
          <w:sz w:val="24"/>
          <w:szCs w:val="24"/>
        </w:rPr>
      </w:pPr>
      <w:r>
        <w:rPr>
          <w:sz w:val="24"/>
          <w:szCs w:val="24"/>
        </w:rPr>
      </w:r>
    </w:p>
    <w:p>
      <w:pPr>
        <w:pStyle w:val="Normal"/>
        <w:rPr>
          <w:sz w:val="24"/>
          <w:szCs w:val="24"/>
        </w:rPr>
      </w:pPr>
      <w:r>
        <w:rPr>
          <w:b/>
          <w:bCs/>
          <w:color w:val="auto"/>
          <w:sz w:val="24"/>
          <w:szCs w:val="24"/>
        </w:rPr>
        <w:t xml:space="preserve">Set. </w:t>
      </w:r>
      <w:r>
        <w:rPr>
          <w:b w:val="false"/>
          <w:bCs w:val="false"/>
          <w:color w:val="auto"/>
          <w:sz w:val="24"/>
          <w:szCs w:val="24"/>
        </w:rPr>
        <w:t xml:space="preserve">A collection of objects. </w:t>
      </w:r>
    </w:p>
    <w:p>
      <w:pPr>
        <w:pStyle w:val="Normal"/>
        <w:rPr>
          <w:sz w:val="24"/>
          <w:szCs w:val="24"/>
        </w:rPr>
      </w:pPr>
      <w:r>
        <w:rPr>
          <w:sz w:val="24"/>
          <w:szCs w:val="24"/>
        </w:rPr>
      </w:r>
    </w:p>
    <w:p>
      <w:pPr>
        <w:pStyle w:val="Normal"/>
        <w:rPr>
          <w:sz w:val="24"/>
          <w:szCs w:val="24"/>
        </w:rPr>
      </w:pPr>
      <w:r>
        <w:rPr>
          <w:b/>
          <w:bCs/>
          <w:color w:val="auto"/>
          <w:sz w:val="24"/>
          <w:szCs w:val="24"/>
        </w:rPr>
        <w:t xml:space="preserve">Class. </w:t>
      </w:r>
      <w:r>
        <w:rPr>
          <w:b w:val="false"/>
          <w:bCs w:val="false"/>
          <w:color w:val="auto"/>
          <w:sz w:val="24"/>
          <w:szCs w:val="24"/>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sz w:val="24"/>
          <w:szCs w:val="24"/>
        </w:rPr>
      </w:pPr>
      <w:r>
        <w:rPr>
          <w:sz w:val="24"/>
          <w:szCs w:val="24"/>
        </w:rPr>
      </w:r>
    </w:p>
    <w:p>
      <w:pPr>
        <w:pStyle w:val="Normal"/>
        <w:rPr>
          <w:sz w:val="24"/>
          <w:szCs w:val="24"/>
        </w:rPr>
      </w:pPr>
      <w:r>
        <w:rPr>
          <w:b/>
          <w:bCs/>
          <w:color w:val="auto"/>
          <w:sz w:val="24"/>
          <w:szCs w:val="24"/>
        </w:rPr>
        <w:t xml:space="preserve">Individual. </w:t>
      </w:r>
      <w:r>
        <w:rPr>
          <w:b w:val="false"/>
          <w:bCs w:val="false"/>
          <w:color w:val="auto"/>
          <w:sz w:val="24"/>
          <w:szCs w:val="24"/>
        </w:rPr>
        <w:t>An individual represents a singular instance of a thing. All individuals belongs to some classes, but are focused either as individual instances. For an ontology, the use of individual can be used to represent specific version of an ontology. For example, ‘SSIMO version 1.07’ would be an individual, while the SSIMO would be a class.</w:t>
      </w:r>
    </w:p>
    <w:p>
      <w:pPr>
        <w:pStyle w:val="Normal"/>
        <w:rPr>
          <w:sz w:val="24"/>
          <w:szCs w:val="24"/>
        </w:rPr>
      </w:pPr>
      <w:r>
        <w:rPr>
          <w:sz w:val="24"/>
          <w:szCs w:val="24"/>
        </w:rPr>
      </w:r>
    </w:p>
    <w:p>
      <w:pPr>
        <w:pStyle w:val="Normal"/>
        <w:rPr>
          <w:sz w:val="24"/>
          <w:szCs w:val="24"/>
        </w:rPr>
      </w:pPr>
      <w:r>
        <w:rPr>
          <w:b/>
          <w:bCs/>
          <w:color w:val="auto"/>
          <w:sz w:val="24"/>
          <w:szCs w:val="24"/>
        </w:rPr>
        <w:t xml:space="preserve">Property. </w:t>
      </w:r>
      <w:r>
        <w:rPr>
          <w:b w:val="false"/>
          <w:bCs w:val="false"/>
          <w:color w:val="auto"/>
          <w:sz w:val="24"/>
          <w:szCs w:val="24"/>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sz w:val="24"/>
          <w:szCs w:val="24"/>
        </w:rPr>
      </w:pPr>
      <w:r>
        <w:rPr>
          <w:sz w:val="24"/>
          <w:szCs w:val="24"/>
        </w:rPr>
      </w:r>
    </w:p>
    <w:p>
      <w:pPr>
        <w:pStyle w:val="Normal"/>
        <w:rPr>
          <w:sz w:val="24"/>
          <w:szCs w:val="24"/>
        </w:rPr>
      </w:pPr>
      <w:r>
        <w:rPr>
          <w:b/>
          <w:bCs/>
          <w:color w:val="auto"/>
          <w:sz w:val="24"/>
          <w:szCs w:val="24"/>
        </w:rPr>
        <w:t xml:space="preserve">Annotation. </w:t>
      </w:r>
      <w:r>
        <w:rPr>
          <w:b w:val="false"/>
          <w:bCs w:val="false"/>
          <w:color w:val="auto"/>
          <w:sz w:val="24"/>
          <w:szCs w:val="24"/>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sz w:val="24"/>
          <w:szCs w:val="24"/>
        </w:rPr>
      </w:pPr>
      <w:r>
        <w:rPr>
          <w:sz w:val="24"/>
          <w:szCs w:val="24"/>
        </w:rPr>
      </w:r>
    </w:p>
    <w:p>
      <w:pPr>
        <w:pStyle w:val="Normal"/>
        <w:rPr>
          <w:sz w:val="24"/>
          <w:szCs w:val="24"/>
        </w:rPr>
      </w:pPr>
      <w:r>
        <w:rPr>
          <w:b/>
          <w:bCs/>
          <w:color w:val="auto"/>
          <w:sz w:val="24"/>
          <w:szCs w:val="24"/>
        </w:rPr>
        <w:t xml:space="preserve">Domain. </w:t>
      </w:r>
      <w:r>
        <w:rPr>
          <w:b w:val="false"/>
          <w:bCs w:val="false"/>
          <w:color w:val="auto"/>
          <w:sz w:val="24"/>
          <w:szCs w:val="24"/>
        </w:rPr>
        <w:t xml:space="preserve">A set of valid inputs. In ontology, a domain is the set of valid classes, individuals, or annotations which are specified as the valid subjects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 xml:space="preserve">Range.  </w:t>
      </w:r>
      <w:r>
        <w:rPr>
          <w:b w:val="false"/>
          <w:bCs w:val="false"/>
          <w:color w:val="auto"/>
          <w:sz w:val="24"/>
          <w:szCs w:val="24"/>
        </w:rPr>
        <w:t xml:space="preserve">A set of valid inputs. In ontology, a domain is the set of valid classes, individuals, or annotations which are specified as the valid objects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RDF Triple.</w:t>
      </w:r>
      <w:r>
        <w:rPr>
          <w:b w:val="false"/>
          <w:bCs w:val="false"/>
          <w:color w:val="auto"/>
          <w:sz w:val="24"/>
          <w:szCs w:val="24"/>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sz w:val="24"/>
          <w:szCs w:val="24"/>
        </w:rPr>
      </w:pPr>
      <w:r>
        <w:rPr>
          <w:sz w:val="24"/>
          <w:szCs w:val="24"/>
        </w:rPr>
      </w:r>
    </w:p>
    <w:p>
      <w:pPr>
        <w:pStyle w:val="Normal"/>
        <w:rPr>
          <w:sz w:val="24"/>
          <w:szCs w:val="24"/>
        </w:rPr>
      </w:pPr>
      <w:r>
        <w:rPr>
          <w:b/>
          <w:bCs/>
          <w:color w:val="auto"/>
          <w:sz w:val="24"/>
          <w:szCs w:val="24"/>
        </w:rPr>
        <w:t xml:space="preserve">RDF Datasets. </w:t>
      </w:r>
      <w:r>
        <w:rPr>
          <w:b w:val="false"/>
          <w:bCs w:val="false"/>
          <w:color w:val="auto"/>
          <w:sz w:val="24"/>
          <w:szCs w:val="24"/>
        </w:rPr>
        <w:t>A set of RDF Graphs that is made out of of one default graph and potentially multiple zero named graphs. The named graphs correspond to additional graphs which may or may not reuse terms from the default graphs.</w:t>
      </w:r>
    </w:p>
    <w:p>
      <w:pPr>
        <w:pStyle w:val="Normal"/>
        <w:rPr>
          <w:color w:val="auto"/>
        </w:rPr>
      </w:pPr>
      <w:r>
        <w:rPr>
          <w:color w:val="auto"/>
        </w:rPr>
      </w:r>
    </w:p>
    <w:p>
      <w:pPr>
        <w:pStyle w:val="Normal"/>
        <w:rPr>
          <w:color w:val="auto"/>
        </w:rPr>
      </w:pPr>
      <w:r>
        <w:rPr>
          <w:b/>
          <w:bCs/>
          <w:color w:val="auto"/>
          <w:sz w:val="32"/>
          <w:szCs w:val="32"/>
        </w:rPr>
        <w:t>Metadata Ontology design</w:t>
      </w:r>
    </w:p>
    <w:p>
      <w:pPr>
        <w:pStyle w:val="Normal"/>
        <w:rPr>
          <w:color w:val="auto"/>
        </w:rPr>
      </w:pPr>
      <w:r>
        <w:rPr>
          <w:color w:val="auto"/>
        </w:rPr>
      </w:r>
    </w:p>
    <w:p>
      <w:pPr>
        <w:pStyle w:val="Normal"/>
        <w:rPr>
          <w:color w:val="auto"/>
        </w:rPr>
      </w:pPr>
      <w:r>
        <w:rPr>
          <w:color w:val="auto"/>
        </w:rPr>
        <mc:AlternateContent>
          <mc:Choice Requires="wpg">
            <w:drawing>
              <wp:anchor behindDoc="0" distT="0" distB="0" distL="0" distR="0" simplePos="0" locked="0" layoutInCell="0" allowOverlap="1" relativeHeight="3">
                <wp:simplePos x="0" y="0"/>
                <wp:positionH relativeFrom="column">
                  <wp:posOffset>645160</wp:posOffset>
                </wp:positionH>
                <wp:positionV relativeFrom="paragraph">
                  <wp:posOffset>133985</wp:posOffset>
                </wp:positionV>
                <wp:extent cx="5260340" cy="2477135"/>
                <wp:effectExtent l="0" t="0" r="0" b="0"/>
                <wp:wrapThrough wrapText="largest">
                  <wp:wrapPolygon edited="0">
                    <wp:start x="0" y="0"/>
                    <wp:lineTo x="21600" y="0"/>
                    <wp:lineTo x="21600" y="21600"/>
                    <wp:lineTo x="0" y="21600"/>
                    <wp:lineTo x="0" y="0"/>
                  </wp:wrapPolygon>
                </wp:wrapThrough>
                <wp:docPr id="1" name="Figure 1"/>
                <a:graphic xmlns:a="http://schemas.openxmlformats.org/drawingml/2006/main">
                  <a:graphicData uri="http://schemas.microsoft.com/office/word/2010/wordprocessingGroup">
                    <wpg:wgp>
                      <wpg:cNvGrpSpPr/>
                      <wpg:grpSpPr>
                        <a:xfrm>
                          <a:off x="0" y="0"/>
                          <a:ext cx="5260320" cy="2477160"/>
                          <a:chOff x="0" y="0"/>
                          <a:chExt cx="5260320" cy="2477160"/>
                        </a:xfrm>
                      </wpg:grpSpPr>
                      <pic:pic xmlns:pic="http://schemas.openxmlformats.org/drawingml/2006/picture">
                        <pic:nvPicPr>
                          <pic:cNvPr id="0" name="" descr=""/>
                          <pic:cNvPicPr/>
                        </pic:nvPicPr>
                        <pic:blipFill>
                          <a:blip r:embed="rId2"/>
                          <a:stretch/>
                        </pic:blipFill>
                        <pic:spPr>
                          <a:xfrm>
                            <a:off x="1624320" y="0"/>
                            <a:ext cx="1997640" cy="2477160"/>
                          </a:xfrm>
                          <a:prstGeom prst="rect">
                            <a:avLst/>
                          </a:prstGeom>
                          <a:ln w="17640">
                            <a:noFill/>
                          </a:ln>
                        </pic:spPr>
                      </pic:pic>
                      <pic:pic xmlns:pic="http://schemas.openxmlformats.org/drawingml/2006/picture">
                        <pic:nvPicPr>
                          <pic:cNvPr id="1" name="" descr=""/>
                          <pic:cNvPicPr/>
                        </pic:nvPicPr>
                        <pic:blipFill>
                          <a:blip r:embed="rId3"/>
                          <a:stretch/>
                        </pic:blipFill>
                        <pic:spPr>
                          <a:xfrm>
                            <a:off x="3597840" y="0"/>
                            <a:ext cx="1662480" cy="1546200"/>
                          </a:xfrm>
                          <a:prstGeom prst="rect">
                            <a:avLst/>
                          </a:prstGeom>
                          <a:ln w="17640">
                            <a:noFill/>
                          </a:ln>
                        </pic:spPr>
                      </pic:pic>
                      <pic:pic xmlns:pic="http://schemas.openxmlformats.org/drawingml/2006/picture">
                        <pic:nvPicPr>
                          <pic:cNvPr id="2" name="" descr=""/>
                          <pic:cNvPicPr/>
                        </pic:nvPicPr>
                        <pic:blipFill>
                          <a:blip r:embed="rId4"/>
                          <a:stretch/>
                        </pic:blipFill>
                        <pic:spPr>
                          <a:xfrm>
                            <a:off x="0" y="0"/>
                            <a:ext cx="1623600" cy="1335240"/>
                          </a:xfrm>
                          <a:prstGeom prst="rect">
                            <a:avLst/>
                          </a:prstGeom>
                          <a:ln w="17640">
                            <a:noFill/>
                          </a:ln>
                        </pic:spPr>
                      </pic:pic>
                      <wps:wsp>
                        <wps:cNvSpPr/>
                        <wps:spPr>
                          <a:xfrm flipV="1">
                            <a:off x="1604160" y="148680"/>
                            <a:ext cx="154800" cy="410760"/>
                          </a:xfrm>
                          <a:prstGeom prst="line">
                            <a:avLst/>
                          </a:prstGeom>
                          <a:ln w="17640">
                            <a:solidFill>
                              <a:srgbClr val="ff4000"/>
                            </a:solidFill>
                            <a:round/>
                            <a:tailEnd len="med" type="triangle" w="med"/>
                          </a:ln>
                        </wps:spPr>
                        <wps:style>
                          <a:lnRef idx="0"/>
                          <a:fillRef idx="0"/>
                          <a:effectRef idx="0"/>
                          <a:fontRef idx="minor"/>
                        </wps:style>
                        <wps:bodyPr/>
                      </wps:wsp>
                      <wps:wsp>
                        <wps:cNvSpPr/>
                        <wps:spPr>
                          <a:xfrm flipV="1">
                            <a:off x="2532240" y="148680"/>
                            <a:ext cx="1237680" cy="1370160"/>
                          </a:xfrm>
                          <a:prstGeom prst="line">
                            <a:avLst/>
                          </a:prstGeom>
                          <a:ln w="17640">
                            <a:solidFill>
                              <a:srgbClr val="ff4000"/>
                            </a:solidFill>
                            <a:round/>
                            <a:tailEnd len="med" type="triangle" w="med"/>
                          </a:ln>
                        </wps:spPr>
                        <wps:style>
                          <a:lnRef idx="0"/>
                          <a:fillRef idx="0"/>
                          <a:effectRef idx="0"/>
                          <a:fontRef idx="minor"/>
                        </wps:style>
                        <wps:bodyPr/>
                      </wps:wsp>
                      <wps:wsp>
                        <wps:cNvSpPr/>
                        <wps:spPr>
                          <a:xfrm>
                            <a:off x="0" y="132120"/>
                            <a:ext cx="308520" cy="353160"/>
                          </a:xfrm>
                          <a:prstGeom prst="rect">
                            <a:avLst/>
                          </a:prstGeom>
                          <a:noFill/>
                          <a:ln w="17640">
                            <a:noFill/>
                          </a:ln>
                        </wps:spPr>
                        <wps:style>
                          <a:lnRef idx="0"/>
                          <a:fillRef idx="0"/>
                          <a:effectRef idx="0"/>
                          <a:fontRef idx="minor"/>
                        </wps:style>
                        <wps:txb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A</w:t>
                              </w:r>
                            </w:p>
                          </w:txbxContent>
                        </wps:txbx>
                        <wps:bodyPr lIns="90000" rIns="90000" tIns="45000" bIns="45000" anchor="t">
                          <a:noAutofit/>
                        </wps:bodyPr>
                      </wps:wsp>
                      <wps:wsp>
                        <wps:cNvSpPr/>
                        <wps:spPr>
                          <a:xfrm>
                            <a:off x="3288600" y="0"/>
                            <a:ext cx="308520" cy="353160"/>
                          </a:xfrm>
                          <a:prstGeom prst="rect">
                            <a:avLst/>
                          </a:prstGeom>
                          <a:noFill/>
                          <a:ln w="17640">
                            <a:noFill/>
                          </a:ln>
                        </wps:spPr>
                        <wps:style>
                          <a:lnRef idx="0"/>
                          <a:fillRef idx="0"/>
                          <a:effectRef idx="0"/>
                          <a:fontRef idx="minor"/>
                        </wps:style>
                        <wps:txb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B</w:t>
                              </w:r>
                            </w:p>
                          </w:txbxContent>
                        </wps:txbx>
                        <wps:bodyPr lIns="90000" rIns="90000" tIns="45000" bIns="45000" anchor="t">
                          <a:noAutofit/>
                        </wps:bodyPr>
                      </wps:wsp>
                    </wpg:wgp>
                  </a:graphicData>
                </a:graphic>
              </wp:anchor>
            </w:drawing>
          </mc:Choice>
          <mc:Fallback>
            <w:pict>
              <v:group id="shape_0" alt="Figure 1" style="position:absolute;margin-left:50.8pt;margin-top:10.55pt;width:414.2pt;height:195.05pt" coordorigin="1016,211" coordsize="8284,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574;top:211;width:3145;height:3900;mso-wrap-style:none;v-text-anchor:middle" type="_x0000_t75">
                  <v:imagedata r:id="rId5" o:detectmouseclick="t"/>
                  <v:stroke color="#3465a4" weight="17640" joinstyle="round" endcap="flat"/>
                  <w10:wrap type="square" side="largest"/>
                </v:shape>
                <v:shape id="shape_0" stroked="f" o:allowincell="f" style="position:absolute;left:6682;top:211;width:2617;height:2434;mso-wrap-style:none;v-text-anchor:middle" type="_x0000_t75">
                  <v:imagedata r:id="rId6" o:detectmouseclick="t"/>
                  <v:stroke color="#3465a4" weight="17640" joinstyle="round" endcap="flat"/>
                  <w10:wrap type="square" side="largest"/>
                </v:shape>
                <v:shape id="shape_0" stroked="f" o:allowincell="f" style="position:absolute;left:1016;top:211;width:2556;height:2102;mso-wrap-style:none;v-text-anchor:middle" type="_x0000_t75">
                  <v:imagedata r:id="rId7" o:detectmouseclick="t"/>
                  <v:stroke color="#3465a4" weight="17640" joinstyle="round" endcap="flat"/>
                  <w10:wrap type="square" side="largest"/>
                </v:shape>
                <v:line id="shape_0" from="3542,445" to="3785,1091" stroked="t" o:allowincell="f" style="position:absolute;flip:y">
                  <v:stroke color="#ff4000" weight="17640" endarrow="block" endarrowwidth="medium" endarrowlength="medium" joinstyle="round" endcap="flat"/>
                  <v:fill o:detectmouseclick="t" on="false"/>
                  <w10:wrap type="square" side="largest"/>
                </v:line>
                <v:line id="shape_0" from="5004,445" to="6952,2602" stroked="t" o:allowincell="f" style="position:absolute;flip:y">
                  <v:stroke color="#ff4000" weight="17640" endarrow="block" endarrowwidth="medium" endarrowlength="medium" joinstyle="round" endcap="flat"/>
                  <v:fill o:detectmouseclick="t" on="false"/>
                  <w10:wrap type="square" side="largest"/>
                </v:line>
                <v:rect id="shape_0" path="m0,0l-2147483645,0l-2147483645,-2147483646l0,-2147483646xe" stroked="f" o:allowincell="f" style="position:absolute;left:1016;top:419;width:485;height:555;mso-wrap-style:square;v-text-anchor:top">
                  <v:fill o:detectmouseclick="t" on="false"/>
                  <v:stroke color="#3465a4" weight="17640" joinstyle="round" endcap="flat"/>
                  <v:textbo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A</w:t>
                        </w:r>
                      </w:p>
                    </w:txbxContent>
                  </v:textbox>
                  <w10:wrap type="square" side="largest"/>
                </v:rect>
                <v:rect id="shape_0" path="m0,0l-2147483645,0l-2147483645,-2147483646l0,-2147483646xe" stroked="f" o:allowincell="f" style="position:absolute;left:6195;top:211;width:485;height:555;mso-wrap-style:square;v-text-anchor:top">
                  <v:fill o:detectmouseclick="t" on="false"/>
                  <v:stroke color="#3465a4" weight="17640" joinstyle="round" endcap="flat"/>
                  <v:textbox>
                    <w:txbxContent>
                      <w:p>
                        <w:pPr>
                          <w:pStyle w:val="Normal"/>
                          <w:overflowPunct w:val="tru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B</w:t>
                        </w:r>
                      </w:p>
                    </w:txbxContent>
                  </v:textbox>
                  <w10:wrap type="square" side="largest"/>
                </v:rect>
              </v:group>
            </w:pict>
          </mc:Fallback>
        </mc:AlternateConten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rPr>
        <w:t xml:space="preserve">Figure 1. High Level Representation of CANSI Metadata Ontology Tool. </w:t>
      </w:r>
      <w:r>
        <w:rPr>
          <w:color w:val="auto"/>
        </w:rPr>
        <w:t>A) Highest level terms for SSIMO include terms that have been mapped to BFO (generically dependent continuant) and those that have not. B) New terms were primarily to si-ontology, si-resource, si-resource-metadata. Red arrows denote locations of terms based of the new graph.</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prior metonto.rdf central hierarchy for the original base file. Afterwards, we assessed multiple different ontologies to identify terms that can be reused or implemented into SSIMO. Currently, SSIMO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ontologies within the SI Service Meta Ontology. Afterwards, we consulted the above 12 categories to identify common metadata features that are occur within multiple knowledge sources and ontologies. The ontologies and knowledge bases we have queried, along with their definitions,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SSIMO.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b w:val="false"/>
          <w:bCs w:val="false"/>
          <w:color w:val="auto"/>
        </w:rPr>
      </w:r>
    </w:p>
    <w:p>
      <w:pPr>
        <w:pStyle w:val="Normal"/>
        <w:rPr>
          <w:b w:val="false"/>
          <w:b w:val="false"/>
          <w:bCs w:val="false"/>
          <w:color w:val="aut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522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332220" cy="2435225"/>
                    </a:xfrm>
                    <a:prstGeom prst="rect">
                      <a:avLst/>
                    </a:prstGeom>
                  </pic:spPr>
                </pic:pic>
              </a:graphicData>
            </a:graphic>
          </wp:anchor>
        </w:drawing>
      </w:r>
      <w:r>
        <w:rPr>
          <w:b/>
          <w:bCs/>
          <w:color w:val="auto"/>
        </w:rPr>
        <w:t xml:space="preserve">Figure 2. Utilization for Ontology Design Pattern  for SSIMO. </w:t>
      </w:r>
      <w:r>
        <w:rPr>
          <w:b w:val="false"/>
          <w:bCs w:val="false"/>
          <w:color w:val="auto"/>
        </w:rPr>
        <w:t>The ODP provides the layout for how classes and individuals will be annotated with object and data properties within SSIMO. Each box represents a class, data, or individual that are connected by different properties. The arrows represent an RDF Triple that is formed between boxes and the property listed in the middle of the arrow. The arrowhead points to the object of this RDF Triple. Italized property names indicate tha</w:t>
      </w:r>
      <w:r>
        <w:rPr>
          <w:b w:val="false"/>
          <w:bCs w:val="false"/>
          <w:color w:val="000000"/>
          <w:shd w:fill="auto" w:val="clear"/>
        </w:rPr>
        <w:t>t this relationship is not included in SSIMO but should be the result of a successful output of the SSIMO API tool.</w:t>
      </w:r>
    </w:p>
    <w:p>
      <w:pPr>
        <w:pStyle w:val="Normal"/>
        <w:rPr>
          <w:b w:val="false"/>
          <w:b w:val="false"/>
          <w:bCs w:val="false"/>
          <w:color w:val="auto"/>
          <w:highlight w:val="none"/>
          <w:shd w:fill="auto" w:val="clear"/>
        </w:rPr>
      </w:pPr>
      <w:r>
        <w:rPr>
          <w:b w:val="false"/>
          <w:bCs w:val="false"/>
          <w:color w:val="000000"/>
          <w:shd w:fill="auto" w:val="clear"/>
        </w:rPr>
        <w:tab/>
      </w:r>
    </w:p>
    <w:p>
      <w:pPr>
        <w:pStyle w:val="Normal"/>
        <w:rPr>
          <w:b w:val="false"/>
          <w:b w:val="false"/>
          <w:bCs w:val="false"/>
          <w:color w:val="auto"/>
        </w:rPr>
      </w:pPr>
      <w:r>
        <w:rPr>
          <w:b w:val="false"/>
          <w:bCs w:val="false"/>
          <w:color w:val="auto"/>
        </w:rPr>
        <w:tab/>
        <w:t xml:space="preserve">The primary definitions for these terms are included for rest of the document.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pPr>
      <w:r>
        <w:rPr>
          <w:b/>
          <w:bCs/>
          <w:color w:val="auto"/>
          <w:sz w:val="24"/>
          <w:szCs w:val="24"/>
        </w:rPr>
        <w:t>ObsoleteClass.</w:t>
      </w:r>
      <w:r>
        <w:rPr>
          <w:color w:val="auto"/>
          <w:sz w:val="32"/>
          <w:szCs w:val="32"/>
        </w:rPr>
        <w:t xml:space="preserve"> </w:t>
      </w:r>
      <w:r>
        <w:rPr>
          <w:color w:val="auto"/>
        </w:rPr>
        <w:t>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sz w:val="24"/>
          <w:szCs w:val="24"/>
        </w:rPr>
        <w:t>Party.</w:t>
      </w:r>
      <w:r>
        <w:rPr>
          <w:color w:val="auto"/>
          <w:sz w:val="24"/>
          <w:szCs w:val="24"/>
        </w:rPr>
        <w:tab/>
      </w:r>
      <w:r>
        <w:rPr>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color w:val="auto"/>
        </w:rPr>
      </w:pPr>
      <w:r>
        <w:rPr>
          <w:color w:val="auto"/>
        </w:rPr>
      </w:r>
    </w:p>
    <w:p>
      <w:pPr>
        <w:pStyle w:val="Normal"/>
        <w:rPr>
          <w:b/>
          <w:b/>
          <w:bCs/>
        </w:rPr>
      </w:pPr>
      <w:r>
        <w:rPr>
          <w:b/>
          <w:bCs/>
          <w:color w:val="auto"/>
        </w:rPr>
        <w:t xml:space="preserve">Ontology Domain. </w:t>
      </w:r>
      <w:r>
        <w:rPr>
          <w:b w:val="false"/>
          <w:bCs w:val="false"/>
          <w:i/>
          <w:iCs/>
          <w:color w:val="auto"/>
        </w:rPr>
        <w:t xml:space="preserve">The subject of knowledge that is covered by an information content entity. </w:t>
      </w:r>
      <w:r>
        <w:rPr>
          <w:b w:val="false"/>
          <w:bCs w:val="false"/>
          <w:i w:val="false"/>
          <w:iCs w:val="false"/>
          <w:color w:val="auto"/>
        </w:rPr>
        <w:t>The domain of an ontology can cover material entities, events, processes, and metadata. Currently, we have broad domains included in SSIMO but more will be added once we have decided how to divide the fields of knowledge covered in the various NCI knowledge bases and ontologies.</w:t>
      </w:r>
    </w:p>
    <w:p>
      <w:pPr>
        <w:pStyle w:val="Normal"/>
        <w:rPr>
          <w:color w:val="auto"/>
        </w:rPr>
      </w:pPr>
      <w:r>
        <w:rPr>
          <w:color w:val="auto"/>
        </w:rPr>
      </w:r>
    </w:p>
    <w:p>
      <w:pPr>
        <w:pStyle w:val="Normal"/>
        <w:rPr/>
      </w:pPr>
      <w:r>
        <w:rPr>
          <w:b/>
          <w:bCs/>
          <w:color w:val="auto"/>
          <w:sz w:val="24"/>
          <w:szCs w:val="24"/>
        </w:rPr>
        <w:t>Information Content Entity.</w:t>
      </w:r>
      <w:r>
        <w:rPr>
          <w:b/>
          <w:bCs/>
          <w:color w:val="auto"/>
        </w:rPr>
        <w:t xml:space="preserve"> </w:t>
      </w:r>
      <w:r>
        <w:rPr>
          <w:i/>
          <w:iCs/>
          <w:color w:val="auto"/>
        </w:rPr>
        <w:t xml:space="preserve">A generically dependent continuant that is about some thing. </w:t>
      </w:r>
      <w:r>
        <w:rPr>
          <w:color w:val="auto"/>
        </w:rPr>
        <w:t>An information content entity refers to the data or information stored within documents, figures, or databases. This is a term is imported from OMO. All following classes are considered Information Content Entities.</w:t>
      </w:r>
    </w:p>
    <w:p>
      <w:pPr>
        <w:pStyle w:val="Normal"/>
        <w:rPr>
          <w:color w:val="auto"/>
        </w:rPr>
      </w:pPr>
      <w:r>
        <w:rPr>
          <w:color w:val="auto"/>
        </w:rPr>
      </w:r>
    </w:p>
    <w:p>
      <w:pPr>
        <w:pStyle w:val="Normal"/>
        <w:rPr>
          <w:color w:val="auto"/>
        </w:rPr>
      </w:pPr>
      <w:r>
        <w:rPr>
          <w:b/>
          <w:bCs/>
          <w:color w:val="auto"/>
          <w:sz w:val="24"/>
          <w:szCs w:val="24"/>
        </w:rPr>
        <w:t>SI-Ontology.</w:t>
      </w:r>
      <w:r>
        <w:rPr>
          <w:b/>
          <w:bCs/>
          <w:i/>
          <w:iCs/>
          <w:color w:val="auto"/>
          <w:sz w:val="28"/>
          <w:szCs w:val="28"/>
        </w:rPr>
        <w:tab/>
      </w:r>
      <w:r>
        <w:rPr>
          <w:i/>
          <w:iCs/>
          <w:color w:val="auto"/>
        </w:rPr>
        <w:t>Metadata that describes the components of an ontology.</w:t>
      </w:r>
    </w:p>
    <w:p>
      <w:pPr>
        <w:pStyle w:val="Normal"/>
        <w:rPr/>
      </w:pPr>
      <w:r>
        <w:rPr>
          <w:b/>
          <w:bCs/>
          <w:color w:val="auto"/>
        </w:rPr>
        <w:tab/>
        <w:t>Ontology.</w:t>
      </w:r>
      <w:r>
        <w:rPr>
          <w:color w:val="auto"/>
        </w:rPr>
        <w:t xml:space="preserve"> </w:t>
      </w:r>
      <w:r>
        <w:rPr>
          <w:i/>
          <w:iCs/>
          <w:color w:val="auto"/>
        </w:rPr>
        <w:t xml:space="preserve">An information content entity that is a knowledge graph which contains a </w:t>
        <w:tab/>
        <w:t xml:space="preserve">central  hierarchy and connected via RDF triplets.  </w:t>
      </w:r>
    </w:p>
    <w:p>
      <w:pPr>
        <w:pStyle w:val="Normal"/>
        <w:rPr>
          <w:i/>
          <w:i/>
          <w:iCs/>
          <w:color w:val="auto"/>
        </w:rPr>
      </w:pPr>
      <w:r>
        <w:rPr>
          <w:i/>
          <w:iCs/>
          <w:color w:val="auto"/>
        </w:rPr>
      </w:r>
    </w:p>
    <w:p>
      <w:pPr>
        <w:pStyle w:val="Normal"/>
        <w:rPr/>
      </w:pPr>
      <w:r>
        <w:rPr>
          <w:b/>
          <w:bCs/>
          <w:color w:val="auto"/>
        </w:rPr>
        <w:tab/>
        <w:t xml:space="preserve">Formality Level. </w:t>
      </w:r>
      <w:r>
        <w:rPr>
          <w:i/>
          <w:iCs/>
          <w:color w:val="auto"/>
        </w:rPr>
        <w:t>The level of formality of an ontology.</w:t>
      </w:r>
      <w:r>
        <w:rPr>
          <w:i w:val="false"/>
          <w:iCs w:val="false"/>
          <w:color w:val="auto"/>
        </w:rPr>
        <w:t xml:space="preserve"> This term is used to describe for differences between informal definitons and more stringently defined meanings.</w:t>
      </w:r>
    </w:p>
    <w:p>
      <w:pPr>
        <w:pStyle w:val="Normal"/>
        <w:rPr>
          <w:i w:val="false"/>
          <w:i w:val="false"/>
          <w:iCs w:val="false"/>
          <w:color w:val="auto"/>
        </w:rPr>
      </w:pPr>
      <w:r>
        <w:rPr>
          <w:i w:val="false"/>
          <w:iCs w:val="false"/>
          <w:color w:val="auto"/>
        </w:rPr>
      </w:r>
    </w:p>
    <w:p>
      <w:pPr>
        <w:pStyle w:val="Normal"/>
        <w:rPr/>
      </w:pPr>
      <w:r>
        <w:rPr>
          <w:b/>
          <w:bCs/>
          <w:color w:val="auto"/>
        </w:rPr>
        <w:tab/>
        <w:t>OntologySyntax.</w:t>
      </w:r>
      <w:r>
        <w:rPr>
          <w:color w:val="auto"/>
        </w:rPr>
        <w:t xml:space="preserve"> </w:t>
      </w:r>
      <w:r>
        <w:rPr>
          <w:i/>
          <w:iCs/>
          <w:color w:val="auto"/>
        </w:rPr>
        <w:t>The format an ontology utilizes in its construction.</w:t>
      </w:r>
      <w:r>
        <w:rPr>
          <w:color w:val="auto"/>
        </w:rPr>
        <w:t xml:space="preserve"> The structure of RDF and OWL are examples of Ontology Syntax.</w:t>
      </w:r>
    </w:p>
    <w:p>
      <w:pPr>
        <w:pStyle w:val="Normal"/>
        <w:rPr>
          <w:color w:val="auto"/>
        </w:rPr>
      </w:pPr>
      <w:r>
        <w:rPr>
          <w:color w:val="auto"/>
        </w:rPr>
      </w:r>
    </w:p>
    <w:p>
      <w:pPr>
        <w:pStyle w:val="Normal"/>
        <w:rPr/>
      </w:pPr>
      <w:r>
        <w:rPr>
          <w:b/>
          <w:bCs/>
          <w:color w:val="auto"/>
        </w:rPr>
        <w:tab/>
        <w:t>Ontology_Component.</w:t>
      </w:r>
      <w:r>
        <w:rPr>
          <w:color w:val="auto"/>
        </w:rPr>
        <w:t xml:space="preserve"> </w:t>
      </w:r>
      <w:r>
        <w:rPr>
          <w:i/>
          <w:iCs/>
          <w:color w:val="auto"/>
        </w:rPr>
        <w:t xml:space="preserve">The entities and relationships that are used in an ontology. </w:t>
      </w:r>
      <w:r>
        <w:rPr>
          <w:color w:val="auto"/>
        </w:rPr>
        <w:t>The three major components of that are defined in an ontology are class, individual, and property.</w:t>
      </w:r>
    </w:p>
    <w:p>
      <w:pPr>
        <w:pStyle w:val="Normal"/>
        <w:rPr>
          <w:color w:val="auto"/>
        </w:rPr>
      </w:pPr>
      <w:r>
        <w:rPr>
          <w:color w:val="auto"/>
        </w:rPr>
      </w:r>
    </w:p>
    <w:p>
      <w:pPr>
        <w:pStyle w:val="Normal"/>
        <w:rPr/>
      </w:pPr>
      <w:r>
        <w:rPr>
          <w:b/>
          <w:bCs/>
          <w:color w:val="auto"/>
        </w:rPr>
        <w:tab/>
        <w:t>OntologyTask.</w:t>
      </w:r>
      <w:r>
        <w:rPr>
          <w:color w:val="auto"/>
        </w:rPr>
        <w:t xml:space="preserve"> </w:t>
      </w:r>
      <w:r>
        <w:rPr>
          <w:i/>
          <w:iCs/>
          <w:color w:val="auto"/>
        </w:rPr>
        <w:t xml:space="preserve">A task that an ontology is intended to utilize. </w:t>
      </w:r>
      <w:r>
        <w:rPr>
          <w:i w:val="false"/>
          <w:iCs w:val="false"/>
          <w:color w:val="auto"/>
        </w:rPr>
        <w:t>This metadata describes the  role that an ontology is intended to participate in.</w:t>
      </w:r>
    </w:p>
    <w:p>
      <w:pPr>
        <w:pStyle w:val="Normal"/>
        <w:rPr>
          <w:b/>
          <w:b/>
          <w:bCs/>
          <w:color w:val="auto"/>
        </w:rPr>
      </w:pPr>
      <w:r>
        <w:rPr>
          <w:b/>
          <w:bCs/>
          <w:color w:val="auto"/>
        </w:rPr>
      </w:r>
    </w:p>
    <w:p>
      <w:pPr>
        <w:pStyle w:val="Normal"/>
        <w:rPr/>
      </w:pPr>
      <w:r>
        <w:rPr>
          <w:b/>
          <w:bCs/>
          <w:color w:val="auto"/>
        </w:rPr>
        <w:tab/>
        <w:t>OntologyType.</w:t>
      </w:r>
      <w:r>
        <w:rPr>
          <w:color w:val="auto"/>
        </w:rPr>
        <w:t xml:space="preserve"> </w:t>
      </w:r>
      <w:r>
        <w:rPr>
          <w:i/>
          <w:iCs/>
          <w:color w:val="auto"/>
        </w:rPr>
        <w:t xml:space="preserve">A descriptor of the type of an ontology. </w:t>
      </w:r>
    </w:p>
    <w:p>
      <w:pPr>
        <w:pStyle w:val="Normal"/>
        <w:rPr>
          <w:i/>
          <w:i/>
          <w:iCs/>
          <w:color w:val="auto"/>
        </w:rPr>
      </w:pPr>
      <w:r>
        <w:rPr>
          <w:i/>
          <w:iCs/>
          <w:color w:val="auto"/>
        </w:rPr>
      </w:r>
    </w:p>
    <w:p>
      <w:pPr>
        <w:pStyle w:val="Normal"/>
        <w:rPr/>
      </w:pPr>
      <w:r>
        <w:rPr>
          <w:b/>
          <w:bCs/>
          <w:i w:val="false"/>
          <w:iCs w:val="false"/>
          <w:color w:val="auto"/>
        </w:rPr>
        <w:tab/>
        <w:t>Ontology Hierarchy.</w:t>
      </w:r>
      <w:r>
        <w:rPr>
          <w:i w:val="false"/>
          <w:iCs w:val="false"/>
          <w:color w:val="auto"/>
        </w:rPr>
        <w:t xml:space="preserve"> </w:t>
      </w:r>
      <w:r>
        <w:rPr>
          <w:i/>
          <w:iCs/>
          <w:color w:val="auto"/>
        </w:rPr>
        <w:t xml:space="preserve">A component of an ontology that is the hierarchical knowledge  graph that stores knowledge in the form of triplets. </w:t>
      </w:r>
      <w:r>
        <w:rPr>
          <w:i w:val="false"/>
          <w:iCs w:val="false"/>
          <w:color w:val="auto"/>
        </w:rPr>
        <w:t xml:space="preserve">Figure 1 contains the Ontology Hierarchy for SSIMO using </w:t>
      </w:r>
      <w:r>
        <w:rPr>
          <w:b w:val="false"/>
          <w:bCs w:val="false"/>
          <w:i w:val="false"/>
          <w:iCs w:val="false"/>
          <w:color w:val="auto"/>
        </w:rPr>
        <w:t xml:space="preserve">Protégé. Other terms can be used instead of ‘is a’ to construct this hiearchy, such as ‘type’.  </w:t>
      </w:r>
    </w:p>
    <w:p>
      <w:pPr>
        <w:pStyle w:val="Normal"/>
        <w:rPr>
          <w:b/>
          <w:b/>
          <w:bCs/>
          <w:color w:val="auto"/>
        </w:rPr>
      </w:pPr>
      <w:r>
        <w:rPr>
          <w:b/>
          <w:bCs/>
          <w:color w:val="auto"/>
        </w:rPr>
      </w:r>
    </w:p>
    <w:p>
      <w:pPr>
        <w:pStyle w:val="Normal"/>
        <w:rPr>
          <w:color w:val="auto"/>
        </w:rPr>
      </w:pPr>
      <w:r>
        <w:rPr>
          <w:b/>
          <w:bCs/>
          <w:color w:val="auto"/>
          <w:sz w:val="28"/>
          <w:szCs w:val="28"/>
        </w:rPr>
        <w:tab/>
      </w:r>
      <w:r>
        <w:rPr>
          <w:b/>
          <w:bCs/>
          <w:color w:val="auto"/>
          <w:sz w:val="24"/>
          <w:szCs w:val="24"/>
        </w:rPr>
        <w:t xml:space="preserve">SI-Resource. </w:t>
      </w:r>
      <w:r>
        <w:rPr>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r>
        <w:rPr>
          <w:b/>
          <w:bCs/>
          <w:color w:val="auto"/>
        </w:rPr>
        <w:t>SI-Resource-Metadata.</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b/>
          <w:bCs/>
          <w:color w:val="auto"/>
        </w:rPr>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pPr>
      <w:r>
        <w:rPr>
          <w:b/>
          <w:bCs/>
          <w:color w:val="auto"/>
        </w:rPr>
        <w:tab/>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pPr>
        <w:pStyle w:val="Normal"/>
        <w:rPr>
          <w:b/>
          <w:b/>
          <w:bCs/>
          <w:color w:val="auto"/>
        </w:rPr>
      </w:pPr>
      <w:r>
        <w:rPr>
          <w:b/>
          <w:bCs/>
          <w:color w:val="auto"/>
        </w:rPr>
      </w:r>
    </w:p>
    <w:p>
      <w:pPr>
        <w:pStyle w:val="Normal"/>
        <w:rPr/>
      </w:pPr>
      <w:r>
        <w:rPr>
          <w:b/>
          <w:bCs/>
          <w:color w:val="auto"/>
        </w:rPr>
        <w:tab/>
        <w:t>Schema.</w:t>
      </w:r>
      <w:r>
        <w:rPr>
          <w:color w:val="auto"/>
        </w:rPr>
        <w:t xml:space="preserve"> </w:t>
      </w:r>
      <w:r>
        <w:rPr>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color w:val="auto"/>
        </w:rPr>
      </w:pPr>
      <w:r>
        <w:rPr>
          <w:color w:val="auto"/>
        </w:rPr>
      </w:r>
    </w:p>
    <w:p>
      <w:pPr>
        <w:pStyle w:val="Normal"/>
        <w:rPr/>
      </w:pPr>
      <w:r>
        <w:rPr>
          <w:color w:val="auto"/>
        </w:rPr>
        <w:tab/>
      </w:r>
      <w:r>
        <w:rPr>
          <w:b/>
          <w:bCs/>
          <w:color w:val="auto"/>
        </w:rPr>
        <w:t xml:space="preserve">Reference. </w:t>
      </w:r>
      <w:r>
        <w:rPr>
          <w:b w:val="false"/>
          <w:bCs w:val="false"/>
          <w:i/>
          <w:iCs/>
          <w:color w:val="auto"/>
        </w:rPr>
        <w:t>The original source of information that is used to justify the creation of an entity.</w:t>
      </w:r>
      <w:r>
        <w:rPr>
          <w:b w:val="false"/>
          <w:bCs w:val="false"/>
          <w:i w:val="false"/>
          <w:iCs w:val="false"/>
          <w:color w:val="auto"/>
        </w:rPr>
        <w:t xml:space="preserve"> This could be to identify either a party that is responsible for information or another knowledge graph or another information content entity that contained this information.</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b w:val="false"/>
          <w:b w:val="false"/>
          <w:bCs w:val="false"/>
          <w:color w:val="auto"/>
        </w:rPr>
      </w:pPr>
      <w:r>
        <w:rPr>
          <w:b/>
          <w:bCs/>
          <w:color w:val="auto"/>
        </w:rPr>
        <w:t>is a.</w:t>
      </w:r>
      <w:r>
        <w:rPr>
          <w:b w:val="false"/>
          <w:bCs w:val="false"/>
          <w:color w:val="auto"/>
        </w:rPr>
        <w:tab/>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b w:val="false"/>
          <w:b w:val="false"/>
          <w:bCs w:val="false"/>
          <w:color w:val="auto"/>
        </w:rPr>
      </w:pPr>
      <w:r>
        <w:rPr>
          <w:b w:val="false"/>
          <w:bCs w:val="false"/>
          <w:color w:val="auto"/>
        </w:rPr>
      </w:r>
    </w:p>
    <w:p>
      <w:pPr>
        <w:pStyle w:val="Normal"/>
        <w:rPr>
          <w:b/>
          <w:b/>
          <w:bCs/>
          <w:color w:val="auto"/>
        </w:rPr>
      </w:pPr>
      <w:r>
        <w:rPr>
          <w:b/>
          <w:bCs/>
          <w:color w:val="auto"/>
        </w:rPr>
        <w:t xml:space="preserve">Is about. </w:t>
      </w:r>
      <w:r>
        <w:rPr>
          <w:b w:val="false"/>
          <w:bCs w:val="false"/>
          <w:i/>
          <w:iCs/>
          <w:color w:val="auto"/>
        </w:rPr>
        <w:t>A (currently) primitive relation that relates an information artifact to an entity.</w:t>
      </w:r>
      <w:r>
        <w:rPr>
          <w:b w:val="false"/>
          <w:bCs w:val="false"/>
          <w:color w:val="auto"/>
        </w:rPr>
        <w:t xml:space="preserve"> </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bCs/>
          <w:color w:val="auto"/>
        </w:rPr>
        <w:t>type.</w:t>
      </w:r>
      <w:r>
        <w:rPr>
          <w:b w:val="false"/>
          <w:bCs w:val="false"/>
          <w:color w:val="auto"/>
        </w:rPr>
        <w:tab/>
        <w:t>A property that is used to link an individual to a class where the individual is contained within the set of the class.</w:t>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pPr>
      <w:r>
        <w:rPr>
          <w:b/>
          <w:bCs/>
          <w:color w:val="auto"/>
        </w:rPr>
        <w:t>has authority</w:t>
      </w:r>
      <w:r>
        <w:rPr>
          <w:color w:val="auto"/>
        </w:rPr>
        <w:t xml:space="preserve">. </w:t>
      </w:r>
      <w:r>
        <w:rPr>
          <w:i/>
          <w:iCs/>
          <w:color w:val="auto"/>
        </w:rPr>
        <w:t>A data property that links a resource or ontology to a party. The party that ‘has authority’ over some information content entity has a role that is realized in approving changes or policy over the second entity.</w:t>
      </w:r>
      <w:r>
        <w:rPr>
          <w:color w:val="auto"/>
        </w:rPr>
        <w:t xml:space="preserve"> </w:t>
      </w:r>
    </w:p>
    <w:p>
      <w:pPr>
        <w:pStyle w:val="Normal"/>
        <w:rPr/>
      </w:pPr>
      <w:r>
        <w:rPr>
          <w:color w:val="auto"/>
        </w:rPr>
        <w:tab/>
      </w:r>
      <w:r>
        <w:rPr>
          <w:b/>
          <w:bCs/>
          <w:color w:val="auto"/>
        </w:rPr>
        <w:t>has conversion authority.</w:t>
      </w:r>
      <w:r>
        <w:rPr>
          <w:color w:val="auto"/>
        </w:rPr>
        <w:t xml:space="preserve">  </w:t>
      </w:r>
      <w:r>
        <w:rPr>
          <w:i/>
          <w:iCs/>
          <w:color w:val="auto"/>
        </w:rPr>
        <w:t>A data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pPr>
        <w:pStyle w:val="Normal"/>
        <w:rPr/>
      </w:pPr>
      <w:r>
        <w:rPr>
          <w:color w:val="auto"/>
        </w:rPr>
        <w:tab/>
      </w:r>
      <w:r>
        <w:rPr>
          <w:b/>
          <w:bCs/>
          <w:color w:val="auto"/>
        </w:rPr>
        <w:t xml:space="preserve">has source authority. </w:t>
      </w:r>
      <w:r>
        <w:rPr>
          <w:i/>
          <w:iCs/>
          <w:color w:val="auto"/>
        </w:rPr>
        <w:t>A data property that links a resource or ontology to a party where the party is a source for some data.</w:t>
      </w:r>
      <w:r>
        <w:rPr>
          <w:color w:val="auto"/>
        </w:rPr>
        <w:t xml:space="preserve"> This is used to identify the party is responsible for the creation and maintenance of the ontology.</w:t>
      </w:r>
    </w:p>
    <w:p>
      <w:pPr>
        <w:pStyle w:val="Normal"/>
        <w:rPr>
          <w:b/>
          <w:b/>
          <w:bCs/>
          <w:color w:val="auto"/>
        </w:rPr>
      </w:pPr>
      <w:r>
        <w:rPr>
          <w:b/>
          <w:bCs/>
          <w:color w:val="auto"/>
        </w:rPr>
      </w:r>
    </w:p>
    <w:p>
      <w:pPr>
        <w:pStyle w:val="Normal"/>
        <w:rPr/>
      </w:pPr>
      <w:r>
        <w:rPr>
          <w:b/>
          <w:bCs/>
          <w:color w:val="auto"/>
        </w:rPr>
        <w:t xml:space="preserve">has contact data. </w:t>
      </w:r>
      <w:r>
        <w:rPr>
          <w:i/>
          <w:iCs/>
          <w:color w:val="auto"/>
        </w:rPr>
        <w:t>A data property that links a party to an information content entity where the information content identity has metadata or data to describe the procedure to contact the party.</w:t>
      </w:r>
      <w:r>
        <w:rPr>
          <w:color w:val="auto"/>
        </w:rPr>
        <w:t xml:space="preserve"> This property should correspond to a string or set of integers, depending on the type of contact data. </w:t>
      </w:r>
    </w:p>
    <w:p>
      <w:pPr>
        <w:pStyle w:val="Normal"/>
        <w:rPr>
          <w:color w:val="auto"/>
        </w:rPr>
      </w:pPr>
      <w:r>
        <w:rPr>
          <w:color w:val="auto"/>
        </w:rPr>
      </w:r>
    </w:p>
    <w:p>
      <w:pPr>
        <w:pStyle w:val="Normal"/>
        <w:rPr/>
      </w:pPr>
      <w:r>
        <w:rPr>
          <w:b/>
          <w:bCs/>
          <w:color w:val="auto"/>
        </w:rPr>
        <w:t>has license.</w:t>
      </w:r>
      <w:r>
        <w:rPr>
          <w:color w:val="auto"/>
        </w:rPr>
        <w:t xml:space="preserve"> </w:t>
      </w:r>
      <w:r>
        <w:rPr>
          <w:i/>
          <w:iCs/>
          <w:color w:val="auto"/>
        </w:rPr>
        <w:t>A data property that is used to link an entity to a license such that the license governs the terms of use permitted for that entity.</w:t>
      </w:r>
      <w:r>
        <w:rPr>
          <w:color w:val="auto"/>
        </w:rPr>
        <w:t xml:space="preserve"> This property is intended to be used to link an SI-Resource to a license name, but could have a different entity for the domain.</w:t>
      </w:r>
    </w:p>
    <w:p>
      <w:pPr>
        <w:pStyle w:val="Normal"/>
        <w:rPr>
          <w:color w:val="auto"/>
        </w:rPr>
      </w:pPr>
      <w:r>
        <w:rPr>
          <w:color w:val="auto"/>
        </w:rPr>
      </w:r>
    </w:p>
    <w:p>
      <w:pPr>
        <w:pStyle w:val="Normal"/>
        <w:rPr/>
      </w:pPr>
      <w:r>
        <w:rPr>
          <w:b/>
          <w:bCs/>
          <w:color w:val="auto"/>
        </w:rPr>
        <w:t>has name space.</w:t>
      </w:r>
      <w:r>
        <w:rPr>
          <w:color w:val="auto"/>
        </w:rPr>
        <w:tab/>
      </w:r>
      <w:r>
        <w:rPr>
          <w:i/>
          <w:iCs/>
          <w:color w:val="auto"/>
        </w:rPr>
        <w:t>A data property that designates the origin of the name space for a class, individual or property.</w:t>
      </w:r>
      <w:r>
        <w:rPr>
          <w:color w:val="auto"/>
        </w:rPr>
        <w:t xml:space="preserve"> </w:t>
      </w:r>
      <w:r>
        <w:rPr>
          <w:i/>
          <w:iCs/>
          <w:color w:val="auto"/>
        </w:rPr>
        <w:t xml:space="preserve"> </w:t>
      </w:r>
      <w:r>
        <w:rPr>
          <w:i w:val="false"/>
          <w:iCs w:val="false"/>
          <w:color w:val="auto"/>
        </w:rPr>
        <w:t>This property is used to account for situations where a class, individual, or property is imported or used in multiple ontologies</w:t>
      </w:r>
      <w:r>
        <w:rPr>
          <w:color w:val="auto"/>
        </w:rPr>
        <w:t>. This object property is intended to be used to guide SPRAQL queries.</w:t>
      </w:r>
    </w:p>
    <w:p>
      <w:pPr>
        <w:pStyle w:val="Normal"/>
        <w:rPr>
          <w:b/>
          <w:b/>
          <w:bCs/>
          <w:color w:val="auto"/>
        </w:rPr>
      </w:pPr>
      <w:r>
        <w:rPr>
          <w:b/>
          <w:bCs/>
          <w:color w:val="auto"/>
        </w:rPr>
      </w:r>
    </w:p>
    <w:p>
      <w:pPr>
        <w:pStyle w:val="Normal"/>
        <w:rPr/>
      </w:pPr>
      <w:r>
        <w:rPr>
          <w:b/>
          <w:bCs/>
          <w:color w:val="auto"/>
        </w:rPr>
        <w:t>has metadata.</w:t>
      </w:r>
      <w:r>
        <w:rPr>
          <w:color w:val="auto"/>
        </w:rPr>
        <w:t xml:space="preserve"> A data property that link an SI resource to metadata.</w:t>
      </w:r>
    </w:p>
    <w:p>
      <w:pPr>
        <w:pStyle w:val="Normal"/>
        <w:rPr/>
      </w:pPr>
      <w:r>
        <w:rPr>
          <w:color w:val="auto"/>
        </w:rPr>
        <w:tab/>
      </w:r>
      <w:r>
        <w:rPr>
          <w:b/>
          <w:bCs/>
          <w:color w:val="auto"/>
        </w:rPr>
        <w:t>has namespace.</w:t>
      </w:r>
      <w:r>
        <w:rPr>
          <w:color w:val="auto"/>
        </w:rPr>
        <w:t xml:space="preserve"> </w:t>
      </w:r>
      <w:r>
        <w:rPr>
          <w:i/>
          <w:iCs/>
          <w:color w:val="auto"/>
        </w:rPr>
        <w:t>A data property that designates the origin of the name space for a class, individual or property.</w:t>
      </w:r>
      <w:r>
        <w:rPr>
          <w:color w:val="auto"/>
        </w:rPr>
        <w:t xml:space="preserve"> The use of this property is either identify the original graph, or of information stored within the schema of a system. T</w:t>
      </w:r>
    </w:p>
    <w:p>
      <w:pPr>
        <w:pStyle w:val="Normal"/>
        <w:rPr/>
      </w:pPr>
      <w:r>
        <w:rPr>
          <w:color w:val="auto"/>
        </w:rPr>
        <w:tab/>
      </w:r>
      <w:r>
        <w:rPr>
          <w:b/>
          <w:bCs/>
          <w:color w:val="auto"/>
        </w:rPr>
        <w:t>has version Date.</w:t>
      </w:r>
      <w:r>
        <w:rPr>
          <w:color w:val="auto"/>
        </w:rPr>
        <w:t xml:space="preserve"> </w:t>
      </w:r>
      <w:r>
        <w:rPr>
          <w:i/>
          <w:iCs/>
          <w:color w:val="auto"/>
        </w:rPr>
        <w:t>A data property that points to the IRI property that identifies the date of version release.</w:t>
      </w:r>
      <w:r>
        <w:rPr>
          <w:color w:val="auto"/>
        </w:rPr>
        <w:t xml:space="preserve"> The object for this relationship should point to the dc:date annotation. This annotation property should be utilized in the API tool but not saved in SSIMO.   </w:t>
      </w:r>
    </w:p>
    <w:p>
      <w:pPr>
        <w:pStyle w:val="Normal"/>
        <w:rPr/>
      </w:pPr>
      <w:r>
        <w:rPr>
          <w:color w:val="auto"/>
        </w:rPr>
        <w:tab/>
      </w:r>
      <w:r>
        <w:rPr>
          <w:b/>
          <w:bCs/>
          <w:color w:val="auto"/>
        </w:rPr>
        <w:t xml:space="preserve">has version Info. </w:t>
      </w:r>
      <w:r>
        <w:rPr>
          <w:i/>
          <w:iCs/>
          <w:color w:val="auto"/>
        </w:rPr>
        <w:t>A data property that points to the IRI property that identifies the instance of version release.</w:t>
      </w:r>
      <w:r>
        <w:rPr>
          <w:color w:val="auto"/>
        </w:rPr>
        <w:t xml:space="preserve"> The object for this relationship should point to the owl:version. This annotation property should be utilized in the API tool to identify a single instance of an SI resource. However, this should not be saved in SSIMO. </w:t>
      </w:r>
    </w:p>
    <w:p>
      <w:pPr>
        <w:pStyle w:val="Normal"/>
        <w:rPr>
          <w:b/>
          <w:b/>
          <w:bCs/>
          <w:color w:val="auto"/>
        </w:rPr>
      </w:pPr>
      <w:r>
        <w:rPr>
          <w:b/>
          <w:bCs/>
          <w:color w:val="auto"/>
        </w:rPr>
      </w:r>
    </w:p>
    <w:p>
      <w:pPr>
        <w:pStyle w:val="Normal"/>
        <w:rPr>
          <w:color w:val="auto"/>
        </w:rPr>
      </w:pPr>
      <w:r>
        <w:rPr>
          <w:b/>
          <w:bCs/>
          <w:color w:val="auto"/>
          <w:sz w:val="32"/>
          <w:szCs w:val="32"/>
        </w:rPr>
        <w:t xml:space="preserve">Applications of NCI SI Metadata Ontology </w:t>
      </w:r>
    </w:p>
    <w:p>
      <w:pPr>
        <w:pStyle w:val="Normal"/>
        <w:rPr>
          <w:color w:val="auto"/>
        </w:rPr>
      </w:pPr>
      <w:r>
        <w:rPr>
          <w:color w:val="auto"/>
        </w:rPr>
      </w:r>
    </w:p>
    <w:p>
      <w:pPr>
        <w:pStyle w:val="Normal"/>
        <w:rPr>
          <w:color w:val="auto"/>
        </w:rPr>
      </w:pPr>
      <w:r>
        <w:rPr>
          <w:b/>
          <w:bCs/>
          <w:color w:val="auto"/>
          <w:sz w:val="28"/>
          <w:szCs w:val="28"/>
        </w:rPr>
        <w:t>Competence Questions.</w:t>
      </w:r>
    </w:p>
    <w:p>
      <w:pPr>
        <w:pStyle w:val="Normal"/>
        <w:rPr>
          <w:color w:val="auto"/>
        </w:rPr>
      </w:pPr>
      <w:r>
        <w:rPr>
          <w:color w:val="auto"/>
        </w:rPr>
      </w:r>
    </w:p>
    <w:p>
      <w:pPr>
        <w:pStyle w:val="Normal"/>
        <w:rPr>
          <w:color w:val="auto"/>
        </w:rPr>
      </w:pPr>
      <w:r>
        <w:rPr>
          <w:color w:val="auto"/>
        </w:rPr>
        <w:t xml:space="preserve">Below is a list of competence questions to be addressed using SSIMO. Currently, each competence question is answered with the procedure used by the API tool to answer the competence question. </w:t>
      </w:r>
    </w:p>
    <w:p>
      <w:pPr>
        <w:pStyle w:val="Normal"/>
        <w:rPr>
          <w:color w:val="auto"/>
        </w:rPr>
      </w:pPr>
      <w:r>
        <w:rPr>
          <w:color w:val="auto"/>
        </w:rPr>
        <w:t>Further use of these questions will be used to guide the use of the API tool:</w:t>
      </w:r>
    </w:p>
    <w:p>
      <w:pPr>
        <w:pStyle w:val="Normal"/>
        <w:numPr>
          <w:ilvl w:val="0"/>
          <w:numId w:val="4"/>
        </w:numPr>
        <w:rPr>
          <w:color w:val="auto"/>
        </w:rPr>
      </w:pPr>
      <w:r>
        <w:rPr>
          <w:color w:val="auto"/>
        </w:rPr>
        <w:t>How do we get all related information about a term?</w:t>
      </w:r>
    </w:p>
    <w:p>
      <w:pPr>
        <w:pStyle w:val="Normal"/>
        <w:numPr>
          <w:ilvl w:val="1"/>
          <w:numId w:val="4"/>
        </w:numPr>
        <w:rPr>
          <w:color w:val="auto"/>
        </w:rPr>
      </w:pPr>
      <w:r>
        <w:rPr>
          <w:color w:val="auto"/>
        </w:rPr>
        <w:t>All related information for a term is found as part of any annotations or axioms that use the term as a subject.</w:t>
      </w:r>
    </w:p>
    <w:p>
      <w:pPr>
        <w:pStyle w:val="Normal"/>
        <w:numPr>
          <w:ilvl w:val="0"/>
          <w:numId w:val="4"/>
        </w:numPr>
        <w:rPr>
          <w:color w:val="auto"/>
        </w:rPr>
      </w:pPr>
      <w:r>
        <w:rPr>
          <w:color w:val="auto"/>
        </w:rPr>
        <w:t>How do we get the list of all terms in the service?</w:t>
      </w:r>
    </w:p>
    <w:p>
      <w:pPr>
        <w:pStyle w:val="Normal"/>
        <w:numPr>
          <w:ilvl w:val="1"/>
          <w:numId w:val="4"/>
        </w:numPr>
        <w:rPr>
          <w:color w:val="auto"/>
        </w:rPr>
      </w:pPr>
      <w:r>
        <w:rPr>
          <w:color w:val="auto"/>
        </w:rPr>
        <w:t>All terms in the service are those that are listed in an RDF triple with ‘have name space’ for any terms in the service.</w:t>
      </w:r>
    </w:p>
    <w:p>
      <w:pPr>
        <w:pStyle w:val="Normal"/>
        <w:numPr>
          <w:ilvl w:val="0"/>
          <w:numId w:val="4"/>
        </w:numPr>
        <w:rPr>
          <w:color w:val="auto"/>
        </w:rPr>
      </w:pPr>
      <w:r>
        <w:rPr>
          <w:color w:val="auto"/>
        </w:rPr>
        <w:t>What resources are found in the service?</w:t>
      </w:r>
    </w:p>
    <w:p>
      <w:pPr>
        <w:pStyle w:val="Normal"/>
        <w:numPr>
          <w:ilvl w:val="1"/>
          <w:numId w:val="4"/>
        </w:numPr>
        <w:rPr>
          <w:color w:val="auto"/>
        </w:rPr>
      </w:pPr>
      <w:r>
        <w:rPr>
          <w:color w:val="auto"/>
        </w:rPr>
        <w:t>All terms found in the service are listed as children of SI-Resources.</w:t>
      </w:r>
    </w:p>
    <w:p>
      <w:pPr>
        <w:pStyle w:val="Normal"/>
        <w:numPr>
          <w:ilvl w:val="0"/>
          <w:numId w:val="4"/>
        </w:numPr>
        <w:rPr>
          <w:color w:val="auto"/>
        </w:rPr>
      </w:pPr>
      <w:r>
        <w:rPr>
          <w:color w:val="auto"/>
        </w:rPr>
        <w:t>What authority created the resource?</w:t>
      </w:r>
    </w:p>
    <w:p>
      <w:pPr>
        <w:pStyle w:val="Normal"/>
        <w:numPr>
          <w:ilvl w:val="1"/>
          <w:numId w:val="4"/>
        </w:numPr>
        <w:rPr>
          <w:color w:val="auto"/>
        </w:rPr>
      </w:pPr>
      <w:r>
        <w:rPr>
          <w:color w:val="auto"/>
        </w:rPr>
        <w:t>All terms that are listed in an RDF triple with the specific resource and ‘has source authority’.</w:t>
      </w:r>
    </w:p>
    <w:p>
      <w:pPr>
        <w:pStyle w:val="Normal"/>
        <w:numPr>
          <w:ilvl w:val="0"/>
          <w:numId w:val="4"/>
        </w:numPr>
        <w:rPr>
          <w:color w:val="auto"/>
        </w:rPr>
      </w:pPr>
      <w:r>
        <w:rPr>
          <w:color w:val="auto"/>
        </w:rPr>
        <w:t>What authority converted the resource to RDF?</w:t>
      </w:r>
    </w:p>
    <w:p>
      <w:pPr>
        <w:pStyle w:val="Normal"/>
        <w:numPr>
          <w:ilvl w:val="1"/>
          <w:numId w:val="4"/>
        </w:numPr>
        <w:rPr>
          <w:color w:val="auto"/>
        </w:rPr>
      </w:pPr>
      <w:r>
        <w:rPr>
          <w:color w:val="auto"/>
        </w:rPr>
        <w:t>All terms that are listed in an RDF triple with the specific resource and ‘has conversion authority’.</w:t>
      </w:r>
    </w:p>
    <w:p>
      <w:pPr>
        <w:pStyle w:val="Normal"/>
        <w:numPr>
          <w:ilvl w:val="0"/>
          <w:numId w:val="4"/>
        </w:numPr>
        <w:rPr>
          <w:color w:val="auto"/>
        </w:rPr>
      </w:pPr>
      <w:r>
        <w:rPr>
          <w:color w:val="auto"/>
        </w:rPr>
        <w:t>What is the version of the resource?</w:t>
      </w:r>
    </w:p>
    <w:p>
      <w:pPr>
        <w:pStyle w:val="Normal"/>
        <w:numPr>
          <w:ilvl w:val="1"/>
          <w:numId w:val="4"/>
        </w:numPr>
        <w:rPr>
          <w:color w:val="auto"/>
        </w:rPr>
      </w:pPr>
      <w:r>
        <w:rPr>
          <w:color w:val="auto"/>
        </w:rPr>
        <w:t>All annotations that are listed in an RDF triple with the specific resource and ‘has version info’.</w:t>
      </w:r>
    </w:p>
    <w:p>
      <w:pPr>
        <w:pStyle w:val="TextBody"/>
        <w:numPr>
          <w:ilvl w:val="0"/>
          <w:numId w:val="4"/>
        </w:numPr>
        <w:rPr>
          <w:color w:val="auto"/>
          <w:highlight w:val="none"/>
          <w:shd w:fill="auto" w:val="clear"/>
        </w:rPr>
      </w:pPr>
      <w:r>
        <w:rPr>
          <w:color w:val="000000"/>
          <w:shd w:fill="auto" w:val="clear"/>
        </w:rPr>
        <w:t>What are the names of the "common" properties (i.e. preferred term, term, textual definition, identifier) used in the "globals" graph?</w:t>
      </w:r>
    </w:p>
    <w:p>
      <w:pPr>
        <w:pStyle w:val="TextBody"/>
        <w:numPr>
          <w:ilvl w:val="1"/>
          <w:numId w:val="4"/>
        </w:numPr>
        <w:rPr>
          <w:color w:val="auto"/>
          <w:highlight w:val="none"/>
          <w:shd w:fill="auto" w:val="clear"/>
        </w:rPr>
      </w:pPr>
      <w:r>
        <w:rPr>
          <w:color w:val="000000"/>
          <w:shd w:fill="auto" w:val="clear"/>
        </w:rPr>
        <w:t>These common properties are listed in Mapping of Si-Resource Annotations (see below).</w:t>
      </w:r>
    </w:p>
    <w:p>
      <w:pPr>
        <w:pStyle w:val="TextBody"/>
        <w:numPr>
          <w:ilvl w:val="0"/>
          <w:numId w:val="4"/>
        </w:numPr>
        <w:rPr>
          <w:color w:val="auto"/>
          <w:highlight w:val="none"/>
          <w:shd w:fill="auto" w:val="clear"/>
        </w:rPr>
      </w:pPr>
      <w:r>
        <w:rPr>
          <w:color w:val="000000"/>
          <w:shd w:fill="auto" w:val="clear"/>
        </w:rPr>
        <w:t>What is the type of the resource?</w:t>
      </w:r>
    </w:p>
    <w:p>
      <w:pPr>
        <w:pStyle w:val="TextBody"/>
        <w:numPr>
          <w:ilvl w:val="1"/>
          <w:numId w:val="4"/>
        </w:numPr>
        <w:rPr>
          <w:color w:val="auto"/>
          <w:highlight w:val="none"/>
          <w:shd w:fill="auto" w:val="clear"/>
        </w:rPr>
      </w:pPr>
      <w:r>
        <w:rPr>
          <w:color w:val="000000"/>
          <w:shd w:fill="auto" w:val="clear"/>
        </w:rPr>
        <w:t>The resource is either a child of si-resource-type. This will be linked by an axiom to the class that represents each resource.</w:t>
      </w:r>
    </w:p>
    <w:p>
      <w:pPr>
        <w:pStyle w:val="TextBody"/>
        <w:numPr>
          <w:ilvl w:val="0"/>
          <w:numId w:val="4"/>
        </w:numPr>
        <w:spacing w:before="0" w:after="0"/>
        <w:rPr>
          <w:color w:val="auto"/>
          <w:highlight w:val="none"/>
          <w:shd w:fill="auto" w:val="clear"/>
        </w:rPr>
      </w:pPr>
      <w:r>
        <w:rPr>
          <w:color w:val="000000"/>
          <w:shd w:fill="auto" w:val="clear"/>
        </w:rPr>
        <w:t>What is the domain of the resource?</w:t>
      </w:r>
    </w:p>
    <w:p>
      <w:pPr>
        <w:pStyle w:val="TextBody"/>
        <w:numPr>
          <w:ilvl w:val="1"/>
          <w:numId w:val="4"/>
        </w:numPr>
        <w:rPr/>
      </w:pPr>
      <w:r>
        <w:rPr>
          <w:color w:val="000000"/>
          <w:shd w:fill="auto" w:val="clear"/>
        </w:rPr>
        <w:t>The domain is a child of Ontology domain.  This will be linked by an axiom to the class that represents each resource.</w:t>
      </w:r>
    </w:p>
    <w:p>
      <w:pPr>
        <w:pStyle w:val="Normal"/>
        <w:numPr>
          <w:ilvl w:val="0"/>
          <w:numId w:val="0"/>
        </w:numPr>
        <w:ind w:left="1440" w:hanging="0"/>
        <w:rPr>
          <w:b w:val="false"/>
          <w:b w:val="false"/>
          <w:bCs w:val="false"/>
          <w:color w:val="auto"/>
          <w:sz w:val="28"/>
          <w:szCs w:val="28"/>
        </w:rPr>
      </w:pPr>
      <w:r>
        <w:rPr>
          <w:b w:val="false"/>
          <w:bCs w:val="false"/>
          <w:color w:val="auto"/>
          <w:sz w:val="28"/>
          <w:szCs w:val="28"/>
        </w:rPr>
      </w:r>
    </w:p>
    <w:p>
      <w:pPr>
        <w:pStyle w:val="Normal"/>
        <w:rPr>
          <w:b/>
          <w:b/>
          <w:bCs/>
          <w:sz w:val="28"/>
          <w:szCs w:val="28"/>
        </w:rPr>
      </w:pPr>
      <w:r>
        <w:rPr>
          <w:b/>
          <w:bCs/>
          <w:color w:val="auto"/>
          <w:sz w:val="28"/>
          <w:szCs w:val="28"/>
        </w:rPr>
        <w:t>Mapping of SI-Resource Annotations.</w:t>
      </w:r>
    </w:p>
    <w:p>
      <w:pPr>
        <w:pStyle w:val="Normal"/>
        <w:rPr>
          <w:color w:val="auto"/>
        </w:rPr>
      </w:pPr>
      <w:r>
        <w:rPr>
          <w:color w:val="auto"/>
        </w:rPr>
        <w:tab/>
        <w:t>As part of the process for creating new terms, we went through  NCIT resources to map annotations or relationships from each NCIT resource to the appropriate SSIMO terms. It is common for many SI-resources to have multiple terms that map to a single SSIMO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color w:val="auto"/>
        </w:rPr>
      </w:pPr>
      <w:r>
        <w:rPr>
          <w:color w:val="auto"/>
        </w:rPr>
      </w:r>
    </w:p>
    <w:p>
      <w:pPr>
        <w:pStyle w:val="Normal"/>
        <w:rPr>
          <w:color w:val="auto"/>
        </w:rPr>
      </w:pPr>
      <w:r>
        <w:rPr>
          <w:b/>
          <w:bCs/>
          <w:color w:val="auto"/>
        </w:rPr>
        <w:t>Identifier (SSIMO):</w:t>
      </w:r>
      <w:r>
        <w:rPr>
          <w:color w:val="auto"/>
        </w:rPr>
        <w:t xml:space="preserve"> Loinc name (LOINC), IRI (GO), Concept ID (SNOMED), Radlex ID (Radlex), ID (ndrft), MeDRA code (MeDRA), CTCAE Term (CTCAE) UAN, UCN, UE, USN, NA  (NCITMetathesaurus).</w:t>
      </w:r>
    </w:p>
    <w:p>
      <w:pPr>
        <w:pStyle w:val="Normal"/>
        <w:rPr>
          <w:color w:val="auto"/>
        </w:rPr>
      </w:pPr>
      <w:r>
        <w:rPr>
          <w:b/>
          <w:bCs/>
          <w:color w:val="auto"/>
        </w:rPr>
        <w:t>Preferred Name (SSIMO):</w:t>
      </w:r>
      <w:r>
        <w:rPr>
          <w:color w:val="auto"/>
        </w:rPr>
        <w:t xml:space="preserve"> Full specified name (SNOMED), </w:t>
      </w:r>
      <w:r>
        <w:rPr>
          <w:color w:val="auto"/>
        </w:rPr>
        <w:t>prefLabel</w:t>
      </w:r>
      <w:r>
        <w:rPr>
          <w:color w:val="auto"/>
        </w:rPr>
        <w:t xml:space="preserve"> (</w:t>
      </w:r>
      <w:r>
        <w:rPr>
          <w:color w:val="auto"/>
        </w:rPr>
        <w:t>ndrft</w:t>
      </w:r>
      <w:r>
        <w:rPr>
          <w:color w:val="auto"/>
        </w:rPr>
        <w:t>), Preferred Name (Radlex), DN, MTH_PT, MTH_GP, (NCITMetathesaurus).</w:t>
      </w:r>
    </w:p>
    <w:p>
      <w:pPr>
        <w:pStyle w:val="Normal"/>
        <w:rPr>
          <w:color w:val="auto"/>
        </w:rPr>
      </w:pPr>
      <w:r>
        <w:rPr>
          <w:b/>
          <w:bCs/>
          <w:color w:val="auto"/>
        </w:rPr>
        <w:t>Definition (SSIMO):</w:t>
      </w:r>
      <w:r>
        <w:rPr>
          <w:color w:val="auto"/>
        </w:rPr>
        <w:t xml:space="preserve"> Loinc Name (Loinc), Definition (GO), Defining Relationship(SNOMED), Definition (Radlex),  Definition (CTCAE), DE (NCITMetathesaurus).</w:t>
      </w:r>
    </w:p>
    <w:p>
      <w:pPr>
        <w:pStyle w:val="Normal"/>
        <w:rPr>
          <w:color w:val="auto"/>
        </w:rPr>
      </w:pPr>
      <w:r>
        <w:rPr>
          <w:b/>
          <w:bCs/>
          <w:color w:val="auto"/>
        </w:rPr>
        <w:t xml:space="preserve">Synonym (SSIMO): </w:t>
      </w:r>
      <w:r>
        <w:rPr>
          <w:color w:val="auto"/>
        </w:rPr>
        <w:t>short name, long common name, FSN name (LOINC), has_exact_synonym (GO), synonyms (SNOMED), EQ, ES, ETAL, Synonyms, MTH_SYN (NCITMetathesaurus).</w:t>
      </w:r>
    </w:p>
    <w:p>
      <w:pPr>
        <w:pStyle w:val="Normal"/>
        <w:rPr>
          <w:color w:val="auto"/>
        </w:rPr>
      </w:pPr>
      <w:r>
        <w:rPr>
          <w:b/>
          <w:bCs/>
          <w:color w:val="auto"/>
        </w:rPr>
        <w:t>Reference (SSIMO):</w:t>
      </w:r>
      <w:r>
        <w:rPr>
          <w:color w:val="auto"/>
        </w:rPr>
        <w:t xml:space="preserve"> code source (LOINC), Definition (GO), Definition Source (NCITMetathesaurus).</w:t>
      </w:r>
    </w:p>
    <w:p>
      <w:pPr>
        <w:pStyle w:val="Normal"/>
        <w:rPr>
          <w:color w:val="auto"/>
        </w:rPr>
      </w:pPr>
      <w:r>
        <w:rPr>
          <w:b/>
          <w:bCs/>
          <w:color w:val="auto"/>
        </w:rPr>
        <w:t xml:space="preserve">Ontology Domain (SSIMO): </w:t>
      </w:r>
      <w:r>
        <w:rPr>
          <w:color w:val="auto"/>
        </w:rPr>
        <w:t>Loinc name (SSIMO), has_obo_namespace (GO), MeDRA code AND MeDRA level (MeDRA), CDO (NCITMetathesaurus).</w:t>
      </w:r>
    </w:p>
    <w:p>
      <w:pPr>
        <w:pStyle w:val="Normal"/>
        <w:rPr>
          <w:color w:val="auto"/>
        </w:rPr>
      </w:pPr>
      <w:r>
        <w:rPr>
          <w:color w:val="auto"/>
        </w:rPr>
      </w:r>
    </w:p>
    <w:p>
      <w:pPr>
        <w:pStyle w:val="Normal"/>
        <w:rPr>
          <w:b/>
          <w:b/>
          <w:bCs/>
          <w:color w:val="auto"/>
          <w:sz w:val="28"/>
          <w:szCs w:val="28"/>
        </w:rPr>
      </w:pPr>
      <w:r>
        <w:rPr>
          <w:b/>
          <w:bCs/>
          <w:color w:val="auto"/>
          <w:sz w:val="28"/>
          <w:szCs w:val="28"/>
        </w:rPr>
        <w:t>Mapping of Features within the Shared SI Service Query</w:t>
      </w:r>
    </w:p>
    <w:p>
      <w:pPr>
        <w:pStyle w:val="Normal"/>
        <w:rPr>
          <w:color w:val="auto"/>
        </w:rPr>
      </w:pPr>
      <w:r>
        <w:rPr>
          <w:color w:val="auto"/>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SSIMO.</w:t>
      </w:r>
    </w:p>
    <w:p>
      <w:pPr>
        <w:pStyle w:val="Normal"/>
        <w:rPr>
          <w:color w:val="auto"/>
          <w:highlight w:val="none"/>
          <w:shd w:fill="auto" w:val="clear"/>
        </w:rPr>
      </w:pPr>
      <w:r>
        <w:rPr>
          <w:color w:val="000000"/>
          <w:shd w:fill="auto" w:val="clear"/>
        </w:rPr>
      </w:r>
    </w:p>
    <w:p>
      <w:pPr>
        <w:pStyle w:val="Normal"/>
        <w:rPr>
          <w:b/>
          <w:b/>
          <w:bCs/>
          <w:color w:val="auto"/>
          <w:highlight w:val="none"/>
          <w:shd w:fill="auto" w:val="clear"/>
        </w:rPr>
      </w:pPr>
      <w:r>
        <w:rPr>
          <w:b/>
          <w:bCs/>
          <w:color w:val="000000"/>
          <w:shd w:fill="auto" w:val="clear"/>
        </w:rPr>
        <w:t>Table 1. Common Prefixes Declared Within Shared SI Service.</w:t>
      </w:r>
    </w:p>
    <w:p>
      <w:pPr>
        <w:pStyle w:val="Normal"/>
        <w:rPr>
          <w:color w:val="auto"/>
          <w:highlight w:val="none"/>
          <w:shd w:fill="auto" w:val="clear"/>
        </w:rPr>
      </w:pPr>
      <w:r>
        <w:rPr>
          <w:color w:val="000000"/>
          <w:shd w:fill="auto" w:val="clear"/>
        </w:rPr>
      </w:r>
    </w:p>
    <w:tbl>
      <w:tblPr>
        <w:tblW w:w="9550" w:type="dxa"/>
        <w:jc w:val="left"/>
        <w:tblInd w:w="382" w:type="dxa"/>
        <w:tblLayout w:type="fixed"/>
        <w:tblCellMar>
          <w:top w:w="28" w:type="dxa"/>
          <w:left w:w="28" w:type="dxa"/>
          <w:bottom w:w="28" w:type="dxa"/>
          <w:right w:w="28" w:type="dxa"/>
        </w:tblCellMar>
      </w:tblPr>
      <w:tblGrid>
        <w:gridCol w:w="995"/>
        <w:gridCol w:w="8554"/>
      </w:tblGrid>
      <w:tr>
        <w:trPr/>
        <w:tc>
          <w:tcPr>
            <w:tcW w:w="995" w:type="dxa"/>
            <w:tcBorders/>
            <w:vAlign w:val="center"/>
          </w:tcPr>
          <w:p>
            <w:pPr>
              <w:pStyle w:val="TableContents"/>
              <w:widowControl w:val="false"/>
              <w:jc w:val="center"/>
              <w:rPr>
                <w:b/>
                <w:b/>
                <w:bCs/>
                <w:color w:val="auto"/>
                <w:highlight w:val="none"/>
                <w:shd w:fill="auto" w:val="clear"/>
              </w:rPr>
            </w:pPr>
            <w:r>
              <w:rPr>
                <w:b/>
                <w:bCs/>
                <w:color w:val="000000"/>
                <w:shd w:fill="auto" w:val="clear"/>
              </w:rPr>
              <w:t>Prefix</w:t>
            </w:r>
          </w:p>
        </w:tc>
        <w:tc>
          <w:tcPr>
            <w:tcW w:w="8554" w:type="dxa"/>
            <w:tcBorders/>
            <w:vAlign w:val="center"/>
          </w:tcPr>
          <w:p>
            <w:pPr>
              <w:pStyle w:val="TableContents"/>
              <w:widowControl w:val="false"/>
              <w:jc w:val="center"/>
              <w:rPr>
                <w:b/>
                <w:b/>
                <w:bCs/>
                <w:color w:val="auto"/>
                <w:highlight w:val="none"/>
                <w:shd w:fill="auto" w:val="clear"/>
              </w:rPr>
            </w:pPr>
            <w:r>
              <w:rPr>
                <w:b/>
                <w:bCs/>
                <w:color w:val="000000"/>
                <w:shd w:fill="auto" w:val="clear"/>
              </w:rPr>
              <w:t>IRI</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dc</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http://purl.org/dc/elements/1.1/</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owl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http://www.w3.org/2002/07/owl#</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http://www.w3.org/1999/02/22-rdf-syntax-ns#</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http://www.w3.org/2000/01/rdf-schema#</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skos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http://www.w3.org/2004/02/skos/core#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void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http://rdfs.org/ns/void#</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xml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http://www.w3.org/XML/1998/namespace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xsd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http://www.w3.org/2001/XMLSchema#</w:t>
            </w:r>
          </w:p>
        </w:tc>
      </w:tr>
    </w:tbl>
    <w:p>
      <w:pPr>
        <w:pStyle w:val="Normal"/>
        <w:rPr>
          <w:color w:val="auto"/>
          <w:highlight w:val="none"/>
          <w:shd w:fill="auto" w:val="clear"/>
        </w:rPr>
      </w:pPr>
      <w:r>
        <w:rPr>
          <w:color w:val="000000"/>
          <w:shd w:fill="auto" w:val="clear"/>
        </w:rPr>
      </w:r>
    </w:p>
    <w:p>
      <w:pPr>
        <w:pStyle w:val="Normal"/>
        <w:rPr>
          <w:color w:val="auto"/>
        </w:rPr>
      </w:pPr>
      <w:r>
        <w:rPr>
          <w:color w:val="auto"/>
        </w:rPr>
        <w:tab/>
        <w:t>The Shared SI Service SPARQL editor list a set of three non-internal graph names: http://cbiit.nci.nih.gov/caDSR, http://ncicb.nci.nih.gov/xml/owl/EVS/Thesarus.owl, and http://ncicb.nci.nih.gov/xml/owl/EVS/Thesarus.rdf. The caDSR list document name last two graphs are variations of each other that primarily differ in which ontology language is used; the Thesaurus.owl utilizes OWL and the Thesarus.rdf utilizes RDF. These graphs together share a common set of prefixes (Table 1).  Additionally, the caDSR graph name contains a set of different namespaces which correspond to the original ontology that each term is located from (Table 2). SSIMO is capable of modeling these relationships through the use of the following data annotations.</w:t>
      </w:r>
    </w:p>
    <w:p>
      <w:pPr>
        <w:pStyle w:val="Normal"/>
        <w:rPr>
          <w:color w:val="auto"/>
          <w:highlight w:val="none"/>
          <w:shd w:fill="auto" w:val="clear"/>
        </w:rPr>
      </w:pPr>
      <w:r>
        <w:rPr>
          <w:color w:val="000000"/>
          <w:shd w:fill="auto" w:val="clear"/>
        </w:rPr>
        <w:tab/>
        <w:t>‘CaDSR’ ‘has namespace’ ‘http://cbiit.nci.nih.gov/caDSR# ’</w:t>
      </w:r>
    </w:p>
    <w:p>
      <w:pPr>
        <w:pStyle w:val="Normal"/>
        <w:rPr>
          <w:color w:val="auto"/>
          <w:highlight w:val="none"/>
          <w:shd w:fill="auto" w:val="clear"/>
        </w:rPr>
      </w:pPr>
      <w:r>
        <w:rPr>
          <w:color w:val="000000"/>
          <w:shd w:fill="auto" w:val="clear"/>
        </w:rPr>
        <w:tab/>
        <w:t>‘</w:t>
      </w:r>
    </w:p>
    <w:p>
      <w:pPr>
        <w:pStyle w:val="Heading4"/>
        <w:rPr/>
      </w:pPr>
      <w:r>
        <w:rPr/>
      </w:r>
      <w:r>
        <w:br w:type="page"/>
      </w:r>
    </w:p>
    <w:p>
      <w:pPr>
        <w:pStyle w:val="Heading4"/>
        <w:rPr>
          <w:color w:val="auto"/>
        </w:rPr>
      </w:pPr>
      <w:bookmarkStart w:id="0" w:name="namespaces_cadsr"/>
      <w:bookmarkEnd w:id="0"/>
      <w:r>
        <w:rPr>
          <w:color w:val="auto"/>
        </w:rPr>
        <w:t>Table 2. Namespaces referenced in caDSR RDF.</w:t>
      </w:r>
    </w:p>
    <w:tbl>
      <w:tblPr>
        <w:tblW w:w="10008" w:type="dxa"/>
        <w:jc w:val="left"/>
        <w:tblInd w:w="-13" w:type="dxa"/>
        <w:tblLayout w:type="fixed"/>
        <w:tblCellMar>
          <w:top w:w="28" w:type="dxa"/>
          <w:left w:w="28" w:type="dxa"/>
          <w:bottom w:w="28" w:type="dxa"/>
          <w:right w:w="28" w:type="dxa"/>
        </w:tblCellMar>
      </w:tblPr>
      <w:tblGrid>
        <w:gridCol w:w="4247"/>
        <w:gridCol w:w="5760"/>
      </w:tblGrid>
      <w:tr>
        <w:trPr/>
        <w:tc>
          <w:tcPr>
            <w:tcW w:w="4247" w:type="dxa"/>
            <w:tcBorders/>
            <w:vAlign w:val="center"/>
          </w:tcPr>
          <w:p>
            <w:pPr>
              <w:pStyle w:val="TableHeading"/>
              <w:widowControl w:val="false"/>
              <w:rPr>
                <w:color w:val="auto"/>
              </w:rPr>
            </w:pPr>
            <w:r>
              <w:rPr>
                <w:color w:val="auto"/>
              </w:rPr>
              <w:t>Description</w:t>
            </w:r>
          </w:p>
        </w:tc>
        <w:tc>
          <w:tcPr>
            <w:tcW w:w="5760" w:type="dxa"/>
            <w:tcBorders/>
            <w:vAlign w:val="center"/>
          </w:tcPr>
          <w:p>
            <w:pPr>
              <w:pStyle w:val="TableHeading"/>
              <w:widowControl w:val="false"/>
              <w:rPr>
                <w:color w:val="auto"/>
              </w:rPr>
            </w:pPr>
            <w:r>
              <w:rPr>
                <w:color w:val="auto"/>
              </w:rPr>
              <w:t>IRI</w:t>
            </w:r>
          </w:p>
        </w:tc>
      </w:tr>
      <w:tr>
        <w:trPr/>
        <w:tc>
          <w:tcPr>
            <w:tcW w:w="4247" w:type="dxa"/>
            <w:tcBorders/>
            <w:vAlign w:val="center"/>
          </w:tcPr>
          <w:p>
            <w:pPr>
              <w:pStyle w:val="TableContents"/>
              <w:widowControl w:val="false"/>
              <w:rPr>
                <w:color w:val="auto"/>
              </w:rPr>
            </w:pPr>
            <w:r>
              <w:rPr>
                <w:color w:val="auto"/>
              </w:rPr>
              <w:t>caDSR</w:t>
            </w:r>
          </w:p>
        </w:tc>
        <w:tc>
          <w:tcPr>
            <w:tcW w:w="5760" w:type="dxa"/>
            <w:tcBorders/>
            <w:vAlign w:val="center"/>
          </w:tcPr>
          <w:p>
            <w:pPr>
              <w:pStyle w:val="TableContents"/>
              <w:widowControl w:val="false"/>
              <w:rPr>
                <w:color w:val="auto"/>
              </w:rPr>
            </w:pPr>
            <w:r>
              <w:rPr>
                <w:color w:val="auto"/>
              </w:rPr>
              <w:t>http://cbiit.nci.nih.gov/caDSR#</w:t>
            </w:r>
          </w:p>
        </w:tc>
      </w:tr>
      <w:tr>
        <w:trPr/>
        <w:tc>
          <w:tcPr>
            <w:tcW w:w="4247" w:type="dxa"/>
            <w:tcBorders/>
            <w:vAlign w:val="center"/>
          </w:tcPr>
          <w:p>
            <w:pPr>
              <w:pStyle w:val="TableContents"/>
              <w:widowControl w:val="false"/>
              <w:rPr>
                <w:color w:val="auto"/>
              </w:rPr>
            </w:pPr>
            <w:r>
              <w:rPr>
                <w:color w:val="auto"/>
              </w:rPr>
              <w:t>ISO 11179</w:t>
            </w:r>
          </w:p>
        </w:tc>
        <w:tc>
          <w:tcPr>
            <w:tcW w:w="5760" w:type="dxa"/>
            <w:tcBorders/>
            <w:vAlign w:val="center"/>
          </w:tcPr>
          <w:p>
            <w:pPr>
              <w:pStyle w:val="TableContents"/>
              <w:widowControl w:val="false"/>
              <w:rPr>
                <w:color w:val="auto"/>
              </w:rPr>
            </w:pPr>
            <w:r>
              <w:rPr>
                <w:color w:val="auto"/>
              </w:rPr>
              <w:t>http://www.iso.org/11179/MDR#</w:t>
            </w:r>
          </w:p>
        </w:tc>
      </w:tr>
      <w:tr>
        <w:trPr/>
        <w:tc>
          <w:tcPr>
            <w:tcW w:w="4247" w:type="dxa"/>
            <w:tcBorders/>
            <w:vAlign w:val="center"/>
          </w:tcPr>
          <w:p>
            <w:pPr>
              <w:pStyle w:val="TableContents"/>
              <w:widowControl w:val="false"/>
              <w:rPr>
                <w:color w:val="auto"/>
              </w:rPr>
            </w:pPr>
            <w:r>
              <w:rPr>
                <w:color w:val="auto"/>
              </w:rPr>
              <w:t>MADS/RDF</w:t>
            </w:r>
          </w:p>
        </w:tc>
        <w:tc>
          <w:tcPr>
            <w:tcW w:w="5760" w:type="dxa"/>
            <w:tcBorders/>
            <w:vAlign w:val="center"/>
          </w:tcPr>
          <w:p>
            <w:pPr>
              <w:pStyle w:val="TableContents"/>
              <w:widowControl w:val="false"/>
              <w:rPr>
                <w:color w:val="auto"/>
              </w:rPr>
            </w:pPr>
            <w:r>
              <w:rPr>
                <w:color w:val="auto"/>
              </w:rPr>
              <w:t>http://www.loc.gov/mads/rdf/v1#</w:t>
            </w:r>
          </w:p>
        </w:tc>
      </w:tr>
      <w:tr>
        <w:trPr/>
        <w:tc>
          <w:tcPr>
            <w:tcW w:w="4247" w:type="dxa"/>
            <w:tcBorders/>
            <w:vAlign w:val="center"/>
          </w:tcPr>
          <w:p>
            <w:pPr>
              <w:pStyle w:val="TableContents"/>
              <w:widowControl w:val="false"/>
              <w:rPr>
                <w:color w:val="auto"/>
              </w:rPr>
            </w:pPr>
            <w:r>
              <w:rPr>
                <w:color w:val="auto"/>
              </w:rPr>
              <w:t>NCI Thesaurus</w:t>
            </w:r>
          </w:p>
        </w:tc>
        <w:tc>
          <w:tcPr>
            <w:tcW w:w="5760" w:type="dxa"/>
            <w:tcBorders/>
            <w:vAlign w:val="center"/>
          </w:tcPr>
          <w:p>
            <w:pPr>
              <w:pStyle w:val="TableContents"/>
              <w:widowControl w:val="false"/>
              <w:rPr>
                <w:color w:val="auto"/>
              </w:rPr>
            </w:pPr>
            <w:r>
              <w:rPr>
                <w:color w:val="auto"/>
              </w:rPr>
              <w:t>http://ncicb.nci.nih.gov/xml/owl/EVS/Thesaurus.owl#</w:t>
            </w:r>
          </w:p>
        </w:tc>
      </w:tr>
      <w:tr>
        <w:trPr/>
        <w:tc>
          <w:tcPr>
            <w:tcW w:w="4247" w:type="dxa"/>
            <w:tcBorders/>
            <w:vAlign w:val="center"/>
          </w:tcPr>
          <w:p>
            <w:pPr>
              <w:pStyle w:val="TableContents"/>
              <w:widowControl w:val="false"/>
              <w:rPr>
                <w:color w:val="auto"/>
              </w:rPr>
            </w:pPr>
            <w:r>
              <w:rPr>
                <w:color w:val="auto"/>
              </w:rPr>
              <w:t xml:space="preserve">NCI Metathesaurus </w:t>
            </w:r>
          </w:p>
        </w:tc>
        <w:tc>
          <w:tcPr>
            <w:tcW w:w="5760" w:type="dxa"/>
            <w:tcBorders/>
            <w:vAlign w:val="center"/>
          </w:tcPr>
          <w:p>
            <w:pPr>
              <w:pStyle w:val="TableContents"/>
              <w:widowControl w:val="false"/>
              <w:rPr>
                <w:color w:val="auto"/>
              </w:rPr>
            </w:pPr>
            <w:r>
              <w:rPr>
                <w:color w:val="auto"/>
              </w:rPr>
              <w:t>http://ncim.nci.nih.gov/NCIMetathesaurus.owl#</w:t>
            </w:r>
          </w:p>
        </w:tc>
      </w:tr>
      <w:tr>
        <w:trPr/>
        <w:tc>
          <w:tcPr>
            <w:tcW w:w="4247" w:type="dxa"/>
            <w:tcBorders/>
            <w:vAlign w:val="center"/>
          </w:tcPr>
          <w:p>
            <w:pPr>
              <w:pStyle w:val="TableContents"/>
              <w:widowControl w:val="false"/>
              <w:rPr>
                <w:color w:val="auto"/>
              </w:rPr>
            </w:pPr>
            <w:r>
              <w:rPr>
                <w:color w:val="auto"/>
              </w:rPr>
              <w:t>MGED Ontology</w:t>
            </w:r>
          </w:p>
        </w:tc>
        <w:tc>
          <w:tcPr>
            <w:tcW w:w="5760" w:type="dxa"/>
            <w:tcBorders/>
            <w:vAlign w:val="center"/>
          </w:tcPr>
          <w:p>
            <w:pPr>
              <w:pStyle w:val="TableContents"/>
              <w:widowControl w:val="false"/>
              <w:rPr>
                <w:color w:val="auto"/>
              </w:rPr>
            </w:pPr>
            <w:r>
              <w:rPr>
                <w:color w:val="auto"/>
              </w:rPr>
              <w:t>http://mged.org/MGEDOntology#</w:t>
            </w:r>
          </w:p>
        </w:tc>
      </w:tr>
      <w:tr>
        <w:trPr/>
        <w:tc>
          <w:tcPr>
            <w:tcW w:w="4247" w:type="dxa"/>
            <w:tcBorders/>
            <w:vAlign w:val="center"/>
          </w:tcPr>
          <w:p>
            <w:pPr>
              <w:pStyle w:val="TableContents"/>
              <w:widowControl w:val="false"/>
              <w:rPr>
                <w:color w:val="auto"/>
              </w:rPr>
            </w:pPr>
            <w:r>
              <w:rPr>
                <w:color w:val="auto"/>
              </w:rPr>
              <w:t xml:space="preserve">NDF-RT </w:t>
            </w:r>
          </w:p>
        </w:tc>
        <w:tc>
          <w:tcPr>
            <w:tcW w:w="5760" w:type="dxa"/>
            <w:tcBorders/>
            <w:vAlign w:val="center"/>
          </w:tcPr>
          <w:p>
            <w:pPr>
              <w:pStyle w:val="TableContents"/>
              <w:widowControl w:val="false"/>
              <w:rPr>
                <w:color w:val="auto"/>
              </w:rPr>
            </w:pPr>
            <w:r>
              <w:rPr>
                <w:color w:val="auto"/>
              </w:rPr>
              <w:t>http://evs.nci.nih.gov/ftp1/NDF-RT/NDF-RT.owl#</w:t>
            </w:r>
          </w:p>
        </w:tc>
      </w:tr>
      <w:tr>
        <w:trPr/>
        <w:tc>
          <w:tcPr>
            <w:tcW w:w="4247" w:type="dxa"/>
            <w:tcBorders/>
            <w:vAlign w:val="center"/>
          </w:tcPr>
          <w:p>
            <w:pPr>
              <w:pStyle w:val="TableContents"/>
              <w:widowControl w:val="false"/>
              <w:rPr>
                <w:color w:val="auto"/>
              </w:rPr>
            </w:pPr>
            <w:r>
              <w:rPr>
                <w:color w:val="auto"/>
              </w:rPr>
              <w:t>CTCAE v5</w:t>
            </w:r>
          </w:p>
        </w:tc>
        <w:tc>
          <w:tcPr>
            <w:tcW w:w="5760" w:type="dxa"/>
            <w:tcBorders/>
            <w:vAlign w:val="center"/>
          </w:tcPr>
          <w:p>
            <w:pPr>
              <w:pStyle w:val="TableContents"/>
              <w:widowControl w:val="false"/>
              <w:rPr>
                <w:color w:val="auto"/>
              </w:rPr>
            </w:pPr>
            <w:r>
              <w:rPr>
                <w:color w:val="auto"/>
              </w:rPr>
              <w:t>http://ncicb.nci.nih.gov/xml/owl/EVS/ctcae5.owl#</w:t>
            </w:r>
          </w:p>
        </w:tc>
      </w:tr>
      <w:tr>
        <w:trPr/>
        <w:tc>
          <w:tcPr>
            <w:tcW w:w="4247" w:type="dxa"/>
            <w:tcBorders/>
            <w:vAlign w:val="center"/>
          </w:tcPr>
          <w:p>
            <w:pPr>
              <w:pStyle w:val="TableContents"/>
              <w:widowControl w:val="false"/>
              <w:rPr>
                <w:color w:val="auto"/>
              </w:rPr>
            </w:pPr>
            <w:r>
              <w:rPr>
                <w:color w:val="auto"/>
              </w:rPr>
              <w:t>LOINC</w:t>
            </w:r>
          </w:p>
        </w:tc>
        <w:tc>
          <w:tcPr>
            <w:tcW w:w="5760" w:type="dxa"/>
            <w:tcBorders/>
            <w:vAlign w:val="center"/>
          </w:tcPr>
          <w:p>
            <w:pPr>
              <w:pStyle w:val="TableContents"/>
              <w:widowControl w:val="false"/>
              <w:rPr>
                <w:color w:val="auto"/>
              </w:rPr>
            </w:pPr>
            <w:r>
              <w:rPr>
                <w:color w:val="auto"/>
              </w:rPr>
              <w:t>https://loinc.org/code#</w:t>
            </w:r>
          </w:p>
        </w:tc>
      </w:tr>
      <w:tr>
        <w:trPr/>
        <w:tc>
          <w:tcPr>
            <w:tcW w:w="4247" w:type="dxa"/>
            <w:tcBorders/>
            <w:vAlign w:val="center"/>
          </w:tcPr>
          <w:p>
            <w:pPr>
              <w:pStyle w:val="TableContents"/>
              <w:widowControl w:val="false"/>
              <w:rPr>
                <w:color w:val="auto"/>
              </w:rPr>
            </w:pPr>
            <w:r>
              <w:rPr>
                <w:color w:val="auto"/>
              </w:rPr>
              <w:t>SNOMED</w:t>
            </w:r>
          </w:p>
        </w:tc>
        <w:tc>
          <w:tcPr>
            <w:tcW w:w="5760" w:type="dxa"/>
            <w:tcBorders/>
            <w:vAlign w:val="center"/>
          </w:tcPr>
          <w:p>
            <w:pPr>
              <w:pStyle w:val="TableContents"/>
              <w:widowControl w:val="false"/>
              <w:rPr>
                <w:color w:val="auto"/>
              </w:rPr>
            </w:pPr>
            <w:r>
              <w:rPr>
                <w:color w:val="auto"/>
              </w:rPr>
              <w:t>http://snomed.info/id#</w:t>
            </w:r>
          </w:p>
        </w:tc>
      </w:tr>
      <w:tr>
        <w:trPr/>
        <w:tc>
          <w:tcPr>
            <w:tcW w:w="4247" w:type="dxa"/>
            <w:tcBorders/>
            <w:vAlign w:val="center"/>
          </w:tcPr>
          <w:p>
            <w:pPr>
              <w:pStyle w:val="TableContents"/>
              <w:widowControl w:val="false"/>
              <w:rPr>
                <w:color w:val="auto"/>
              </w:rPr>
            </w:pPr>
            <w:r>
              <w:rPr>
                <w:color w:val="auto"/>
              </w:rPr>
              <w:t>RadLex</w:t>
            </w:r>
          </w:p>
        </w:tc>
        <w:tc>
          <w:tcPr>
            <w:tcW w:w="5760" w:type="dxa"/>
            <w:tcBorders/>
            <w:vAlign w:val="center"/>
          </w:tcPr>
          <w:p>
            <w:pPr>
              <w:pStyle w:val="TableContents"/>
              <w:widowControl w:val="false"/>
              <w:rPr>
                <w:color w:val="auto"/>
              </w:rPr>
            </w:pPr>
            <w:r>
              <w:rPr>
                <w:color w:val="auto"/>
              </w:rPr>
              <w:t>http://radlex.org/RID/</w:t>
            </w:r>
          </w:p>
        </w:tc>
      </w:tr>
      <w:tr>
        <w:trPr/>
        <w:tc>
          <w:tcPr>
            <w:tcW w:w="4247" w:type="dxa"/>
            <w:tcBorders/>
            <w:vAlign w:val="center"/>
          </w:tcPr>
          <w:p>
            <w:pPr>
              <w:pStyle w:val="TableContents"/>
              <w:widowControl w:val="false"/>
              <w:rPr>
                <w:color w:val="auto"/>
              </w:rPr>
            </w:pPr>
            <w:r>
              <w:rPr>
                <w:color w:val="auto"/>
              </w:rPr>
              <w:t>caBIG</w:t>
            </w:r>
          </w:p>
        </w:tc>
        <w:tc>
          <w:tcPr>
            <w:tcW w:w="5760" w:type="dxa"/>
            <w:tcBorders/>
            <w:vAlign w:val="center"/>
          </w:tcPr>
          <w:p>
            <w:pPr>
              <w:pStyle w:val="TableContents"/>
              <w:widowControl w:val="false"/>
              <w:rPr>
                <w:color w:val="auto"/>
              </w:rPr>
            </w:pPr>
            <w:r>
              <w:rPr>
                <w:color w:val="auto"/>
              </w:rPr>
              <w:t>http://ncicb.nci.nih.gov/cabig#</w:t>
            </w:r>
          </w:p>
        </w:tc>
      </w:tr>
      <w:tr>
        <w:trPr/>
        <w:tc>
          <w:tcPr>
            <w:tcW w:w="4247" w:type="dxa"/>
            <w:tcBorders/>
            <w:vAlign w:val="center"/>
          </w:tcPr>
          <w:p>
            <w:pPr>
              <w:pStyle w:val="TableContents"/>
              <w:widowControl w:val="false"/>
              <w:rPr>
                <w:color w:val="auto"/>
              </w:rPr>
            </w:pPr>
            <w:r>
              <w:rPr>
                <w:color w:val="auto"/>
              </w:rPr>
              <w:t>MedDRA</w:t>
            </w:r>
          </w:p>
        </w:tc>
        <w:tc>
          <w:tcPr>
            <w:tcW w:w="5760" w:type="dxa"/>
            <w:tcBorders/>
            <w:vAlign w:val="center"/>
          </w:tcPr>
          <w:p>
            <w:pPr>
              <w:pStyle w:val="TableContents"/>
              <w:widowControl w:val="false"/>
              <w:rPr>
                <w:color w:val="auto"/>
              </w:rPr>
            </w:pPr>
            <w:r>
              <w:rPr>
                <w:color w:val="auto"/>
              </w:rPr>
              <w:t>https://identifiers.org/meddra#</w:t>
            </w:r>
          </w:p>
        </w:tc>
      </w:tr>
      <w:tr>
        <w:trPr/>
        <w:tc>
          <w:tcPr>
            <w:tcW w:w="4247" w:type="dxa"/>
            <w:tcBorders/>
            <w:vAlign w:val="center"/>
          </w:tcPr>
          <w:p>
            <w:pPr>
              <w:pStyle w:val="TableContents"/>
              <w:widowControl w:val="false"/>
              <w:rPr>
                <w:color w:val="auto"/>
              </w:rPr>
            </w:pPr>
            <w:r>
              <w:rPr>
                <w:color w:val="auto"/>
              </w:rPr>
              <w:t>Gene Ontology</w:t>
            </w:r>
          </w:p>
        </w:tc>
        <w:tc>
          <w:tcPr>
            <w:tcW w:w="5760" w:type="dxa"/>
            <w:tcBorders/>
            <w:vAlign w:val="center"/>
          </w:tcPr>
          <w:p>
            <w:pPr>
              <w:pStyle w:val="TableContents"/>
              <w:widowControl w:val="false"/>
              <w:rPr>
                <w:color w:val="auto"/>
              </w:rPr>
            </w:pPr>
            <w:r>
              <w:rPr>
                <w:color w:val="auto"/>
              </w:rPr>
              <w:t>http://purl.org/obo/owl/GO#</w:t>
            </w:r>
          </w:p>
        </w:tc>
      </w:tr>
    </w:tbl>
    <w:p>
      <w:pPr>
        <w:pStyle w:val="Normal"/>
        <w:rPr/>
      </w:pPr>
      <w:r>
        <w:rPr/>
      </w:r>
    </w:p>
    <w:p>
      <w:pPr>
        <w:pStyle w:val="Normal"/>
        <w:rPr>
          <w:color w:val="auto"/>
        </w:rPr>
      </w:pPr>
      <w:r>
        <w:rPr>
          <w:color w:val="auto"/>
        </w:rPr>
      </w:r>
    </w:p>
    <w:p>
      <w:pPr>
        <w:pStyle w:val="Normal"/>
        <w:rPr/>
      </w:pPr>
      <w:r>
        <w:rPr/>
      </w:r>
    </w:p>
    <w:p>
      <w:pPr>
        <w:pStyle w:val="Normal"/>
        <w:rPr/>
      </w:pPr>
      <w:r>
        <w:rPr/>
      </w:r>
    </w:p>
    <w:sectPr>
      <w:headerReference w:type="default" r:id="rId9"/>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fals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false"/>
      <w:bidi w:val="0"/>
      <w:spacing w:before="0" w:after="0"/>
      <w:jc w:val="left"/>
    </w:pPr>
    <w:rPr>
      <w:rFonts w:ascii="Liberation Serif" w:hAnsi="Liberation Serif" w:eastAsia="NSimSun" w:cs="Mangal"/>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10995</TotalTime>
  <Application>LibreOffice/7.4.6.2$Windows_X86_64 LibreOffice_project/5b1f5509c2decdade7fda905e3e1429a67acd63d</Application>
  <AppVersion>15.0000</AppVersion>
  <Pages>10</Pages>
  <Words>3782</Words>
  <Characters>21155</Characters>
  <CharactersWithSpaces>24785</CharactersWithSpaces>
  <Paragraphs>188</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2023-09-11T18:13:25Z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