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47D" w:rsidRDefault="004A3369" w:rsidP="0075247D">
      <w:pPr>
        <w:pStyle w:val="ListParagraph"/>
        <w:numPr>
          <w:ilvl w:val="0"/>
          <w:numId w:val="1"/>
        </w:numPr>
      </w:pPr>
      <w:r>
        <w:t>Per yesterday’s email thread</w:t>
      </w:r>
      <w:r w:rsidR="0075247D">
        <w:t xml:space="preserve">, the history file should not be used.  This is not actually part of the </w:t>
      </w:r>
      <w:proofErr w:type="spellStart"/>
      <w:r w:rsidR="0075247D">
        <w:t>MedDRA</w:t>
      </w:r>
      <w:proofErr w:type="spellEnd"/>
      <w:r w:rsidR="0075247D">
        <w:t xml:space="preserve"> schema.</w:t>
      </w:r>
    </w:p>
    <w:p w:rsidR="001C3DF7" w:rsidRDefault="001C3DF7" w:rsidP="001C3DF7">
      <w:pPr>
        <w:rPr>
          <w:sz w:val="23"/>
          <w:szCs w:val="23"/>
        </w:rPr>
      </w:pPr>
      <w:r>
        <w:rPr>
          <w:sz w:val="23"/>
          <w:szCs w:val="23"/>
        </w:rPr>
        <w:t xml:space="preserve">From the </w:t>
      </w:r>
      <w:proofErr w:type="spellStart"/>
      <w:r>
        <w:rPr>
          <w:sz w:val="23"/>
          <w:szCs w:val="23"/>
        </w:rPr>
        <w:t>MedDRA</w:t>
      </w:r>
      <w:proofErr w:type="spellEnd"/>
      <w:r>
        <w:rPr>
          <w:sz w:val="23"/>
          <w:szCs w:val="23"/>
        </w:rPr>
        <w:t xml:space="preserve"> documentation:  The meddra_history_english.asc and meddra_release.asc files are optional files for use with the </w:t>
      </w:r>
      <w:proofErr w:type="spellStart"/>
      <w:r>
        <w:rPr>
          <w:sz w:val="23"/>
          <w:szCs w:val="23"/>
        </w:rPr>
        <w:t>MedDRA</w:t>
      </w:r>
      <w:proofErr w:type="spellEnd"/>
      <w:r>
        <w:rPr>
          <w:sz w:val="23"/>
          <w:szCs w:val="23"/>
        </w:rPr>
        <w:t xml:space="preserve"> Desktop Browser (MDB) release 3.0.2 Beta and up. These files are not part of the </w:t>
      </w:r>
      <w:proofErr w:type="spellStart"/>
      <w:r>
        <w:rPr>
          <w:sz w:val="23"/>
          <w:szCs w:val="23"/>
        </w:rPr>
        <w:t>MedDRA</w:t>
      </w:r>
      <w:proofErr w:type="spellEnd"/>
      <w:r>
        <w:rPr>
          <w:sz w:val="23"/>
          <w:szCs w:val="23"/>
        </w:rPr>
        <w:t xml:space="preserve"> schema.</w:t>
      </w:r>
    </w:p>
    <w:p w:rsidR="001C3DF7" w:rsidRDefault="001C3DF7" w:rsidP="001C3DF7">
      <w:pPr>
        <w:rPr>
          <w:sz w:val="23"/>
          <w:szCs w:val="23"/>
        </w:rPr>
      </w:pPr>
      <w:r>
        <w:rPr>
          <w:sz w:val="23"/>
          <w:szCs w:val="23"/>
        </w:rPr>
        <w:t>Active/inactive should be determined from the “</w:t>
      </w:r>
      <w:proofErr w:type="spellStart"/>
      <w:r>
        <w:rPr>
          <w:sz w:val="23"/>
          <w:szCs w:val="23"/>
        </w:rPr>
        <w:t>llt_currency</w:t>
      </w:r>
      <w:proofErr w:type="spellEnd"/>
      <w:r>
        <w:rPr>
          <w:sz w:val="23"/>
          <w:szCs w:val="23"/>
        </w:rPr>
        <w:t>” field in llt.asc.</w:t>
      </w:r>
      <w:r w:rsidR="004A3369">
        <w:rPr>
          <w:sz w:val="23"/>
          <w:szCs w:val="23"/>
        </w:rPr>
        <w:t xml:space="preserve">  Here is an example of an LLT that would be inactive.</w:t>
      </w:r>
    </w:p>
    <w:p w:rsidR="001C3DF7" w:rsidRDefault="001C3DF7" w:rsidP="001C3DF7">
      <w:pPr>
        <w:rPr>
          <w:sz w:val="23"/>
          <w:szCs w:val="23"/>
        </w:rPr>
      </w:pPr>
      <w:r>
        <w:rPr>
          <w:sz w:val="23"/>
          <w:szCs w:val="23"/>
        </w:rPr>
        <w:t>(I don’t think the history file needs to be used all, we don’t need to show people every edit)</w:t>
      </w:r>
    </w:p>
    <w:p w:rsidR="001C3DF7" w:rsidRDefault="001C3DF7" w:rsidP="001C3DF7">
      <w:pPr>
        <w:rPr>
          <w:sz w:val="23"/>
          <w:szCs w:val="23"/>
        </w:rPr>
      </w:pPr>
      <w:r>
        <w:rPr>
          <w:sz w:val="23"/>
          <w:szCs w:val="23"/>
        </w:rPr>
        <w:t>Note also the “T-1” label</w:t>
      </w:r>
      <w:proofErr w:type="gramStart"/>
      <w:r>
        <w:rPr>
          <w:sz w:val="23"/>
          <w:szCs w:val="23"/>
        </w:rPr>
        <w:t>..</w:t>
      </w:r>
      <w:proofErr w:type="gramEnd"/>
    </w:p>
    <w:p w:rsidR="001C3DF7" w:rsidRPr="001C3DF7" w:rsidRDefault="001C3DF7" w:rsidP="001C3DF7">
      <w:pPr>
        <w:rPr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4733925"/>
            <wp:effectExtent l="19050" t="0" r="0" b="0"/>
            <wp:docPr id="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47D" w:rsidRDefault="0075247D" w:rsidP="0075247D"/>
    <w:p w:rsidR="0075247D" w:rsidRDefault="0075247D" w:rsidP="0075247D"/>
    <w:p w:rsidR="0075247D" w:rsidRDefault="0075247D" w:rsidP="0075247D">
      <w:pPr>
        <w:pStyle w:val="ListParagraph"/>
        <w:numPr>
          <w:ilvl w:val="0"/>
          <w:numId w:val="1"/>
        </w:numPr>
      </w:pPr>
      <w:r>
        <w:t xml:space="preserve"> Here is an example of an SMQ and an SMQ member:</w:t>
      </w:r>
    </w:p>
    <w:p w:rsidR="0075247D" w:rsidRDefault="0075247D" w:rsidP="0075247D">
      <w:r>
        <w:rPr>
          <w:noProof/>
        </w:rPr>
        <w:lastRenderedPageBreak/>
        <w:drawing>
          <wp:inline distT="0" distB="0" distL="0" distR="0">
            <wp:extent cx="5943600" cy="523184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0CB5" w:rsidRDefault="00140CB5" w:rsidP="00140CB5">
      <w:r>
        <w:t>Notice how the “</w:t>
      </w:r>
      <w:proofErr w:type="spellStart"/>
      <w:r>
        <w:t>SMQ_Code</w:t>
      </w:r>
      <w:proofErr w:type="spellEnd"/>
      <w:r>
        <w:t xml:space="preserve">” value includes a lot of stuff.    </w:t>
      </w:r>
      <w:r w:rsidR="004A3369">
        <w:t>B</w:t>
      </w:r>
      <w:r>
        <w:t xml:space="preserve">asically this data is being derived from the </w:t>
      </w:r>
      <w:proofErr w:type="spellStart"/>
      <w:r>
        <w:t>smq_content</w:t>
      </w:r>
      <w:proofErr w:type="spellEnd"/>
      <w:r>
        <w:t xml:space="preserve"> file, which means that the data you are seeing here is actually about this term (20000200) within the SMQ 20000151.  So, </w:t>
      </w:r>
      <w:r w:rsidR="000B64BE">
        <w:t xml:space="preserve">e.g. </w:t>
      </w:r>
      <w:r>
        <w:t xml:space="preserve">20000200 </w:t>
      </w:r>
      <w:proofErr w:type="gramStart"/>
      <w:r>
        <w:t>was</w:t>
      </w:r>
      <w:proofErr w:type="gramEnd"/>
      <w:r>
        <w:t xml:space="preserve"> added to 20000151 in </w:t>
      </w:r>
      <w:proofErr w:type="spellStart"/>
      <w:r>
        <w:t>MedDRA</w:t>
      </w:r>
      <w:proofErr w:type="spellEnd"/>
      <w:r>
        <w:t xml:space="preserve"> 14.0.  </w:t>
      </w:r>
      <w:r w:rsidR="000B64BE">
        <w:t>I guess what you’re seeing here is technically correct, but we think of this information as an attribute on the relationship between the SMQ and its parent.  I think maybe the expedient thing here would be to:</w:t>
      </w:r>
    </w:p>
    <w:p w:rsidR="000B64BE" w:rsidRDefault="000B64BE" w:rsidP="000B64BE">
      <w:pPr>
        <w:pStyle w:val="ListParagraph"/>
        <w:numPr>
          <w:ilvl w:val="0"/>
          <w:numId w:val="2"/>
        </w:numPr>
      </w:pPr>
      <w:r>
        <w:t>Change the name of the property from “</w:t>
      </w:r>
      <w:proofErr w:type="spellStart"/>
      <w:r>
        <w:t>SMQ_Code</w:t>
      </w:r>
      <w:proofErr w:type="spellEnd"/>
      <w:r>
        <w:t>” to something like “SMQ membership.”</w:t>
      </w:r>
    </w:p>
    <w:p w:rsidR="000B64BE" w:rsidRDefault="000B64BE" w:rsidP="000B64BE">
      <w:pPr>
        <w:pStyle w:val="ListParagraph"/>
        <w:numPr>
          <w:ilvl w:val="0"/>
          <w:numId w:val="2"/>
        </w:numPr>
      </w:pPr>
      <w:r>
        <w:t xml:space="preserve">If possible, resolve the name of name of the SMQ it’s a member of (i.e. don’t just put the meaningless code), or make the code a hyperlink.  </w:t>
      </w:r>
    </w:p>
    <w:p w:rsidR="0075247D" w:rsidRDefault="00140CB5">
      <w:r>
        <w:rPr>
          <w:noProof/>
        </w:rPr>
        <w:lastRenderedPageBreak/>
        <w:drawing>
          <wp:inline distT="0" distB="0" distL="0" distR="0">
            <wp:extent cx="5943600" cy="37205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0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F6B" w:rsidRDefault="00F91C62" w:rsidP="0075247D">
      <w:pPr>
        <w:pStyle w:val="ListParagraph"/>
        <w:numPr>
          <w:ilvl w:val="0"/>
          <w:numId w:val="1"/>
        </w:numPr>
      </w:pPr>
      <w:r>
        <w:t xml:space="preserve">Problem with Hierarchy:  This shouldn’t be a child of “SMQ”, just of </w:t>
      </w:r>
      <w:r w:rsidR="001C3DF7">
        <w:t xml:space="preserve">“Hepatic disorders (SMQ).  Note also that in RRF we represent the SMQ “hierarchy” with relationships.  I can see how it could go either way, but note that SMQs are not included in the official “hierarchy” </w:t>
      </w:r>
      <w:proofErr w:type="gramStart"/>
      <w:r w:rsidR="001C3DF7">
        <w:t>representation,</w:t>
      </w:r>
      <w:proofErr w:type="gramEnd"/>
      <w:r w:rsidR="001C3DF7">
        <w:t xml:space="preserve"> they are part of a “list” file, which indicates membership, not hierarchy.  (I am also not sure if this is affecting the tree, i.e. if we are running into the case where a concept can have different children in different trees).</w:t>
      </w:r>
    </w:p>
    <w:p w:rsidR="00F91C62" w:rsidRDefault="00F91C62">
      <w:r>
        <w:rPr>
          <w:noProof/>
        </w:rPr>
        <w:lastRenderedPageBreak/>
        <w:drawing>
          <wp:inline distT="0" distB="0" distL="0" distR="0">
            <wp:extent cx="5943600" cy="4053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15" w:rsidRDefault="00FB2B15"/>
    <w:p w:rsidR="00517B29" w:rsidRDefault="0075247D" w:rsidP="0075247D">
      <w:pPr>
        <w:pStyle w:val="ListParagraph"/>
        <w:numPr>
          <w:ilvl w:val="0"/>
          <w:numId w:val="1"/>
        </w:numPr>
      </w:pPr>
      <w:r>
        <w:t xml:space="preserve"> This is another hierarchy issue, which I think we have seen before and is not necessarily </w:t>
      </w:r>
      <w:proofErr w:type="spellStart"/>
      <w:r>
        <w:t>MedDRA</w:t>
      </w:r>
      <w:proofErr w:type="spellEnd"/>
      <w:r>
        <w:t xml:space="preserve"> related.  There are t</w:t>
      </w:r>
      <w:r w:rsidR="00517B29">
        <w:t>wo different lists under “Skin ulcer</w:t>
      </w:r>
      <w:proofErr w:type="gramStart"/>
      <w:r w:rsidR="00517B29">
        <w:t>”  …</w:t>
      </w:r>
      <w:proofErr w:type="gramEnd"/>
      <w:r w:rsidR="00517B29">
        <w:t xml:space="preserve"> this doesn’t seem to be an issue of partial hierarchy, e.g. “Digital ulcer” shows up in the first case but not the 2</w:t>
      </w:r>
      <w:r w:rsidR="00517B29" w:rsidRPr="0075247D">
        <w:rPr>
          <w:vertAlign w:val="superscript"/>
        </w:rPr>
        <w:t>nd</w:t>
      </w:r>
      <w:r w:rsidR="00517B29">
        <w:t xml:space="preserve">.  At first I thought it had to do with the fact that “Digital ulcer” is erroneously considered inactive, but I decided that doesn’t make sense. </w:t>
      </w:r>
    </w:p>
    <w:p w:rsidR="00FB2B15" w:rsidRDefault="00FB2B15">
      <w:r>
        <w:t>Strange that “digital ulcer” does not show up as a child of “Skin ulcer</w:t>
      </w:r>
      <w:proofErr w:type="gramStart"/>
      <w:r>
        <w:t>”  …</w:t>
      </w:r>
      <w:proofErr w:type="gramEnd"/>
      <w:r>
        <w:t xml:space="preserve"> not sure why this doesn’t show up, but maybe it has to do with the fact that “Digital ulcer” is erroneously considered inactive.</w:t>
      </w:r>
    </w:p>
    <w:p w:rsidR="00FB2B15" w:rsidRDefault="00517B29">
      <w:r>
        <w:rPr>
          <w:noProof/>
        </w:rPr>
        <w:lastRenderedPageBreak/>
        <w:drawing>
          <wp:inline distT="0" distB="0" distL="0" distR="0">
            <wp:extent cx="5943600" cy="64202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0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B15" w:rsidRDefault="00FB2B15">
      <w:r>
        <w:rPr>
          <w:noProof/>
        </w:rPr>
        <w:lastRenderedPageBreak/>
        <w:drawing>
          <wp:inline distT="0" distB="0" distL="0" distR="0">
            <wp:extent cx="5943600" cy="67483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2B15" w:rsidSect="0045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B58"/>
    <w:multiLevelType w:val="hybridMultilevel"/>
    <w:tmpl w:val="1D606F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3448E"/>
    <w:multiLevelType w:val="hybridMultilevel"/>
    <w:tmpl w:val="CB0C2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F91C62"/>
    <w:rsid w:val="000B64BE"/>
    <w:rsid w:val="00140CB5"/>
    <w:rsid w:val="001C3DF7"/>
    <w:rsid w:val="00457F6B"/>
    <w:rsid w:val="004A3369"/>
    <w:rsid w:val="00517B29"/>
    <w:rsid w:val="006120B0"/>
    <w:rsid w:val="0075247D"/>
    <w:rsid w:val="00F91C62"/>
    <w:rsid w:val="00FB2B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C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2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6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Library of Medicine</Company>
  <LinksUpToDate>false</LinksUpToDate>
  <CharactersWithSpaces>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NLM01792342TEST</dc:creator>
  <cp:keywords/>
  <dc:description/>
  <cp:lastModifiedBy>NLM01792342TEST</cp:lastModifiedBy>
  <cp:revision>2</cp:revision>
  <dcterms:created xsi:type="dcterms:W3CDTF">2013-11-21T17:59:00Z</dcterms:created>
  <dcterms:modified xsi:type="dcterms:W3CDTF">2013-11-21T21:33:00Z</dcterms:modified>
</cp:coreProperties>
</file>