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9195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22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720C86" w:rsidRDefault="00720C86" w:rsidP="00720C8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Hudson Continuous Integration build – Complete.</w:t>
      </w:r>
    </w:p>
    <w:p w:rsidR="00720C86" w:rsidRDefault="00720C86" w:rsidP="00720C8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ARRAY-2021, 2120, 2122, 2123, 2064,1960,2152.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9722C7">
        <w:rPr>
          <w:rFonts w:asciiTheme="majorHAnsi" w:eastAsiaTheme="minorHAnsi" w:hAnsiTheme="majorHAnsi" w:cstheme="minorBidi"/>
          <w:lang w:eastAsia="en-US"/>
        </w:rPr>
        <w:t>BDA-Lite</w:t>
      </w:r>
      <w:r w:rsidR="0064026C" w:rsidRPr="009722C7">
        <w:rPr>
          <w:rFonts w:asciiTheme="majorHAnsi" w:eastAsiaTheme="minorHAnsi" w:hAnsiTheme="majorHAnsi" w:cstheme="minorBidi"/>
          <w:lang w:eastAsia="en-US"/>
        </w:rPr>
        <w:t xml:space="preserve"> - 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ARRAY-2105 – </w:t>
      </w:r>
      <w:r w:rsidR="00991951">
        <w:rPr>
          <w:rFonts w:asciiTheme="majorHAnsi" w:eastAsiaTheme="minorHAnsi" w:hAnsiTheme="majorHAnsi" w:cstheme="minorBidi"/>
          <w:lang w:eastAsia="en-US"/>
        </w:rPr>
        <w:t>Waiver was not granted; added to project plan</w:t>
      </w:r>
      <w:r w:rsidR="00394434">
        <w:rPr>
          <w:rFonts w:asciiTheme="majorHAnsi" w:eastAsiaTheme="minorHAnsi" w:hAnsiTheme="majorHAnsi" w:cstheme="minorBidi"/>
          <w:lang w:eastAsia="en-US"/>
        </w:rPr>
        <w:t>.</w:t>
      </w:r>
    </w:p>
    <w:p w:rsidR="00216313" w:rsidRDefault="00991951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Regression testing</w:t>
      </w:r>
      <w:r w:rsidR="00C744B2">
        <w:rPr>
          <w:rFonts w:asciiTheme="majorHAnsi" w:eastAsiaTheme="minorHAnsi" w:hAnsiTheme="majorHAnsi" w:cstheme="minorBidi"/>
          <w:lang w:eastAsia="en-US"/>
        </w:rPr>
        <w:t xml:space="preserve"> (ARRAY-2099) </w:t>
      </w:r>
      <w:r>
        <w:rPr>
          <w:rFonts w:asciiTheme="majorHAnsi" w:eastAsiaTheme="minorHAnsi" w:hAnsiTheme="majorHAnsi" w:cstheme="minorBidi"/>
          <w:lang w:eastAsia="en-US"/>
        </w:rPr>
        <w:t xml:space="preserve"> – Complete.</w:t>
      </w:r>
    </w:p>
    <w:p w:rsidR="00C744B2" w:rsidRDefault="00216313" w:rsidP="0021631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5 bugs discovered: ARRAY-2165,2166,2167,2168,2169.</w:t>
      </w:r>
      <w:r w:rsidR="00BF70F7">
        <w:rPr>
          <w:rFonts w:asciiTheme="majorHAnsi" w:eastAsiaTheme="minorHAnsi" w:hAnsiTheme="majorHAnsi" w:cstheme="minorBidi"/>
          <w:lang w:eastAsia="en-US"/>
        </w:rPr>
        <w:t xml:space="preserve"> Added to project plan.</w:t>
      </w:r>
    </w:p>
    <w:p w:rsidR="002858B8" w:rsidRDefault="002858B8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</w:t>
      </w:r>
      <w:r w:rsidR="00844FE9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:rsidR="002858B8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ARRAY-2124, 2125</w:t>
      </w:r>
      <w:r w:rsidR="00944239">
        <w:rPr>
          <w:rFonts w:asciiTheme="majorHAnsi" w:eastAsiaTheme="minorHAnsi" w:hAnsiTheme="majorHAnsi" w:cstheme="minorBidi"/>
          <w:lang w:eastAsia="en-US"/>
        </w:rPr>
        <w:t>, 2144</w:t>
      </w:r>
      <w:r w:rsidR="0073727F">
        <w:rPr>
          <w:rFonts w:asciiTheme="majorHAnsi" w:eastAsiaTheme="minorHAnsi" w:hAnsiTheme="majorHAnsi" w:cstheme="minorBidi"/>
          <w:lang w:eastAsia="en-US"/>
        </w:rPr>
        <w:t xml:space="preserve">, 2145, 2141, 2142, </w:t>
      </w:r>
      <w:r w:rsidR="004545AB">
        <w:rPr>
          <w:rFonts w:asciiTheme="majorHAnsi" w:eastAsiaTheme="minorHAnsi" w:hAnsiTheme="majorHAnsi" w:cstheme="minorBidi"/>
          <w:lang w:eastAsia="en-US"/>
        </w:rPr>
        <w:t>2147, 2148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 in progress: ARRAY-2126, 2127.</w:t>
      </w:r>
    </w:p>
    <w:p w:rsidR="00E214F1" w:rsidRDefault="00720C86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 Starting design discussions</w:t>
      </w:r>
      <w:r w:rsidR="00303372">
        <w:rPr>
          <w:rFonts w:asciiTheme="majorHAnsi" w:eastAsiaTheme="minorHAnsi" w:hAnsiTheme="majorHAnsi" w:cstheme="minorBidi"/>
          <w:lang w:eastAsia="en-US"/>
        </w:rPr>
        <w:t xml:space="preserve"> on</w:t>
      </w:r>
      <w:r w:rsidR="00E214F1">
        <w:rPr>
          <w:rFonts w:asciiTheme="majorHAnsi" w:eastAsiaTheme="minorHAnsi" w:hAnsiTheme="majorHAnsi" w:cstheme="minorBidi"/>
          <w:lang w:eastAsia="en-US"/>
        </w:rPr>
        <w:t>:</w:t>
      </w:r>
    </w:p>
    <w:p w:rsidR="00E214F1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: </w:t>
      </w:r>
      <w:r w:rsidR="00720C86">
        <w:rPr>
          <w:rFonts w:asciiTheme="majorHAnsi" w:eastAsiaTheme="minorHAnsi" w:hAnsiTheme="majorHAnsi" w:cstheme="minorBidi"/>
          <w:lang w:eastAsia="en-US"/>
        </w:rPr>
        <w:t xml:space="preserve">determine </w:t>
      </w:r>
      <w:r w:rsidR="00D85B9C">
        <w:rPr>
          <w:rFonts w:asciiTheme="majorHAnsi" w:eastAsiaTheme="minorHAnsi" w:hAnsiTheme="majorHAnsi" w:cstheme="minorBidi"/>
          <w:lang w:eastAsia="en-US"/>
        </w:rPr>
        <w:t xml:space="preserve">security complications and LOE before </w:t>
      </w:r>
      <w:r w:rsidR="00720C86">
        <w:rPr>
          <w:rFonts w:asciiTheme="majorHAnsi" w:eastAsiaTheme="minorHAnsi" w:hAnsiTheme="majorHAnsi" w:cstheme="minorBidi"/>
          <w:lang w:eastAsia="en-US"/>
        </w:rPr>
        <w:t>decid</w:t>
      </w:r>
      <w:r w:rsidR="00D85B9C">
        <w:rPr>
          <w:rFonts w:asciiTheme="majorHAnsi" w:eastAsiaTheme="minorHAnsi" w:hAnsiTheme="majorHAnsi" w:cstheme="minorBidi"/>
          <w:lang w:eastAsia="en-US"/>
        </w:rPr>
        <w:t>ing whether to pursue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(ARRAY-2156)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3148BA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Breaking large import into smaller import transactions</w:t>
      </w:r>
      <w:r w:rsidR="00D335A0">
        <w:rPr>
          <w:rFonts w:asciiTheme="majorHAnsi" w:eastAsiaTheme="minorHAnsi" w:hAnsiTheme="majorHAnsi" w:cstheme="minorBidi"/>
          <w:lang w:eastAsia="en-US"/>
        </w:rPr>
        <w:t xml:space="preserve"> (ARRAY-2146, 1403)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987413" w:rsidRPr="00987413" w:rsidRDefault="00987413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Version 1.3.1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QA verified, Appscan completed with no issues, 508 complaint per testing (93%)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GA tag deployment, logistics for Prod deployment early next week.</w:t>
      </w:r>
    </w:p>
    <w:p w:rsidR="00987413" w:rsidRPr="00987413" w:rsidRDefault="00987413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Need help from systems team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Plan to complete by early next week</w:t>
      </w:r>
    </w:p>
    <w:p w:rsidR="00987413" w:rsidRPr="00987413" w:rsidRDefault="00987413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Priority for next user stories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Finalize the permission model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Development of permission model</w:t>
      </w:r>
    </w:p>
    <w:p w:rsidR="00987413" w:rsidRP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Archive and version a study</w:t>
      </w:r>
    </w:p>
    <w:p w:rsidR="00987413" w:rsidRDefault="00987413" w:rsidP="0098741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Generic Platform Support</w:t>
      </w:r>
    </w:p>
    <w:p w:rsidR="0065563F" w:rsidRDefault="00624A6B" w:rsidP="0098741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45524C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45524C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45524C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B021C2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is creating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caArray.</w:t>
      </w:r>
    </w:p>
    <w:p w:rsidR="006F271A" w:rsidRPr="00B2651C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Meeting </w:t>
      </w:r>
      <w:r w:rsidR="007450FC">
        <w:rPr>
          <w:rFonts w:asciiTheme="majorHAnsi" w:eastAsiaTheme="minorHAnsi" w:hAnsiTheme="majorHAnsi" w:cstheme="minorBidi"/>
          <w:lang w:eastAsia="en-US"/>
        </w:rPr>
        <w:t>with Sarah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F1353D">
        <w:rPr>
          <w:rFonts w:asciiTheme="majorHAnsi" w:eastAsiaTheme="minorHAnsi" w:hAnsiTheme="majorHAnsi" w:cstheme="minorBidi"/>
          <w:lang w:eastAsia="en-US"/>
        </w:rPr>
        <w:t xml:space="preserve">has been </w:t>
      </w:r>
      <w:r>
        <w:rPr>
          <w:rFonts w:asciiTheme="majorHAnsi" w:eastAsiaTheme="minorHAnsi" w:hAnsiTheme="majorHAnsi" w:cstheme="minorBidi"/>
          <w:lang w:eastAsia="en-US"/>
        </w:rPr>
        <w:t>set up for November 30</w:t>
      </w:r>
      <w:r w:rsidR="007450FC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Need to clarify how timepoints will be represented and used in caIntegrator. What type of analysis across timepoints do they need to perform?</w:t>
      </w:r>
    </w:p>
    <w:p w:rsidR="00B910E4" w:rsidRDefault="00B910E4" w:rsidP="00B910E4">
      <w:pPr>
        <w:pStyle w:val="Heading3"/>
      </w:pPr>
    </w:p>
    <w:p w:rsidR="00B910E4" w:rsidRPr="007A1973" w:rsidRDefault="00B910E4" w:rsidP="00B910E4">
      <w:pPr>
        <w:pStyle w:val="Heading3"/>
      </w:pPr>
      <w:r>
        <w:t>Xenoline</w:t>
      </w:r>
      <w:r w:rsidRPr="007A1973">
        <w:t>:</w:t>
      </w:r>
    </w:p>
    <w:p w:rsidR="006C0283" w:rsidRDefault="006C0283" w:rsidP="005F4466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 their team and discussed where each data type would go</w:t>
      </w:r>
      <w:r w:rsidR="005F4466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Their deadline has been extended by 6 months.</w:t>
      </w:r>
    </w:p>
    <w:p w:rsidR="00B910E4" w:rsidRPr="005F4466" w:rsidRDefault="006C0283" w:rsidP="005F4466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Need to figure out which server will host their deep sequencing data.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1A506C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Apache</w:t>
      </w:r>
      <w:r w:rsidR="00A32E5B">
        <w:rPr>
          <w:rFonts w:asciiTheme="majorHAnsi" w:eastAsiaTheme="minorHAnsi" w:hAnsiTheme="majorHAnsi" w:cstheme="minorBidi"/>
          <w:lang w:eastAsia="en-US"/>
        </w:rPr>
        <w:t xml:space="preserve"> updates </w:t>
      </w:r>
      <w:r w:rsidR="00B0467B">
        <w:rPr>
          <w:rFonts w:asciiTheme="majorHAnsi" w:eastAsiaTheme="minorHAnsi" w:hAnsiTheme="majorHAnsi" w:cstheme="minorBidi"/>
          <w:lang w:eastAsia="en-US"/>
        </w:rPr>
        <w:t>were completed on STAGE and PROD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B0467B">
        <w:rPr>
          <w:rFonts w:asciiTheme="majorHAnsi" w:eastAsiaTheme="minorHAnsi" w:hAnsiTheme="majorHAnsi" w:cstheme="minorBidi"/>
          <w:lang w:eastAsia="en-US"/>
        </w:rPr>
        <w:t xml:space="preserve"> Everything is working smoothly.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CF33FF" w:rsidRDefault="00A07452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Review of Jill’s User’s Guide updates.</w:t>
      </w:r>
    </w:p>
    <w:p w:rsidR="00A07452" w:rsidRDefault="00A07452" w:rsidP="002931EC">
      <w:pPr>
        <w:pStyle w:val="Heading3"/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07452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2644C4" w:rsidRPr="00FA56CA">
        <w:trPr>
          <w:cantSplit/>
        </w:trPr>
        <w:tc>
          <w:tcPr>
            <w:tcW w:w="810" w:type="dxa"/>
          </w:tcPr>
          <w:p w:rsidR="002644C4" w:rsidRDefault="002644C4">
            <w:r>
              <w:t>20.</w:t>
            </w:r>
          </w:p>
        </w:tc>
        <w:tc>
          <w:tcPr>
            <w:tcW w:w="3330" w:type="dxa"/>
          </w:tcPr>
          <w:p w:rsidR="002644C4" w:rsidRDefault="002644C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Work with Eve to schedule meeting with UCSF</w:t>
            </w:r>
          </w:p>
        </w:tc>
        <w:tc>
          <w:tcPr>
            <w:tcW w:w="1620" w:type="dxa"/>
          </w:tcPr>
          <w:p w:rsidR="002644C4" w:rsidRDefault="00825D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</w:p>
        </w:tc>
        <w:tc>
          <w:tcPr>
            <w:tcW w:w="1530" w:type="dxa"/>
          </w:tcPr>
          <w:p w:rsidR="002644C4" w:rsidRDefault="002644C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</w:t>
            </w:r>
            <w:r w:rsidR="001449BA">
              <w:rPr>
                <w:rFonts w:asciiTheme="majorHAnsi" w:eastAsiaTheme="minorHAnsi" w:hAnsiTheme="majorHAnsi" w:cstheme="minorBidi"/>
                <w:lang w:eastAsia="en-US"/>
              </w:rPr>
              <w:t>5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/2011</w:t>
            </w:r>
          </w:p>
        </w:tc>
        <w:tc>
          <w:tcPr>
            <w:tcW w:w="2160" w:type="dxa"/>
          </w:tcPr>
          <w:p w:rsidR="002644C4" w:rsidRDefault="00811B43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56559B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811B4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(Request sent to App Support)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sample experiments in caArray</w:t>
            </w:r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811B4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62699"/>
    <w:rsid w:val="000638F0"/>
    <w:rsid w:val="00065486"/>
    <w:rsid w:val="00077B8B"/>
    <w:rsid w:val="00082246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A506C"/>
    <w:rsid w:val="001B59DF"/>
    <w:rsid w:val="001E00C8"/>
    <w:rsid w:val="001E2F93"/>
    <w:rsid w:val="001F160B"/>
    <w:rsid w:val="00206B40"/>
    <w:rsid w:val="00216313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8BA"/>
    <w:rsid w:val="003329DF"/>
    <w:rsid w:val="00332CBA"/>
    <w:rsid w:val="00334FAA"/>
    <w:rsid w:val="00354833"/>
    <w:rsid w:val="00357B35"/>
    <w:rsid w:val="00380127"/>
    <w:rsid w:val="00393103"/>
    <w:rsid w:val="00394434"/>
    <w:rsid w:val="00397CA9"/>
    <w:rsid w:val="003A5969"/>
    <w:rsid w:val="003A73EA"/>
    <w:rsid w:val="003A7C71"/>
    <w:rsid w:val="003C019A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405A0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A0655"/>
    <w:rsid w:val="004B01B0"/>
    <w:rsid w:val="004B258C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6301C"/>
    <w:rsid w:val="0056513F"/>
    <w:rsid w:val="0056559B"/>
    <w:rsid w:val="00576BE9"/>
    <w:rsid w:val="005806D5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58F"/>
    <w:rsid w:val="00720C86"/>
    <w:rsid w:val="0072267D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3D60"/>
    <w:rsid w:val="007F705E"/>
    <w:rsid w:val="00811B43"/>
    <w:rsid w:val="008126F0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76A77"/>
    <w:rsid w:val="008904AC"/>
    <w:rsid w:val="008B35D7"/>
    <w:rsid w:val="008B5F5D"/>
    <w:rsid w:val="008C4008"/>
    <w:rsid w:val="00906637"/>
    <w:rsid w:val="00915E31"/>
    <w:rsid w:val="00924F28"/>
    <w:rsid w:val="0093150A"/>
    <w:rsid w:val="00936C67"/>
    <w:rsid w:val="00944239"/>
    <w:rsid w:val="00946A32"/>
    <w:rsid w:val="00946CAF"/>
    <w:rsid w:val="00957C81"/>
    <w:rsid w:val="00962E0C"/>
    <w:rsid w:val="00964972"/>
    <w:rsid w:val="009651C2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65B32"/>
    <w:rsid w:val="00A70E67"/>
    <w:rsid w:val="00A7221F"/>
    <w:rsid w:val="00A73769"/>
    <w:rsid w:val="00A757DF"/>
    <w:rsid w:val="00A76740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BF70F7"/>
    <w:rsid w:val="00C25DF6"/>
    <w:rsid w:val="00C30EC1"/>
    <w:rsid w:val="00C44174"/>
    <w:rsid w:val="00C541E8"/>
    <w:rsid w:val="00C54224"/>
    <w:rsid w:val="00C561ED"/>
    <w:rsid w:val="00C65C6F"/>
    <w:rsid w:val="00C71C09"/>
    <w:rsid w:val="00C744B2"/>
    <w:rsid w:val="00C82EEA"/>
    <w:rsid w:val="00C856FE"/>
    <w:rsid w:val="00CA629C"/>
    <w:rsid w:val="00CB5B6B"/>
    <w:rsid w:val="00CC4BBF"/>
    <w:rsid w:val="00CD038B"/>
    <w:rsid w:val="00CF33FF"/>
    <w:rsid w:val="00D00D70"/>
    <w:rsid w:val="00D1095C"/>
    <w:rsid w:val="00D12B32"/>
    <w:rsid w:val="00D218F1"/>
    <w:rsid w:val="00D26C33"/>
    <w:rsid w:val="00D335A0"/>
    <w:rsid w:val="00D54C61"/>
    <w:rsid w:val="00D60228"/>
    <w:rsid w:val="00D609B5"/>
    <w:rsid w:val="00D63245"/>
    <w:rsid w:val="00D80353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0413"/>
    <w:rsid w:val="00E214F1"/>
    <w:rsid w:val="00E236F4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F12DA7"/>
    <w:rsid w:val="00F1353D"/>
    <w:rsid w:val="00F1496A"/>
    <w:rsid w:val="00F15117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B080B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555</Words>
  <Characters>3166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3888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88</cp:revision>
  <cp:lastPrinted>2009-08-31T19:25:00Z</cp:lastPrinted>
  <dcterms:created xsi:type="dcterms:W3CDTF">2011-11-01T17:26:00Z</dcterms:created>
  <dcterms:modified xsi:type="dcterms:W3CDTF">2011-11-22T17:44:00Z</dcterms:modified>
</cp:coreProperties>
</file>