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4A0655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6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7A1973" w:rsidRPr="007A1973" w:rsidRDefault="00E841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Deanna Siemaszko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4F52B0" w:rsidRPr="007A1973" w:rsidRDefault="00ED1D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F52B0" w:rsidRPr="007A1973" w:rsidRDefault="00ED1D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380127" w:rsidRDefault="00FA0F64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TCGA</w:t>
      </w:r>
      <w:r w:rsidR="007D0B97">
        <w:rPr>
          <w:rFonts w:asciiTheme="majorHAnsi" w:eastAsiaTheme="minorHAnsi" w:hAnsiTheme="majorHAnsi" w:cstheme="minorBidi"/>
          <w:lang w:eastAsia="en-US"/>
        </w:rPr>
        <w:t xml:space="preserve"> data load issue:</w:t>
      </w:r>
      <w:r w:rsidR="00380127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AB1081" w:rsidRPr="00542440" w:rsidRDefault="00E4279D" w:rsidP="0054244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Xiaopeng and </w:t>
      </w:r>
      <w:r w:rsidR="00ED1D82">
        <w:rPr>
          <w:rFonts w:asciiTheme="majorHAnsi" w:eastAsiaTheme="minorHAnsi" w:hAnsiTheme="majorHAnsi" w:cstheme="minorBidi"/>
          <w:lang w:eastAsia="en-US"/>
        </w:rPr>
        <w:t xml:space="preserve">Quy </w:t>
      </w:r>
      <w:r w:rsidR="00F50921">
        <w:rPr>
          <w:rFonts w:asciiTheme="majorHAnsi" w:eastAsiaTheme="minorHAnsi" w:hAnsiTheme="majorHAnsi" w:cstheme="minorBidi"/>
          <w:lang w:eastAsia="en-US"/>
        </w:rPr>
        <w:t xml:space="preserve">are </w:t>
      </w:r>
      <w:r w:rsidR="00ED1D82">
        <w:rPr>
          <w:rFonts w:asciiTheme="majorHAnsi" w:eastAsiaTheme="minorHAnsi" w:hAnsiTheme="majorHAnsi" w:cstheme="minorBidi"/>
          <w:lang w:eastAsia="en-US"/>
        </w:rPr>
        <w:t xml:space="preserve">working on </w:t>
      </w:r>
      <w:r w:rsidR="00D60228">
        <w:rPr>
          <w:rFonts w:asciiTheme="majorHAnsi" w:eastAsiaTheme="minorHAnsi" w:hAnsiTheme="majorHAnsi" w:cstheme="minorBidi"/>
          <w:lang w:eastAsia="en-US"/>
        </w:rPr>
        <w:t xml:space="preserve">the </w:t>
      </w:r>
      <w:r w:rsidR="00ED1D82">
        <w:rPr>
          <w:rFonts w:asciiTheme="majorHAnsi" w:eastAsiaTheme="minorHAnsi" w:hAnsiTheme="majorHAnsi" w:cstheme="minorBidi"/>
          <w:lang w:eastAsia="en-US"/>
        </w:rPr>
        <w:t>QTP approach</w:t>
      </w:r>
      <w:r w:rsidR="00D60228">
        <w:rPr>
          <w:rFonts w:asciiTheme="majorHAnsi" w:eastAsiaTheme="minorHAnsi" w:hAnsiTheme="majorHAnsi" w:cstheme="minorBidi"/>
          <w:lang w:eastAsia="en-US"/>
        </w:rPr>
        <w:t xml:space="preserve"> which has been approved by Doug Hosier</w:t>
      </w:r>
      <w:r w:rsidR="008B35D7">
        <w:rPr>
          <w:rFonts w:asciiTheme="majorHAnsi" w:eastAsiaTheme="minorHAnsi" w:hAnsiTheme="majorHAnsi" w:cstheme="minorBidi"/>
          <w:lang w:eastAsia="en-US"/>
        </w:rPr>
        <w:t>.</w:t>
      </w:r>
      <w:r w:rsidR="00ED1D82">
        <w:rPr>
          <w:rFonts w:asciiTheme="majorHAnsi" w:eastAsiaTheme="minorHAnsi" w:hAnsiTheme="majorHAnsi" w:cstheme="minorBidi"/>
          <w:lang w:eastAsia="en-US"/>
        </w:rPr>
        <w:t xml:space="preserve"> </w:t>
      </w:r>
      <w:r w:rsidR="00F50921">
        <w:rPr>
          <w:rFonts w:asciiTheme="majorHAnsi" w:eastAsiaTheme="minorHAnsi" w:hAnsiTheme="majorHAnsi" w:cstheme="minorBidi"/>
          <w:lang w:eastAsia="en-US"/>
        </w:rPr>
        <w:t>We d</w:t>
      </w:r>
      <w:r w:rsidR="00ED1D82">
        <w:rPr>
          <w:rFonts w:asciiTheme="majorHAnsi" w:eastAsiaTheme="minorHAnsi" w:hAnsiTheme="majorHAnsi" w:cstheme="minorBidi"/>
          <w:lang w:eastAsia="en-US"/>
        </w:rPr>
        <w:t xml:space="preserve">on’t have a comparison of </w:t>
      </w:r>
      <w:r w:rsidR="00F50921">
        <w:rPr>
          <w:rFonts w:asciiTheme="majorHAnsi" w:eastAsiaTheme="minorHAnsi" w:hAnsiTheme="majorHAnsi" w:cstheme="minorBidi"/>
          <w:lang w:eastAsia="en-US"/>
        </w:rPr>
        <w:t xml:space="preserve">the </w:t>
      </w:r>
      <w:r w:rsidR="00ED1D82">
        <w:rPr>
          <w:rFonts w:asciiTheme="majorHAnsi" w:eastAsiaTheme="minorHAnsi" w:hAnsiTheme="majorHAnsi" w:cstheme="minorBidi"/>
          <w:lang w:eastAsia="en-US"/>
        </w:rPr>
        <w:t>timing between the QTP approach and the manual approach</w:t>
      </w:r>
      <w:r w:rsidR="00F50921">
        <w:rPr>
          <w:rFonts w:asciiTheme="majorHAnsi" w:eastAsiaTheme="minorHAnsi" w:hAnsiTheme="majorHAnsi" w:cstheme="minorBidi"/>
          <w:lang w:eastAsia="en-US"/>
        </w:rPr>
        <w:t xml:space="preserve"> at this time.</w:t>
      </w:r>
    </w:p>
    <w:p w:rsidR="00A358CB" w:rsidRDefault="00F50921" w:rsidP="00380127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ARRAY-2059 (t</w:t>
      </w:r>
      <w:r w:rsidR="007D0B97">
        <w:rPr>
          <w:rFonts w:asciiTheme="majorHAnsi" w:eastAsiaTheme="minorHAnsi" w:hAnsiTheme="majorHAnsi" w:cstheme="minorBidi"/>
          <w:lang w:eastAsia="en-US"/>
        </w:rPr>
        <w:t xml:space="preserve">he blocking issue </w:t>
      </w:r>
      <w:r>
        <w:rPr>
          <w:rFonts w:asciiTheme="majorHAnsi" w:eastAsiaTheme="minorHAnsi" w:hAnsiTheme="majorHAnsi" w:cstheme="minorBidi"/>
          <w:lang w:eastAsia="en-US"/>
        </w:rPr>
        <w:t xml:space="preserve">for TCGA data load) </w:t>
      </w:r>
      <w:r w:rsidR="00ED1D82">
        <w:rPr>
          <w:rFonts w:asciiTheme="majorHAnsi" w:eastAsiaTheme="minorHAnsi" w:hAnsiTheme="majorHAnsi" w:cstheme="minorBidi"/>
          <w:lang w:eastAsia="en-US"/>
        </w:rPr>
        <w:t>has been</w:t>
      </w:r>
      <w:r w:rsidR="001E00C8">
        <w:rPr>
          <w:rFonts w:asciiTheme="majorHAnsi" w:eastAsiaTheme="minorHAnsi" w:hAnsiTheme="majorHAnsi" w:cstheme="minorBidi"/>
          <w:lang w:eastAsia="en-US"/>
        </w:rPr>
        <w:t xml:space="preserve"> fixed </w:t>
      </w:r>
      <w:r w:rsidR="00ED1D82">
        <w:rPr>
          <w:rFonts w:asciiTheme="majorHAnsi" w:eastAsiaTheme="minorHAnsi" w:hAnsiTheme="majorHAnsi" w:cstheme="minorBidi"/>
          <w:lang w:eastAsia="en-US"/>
        </w:rPr>
        <w:t>and tested</w:t>
      </w:r>
      <w:r w:rsidR="002F4122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2F4122" w:rsidP="002F412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2.4.1 status:</w:t>
      </w:r>
    </w:p>
    <w:p w:rsidR="00D00D70" w:rsidRPr="001E00C8" w:rsidRDefault="00D00D70" w:rsidP="00D00D7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Task ARRAY-1911</w:t>
      </w:r>
      <w:r w:rsidRPr="001E00C8">
        <w:rPr>
          <w:rFonts w:asciiTheme="majorHAnsi" w:eastAsiaTheme="minorHAnsi" w:hAnsiTheme="majorHAnsi" w:cstheme="minorBidi"/>
          <w:lang w:eastAsia="en-US"/>
        </w:rPr>
        <w:t xml:space="preserve"> </w:t>
      </w:r>
      <w:r w:rsidR="00C30EC1">
        <w:rPr>
          <w:rFonts w:asciiTheme="majorHAnsi" w:eastAsiaTheme="minorHAnsi" w:hAnsiTheme="majorHAnsi" w:cstheme="minorBidi"/>
          <w:lang w:eastAsia="en-US"/>
        </w:rPr>
        <w:t>is complete</w:t>
      </w:r>
      <w:r w:rsidR="00DB5195">
        <w:rPr>
          <w:rFonts w:asciiTheme="majorHAnsi" w:eastAsiaTheme="minorHAnsi" w:hAnsiTheme="majorHAnsi" w:cstheme="minorBidi"/>
          <w:lang w:eastAsia="en-US"/>
        </w:rPr>
        <w:t xml:space="preserve"> </w:t>
      </w:r>
      <w:r w:rsidR="00C30EC1">
        <w:rPr>
          <w:rFonts w:asciiTheme="majorHAnsi" w:eastAsiaTheme="minorHAnsi" w:hAnsiTheme="majorHAnsi" w:cstheme="minorBidi"/>
          <w:lang w:eastAsia="en-US"/>
        </w:rPr>
        <w:t>&amp;</w:t>
      </w:r>
      <w:r w:rsidRPr="001E00C8">
        <w:rPr>
          <w:rFonts w:asciiTheme="majorHAnsi" w:eastAsiaTheme="minorHAnsi" w:hAnsiTheme="majorHAnsi" w:cstheme="minorBidi"/>
          <w:lang w:eastAsia="en-US"/>
        </w:rPr>
        <w:t xml:space="preserve"> take</w:t>
      </w:r>
      <w:r w:rsidR="00C30EC1">
        <w:rPr>
          <w:rFonts w:asciiTheme="majorHAnsi" w:eastAsiaTheme="minorHAnsi" w:hAnsiTheme="majorHAnsi" w:cstheme="minorBidi"/>
          <w:lang w:eastAsia="en-US"/>
        </w:rPr>
        <w:t>s</w:t>
      </w:r>
      <w:r w:rsidRPr="001E00C8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the Section 508 compliance</w:t>
      </w:r>
      <w:r w:rsidR="00DB5195">
        <w:rPr>
          <w:rFonts w:asciiTheme="majorHAnsi" w:eastAsiaTheme="minorHAnsi" w:hAnsiTheme="majorHAnsi" w:cstheme="minorBidi"/>
          <w:lang w:eastAsia="en-US"/>
        </w:rPr>
        <w:t xml:space="preserve"> score to 90%</w:t>
      </w:r>
      <w:r w:rsidRPr="001E00C8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D00D70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</w:t>
      </w:r>
      <w:r w:rsidR="002F4122">
        <w:rPr>
          <w:rFonts w:asciiTheme="majorHAnsi" w:eastAsiaTheme="minorHAnsi" w:hAnsiTheme="majorHAnsi" w:cstheme="minorBidi"/>
          <w:lang w:eastAsia="en-US"/>
        </w:rPr>
        <w:t>ugs ARRAY 2053 and ARRAY</w:t>
      </w:r>
      <w:r w:rsidR="00C30EC1">
        <w:rPr>
          <w:rFonts w:asciiTheme="majorHAnsi" w:eastAsiaTheme="minorHAnsi" w:hAnsiTheme="majorHAnsi" w:cstheme="minorBidi"/>
          <w:lang w:eastAsia="en-US"/>
        </w:rPr>
        <w:t>-2055 are more complex than originally estimated and will take a few extra days to fix.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65563F" w:rsidRDefault="0065563F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Section 508 compli</w:t>
      </w:r>
      <w:r w:rsidR="00DD3394">
        <w:rPr>
          <w:rFonts w:asciiTheme="majorHAnsi" w:eastAsiaTheme="minorHAnsi" w:hAnsiTheme="majorHAnsi" w:cstheme="minorBidi"/>
          <w:lang w:eastAsia="en-US"/>
        </w:rPr>
        <w:t xml:space="preserve">ance – score is currently 90% on </w:t>
      </w:r>
      <w:r w:rsidR="00357B35">
        <w:rPr>
          <w:rFonts w:asciiTheme="majorHAnsi" w:eastAsiaTheme="minorHAnsi" w:hAnsiTheme="majorHAnsi" w:cstheme="minorBidi"/>
          <w:lang w:eastAsia="en-US"/>
        </w:rPr>
        <w:t>the D</w:t>
      </w:r>
      <w:r w:rsidR="00DD3394">
        <w:rPr>
          <w:rFonts w:asciiTheme="majorHAnsi" w:eastAsiaTheme="minorHAnsi" w:hAnsiTheme="majorHAnsi" w:cstheme="minorBidi"/>
          <w:lang w:eastAsia="en-US"/>
        </w:rPr>
        <w:t>ev</w:t>
      </w:r>
      <w:r w:rsidR="00357B35">
        <w:rPr>
          <w:rFonts w:asciiTheme="majorHAnsi" w:eastAsiaTheme="minorHAnsi" w:hAnsiTheme="majorHAnsi" w:cstheme="minorBidi"/>
          <w:lang w:eastAsia="en-US"/>
        </w:rPr>
        <w:t xml:space="preserve"> tier.</w:t>
      </w:r>
    </w:p>
    <w:p w:rsidR="00357B35" w:rsidRDefault="00393103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TCGA data</w:t>
      </w:r>
      <w:r w:rsidR="004F1159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357B35">
        <w:rPr>
          <w:rFonts w:asciiTheme="majorHAnsi" w:eastAsiaTheme="minorHAnsi" w:hAnsiTheme="majorHAnsi" w:cstheme="minorBidi"/>
          <w:lang w:eastAsia="en-US"/>
        </w:rPr>
        <w:t>waiting for the TCGA team to prioritize</w:t>
      </w:r>
      <w:r w:rsidR="00062699">
        <w:rPr>
          <w:rFonts w:asciiTheme="majorHAnsi" w:eastAsiaTheme="minorHAnsi" w:hAnsiTheme="majorHAnsi" w:cstheme="minorBidi"/>
          <w:lang w:eastAsia="en-US"/>
        </w:rPr>
        <w:t>.</w:t>
      </w:r>
    </w:p>
    <w:p w:rsidR="00456CA5" w:rsidRPr="00E60495" w:rsidRDefault="00357B35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Team will work on tech stack upgrades next.</w:t>
      </w:r>
    </w:p>
    <w:p w:rsidR="000A06CE" w:rsidRPr="00456CA5" w:rsidRDefault="00393103" w:rsidP="00456CA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357B35">
        <w:rPr>
          <w:rFonts w:asciiTheme="majorHAnsi" w:eastAsiaTheme="minorHAnsi" w:hAnsiTheme="majorHAnsi" w:cstheme="minorBidi"/>
          <w:lang w:eastAsia="en-US"/>
        </w:rPr>
        <w:t xml:space="preserve"> will be updated to include all items from the SOW</w:t>
      </w:r>
      <w:r w:rsidR="00456CA5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0E7E74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2A0C2C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Jill is </w:t>
      </w:r>
      <w:r w:rsidR="0077235C">
        <w:rPr>
          <w:rFonts w:asciiTheme="majorHAnsi" w:eastAsiaTheme="minorHAnsi" w:hAnsiTheme="majorHAnsi" w:cstheme="minorBidi"/>
          <w:lang w:eastAsia="en-US"/>
        </w:rPr>
        <w:t xml:space="preserve">almost done with the caIntegrator guide </w:t>
      </w:r>
      <w:r>
        <w:rPr>
          <w:rFonts w:asciiTheme="majorHAnsi" w:eastAsiaTheme="minorHAnsi" w:hAnsiTheme="majorHAnsi" w:cstheme="minorBidi"/>
          <w:lang w:eastAsia="en-US"/>
        </w:rPr>
        <w:t>o</w:t>
      </w:r>
      <w:r w:rsidR="0077235C">
        <w:rPr>
          <w:rFonts w:asciiTheme="majorHAnsi" w:eastAsiaTheme="minorHAnsi" w:hAnsiTheme="majorHAnsi" w:cstheme="minorBidi"/>
          <w:lang w:eastAsia="en-US"/>
        </w:rPr>
        <w:t>n</w:t>
      </w:r>
      <w:r>
        <w:rPr>
          <w:rFonts w:asciiTheme="majorHAnsi" w:eastAsiaTheme="minorHAnsi" w:hAnsiTheme="majorHAnsi" w:cstheme="minorBidi"/>
          <w:lang w:eastAsia="en-US"/>
        </w:rPr>
        <w:t xml:space="preserve"> the wiki.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E646D2" w:rsidRDefault="00576BE9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documentation states that UPT must not be used to create groups. But some users have done this anyway, and ended up with a problem u</w:t>
      </w:r>
      <w:r w:rsidR="00E646D2">
        <w:rPr>
          <w:rFonts w:asciiTheme="majorHAnsi" w:eastAsiaTheme="minorHAnsi" w:hAnsiTheme="majorHAnsi" w:cstheme="minorBidi"/>
          <w:lang w:eastAsia="en-US"/>
        </w:rPr>
        <w:t>pgrading caArray</w:t>
      </w:r>
      <w:r>
        <w:rPr>
          <w:rFonts w:asciiTheme="majorHAnsi" w:eastAsiaTheme="minorHAnsi" w:hAnsiTheme="majorHAnsi" w:cstheme="minorBidi"/>
          <w:lang w:eastAsia="en-US"/>
        </w:rPr>
        <w:t>. Doug’s previous efforts to restore state have not worked, and n</w:t>
      </w:r>
      <w:r w:rsidR="00E646D2">
        <w:rPr>
          <w:rFonts w:asciiTheme="majorHAnsi" w:eastAsiaTheme="minorHAnsi" w:hAnsiTheme="majorHAnsi" w:cstheme="minorBidi"/>
          <w:lang w:eastAsia="en-US"/>
        </w:rPr>
        <w:t>o known workaround other than reinstallation</w:t>
      </w:r>
      <w:r>
        <w:rPr>
          <w:rFonts w:asciiTheme="majorHAnsi" w:eastAsiaTheme="minorHAnsi" w:hAnsiTheme="majorHAnsi" w:cstheme="minorBidi"/>
          <w:lang w:eastAsia="en-US"/>
        </w:rPr>
        <w:t xml:space="preserve"> exists</w:t>
      </w:r>
      <w:r w:rsidR="00E646D2">
        <w:rPr>
          <w:rFonts w:asciiTheme="majorHAnsi" w:eastAsiaTheme="minorHAnsi" w:hAnsiTheme="majorHAnsi" w:cstheme="minorBidi"/>
          <w:lang w:eastAsia="en-US"/>
        </w:rPr>
        <w:t xml:space="preserve">. </w:t>
      </w:r>
      <w:r>
        <w:rPr>
          <w:rFonts w:asciiTheme="majorHAnsi" w:eastAsiaTheme="minorHAnsi" w:hAnsiTheme="majorHAnsi" w:cstheme="minorBidi"/>
          <w:lang w:eastAsia="en-US"/>
        </w:rPr>
        <w:t>JJ to talk to Sichen Liu to ask</w:t>
      </w:r>
      <w:r w:rsidR="00E646D2">
        <w:rPr>
          <w:rFonts w:asciiTheme="majorHAnsi" w:eastAsiaTheme="minorHAnsi" w:hAnsiTheme="majorHAnsi" w:cstheme="minorBidi"/>
          <w:lang w:eastAsia="en-US"/>
        </w:rPr>
        <w:t xml:space="preserve"> if UPT can be configured to prevent users from creating new groups in UPT.</w:t>
      </w:r>
    </w:p>
    <w:p w:rsidR="00095B1E" w:rsidRDefault="00E646D2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Indiana University is having trouble importing </w:t>
      </w:r>
      <w:r w:rsidR="00576BE9">
        <w:rPr>
          <w:rFonts w:asciiTheme="majorHAnsi" w:eastAsiaTheme="minorHAnsi" w:hAnsiTheme="majorHAnsi" w:cstheme="minorBidi"/>
          <w:lang w:eastAsia="en-US"/>
        </w:rPr>
        <w:t xml:space="preserve">the </w:t>
      </w:r>
      <w:r>
        <w:rPr>
          <w:rFonts w:asciiTheme="majorHAnsi" w:eastAsiaTheme="minorHAnsi" w:hAnsiTheme="majorHAnsi" w:cstheme="minorBidi"/>
          <w:lang w:eastAsia="en-US"/>
        </w:rPr>
        <w:t xml:space="preserve">Affy </w:t>
      </w:r>
      <w:r w:rsidR="00576BE9">
        <w:rPr>
          <w:rFonts w:asciiTheme="majorHAnsi" w:eastAsiaTheme="minorHAnsi" w:hAnsiTheme="majorHAnsi" w:cstheme="minorBidi"/>
          <w:lang w:eastAsia="en-US"/>
        </w:rPr>
        <w:t xml:space="preserve">Human </w:t>
      </w:r>
      <w:r>
        <w:rPr>
          <w:rFonts w:asciiTheme="majorHAnsi" w:eastAsiaTheme="minorHAnsi" w:hAnsiTheme="majorHAnsi" w:cstheme="minorBidi"/>
          <w:lang w:eastAsia="en-US"/>
        </w:rPr>
        <w:t xml:space="preserve">Exon array design. Import works on PRODUCTION and STAGE (8GB heap space), but fails on a local instance due to smaller heap space. Michael Honig </w:t>
      </w:r>
      <w:r w:rsidR="00576BE9">
        <w:rPr>
          <w:rFonts w:asciiTheme="majorHAnsi" w:eastAsiaTheme="minorHAnsi" w:hAnsiTheme="majorHAnsi" w:cstheme="minorBidi"/>
          <w:lang w:eastAsia="en-US"/>
        </w:rPr>
        <w:t>will try with a</w:t>
      </w:r>
      <w:r>
        <w:rPr>
          <w:rFonts w:asciiTheme="majorHAnsi" w:eastAsiaTheme="minorHAnsi" w:hAnsiTheme="majorHAnsi" w:cstheme="minorBidi"/>
          <w:lang w:eastAsia="en-US"/>
        </w:rPr>
        <w:t xml:space="preserve"> heap space </w:t>
      </w:r>
      <w:r w:rsidR="00576BE9">
        <w:rPr>
          <w:rFonts w:asciiTheme="majorHAnsi" w:eastAsiaTheme="minorHAnsi" w:hAnsiTheme="majorHAnsi" w:cstheme="minorBidi"/>
          <w:lang w:eastAsia="en-US"/>
        </w:rPr>
        <w:t>of</w:t>
      </w:r>
      <w:r>
        <w:rPr>
          <w:rFonts w:asciiTheme="majorHAnsi" w:eastAsiaTheme="minorHAnsi" w:hAnsiTheme="majorHAnsi" w:cstheme="minorBidi"/>
          <w:lang w:eastAsia="en-US"/>
        </w:rPr>
        <w:t xml:space="preserve"> 4GB.</w:t>
      </w:r>
    </w:p>
    <w:p w:rsidR="0077235C" w:rsidRDefault="00095B1E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Importer integration into 2.4.1: Not feasible given the amount of effort still needed to integrate it at the code level.</w:t>
      </w:r>
      <w:r w:rsidR="000B2F54">
        <w:rPr>
          <w:rFonts w:asciiTheme="majorHAnsi" w:eastAsiaTheme="minorHAnsi" w:hAnsiTheme="majorHAnsi" w:cstheme="minorBidi"/>
          <w:lang w:eastAsia="en-US"/>
        </w:rPr>
        <w:t xml:space="preserve"> Quy to let Zhong know what needs to be changed to make the Importer work with 2.4.1.</w:t>
      </w:r>
    </w:p>
    <w:p w:rsidR="00E646D2" w:rsidRDefault="0077235C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– Don </w:t>
      </w:r>
      <w:r w:rsidR="00C25DF6">
        <w:rPr>
          <w:rFonts w:asciiTheme="majorHAnsi" w:eastAsiaTheme="minorHAnsi" w:hAnsiTheme="majorHAnsi" w:cstheme="minorBidi"/>
          <w:lang w:eastAsia="en-US"/>
        </w:rPr>
        <w:t xml:space="preserve">is </w:t>
      </w:r>
      <w:r>
        <w:rPr>
          <w:rFonts w:asciiTheme="majorHAnsi" w:eastAsiaTheme="minorHAnsi" w:hAnsiTheme="majorHAnsi" w:cstheme="minorBidi"/>
          <w:lang w:eastAsia="en-US"/>
        </w:rPr>
        <w:t>working with the Philips group from the Netherlands.</w:t>
      </w:r>
    </w:p>
    <w:p w:rsidR="004F1159" w:rsidRPr="004F1159" w:rsidRDefault="004F1159" w:rsidP="004F1159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8904AC" w:rsidRPr="00A60134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8904AC" w:rsidRPr="00FA56CA">
        <w:trPr>
          <w:cantSplit/>
        </w:trPr>
        <w:tc>
          <w:tcPr>
            <w:tcW w:w="810" w:type="dxa"/>
            <w:shd w:val="clear" w:color="auto" w:fill="CCCCCC"/>
          </w:tcPr>
          <w:p w:rsidR="008904AC" w:rsidRPr="00455D66" w:rsidRDefault="008904AC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8904AC" w:rsidRPr="00455D66" w:rsidRDefault="008904AC" w:rsidP="00BA18E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</w:t>
            </w:r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et up a meeting to discuss alternative short-term solutions to the large data set import problem</w:t>
            </w: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  <w:shd w:val="clear" w:color="auto" w:fill="CCCCCC"/>
          </w:tcPr>
          <w:p w:rsidR="008904AC" w:rsidRPr="00455D66" w:rsidRDefault="008904A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  <w:shd w:val="clear" w:color="auto" w:fill="CCCCCC"/>
          </w:tcPr>
          <w:p w:rsidR="008904AC" w:rsidRPr="00455D66" w:rsidRDefault="008904AC" w:rsidP="002B5F9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shd w:val="clear" w:color="auto" w:fill="CCCCCC"/>
          </w:tcPr>
          <w:p w:rsidR="008904AC" w:rsidRPr="00455D66" w:rsidRDefault="008670FB" w:rsidP="00457EB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8904AC" w:rsidRPr="00FA56CA">
        <w:trPr>
          <w:cantSplit/>
        </w:trPr>
        <w:tc>
          <w:tcPr>
            <w:tcW w:w="810" w:type="dxa"/>
            <w:shd w:val="clear" w:color="auto" w:fill="CCCCCC"/>
          </w:tcPr>
          <w:p w:rsidR="008904AC" w:rsidRPr="00455D66" w:rsidRDefault="008904AC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8904AC" w:rsidRPr="00455D66" w:rsidRDefault="00455D66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</w:t>
            </w:r>
            <w:r w:rsidR="008904AC" w:rsidRPr="007C3F3D">
              <w:rPr>
                <w:rFonts w:asciiTheme="majorHAnsi" w:eastAsiaTheme="minorHAnsi" w:hAnsiTheme="majorHAnsi" w:cstheme="minorBidi"/>
                <w:lang w:eastAsia="en-US"/>
              </w:rPr>
              <w:t>end requirements process to JJ and schedule follow-up meeting</w:t>
            </w:r>
            <w:r w:rsidR="008904AC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  <w:shd w:val="clear" w:color="auto" w:fill="CCCCCC"/>
          </w:tcPr>
          <w:p w:rsidR="008904AC" w:rsidRPr="00455D66" w:rsidRDefault="008904A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  <w:shd w:val="clear" w:color="auto" w:fill="CCCCCC"/>
          </w:tcPr>
          <w:p w:rsidR="008904AC" w:rsidRPr="00455D66" w:rsidRDefault="008904AC" w:rsidP="002B5F9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shd w:val="clear" w:color="auto" w:fill="CCCCCC"/>
          </w:tcPr>
          <w:p w:rsidR="008904AC" w:rsidRPr="00455D66" w:rsidRDefault="00820B0C" w:rsidP="00457EB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A60134" w:rsidRPr="00FA56CA">
        <w:trPr>
          <w:cantSplit/>
        </w:trPr>
        <w:tc>
          <w:tcPr>
            <w:tcW w:w="810" w:type="dxa"/>
            <w:shd w:val="clear" w:color="auto" w:fill="CCCCCC"/>
          </w:tcPr>
          <w:p w:rsidR="00A60134" w:rsidRPr="00455D66" w:rsidRDefault="00A60134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A60134" w:rsidRPr="007C3F3D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</w:t>
            </w:r>
            <w:r w:rsidRPr="00303A93">
              <w:rPr>
                <w:rFonts w:asciiTheme="majorHAnsi" w:eastAsiaTheme="minorHAnsi" w:hAnsiTheme="majorHAnsi" w:cstheme="minorBidi"/>
                <w:lang w:eastAsia="en-US"/>
              </w:rPr>
              <w:t>rovide a list of TCGA data - loadable/not loadable/unknowns and some options</w:t>
            </w:r>
          </w:p>
        </w:tc>
        <w:tc>
          <w:tcPr>
            <w:tcW w:w="1620" w:type="dxa"/>
            <w:shd w:val="clear" w:color="auto" w:fill="CCCCCC"/>
          </w:tcPr>
          <w:p w:rsidR="00A60134" w:rsidRPr="00455D66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shd w:val="clear" w:color="auto" w:fill="CCCCCC"/>
          </w:tcPr>
          <w:p w:rsidR="00A60134" w:rsidRPr="000A588E" w:rsidRDefault="00A6013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shd w:val="clear" w:color="auto" w:fill="CCCCCC"/>
          </w:tcPr>
          <w:p w:rsidR="00A60134" w:rsidRDefault="008670F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A60134" w:rsidRPr="00FA56CA">
        <w:trPr>
          <w:cantSplit/>
        </w:trPr>
        <w:tc>
          <w:tcPr>
            <w:tcW w:w="810" w:type="dxa"/>
            <w:shd w:val="clear" w:color="auto" w:fill="CCCCCC"/>
          </w:tcPr>
          <w:p w:rsidR="00A60134" w:rsidRPr="00455D66" w:rsidRDefault="00A60134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A60134" w:rsidRPr="007C3F3D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</w:t>
            </w:r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et up a meeting to discuss which TCGA data types need to be loaded into caIntegrator. Attendees: Tanya Davidson, Xiaopeng, Juli, Mervi, Shine, JP. (Mervi, Shine and JP all have vacation plans during August.)</w:t>
            </w:r>
          </w:p>
        </w:tc>
        <w:tc>
          <w:tcPr>
            <w:tcW w:w="1620" w:type="dxa"/>
            <w:shd w:val="clear" w:color="auto" w:fill="CCCCCC"/>
          </w:tcPr>
          <w:p w:rsidR="00A60134" w:rsidRPr="00455D66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530" w:type="dxa"/>
            <w:shd w:val="clear" w:color="auto" w:fill="CCCCCC"/>
          </w:tcPr>
          <w:p w:rsidR="00A60134" w:rsidRPr="000A588E" w:rsidRDefault="00A6013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shd w:val="clear" w:color="auto" w:fill="CCCCCC"/>
          </w:tcPr>
          <w:p w:rsidR="00A60134" w:rsidRDefault="00457EB0" w:rsidP="00457EB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2B6FA0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2B6FA0" w:rsidRPr="007C3F3D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2B6FA0" w:rsidRPr="00455D66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2B6FA0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2B6FA0" w:rsidRPr="00FA56CA">
        <w:trPr>
          <w:cantSplit/>
        </w:trPr>
        <w:tc>
          <w:tcPr>
            <w:tcW w:w="810" w:type="dxa"/>
            <w:shd w:val="clear" w:color="auto" w:fill="CCCCCC"/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2B6FA0" w:rsidRPr="007C3F3D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access needs to run caArrayImporter client to load data onto caArray on NCI Production server.</w:t>
            </w:r>
          </w:p>
        </w:tc>
        <w:tc>
          <w:tcPr>
            <w:tcW w:w="1620" w:type="dxa"/>
            <w:shd w:val="clear" w:color="auto" w:fill="CCCCCC"/>
          </w:tcPr>
          <w:p w:rsidR="002B6FA0" w:rsidRPr="00455D66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  <w:shd w:val="clear" w:color="auto" w:fill="CCCCCC"/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  <w:shd w:val="clear" w:color="auto" w:fill="CCCCCC"/>
          </w:tcPr>
          <w:p w:rsidR="002B6FA0" w:rsidRDefault="00820B0C" w:rsidP="008670F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2B6FA0" w:rsidRPr="00FA56CA">
        <w:trPr>
          <w:cantSplit/>
        </w:trPr>
        <w:tc>
          <w:tcPr>
            <w:tcW w:w="810" w:type="dxa"/>
            <w:shd w:val="clear" w:color="auto" w:fill="CCCCCC"/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2B6FA0" w:rsidRPr="007C3F3D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Write up a short capability description of caArrayImporter client and QTP for loading large data sets.  Quy and Andrew to support.</w:t>
            </w:r>
          </w:p>
        </w:tc>
        <w:tc>
          <w:tcPr>
            <w:tcW w:w="1620" w:type="dxa"/>
            <w:shd w:val="clear" w:color="auto" w:fill="CCCCCC"/>
          </w:tcPr>
          <w:p w:rsidR="002B6FA0" w:rsidRPr="00455D66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  <w:shd w:val="clear" w:color="auto" w:fill="CCCCCC"/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  <w:shd w:val="clear" w:color="auto" w:fill="CCCCCC"/>
          </w:tcPr>
          <w:p w:rsidR="002B6FA0" w:rsidRDefault="008670F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2B6FA0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CCCCC"/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CCCCC"/>
          </w:tcPr>
          <w:p w:rsidR="002B6FA0" w:rsidRPr="007C3F3D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Write up a requirement for autoloader – short term solution using caArrayImporter or QTP.  Xiaopang to provide input.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CCCCC"/>
          </w:tcPr>
          <w:p w:rsidR="002B6FA0" w:rsidRPr="00455D66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CCCCC"/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CCCCC"/>
          </w:tcPr>
          <w:p w:rsidR="002B6FA0" w:rsidRDefault="008670FB" w:rsidP="004E0B0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2B6FA0" w:rsidRPr="00FA56CA">
        <w:trPr>
          <w:cantSplit/>
        </w:trPr>
        <w:tc>
          <w:tcPr>
            <w:tcW w:w="810" w:type="dxa"/>
            <w:shd w:val="clear" w:color="auto" w:fill="CCCCCC"/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2B6FA0" w:rsidRPr="007C3F3D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Follow up with Rashmi to see if she can help resolve the problem of running the 508 compliance testing tool against caIntegrator.</w:t>
            </w:r>
          </w:p>
        </w:tc>
        <w:tc>
          <w:tcPr>
            <w:tcW w:w="1620" w:type="dxa"/>
            <w:shd w:val="clear" w:color="auto" w:fill="CCCCCC"/>
          </w:tcPr>
          <w:p w:rsidR="002B6FA0" w:rsidRPr="00455D66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530" w:type="dxa"/>
            <w:shd w:val="clear" w:color="auto" w:fill="CCCCCC"/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  <w:shd w:val="clear" w:color="auto" w:fill="CCCCCC"/>
          </w:tcPr>
          <w:p w:rsidR="002B6FA0" w:rsidRDefault="00A40B0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E03847" w:rsidRPr="00FA56CA">
        <w:trPr>
          <w:cantSplit/>
        </w:trPr>
        <w:tc>
          <w:tcPr>
            <w:tcW w:w="810" w:type="dxa"/>
          </w:tcPr>
          <w:p w:rsidR="00E03847" w:rsidRPr="00455D66" w:rsidRDefault="00E03847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E03847" w:rsidRDefault="00E03847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Kervalage needs list of </w:t>
            </w:r>
            <w:r w:rsidR="00820B0C">
              <w:rPr>
                <w:rFonts w:asciiTheme="majorHAnsi" w:eastAsiaTheme="minorHAnsi" w:hAnsiTheme="majorHAnsi" w:cstheme="minorBidi"/>
                <w:lang w:eastAsia="en-US"/>
              </w:rPr>
              <w:t>TRANSCEN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D requirements and LOE.</w:t>
            </w:r>
          </w:p>
        </w:tc>
        <w:tc>
          <w:tcPr>
            <w:tcW w:w="1620" w:type="dxa"/>
          </w:tcPr>
          <w:p w:rsidR="00E03847" w:rsidRDefault="00E0384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  <w:r w:rsidR="005A36DE"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E03847" w:rsidRDefault="00E0384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E03847" w:rsidRDefault="00F80E9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</w:t>
            </w:r>
            <w:r w:rsidR="00E03847">
              <w:rPr>
                <w:rFonts w:asciiTheme="majorHAnsi" w:eastAsiaTheme="minorHAnsi" w:hAnsiTheme="majorHAnsi" w:cstheme="minorBidi"/>
                <w:lang w:eastAsia="en-US"/>
              </w:rPr>
              <w:t>rogress</w:t>
            </w:r>
          </w:p>
        </w:tc>
      </w:tr>
      <w:tr w:rsidR="0054041B" w:rsidRPr="00FA56CA" w:rsidTr="00C25DF6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54041B" w:rsidRPr="00455D66" w:rsidRDefault="0054041B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54041B" w:rsidRDefault="0054041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and Rashmi to provide latest product roadmaps to Zhong for the MAT-KC.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54041B" w:rsidRDefault="0054041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 and Rashmi Srinivasa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54041B" w:rsidRDefault="0054041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8/23/2011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54041B" w:rsidRDefault="0054041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3D5222" w:rsidRPr="00FA56CA" w:rsidTr="00C25DF6">
        <w:trPr>
          <w:cantSplit/>
        </w:trPr>
        <w:tc>
          <w:tcPr>
            <w:tcW w:w="810" w:type="dxa"/>
            <w:shd w:val="clear" w:color="auto" w:fill="CCCCCC"/>
          </w:tcPr>
          <w:p w:rsidR="003D5222" w:rsidRPr="00455D66" w:rsidRDefault="003D5222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  <w:shd w:val="clear" w:color="auto" w:fill="CCCCCC"/>
          </w:tcPr>
          <w:p w:rsidR="003D5222" w:rsidRDefault="003D5222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Provide TRANSCEND requirements document to JJ.</w:t>
            </w:r>
          </w:p>
        </w:tc>
        <w:tc>
          <w:tcPr>
            <w:tcW w:w="1620" w:type="dxa"/>
            <w:shd w:val="clear" w:color="auto" w:fill="CCCCCC"/>
          </w:tcPr>
          <w:p w:rsidR="003D5222" w:rsidRDefault="003D5222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shd w:val="clear" w:color="auto" w:fill="CCCCCC"/>
          </w:tcPr>
          <w:p w:rsidR="003D5222" w:rsidRDefault="003D522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8/30/2011</w:t>
            </w:r>
          </w:p>
        </w:tc>
        <w:tc>
          <w:tcPr>
            <w:tcW w:w="2160" w:type="dxa"/>
            <w:shd w:val="clear" w:color="auto" w:fill="CCCCCC"/>
          </w:tcPr>
          <w:p w:rsidR="003D5222" w:rsidRDefault="00F84371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6E69FE" w:rsidRPr="00FA56CA">
        <w:trPr>
          <w:cantSplit/>
        </w:trPr>
        <w:tc>
          <w:tcPr>
            <w:tcW w:w="810" w:type="dxa"/>
          </w:tcPr>
          <w:p w:rsidR="006E69FE" w:rsidRPr="00455D66" w:rsidRDefault="006E69FE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6E69FE" w:rsidRDefault="006E69F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6E69FE" w:rsidRDefault="00C25DF6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6E69FE" w:rsidRDefault="00C25DF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E69FE" w:rsidRDefault="00C25DF6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710110"/>
    <w:rsid w:val="000033D8"/>
    <w:rsid w:val="00062699"/>
    <w:rsid w:val="00077B8B"/>
    <w:rsid w:val="00095B1E"/>
    <w:rsid w:val="000A06CE"/>
    <w:rsid w:val="000A588E"/>
    <w:rsid w:val="000B2F54"/>
    <w:rsid w:val="000C089E"/>
    <w:rsid w:val="000E7E74"/>
    <w:rsid w:val="001053B6"/>
    <w:rsid w:val="00110CAE"/>
    <w:rsid w:val="00112A0E"/>
    <w:rsid w:val="001163AD"/>
    <w:rsid w:val="001839A5"/>
    <w:rsid w:val="001A3D01"/>
    <w:rsid w:val="001E00C8"/>
    <w:rsid w:val="001E2F93"/>
    <w:rsid w:val="00216EDC"/>
    <w:rsid w:val="0027195D"/>
    <w:rsid w:val="002931EC"/>
    <w:rsid w:val="002A0C2C"/>
    <w:rsid w:val="002B5F91"/>
    <w:rsid w:val="002B6FA0"/>
    <w:rsid w:val="002F4122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A7C71"/>
    <w:rsid w:val="003D5222"/>
    <w:rsid w:val="003E2C16"/>
    <w:rsid w:val="00400A66"/>
    <w:rsid w:val="00400D27"/>
    <w:rsid w:val="00455D66"/>
    <w:rsid w:val="00456CA5"/>
    <w:rsid w:val="00457EB0"/>
    <w:rsid w:val="00475C4D"/>
    <w:rsid w:val="0049241C"/>
    <w:rsid w:val="004A0655"/>
    <w:rsid w:val="004E0B03"/>
    <w:rsid w:val="004E4593"/>
    <w:rsid w:val="004E729C"/>
    <w:rsid w:val="004F1159"/>
    <w:rsid w:val="004F52B0"/>
    <w:rsid w:val="005304A3"/>
    <w:rsid w:val="005376BD"/>
    <w:rsid w:val="0054041B"/>
    <w:rsid w:val="00542440"/>
    <w:rsid w:val="00576BE9"/>
    <w:rsid w:val="00587CF1"/>
    <w:rsid w:val="005A36DE"/>
    <w:rsid w:val="005C6A00"/>
    <w:rsid w:val="005E0792"/>
    <w:rsid w:val="005F69AF"/>
    <w:rsid w:val="006321E3"/>
    <w:rsid w:val="006328C1"/>
    <w:rsid w:val="00652A0A"/>
    <w:rsid w:val="0065563F"/>
    <w:rsid w:val="0067692E"/>
    <w:rsid w:val="006C4809"/>
    <w:rsid w:val="006E69FE"/>
    <w:rsid w:val="006E6BD0"/>
    <w:rsid w:val="00710110"/>
    <w:rsid w:val="0071595A"/>
    <w:rsid w:val="007400A8"/>
    <w:rsid w:val="007704BC"/>
    <w:rsid w:val="0077235C"/>
    <w:rsid w:val="0079028C"/>
    <w:rsid w:val="00795732"/>
    <w:rsid w:val="007A1973"/>
    <w:rsid w:val="007A665B"/>
    <w:rsid w:val="007C3F3D"/>
    <w:rsid w:val="007D0B97"/>
    <w:rsid w:val="008126F0"/>
    <w:rsid w:val="00820B0C"/>
    <w:rsid w:val="008343A4"/>
    <w:rsid w:val="008670FB"/>
    <w:rsid w:val="00875F31"/>
    <w:rsid w:val="008904AC"/>
    <w:rsid w:val="008B35D7"/>
    <w:rsid w:val="008B5F5D"/>
    <w:rsid w:val="00924F28"/>
    <w:rsid w:val="00946A32"/>
    <w:rsid w:val="00946CAF"/>
    <w:rsid w:val="00962E0C"/>
    <w:rsid w:val="0097286F"/>
    <w:rsid w:val="00974562"/>
    <w:rsid w:val="00A358CB"/>
    <w:rsid w:val="00A37FEF"/>
    <w:rsid w:val="00A40B0C"/>
    <w:rsid w:val="00A52DA5"/>
    <w:rsid w:val="00A55A02"/>
    <w:rsid w:val="00A60134"/>
    <w:rsid w:val="00A70E67"/>
    <w:rsid w:val="00A82FAF"/>
    <w:rsid w:val="00AB1081"/>
    <w:rsid w:val="00AD2D18"/>
    <w:rsid w:val="00B04B43"/>
    <w:rsid w:val="00B35592"/>
    <w:rsid w:val="00B46AD7"/>
    <w:rsid w:val="00B758AF"/>
    <w:rsid w:val="00B8571C"/>
    <w:rsid w:val="00BA18EA"/>
    <w:rsid w:val="00C25DF6"/>
    <w:rsid w:val="00C30EC1"/>
    <w:rsid w:val="00C561ED"/>
    <w:rsid w:val="00CD038B"/>
    <w:rsid w:val="00D00D70"/>
    <w:rsid w:val="00D12B32"/>
    <w:rsid w:val="00D218F1"/>
    <w:rsid w:val="00D60228"/>
    <w:rsid w:val="00D8263A"/>
    <w:rsid w:val="00DB5195"/>
    <w:rsid w:val="00DC18C8"/>
    <w:rsid w:val="00DD3394"/>
    <w:rsid w:val="00DE6819"/>
    <w:rsid w:val="00E03847"/>
    <w:rsid w:val="00E4279D"/>
    <w:rsid w:val="00E60495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F1496A"/>
    <w:rsid w:val="00F3451D"/>
    <w:rsid w:val="00F50921"/>
    <w:rsid w:val="00F80E9C"/>
    <w:rsid w:val="00F84371"/>
    <w:rsid w:val="00FA0D43"/>
    <w:rsid w:val="00FA0F64"/>
    <w:rsid w:val="00FA7567"/>
    <w:rsid w:val="00FC19DC"/>
    <w:rsid w:val="00FF25E5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584</Words>
  <Characters>3329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4088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89</cp:revision>
  <cp:lastPrinted>2009-08-31T19:25:00Z</cp:lastPrinted>
  <dcterms:created xsi:type="dcterms:W3CDTF">2011-08-16T17:09:00Z</dcterms:created>
  <dcterms:modified xsi:type="dcterms:W3CDTF">2011-09-07T02:22:00Z</dcterms:modified>
</cp:coreProperties>
</file>