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415" w:rsidRDefault="00515415" w:rsidP="00515415">
      <w:pPr>
        <w:pStyle w:val="CoverClientName"/>
      </w:pPr>
      <w:r w:rsidRPr="00403BD5">
        <w:rPr>
          <w:rStyle w:val="CoverDocumentTitleChar"/>
        </w:rPr>
        <w:fldChar w:fldCharType="begin"/>
      </w:r>
      <w:r w:rsidRPr="00403BD5">
        <w:rPr>
          <w:rStyle w:val="CoverDocumentTitleChar"/>
        </w:rPr>
        <w:instrText xml:space="preserve"> TITLE   \* MERGEFORMAT </w:instrText>
      </w:r>
      <w:r w:rsidRPr="00403BD5">
        <w:rPr>
          <w:rStyle w:val="CoverDocumentTitleChar"/>
        </w:rPr>
        <w:fldChar w:fldCharType="separate"/>
      </w:r>
      <w:r>
        <w:rPr>
          <w:rStyle w:val="CoverDocumentTitleChar"/>
        </w:rPr>
        <w:t>Manage Experiment Data Files Use Case Specification</w:t>
      </w:r>
      <w:r w:rsidRPr="00403BD5">
        <w:rPr>
          <w:rStyle w:val="CoverDocumentTitleChar"/>
        </w:rPr>
        <w:fldChar w:fldCharType="end"/>
      </w:r>
      <w:r w:rsidRPr="00403BD5">
        <w:rPr>
          <w:rStyle w:val="CoverDocumentTitleChar"/>
        </w:rPr>
        <w:br/>
      </w:r>
      <w:r w:rsidRPr="00403BD5">
        <w:rPr>
          <w:rStyle w:val="CoverSolutionNameChar"/>
        </w:rPr>
        <w:fldChar w:fldCharType="begin"/>
      </w:r>
      <w:r w:rsidRPr="00403BD5">
        <w:rPr>
          <w:rStyle w:val="CoverSolutionNameChar"/>
        </w:rPr>
        <w:instrText xml:space="preserve"> SUBJECT   \* MERGEFORMAT </w:instrText>
      </w:r>
      <w:r w:rsidRPr="00403BD5">
        <w:rPr>
          <w:rStyle w:val="CoverSolutionNameChar"/>
        </w:rPr>
        <w:fldChar w:fldCharType="separate"/>
      </w:r>
      <w:proofErr w:type="spellStart"/>
      <w:r>
        <w:rPr>
          <w:rStyle w:val="CoverSolutionNameChar"/>
        </w:rPr>
        <w:t>caArray</w:t>
      </w:r>
      <w:proofErr w:type="spellEnd"/>
      <w:r w:rsidRPr="00403BD5">
        <w:rPr>
          <w:rStyle w:val="CoverSolutionNameChar"/>
        </w:rPr>
        <w:fldChar w:fldCharType="end"/>
      </w:r>
    </w:p>
    <w:tbl>
      <w:tblPr>
        <w:tblW w:w="0" w:type="auto"/>
        <w:tblInd w:w="3888" w:type="dxa"/>
        <w:tblLook w:val="0000"/>
      </w:tblPr>
      <w:tblGrid>
        <w:gridCol w:w="3240"/>
        <w:gridCol w:w="2448"/>
      </w:tblGrid>
      <w:tr w:rsidR="00515415">
        <w:tblPrEx>
          <w:tblCellMar>
            <w:top w:w="0" w:type="dxa"/>
            <w:bottom w:w="0" w:type="dxa"/>
          </w:tblCellMar>
        </w:tblPrEx>
        <w:tc>
          <w:tcPr>
            <w:tcW w:w="3240" w:type="dxa"/>
          </w:tcPr>
          <w:p w:rsidR="00515415" w:rsidRDefault="00515415" w:rsidP="00515415">
            <w:pPr>
              <w:pStyle w:val="CoverSubtitle"/>
            </w:pPr>
            <w:r>
              <w:t>Last Revised:</w:t>
            </w:r>
          </w:p>
        </w:tc>
        <w:tc>
          <w:tcPr>
            <w:tcW w:w="2448" w:type="dxa"/>
          </w:tcPr>
          <w:p w:rsidR="00515415" w:rsidRDefault="004773F3" w:rsidP="004773F3">
            <w:pPr>
              <w:pStyle w:val="VersionDate"/>
            </w:pPr>
            <w:r>
              <w:t>Feb 29</w:t>
            </w:r>
            <w:r w:rsidR="00515415">
              <w:t>, 201</w:t>
            </w:r>
            <w:r>
              <w:t>2</w:t>
            </w:r>
          </w:p>
        </w:tc>
      </w:tr>
      <w:tr w:rsidR="00515415">
        <w:tblPrEx>
          <w:tblCellMar>
            <w:top w:w="0" w:type="dxa"/>
            <w:bottom w:w="0" w:type="dxa"/>
          </w:tblCellMar>
        </w:tblPrEx>
        <w:tc>
          <w:tcPr>
            <w:tcW w:w="3240" w:type="dxa"/>
          </w:tcPr>
          <w:p w:rsidR="00515415" w:rsidRDefault="00515415" w:rsidP="00515415">
            <w:pPr>
              <w:pStyle w:val="CoverSubtitle"/>
            </w:pPr>
            <w:r>
              <w:t xml:space="preserve">Produced By: </w:t>
            </w:r>
          </w:p>
        </w:tc>
        <w:tc>
          <w:tcPr>
            <w:tcW w:w="2448" w:type="dxa"/>
          </w:tcPr>
          <w:p w:rsidR="00515415" w:rsidRDefault="00515415" w:rsidP="00515415">
            <w:pPr>
              <w:pStyle w:val="CoverSubtitle"/>
              <w:ind w:left="-108"/>
            </w:pPr>
            <w:r>
              <w:t>CBIIT Development</w:t>
            </w:r>
          </w:p>
        </w:tc>
      </w:tr>
      <w:tr w:rsidR="00515415">
        <w:tblPrEx>
          <w:tblCellMar>
            <w:top w:w="0" w:type="dxa"/>
            <w:bottom w:w="0" w:type="dxa"/>
          </w:tblCellMar>
        </w:tblPrEx>
        <w:tc>
          <w:tcPr>
            <w:tcW w:w="3240" w:type="dxa"/>
          </w:tcPr>
          <w:p w:rsidR="00515415" w:rsidRDefault="00515415" w:rsidP="00515415">
            <w:pPr>
              <w:pStyle w:val="CoverSubtitle"/>
            </w:pPr>
            <w:r>
              <w:t xml:space="preserve">Version: </w:t>
            </w:r>
          </w:p>
        </w:tc>
        <w:tc>
          <w:tcPr>
            <w:tcW w:w="2448" w:type="dxa"/>
          </w:tcPr>
          <w:p w:rsidR="00515415" w:rsidRDefault="00341509" w:rsidP="00515415">
            <w:pPr>
              <w:pStyle w:val="VersionNumber"/>
            </w:pPr>
            <w:r>
              <w:t>2.2</w:t>
            </w:r>
          </w:p>
        </w:tc>
      </w:tr>
    </w:tbl>
    <w:p w:rsidR="00515415" w:rsidRPr="00403BD5" w:rsidRDefault="00515415" w:rsidP="00515415">
      <w:pPr>
        <w:pStyle w:val="CoverSubtitle"/>
      </w:pPr>
    </w:p>
    <w:p w:rsidR="00515415" w:rsidRDefault="00515415">
      <w:pPr>
        <w:pStyle w:val="CoverText"/>
      </w:pPr>
    </w:p>
    <w:p w:rsidR="00515415" w:rsidRDefault="00515415">
      <w:pPr>
        <w:pStyle w:val="CoverText"/>
        <w:sectPr w:rsidR="00515415" w:rsidSect="00515415">
          <w:headerReference w:type="default" r:id="rId7"/>
          <w:pgSz w:w="12240" w:h="15840" w:code="1"/>
          <w:pgMar w:top="540" w:right="1440" w:bottom="1440" w:left="1440" w:header="1800" w:footer="1080" w:gutter="0"/>
          <w:pgNumType w:start="1"/>
          <w:docGrid w:linePitch="360"/>
        </w:sectPr>
      </w:pPr>
    </w:p>
    <w:p w:rsidR="00515415" w:rsidRDefault="00515415" w:rsidP="00515415">
      <w:pPr>
        <w:pStyle w:val="Heading1"/>
      </w:pPr>
      <w:bookmarkStart w:id="0" w:name="_Toc223764671"/>
      <w:r w:rsidRPr="00102149">
        <w:t>Description</w:t>
      </w:r>
      <w:bookmarkEnd w:id="0"/>
    </w:p>
    <w:p w:rsidR="00515415" w:rsidRPr="00CC23DF" w:rsidRDefault="00515415" w:rsidP="00515415">
      <w:pPr>
        <w:pStyle w:val="BodyText"/>
        <w:rPr>
          <w:rFonts w:eastAsia="?l?r ??’c"/>
        </w:rPr>
      </w:pPr>
      <w:bookmarkStart w:id="1" w:name="_Toc423410239"/>
      <w:bookmarkStart w:id="2" w:name="_Toc425054505"/>
      <w:r w:rsidRPr="00CC23DF">
        <w:rPr>
          <w:rFonts w:eastAsia="?l?r ??’c"/>
        </w:rPr>
        <w:t xml:space="preserve">Initiated by a </w:t>
      </w:r>
      <w:r>
        <w:rPr>
          <w:rFonts w:eastAsia="?l?r ??’c"/>
        </w:rPr>
        <w:t>Data Owner</w:t>
      </w:r>
      <w:r w:rsidRPr="00CC23DF">
        <w:rPr>
          <w:rFonts w:eastAsia="?l?r ??’c"/>
        </w:rPr>
        <w:t xml:space="preserve">, this use case allows </w:t>
      </w:r>
      <w:r>
        <w:rPr>
          <w:rFonts w:eastAsia="?l?r ??’c"/>
        </w:rPr>
        <w:t>for data files, MAGE-TAB files and/or supplementary files to be uploaded to an experiment in preparation for import</w:t>
      </w:r>
      <w:r w:rsidRPr="00CC23DF">
        <w:rPr>
          <w:rFonts w:eastAsia="?l?r ??’c"/>
        </w:rPr>
        <w:t>.</w:t>
      </w:r>
    </w:p>
    <w:p w:rsidR="00515415" w:rsidRDefault="00515415" w:rsidP="00515415">
      <w:pPr>
        <w:pStyle w:val="Heading1"/>
      </w:pPr>
      <w:bookmarkStart w:id="3" w:name="_Toc423410253"/>
      <w:bookmarkStart w:id="4" w:name="_Toc425054512"/>
      <w:bookmarkStart w:id="5" w:name="_Toc138703355"/>
      <w:bookmarkStart w:id="6" w:name="_Toc223764672"/>
      <w:r>
        <w:t>Preconditions</w:t>
      </w:r>
      <w:bookmarkEnd w:id="3"/>
      <w:bookmarkEnd w:id="4"/>
      <w:bookmarkEnd w:id="5"/>
      <w:bookmarkEnd w:id="6"/>
    </w:p>
    <w:p w:rsidR="00515415" w:rsidRDefault="00515415" w:rsidP="00515415">
      <w:pPr>
        <w:pStyle w:val="BodyText"/>
      </w:pPr>
      <w:bookmarkStart w:id="7" w:name="_Basic_Flow_of"/>
      <w:bookmarkStart w:id="8" w:name="_Basic_Flow_of_Events"/>
      <w:bookmarkEnd w:id="1"/>
      <w:bookmarkEnd w:id="2"/>
      <w:bookmarkEnd w:id="7"/>
      <w:bookmarkEnd w:id="8"/>
      <w:r>
        <w:t>A Data Owner, typically a Lab Scientist, has logged into the System, and has an experiment available to load data into.</w:t>
      </w:r>
    </w:p>
    <w:p w:rsidR="00515415" w:rsidRDefault="00515415" w:rsidP="00515415">
      <w:pPr>
        <w:pStyle w:val="Heading1"/>
      </w:pPr>
      <w:bookmarkStart w:id="9" w:name="_Toc223764673"/>
      <w:r w:rsidRPr="00CD2651">
        <w:t>Basic Flow</w:t>
      </w:r>
      <w:bookmarkEnd w:id="9"/>
      <w:r>
        <w:t>: Upload Files</w:t>
      </w:r>
    </w:p>
    <w:p w:rsidR="00515415" w:rsidRDefault="00515415" w:rsidP="00515415">
      <w:pPr>
        <w:pStyle w:val="BodyText"/>
      </w:pPr>
      <w:r>
        <w:t>The Data Owner chooses to upload data files, MAGE-TAB files and/or supplementary files to an existing experiment. To do this, the Data Owner selects one or more individual files or compressed (.zip) files, and specifies whether the .zip archive should be unpacked by the System.</w:t>
      </w:r>
    </w:p>
    <w:p w:rsidR="00515415" w:rsidRDefault="00515415" w:rsidP="00515415">
      <w:pPr>
        <w:pStyle w:val="BodyText"/>
      </w:pPr>
      <w:r>
        <w:t>The System starts the process of saving the files to the repository and keeps the Data Owner updated of progress. During the upload, the Data Owner is free to navigate to other portions of the System in a different window.</w:t>
      </w:r>
    </w:p>
    <w:p w:rsidR="00515415" w:rsidRDefault="00515415" w:rsidP="00515415">
      <w:pPr>
        <w:pStyle w:val="BodyText"/>
      </w:pPr>
      <w:r>
        <w:t>Once the upload is complete, the System shows the uploaded files along with their inferred type, and provides the Data Owner the ability to change the file type, validate, import, make supplemental or delete any subset of the files.</w:t>
      </w:r>
    </w:p>
    <w:p w:rsidR="00515415" w:rsidRDefault="00515415" w:rsidP="00515415">
      <w:pPr>
        <w:pStyle w:val="Heading1"/>
      </w:pPr>
      <w:bookmarkStart w:id="10" w:name="_Toc15008521"/>
      <w:bookmarkStart w:id="11" w:name="_The_Principal_Investigator"/>
      <w:bookmarkStart w:id="12" w:name="_The_System_saves"/>
      <w:bookmarkStart w:id="13" w:name="_Toc223764674"/>
      <w:bookmarkEnd w:id="11"/>
      <w:bookmarkEnd w:id="12"/>
      <w:r>
        <w:t>Post Conditions</w:t>
      </w:r>
      <w:bookmarkEnd w:id="13"/>
    </w:p>
    <w:p w:rsidR="00515415" w:rsidRDefault="00515415" w:rsidP="00515415">
      <w:pPr>
        <w:pStyle w:val="BodyText"/>
      </w:pPr>
      <w:r>
        <w:t>The uploaded files have been stored in the repository, and their types have been inferred (from the extension) if possible. The Data Owner can validate or import the files (see Use Case: Validate Data Files and Use Case: Import Experiment Data). The Data Owner can change the file type, make files supplementary, delete files or select a set of related files.</w:t>
      </w:r>
    </w:p>
    <w:p w:rsidR="00515415" w:rsidRDefault="00515415" w:rsidP="00515415">
      <w:pPr>
        <w:pStyle w:val="Heading1"/>
      </w:pPr>
      <w:bookmarkStart w:id="14" w:name="_Toc223764675"/>
      <w:r>
        <w:t>Alternative Flow</w:t>
      </w:r>
      <w:bookmarkEnd w:id="10"/>
      <w:bookmarkEnd w:id="14"/>
      <w:r>
        <w:t>: Change File Type</w:t>
      </w:r>
    </w:p>
    <w:p w:rsidR="00515415" w:rsidRDefault="00515415" w:rsidP="00515415">
      <w:pPr>
        <w:pStyle w:val="BodyText"/>
      </w:pPr>
      <w:bookmarkStart w:id="15" w:name="_Make_Experiment_Public"/>
      <w:bookmarkStart w:id="16" w:name="_Retract_Public_Experiment"/>
      <w:bookmarkEnd w:id="15"/>
      <w:bookmarkEnd w:id="16"/>
      <w:r>
        <w:t>If the System could not infer the type of the file from the extension, or if the System-inferred type is incorrect, the Data Owner can explicitly select the type of a file(s) from a list of supported types.</w:t>
      </w:r>
    </w:p>
    <w:p w:rsidR="00515415" w:rsidRDefault="00515415" w:rsidP="00515415">
      <w:pPr>
        <w:pStyle w:val="Heading1"/>
      </w:pPr>
      <w:r>
        <w:t>Alternative Flow: Make Supplemental</w:t>
      </w:r>
    </w:p>
    <w:p w:rsidR="00515415" w:rsidRDefault="00515415" w:rsidP="00515415">
      <w:pPr>
        <w:pStyle w:val="BodyText"/>
      </w:pPr>
      <w:r>
        <w:t>The Data Owner can select any of the files (including ones with an unknown file type) and mark them as supplemental. These are files that are associated with the entire experiment rather than with specific samples, and are not parsed or validated.</w:t>
      </w:r>
    </w:p>
    <w:p w:rsidR="00515415" w:rsidRDefault="00515415" w:rsidP="00515415">
      <w:pPr>
        <w:pStyle w:val="Heading1"/>
      </w:pPr>
      <w:r>
        <w:t>Alternative Flow: Delete Files</w:t>
      </w:r>
    </w:p>
    <w:p w:rsidR="00515415" w:rsidRDefault="00515415" w:rsidP="00515415">
      <w:pPr>
        <w:pStyle w:val="BodyText"/>
      </w:pPr>
      <w:r>
        <w:t>The Data Owner can delete any files, but imported files can be deleted only if they are not associated to any hybridization. Note that “Imported, not Parsed” files can be deleted even if they are associated with a hybridization.</w:t>
      </w:r>
    </w:p>
    <w:p w:rsidR="00515415" w:rsidRDefault="00515415" w:rsidP="00515415">
      <w:pPr>
        <w:pStyle w:val="Heading1"/>
      </w:pPr>
      <w:r>
        <w:t>Alternative Flow: Select Referenced Files</w:t>
      </w:r>
    </w:p>
    <w:p w:rsidR="00515415" w:rsidRDefault="00515415" w:rsidP="00515415">
      <w:pPr>
        <w:pStyle w:val="BodyText"/>
      </w:pPr>
      <w:r>
        <w:t>This flow enables easy selection of a set of related files for validation or import as a whole. Out of the set of uploaded files, the Data Owner can pick a MAGE-TAB IDF file and ask for the MAGE-TAB SDRF file referenced from that IDF and all data files referenced from that SDRF to be selected. The System examines the IDF and associated SDRF and selects all files referenced, allowing the ability to validate or import the selected set of files as a whole. If the referenced files cannot be selected due to an error in the MAGE-TAB files, the System indicates the error to the Data Owner.</w:t>
      </w:r>
    </w:p>
    <w:p w:rsidR="00515415" w:rsidRDefault="007B4A98" w:rsidP="00515415">
      <w:pPr>
        <w:pStyle w:val="Heading1"/>
      </w:pPr>
      <w:r>
        <w:t>Alternative</w:t>
      </w:r>
      <w:r w:rsidR="00515415">
        <w:t xml:space="preserve"> Flow: Resume Interrupted Upload</w:t>
      </w:r>
    </w:p>
    <w:p w:rsidR="00D0659D" w:rsidRDefault="00515415" w:rsidP="00515415">
      <w:pPr>
        <w:pStyle w:val="BodyText"/>
      </w:pPr>
      <w:r>
        <w:t xml:space="preserve">If an upload is interrupted </w:t>
      </w:r>
      <w:r w:rsidR="00D0659D">
        <w:t>(either deliberately by the Data Owner pressing the "Pause" button, or by a network connection failure)</w:t>
      </w:r>
      <w:r>
        <w:t xml:space="preserve">, the upload will </w:t>
      </w:r>
      <w:r w:rsidR="00D0659D">
        <w:t>be stopped.</w:t>
      </w:r>
    </w:p>
    <w:p w:rsidR="00515415" w:rsidRDefault="00D0659D" w:rsidP="00515415">
      <w:pPr>
        <w:pStyle w:val="BodyText"/>
      </w:pPr>
      <w:r>
        <w:t>The System will allow</w:t>
      </w:r>
      <w:r w:rsidR="00515415">
        <w:t xml:space="preserve"> the Data Owner to resume the upload at the point it was interrupted.</w:t>
      </w:r>
    </w:p>
    <w:p w:rsidR="00515415" w:rsidRDefault="00515415" w:rsidP="00515415">
      <w:pPr>
        <w:pStyle w:val="Heading1"/>
      </w:pPr>
      <w:r>
        <w:t>Exception Flow: Invalid zip</w:t>
      </w:r>
    </w:p>
    <w:p w:rsidR="00515415" w:rsidRDefault="00515415" w:rsidP="00515415">
      <w:pPr>
        <w:pStyle w:val="BodyText"/>
      </w:pPr>
      <w:r>
        <w:t>Trying to upload .zip archives with directories or corrupted zips will result in an error.</w:t>
      </w:r>
    </w:p>
    <w:p w:rsidR="00515415" w:rsidRDefault="00515415" w:rsidP="00515415">
      <w:pPr>
        <w:pStyle w:val="Heading1"/>
        <w:numPr>
          <w:ilvl w:val="0"/>
          <w:numId w:val="1"/>
        </w:numPr>
      </w:pPr>
      <w:r>
        <w:t>Special Requirements: Parseable Types</w:t>
      </w:r>
    </w:p>
    <w:p w:rsidR="00515415" w:rsidRDefault="00515415" w:rsidP="00515415">
      <w:pPr>
        <w:pStyle w:val="BodyText"/>
      </w:pPr>
      <w:r>
        <w:t>The System provides parsers for a few supported parseable file types:</w:t>
      </w:r>
    </w:p>
    <w:p w:rsidR="00515415" w:rsidRDefault="00515415" w:rsidP="00515415">
      <w:pPr>
        <w:pStyle w:val="BodyText"/>
        <w:numPr>
          <w:ilvl w:val="0"/>
          <w:numId w:val="16"/>
        </w:numPr>
        <w:spacing w:after="0"/>
      </w:pPr>
      <w:r>
        <w:t>Affymetrix CEL, CHP</w:t>
      </w:r>
      <w:r w:rsidR="002830C4">
        <w:t>, CNCHP</w:t>
      </w:r>
    </w:p>
    <w:p w:rsidR="00515415" w:rsidRDefault="00515415" w:rsidP="00515415">
      <w:pPr>
        <w:pStyle w:val="BodyText"/>
        <w:numPr>
          <w:ilvl w:val="0"/>
          <w:numId w:val="16"/>
        </w:numPr>
        <w:spacing w:after="0"/>
      </w:pPr>
      <w:proofErr w:type="spellStart"/>
      <w:r>
        <w:t>Illumina</w:t>
      </w:r>
      <w:proofErr w:type="spellEnd"/>
      <w:r>
        <w:t xml:space="preserve"> Sample Probe Profile TXT, Genotyping Processed Data Matrix TXT, CSV</w:t>
      </w:r>
    </w:p>
    <w:p w:rsidR="00515415" w:rsidRDefault="00515415" w:rsidP="00515415">
      <w:pPr>
        <w:pStyle w:val="BodyText"/>
        <w:numPr>
          <w:ilvl w:val="0"/>
          <w:numId w:val="16"/>
        </w:numPr>
        <w:spacing w:after="0"/>
      </w:pPr>
      <w:r>
        <w:t>Agilent Raw TXT</w:t>
      </w:r>
    </w:p>
    <w:p w:rsidR="00515415" w:rsidRDefault="00515415" w:rsidP="00515415">
      <w:pPr>
        <w:pStyle w:val="BodyText"/>
        <w:numPr>
          <w:ilvl w:val="0"/>
          <w:numId w:val="16"/>
        </w:numPr>
        <w:spacing w:after="0"/>
      </w:pPr>
      <w:proofErr w:type="spellStart"/>
      <w:r>
        <w:t>Genepix</w:t>
      </w:r>
      <w:proofErr w:type="spellEnd"/>
      <w:r>
        <w:t xml:space="preserve"> GPR</w:t>
      </w:r>
    </w:p>
    <w:p w:rsidR="00515415" w:rsidRDefault="00515415" w:rsidP="00515415">
      <w:pPr>
        <w:pStyle w:val="BodyText"/>
        <w:numPr>
          <w:ilvl w:val="0"/>
          <w:numId w:val="16"/>
        </w:numPr>
        <w:spacing w:after="0"/>
      </w:pPr>
      <w:proofErr w:type="spellStart"/>
      <w:r>
        <w:t>Nimblegen</w:t>
      </w:r>
      <w:proofErr w:type="spellEnd"/>
      <w:r>
        <w:t xml:space="preserve"> Pair Report TXT</w:t>
      </w:r>
    </w:p>
    <w:p w:rsidR="00515415" w:rsidRDefault="00515415" w:rsidP="00515415">
      <w:pPr>
        <w:pStyle w:val="BodyText"/>
        <w:numPr>
          <w:ilvl w:val="0"/>
          <w:numId w:val="16"/>
        </w:numPr>
        <w:spacing w:after="0"/>
      </w:pPr>
      <w:r>
        <w:t>Copy Number Data Matrix (a form of MAGE-TAB Data Matrix)</w:t>
      </w:r>
    </w:p>
    <w:p w:rsidR="00515415" w:rsidRDefault="00515415" w:rsidP="00515415">
      <w:pPr>
        <w:pStyle w:val="BodyText"/>
      </w:pPr>
      <w:r>
        <w:t>The System supports importing but not parsing for a few currently “unparseable” types:</w:t>
      </w:r>
    </w:p>
    <w:p w:rsidR="00515415" w:rsidRDefault="00515415" w:rsidP="00515415">
      <w:pPr>
        <w:pStyle w:val="BodyText"/>
        <w:numPr>
          <w:ilvl w:val="0"/>
          <w:numId w:val="17"/>
        </w:numPr>
        <w:spacing w:after="0"/>
      </w:pPr>
      <w:r>
        <w:t>Affymetrix DAT, EXP, RPT, TXT</w:t>
      </w:r>
    </w:p>
    <w:p w:rsidR="00515415" w:rsidRDefault="00515415" w:rsidP="00515415">
      <w:pPr>
        <w:pStyle w:val="BodyText"/>
        <w:numPr>
          <w:ilvl w:val="0"/>
          <w:numId w:val="17"/>
        </w:numPr>
        <w:spacing w:after="0"/>
      </w:pPr>
      <w:r>
        <w:t>Illumina IDAT, TXT</w:t>
      </w:r>
    </w:p>
    <w:p w:rsidR="00515415" w:rsidRDefault="00515415" w:rsidP="00515415">
      <w:pPr>
        <w:pStyle w:val="BodyText"/>
        <w:numPr>
          <w:ilvl w:val="0"/>
          <w:numId w:val="17"/>
        </w:numPr>
        <w:spacing w:after="0"/>
      </w:pPr>
      <w:r>
        <w:t>Agilent TSV, Derived TXT</w:t>
      </w:r>
    </w:p>
    <w:p w:rsidR="00515415" w:rsidRDefault="002830C4" w:rsidP="00515415">
      <w:pPr>
        <w:pStyle w:val="BodyText"/>
        <w:numPr>
          <w:ilvl w:val="0"/>
          <w:numId w:val="17"/>
        </w:numPr>
        <w:spacing w:after="0"/>
      </w:pPr>
      <w:r>
        <w:t>MAGE-TAB Data M</w:t>
      </w:r>
      <w:r w:rsidR="00515415">
        <w:t>atrix</w:t>
      </w:r>
      <w:r>
        <w:t xml:space="preserve"> (not Copy Number Data Matrix)</w:t>
      </w:r>
    </w:p>
    <w:p w:rsidR="00515415" w:rsidRDefault="00515415" w:rsidP="00515415">
      <w:pPr>
        <w:pStyle w:val="BodyText"/>
        <w:numPr>
          <w:ilvl w:val="0"/>
          <w:numId w:val="17"/>
        </w:numPr>
        <w:spacing w:after="0"/>
      </w:pPr>
      <w:proofErr w:type="spellStart"/>
      <w:r>
        <w:t>ImaGene</w:t>
      </w:r>
      <w:proofErr w:type="spellEnd"/>
      <w:r>
        <w:t xml:space="preserve"> TXT, TIF</w:t>
      </w:r>
    </w:p>
    <w:p w:rsidR="00515415" w:rsidRDefault="00515415" w:rsidP="00515415">
      <w:pPr>
        <w:pStyle w:val="BodyText"/>
        <w:numPr>
          <w:ilvl w:val="0"/>
          <w:numId w:val="17"/>
        </w:numPr>
        <w:spacing w:after="0"/>
      </w:pPr>
      <w:r>
        <w:t>Nimblegen TXT, GFF</w:t>
      </w:r>
    </w:p>
    <w:p w:rsidR="00515415" w:rsidRDefault="00515415" w:rsidP="00515415">
      <w:pPr>
        <w:pStyle w:val="BodyText"/>
        <w:numPr>
          <w:ilvl w:val="0"/>
          <w:numId w:val="17"/>
        </w:numPr>
        <w:spacing w:after="0"/>
      </w:pPr>
      <w:r>
        <w:t>UCSF SPOT SPT</w:t>
      </w:r>
    </w:p>
    <w:p w:rsidR="00515415" w:rsidRDefault="00515415" w:rsidP="00515415">
      <w:pPr>
        <w:pStyle w:val="BodyText"/>
        <w:numPr>
          <w:ilvl w:val="0"/>
          <w:numId w:val="17"/>
        </w:numPr>
        <w:spacing w:after="0"/>
      </w:pPr>
      <w:r>
        <w:t>GEO SOFT, GSM</w:t>
      </w:r>
    </w:p>
    <w:p w:rsidR="00515415" w:rsidRDefault="00515415" w:rsidP="00515415">
      <w:pPr>
        <w:pStyle w:val="BodyText"/>
        <w:numPr>
          <w:ilvl w:val="0"/>
          <w:numId w:val="17"/>
        </w:numPr>
        <w:spacing w:after="0"/>
      </w:pPr>
      <w:r>
        <w:t>ScanArray CSV</w:t>
      </w:r>
    </w:p>
    <w:p w:rsidR="00515415" w:rsidRDefault="00515415" w:rsidP="00515415">
      <w:pPr>
        <w:pStyle w:val="BodyText"/>
      </w:pPr>
      <w:r>
        <w:t>The intention is to add parsers for the currently “unparseable” types in future releases.</w:t>
      </w:r>
    </w:p>
    <w:sectPr w:rsidR="00515415" w:rsidSect="00515415">
      <w:headerReference w:type="even" r:id="rId8"/>
      <w:headerReference w:type="default" r:id="rId9"/>
      <w:footerReference w:type="even" r:id="rId10"/>
      <w:footerReference w:type="default" r:id="rId11"/>
      <w:headerReference w:type="first" r:id="rId12"/>
      <w:pgSz w:w="12240" w:h="15840" w:code="1"/>
      <w:pgMar w:top="180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415" w:rsidRDefault="00515415">
      <w:r>
        <w:separator/>
      </w:r>
    </w:p>
  </w:endnote>
  <w:endnote w:type="continuationSeparator" w:id="0">
    <w:p w:rsidR="00515415" w:rsidRDefault="005154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notTrueType/>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r ??’c">
    <w:altName w:val="Arial Unicode MS"/>
    <w:panose1 w:val="00000000000000000000"/>
    <w:charset w:val="80"/>
    <w:family w:val="modern"/>
    <w:notTrueType/>
    <w:pitch w:val="default"/>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15" w:rsidRPr="000E066A" w:rsidRDefault="00515415" w:rsidP="00515415">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15" w:rsidRPr="000E066A" w:rsidRDefault="00515415" w:rsidP="00515415">
    <w:pPr>
      <w:pStyle w:val="Footer"/>
      <w:tabs>
        <w:tab w:val="left" w:pos="2940"/>
      </w:tabs>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773F3">
      <w:rPr>
        <w:rStyle w:val="PageNumber"/>
        <w:noProof/>
      </w:rPr>
      <w:t>1</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415" w:rsidRDefault="00515415">
      <w:r>
        <w:separator/>
      </w:r>
    </w:p>
  </w:footnote>
  <w:footnote w:type="continuationSeparator" w:id="0">
    <w:p w:rsidR="00515415" w:rsidRDefault="0051541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15" w:rsidRDefault="00D0659D" w:rsidP="00515415">
    <w:pPr>
      <w:jc w:val="right"/>
    </w:pPr>
    <w:r>
      <w:rPr>
        <w:b/>
        <w:noProof/>
      </w:rPr>
      <w:drawing>
        <wp:inline distT="0" distB="0" distL="0" distR="0">
          <wp:extent cx="2286000" cy="721360"/>
          <wp:effectExtent l="25400" t="0" r="0" b="0"/>
          <wp:docPr id="1" name="Picture 1" descr="logo_ca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aarray"/>
                  <pic:cNvPicPr>
                    <a:picLocks noChangeAspect="1" noChangeArrowheads="1"/>
                  </pic:cNvPicPr>
                </pic:nvPicPr>
                <pic:blipFill>
                  <a:blip r:embed="rId1"/>
                  <a:srcRect/>
                  <a:stretch>
                    <a:fillRect/>
                  </a:stretch>
                </pic:blipFill>
                <pic:spPr bwMode="auto">
                  <a:xfrm>
                    <a:off x="0" y="0"/>
                    <a:ext cx="2286000" cy="721360"/>
                  </a:xfrm>
                  <a:prstGeom prst="rect">
                    <a:avLst/>
                  </a:prstGeom>
                  <a:noFill/>
                  <a:ln w="9525">
                    <a:noFill/>
                    <a:miter lim="800000"/>
                    <a:headEnd/>
                    <a:tailEnd/>
                  </a:ln>
                </pic:spPr>
              </pic:pic>
            </a:graphicData>
          </a:graphic>
        </wp:inline>
      </w:drawing>
    </w:r>
  </w:p>
  <w:p w:rsidR="00515415" w:rsidRDefault="00515415" w:rsidP="00515415">
    <w:pPr>
      <w:pStyle w:val="CoverClientName"/>
    </w:pPr>
    <w:r>
      <w:t xml:space="preserve">National Cancer Institute </w:t>
    </w:r>
    <w:r>
      <w:br/>
      <w:t>Center for Biomedical Informatics</w:t>
    </w:r>
    <w:r>
      <w:br/>
      <w:t xml:space="preserve">and Information Technology </w:t>
    </w:r>
    <w:r>
      <w:br/>
      <w:t>(CBIIT)</w:t>
    </w:r>
    <w:r>
      <w:br/>
    </w:r>
    <w:r>
      <w:br/>
    </w:r>
    <w:r>
      <w:br/>
    </w:r>
    <w:r>
      <w:br/>
    </w:r>
    <w:r>
      <w:br/>
    </w:r>
  </w:p>
  <w:p w:rsidR="00515415" w:rsidRDefault="00515415" w:rsidP="00515415">
    <w:pPr>
      <w:pStyle w:val="CoverClientName"/>
    </w:pPr>
    <w:r>
      <w:rPr>
        <w:rStyle w:val="CoverDocumentTitleChar"/>
      </w:rPr>
      <w:br/>
    </w:r>
    <w:r>
      <w:rPr>
        <w:rStyle w:val="CoverDocumentTitleChar"/>
      </w:rPr>
      <w:br/>
    </w:r>
    <w:r>
      <w:rPr>
        <w:rStyle w:val="CoverDocumentTitleChar"/>
      </w:rPr>
      <w:b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15" w:rsidRDefault="00515415">
    <w:pPr>
      <w:pStyle w:val="HeaderLine1Portrait"/>
    </w:pPr>
    <w:r>
      <w:fldChar w:fldCharType="begin"/>
    </w:r>
    <w:r>
      <w:instrText xml:space="preserve"> STYLEREF "Cover Document Title" \* MERGEFORMAT </w:instrText>
    </w:r>
    <w:r>
      <w:fldChar w:fldCharType="separate"/>
    </w:r>
    <w:r>
      <w:rPr>
        <w:b w:val="0"/>
        <w:bCs/>
        <w:noProof/>
      </w:rPr>
      <w:t>Error! No text of specified style in document.</w:t>
    </w:r>
    <w:r>
      <w:fldChar w:fldCharType="end"/>
    </w:r>
    <w:r>
      <w:tab/>
    </w:r>
    <w:r>
      <w:tab/>
      <w:t xml:space="preserve"> </w:t>
    </w:r>
  </w:p>
  <w:p w:rsidR="00515415" w:rsidRDefault="00515415">
    <w:pPr>
      <w:pStyle w:val="HeaderLine2Portrait"/>
    </w:pPr>
    <w:fldSimple w:instr=" STYLEREF &quot;Heading 1&quot;\w  \* MERGEFORMAT ">
      <w:r>
        <w:rPr>
          <w:noProof/>
        </w:rPr>
        <w:t>1</w:t>
      </w:r>
    </w:fldSimple>
    <w:r>
      <w:t xml:space="preserve">. </w:t>
    </w:r>
    <w:fldSimple w:instr=" STYLEREF &quot;Heading 1&quot; \* MERGEFORMAT ">
      <w:r>
        <w:rPr>
          <w:noProof/>
        </w:rPr>
        <w:t>Brief Description</w:t>
      </w:r>
    </w:fldSimple>
    <w:r>
      <w:tab/>
    </w:r>
    <w:r>
      <w:tab/>
    </w:r>
    <w:r>
      <w:fldChar w:fldCharType="begin"/>
    </w:r>
    <w:r>
      <w:instrText xml:space="preserve"> STYLEREF "Cover Solution Name" \* MERGEFORMAT </w:instrText>
    </w:r>
    <w:r>
      <w:fldChar w:fldCharType="separate"/>
    </w:r>
    <w:r>
      <w:rPr>
        <w:b/>
        <w:bCs/>
        <w:noProof/>
      </w:rPr>
      <w:t>Error! No text of specified style in document.</w:t>
    </w:r>
    <w:r>
      <w:fldChar w:fldCharType="end"/>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15" w:rsidRDefault="00515415">
    <w:pPr>
      <w:pStyle w:val="HeaderLine1Portrait"/>
    </w:pPr>
    <w:r>
      <w:tab/>
    </w:r>
    <w:r>
      <w:tab/>
    </w:r>
    <w:fldSimple w:instr=" TITLE   \* MERGEFORMAT ">
      <w:r>
        <w:t>Manage Experiment Data Files Use Case Specification</w:t>
      </w:r>
    </w:fldSimple>
  </w:p>
  <w:p w:rsidR="00515415" w:rsidRDefault="00515415">
    <w:pPr>
      <w:pStyle w:val="HeaderLine2Portrait"/>
    </w:pPr>
    <w:r>
      <w:fldChar w:fldCharType="begin"/>
    </w:r>
    <w:r>
      <w:instrText xml:space="preserve"> SUBJECT   \* MERGEFORMAT </w:instrText>
    </w:r>
    <w:r>
      <w:fldChar w:fldCharType="separate"/>
    </w:r>
    <w:proofErr w:type="spellStart"/>
    <w:proofErr w:type="gramStart"/>
    <w:r>
      <w:t>caArray</w:t>
    </w:r>
    <w:proofErr w:type="spellEnd"/>
    <w:proofErr w:type="gramEnd"/>
    <w:r>
      <w:fldChar w:fldCharType="end"/>
    </w:r>
    <w:r>
      <w:tab/>
    </w:r>
    <w:r>
      <w:tab/>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15" w:rsidRDefault="0051541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40E2"/>
    <w:multiLevelType w:val="hybridMultilevel"/>
    <w:tmpl w:val="BF9C5CEC"/>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3D870AC"/>
    <w:multiLevelType w:val="hybridMultilevel"/>
    <w:tmpl w:val="B0D69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357508"/>
    <w:multiLevelType w:val="hybridMultilevel"/>
    <w:tmpl w:val="F8A2F00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Arial"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Arial"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Arial"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3">
    <w:nsid w:val="3186110E"/>
    <w:multiLevelType w:val="hybridMultilevel"/>
    <w:tmpl w:val="0434A6F0"/>
    <w:lvl w:ilvl="0" w:tplc="E5C2032C">
      <w:start w:val="1"/>
      <w:numFmt w:val="bullet"/>
      <w:lvlText w:val=""/>
      <w:lvlJc w:val="left"/>
      <w:pPr>
        <w:tabs>
          <w:tab w:val="num" w:pos="3456"/>
        </w:tabs>
        <w:ind w:left="3456" w:hanging="576"/>
      </w:pPr>
      <w:rPr>
        <w:rFonts w:ascii="Wingdings" w:hAnsi="Wingdings" w:hint="default"/>
      </w:rPr>
    </w:lvl>
    <w:lvl w:ilvl="1" w:tplc="04090003">
      <w:start w:val="1"/>
      <w:numFmt w:val="bullet"/>
      <w:lvlText w:val="o"/>
      <w:lvlJc w:val="left"/>
      <w:pPr>
        <w:tabs>
          <w:tab w:val="num" w:pos="2736"/>
        </w:tabs>
        <w:ind w:left="2736" w:hanging="360"/>
      </w:pPr>
      <w:rPr>
        <w:rFonts w:ascii="Courier New" w:hAnsi="Courier New" w:cs="Arial"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Arial"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Arial"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4">
    <w:nsid w:val="31E96BDD"/>
    <w:multiLevelType w:val="hybridMultilevel"/>
    <w:tmpl w:val="81C00EA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Arial"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Arial"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Arial"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5">
    <w:nsid w:val="3E3712CE"/>
    <w:multiLevelType w:val="hybridMultilevel"/>
    <w:tmpl w:val="82FC7E82"/>
    <w:lvl w:ilvl="0" w:tplc="88B4E0AA">
      <w:start w:val="1"/>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400E1B9A"/>
    <w:multiLevelType w:val="hybridMultilevel"/>
    <w:tmpl w:val="16F87350"/>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Arial"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64206BCE"/>
    <w:multiLevelType w:val="hybridMultilevel"/>
    <w:tmpl w:val="F8429682"/>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4392FDB"/>
    <w:multiLevelType w:val="hybridMultilevel"/>
    <w:tmpl w:val="38DA4D08"/>
    <w:lvl w:ilvl="0" w:tplc="E5C2032C">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cs="Arial" w:hint="default"/>
      </w:rPr>
    </w:lvl>
    <w:lvl w:ilvl="2" w:tplc="04090005">
      <w:start w:val="1"/>
      <w:numFmt w:val="bullet"/>
      <w:lvlText w:val=""/>
      <w:lvlJc w:val="left"/>
      <w:pPr>
        <w:tabs>
          <w:tab w:val="num" w:pos="576"/>
        </w:tabs>
        <w:ind w:left="576" w:hanging="360"/>
      </w:pPr>
      <w:rPr>
        <w:rFonts w:ascii="Wingdings" w:hAnsi="Wingdings" w:hint="default"/>
      </w:rPr>
    </w:lvl>
    <w:lvl w:ilvl="3" w:tplc="0409000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Arial"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Arial"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0">
    <w:nsid w:val="6E923550"/>
    <w:multiLevelType w:val="hybridMultilevel"/>
    <w:tmpl w:val="ED70A7D6"/>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Arial"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71AF2000"/>
    <w:multiLevelType w:val="multilevel"/>
    <w:tmpl w:val="993C33E2"/>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1DD7656"/>
    <w:multiLevelType w:val="hybridMultilevel"/>
    <w:tmpl w:val="0DEED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67F2DA6"/>
    <w:multiLevelType w:val="hybridMultilevel"/>
    <w:tmpl w:val="CF5C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220916"/>
    <w:multiLevelType w:val="hybridMultilevel"/>
    <w:tmpl w:val="8DBCEE6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Arial"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7FCD3178"/>
    <w:multiLevelType w:val="hybridMultilevel"/>
    <w:tmpl w:val="F79EF548"/>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Arial"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1"/>
  </w:num>
  <w:num w:numId="2">
    <w:abstractNumId w:val="7"/>
  </w:num>
  <w:num w:numId="3">
    <w:abstractNumId w:val="11"/>
  </w:num>
  <w:num w:numId="4">
    <w:abstractNumId w:val="5"/>
  </w:num>
  <w:num w:numId="5">
    <w:abstractNumId w:val="10"/>
  </w:num>
  <w:num w:numId="6">
    <w:abstractNumId w:val="14"/>
  </w:num>
  <w:num w:numId="7">
    <w:abstractNumId w:val="8"/>
  </w:num>
  <w:num w:numId="8">
    <w:abstractNumId w:val="3"/>
  </w:num>
  <w:num w:numId="9">
    <w:abstractNumId w:val="9"/>
  </w:num>
  <w:num w:numId="10">
    <w:abstractNumId w:val="2"/>
  </w:num>
  <w:num w:numId="11">
    <w:abstractNumId w:val="4"/>
  </w:num>
  <w:num w:numId="12">
    <w:abstractNumId w:val="15"/>
  </w:num>
  <w:num w:numId="13">
    <w:abstractNumId w:val="6"/>
  </w:num>
  <w:num w:numId="14">
    <w:abstractNumId w:val="0"/>
  </w:num>
  <w:num w:numId="15">
    <w:abstractNumId w:val="12"/>
  </w:num>
  <w:num w:numId="16">
    <w:abstractNumId w:val="13"/>
  </w:num>
  <w:num w:numId="1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stylePaneFormatFilter w:val="3001"/>
  <w:defaultTabStop w:val="720"/>
  <w:noPunctuationKerning/>
  <w:characterSpacingControl w:val="doNotCompress"/>
  <w:hdrShapeDefaults>
    <o:shapedefaults v:ext="edit" spidmax="3074" fillcolor="white" stroke="f">
      <v:fill color="white"/>
      <v:stroke on="f"/>
      <v:shadow color="gray" opacity="1" offset="2pt,2pt"/>
    </o:shapedefaults>
  </w:hdrShapeDefaults>
  <w:footnotePr>
    <w:footnote w:id="-1"/>
    <w:footnote w:id="0"/>
  </w:footnotePr>
  <w:endnotePr>
    <w:endnote w:id="-1"/>
    <w:endnote w:id="0"/>
  </w:endnotePr>
  <w:compat/>
  <w:rsids>
    <w:rsidRoot w:val="00D41FC4"/>
    <w:rsid w:val="002830C4"/>
    <w:rsid w:val="00341509"/>
    <w:rsid w:val="003D4327"/>
    <w:rsid w:val="004773F3"/>
    <w:rsid w:val="00515415"/>
    <w:rsid w:val="00583AD6"/>
    <w:rsid w:val="007B4A98"/>
    <w:rsid w:val="00B023C9"/>
    <w:rsid w:val="00D0659D"/>
  </w:rsids>
  <m:mathPr>
    <m:mathFont m:val="Helv"/>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f">
      <v:fill color="white"/>
      <v:stroke on="f"/>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autoRedefine/>
    <w:qFormat/>
    <w:rsid w:val="0044560C"/>
    <w:pPr>
      <w:keepNext/>
      <w:numPr>
        <w:numId w:val="3"/>
      </w:numPr>
      <w:spacing w:before="480" w:after="120"/>
      <w:outlineLvl w:val="0"/>
    </w:pPr>
    <w:rPr>
      <w:rFonts w:cs="Arial"/>
      <w:b/>
      <w:bCs/>
      <w:color w:val="000080"/>
      <w:sz w:val="40"/>
      <w:szCs w:val="32"/>
    </w:rPr>
  </w:style>
  <w:style w:type="paragraph" w:styleId="Heading2">
    <w:name w:val="heading 2"/>
    <w:basedOn w:val="HeadingBase"/>
    <w:next w:val="BodyText"/>
    <w:qFormat/>
    <w:rsid w:val="0044434D"/>
    <w:pPr>
      <w:keepNext/>
      <w:numPr>
        <w:ilvl w:val="1"/>
        <w:numId w:val="3"/>
      </w:numPr>
      <w:spacing w:before="360" w:after="120"/>
      <w:outlineLvl w:val="1"/>
    </w:pPr>
    <w:rPr>
      <w:rFonts w:cs="Arial"/>
      <w:b/>
      <w:bCs/>
      <w:iCs/>
      <w:color w:val="000080"/>
      <w:sz w:val="32"/>
      <w:szCs w:val="28"/>
    </w:rPr>
  </w:style>
  <w:style w:type="paragraph" w:styleId="Heading3">
    <w:name w:val="heading 3"/>
    <w:basedOn w:val="HeadingBase"/>
    <w:next w:val="BodyText"/>
    <w:qFormat/>
    <w:rsid w:val="0044434D"/>
    <w:pPr>
      <w:keepNext/>
      <w:numPr>
        <w:ilvl w:val="2"/>
        <w:numId w:val="3"/>
      </w:numPr>
      <w:spacing w:before="360" w:after="120"/>
      <w:outlineLvl w:val="2"/>
    </w:pPr>
    <w:rPr>
      <w:rFonts w:cs="Arial"/>
      <w:b/>
      <w:color w:val="000080"/>
      <w:sz w:val="28"/>
      <w:szCs w:val="26"/>
    </w:rPr>
  </w:style>
  <w:style w:type="paragraph" w:styleId="Heading4">
    <w:name w:val="heading 4"/>
    <w:basedOn w:val="HeadingBase"/>
    <w:autoRedefine/>
    <w:qFormat/>
    <w:rsid w:val="00921CC5"/>
    <w:pPr>
      <w:numPr>
        <w:ilvl w:val="3"/>
        <w:numId w:val="3"/>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rsid w:val="001C32AB"/>
    <w:rPr>
      <w:rFonts w:ascii="Arial Narrow" w:hAnsi="Arial Narrow"/>
      <w:sz w:val="22"/>
    </w:rPr>
  </w:style>
  <w:style w:type="paragraph" w:styleId="BodyText">
    <w:name w:val="Body Text"/>
    <w:basedOn w:val="Para"/>
    <w:rsid w:val="0068403F"/>
    <w:pPr>
      <w:spacing w:after="120"/>
      <w:ind w:left="72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pPr>
      <w:tabs>
        <w:tab w:val="left" w:pos="1800"/>
        <w:tab w:val="right" w:leader="dot" w:pos="9360"/>
      </w:tabs>
      <w:spacing w:before="120" w:after="60"/>
      <w:ind w:left="1152"/>
    </w:pPr>
    <w:rPr>
      <w:szCs w:val="24"/>
    </w:rPr>
  </w:style>
  <w:style w:type="paragraph" w:styleId="TOC3">
    <w:name w:val="toc 3"/>
    <w:basedOn w:val="Para"/>
    <w:next w:val="TOC4"/>
    <w:uiPriority w:val="39"/>
    <w:pPr>
      <w:tabs>
        <w:tab w:val="left" w:pos="2592"/>
        <w:tab w:val="right" w:leader="dot" w:pos="9360"/>
      </w:tabs>
      <w:spacing w:before="60"/>
      <w:ind w:left="1800"/>
    </w:pPr>
  </w:style>
  <w:style w:type="paragraph" w:styleId="TOC4">
    <w:name w:val="toc 4"/>
    <w:basedOn w:val="Para"/>
    <w:next w:val="TOC5"/>
    <w:semiHidden/>
    <w:pPr>
      <w:tabs>
        <w:tab w:val="left" w:pos="3600"/>
        <w:tab w:val="right" w:leader="dot" w:pos="9360"/>
      </w:tabs>
      <w:spacing w:before="60"/>
      <w:ind w:left="2592"/>
    </w:pPr>
  </w:style>
  <w:style w:type="paragraph" w:styleId="TOC5">
    <w:name w:val="toc 5"/>
    <w:basedOn w:val="Para"/>
    <w:next w:val="TOC6"/>
    <w:semiHidden/>
    <w:pPr>
      <w:ind w:left="2160"/>
    </w:pPr>
  </w:style>
  <w:style w:type="paragraph" w:styleId="TOC6">
    <w:name w:val="toc 6"/>
    <w:basedOn w:val="Para"/>
    <w:next w:val="TOC7"/>
    <w:semiHidden/>
    <w:pPr>
      <w:ind w:left="2520"/>
    </w:pPr>
  </w:style>
  <w:style w:type="paragraph" w:styleId="TOC7">
    <w:name w:val="toc 7"/>
    <w:basedOn w:val="Para"/>
    <w:next w:val="TOC8"/>
    <w:semiHidden/>
    <w:pPr>
      <w:ind w:left="2880"/>
    </w:pPr>
  </w:style>
  <w:style w:type="paragraph" w:styleId="TOC8">
    <w:name w:val="toc 8"/>
    <w:basedOn w:val="Para"/>
    <w:next w:val="TOC9"/>
    <w:semiHidden/>
    <w:pPr>
      <w:ind w:left="3240"/>
    </w:pPr>
  </w:style>
  <w:style w:type="paragraph" w:styleId="TOC9">
    <w:name w:val="toc 9"/>
    <w:basedOn w:val="Para"/>
    <w:next w:val="BodyText"/>
    <w:semiHidden/>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pPr>
      <w:spacing w:before="40" w:after="40"/>
      <w:jc w:val="right"/>
    </w:pPr>
    <w:rPr>
      <w:rFonts w:ascii="Arial" w:hAnsi="Arial"/>
      <w:sz w:val="24"/>
    </w:rPr>
  </w:style>
  <w:style w:type="paragraph" w:customStyle="1" w:styleId="VersionNumber">
    <w:name w:val="Version Number"/>
    <w:basedOn w:val="Para"/>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Pr>
      <w:rFonts w:ascii="Courier New" w:hAnsi="Courier New" w:cs="Courier New"/>
      <w:sz w:val="18"/>
    </w:rPr>
  </w:style>
  <w:style w:type="paragraph" w:styleId="BlockText">
    <w:name w:val="Block Text"/>
    <w:basedOn w:val="Para"/>
    <w:pPr>
      <w:ind w:left="1440"/>
      <w:jc w:val="both"/>
    </w:pPr>
    <w:rPr>
      <w:rFonts w:ascii="Courier New" w:hAnsi="Courier New"/>
      <w:sz w:val="20"/>
    </w:rPr>
  </w:style>
  <w:style w:type="paragraph" w:customStyle="1" w:styleId="FigureWindow">
    <w:name w:val="Figure/Window"/>
    <w:basedOn w:val="Para"/>
    <w:next w:val="FigureWindowCaption"/>
    <w:pPr>
      <w:keepNext/>
      <w:spacing w:before="120" w:after="120"/>
      <w:ind w:left="1440"/>
      <w:jc w:val="center"/>
    </w:pPr>
  </w:style>
  <w:style w:type="paragraph" w:customStyle="1" w:styleId="FigureWindowCaption">
    <w:name w:val="Figure/Window Caption"/>
    <w:basedOn w:val="Para"/>
    <w:next w:val="BodyText"/>
    <w:pPr>
      <w:spacing w:after="240"/>
      <w:ind w:left="1440"/>
      <w:jc w:val="center"/>
    </w:pPr>
    <w:rPr>
      <w:i/>
    </w:rPr>
  </w:style>
  <w:style w:type="paragraph" w:customStyle="1" w:styleId="TableTextNoBorders">
    <w:name w:val="Table Text (No Borders)"/>
    <w:basedOn w:val="TableText"/>
    <w:pPr>
      <w:spacing w:after="120"/>
    </w:pPr>
  </w:style>
  <w:style w:type="paragraph" w:customStyle="1" w:styleId="AuthorComment">
    <w:name w:val="Author Comment"/>
    <w:basedOn w:val="Para"/>
    <w:pPr>
      <w:spacing w:after="120"/>
      <w:ind w:left="1440"/>
    </w:pPr>
    <w:rPr>
      <w:vanish/>
      <w:color w:val="008000"/>
    </w:rPr>
  </w:style>
  <w:style w:type="paragraph" w:customStyle="1" w:styleId="AppendixHeading1">
    <w:name w:val="Appendix Heading 1"/>
    <w:basedOn w:val="HeadingBase"/>
    <w:next w:val="BodyText"/>
    <w:pPr>
      <w:keepNext/>
      <w:pageBreakBefore/>
      <w:numPr>
        <w:numId w:val="2"/>
      </w:numPr>
      <w:spacing w:after="120"/>
      <w:outlineLvl w:val="0"/>
    </w:pPr>
    <w:rPr>
      <w:b/>
      <w:color w:val="000080"/>
      <w:sz w:val="40"/>
    </w:rPr>
  </w:style>
  <w:style w:type="paragraph" w:customStyle="1" w:styleId="AppendixHeading2">
    <w:name w:val="Appendix Heading 2"/>
    <w:basedOn w:val="HeadingBase"/>
    <w:next w:val="BodyText"/>
    <w:pPr>
      <w:keepNext/>
      <w:spacing w:before="360" w:after="120"/>
      <w:outlineLvl w:val="1"/>
    </w:pPr>
    <w:rPr>
      <w:b/>
      <w:color w:val="000080"/>
      <w:sz w:val="32"/>
    </w:rPr>
  </w:style>
  <w:style w:type="paragraph" w:customStyle="1" w:styleId="AppendixHeading3">
    <w:name w:val="Appendix Heading 3"/>
    <w:basedOn w:val="HeadingBase"/>
    <w:next w:val="BodyText"/>
    <w:pPr>
      <w:keepNext/>
      <w:spacing w:before="360" w:after="120"/>
      <w:outlineLvl w:val="2"/>
    </w:pPr>
    <w:rPr>
      <w:b/>
      <w:color w:val="000080"/>
      <w:sz w:val="28"/>
    </w:rPr>
  </w:style>
  <w:style w:type="paragraph" w:customStyle="1" w:styleId="AppendixHeading4">
    <w:name w:val="Appendix Heading 4"/>
    <w:basedOn w:val="HeadingBase"/>
    <w:next w:val="BodyText"/>
    <w:pPr>
      <w:keepNext/>
      <w:spacing w:before="240" w:after="120"/>
      <w:outlineLvl w:val="3"/>
    </w:pPr>
    <w:rPr>
      <w:b/>
      <w:color w:val="000080"/>
      <w:sz w:val="24"/>
    </w:rPr>
  </w:style>
  <w:style w:type="paragraph" w:customStyle="1" w:styleId="BlankPageNotice">
    <w:name w:val="Blank Page Notice"/>
    <w:basedOn w:val="Para"/>
    <w:pPr>
      <w:jc w:val="center"/>
    </w:pPr>
    <w:rPr>
      <w:color w:val="808080"/>
    </w:rPr>
  </w:style>
  <w:style w:type="paragraph" w:customStyle="1" w:styleId="GlossaryHeading">
    <w:name w:val="Glossary Heading"/>
    <w:basedOn w:val="HeadingBase"/>
    <w:next w:val="GlossaryLetter"/>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paragraph" w:styleId="EndnoteText">
    <w:name w:val="endnote text"/>
    <w:basedOn w:val="Normal"/>
    <w:link w:val="EndnoteTextChar"/>
    <w:rsid w:val="00E33741"/>
  </w:style>
  <w:style w:type="character" w:customStyle="1" w:styleId="EndnoteTextChar">
    <w:name w:val="Endnote Text Char"/>
    <w:basedOn w:val="DefaultParagraphFont"/>
    <w:link w:val="EndnoteText"/>
    <w:rsid w:val="00E33741"/>
    <w:rPr>
      <w:rFonts w:ascii="Georgia" w:hAnsi="Georgia"/>
    </w:rPr>
  </w:style>
  <w:style w:type="character" w:styleId="EndnoteReference">
    <w:name w:val="endnote reference"/>
    <w:basedOn w:val="DefaultParagraphFont"/>
    <w:rsid w:val="00E33741"/>
    <w:rPr>
      <w:vertAlign w:val="superscript"/>
    </w:rPr>
  </w:style>
</w:styles>
</file>

<file path=word/webSettings.xml><?xml version="1.0" encoding="utf-8"?>
<w:webSettings xmlns:r="http://schemas.openxmlformats.org/officeDocument/2006/relationships" xmlns:w="http://schemas.openxmlformats.org/wordprocessingml/2006/main">
  <w:divs>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9544359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Settings\Brent Gendleman\Application Data\Microsoft\Templates\NCI\caArray_use_case.dot</Template>
  <TotalTime>3</TotalTime>
  <Pages>4</Pages>
  <Words>708</Words>
  <Characters>3471</Characters>
  <Application>Microsoft Macintosh Word</Application>
  <DocSecurity>0</DocSecurity>
  <Lines>79</Lines>
  <Paragraphs>49</Paragraphs>
  <ScaleCrop>false</ScaleCrop>
  <HeadingPairs>
    <vt:vector size="2" baseType="variant">
      <vt:variant>
        <vt:lpstr>Title</vt:lpstr>
      </vt:variant>
      <vt:variant>
        <vt:i4>1</vt:i4>
      </vt:variant>
    </vt:vector>
  </HeadingPairs>
  <TitlesOfParts>
    <vt:vector size="1" baseType="lpstr">
      <vt:lpstr>Manage Experiment Data Files Use Case Specification</vt:lpstr>
    </vt:vector>
  </TitlesOfParts>
  <Manager/>
  <Company>CBIIT</Company>
  <LinksUpToDate>false</LinksUpToDate>
  <CharactersWithSpaces>4131</CharactersWithSpaces>
  <SharedDoc>false</SharedDoc>
  <HyperlinkBase/>
  <HLinks>
    <vt:vector size="6" baseType="variant">
      <vt:variant>
        <vt:i4>589862</vt:i4>
      </vt:variant>
      <vt:variant>
        <vt:i4>6212</vt:i4>
      </vt:variant>
      <vt:variant>
        <vt:i4>1025</vt:i4>
      </vt:variant>
      <vt:variant>
        <vt:i4>1</vt:i4>
      </vt:variant>
      <vt:variant>
        <vt:lpwstr>logo_caarray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Experiment Data Files Use Case Specification</dc:title>
  <dc:subject>caArray</dc:subject>
  <dc:creator>Rashmi Srinivasa</dc:creator>
  <cp:keywords/>
  <dc:description/>
  <cp:lastModifiedBy>Rashmi Srinivasa</cp:lastModifiedBy>
  <cp:revision>9</cp:revision>
  <cp:lastPrinted>2006-06-20T12:56:00Z</cp:lastPrinted>
  <dcterms:created xsi:type="dcterms:W3CDTF">2012-02-29T19:20:00Z</dcterms:created>
  <dcterms:modified xsi:type="dcterms:W3CDTF">2012-02-29T19:25:00Z</dcterms:modified>
  <cp:category>Use Case</cp:category>
</cp:coreProperties>
</file>