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EAE" w:rsidRDefault="00131459" w:rsidP="00131459">
      <w:pPr>
        <w:pStyle w:val="Title"/>
      </w:pPr>
      <w:r>
        <w:t>I2B2 as a caGrid Data Service</w:t>
      </w:r>
    </w:p>
    <w:p w:rsidR="0025470B" w:rsidRDefault="0025470B" w:rsidP="0025470B">
      <w:pPr>
        <w:pStyle w:val="Heading1"/>
      </w:pPr>
      <w:r>
        <w:t>Database</w:t>
      </w:r>
    </w:p>
    <w:p w:rsidR="00CF2D65" w:rsidRPr="00CF2D65" w:rsidRDefault="00CF2D65" w:rsidP="00CF2D65">
      <w:r>
        <w:t>The complete i2b2 + ontomapper database schema:</w:t>
      </w:r>
    </w:p>
    <w:p w:rsidR="00131459" w:rsidRDefault="00CF2D65" w:rsidP="00131459">
      <w:r>
        <w:rPr>
          <w:noProof/>
        </w:rPr>
        <w:drawing>
          <wp:inline distT="0" distB="0" distL="0" distR="0">
            <wp:extent cx="5934075" cy="3143250"/>
            <wp:effectExtent l="19050" t="0" r="9525" b="0"/>
            <wp:docPr id="1" name="Picture 1" descr="W:\Projects\incubator\grid-incubation\incubator\projects\i2b2DataServiceStyle\documents\Database\i2b2-ontomapper\IDR_Schema_v1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Projects\incubator\grid-incubation\incubator\projects\i2b2DataServiceStyle\documents\Database\i2b2-ontomapper\IDR_Schema_v1.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65" w:rsidRDefault="00CF2D65" w:rsidP="00131459">
      <w:r>
        <w:t>Not all of these tables are relevant to the proposed i2b2 data service model.</w:t>
      </w:r>
    </w:p>
    <w:p w:rsidR="00CF2D65" w:rsidRDefault="00BF4B8E" w:rsidP="00131459">
      <w:r>
        <w:rPr>
          <w:noProof/>
        </w:rPr>
        <w:drawing>
          <wp:inline distT="0" distB="0" distL="0" distR="0">
            <wp:extent cx="5934075" cy="3143250"/>
            <wp:effectExtent l="19050" t="0" r="9525" b="0"/>
            <wp:docPr id="2" name="Picture 2" descr="W:\Projects\incubator\grid-incubation\incubator\projects\i2b2DataServiceStyle\documents\Relevant_IDR_Schema_v1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Projects\incubator\grid-incubation\incubator\projects\i2b2DataServiceStyle\documents\Relevant_IDR_Schema_v1.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8E" w:rsidRDefault="00BF4B8E" w:rsidP="00131459">
      <w:r>
        <w:lastRenderedPageBreak/>
        <w:t xml:space="preserve">Tables highlighted in red represent tables which pertain </w:t>
      </w:r>
      <w:r w:rsidR="00C72414">
        <w:t xml:space="preserve">to </w:t>
      </w:r>
      <w:r>
        <w:t xml:space="preserve">the i2b2 data service domain model and should be exposed via CQL to the grid.  Tables in blue </w:t>
      </w:r>
      <w:r w:rsidR="00C72414">
        <w:t>pertain to the Ontomapper.  The CONCEPT_DIMENSION table is highlighted with both colors, and provides a means of connecting the concept mapping capabilities of the Ontomapper with the clinical data in I2B2.</w:t>
      </w:r>
    </w:p>
    <w:p w:rsidR="0025470B" w:rsidRDefault="0025470B" w:rsidP="0025470B">
      <w:pPr>
        <w:pStyle w:val="Heading1"/>
      </w:pPr>
      <w:r>
        <w:t>Object Model</w:t>
      </w:r>
    </w:p>
    <w:p w:rsidR="0025470B" w:rsidRPr="0025470B" w:rsidRDefault="0025470B" w:rsidP="0025470B">
      <w:r>
        <w:t>The I2B2 data service object model:</w:t>
      </w:r>
    </w:p>
    <w:sectPr w:rsidR="0025470B" w:rsidRPr="0025470B" w:rsidSect="007A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1459"/>
    <w:rsid w:val="00131459"/>
    <w:rsid w:val="0025470B"/>
    <w:rsid w:val="007A6EAE"/>
    <w:rsid w:val="00B1382E"/>
    <w:rsid w:val="00BF4B8E"/>
    <w:rsid w:val="00C72414"/>
    <w:rsid w:val="00CF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EAE"/>
  </w:style>
  <w:style w:type="paragraph" w:styleId="Heading1">
    <w:name w:val="heading 1"/>
    <w:basedOn w:val="Normal"/>
    <w:next w:val="Normal"/>
    <w:link w:val="Heading1Char"/>
    <w:uiPriority w:val="9"/>
    <w:qFormat/>
    <w:rsid w:val="00131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1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1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Ervin</dc:creator>
  <cp:lastModifiedBy>David Ervin</cp:lastModifiedBy>
  <cp:revision>3</cp:revision>
  <dcterms:created xsi:type="dcterms:W3CDTF">2010-03-11T20:35:00Z</dcterms:created>
  <dcterms:modified xsi:type="dcterms:W3CDTF">2010-03-12T15:42:00Z</dcterms:modified>
</cp:coreProperties>
</file>