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054B9A">
      <w:pPr>
        <w:pStyle w:val="CompanyName"/>
      </w:pPr>
      <w:bookmarkStart w:id="0" w:name="OLE_LINK1"/>
      <w:bookmarkStart w:id="1" w:name="OLE_LINK2"/>
      <w:r w:rsidRPr="00054B9A">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1B475C" w:rsidRDefault="001B475C"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1B475C" w:rsidRPr="002A1974" w:rsidRDefault="001B475C"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1B475C" w:rsidRDefault="001B475C"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1B475C" w:rsidRDefault="001B475C"/>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054B9A">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1B475C" w:rsidRDefault="001B475C">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1B475C" w:rsidRDefault="001B475C"/>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054B9A" w:rsidP="00B87506">
      <w:pPr>
        <w:pStyle w:val="BodyText"/>
        <w:tabs>
          <w:tab w:val="left" w:pos="7920"/>
          <w:tab w:val="left" w:pos="8280"/>
        </w:tabs>
        <w:jc w:val="center"/>
        <w:rPr>
          <w:rStyle w:val="Strong"/>
        </w:rPr>
      </w:pPr>
      <w:r w:rsidRPr="00054B9A">
        <w:rPr>
          <w:noProof/>
        </w:rPr>
        <w:pict>
          <v:rect id="_x0000_s5055" style="position:absolute;left:0;text-align:left;margin-left:-4.95pt;margin-top:227.6pt;width:459pt;height:27pt;z-index:251658752" filled="f" fillcolor="#bbe0e3" stroked="f">
            <v:fill o:detectmouseclick="t"/>
            <v:textbox style="mso-next-textbox:#_x0000_s5055">
              <w:txbxContent>
                <w:p w:rsidR="001B475C" w:rsidRDefault="001B475C" w:rsidP="0089072B">
                  <w:pPr>
                    <w:autoSpaceDE w:val="0"/>
                    <w:autoSpaceDN w:val="0"/>
                    <w:rPr>
                      <w:rFonts w:ascii="Arial" w:hAnsi="Arial" w:cs="Arial"/>
                      <w:i/>
                      <w:iCs/>
                      <w:color w:val="000000"/>
                      <w:sz w:val="30"/>
                      <w:szCs w:val="28"/>
                    </w:rPr>
                  </w:pPr>
                </w:p>
              </w:txbxContent>
            </v:textbox>
            <w10:wrap type="square"/>
          </v:rect>
        </w:pict>
      </w:r>
      <w:r w:rsidRPr="00054B9A">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1B475C" w:rsidRDefault="001B475C">
                  <w:pPr>
                    <w:rPr>
                      <w:sz w:val="32"/>
                      <w:szCs w:val="32"/>
                    </w:rPr>
                  </w:pPr>
                </w:p>
              </w:txbxContent>
            </v:textbox>
          </v:rect>
        </w:pict>
      </w:r>
      <w:r w:rsidRPr="00054B9A">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054B9A">
            <w:pPr>
              <w:pStyle w:val="Justified"/>
              <w:spacing w:before="60" w:afterLines="60"/>
              <w:jc w:val="center"/>
              <w:rPr>
                <w:rStyle w:val="Strong"/>
                <w:rFonts w:ascii="Arial" w:hAnsi="Arial"/>
                <w:sz w:val="22"/>
                <w:szCs w:val="22"/>
              </w:rPr>
            </w:pPr>
            <w:r>
              <w:rPr>
                <w:rStyle w:val="Strong"/>
                <w:rFonts w:ascii="Arial" w:hAnsi="Arial" w:cs="Arial"/>
                <w:i/>
                <w:spacing w:val="-4"/>
                <w:szCs w:val="24"/>
              </w:rPr>
              <w:t>Contacts and Support</w:t>
            </w:r>
          </w:p>
        </w:tc>
      </w:tr>
      <w:tr w:rsidR="00B87506">
        <w:tc>
          <w:tcPr>
            <w:tcW w:w="4878" w:type="dxa"/>
            <w:vAlign w:val="center"/>
          </w:tcPr>
          <w:p w:rsidR="00B87506" w:rsidRDefault="00B87506" w:rsidP="007B0FC7">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054B9A">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7B0FC7">
            <w:pPr>
              <w:pStyle w:val="Justified"/>
              <w:spacing w:before="60" w:afterLines="60"/>
              <w:jc w:val="center"/>
              <w:rPr>
                <w:rStyle w:val="Strong"/>
              </w:rPr>
            </w:pPr>
            <w:r>
              <w:rPr>
                <w:rFonts w:ascii="Arial" w:hAnsi="Arial" w:cs="Arial"/>
              </w:rPr>
              <w:t>Scott Oster (Architect)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B5102C">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p w:rsidR="00B87506" w:rsidRDefault="00054B9A" w:rsidP="00965065">
      <w:pPr>
        <w:pStyle w:val="TitleCover"/>
        <w:tabs>
          <w:tab w:val="left" w:pos="3615"/>
        </w:tabs>
      </w:pPr>
      <w:r>
        <w:pict>
          <v:shape id="_x0000_s5058" type="#_x0000_t202" style="position:absolute;margin-left:320.4pt;margin-top:465.3pt;width:136.8pt;height:28.8pt;z-index:251654656" o:allowincell="f" filled="f" stroked="f">
            <v:textbox style="mso-next-textbox:#_x0000_s5058">
              <w:txbxContent>
                <w:p w:rsidR="001B475C" w:rsidRDefault="001B475C">
                  <w:pPr>
                    <w:rPr>
                      <w:rFonts w:ascii="Arial" w:hAnsi="Arial"/>
                      <w:sz w:val="28"/>
                    </w:rPr>
                  </w:pPr>
                </w:p>
              </w:txbxContent>
            </v:textbox>
          </v:shape>
        </w:pict>
      </w:r>
    </w:p>
    <w:p w:rsidR="00B87506" w:rsidRDefault="00B87506">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r w:rsidRPr="00B87823">
        <w:rPr>
          <w:rStyle w:val="StyleHeading1Char15pt"/>
        </w:rPr>
        <w:t>Introduction</w:t>
      </w:r>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Ref98147122"/>
      <w:bookmarkStart w:id="16" w:name="_Ref98147127"/>
      <w:bookmarkEnd w:id="13"/>
      <w:r>
        <w:t>Introduction</w:t>
      </w:r>
      <w:bookmarkEnd w:id="14"/>
    </w:p>
    <w:p w:rsidR="00B87506" w:rsidRPr="00AB26A0" w:rsidRDefault="00ED1A52" w:rsidP="00B87506">
      <w:pPr>
        <w:pStyle w:val="Heading3"/>
      </w:pPr>
      <w:bookmarkStart w:id="17" w:name="_Toc11687306"/>
      <w:r w:rsidRPr="00AB26A0">
        <w:t>Identifier Framework</w:t>
      </w:r>
      <w:bookmarkEnd w:id="17"/>
    </w:p>
    <w:p w:rsidR="00B87506" w:rsidRPr="00AB26A0" w:rsidRDefault="00ED1A52" w:rsidP="00B87506">
      <w:r w:rsidRPr="00AB26A0">
        <w:t>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18" w:name="_Toc11687307"/>
    </w:p>
    <w:p w:rsidR="00B87506" w:rsidRPr="00AB26A0" w:rsidRDefault="00ED1A52" w:rsidP="00B87506">
      <w:pPr>
        <w:pStyle w:val="Heading3"/>
      </w:pPr>
      <w:r w:rsidRPr="00AB26A0">
        <w:t>Globally Unique Identifiers</w:t>
      </w:r>
      <w:bookmarkEnd w:id="18"/>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19" w:name="_Toc11687308"/>
      <w:r w:rsidRPr="00AB26A0">
        <w:t>Identifier and Data-Object Properties</w:t>
      </w:r>
      <w:bookmarkEnd w:id="19"/>
    </w:p>
    <w:p w:rsidR="00B87506" w:rsidRPr="00AB26A0" w:rsidRDefault="00ED1A52" w:rsidP="00B87506">
      <w:r w:rsidRPr="00AB26A0">
        <w:t>The identifier is essentially a string and a forever globally unique name for single data-object. Furthermore, identifier can be (globally) resolved to 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applications,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r>
        <w:t>The Data Owner</w:t>
      </w:r>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r>
        <w:t>Identifier Values / Metadata</w:t>
      </w:r>
    </w:p>
    <w:p w:rsidR="00ED1506" w:rsidRDefault="00ED1506" w:rsidP="00B87506">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r>
        <w:t>The Naming Authority</w:t>
      </w:r>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r>
        <w:t>The Resolution Process</w:t>
      </w:r>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r>
        <w:t>The Data Retrieval Process</w:t>
      </w:r>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20" w:name="_Toc11687309"/>
      <w:r w:rsidRPr="000C1D4A">
        <w:rPr>
          <w:rStyle w:val="StyleHeading1Char15pt"/>
        </w:rPr>
        <w:t>High Level Design</w:t>
      </w:r>
    </w:p>
    <w:p w:rsidR="00B87506" w:rsidRDefault="00664B0A" w:rsidP="00B87506">
      <w:pPr>
        <w:pStyle w:val="Heading2"/>
      </w:pPr>
      <w:r>
        <w:t xml:space="preserve">The </w:t>
      </w:r>
      <w:r w:rsidR="00E012C0">
        <w:t>Identifier</w:t>
      </w:r>
      <w:bookmarkEnd w:id="20"/>
    </w:p>
    <w:p w:rsidR="00774368" w:rsidRDefault="0044425C" w:rsidP="00664B0A">
      <w:pPr>
        <w:ind w:firstLine="360"/>
      </w:pPr>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r>
        <w:t>The Naming Authority (NA)</w:t>
      </w:r>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r>
        <w:t>Protecting the Naming Authority</w:t>
      </w:r>
    </w:p>
    <w:p w:rsidR="00585432" w:rsidRDefault="0063668F" w:rsidP="00055E04">
      <w:r>
        <w:t>A likely use case is the potential move of t</w:t>
      </w:r>
      <w:r w:rsidR="00585432">
        <w:t xml:space="preserve">he NA to a new location, with a different host name, or  different port number. If this host information is used by the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r>
        <w:t>Persistent U</w:t>
      </w:r>
      <w:r w:rsidR="00160E74">
        <w:t>niform Resource Locator (PURL)</w:t>
      </w:r>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3"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14"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15" w:history="1">
        <w:r w:rsidRPr="00B0159C">
          <w:rPr>
            <w:rStyle w:val="Hyperlink"/>
          </w:rPr>
          <w:t>http://purl.cagrid.org/illness/cancer.html</w:t>
        </w:r>
      </w:hyperlink>
      <w:r>
        <w:t xml:space="preserve">, the document </w:t>
      </w:r>
      <w:hyperlink r:id="rId16"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r>
        <w:t>Partial-redirect PURL</w:t>
      </w:r>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17"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18" w:history="1">
        <w:r w:rsidRPr="00B0159C">
          <w:rPr>
            <w:rStyle w:val="Hyperlink"/>
          </w:rPr>
          <w:t>http://purl.cagrid.org/illness/cancer.html</w:t>
        </w:r>
      </w:hyperlink>
      <w:r>
        <w:t xml:space="preserve">, the document </w:t>
      </w:r>
      <w:hyperlink r:id="rId19"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0"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D94951" w:rsidRDefault="00241F50" w:rsidP="009023B5">
      <w:r>
        <w:t>The partial redirect we’ve defined have allowed us to define the location of a million illnesses using a single mapping. Therefore, should they all move to a different location, only one update has to be done in the PURL server.</w:t>
      </w:r>
    </w:p>
    <w:p w:rsidR="00D94951" w:rsidRDefault="00D94951" w:rsidP="00D94951">
      <w:pPr>
        <w:pStyle w:val="Heading4"/>
      </w:pPr>
      <w:r>
        <w:t>PURL-based Identifiers</w:t>
      </w:r>
    </w:p>
    <w:p w:rsidR="00D94951" w:rsidRDefault="00D94951" w:rsidP="009023B5">
      <w:r>
        <w:t>The above approach can be effectively used to protect the naming authority’s location. The idea is to have the identifiers point to a PURL server,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hyperlink r:id="rId21" w:history="1">
        <w:r w:rsidRPr="00B0159C">
          <w:rPr>
            <w:rStyle w:val="Hyperlink"/>
          </w:rPr>
          <w:t>http://na.cagrid.org</w:t>
        </w:r>
      </w:hyperlink>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hyperlink r:id="rId22" w:history="1">
        <w:r w:rsidRPr="00B0159C">
          <w:rPr>
            <w:rStyle w:val="Hyperlink"/>
          </w:rPr>
          <w:t>http://purl.cagrid.org</w:t>
        </w:r>
      </w:hyperlink>
    </w:p>
    <w:p w:rsidR="00D94951" w:rsidRDefault="00D94951" w:rsidP="00D94951">
      <w:pPr>
        <w:pStyle w:val="ListParagraph"/>
      </w:pPr>
    </w:p>
    <w:p w:rsidR="00D94951" w:rsidRDefault="00D94951" w:rsidP="00D94951">
      <w:pPr>
        <w:pStyle w:val="ListParagraph"/>
        <w:numPr>
          <w:ilvl w:val="0"/>
          <w:numId w:val="27"/>
        </w:numPr>
      </w:pPr>
      <w:r>
        <w:t>Suppose a partial redirect is defined in the PURL server as follows:</w:t>
      </w:r>
    </w:p>
    <w:p w:rsidR="002F2706" w:rsidRDefault="00D94951" w:rsidP="00D94951">
      <w:pPr>
        <w:pStyle w:val="ListParagraph"/>
        <w:numPr>
          <w:ilvl w:val="1"/>
          <w:numId w:val="27"/>
        </w:numPr>
      </w:pPr>
      <w:r>
        <w:t xml:space="preserve">/osumc =&gt; </w:t>
      </w:r>
      <w:hyperlink r:id="rId23" w:history="1">
        <w:r w:rsidR="002F2706" w:rsidRPr="00B0159C">
          <w:rPr>
            <w:rStyle w:val="Hyperlink"/>
          </w:rPr>
          <w:t>http://na.cagrid.org</w:t>
        </w:r>
      </w:hyperlink>
    </w:p>
    <w:p w:rsidR="002F2706" w:rsidRDefault="002F2706" w:rsidP="00417502"/>
    <w:p w:rsidR="00417502" w:rsidRDefault="00417502" w:rsidP="00417502">
      <w:r>
        <w:t xml:space="preserve">Using the setup above, the NA’s prefix would be configured as </w:t>
      </w:r>
      <w:hyperlink r:id="rId24" w:history="1">
        <w:r w:rsidRPr="00B0159C">
          <w:rPr>
            <w:rStyle w:val="Hyperlink"/>
          </w:rPr>
          <w:t>http://purl.cagrid.org/osumc</w:t>
        </w:r>
      </w:hyperlink>
    </w:p>
    <w:p w:rsidR="00417502" w:rsidRDefault="00417502" w:rsidP="00417502">
      <w:r>
        <w:t>Therefore, identifiers created by the NA would look like:</w:t>
      </w:r>
    </w:p>
    <w:p w:rsidR="00417502" w:rsidRDefault="00417502" w:rsidP="00417502">
      <w:r>
        <w:tab/>
      </w:r>
      <w:hyperlink r:id="rId25" w:history="1">
        <w:r w:rsidRPr="00B0159C">
          <w:rPr>
            <w:rStyle w:val="Hyperlink"/>
          </w:rPr>
          <w:t>http://purl.cagrid.org/osumc/c2581947-7c80-4330-9dd0-2761f6efdd41</w:t>
        </w:r>
      </w:hyperlink>
    </w:p>
    <w:p w:rsidR="002F2706" w:rsidRDefault="002F2706" w:rsidP="00417502"/>
    <w:p w:rsidR="002F2706" w:rsidRDefault="002F2706" w:rsidP="00417502">
      <w:r>
        <w:t>When such identifier is followed, the PURL server would redirect the client to:</w:t>
      </w:r>
    </w:p>
    <w:p w:rsidR="002F2706" w:rsidRDefault="002F2706" w:rsidP="002F2706">
      <w:pPr>
        <w:ind w:firstLine="360"/>
      </w:pPr>
      <w:hyperlink r:id="rId26" w:history="1">
        <w:r w:rsidRPr="00B0159C">
          <w:rPr>
            <w:rStyle w:val="Hyperlink"/>
          </w:rPr>
          <w:t>http://na.cagrid.org/c2581947-7c80-4330-9dd0-2761f6efdd41</w:t>
        </w:r>
      </w:hyperlink>
    </w:p>
    <w:p w:rsidR="002F2706" w:rsidRDefault="002F2706" w:rsidP="002F2706"/>
    <w:p w:rsidR="007404B2" w:rsidRDefault="002F2706" w:rsidP="002F2706">
      <w:r>
        <w:t>The naming a</w:t>
      </w:r>
      <w:r w:rsidR="007404B2">
        <w:t>uthority already knows its prefix; with that and the local part name provided in the URL query string, it can lookup the correct identifier and return the corresponding metadata.</w:t>
      </w:r>
    </w:p>
    <w:p w:rsidR="007404B2" w:rsidRDefault="007404B2" w:rsidP="002F2706">
      <w:r>
        <w:t xml:space="preserve">Should the NA move to a different URL, say </w:t>
      </w:r>
      <w:hyperlink r:id="rId27" w:history="1">
        <w:r w:rsidRPr="00B0159C">
          <w:rPr>
            <w:rStyle w:val="Hyperlink"/>
          </w:rPr>
          <w:t>http://new.na.cagrid.org</w:t>
        </w:r>
      </w:hyperlink>
      <w:r>
        <w:t>, only the partial redirect URL has to be updated:</w:t>
      </w:r>
    </w:p>
    <w:p w:rsidR="007404B2" w:rsidRDefault="007404B2" w:rsidP="002F2706">
      <w:r>
        <w:tab/>
        <w:t xml:space="preserve">/osumc =&gt; </w:t>
      </w:r>
      <w:hyperlink r:id="rId28" w:history="1">
        <w:r w:rsidRPr="00B0159C">
          <w:rPr>
            <w:rStyle w:val="Hyperlink"/>
          </w:rPr>
          <w:t>http://new.na.cagrid.org</w:t>
        </w:r>
      </w:hyperlink>
    </w:p>
    <w:p w:rsidR="009C0CE7" w:rsidRDefault="009C0CE7" w:rsidP="002F2706"/>
    <w:p w:rsidR="004501D4" w:rsidRDefault="004501D4" w:rsidP="001B475C">
      <w:pPr>
        <w:pStyle w:val="Heading3"/>
      </w:pPr>
      <w:r>
        <w:t>Running the Naming Authority</w:t>
      </w:r>
    </w:p>
    <w:p w:rsidR="001B475C" w:rsidRDefault="001B475C" w:rsidP="009023B5">
      <w:r>
        <w:t xml:space="preserve">The identifier framework provides two ways to stand up the naming authority. </w:t>
      </w:r>
    </w:p>
    <w:p w:rsidR="001B475C" w:rsidRDefault="001B475C" w:rsidP="009023B5">
      <w:r>
        <w:t xml:space="preserve">The NA can be deployed as a </w:t>
      </w:r>
      <w:r w:rsidRPr="001B475C">
        <w:rPr>
          <w:i/>
        </w:rPr>
        <w:t>webapp</w:t>
      </w:r>
      <w:r>
        <w:t xml:space="preserve"> to a </w:t>
      </w:r>
      <w:r w:rsidRPr="001B475C">
        <w:rPr>
          <w:i/>
        </w:rPr>
        <w:t>servlet</w:t>
      </w:r>
      <w:r>
        <w:t xml:space="preserve"> container, such as </w:t>
      </w:r>
      <w:r w:rsidRPr="001B475C">
        <w:rPr>
          <w:i/>
        </w:rPr>
        <w:t>Tomcat</w:t>
      </w:r>
      <w:r>
        <w:t xml:space="preserve">. A NA servlet bootstraps the naming authority and forwards all HTTP requests to the NA’s built in HTTP port. </w:t>
      </w:r>
    </w:p>
    <w:p w:rsidR="004501D4" w:rsidRDefault="001B475C" w:rsidP="009023B5">
      <w:r>
        <w:t>Alternatively, the framework also includes a standard analytical grid service that starts the naming authority and exposes a grid interface to access naming authority operations.</w:t>
      </w:r>
    </w:p>
    <w:p w:rsidR="009C0CE7" w:rsidRDefault="009C0CE7" w:rsidP="009023B5"/>
    <w:p w:rsidR="00AB3E94" w:rsidRDefault="00AB3E94" w:rsidP="009023B5"/>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5"/>
      <w:bookmarkEnd w:id="16"/>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B475C" w:rsidRDefault="001B475C">
      <w:r>
        <w:separator/>
      </w:r>
    </w:p>
  </w:endnote>
  <w:endnote w:type="continuationSeparator" w:id="1">
    <w:p w:rsidR="001B475C" w:rsidRDefault="001B475C">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75C" w:rsidRDefault="001B475C">
    <w:pPr>
      <w:pStyle w:val="Footer"/>
    </w:pPr>
    <w:r>
      <w:rPr>
        <w:rStyle w:val="PageNumber"/>
      </w:rPr>
      <w:fldChar w:fldCharType="begin"/>
    </w:r>
    <w:r>
      <w:rPr>
        <w:rStyle w:val="PageNumber"/>
      </w:rPr>
      <w:instrText xml:space="preserve"> PAGE </w:instrText>
    </w:r>
    <w:r>
      <w:rPr>
        <w:rStyle w:val="PageNumber"/>
      </w:rPr>
      <w:fldChar w:fldCharType="separate"/>
    </w:r>
    <w:r w:rsidR="007B0FC7">
      <w:rPr>
        <w:rStyle w:val="PageNumber"/>
        <w:noProof/>
      </w:rPr>
      <w:t>ii</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75C" w:rsidRDefault="001B475C">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7B0FC7">
      <w:rPr>
        <w:rStyle w:val="PageNumber"/>
        <w:noProof/>
      </w:rPr>
      <w:t>3</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75C" w:rsidRDefault="001B475C">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7B0FC7">
      <w:rPr>
        <w:rStyle w:val="PageNumber"/>
        <w:noProof/>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B475C" w:rsidRDefault="001B475C">
      <w:r>
        <w:separator/>
      </w:r>
    </w:p>
  </w:footnote>
  <w:footnote w:type="continuationSeparator" w:id="1">
    <w:p w:rsidR="001B475C" w:rsidRDefault="001B475C">
      <w:r>
        <w:separator/>
      </w:r>
    </w:p>
  </w:footnote>
  <w:footnote w:type="continuationNotice" w:id="2">
    <w:p w:rsidR="001B475C" w:rsidRDefault="001B475C">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Wingdings"/>
        <w:sz w:val="18"/>
        <w:szCs w:val="18"/>
      </w:rPr>
    </w:lvl>
    <w:lvl w:ilvl="1">
      <w:start w:val="1"/>
      <w:numFmt w:val="bullet"/>
      <w:lvlText w:val="–"/>
      <w:lvlJc w:val="left"/>
      <w:pPr>
        <w:tabs>
          <w:tab w:val="num" w:pos="566"/>
        </w:tabs>
      </w:pPr>
      <w:rPr>
        <w:rFonts w:ascii="StarSymbol" w:hAnsi="StarSymbol" w:cs="Wingdings"/>
        <w:sz w:val="18"/>
        <w:szCs w:val="18"/>
      </w:rPr>
    </w:lvl>
    <w:lvl w:ilvl="2">
      <w:start w:val="1"/>
      <w:numFmt w:val="bullet"/>
      <w:lvlText w:val="–"/>
      <w:lvlJc w:val="left"/>
      <w:pPr>
        <w:tabs>
          <w:tab w:val="num" w:pos="849"/>
        </w:tabs>
      </w:pPr>
      <w:rPr>
        <w:rFonts w:ascii="StarSymbol" w:hAnsi="StarSymbol" w:cs="Wingdings"/>
        <w:sz w:val="18"/>
        <w:szCs w:val="18"/>
      </w:rPr>
    </w:lvl>
    <w:lvl w:ilvl="3">
      <w:start w:val="1"/>
      <w:numFmt w:val="bullet"/>
      <w:lvlText w:val="–"/>
      <w:lvlJc w:val="left"/>
      <w:pPr>
        <w:tabs>
          <w:tab w:val="num" w:pos="1132"/>
        </w:tabs>
      </w:pPr>
      <w:rPr>
        <w:rFonts w:ascii="StarSymbol" w:hAnsi="StarSymbol" w:cs="Wingdings"/>
        <w:sz w:val="18"/>
        <w:szCs w:val="18"/>
      </w:rPr>
    </w:lvl>
    <w:lvl w:ilvl="4">
      <w:start w:val="1"/>
      <w:numFmt w:val="bullet"/>
      <w:lvlText w:val="–"/>
      <w:lvlJc w:val="left"/>
      <w:pPr>
        <w:tabs>
          <w:tab w:val="num" w:pos="1415"/>
        </w:tabs>
      </w:pPr>
      <w:rPr>
        <w:rFonts w:ascii="StarSymbol" w:hAnsi="StarSymbol" w:cs="Wingdings"/>
        <w:sz w:val="18"/>
        <w:szCs w:val="18"/>
      </w:rPr>
    </w:lvl>
    <w:lvl w:ilvl="5">
      <w:start w:val="1"/>
      <w:numFmt w:val="bullet"/>
      <w:lvlText w:val="–"/>
      <w:lvlJc w:val="left"/>
      <w:pPr>
        <w:tabs>
          <w:tab w:val="num" w:pos="1698"/>
        </w:tabs>
      </w:pPr>
      <w:rPr>
        <w:rFonts w:ascii="StarSymbol" w:hAnsi="StarSymbol" w:cs="Wingdings"/>
        <w:sz w:val="18"/>
        <w:szCs w:val="18"/>
      </w:rPr>
    </w:lvl>
    <w:lvl w:ilvl="6">
      <w:start w:val="1"/>
      <w:numFmt w:val="bullet"/>
      <w:lvlText w:val="–"/>
      <w:lvlJc w:val="left"/>
      <w:pPr>
        <w:tabs>
          <w:tab w:val="num" w:pos="1981"/>
        </w:tabs>
      </w:pPr>
      <w:rPr>
        <w:rFonts w:ascii="StarSymbol" w:hAnsi="StarSymbol" w:cs="Wingdings"/>
        <w:sz w:val="18"/>
        <w:szCs w:val="18"/>
      </w:rPr>
    </w:lvl>
    <w:lvl w:ilvl="7">
      <w:start w:val="1"/>
      <w:numFmt w:val="bullet"/>
      <w:lvlText w:val="–"/>
      <w:lvlJc w:val="left"/>
      <w:pPr>
        <w:tabs>
          <w:tab w:val="num" w:pos="2264"/>
        </w:tabs>
      </w:pPr>
      <w:rPr>
        <w:rFonts w:ascii="StarSymbol" w:hAnsi="StarSymbol" w:cs="Wingdings"/>
        <w:sz w:val="18"/>
        <w:szCs w:val="18"/>
      </w:rPr>
    </w:lvl>
    <w:lvl w:ilvl="8">
      <w:start w:val="1"/>
      <w:numFmt w:val="bullet"/>
      <w:lvlText w:val="–"/>
      <w:lvlJc w:val="left"/>
      <w:pPr>
        <w:tabs>
          <w:tab w:val="num" w:pos="2547"/>
        </w:tabs>
      </w:pPr>
      <w:rPr>
        <w:rFonts w:ascii="StarSymbol" w:hAnsi="StarSymbol" w:cs="Wingdings"/>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699450F"/>
    <w:multiLevelType w:val="multilevel"/>
    <w:tmpl w:val="4D96DA34"/>
    <w:lvl w:ilvl="0">
      <w:start w:val="1"/>
      <w:numFmt w:val="decimal"/>
      <w:pStyle w:val="Heading1"/>
      <w:lvlText w:val="Chapter %1"/>
      <w:lvlJc w:val="left"/>
      <w:pPr>
        <w:tabs>
          <w:tab w:val="num" w:pos="1800"/>
        </w:tabs>
        <w:ind w:left="0" w:firstLine="0"/>
      </w:pPr>
      <w:rPr>
        <w:rFonts w:hint="default"/>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1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1">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4">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3"/>
  </w:num>
  <w:num w:numId="3">
    <w:abstractNumId w:val="13"/>
  </w:num>
  <w:num w:numId="4">
    <w:abstractNumId w:val="0"/>
  </w:num>
  <w:num w:numId="5">
    <w:abstractNumId w:val="0"/>
  </w:num>
  <w:num w:numId="6">
    <w:abstractNumId w:val="0"/>
  </w:num>
  <w:num w:numId="7">
    <w:abstractNumId w:val="12"/>
  </w:num>
  <w:num w:numId="8">
    <w:abstractNumId w:val="9"/>
  </w:num>
  <w:num w:numId="9">
    <w:abstractNumId w:val="10"/>
  </w:num>
  <w:num w:numId="10">
    <w:abstractNumId w:val="5"/>
  </w:num>
  <w:num w:numId="11">
    <w:abstractNumId w:val="8"/>
  </w:num>
  <w:num w:numId="12">
    <w:abstractNumId w:val="16"/>
  </w:num>
  <w:num w:numId="13">
    <w:abstractNumId w:val="18"/>
  </w:num>
  <w:num w:numId="14">
    <w:abstractNumId w:val="4"/>
  </w:num>
  <w:num w:numId="15">
    <w:abstractNumId w:val="20"/>
  </w:num>
  <w:num w:numId="16">
    <w:abstractNumId w:val="24"/>
  </w:num>
  <w:num w:numId="17">
    <w:abstractNumId w:val="22"/>
  </w:num>
  <w:num w:numId="18">
    <w:abstractNumId w:val="6"/>
  </w:num>
  <w:num w:numId="19">
    <w:abstractNumId w:val="3"/>
  </w:num>
  <w:num w:numId="2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7"/>
  </w:num>
  <w:num w:numId="24">
    <w:abstractNumId w:val="11"/>
  </w:num>
  <w:num w:numId="25">
    <w:abstractNumId w:val="15"/>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2039"/>
    <w:rsid w:val="00054B9A"/>
    <w:rsid w:val="00055E04"/>
    <w:rsid w:val="00065378"/>
    <w:rsid w:val="000C1D4A"/>
    <w:rsid w:val="00160E74"/>
    <w:rsid w:val="001B475C"/>
    <w:rsid w:val="00241F50"/>
    <w:rsid w:val="002C43E2"/>
    <w:rsid w:val="002F2706"/>
    <w:rsid w:val="003D7D1E"/>
    <w:rsid w:val="003F3E02"/>
    <w:rsid w:val="00417502"/>
    <w:rsid w:val="0044425C"/>
    <w:rsid w:val="004501D4"/>
    <w:rsid w:val="0048798E"/>
    <w:rsid w:val="00512C1B"/>
    <w:rsid w:val="00575674"/>
    <w:rsid w:val="00585432"/>
    <w:rsid w:val="00616997"/>
    <w:rsid w:val="00635691"/>
    <w:rsid w:val="0063668F"/>
    <w:rsid w:val="00664B0A"/>
    <w:rsid w:val="006B56F1"/>
    <w:rsid w:val="007404B2"/>
    <w:rsid w:val="00774368"/>
    <w:rsid w:val="007B0FC7"/>
    <w:rsid w:val="00883604"/>
    <w:rsid w:val="00890333"/>
    <w:rsid w:val="0089072B"/>
    <w:rsid w:val="008F2D59"/>
    <w:rsid w:val="009023B5"/>
    <w:rsid w:val="009161BC"/>
    <w:rsid w:val="009346B6"/>
    <w:rsid w:val="0096348F"/>
    <w:rsid w:val="00965065"/>
    <w:rsid w:val="009C0CE7"/>
    <w:rsid w:val="00AB3E94"/>
    <w:rsid w:val="00AC41FF"/>
    <w:rsid w:val="00AD35E5"/>
    <w:rsid w:val="00B5102C"/>
    <w:rsid w:val="00B87506"/>
    <w:rsid w:val="00D35158"/>
    <w:rsid w:val="00D41019"/>
    <w:rsid w:val="00D414B0"/>
    <w:rsid w:val="00D83343"/>
    <w:rsid w:val="00D94951"/>
    <w:rsid w:val="00E012C0"/>
    <w:rsid w:val="00ED1506"/>
    <w:rsid w:val="00ED1A52"/>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E6"/>
    <w:pPr>
      <w:widowControl w:val="0"/>
      <w:adjustRightInd w:val="0"/>
      <w:spacing w:after="120" w:line="280" w:lineRule="atLeast"/>
      <w:textAlignment w:val="baseline"/>
    </w:pPr>
    <w:rPr>
      <w:sz w:val="24"/>
    </w:r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semiHidden/>
    <w:rsid w:val="00D83343"/>
    <w:pPr>
      <w:tabs>
        <w:tab w:val="right" w:leader="dot" w:pos="8630"/>
      </w:tabs>
      <w:spacing w:before="120"/>
    </w:pPr>
    <w:rPr>
      <w:b/>
      <w:sz w:val="20"/>
    </w:rPr>
  </w:style>
  <w:style w:type="paragraph" w:styleId="TOC2">
    <w:name w:val="toc 2"/>
    <w:basedOn w:val="Normal"/>
    <w:next w:val="Normal"/>
    <w:semiHidden/>
    <w:rsid w:val="00D83343"/>
    <w:pPr>
      <w:tabs>
        <w:tab w:val="right" w:leader="dot" w:pos="8630"/>
      </w:tabs>
      <w:spacing w:after="60" w:line="240" w:lineRule="auto"/>
      <w:ind w:left="245"/>
    </w:pPr>
    <w:rPr>
      <w:sz w:val="20"/>
    </w:rPr>
  </w:style>
  <w:style w:type="paragraph" w:styleId="TOC3">
    <w:name w:val="toc 3"/>
    <w:basedOn w:val="Normal"/>
    <w:next w:val="Normal"/>
    <w:semiHidden/>
    <w:rsid w:val="00D83343"/>
    <w:pPr>
      <w:tabs>
        <w:tab w:val="right" w:leader="dot" w:pos="8626"/>
      </w:tabs>
      <w:spacing w:after="60" w:line="240" w:lineRule="auto"/>
      <w:ind w:left="475"/>
    </w:pPr>
    <w:rPr>
      <w:i/>
      <w:sz w:val="20"/>
    </w:rPr>
  </w:style>
  <w:style w:type="paragraph" w:styleId="TOC4">
    <w:name w:val="toc 4"/>
    <w:basedOn w:val="Normal"/>
    <w:next w:val="Normal"/>
    <w:semiHidden/>
    <w:rsid w:val="00D83343"/>
    <w:pPr>
      <w:numPr>
        <w:numId w:val="15"/>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83343"/>
    <w:pPr>
      <w:tabs>
        <w:tab w:val="right" w:leader="dot" w:pos="8626"/>
      </w:tabs>
      <w:spacing w:after="60" w:line="240" w:lineRule="auto"/>
      <w:ind w:left="965"/>
    </w:pPr>
    <w:rPr>
      <w:sz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semiHidden/>
    <w:rsid w:val="00D83343"/>
    <w:pPr>
      <w:ind w:left="1200"/>
    </w:pPr>
    <w:rPr>
      <w:sz w:val="18"/>
    </w:rPr>
  </w:style>
  <w:style w:type="paragraph" w:styleId="TOC7">
    <w:name w:val="toc 7"/>
    <w:basedOn w:val="Normal"/>
    <w:next w:val="Normal"/>
    <w:autoRedefine/>
    <w:semiHidden/>
    <w:rsid w:val="00D83343"/>
    <w:pPr>
      <w:ind w:left="1440"/>
    </w:pPr>
    <w:rPr>
      <w:sz w:val="18"/>
    </w:rPr>
  </w:style>
  <w:style w:type="paragraph" w:styleId="TOC8">
    <w:name w:val="toc 8"/>
    <w:basedOn w:val="Normal"/>
    <w:next w:val="Normal"/>
    <w:autoRedefine/>
    <w:semiHidden/>
    <w:rsid w:val="00D83343"/>
    <w:pPr>
      <w:ind w:left="1680"/>
    </w:pPr>
    <w:rPr>
      <w:sz w:val="18"/>
    </w:rPr>
  </w:style>
  <w:style w:type="paragraph" w:styleId="TOC9">
    <w:name w:val="toc 9"/>
    <w:basedOn w:val="Normal"/>
    <w:next w:val="Normal"/>
    <w:autoRedefine/>
    <w:semiHidden/>
    <w:rsid w:val="00D83343"/>
    <w:pPr>
      <w:ind w:left="1920"/>
    </w:pPr>
    <w:rPr>
      <w:sz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szCs w:val="24"/>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rPr>
      <w:szCs w:val="24"/>
    </w:r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szCs w:val="24"/>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szCs w:val="24"/>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rPr>
      <w:szCs w:val="24"/>
    </w:rPr>
  </w:style>
  <w:style w:type="paragraph" w:customStyle="1" w:styleId="std12">
    <w:name w:val="std12"/>
    <w:basedOn w:val="Normal"/>
    <w:rsid w:val="00D83343"/>
    <w:pPr>
      <w:widowControl/>
      <w:adjustRightInd/>
      <w:spacing w:before="100" w:beforeAutospacing="1" w:after="100" w:afterAutospacing="1" w:line="240" w:lineRule="auto"/>
      <w:textAlignment w:val="auto"/>
    </w:pPr>
    <w:rPr>
      <w:szCs w:val="24"/>
    </w:r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szCs w:val="24"/>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szCs w:val="24"/>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hyperlink" Target="http://purl.cagrid.org/osumc" TargetMode="External"/><Relationship Id="rId25" Type="http://schemas.openxmlformats.org/officeDocument/2006/relationships/hyperlink" Target="http://purl.cagrid.org/osumc/c2581947-7c80-4330-9dd0-2761f6efdd41" TargetMode="External"/><Relationship Id="rId8" Type="http://schemas.openxmlformats.org/officeDocument/2006/relationships/image" Target="media/image1.jpeg"/><Relationship Id="rId13" Type="http://schemas.openxmlformats.org/officeDocument/2006/relationships/hyperlink" Target="http://purl.cagrid.org" TargetMode="External"/><Relationship Id="rId10"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hyperlink" Target="http://www.osumc.edu/illness" TargetMode="External"/><Relationship Id="rId9" Type="http://schemas.openxmlformats.org/officeDocument/2006/relationships/footer" Target="footer1.xml"/><Relationship Id="rId18" Type="http://schemas.openxmlformats.org/officeDocument/2006/relationships/hyperlink" Target="http://purl.cagrid.org/illness/cancer.html" TargetMode="External"/><Relationship Id="rId3" Type="http://schemas.openxmlformats.org/officeDocument/2006/relationships/styles" Target="styles.xml"/><Relationship Id="rId27" Type="http://schemas.openxmlformats.org/officeDocument/2006/relationships/hyperlink" Target="http://new.na.cagrid.org" TargetMode="External"/><Relationship Id="rId14" Type="http://schemas.openxmlformats.org/officeDocument/2006/relationships/hyperlink" Target="http://www.osumc.edu/illness/cancer.html" TargetMode="External"/><Relationship Id="rId23" Type="http://schemas.openxmlformats.org/officeDocument/2006/relationships/hyperlink" Target="http://na.cagrid.org" TargetMode="External"/><Relationship Id="rId4" Type="http://schemas.openxmlformats.org/officeDocument/2006/relationships/settings" Target="settings.xml"/><Relationship Id="rId28" Type="http://schemas.openxmlformats.org/officeDocument/2006/relationships/hyperlink" Target="http://new.na.cagrid.org" TargetMode="External"/><Relationship Id="rId26" Type="http://schemas.openxmlformats.org/officeDocument/2006/relationships/hyperlink" Target="http://na.cagrid.org/c2581947-7c80-4330-9dd0-2761f6efdd41" TargetMode="External"/><Relationship Id="rId30" Type="http://schemas.openxmlformats.org/officeDocument/2006/relationships/theme" Target="theme/theme1.xml"/><Relationship Id="rId11" Type="http://schemas.openxmlformats.org/officeDocument/2006/relationships/footer" Target="footer3.xml"/><Relationship Id="rId29" Type="http://schemas.openxmlformats.org/officeDocument/2006/relationships/fontTable" Target="fontTable.xml"/><Relationship Id="rId6" Type="http://schemas.openxmlformats.org/officeDocument/2006/relationships/footnotes" Target="footnotes.xml"/><Relationship Id="rId16" Type="http://schemas.openxmlformats.org/officeDocument/2006/relationships/hyperlink" Target="http://www.osumc.edu/illness/cancer.html" TargetMode="External"/><Relationship Id="rId5" Type="http://schemas.openxmlformats.org/officeDocument/2006/relationships/webSettings" Target="webSettings.xml"/><Relationship Id="rId15" Type="http://schemas.openxmlformats.org/officeDocument/2006/relationships/hyperlink" Target="http://purl.cagrid.org/illness/cancer.html" TargetMode="External"/><Relationship Id="rId19" Type="http://schemas.openxmlformats.org/officeDocument/2006/relationships/hyperlink" Target="http://www.osumc.edu/illness/cancer.html" TargetMode="External"/><Relationship Id="rId20" Type="http://schemas.openxmlformats.org/officeDocument/2006/relationships/hyperlink" Target="http://purl.cagrid.org/illness/swine-flu.html" TargetMode="External"/><Relationship Id="rId22" Type="http://schemas.openxmlformats.org/officeDocument/2006/relationships/hyperlink" Target="http://purl.cagrid.org" TargetMode="External"/><Relationship Id="rId21" Type="http://schemas.openxmlformats.org/officeDocument/2006/relationships/hyperlink" Target="http://na.cagrid.org" TargetMode="Externa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248</TotalTime>
  <Pages>7</Pages>
  <Words>1170</Words>
  <Characters>6670</Characters>
  <Application>Microsoft Macintosh Word</Application>
  <DocSecurity>0</DocSecurity>
  <Lines>55</Lines>
  <Paragraphs>13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8191</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21</cp:revision>
  <cp:lastPrinted>2005-06-09T20:54:00Z</cp:lastPrinted>
  <dcterms:created xsi:type="dcterms:W3CDTF">2009-07-21T16:09:00Z</dcterms:created>
  <dcterms:modified xsi:type="dcterms:W3CDTF">2009-07-23T15:29:00Z</dcterms:modified>
  <cp:category/>
</cp:coreProperties>
</file>