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Select Test case ID 9581 with short title Distribution_Success_Specimens_Derivatives_SpecimenArray</w:t>
      </w:r>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Pr="00746767">
          <w:rPr>
            <w:rStyle w:val="Hyperlink"/>
          </w:rPr>
          <w:t>sci@sci.com</w:t>
        </w:r>
      </w:hyperlink>
      <w:r>
        <w:t>) Test123.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Specimens_ collected</w:t>
      </w:r>
      <w:r w:rsidRPr="004E7C5E">
        <w:rPr>
          <w:b/>
          <w:i/>
        </w:rPr>
        <w:t>_CAKUT</w:t>
      </w:r>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 and 159_4from the list.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Click on Save button on the csv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following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p>
    <w:p w:rsidR="000F64FB" w:rsidRDefault="000F64FB" w:rsidP="000F64FB">
      <w:r>
        <w:t>14 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lastRenderedPageBreak/>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lastRenderedPageBreak/>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lastRenderedPageBreak/>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r>
        <w:t>Specimen label, specimen type, tissue side, tissue site, pathological status and protocol participant identifier.</w:t>
      </w:r>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FD09ED"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3D19FE"/>
    <w:rsid w:val="0046418E"/>
    <w:rsid w:val="004C29B2"/>
    <w:rsid w:val="004E309A"/>
    <w:rsid w:val="005D01EF"/>
    <w:rsid w:val="0065432C"/>
    <w:rsid w:val="00655E9D"/>
    <w:rsid w:val="00672F56"/>
    <w:rsid w:val="006F58F1"/>
    <w:rsid w:val="007E6482"/>
    <w:rsid w:val="0080691A"/>
    <w:rsid w:val="00AC2B8B"/>
    <w:rsid w:val="00B43338"/>
    <w:rsid w:val="00B95971"/>
    <w:rsid w:val="00CA5127"/>
    <w:rsid w:val="00D85E32"/>
    <w:rsid w:val="00D974E5"/>
    <w:rsid w:val="00F660E0"/>
    <w:rsid w:val="00FD0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6</cp:revision>
  <dcterms:created xsi:type="dcterms:W3CDTF">2011-02-14T11:30:00Z</dcterms:created>
  <dcterms:modified xsi:type="dcterms:W3CDTF">2011-02-28T08:50:00Z</dcterms:modified>
</cp:coreProperties>
</file>