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reduces VN1 inventory by 6–11% relative to LGB-Q at a fill rate of 0.92 and remains within 1.5% on M5. This combination was selected after inspection of the results and has not been independently validated.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its demand forecasts rather than introduce another forecasting architecture. Seven methods are evaluated on every eligible series in M5 and VN1, with weekly decisions simulated over three 26-week windows in each dataset. Inventory is compared at matched realised fill rates; liquidation is assessed through the salvage price needed to break even under stated cost assumptions. Additional experiments vary LightGBM hyperparameters and replenishment lead times and include a neural baseline. We also test whether pre-test demand characteristics can support method selection. Finally, we report an exploratory average of two forecast distributions. Its constituent methods were selected after seeing the initial results, so the combination is not an independently validated policy.</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the contribution here is the comparison across datasets, periods and decision settings.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(Section 5.7).</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Mean series-level ranks at h = 13: M5—LGB-Q 3.45 / 3.43 / 3.50, HGB-Q 3.38 / 3.45 / 3.50, TSB-NB 4.16 / 4.04 / 4.05; VN1—LGB-Q 4.02 / 3.48 / 3.85, HGB-Q 3.85 / 3.46 / 3.57, TSB-NB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The clustering fitted on the earliest window is carried forward unchanged. Among K-means and mixture candidates, predefined criteria select a three-component Gaussian mixture labelled regular, fading and sparse. Refits are similar (adjusted Rand index 0.94), but the clusters overlap substantially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takes the arithmetic mean of the two methods' forecasts at each quantile and does not require a prediction of demand growth. We selected these two inputs after inspecting their relative performance. C2 therefore belongs to an exploratory, post hoc analysis; the same windows cannot provide an independent test of that choice.</w:t>
      </w:r>
    </w:p>
    <w:p>
      <w:pPr>
        <w:widowControl/>
      </w:pPr>
      <w:r>
        <w:t>At fill rate 0.92, C2 uses 5.9%, 10.5% and 7.1% less VN1 inventory than LGB-Q in the main, second and third windows, with all reported bootstrap intervals excluding zero. In the second window it matches TSB-NB. On M5, its required inventory remains within 1.5% of LGB-Q, although its wQL is slightly higher. Including HGB-Q in the average gives similar results. Across the one- and four-week lead-time checks, C2 also saves VN1 inventory relative to LGB-Q at fill rate 0.92 in every tested window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three alternatives to the default LightGBM parameters: small trees (15 leaves, minimum 100 samples per leaf), large trees (255 leaves, minimum 50), and regularised trees (31 leaves, minimum 500, L2 penalty 10). On M5, LGB-Q needs 4.7–6.8% less inventory than LGB-T and 7.5–11.0% less than TSB-NB at fill rate 0.92 under all four configurations; its own inventory changes by less than 3%. The main VN1 ranking persists for three settings. With small trees, however, LGB-Q's advantage over TSB-NB is no longer statistically resolved; LGB-T uses 8.9% less inventory than LGB-Q at fill rate 0.92, and LGB-Q itself uses 6.3% more inventory at fill rate 0.94 than under its default parameters.</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(M5: 0.078 / 0.083 / 0.089; VN1: 0.107 / 0.079 / 0.104); empirical coverage of the 0.99-quantile is 0.986–0.992. It never leads on inventory. At fill rates of 0.90–0.94 on M5 it needs 2.6–10.0% more stock than LGB-Q; its frontier ranks on VN1, among eight single methods, range from 2.8 to 4.4. Including N-HiTS leaves C2's maximum regret at 0.9%. Because we did not test architectures such as DeepAR or PatchTST, this CPU-budgeted baseline is not evidence about deep-learning methods as a class.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Between refits, the global models are re-applied every week to the newest lags and rolling statistics, so their forecasts follow recent demand; their parameters, however, are re-estimated only every 13 weeks, with fixed hyper-parameters. On fast-growing VN1 series this can leave the learned mapping one block behind a level shift. More frequent refits, online or warm-started updating of the boosted trees, weighting recent observations more heavily, or re-tuning hyper-parameters at each refit could reduce that lag. The VN1 sensitivity to tree size (Section 5.8) suggests that configuration matters there. These options were not tested. They also carry a risk: neither the growth classifier above nor learned combination weights (reported in the repository) outperformed simpler fixed choices, so added adaptivity should be validated out of sample before it is adopted.</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C2 has the smallest maximum regret under the paper's descriptive metric, defined as excess stock relative to the best single method averaged over attainable fill-rate targets in each dataset–window run. Its maximum across six runs is 0.9%, versus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 regret figures describe these experiments, not expected deployment performance: C2 was chosen using the same results.</w:t>
      </w:r>
    </w:p>
    <w:p>
      <w:pPr>
        <w:widowControl/>
      </w:pPr>
      <w:r>
        <w:t>Toward deployment of C2. Because C2 was chosen after inspecting these results, its next evaluation should be prospective. First, freeze its specification: the two members, equal weights, the quantile grid, the policy and the evaluation metrics (inventory at fill rates 0.90–0.98 and regret). Then apply it, unchanged, to periods after the end of the current data and to retail datasets not used here. In a company, C2 can first run in shadow mode next to the current method, comparing realised fill rate and inventory for several review cycles before any switch. Two guardrails follow from our results: use LGB-Q instead when lost sales cost more than about 200 weeks of holding, and monitor the empirical coverage of the upper quantiles, where TSB-NB under-covers. The public repository fixes the code and settings needed for such replications.</w:t>
      </w:r>
    </w:p>
    <w:p>
      <w:pPr>
        <w:widowControl/>
      </w:pPr>
      <w:r>
        <w:t>Censored demand. Both datasets record sales, not demand: in any week with a stockout, recorded sales equal the available stock and understate demand. Neither dataset includes on-hand records, so these weeks cannot be identified, and some zero-sales weeks may reflect stockouts rather than absent demand. Censoring affects both training and evaluation. The models learn from truncated observations, which tends to bias their quantiles downward for items that often ran out. The simulation also treats recorded sales as demand, so lost sales during historical stockouts are invisible and fill rates are likely overstated for every method. Because all methods share the same data and simulation, the comparison between methods is likely less affected than absolute levels, but the bias need not be equal across methods or demand classes: censoring may, for example, make intermittent series appear sparser. Data with stock-availability records would allow censored weeks to be flagged or demand to be reconstructed before training, and would test whether our rankings survive.</w:t>
      </w:r>
    </w:p>
    <w:p>
      <w:pPr>
        <w:widowControl/>
      </w:pPr>
      <w:r>
        <w:t>Limitations. Recorded sales stand in for demand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is evaluated separately in the repository; N-HiTS is an additional neural baseline (Section 5.8), not one of the seven methods in the main benchmark.</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Because that pair was chosen after inspection of the results, the combination needs an independent evaluation.</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