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a post hoc choice, reduces VN1 inventory by 6–11% relative to LGB-Q at a fill rate of 0.92 and remains within 1.5% on M5; a median of all seven methods, specified before testing, saves 7–8% on VN1 and stays within 1.6% on M5. Because these combinations lack an independent test period, our main evidence concerns the single methods.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Evidence across settings and periods. Accuracy and inventory rankings agree on M5, where LGB-Q needs 3–11% less stock than the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A pre-specified combination with ablation. The median of the seven methods' quantiles needs 7–8% less VN1 inventory than LGB-Q and has the lowest maximum regret (0.3%), but gives no gain on M5; the ablation shows that the direct quantile learners contribute most and that adding ETS hurts. An earlier average of two methods (C2) is reported as post hoc.</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the contribution here is the comparison across datasets, periods and decision settings.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(Section 5.7).</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bootstrap intervals excluding zero.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was tested on only three windows per dataset, the next evaluation should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Because the flags are uncertain, such models would need on-hand records or a sensitivity analysis over the flagging threshold; we leave them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no combination clearly beats LGB-Q on M5.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