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using seven probabilistic forecasting methods—three statistical and four gradient-boosting approaches—in a weekly order-up-to simulation with optional liquidation, on all eligible series from M5 (physical stores) and VN1 (multi-vendor e-commerce) over three 26-week windows per dataset. Because inventory costs are unobserved, we compare stock at equal realised fill rates with bootstrap confidence intervals. On M5, LightGBM quantile regression (LGB-Q) has the lowest volume-weighted quantile loss and, at a fill rate of 0.94, needs 3–11% less inventory than the safety-stock, conformal, TSB-NB and exponential-smoothing alternatives in each window; this holds across tested lead times and LightGBM settings. VN1 ranks the methods differently in different windows: TSB-NB needs 13–16% less inventory for series that turn out to be stable but fails to reach a fill rate of 0.92 on growing-demand series in two windows, and neither ADI–CV² classes nor clusters consistently identify the right method in advance. A median of all seven methods' quantiles, specified before testing, needs 7–8% less VN1 inventory than LGB-Q at a fill rate of 0.92, but the saving loses significance when warehouses are resampled, does not persist when τ is calibrated from past weeks only, and is not confirmed on an independent footwear dataset, where neither combination demonstrates a statistically significant inventory advantage over LGB-Q. Quantile-based liquidation changes fill rate by at most 0.02 percentage points but shows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Forecasting benchmarks rank models by predictive error, but retailers choose forecasts to support inventory decisions, and the two rankings need not agree. An order based on the expected value of demand cannot describe the risk of a stockout: insufficient inventory loses sales, while excess stock incurs holding costs and may later be liquidated. Forecast quantiles allow an order-up-to level to be set for a chosen service target [3], but whether they are statistically accurate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only its demand forecasts, evaluating seven methods on every eligible series of M5 and VN1 over three 26-week windows each. We ask two questions. RQ1: do rankings by forecast accuracy and by the inventory needed for a given realised fill rate agree across retail settings and periods? RQ2: do inventory savings measured at matched realised fill survive deployment-style evaluation, with service calibrated from past weeks only and an independent panel? Our contributions are as follows.</w:t>
      </w:r>
    </w:p>
    <w:p>
      <w:pPr>
        <w:widowControl/>
        <w:ind w:left="280" w:hanging="200"/>
      </w:pPr>
      <w:r>
        <w:t>•  Ranking agreement depends on the setting and the period (RQ1). On M5, LGB-Q is both the most accurate method and needs 3–11% less stock than the point-forecast, conformal, TSB-NB and exponential-smoothing alternatives in every window; on VN1 the leading method changes between windows, and neither demand classes, clusters nor pre-test warehouse features select it reliably in advance.</w:t>
      </w:r>
    </w:p>
    <w:p>
      <w:pPr>
        <w:widowControl/>
        <w:ind w:left="280" w:hanging="200"/>
      </w:pPr>
      <w:r>
        <w:t>•  Retrospective savings are not prospective evidence (RQ2). The 7–8% VN1 saving of a pre-specified seven-method median at matched realised fill is not confirmed under past-only calibration, full-policy cluster bootstraps and an independent footwear panel, whereas the M5 ranking holds; prospective inventory comparisons report achieved fill alongside stock requirements.</w:t>
      </w:r>
    </w:p>
    <w:p>
      <w:pPr>
        <w:widowControl/>
        <w:ind w:left="280" w:hanging="200"/>
      </w:pPr>
      <w:r>
        <w:t>•  Supporting results. Checks on lead time, hyperparameters, censored demand and computing cost show which findings are stable, a break-even salvage ratio states when liquidation pays, and code and results are public.</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with three test windows plus an independent third panel,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Unlike [7], which evaluates one 365-day period at product–state level, and [5], which tunes combinations for a single-period newsvendor on one 28-day holdout, we compare rankings across settings and periods and test whether retrospective savings survive prospective evaluation.</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(Table 1): a classifier using nine demand features identifies the dataset with an AUC of 0.91 (repository); Section 5.7 tests whether such differences explain the results.</w:t>
      </w:r>
    </w:p>
    <w:p>
      <w:pPr>
        <w:widowControl/>
      </w:pPr>
      <w:r>
        <w:t>Independent panel. To check the combinations on data not used to specify them, we add the retail-channel sales of a Vietnamese footwear chain, public on Kaggle (tienanh2003/sales-and-inventory-snapshot-data): 1,001 style–colour series over 82 weeks (January 2022 to July 2023), excluding returns and three partial weeks. With the eligibility rule above, 909 series enter one 26-week test window from 30 January 2023. Forecasts use the same pipeline, 21 features, refit schedule and policy; rerunning it on the processed sales file reproduces them exactly. Only one window fits the short history, month-end stock snapshots are unused, and single-method results on this panel existed before, but were not used for, specifying the combinations.</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That section also evaluates two combinations of all seven methods fixed before they were run: the mean (E7) and the median (E7-med) of their quantiles.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markup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markups of 30–100%. Neither actual salvage prices nor inventory costs are observed in these datasets.</w:t>
      </w:r>
    </w:p>
    <w:p>
      <w:pPr>
        <w:pStyle w:val="Heading1"/>
        <w:keepNext/>
      </w:pPr>
      <w:r>
        <w:t>4  EXPERIMENTAL SETUP</w:t>
      </w:r>
    </w:p>
    <w:p>
      <w:pPr>
        <w:widowControl/>
      </w:pPr>
      <w:r>
        <w:t>For M5 and VN1, the main window comprises the final 26 weeks; two earlier windows are formed by removing the last 26 and 52 weeks, respectively. The footwear panel has only its final 26-week window. Within each window, the models are refitted at the beginning of two 13-week blocks, while forecasts and inventory decisions are generated weekly. Training is repeated for every window.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(Figure 1)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series-bootstrap intervals excluding zero (but see Section 5.8).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At matched realised fill,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markup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VN1's sparse price variables or limiting M5 to its 21 features shared with VN1 changes LGB-Q inventory by less than 1% in every window. Other dataset differences remain untested.</w:t>
      </w:r>
    </w:p>
    <w:p>
      <w:pPr>
        <w:pStyle w:val="Heading2"/>
        <w:keepNext/>
      </w:pPr>
      <w:r>
        <w:t>5.8  Robustness checks and a neural baseline</w:t>
      </w:r>
    </w:p>
    <w:p>
      <w:pPr>
        <w:widowControl/>
      </w:pPr>
      <w:r>
        <w:t>Hyperparameters. Refitting LGB-Q and LGB-T for h = 3 in the main window with small (15 leaves), large (255) and regularised (31 leaves, at least 500 samples per leaf, L2 penalty 10) trees leaves LGB-Q 4.7–6.8% below LGB-T and 7.5–11.0% below TSB-NB in inventory on M5 at fill rate 0.92, with its own inventory changing by less than 3%. The VN1 ranking persists for three settings; with small trees LGB-T uses 8.9% less inventory than LGB-Q.</w:t>
      </w:r>
    </w:p>
    <w:p>
      <w:pPr>
        <w:widowControl/>
      </w:pPr>
      <w:r>
        <w:t>Lead time. At lead times of one and four weeks in every window (HGB-Q omitted), LGB-Q needs less inventory on M5 than LGB-T, LGB-C, TSB-NB and ETS in all nine window–lead-time runs (2.5–14.8% at fill rate 0.94). On VN1 the post hoc C2 uses 3.2–10.9% less inventory than LGB-Q at fill rate 0.92 in all nine runs, with intervals excluding zero in seven; its maximum regret over the 18 runs is 2.0%, against 12.6% for LGB-Q.</w:t>
      </w:r>
    </w:p>
    <w:p>
      <w:pPr>
        <w:widowControl/>
      </w:pPr>
      <w:r>
        <w:t>Neural baseline. We evaluated a univariate N-HiTS network [26] separately from the seven-method benchmark. It predicts quantiles of cumulative h-week demand with a multi-quantile loss, is refitted every 13 weeks and uses fixed hyperparameters. It never leads on inventory. At fill rates of 0.90–0.94 on M5 it needs 2.6–10.0% more stock than LGB-Q; its frontier ranks on VN1, among eight single methods, range from 2.8 to 4.4. It is a CPU-budgeted baseline, not evidence about deep learning as a class.</w:t>
      </w:r>
    </w:p>
    <w:p>
      <w:pPr>
        <w:widowControl/>
      </w:pPr>
      <w:r>
        <w:t>Computational cost. Except Chronos-2, every method forecasts a 26-week window within minutes on the laptop CPU (TSB-NB 1–2, LGB-Q on M5 10–21, N-HiTS about 7). Zero-shot Chronos-2 [22] needs no training, but its inference took 5.4 hours per M5 window and 32–45 minutes per VN1 window, while needing 14.7% (M5) and 1.2–48.1% (VN1) more inventory than LGB-Q at fill rate 0.92; it ran without fine-tuning or covariates.</w:t>
      </w:r>
    </w:p>
    <w:p>
      <w:pPr>
        <w:widowControl/>
      </w:pPr>
      <w:r>
        <w:t>Prospective τ, resampling and a third dataset. Choosing each method's τ on the previous window puts every method except EMP within 0.8 points of the target fill on M5, where LGB-T, LGB-C, TSB-NB and ETS then need 3.8–14.2% more inventory than LGB-Q. On VN1 the realised fill misses the target by up to 4.6 points for LGB-Q, HGB-Q, C2 and E7-med; updating τ every week by half the gap between the target and the fill realised so far reduces the miss to 2.4 points, above our one-point criterion. Table 7 separates the target (0.92) from the achieved fill (0.906–0.926 on M5, 0.906–0.940 on VN1, 0.865–0.893 on the footwear panel); LGB-Q meets the target within 0.5 points in one of five cases. Its intervals rerun the past-only policy, τ path included, in 2,000 paired cluster replicates and are wider than with τ held fixed, most on VN1. Of the 13 comparisons whose achieved fills are within 0.5 points of LGB-Q's (none on the footwear panel), one shows a significant saving (C2 on VN1, 7.4%), five need significantly more stock and seven are inconclusive; with thresholds of 0.25 or 1.0 points, 10 or 17 qualify and one or two show a saving. No method is therefore shown to beat LGB-Q where service differs. Resampling items, stores or blocks of weeks leaves every M5 interval claim intact, whereas for the matched-fill comparisons warehouse- or client-level resampling leaves only the second-window VN1 savings significant.</w:t>
      </w:r>
    </w:p>
    <w:p>
      <w:pPr>
        <w:pStyle w:val="TableCaption"/>
        <w:widowControl/>
      </w:pPr>
      <w:r>
        <w:t>Table 7. Past-only service calibration (τ updated weekly, η = 0.5); target fill 0.92 throughout, Fill = achieved fill. ΔI = inventory relative to LGB-Q (%), 95% full-policy cluster-bootstrap intervals (τ path recomputed per replicate; M5 items, VN1 warehouses, footwear styles); LGB-Q rows: weeks of demand. † = fills differ by ≥ 0.5 points, not like-for-like.</w:t>
      </w:r>
    </w:p>
    <w:tbl>
      <w:tblPr>
        <w:tblStyle w:val="TableGrid"/>
        <w:tblW w:type="auto" w:w="0"/>
        <w:jc w:val="center"/>
        <w:tblLook w:firstColumn="1" w:firstRow="1" w:lastColumn="0" w:lastRow="0" w:noHBand="0" w:noVBand="1" w:val="04A0"/>
        <w:tblLayout w:type="fixed"/>
      </w:tblPr>
      <w:tblGrid>
        <w:gridCol w:w="864"/>
        <w:gridCol w:w="648"/>
        <w:gridCol w:w="1137"/>
        <w:gridCol w:w="648"/>
        <w:gridCol w:w="1137"/>
        <w:gridCol w:w="648"/>
        <w:gridCol w:w="1137"/>
        <w:gridCol w:w="648"/>
        <w:gridCol w:w="1137"/>
        <w:gridCol w:w="648"/>
        <w:gridCol w:w="1137"/>
      </w:tblGrid>
      <w:tr>
        <w:tc>
          <w:tcPr>
            <w:tcW w:type="dxa" w:w="864"/>
            <w:vMerge w:val="restart"/>
          </w:tcPr>
          <w:p>
            <w:pPr>
              <w:pStyle w:val="CellText"/>
              <w:jc w:val="center"/>
            </w:pPr>
            <w:r>
              <w:rPr>
                <w:b/>
                <w:sz w:val="14"/>
              </w:rPr>
              <w:t>Method</w:t>
            </w:r>
          </w:p>
        </w:tc>
        <w:tc>
          <w:tcPr>
            <w:tcW w:type="dxa" w:w="1138"/>
            <w:gridSpan w:val="2"/>
          </w:tcPr>
          <w:p>
            <w:pPr>
              <w:pStyle w:val="CellText"/>
              <w:jc w:val="center"/>
            </w:pPr>
            <w:r>
              <w:rPr>
                <w:b/>
                <w:sz w:val="14"/>
              </w:rPr>
              <w:t>M5 3→2</w:t>
            </w:r>
          </w:p>
        </w:tc>
        <w:tc>
          <w:tcPr>
            <w:tcW w:type="dxa" w:w="1138"/>
            <w:gridSpan w:val="2"/>
          </w:tcPr>
          <w:p>
            <w:pPr>
              <w:pStyle w:val="CellText"/>
              <w:jc w:val="center"/>
            </w:pPr>
            <w:r>
              <w:rPr>
                <w:b/>
                <w:sz w:val="14"/>
              </w:rPr>
              <w:t>M5 2→main</w:t>
            </w:r>
          </w:p>
        </w:tc>
        <w:tc>
          <w:tcPr>
            <w:tcW w:type="dxa" w:w="1138"/>
            <w:gridSpan w:val="2"/>
          </w:tcPr>
          <w:p>
            <w:pPr>
              <w:pStyle w:val="CellText"/>
              <w:jc w:val="center"/>
            </w:pPr>
            <w:r>
              <w:rPr>
                <w:b/>
                <w:sz w:val="14"/>
              </w:rPr>
              <w:t>VN1 3→2</w:t>
            </w:r>
          </w:p>
        </w:tc>
        <w:tc>
          <w:tcPr>
            <w:tcW w:type="dxa" w:w="1138"/>
            <w:gridSpan w:val="2"/>
          </w:tcPr>
          <w:p>
            <w:pPr>
              <w:pStyle w:val="CellText"/>
              <w:jc w:val="center"/>
            </w:pPr>
            <w:r>
              <w:rPr>
                <w:b/>
                <w:sz w:val="14"/>
              </w:rPr>
              <w:t>VN1 2→main</w:t>
            </w:r>
          </w:p>
        </w:tc>
        <w:tc>
          <w:tcPr>
            <w:tcW w:type="dxa" w:w="1138"/>
            <w:gridSpan w:val="2"/>
          </w:tcPr>
          <w:p>
            <w:pPr>
              <w:pStyle w:val="CellText"/>
              <w:jc w:val="center"/>
            </w:pPr>
            <w:r>
              <w:rPr>
                <w:b/>
                <w:sz w:val="14"/>
              </w:rPr>
              <w:t>Footwear</w:t>
            </w:r>
          </w:p>
        </w:tc>
      </w:tr>
      <w:tr>
        <w:tc>
          <w:tcPr>
            <w:tcW w:type="dxa" w:w="890"/>
            <w:vMerge/>
          </w:tcP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r>
      <w:tr>
        <w:tc>
          <w:tcPr>
            <w:tcW w:type="dxa" w:w="864"/>
          </w:tcPr>
          <w:p>
            <w:pPr>
              <w:pStyle w:val="CellText"/>
              <w:jc w:val="center"/>
            </w:pPr>
            <w:r>
              <w:rPr>
                <w:b w:val="0"/>
                <w:sz w:val="14"/>
              </w:rPr>
              <w:t>LGB-Q</w:t>
            </w:r>
          </w:p>
        </w:tc>
        <w:tc>
          <w:tcPr>
            <w:tcW w:type="dxa" w:w="648"/>
          </w:tcPr>
          <w:p>
            <w:pPr>
              <w:pStyle w:val="CellText"/>
              <w:jc w:val="center"/>
            </w:pPr>
            <w:r>
              <w:rPr>
                <w:b w:val="0"/>
                <w:sz w:val="14"/>
              </w:rPr>
              <w:t>0.917</w:t>
            </w:r>
          </w:p>
        </w:tc>
        <w:tc>
          <w:tcPr>
            <w:tcW w:type="dxa" w:w="1138"/>
          </w:tcPr>
          <w:p>
            <w:pPr>
              <w:pStyle w:val="CellText"/>
              <w:jc w:val="center"/>
            </w:pPr>
            <w:r>
              <w:rPr>
                <w:b w:val="0"/>
                <w:sz w:val="14"/>
              </w:rPr>
              <w:t>1.21 wk</w:t>
            </w:r>
          </w:p>
        </w:tc>
        <w:tc>
          <w:tcPr>
            <w:tcW w:type="dxa" w:w="648"/>
          </w:tcPr>
          <w:p>
            <w:pPr>
              <w:pStyle w:val="CellText"/>
              <w:jc w:val="center"/>
            </w:pPr>
            <w:r>
              <w:rPr>
                <w:b w:val="0"/>
                <w:sz w:val="14"/>
              </w:rPr>
              <w:t>0.910</w:t>
            </w:r>
          </w:p>
        </w:tc>
        <w:tc>
          <w:tcPr>
            <w:tcW w:type="dxa" w:w="1138"/>
          </w:tcPr>
          <w:p>
            <w:pPr>
              <w:pStyle w:val="CellText"/>
              <w:jc w:val="center"/>
            </w:pPr>
            <w:r>
              <w:rPr>
                <w:b w:val="0"/>
                <w:sz w:val="14"/>
              </w:rPr>
              <w:t>1.04 wk</w:t>
            </w:r>
          </w:p>
        </w:tc>
        <w:tc>
          <w:tcPr>
            <w:tcW w:type="dxa" w:w="648"/>
          </w:tcPr>
          <w:p>
            <w:pPr>
              <w:pStyle w:val="CellText"/>
              <w:jc w:val="center"/>
            </w:pPr>
            <w:r>
              <w:rPr>
                <w:b w:val="0"/>
                <w:sz w:val="14"/>
              </w:rPr>
              <w:t>0.908</w:t>
            </w:r>
          </w:p>
        </w:tc>
        <w:tc>
          <w:tcPr>
            <w:tcW w:type="dxa" w:w="1138"/>
          </w:tcPr>
          <w:p>
            <w:pPr>
              <w:pStyle w:val="CellText"/>
              <w:jc w:val="center"/>
            </w:pPr>
            <w:r>
              <w:rPr>
                <w:b w:val="0"/>
                <w:sz w:val="14"/>
              </w:rPr>
              <w:t>1.26 wk</w:t>
            </w:r>
          </w:p>
        </w:tc>
        <w:tc>
          <w:tcPr>
            <w:tcW w:type="dxa" w:w="648"/>
          </w:tcPr>
          <w:p>
            <w:pPr>
              <w:pStyle w:val="CellText"/>
              <w:jc w:val="center"/>
            </w:pPr>
            <w:r>
              <w:rPr>
                <w:b w:val="0"/>
                <w:sz w:val="14"/>
              </w:rPr>
              <w:t>0.940</w:t>
            </w:r>
          </w:p>
        </w:tc>
        <w:tc>
          <w:tcPr>
            <w:tcW w:type="dxa" w:w="1138"/>
          </w:tcPr>
          <w:p>
            <w:pPr>
              <w:pStyle w:val="CellText"/>
              <w:jc w:val="center"/>
            </w:pPr>
            <w:r>
              <w:rPr>
                <w:b w:val="0"/>
                <w:sz w:val="14"/>
              </w:rPr>
              <w:t>2.95 wk</w:t>
            </w:r>
          </w:p>
        </w:tc>
        <w:tc>
          <w:tcPr>
            <w:tcW w:type="dxa" w:w="648"/>
          </w:tcPr>
          <w:p>
            <w:pPr>
              <w:pStyle w:val="CellText"/>
              <w:jc w:val="center"/>
            </w:pPr>
            <w:r>
              <w:rPr>
                <w:b w:val="0"/>
                <w:sz w:val="14"/>
              </w:rPr>
              <w:t>0.884</w:t>
            </w:r>
          </w:p>
        </w:tc>
        <w:tc>
          <w:tcPr>
            <w:tcW w:type="dxa" w:w="1138"/>
          </w:tcPr>
          <w:p>
            <w:pPr>
              <w:pStyle w:val="CellText"/>
              <w:jc w:val="center"/>
            </w:pPr>
            <w:r>
              <w:rPr>
                <w:b w:val="0"/>
                <w:sz w:val="14"/>
              </w:rPr>
              <w:t>1.57 wk</w:t>
            </w:r>
          </w:p>
        </w:tc>
      </w:tr>
      <w:tr>
        <w:tc>
          <w:tcPr>
            <w:tcW w:type="dxa" w:w="864"/>
          </w:tcPr>
          <w:p>
            <w:pPr>
              <w:pStyle w:val="CellText"/>
              <w:jc w:val="center"/>
            </w:pPr>
            <w:r>
              <w:rPr>
                <w:b w:val="0"/>
                <w:sz w:val="14"/>
              </w:rPr>
              <w:t>HGB-Q</w:t>
            </w:r>
          </w:p>
        </w:tc>
        <w:tc>
          <w:tcPr>
            <w:tcW w:type="dxa" w:w="648"/>
          </w:tcPr>
          <w:p>
            <w:pPr>
              <w:pStyle w:val="CellText"/>
              <w:jc w:val="center"/>
            </w:pPr>
            <w:r>
              <w:rPr>
                <w:b w:val="0"/>
                <w:sz w:val="14"/>
              </w:rPr>
              <w:t>0.917</w:t>
            </w:r>
          </w:p>
        </w:tc>
        <w:tc>
          <w:tcPr>
            <w:tcW w:type="dxa" w:w="1138"/>
          </w:tcPr>
          <w:p>
            <w:pPr>
              <w:pStyle w:val="CellText"/>
              <w:jc w:val="center"/>
            </w:pPr>
            <w:r>
              <w:rPr>
                <w:b w:val="0"/>
                <w:sz w:val="14"/>
              </w:rPr>
              <w:t>+0.4</w:t>
              <w:br/>
            </w:r>
            <w:r>
              <w:rPr>
                <w:b w:val="0"/>
                <w:sz w:val="14"/>
              </w:rPr>
              <w:t>[−0.6,+1.4]</w:t>
            </w:r>
          </w:p>
        </w:tc>
        <w:tc>
          <w:tcPr>
            <w:tcW w:type="dxa" w:w="648"/>
          </w:tcPr>
          <w:p>
            <w:pPr>
              <w:pStyle w:val="CellText"/>
              <w:jc w:val="center"/>
            </w:pPr>
            <w:r>
              <w:rPr>
                <w:b w:val="0"/>
                <w:sz w:val="14"/>
              </w:rPr>
              <w:t>0.912</w:t>
            </w:r>
          </w:p>
        </w:tc>
        <w:tc>
          <w:tcPr>
            <w:tcW w:type="dxa" w:w="1138"/>
          </w:tcPr>
          <w:p>
            <w:pPr>
              <w:pStyle w:val="CellText"/>
              <w:jc w:val="center"/>
            </w:pPr>
            <w:r>
              <w:rPr>
                <w:b w:val="0"/>
                <w:sz w:val="14"/>
              </w:rPr>
              <w:t>+3.5</w:t>
              <w:br/>
            </w:r>
            <w:r>
              <w:rPr>
                <w:b w:val="0"/>
                <w:sz w:val="14"/>
              </w:rPr>
              <w:t>[+2.8,+4.2]</w:t>
            </w:r>
          </w:p>
        </w:tc>
        <w:tc>
          <w:tcPr>
            <w:tcW w:type="dxa" w:w="648"/>
          </w:tcPr>
          <w:p>
            <w:pPr>
              <w:pStyle w:val="CellText"/>
              <w:jc w:val="center"/>
            </w:pPr>
            <w:r>
              <w:rPr>
                <w:b w:val="0"/>
                <w:sz w:val="14"/>
              </w:rPr>
              <w:t>0.906</w:t>
            </w:r>
          </w:p>
        </w:tc>
        <w:tc>
          <w:tcPr>
            <w:tcW w:type="dxa" w:w="1138"/>
          </w:tcPr>
          <w:p>
            <w:pPr>
              <w:pStyle w:val="CellText"/>
              <w:jc w:val="center"/>
            </w:pPr>
            <w:r>
              <w:rPr>
                <w:b w:val="0"/>
                <w:sz w:val="14"/>
              </w:rPr>
              <w:t>−1.2</w:t>
              <w:br/>
            </w:r>
            <w:r>
              <w:rPr>
                <w:b w:val="0"/>
                <w:sz w:val="14"/>
              </w:rPr>
              <w:t>[−4.5,+1.5]</w:t>
            </w:r>
          </w:p>
        </w:tc>
        <w:tc>
          <w:tcPr>
            <w:tcW w:type="dxa" w:w="648"/>
          </w:tcPr>
          <w:p>
            <w:pPr>
              <w:pStyle w:val="CellText"/>
              <w:jc w:val="center"/>
            </w:pPr>
            <w:r>
              <w:rPr>
                <w:b w:val="0"/>
                <w:sz w:val="14"/>
              </w:rPr>
              <w:t>0.939</w:t>
            </w:r>
          </w:p>
        </w:tc>
        <w:tc>
          <w:tcPr>
            <w:tcW w:type="dxa" w:w="1138"/>
          </w:tcPr>
          <w:p>
            <w:pPr>
              <w:pStyle w:val="CellText"/>
              <w:jc w:val="center"/>
            </w:pPr>
            <w:r>
              <w:rPr>
                <w:b w:val="0"/>
                <w:sz w:val="14"/>
              </w:rPr>
              <w:t>+3.9</w:t>
              <w:br/>
            </w:r>
            <w:r>
              <w:rPr>
                <w:b w:val="0"/>
                <w:sz w:val="14"/>
              </w:rPr>
              <w:t>[−3.1,+11.1]</w:t>
            </w:r>
          </w:p>
        </w:tc>
        <w:tc>
          <w:tcPr>
            <w:tcW w:type="dxa" w:w="648"/>
          </w:tcPr>
          <w:p>
            <w:pPr>
              <w:pStyle w:val="CellText"/>
              <w:jc w:val="center"/>
            </w:pPr>
            <w:r>
              <w:rPr>
                <w:b w:val="0"/>
                <w:sz w:val="14"/>
              </w:rPr>
              <w:t>0.877</w:t>
            </w:r>
          </w:p>
        </w:tc>
        <w:tc>
          <w:tcPr>
            <w:tcW w:type="dxa" w:w="1138"/>
          </w:tcPr>
          <w:p>
            <w:pPr>
              <w:pStyle w:val="CellText"/>
              <w:jc w:val="center"/>
            </w:pPr>
            <w:r>
              <w:rPr>
                <w:b w:val="0"/>
                <w:sz w:val="14"/>
              </w:rPr>
              <w:t>−8.8†</w:t>
              <w:br/>
            </w:r>
            <w:r>
              <w:rPr>
                <w:b w:val="0"/>
                <w:sz w:val="14"/>
              </w:rPr>
              <w:t>[−10.8,−6.2]</w:t>
            </w:r>
          </w:p>
        </w:tc>
      </w:tr>
      <w:tr>
        <w:tc>
          <w:tcPr>
            <w:tcW w:type="dxa" w:w="864"/>
          </w:tcPr>
          <w:p>
            <w:pPr>
              <w:pStyle w:val="CellText"/>
              <w:jc w:val="center"/>
            </w:pPr>
            <w:r>
              <w:rPr>
                <w:b w:val="0"/>
                <w:sz w:val="14"/>
              </w:rPr>
              <w:t>TSB-NB</w:t>
            </w:r>
          </w:p>
        </w:tc>
        <w:tc>
          <w:tcPr>
            <w:tcW w:type="dxa" w:w="648"/>
          </w:tcPr>
          <w:p>
            <w:pPr>
              <w:pStyle w:val="CellText"/>
              <w:jc w:val="center"/>
            </w:pPr>
            <w:r>
              <w:rPr>
                <w:b w:val="0"/>
                <w:sz w:val="14"/>
              </w:rPr>
              <w:t>0.926</w:t>
            </w:r>
          </w:p>
        </w:tc>
        <w:tc>
          <w:tcPr>
            <w:tcW w:type="dxa" w:w="1138"/>
          </w:tcPr>
          <w:p>
            <w:pPr>
              <w:pStyle w:val="CellText"/>
              <w:jc w:val="center"/>
            </w:pPr>
            <w:r>
              <w:rPr>
                <w:b w:val="0"/>
                <w:sz w:val="14"/>
              </w:rPr>
              <w:t>+14.2†</w:t>
              <w:br/>
            </w:r>
            <w:r>
              <w:rPr>
                <w:b w:val="0"/>
                <w:sz w:val="14"/>
              </w:rPr>
              <w:t>[+9.1,+20.6]</w:t>
            </w:r>
          </w:p>
        </w:tc>
        <w:tc>
          <w:tcPr>
            <w:tcW w:type="dxa" w:w="648"/>
          </w:tcPr>
          <w:p>
            <w:pPr>
              <w:pStyle w:val="CellText"/>
              <w:jc w:val="center"/>
            </w:pPr>
            <w:r>
              <w:rPr>
                <w:b w:val="0"/>
                <w:sz w:val="14"/>
              </w:rPr>
              <w:t>0.906</w:t>
            </w:r>
          </w:p>
        </w:tc>
        <w:tc>
          <w:tcPr>
            <w:tcW w:type="dxa" w:w="1138"/>
          </w:tcPr>
          <w:p>
            <w:pPr>
              <w:pStyle w:val="CellText"/>
              <w:jc w:val="center"/>
            </w:pPr>
            <w:r>
              <w:rPr>
                <w:b w:val="0"/>
                <w:sz w:val="14"/>
              </w:rPr>
              <w:t>+6.1</w:t>
              <w:br/>
            </w:r>
            <w:r>
              <w:rPr>
                <w:b w:val="0"/>
                <w:sz w:val="14"/>
              </w:rPr>
              <w:t>[+4.0,+8.8]</w:t>
            </w:r>
          </w:p>
        </w:tc>
        <w:tc>
          <w:tcPr>
            <w:tcW w:type="dxa" w:w="648"/>
          </w:tcPr>
          <w:p>
            <w:pPr>
              <w:pStyle w:val="CellText"/>
              <w:jc w:val="center"/>
            </w:pPr>
            <w:r>
              <w:rPr>
                <w:b w:val="0"/>
                <w:sz w:val="14"/>
              </w:rPr>
              <w:t>0.908</w:t>
            </w:r>
          </w:p>
        </w:tc>
        <w:tc>
          <w:tcPr>
            <w:tcW w:type="dxa" w:w="1138"/>
          </w:tcPr>
          <w:p>
            <w:pPr>
              <w:pStyle w:val="CellText"/>
              <w:jc w:val="center"/>
            </w:pPr>
            <w:r>
              <w:rPr>
                <w:b w:val="0"/>
                <w:sz w:val="14"/>
              </w:rPr>
              <w:t>+33.3</w:t>
              <w:br/>
            </w:r>
            <w:r>
              <w:rPr>
                <w:b w:val="0"/>
                <w:sz w:val="14"/>
              </w:rPr>
              <w:t>[+7.6,+61.6]</w:t>
            </w:r>
          </w:p>
        </w:tc>
        <w:tc>
          <w:tcPr>
            <w:tcW w:type="dxa" w:w="648"/>
          </w:tcPr>
          <w:p>
            <w:pPr>
              <w:pStyle w:val="CellText"/>
              <w:jc w:val="center"/>
            </w:pPr>
            <w:r>
              <w:rPr>
                <w:b w:val="0"/>
                <w:sz w:val="14"/>
              </w:rPr>
              <w:t>0.922</w:t>
            </w:r>
          </w:p>
        </w:tc>
        <w:tc>
          <w:tcPr>
            <w:tcW w:type="dxa" w:w="1138"/>
          </w:tcPr>
          <w:p>
            <w:pPr>
              <w:pStyle w:val="CellText"/>
              <w:jc w:val="center"/>
            </w:pPr>
            <w:r>
              <w:rPr>
                <w:b w:val="0"/>
                <w:sz w:val="14"/>
              </w:rPr>
              <w:t>+28.3†</w:t>
              <w:br/>
            </w:r>
            <w:r>
              <w:rPr>
                <w:b w:val="0"/>
                <w:sz w:val="14"/>
              </w:rPr>
              <w:t>[−49.9,+73.7]</w:t>
            </w:r>
          </w:p>
        </w:tc>
        <w:tc>
          <w:tcPr>
            <w:tcW w:type="dxa" w:w="648"/>
          </w:tcPr>
          <w:p>
            <w:pPr>
              <w:pStyle w:val="CellText"/>
              <w:jc w:val="center"/>
            </w:pPr>
            <w:r>
              <w:rPr>
                <w:b w:val="0"/>
                <w:sz w:val="14"/>
              </w:rPr>
              <w:t>0.865</w:t>
            </w:r>
          </w:p>
        </w:tc>
        <w:tc>
          <w:tcPr>
            <w:tcW w:type="dxa" w:w="1138"/>
          </w:tcPr>
          <w:p>
            <w:pPr>
              <w:pStyle w:val="CellText"/>
              <w:jc w:val="center"/>
            </w:pPr>
            <w:r>
              <w:rPr>
                <w:b w:val="0"/>
                <w:sz w:val="14"/>
              </w:rPr>
              <w:t>+5.9†</w:t>
              <w:br/>
            </w:r>
            <w:r>
              <w:rPr>
                <w:b w:val="0"/>
                <w:sz w:val="14"/>
              </w:rPr>
              <w:t>[−1.6,+14.8]</w:t>
            </w:r>
          </w:p>
        </w:tc>
      </w:tr>
      <w:tr>
        <w:tc>
          <w:tcPr>
            <w:tcW w:type="dxa" w:w="864"/>
          </w:tcPr>
          <w:p>
            <w:pPr>
              <w:pStyle w:val="CellText"/>
              <w:jc w:val="center"/>
            </w:pPr>
            <w:r>
              <w:rPr>
                <w:b w:val="0"/>
                <w:sz w:val="14"/>
              </w:rPr>
              <w:t>C2</w:t>
            </w:r>
          </w:p>
        </w:tc>
        <w:tc>
          <w:tcPr>
            <w:tcW w:type="dxa" w:w="648"/>
          </w:tcPr>
          <w:p>
            <w:pPr>
              <w:pStyle w:val="CellText"/>
              <w:jc w:val="center"/>
            </w:pPr>
            <w:r>
              <w:rPr>
                <w:b w:val="0"/>
                <w:sz w:val="14"/>
              </w:rPr>
              <w:t>0.921</w:t>
            </w:r>
          </w:p>
        </w:tc>
        <w:tc>
          <w:tcPr>
            <w:tcW w:type="dxa" w:w="1138"/>
          </w:tcPr>
          <w:p>
            <w:pPr>
              <w:pStyle w:val="CellText"/>
              <w:jc w:val="center"/>
            </w:pPr>
            <w:r>
              <w:rPr>
                <w:b w:val="0"/>
                <w:sz w:val="14"/>
              </w:rPr>
              <w:t>+2.8</w:t>
              <w:br/>
            </w:r>
            <w:r>
              <w:rPr>
                <w:b w:val="0"/>
                <w:sz w:val="14"/>
              </w:rPr>
              <w:t>[+1.1,+5.1]</w:t>
            </w:r>
          </w:p>
        </w:tc>
        <w:tc>
          <w:tcPr>
            <w:tcW w:type="dxa" w:w="648"/>
          </w:tcPr>
          <w:p>
            <w:pPr>
              <w:pStyle w:val="CellText"/>
              <w:jc w:val="center"/>
            </w:pPr>
            <w:r>
              <w:rPr>
                <w:b w:val="0"/>
                <w:sz w:val="14"/>
              </w:rPr>
              <w:t>0.908</w:t>
            </w:r>
          </w:p>
        </w:tc>
        <w:tc>
          <w:tcPr>
            <w:tcW w:type="dxa" w:w="1138"/>
          </w:tcPr>
          <w:p>
            <w:pPr>
              <w:pStyle w:val="CellText"/>
              <w:jc w:val="center"/>
            </w:pPr>
            <w:r>
              <w:rPr>
                <w:b w:val="0"/>
                <w:sz w:val="14"/>
              </w:rPr>
              <w:t>−0.4</w:t>
              <w:br/>
            </w:r>
            <w:r>
              <w:rPr>
                <w:b w:val="0"/>
                <w:sz w:val="14"/>
              </w:rPr>
              <w:t>[−1.4,+0.7]</w:t>
            </w:r>
          </w:p>
        </w:tc>
        <w:tc>
          <w:tcPr>
            <w:tcW w:type="dxa" w:w="648"/>
          </w:tcPr>
          <w:p>
            <w:pPr>
              <w:pStyle w:val="CellText"/>
              <w:jc w:val="center"/>
            </w:pPr>
            <w:r>
              <w:rPr>
                <w:b w:val="0"/>
                <w:sz w:val="14"/>
              </w:rPr>
              <w:t>0.907</w:t>
            </w:r>
          </w:p>
        </w:tc>
        <w:tc>
          <w:tcPr>
            <w:tcW w:type="dxa" w:w="1138"/>
          </w:tcPr>
          <w:p>
            <w:pPr>
              <w:pStyle w:val="CellText"/>
              <w:jc w:val="center"/>
            </w:pPr>
            <w:r>
              <w:rPr>
                <w:b w:val="0"/>
                <w:sz w:val="14"/>
              </w:rPr>
              <w:t>−7.4</w:t>
              <w:br/>
            </w:r>
            <w:r>
              <w:rPr>
                <w:b w:val="0"/>
                <w:sz w:val="14"/>
              </w:rPr>
              <w:t>[−15.3,−1.9]</w:t>
            </w:r>
          </w:p>
        </w:tc>
        <w:tc>
          <w:tcPr>
            <w:tcW w:type="dxa" w:w="648"/>
          </w:tcPr>
          <w:p>
            <w:pPr>
              <w:pStyle w:val="CellText"/>
              <w:jc w:val="center"/>
            </w:pPr>
            <w:r>
              <w:rPr>
                <w:b w:val="0"/>
                <w:sz w:val="14"/>
              </w:rPr>
              <w:t>0.936</w:t>
            </w:r>
          </w:p>
        </w:tc>
        <w:tc>
          <w:tcPr>
            <w:tcW w:type="dxa" w:w="1138"/>
          </w:tcPr>
          <w:p>
            <w:pPr>
              <w:pStyle w:val="CellText"/>
              <w:jc w:val="center"/>
            </w:pPr>
            <w:r>
              <w:rPr>
                <w:b w:val="0"/>
                <w:sz w:val="14"/>
              </w:rPr>
              <w:t>+18.8</w:t>
              <w:br/>
            </w:r>
            <w:r>
              <w:rPr>
                <w:b w:val="0"/>
                <w:sz w:val="14"/>
              </w:rPr>
              <w:t>[−35.2,+37.4]</w:t>
            </w:r>
          </w:p>
        </w:tc>
        <w:tc>
          <w:tcPr>
            <w:tcW w:type="dxa" w:w="648"/>
          </w:tcPr>
          <w:p>
            <w:pPr>
              <w:pStyle w:val="CellText"/>
              <w:jc w:val="center"/>
            </w:pPr>
            <w:r>
              <w:rPr>
                <w:b w:val="0"/>
                <w:sz w:val="14"/>
              </w:rPr>
              <w:t>0.875</w:t>
            </w:r>
          </w:p>
        </w:tc>
        <w:tc>
          <w:tcPr>
            <w:tcW w:type="dxa" w:w="1138"/>
          </w:tcPr>
          <w:p>
            <w:pPr>
              <w:pStyle w:val="CellText"/>
              <w:jc w:val="center"/>
            </w:pPr>
            <w:r>
              <w:rPr>
                <w:b w:val="0"/>
                <w:sz w:val="14"/>
              </w:rPr>
              <w:t>+0.1†</w:t>
              <w:br/>
            </w:r>
            <w:r>
              <w:rPr>
                <w:b w:val="0"/>
                <w:sz w:val="14"/>
              </w:rPr>
              <w:t>[−3.7,+4.5]</w:t>
            </w:r>
          </w:p>
        </w:tc>
      </w:tr>
      <w:tr>
        <w:tc>
          <w:tcPr>
            <w:tcW w:type="dxa" w:w="864"/>
          </w:tcPr>
          <w:p>
            <w:pPr>
              <w:pStyle w:val="CellText"/>
              <w:jc w:val="center"/>
            </w:pPr>
            <w:r>
              <w:rPr>
                <w:b w:val="0"/>
                <w:sz w:val="14"/>
              </w:rPr>
              <w:t>E7-med</w:t>
            </w:r>
          </w:p>
        </w:tc>
        <w:tc>
          <w:tcPr>
            <w:tcW w:type="dxa" w:w="648"/>
          </w:tcPr>
          <w:p>
            <w:pPr>
              <w:pStyle w:val="CellText"/>
              <w:jc w:val="center"/>
            </w:pPr>
            <w:r>
              <w:rPr>
                <w:b w:val="0"/>
                <w:sz w:val="14"/>
              </w:rPr>
              <w:t>0.918</w:t>
            </w:r>
          </w:p>
        </w:tc>
        <w:tc>
          <w:tcPr>
            <w:tcW w:type="dxa" w:w="1138"/>
          </w:tcPr>
          <w:p>
            <w:pPr>
              <w:pStyle w:val="CellText"/>
              <w:jc w:val="center"/>
            </w:pPr>
            <w:r>
              <w:rPr>
                <w:b w:val="0"/>
                <w:sz w:val="14"/>
              </w:rPr>
              <w:t>+1.1</w:t>
              <w:br/>
            </w:r>
            <w:r>
              <w:rPr>
                <w:b w:val="0"/>
                <w:sz w:val="14"/>
              </w:rPr>
              <w:t>[+0.2,+2.1]</w:t>
            </w:r>
          </w:p>
        </w:tc>
        <w:tc>
          <w:tcPr>
            <w:tcW w:type="dxa" w:w="648"/>
          </w:tcPr>
          <w:p>
            <w:pPr>
              <w:pStyle w:val="CellText"/>
              <w:jc w:val="center"/>
            </w:pPr>
            <w:r>
              <w:rPr>
                <w:b w:val="0"/>
                <w:sz w:val="14"/>
              </w:rPr>
              <w:t>0.908</w:t>
            </w:r>
          </w:p>
        </w:tc>
        <w:tc>
          <w:tcPr>
            <w:tcW w:type="dxa" w:w="1138"/>
          </w:tcPr>
          <w:p>
            <w:pPr>
              <w:pStyle w:val="CellText"/>
              <w:jc w:val="center"/>
            </w:pPr>
            <w:r>
              <w:rPr>
                <w:b w:val="0"/>
                <w:sz w:val="14"/>
              </w:rPr>
              <w:t>−0.9</w:t>
              <w:br/>
            </w:r>
            <w:r>
              <w:rPr>
                <w:b w:val="0"/>
                <w:sz w:val="14"/>
              </w:rPr>
              <w:t>[−1.9,+0.1]</w:t>
            </w:r>
          </w:p>
        </w:tc>
        <w:tc>
          <w:tcPr>
            <w:tcW w:type="dxa" w:w="648"/>
          </w:tcPr>
          <w:p>
            <w:pPr>
              <w:pStyle w:val="CellText"/>
              <w:jc w:val="center"/>
            </w:pPr>
            <w:r>
              <w:rPr>
                <w:b w:val="0"/>
                <w:sz w:val="14"/>
              </w:rPr>
              <w:t>0.907</w:t>
            </w:r>
          </w:p>
        </w:tc>
        <w:tc>
          <w:tcPr>
            <w:tcW w:type="dxa" w:w="1138"/>
          </w:tcPr>
          <w:p>
            <w:pPr>
              <w:pStyle w:val="CellText"/>
              <w:jc w:val="center"/>
            </w:pPr>
            <w:r>
              <w:rPr>
                <w:b w:val="0"/>
                <w:sz w:val="14"/>
              </w:rPr>
              <w:t>−1.1</w:t>
              <w:br/>
            </w:r>
            <w:r>
              <w:rPr>
                <w:b w:val="0"/>
                <w:sz w:val="14"/>
              </w:rPr>
              <w:t>[−12.9,+9.2]</w:t>
            </w:r>
          </w:p>
        </w:tc>
        <w:tc>
          <w:tcPr>
            <w:tcW w:type="dxa" w:w="648"/>
          </w:tcPr>
          <w:p>
            <w:pPr>
              <w:pStyle w:val="CellText"/>
              <w:jc w:val="center"/>
            </w:pPr>
            <w:r>
              <w:rPr>
                <w:b w:val="0"/>
                <w:sz w:val="14"/>
              </w:rPr>
              <w:t>0.928</w:t>
            </w:r>
          </w:p>
        </w:tc>
        <w:tc>
          <w:tcPr>
            <w:tcW w:type="dxa" w:w="1138"/>
          </w:tcPr>
          <w:p>
            <w:pPr>
              <w:pStyle w:val="CellText"/>
              <w:jc w:val="center"/>
            </w:pPr>
            <w:r>
              <w:rPr>
                <w:b w:val="0"/>
                <w:sz w:val="14"/>
              </w:rPr>
              <w:t>+9.6†</w:t>
              <w:br/>
            </w:r>
            <w:r>
              <w:rPr>
                <w:b w:val="0"/>
                <w:sz w:val="14"/>
              </w:rPr>
              <w:t>[−49.6,+28.1]</w:t>
            </w:r>
          </w:p>
        </w:tc>
        <w:tc>
          <w:tcPr>
            <w:tcW w:type="dxa" w:w="648"/>
          </w:tcPr>
          <w:p>
            <w:pPr>
              <w:pStyle w:val="CellText"/>
              <w:jc w:val="center"/>
            </w:pPr>
            <w:r>
              <w:rPr>
                <w:b w:val="0"/>
                <w:sz w:val="14"/>
              </w:rPr>
              <w:t>0.893</w:t>
            </w:r>
          </w:p>
        </w:tc>
        <w:tc>
          <w:tcPr>
            <w:tcW w:type="dxa" w:w="1138"/>
          </w:tcPr>
          <w:p>
            <w:pPr>
              <w:pStyle w:val="CellText"/>
              <w:jc w:val="center"/>
            </w:pPr>
            <w:r>
              <w:rPr>
                <w:b w:val="0"/>
                <w:sz w:val="14"/>
              </w:rPr>
              <w:t>+6.0†</w:t>
              <w:br/>
            </w:r>
            <w:r>
              <w:rPr>
                <w:b w:val="0"/>
                <w:sz w:val="14"/>
              </w:rPr>
              <w:t>[+3.6,+8.7]</w:t>
            </w:r>
          </w:p>
        </w:tc>
      </w:tr>
    </w:tbl>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 Matching realised fill sets τ with the test outcomes, whereas a deployed system must fix it beforehand; on VN1 and the footwear panel the achieved fill then misses the target by up to 5.5 points, so retrospective savings do not become reliable stock reductions, and a ranking should not be transferred without a prospective check.</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If future demand growth were known in advance, assigning LGB-Q to growing series and TSB-NB to the rest would reduce inventory by 5.6–9.8% relative to LGB-Q on VN1. At warehouse level, pre-test features carry some information on the reversals: fitted on an earlier window, they rank the TSB-NB/LGB-Q inventory ratio of the next window with Spearman ρ of 0.21–0.27 (permutation p ≤ 0.046), but assigning TSB-NB to the warehouses they favour changes VN1 inventory by −9.4%, −0.2% and +2.9% across three train–test splits, so the signal does not yield a reliable selection rule.</w:t>
      </w:r>
    </w:p>
    <w:p>
      <w:pPr>
        <w:widowControl/>
      </w:pPr>
      <w:r>
        <w:t>Adaptive updating. Parameters are re-estimated only every 13 weeks with fixed hyperparameters, which can leave the global models a block behind level shifts on fast-growing VN1 series. More frequent or warm-started refits, recency weighting or re-tuning could reduce that lag but were not tested.</w:t>
      </w:r>
    </w:p>
    <w:p>
      <w:pPr>
        <w:widowControl/>
      </w:pPr>
      <w:r>
        <w:t>How the quantiles are constructed also matters: on M5 at fill rate 0.94, LGB-T and LGB-C need 3.3–8.2% more inventory than directly estimated LightGBM quantiles. Different quantile construction may explain part of the disagreement with [7] and [23].</w:t>
      </w:r>
    </w:p>
    <w:p>
      <w:pPr>
        <w:widowControl/>
      </w:pPr>
      <w:r>
        <w:t>Among the combinations, E7-med has the smallest maximum regret under the paper's descriptive metric (excess stock over the best single method, averaged over attainable targets): 0.3% across six runs, versus 0.9% for the post hoc C2, 3.4% for E7, 9.4% for LGB-Q, 9.5% for LGB-T, 11.4% for HGB-Q and 20.7% for TSB-NB. These figures describe the six evaluated runs, not expected deployment performance.</w:t>
      </w:r>
    </w:p>
    <w:p>
      <w:pPr>
        <w:widowControl/>
      </w:pPr>
      <w:r>
        <w:t>Toward deployment. Because neither combination showed a reliable advantage in Section 5.8, LGB-Q is the safer default, and retrospective savings alone do not justify a switch. A candidate should be frozen and run in shadow mode beside it for several review cycles, with achieved fill and upper-quantile coverage monitored,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The pre-specified E7-med is less sensitive: its maximum regret is 0.1% on the clean subset and −2.2% under imputation, where it needs 2.9–5.6% less M5 and 9.5–14.7% less VN1 inventory than LGB-Q at fill rate 0.92. Across detector thresholds of 0.001–0.1 and imputing half the mean, the mean or the mean positive sales, TSB-NB needs 11.8–34.2% more inventory than LGB-Q on M5, while E7-med needs 1.4–7.2% (M5) and 8.2–15.9% (VN1) less and keeps a maximum regret of at most 1.6%. Stock-availability records would be needed to settle these effects. Censoring could also be handled in training, treating flagged weeks as missing or right-censored with an expectation–maximisation step or a censored likelihood [28], censored quantile regression [29] or a survival model of the time between sales; we leave this to future work.</w:t>
      </w:r>
    </w:p>
    <w:p>
      <w:pPr>
        <w:widowControl/>
      </w:pPr>
      <w:r>
        <w:t>Limitations. Recorded sales stand in for demand, and stockouts are only inferred (see above). We did not tune hyperparameters; the M5 comparison persists across four LightGBM settings, but VN1 is sensitive to one of them (Section 5.8). Growth groups are formed retrospectively. Series-level intervals are too narrow on VN1, where warehouse- and client-level resampling widens them (Section 5.8), and M5 and VN1 supply three evaluation windows, the footwear panel one. Chronos-2 [22] ran zero-shot only.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For RQ1, rankings by accuracy and by inventory agree on M5 but not on VN1. Under the weekly order-up-to policy tested here, LGB-Q has the lowest volume-weighted quantile loss on M5 and needs 3–11% less inventory than the statistical and point-based alternatives at a realised fill rate of 0.94 in all three windows, across the lead-time checks and four LightGBM configurations. On VN1 no single method leads across periods, and neither demand classes, clusters nor pre-test warehouse features select one reliably in advance.</w:t>
      </w:r>
    </w:p>
    <w:p>
      <w:pPr>
        <w:widowControl/>
      </w:pPr>
      <w:r>
        <w:t>For RQ2, the results expose a gap between retrospective inventory efficiency and prospective reliability. At matched realised fill, a pre-specified median of all seven methods needs 7–8% less VN1 inventory than LGB-Q, and the post hoc LGB-Q/TSB-NB average 6–11%, while both stay within 1.6% on M5. These retrospective advantages do not generalise consistently under past-only service calibration, full-policy cluster bootstrapping and independent footwear validation. Although C2 retains a significant inventory advantage in one prospective VN1 comparison, neither combination demonstrates a reliable benefit across settings. LGB-Q therefore remains the more defensible reference method under the tested policy.</w:t>
      </w:r>
    </w:p>
    <w:p>
      <w:pPr>
        <w:widowControl/>
      </w:pPr>
      <w:r>
        <w:t>Quantile liquidation reduces inventory on VN1 while changing fill rate by at most 0.02 percentage points. Its economic value is not established under the assumed costs over 26 weeks. Useful next tests would use stock-availability records, longer liquidation horizons and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