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Faculty of Software Engineering,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ACM, New York, NY, USA.</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trPr>
        <w:tc>
          <w:tcPr>
            <w:tcW w:type="dxa" w:w="3240"/>
            <w:vAlign w:val="center"/>
            <w:tcMar>
              <w:top w:w="55" w:type="dxa"/>
              <w:bottom w:w="55" w:type="dxa"/>
              <w:left w:w="50" w:type="dxa"/>
              <w:right w:w="50" w:type="dxa"/>
            </w:tcMar>
            <w:shd w:fill="E8ECF0"/>
          </w:tcPr>
          <w:p>
            <w:pPr>
              <w:pStyle w:val="CellT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spacing w:after="0" w:line="242" w:lineRule="auto"/>
              <w:jc w:val="center"/>
            </w:pPr>
            <w:r>
              <w:rPr>
                <w:b/>
                <w:sz w:val="16"/>
              </w:rPr>
              <w:t>VN1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Multi-vendor e-commerce; 46 vendors; 328 warehouses</w:t>
            </w:r>
          </w:p>
        </w:tc>
      </w:tr>
      <w:tr>
        <w:trPr/>
        <w:tc>
          <w:tcPr>
            <w:tcW w:type="dxa" w:w="3240"/>
            <w:vAlign w:val="center"/>
            <w:tcMar>
              <w:top w:w="55" w:type="dxa"/>
              <w:bottom w:w="55" w:type="dxa"/>
              <w:left w:w="50" w:type="dxa"/>
              <w:right w:w="50" w:type="dxa"/>
            </w:tcMar>
          </w:tcPr>
          <w:p>
            <w:pPr>
              <w:pStyle w:val="CellT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15,053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13,844 / 11,442 / 9,383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196</w:t>
            </w:r>
          </w:p>
        </w:tc>
      </w:tr>
      <w:tr>
        <w:trPr/>
        <w:tc>
          <w:tcPr>
            <w:tcW w:type="dxa" w:w="3240"/>
            <w:vAlign w:val="center"/>
            <w:tcMar>
              <w:top w:w="55" w:type="dxa"/>
              <w:bottom w:w="55" w:type="dxa"/>
              <w:left w:w="50" w:type="dxa"/>
              <w:right w:w="50" w:type="dxa"/>
            </w:tcMar>
          </w:tcPr>
          <w:p>
            <w:pPr>
              <w:pStyle w:val="CellT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49.1%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18.8 / 13.7 / 47.2 / 20.3%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for, specifying the combinations.</w:t>
      </w: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1152"/>
            <w:vAlign w:val="center"/>
            <w:tcMar>
              <w:top w:w="55" w:type="dxa"/>
              <w:bottom w:w="55" w:type="dxa"/>
              <w:left w:w="50" w:type="dxa"/>
              <w:right w:w="50" w:type="dxa"/>
            </w:tcMar>
            <w:shd w:fill="E8ECF0"/>
          </w:tcPr>
          <w:p>
            <w:pPr>
              <w:pStyle w:val="CellT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5"/>
              </w:rPr>
              <w:t>VN1 rank</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trPr>
        <w:tc>
          <w:tcPr>
            <w:tcW w:type="dxa" w:w="490"/>
            <w:vAlign w:val="center"/>
            <w:tcMar>
              <w:top w:w="55" w:type="dxa"/>
              <w:bottom w:w="55" w:type="dxa"/>
              <w:left w:w="50" w:type="dxa"/>
              <w:right w:w="50" w:type="dxa"/>
            </w:tcMar>
            <w:shd w:fill="E8ECF0"/>
          </w:tcPr>
          <w:p>
            <w:pPr>
              <w:pStyle w:val="CellT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spacing w:after="0" w:line="242" w:lineRule="auto"/>
              <w:jc w:val="center"/>
            </w:pPr>
            <w:r>
              <w:rPr>
                <w:b/>
                <w:sz w:val="13"/>
              </w:rPr>
              <w:t>ETS</w:t>
              <w:br/>
              <w:t>Δ %</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+10.6</w:t>
              <w:br/>
              <w:t>[+9.8,+11.5]</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spacing w:after="0" w:line="242" w:lineRule="auto"/>
              <w:jc w:val="center"/>
            </w:pPr>
            <w:r>
              <w:rPr>
                <w:sz w:val="13"/>
              </w:rPr>
              <w:t>+8.0</w:t>
              <w:br/>
              <w:t>[+7.1,+8.9]</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spacing w:after="0" w:line="242" w:lineRule="auto"/>
              <w:jc w:val="center"/>
            </w:pPr>
            <w:r>
              <w:rPr>
                <w:sz w:val="13"/>
              </w:rPr>
              <w:t>+5.9</w:t>
              <w:br/>
              <w:t>[+5.0,+6.6]</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+12.0</w:t>
              <w:br/>
              <w:t>[+3.8,+19.7]</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spacing w:after="0" w:line="242" w:lineRule="auto"/>
              <w:jc w:val="center"/>
            </w:pPr>
            <w:r>
              <w:rPr>
                <w:sz w:val="13"/>
              </w:rPr>
              <w:t>−0.4</w:t>
              <w:br/>
              <w:t>[−5.7,+4.2]</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trPr>
        <w:tc>
          <w:tcPr>
            <w:tcW w:type="dxa" w:w="1008"/>
            <w:vAlign w:val="center"/>
            <w:tcMar>
              <w:top w:w="55" w:type="dxa"/>
              <w:bottom w:w="55" w:type="dxa"/>
              <w:left w:w="50" w:type="dxa"/>
              <w:right w:w="50" w:type="dxa"/>
            </w:tcMar>
            <w:shd w:fill="E8ECF0"/>
          </w:tcPr>
          <w:p>
            <w:pPr>
              <w:pStyle w:val="CellT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spacing w:after="0" w:line="242" w:lineRule="auto"/>
              <w:jc w:val="center"/>
            </w:pPr>
            <w:r>
              <w:rPr>
                <w:b/>
                <w:sz w:val="15"/>
              </w:rPr>
              <w:t>All series</w:t>
              <w:br/>
              <w:t>Δ %</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+10.4</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+5.5</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+6.1</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+5.0</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−11.3</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trPr>
        <w:tc>
          <w:tcPr>
            <w:tcW w:type="dxa" w:w="2995"/>
            <w:vAlign w:val="center"/>
            <w:tcMar>
              <w:top w:w="55" w:type="dxa"/>
              <w:bottom w:w="55" w:type="dxa"/>
              <w:left w:w="50" w:type="dxa"/>
              <w:right w:w="50" w:type="dxa"/>
            </w:tcMar>
            <w:shd w:fill="E8ECF0"/>
          </w:tcPr>
          <w:p>
            <w:pPr>
              <w:pStyle w:val="CellT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second → main</w:t>
            </w:r>
          </w:p>
        </w:tc>
      </w:tr>
      <w:tr>
        <w:trPr/>
        <w:tc>
          <w:tcPr>
            <w:tcW w:type="dxa" w:w="2995"/>
            <w:vAlign w:val="center"/>
            <w:tcMar>
              <w:top w:w="55" w:type="dxa"/>
              <w:bottom w:w="55" w:type="dxa"/>
              <w:left w:w="50" w:type="dxa"/>
              <w:right w:w="50" w:type="dxa"/>
            </w:tcMar>
          </w:tcPr>
          <w:p>
            <w:pPr>
              <w:pStyle w:val="CellT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+5.1</w:t>
              <w:br/>
              <w:t>[−0.3,+10.2]</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+4.8</w:t>
              <w:br/>
              <w:t>[−0.1,+12.0]</w:t>
            </w:r>
          </w:p>
        </w:tc>
      </w:tr>
      <w:tr>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547"/>
            <w:vAlign w:val="center"/>
            <w:tcMar>
              <w:top w:w="55" w:type="dxa"/>
              <w:bottom w:w="55" w:type="dxa"/>
              <w:left w:w="50" w:type="dxa"/>
              <w:right w:w="50" w:type="dxa"/>
            </w:tcMar>
            <w:shd w:fill="E8ECF0"/>
          </w:tcPr>
          <w:p>
            <w:pPr>
              <w:pStyle w:val="CellT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spacing w:after="0" w:line="242" w:lineRule="auto"/>
              <w:jc w:val="center"/>
            </w:pPr>
            <w:r>
              <w:rPr>
                <w:b/>
                <w:sz w:val="14"/>
              </w:rPr>
              <w:t>s* range</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Refitting LGB-Q and LGB-T for h = 3 in the main window with small (15 leaves), large (255) and regularised (31 leaves, at least 500 samples per leaf, L2 penalty 10) trees leaves LGB-Q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quantiles of cumulative h-week demand with a multi-quantile loss, is refitted every 13 weeks and uses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matched-fill comparisons warehouse- or client-level resampling leaves only the second-window VN1 savings significant.</w:t>
      </w:r>
    </w:p>
    <w:p>
      <w:pPr>
        <w:pStyle w:val="TableCaption"/>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c>
          <w:tcPr>
            <w:tcW w:type="dxa" w:w="864"/>
            <w:vMerge w:val="restart"/>
          </w:tcPr>
          <w:p>
            <w:pPr>
              <w:pStyle w:val="CellText"/>
              <w:jc w:val="center"/>
            </w:pPr>
            <w:r>
              <w:rPr>
                <w:b/>
                <w:sz w:val="14"/>
              </w:rPr>
              <w:t>Method</w:t>
            </w:r>
          </w:p>
        </w:tc>
        <w:tc>
          <w:tcPr>
            <w:tcW w:type="dxa" w:w="1138"/>
            <w:gridSpan w:val="2"/>
          </w:tcPr>
          <w:p>
            <w:pPr>
              <w:pStyle w:val="CellText"/>
              <w:jc w:val="center"/>
            </w:pPr>
            <w:r>
              <w:rPr>
                <w:b/>
                <w:sz w:val="14"/>
              </w:rPr>
              <w:t>M5 3→2</w:t>
            </w:r>
          </w:p>
        </w:tc>
        <w:tc>
          <w:tcPr>
            <w:tcW w:type="dxa" w:w="1138"/>
            <w:gridSpan w:val="2"/>
          </w:tcPr>
          <w:p>
            <w:pPr>
              <w:pStyle w:val="CellText"/>
              <w:jc w:val="center"/>
            </w:pPr>
            <w:r>
              <w:rPr>
                <w:b/>
                <w:sz w:val="14"/>
              </w:rPr>
              <w:t>M5 2→main</w:t>
            </w:r>
          </w:p>
        </w:tc>
        <w:tc>
          <w:tcPr>
            <w:tcW w:type="dxa" w:w="1138"/>
            <w:gridSpan w:val="2"/>
          </w:tcPr>
          <w:p>
            <w:pPr>
              <w:pStyle w:val="CellText"/>
              <w:jc w:val="center"/>
            </w:pPr>
            <w:r>
              <w:rPr>
                <w:b/>
                <w:sz w:val="14"/>
              </w:rPr>
              <w:t>VN1 3→2</w:t>
            </w:r>
          </w:p>
        </w:tc>
        <w:tc>
          <w:tcPr>
            <w:tcW w:type="dxa" w:w="1138"/>
            <w:gridSpan w:val="2"/>
          </w:tcPr>
          <w:p>
            <w:pPr>
              <w:pStyle w:val="CellText"/>
              <w:jc w:val="center"/>
            </w:pPr>
            <w:r>
              <w:rPr>
                <w:b/>
                <w:sz w:val="14"/>
              </w:rPr>
              <w:t>VN1 2→main</w:t>
            </w:r>
          </w:p>
        </w:tc>
        <w:tc>
          <w:tcPr>
            <w:tcW w:type="dxa" w:w="1138"/>
            <w:gridSpan w:val="2"/>
          </w:tcPr>
          <w:p>
            <w:pPr>
              <w:pStyle w:val="CellText"/>
              <w:jc w:val="center"/>
            </w:pPr>
            <w:r>
              <w:rPr>
                <w:b/>
                <w:sz w:val="14"/>
              </w:rPr>
              <w:t>Footwear</w:t>
            </w:r>
          </w:p>
        </w:tc>
      </w:tr>
      <w:tr>
        <w:tc>
          <w:tcPr>
            <w:tcW w:type="dxa" w:w="890"/>
            <w:vMerge/>
          </w:tcP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r>
      <w:tr>
        <w:tc>
          <w:tcPr>
            <w:tcW w:type="dxa" w:w="864"/>
          </w:tcPr>
          <w:p>
            <w:pPr>
              <w:pStyle w:val="CellText"/>
              <w:jc w:val="center"/>
            </w:pPr>
            <w:r>
              <w:rPr>
                <w:b w:val="0"/>
                <w:sz w:val="14"/>
              </w:rPr>
              <w:t>LGB-Q</w:t>
            </w:r>
          </w:p>
        </w:tc>
        <w:tc>
          <w:tcPr>
            <w:tcW w:type="dxa" w:w="648"/>
          </w:tcPr>
          <w:p>
            <w:pPr>
              <w:pStyle w:val="CellText"/>
              <w:jc w:val="center"/>
            </w:pPr>
            <w:r>
              <w:rPr>
                <w:b w:val="0"/>
                <w:sz w:val="14"/>
              </w:rPr>
              <w:t>0.917</w:t>
            </w:r>
          </w:p>
        </w:tc>
        <w:tc>
          <w:tcPr>
            <w:tcW w:type="dxa" w:w="1138"/>
          </w:tcPr>
          <w:p>
            <w:pPr>
              <w:pStyle w:val="CellText"/>
              <w:jc w:val="center"/>
            </w:pPr>
            <w:r>
              <w:rPr>
                <w:b w:val="0"/>
                <w:sz w:val="14"/>
              </w:rPr>
              <w:t>1.21 wk</w:t>
            </w:r>
          </w:p>
        </w:tc>
        <w:tc>
          <w:tcPr>
            <w:tcW w:type="dxa" w:w="648"/>
          </w:tcPr>
          <w:p>
            <w:pPr>
              <w:pStyle w:val="CellText"/>
              <w:jc w:val="center"/>
            </w:pPr>
            <w:r>
              <w:rPr>
                <w:b w:val="0"/>
                <w:sz w:val="14"/>
              </w:rPr>
              <w:t>0.910</w:t>
            </w:r>
          </w:p>
        </w:tc>
        <w:tc>
          <w:tcPr>
            <w:tcW w:type="dxa" w:w="1138"/>
          </w:tcPr>
          <w:p>
            <w:pPr>
              <w:pStyle w:val="CellText"/>
              <w:jc w:val="center"/>
            </w:pPr>
            <w:r>
              <w:rPr>
                <w:b w:val="0"/>
                <w:sz w:val="14"/>
              </w:rPr>
              <w:t>1.04 wk</w:t>
            </w:r>
          </w:p>
        </w:tc>
        <w:tc>
          <w:tcPr>
            <w:tcW w:type="dxa" w:w="648"/>
          </w:tcPr>
          <w:p>
            <w:pPr>
              <w:pStyle w:val="CellText"/>
              <w:jc w:val="center"/>
            </w:pPr>
            <w:r>
              <w:rPr>
                <w:b w:val="0"/>
                <w:sz w:val="14"/>
              </w:rPr>
              <w:t>0.908</w:t>
            </w:r>
          </w:p>
        </w:tc>
        <w:tc>
          <w:tcPr>
            <w:tcW w:type="dxa" w:w="1138"/>
          </w:tcPr>
          <w:p>
            <w:pPr>
              <w:pStyle w:val="CellText"/>
              <w:jc w:val="center"/>
            </w:pPr>
            <w:r>
              <w:rPr>
                <w:b w:val="0"/>
                <w:sz w:val="14"/>
              </w:rPr>
              <w:t>1.26 wk</w:t>
            </w:r>
          </w:p>
        </w:tc>
        <w:tc>
          <w:tcPr>
            <w:tcW w:type="dxa" w:w="648"/>
          </w:tcPr>
          <w:p>
            <w:pPr>
              <w:pStyle w:val="CellText"/>
              <w:jc w:val="center"/>
            </w:pPr>
            <w:r>
              <w:rPr>
                <w:b w:val="0"/>
                <w:sz w:val="14"/>
              </w:rPr>
              <w:t>0.940</w:t>
            </w:r>
          </w:p>
        </w:tc>
        <w:tc>
          <w:tcPr>
            <w:tcW w:type="dxa" w:w="1138"/>
          </w:tcPr>
          <w:p>
            <w:pPr>
              <w:pStyle w:val="CellText"/>
              <w:jc w:val="center"/>
            </w:pPr>
            <w:r>
              <w:rPr>
                <w:b w:val="0"/>
                <w:sz w:val="14"/>
              </w:rPr>
              <w:t>2.95 wk</w:t>
            </w:r>
          </w:p>
        </w:tc>
        <w:tc>
          <w:tcPr>
            <w:tcW w:type="dxa" w:w="648"/>
          </w:tcPr>
          <w:p>
            <w:pPr>
              <w:pStyle w:val="CellText"/>
              <w:jc w:val="center"/>
            </w:pPr>
            <w:r>
              <w:rPr>
                <w:b w:val="0"/>
                <w:sz w:val="14"/>
              </w:rPr>
              <w:t>0.884</w:t>
            </w:r>
          </w:p>
        </w:tc>
        <w:tc>
          <w:tcPr>
            <w:tcW w:type="dxa" w:w="1138"/>
          </w:tcPr>
          <w:p>
            <w:pPr>
              <w:pStyle w:val="CellText"/>
              <w:jc w:val="center"/>
            </w:pPr>
            <w:r>
              <w:rPr>
                <w:b w:val="0"/>
                <w:sz w:val="14"/>
              </w:rPr>
              <w:t>1.57 wk</w:t>
            </w:r>
          </w:p>
        </w:tc>
      </w:tr>
      <w:tr>
        <w:tc>
          <w:tcPr>
            <w:tcW w:type="dxa" w:w="864"/>
          </w:tcPr>
          <w:p>
            <w:pPr>
              <w:pStyle w:val="CellText"/>
              <w:jc w:val="center"/>
            </w:pPr>
            <w:r>
              <w:rPr>
                <w:b w:val="0"/>
                <w:sz w:val="14"/>
              </w:rPr>
              <w:t>HGB-Q</w:t>
            </w:r>
          </w:p>
        </w:tc>
        <w:tc>
          <w:tcPr>
            <w:tcW w:type="dxa" w:w="648"/>
          </w:tcPr>
          <w:p>
            <w:pPr>
              <w:pStyle w:val="CellText"/>
              <w:jc w:val="center"/>
            </w:pPr>
            <w:r>
              <w:rPr>
                <w:b w:val="0"/>
                <w:sz w:val="14"/>
              </w:rPr>
              <w:t>0.917</w:t>
            </w:r>
          </w:p>
        </w:tc>
        <w:tc>
          <w:tcPr>
            <w:tcW w:type="dxa" w:w="1138"/>
          </w:tcPr>
          <w:p>
            <w:pPr>
              <w:pStyle w:val="CellText"/>
              <w:jc w:val="center"/>
            </w:pPr>
            <w:r>
              <w:rPr>
                <w:b w:val="0"/>
                <w:sz w:val="14"/>
              </w:rPr>
              <w:t>+0.4</w:t>
              <w:br/>
            </w:r>
            <w:r>
              <w:rPr>
                <w:b w:val="0"/>
                <w:sz w:val="14"/>
              </w:rPr>
              <w:t>[−0.6,+1.4]</w:t>
            </w:r>
          </w:p>
        </w:tc>
        <w:tc>
          <w:tcPr>
            <w:tcW w:type="dxa" w:w="648"/>
          </w:tcPr>
          <w:p>
            <w:pPr>
              <w:pStyle w:val="CellText"/>
              <w:jc w:val="center"/>
            </w:pPr>
            <w:r>
              <w:rPr>
                <w:b w:val="0"/>
                <w:sz w:val="14"/>
              </w:rPr>
              <w:t>0.912</w:t>
            </w:r>
          </w:p>
        </w:tc>
        <w:tc>
          <w:tcPr>
            <w:tcW w:type="dxa" w:w="1138"/>
          </w:tcPr>
          <w:p>
            <w:pPr>
              <w:pStyle w:val="CellText"/>
              <w:jc w:val="center"/>
            </w:pPr>
            <w:r>
              <w:rPr>
                <w:b w:val="0"/>
                <w:sz w:val="14"/>
              </w:rPr>
              <w:t>+3.5</w:t>
              <w:br/>
            </w:r>
            <w:r>
              <w:rPr>
                <w:b w:val="0"/>
                <w:sz w:val="14"/>
              </w:rPr>
              <w:t>[+2.8,+4.2]</w:t>
            </w:r>
          </w:p>
        </w:tc>
        <w:tc>
          <w:tcPr>
            <w:tcW w:type="dxa" w:w="648"/>
          </w:tcPr>
          <w:p>
            <w:pPr>
              <w:pStyle w:val="CellText"/>
              <w:jc w:val="center"/>
            </w:pPr>
            <w:r>
              <w:rPr>
                <w:b w:val="0"/>
                <w:sz w:val="14"/>
              </w:rPr>
              <w:t>0.906</w:t>
            </w:r>
          </w:p>
        </w:tc>
        <w:tc>
          <w:tcPr>
            <w:tcW w:type="dxa" w:w="1138"/>
          </w:tcPr>
          <w:p>
            <w:pPr>
              <w:pStyle w:val="CellText"/>
              <w:jc w:val="center"/>
            </w:pPr>
            <w:r>
              <w:rPr>
                <w:b w:val="0"/>
                <w:sz w:val="14"/>
              </w:rPr>
              <w:t>−1.2</w:t>
              <w:br/>
            </w:r>
            <w:r>
              <w:rPr>
                <w:b w:val="0"/>
                <w:sz w:val="14"/>
              </w:rPr>
              <w:t>[−4.5,+1.5]</w:t>
            </w:r>
          </w:p>
        </w:tc>
        <w:tc>
          <w:tcPr>
            <w:tcW w:type="dxa" w:w="648"/>
          </w:tcPr>
          <w:p>
            <w:pPr>
              <w:pStyle w:val="CellText"/>
              <w:jc w:val="center"/>
            </w:pPr>
            <w:r>
              <w:rPr>
                <w:b w:val="0"/>
                <w:sz w:val="14"/>
              </w:rPr>
              <w:t>0.939</w:t>
            </w:r>
          </w:p>
        </w:tc>
        <w:tc>
          <w:tcPr>
            <w:tcW w:type="dxa" w:w="1138"/>
          </w:tcPr>
          <w:p>
            <w:pPr>
              <w:pStyle w:val="CellText"/>
              <w:jc w:val="center"/>
            </w:pPr>
            <w:r>
              <w:rPr>
                <w:b w:val="0"/>
                <w:sz w:val="14"/>
              </w:rPr>
              <w:t>+3.9</w:t>
              <w:br/>
            </w:r>
            <w:r>
              <w:rPr>
                <w:b w:val="0"/>
                <w:sz w:val="14"/>
              </w:rPr>
              <w:t>[−3.1,+11.1]</w:t>
            </w:r>
          </w:p>
        </w:tc>
        <w:tc>
          <w:tcPr>
            <w:tcW w:type="dxa" w:w="648"/>
          </w:tcPr>
          <w:p>
            <w:pPr>
              <w:pStyle w:val="CellText"/>
              <w:jc w:val="center"/>
            </w:pPr>
            <w:r>
              <w:rPr>
                <w:b w:val="0"/>
                <w:sz w:val="14"/>
              </w:rPr>
              <w:t>0.877</w:t>
            </w:r>
          </w:p>
        </w:tc>
        <w:tc>
          <w:tcPr>
            <w:tcW w:type="dxa" w:w="1138"/>
          </w:tcPr>
          <w:p>
            <w:pPr>
              <w:pStyle w:val="CellText"/>
              <w:jc w:val="center"/>
            </w:pPr>
            <w:r>
              <w:rPr>
                <w:b w:val="0"/>
                <w:sz w:val="14"/>
              </w:rPr>
              <w:t>−8.8†</w:t>
              <w:br/>
            </w:r>
            <w:r>
              <w:rPr>
                <w:b w:val="0"/>
                <w:sz w:val="14"/>
              </w:rPr>
              <w:t>[−10.8,−6.2]</w:t>
            </w:r>
          </w:p>
        </w:tc>
      </w:tr>
      <w:tr>
        <w:tc>
          <w:tcPr>
            <w:tcW w:type="dxa" w:w="864"/>
          </w:tcPr>
          <w:p>
            <w:pPr>
              <w:pStyle w:val="CellText"/>
              <w:jc w:val="center"/>
            </w:pPr>
            <w:r>
              <w:rPr>
                <w:b w:val="0"/>
                <w:sz w:val="14"/>
              </w:rPr>
              <w:t>TSB-NB</w:t>
            </w:r>
          </w:p>
        </w:tc>
        <w:tc>
          <w:tcPr>
            <w:tcW w:type="dxa" w:w="648"/>
          </w:tcPr>
          <w:p>
            <w:pPr>
              <w:pStyle w:val="CellText"/>
              <w:jc w:val="center"/>
            </w:pPr>
            <w:r>
              <w:rPr>
                <w:b w:val="0"/>
                <w:sz w:val="14"/>
              </w:rPr>
              <w:t>0.926</w:t>
            </w:r>
          </w:p>
        </w:tc>
        <w:tc>
          <w:tcPr>
            <w:tcW w:type="dxa" w:w="1138"/>
          </w:tcPr>
          <w:p>
            <w:pPr>
              <w:pStyle w:val="CellText"/>
              <w:jc w:val="center"/>
            </w:pPr>
            <w:r>
              <w:rPr>
                <w:b w:val="0"/>
                <w:sz w:val="14"/>
              </w:rPr>
              <w:t>+14.2†</w:t>
              <w:br/>
            </w:r>
            <w:r>
              <w:rPr>
                <w:b w:val="0"/>
                <w:sz w:val="14"/>
              </w:rPr>
              <w:t>[+9.1,+20.6]</w:t>
            </w:r>
          </w:p>
        </w:tc>
        <w:tc>
          <w:tcPr>
            <w:tcW w:type="dxa" w:w="648"/>
          </w:tcPr>
          <w:p>
            <w:pPr>
              <w:pStyle w:val="CellText"/>
              <w:jc w:val="center"/>
            </w:pPr>
            <w:r>
              <w:rPr>
                <w:b w:val="0"/>
                <w:sz w:val="14"/>
              </w:rPr>
              <w:t>0.906</w:t>
            </w:r>
          </w:p>
        </w:tc>
        <w:tc>
          <w:tcPr>
            <w:tcW w:type="dxa" w:w="1138"/>
          </w:tcPr>
          <w:p>
            <w:pPr>
              <w:pStyle w:val="CellText"/>
              <w:jc w:val="center"/>
            </w:pPr>
            <w:r>
              <w:rPr>
                <w:b w:val="0"/>
                <w:sz w:val="14"/>
              </w:rPr>
              <w:t>+6.1</w:t>
              <w:br/>
            </w:r>
            <w:r>
              <w:rPr>
                <w:b w:val="0"/>
                <w:sz w:val="14"/>
              </w:rPr>
              <w:t>[+4.0,+8.8]</w:t>
            </w:r>
          </w:p>
        </w:tc>
        <w:tc>
          <w:tcPr>
            <w:tcW w:type="dxa" w:w="648"/>
          </w:tcPr>
          <w:p>
            <w:pPr>
              <w:pStyle w:val="CellText"/>
              <w:jc w:val="center"/>
            </w:pPr>
            <w:r>
              <w:rPr>
                <w:b w:val="0"/>
                <w:sz w:val="14"/>
              </w:rPr>
              <w:t>0.908</w:t>
            </w:r>
          </w:p>
        </w:tc>
        <w:tc>
          <w:tcPr>
            <w:tcW w:type="dxa" w:w="1138"/>
          </w:tcPr>
          <w:p>
            <w:pPr>
              <w:pStyle w:val="CellText"/>
              <w:jc w:val="center"/>
            </w:pPr>
            <w:r>
              <w:rPr>
                <w:b w:val="0"/>
                <w:sz w:val="14"/>
              </w:rPr>
              <w:t>+33.3</w:t>
              <w:br/>
            </w:r>
            <w:r>
              <w:rPr>
                <w:b w:val="0"/>
                <w:sz w:val="14"/>
              </w:rPr>
              <w:t>[+7.6,+61.6]</w:t>
            </w:r>
          </w:p>
        </w:tc>
        <w:tc>
          <w:tcPr>
            <w:tcW w:type="dxa" w:w="648"/>
          </w:tcPr>
          <w:p>
            <w:pPr>
              <w:pStyle w:val="CellText"/>
              <w:jc w:val="center"/>
            </w:pPr>
            <w:r>
              <w:rPr>
                <w:b w:val="0"/>
                <w:sz w:val="14"/>
              </w:rPr>
              <w:t>0.922</w:t>
            </w:r>
          </w:p>
        </w:tc>
        <w:tc>
          <w:tcPr>
            <w:tcW w:type="dxa" w:w="1138"/>
          </w:tcPr>
          <w:p>
            <w:pPr>
              <w:pStyle w:val="CellText"/>
              <w:jc w:val="center"/>
            </w:pPr>
            <w:r>
              <w:rPr>
                <w:b w:val="0"/>
                <w:sz w:val="14"/>
              </w:rPr>
              <w:t>+28.3†</w:t>
              <w:br/>
            </w:r>
            <w:r>
              <w:rPr>
                <w:b w:val="0"/>
                <w:sz w:val="14"/>
              </w:rPr>
              <w:t>[−49.9,+73.7]</w:t>
            </w:r>
          </w:p>
        </w:tc>
        <w:tc>
          <w:tcPr>
            <w:tcW w:type="dxa" w:w="648"/>
          </w:tcPr>
          <w:p>
            <w:pPr>
              <w:pStyle w:val="CellText"/>
              <w:jc w:val="center"/>
            </w:pPr>
            <w:r>
              <w:rPr>
                <w:b w:val="0"/>
                <w:sz w:val="14"/>
              </w:rPr>
              <w:t>0.865</w:t>
            </w:r>
          </w:p>
        </w:tc>
        <w:tc>
          <w:tcPr>
            <w:tcW w:type="dxa" w:w="1138"/>
          </w:tcPr>
          <w:p>
            <w:pPr>
              <w:pStyle w:val="CellText"/>
              <w:jc w:val="center"/>
            </w:pPr>
            <w:r>
              <w:rPr>
                <w:b w:val="0"/>
                <w:sz w:val="14"/>
              </w:rPr>
              <w:t>+5.9†</w:t>
              <w:br/>
            </w:r>
            <w:r>
              <w:rPr>
                <w:b w:val="0"/>
                <w:sz w:val="14"/>
              </w:rPr>
              <w:t>[−1.6,+14.8]</w:t>
            </w:r>
          </w:p>
        </w:tc>
      </w:tr>
      <w:tr>
        <w:tc>
          <w:tcPr>
            <w:tcW w:type="dxa" w:w="864"/>
          </w:tcPr>
          <w:p>
            <w:pPr>
              <w:pStyle w:val="CellText"/>
              <w:jc w:val="center"/>
            </w:pPr>
            <w:r>
              <w:rPr>
                <w:b w:val="0"/>
                <w:sz w:val="14"/>
              </w:rPr>
              <w:t>C2</w:t>
            </w:r>
          </w:p>
        </w:tc>
        <w:tc>
          <w:tcPr>
            <w:tcW w:type="dxa" w:w="648"/>
          </w:tcPr>
          <w:p>
            <w:pPr>
              <w:pStyle w:val="CellText"/>
              <w:jc w:val="center"/>
            </w:pPr>
            <w:r>
              <w:rPr>
                <w:b w:val="0"/>
                <w:sz w:val="14"/>
              </w:rPr>
              <w:t>0.921</w:t>
            </w:r>
          </w:p>
        </w:tc>
        <w:tc>
          <w:tcPr>
            <w:tcW w:type="dxa" w:w="1138"/>
          </w:tcPr>
          <w:p>
            <w:pPr>
              <w:pStyle w:val="CellText"/>
              <w:jc w:val="center"/>
            </w:pPr>
            <w:r>
              <w:rPr>
                <w:b w:val="0"/>
                <w:sz w:val="14"/>
              </w:rPr>
              <w:t>+2.8</w:t>
              <w:br/>
            </w:r>
            <w:r>
              <w:rPr>
                <w:b w:val="0"/>
                <w:sz w:val="14"/>
              </w:rPr>
              <w:t>[+1.1,+5.1]</w:t>
            </w:r>
          </w:p>
        </w:tc>
        <w:tc>
          <w:tcPr>
            <w:tcW w:type="dxa" w:w="648"/>
          </w:tcPr>
          <w:p>
            <w:pPr>
              <w:pStyle w:val="CellText"/>
              <w:jc w:val="center"/>
            </w:pPr>
            <w:r>
              <w:rPr>
                <w:b w:val="0"/>
                <w:sz w:val="14"/>
              </w:rPr>
              <w:t>0.908</w:t>
            </w:r>
          </w:p>
        </w:tc>
        <w:tc>
          <w:tcPr>
            <w:tcW w:type="dxa" w:w="1138"/>
          </w:tcPr>
          <w:p>
            <w:pPr>
              <w:pStyle w:val="CellText"/>
              <w:jc w:val="center"/>
            </w:pPr>
            <w:r>
              <w:rPr>
                <w:b w:val="0"/>
                <w:sz w:val="14"/>
              </w:rPr>
              <w:t>−0.4</w:t>
              <w:br/>
            </w:r>
            <w:r>
              <w:rPr>
                <w:b w:val="0"/>
                <w:sz w:val="14"/>
              </w:rPr>
              <w:t>[−1.4,+0.7]</w:t>
            </w:r>
          </w:p>
        </w:tc>
        <w:tc>
          <w:tcPr>
            <w:tcW w:type="dxa" w:w="648"/>
          </w:tcPr>
          <w:p>
            <w:pPr>
              <w:pStyle w:val="CellText"/>
              <w:jc w:val="center"/>
            </w:pPr>
            <w:r>
              <w:rPr>
                <w:b w:val="0"/>
                <w:sz w:val="14"/>
              </w:rPr>
              <w:t>0.907</w:t>
            </w:r>
          </w:p>
        </w:tc>
        <w:tc>
          <w:tcPr>
            <w:tcW w:type="dxa" w:w="1138"/>
          </w:tcPr>
          <w:p>
            <w:pPr>
              <w:pStyle w:val="CellText"/>
              <w:jc w:val="center"/>
            </w:pPr>
            <w:r>
              <w:rPr>
                <w:b w:val="0"/>
                <w:sz w:val="14"/>
              </w:rPr>
              <w:t>−7.4</w:t>
              <w:br/>
            </w:r>
            <w:r>
              <w:rPr>
                <w:b w:val="0"/>
                <w:sz w:val="14"/>
              </w:rPr>
              <w:t>[−15.3,−1.9]</w:t>
            </w:r>
          </w:p>
        </w:tc>
        <w:tc>
          <w:tcPr>
            <w:tcW w:type="dxa" w:w="648"/>
          </w:tcPr>
          <w:p>
            <w:pPr>
              <w:pStyle w:val="CellText"/>
              <w:jc w:val="center"/>
            </w:pPr>
            <w:r>
              <w:rPr>
                <w:b w:val="0"/>
                <w:sz w:val="14"/>
              </w:rPr>
              <w:t>0.936</w:t>
            </w:r>
          </w:p>
        </w:tc>
        <w:tc>
          <w:tcPr>
            <w:tcW w:type="dxa" w:w="1138"/>
          </w:tcPr>
          <w:p>
            <w:pPr>
              <w:pStyle w:val="CellText"/>
              <w:jc w:val="center"/>
            </w:pPr>
            <w:r>
              <w:rPr>
                <w:b w:val="0"/>
                <w:sz w:val="14"/>
              </w:rPr>
              <w:t>+18.8</w:t>
              <w:br/>
            </w:r>
            <w:r>
              <w:rPr>
                <w:b w:val="0"/>
                <w:sz w:val="14"/>
              </w:rPr>
              <w:t>[−35.2,+37.4]</w:t>
            </w:r>
          </w:p>
        </w:tc>
        <w:tc>
          <w:tcPr>
            <w:tcW w:type="dxa" w:w="648"/>
          </w:tcPr>
          <w:p>
            <w:pPr>
              <w:pStyle w:val="CellText"/>
              <w:jc w:val="center"/>
            </w:pPr>
            <w:r>
              <w:rPr>
                <w:b w:val="0"/>
                <w:sz w:val="14"/>
              </w:rPr>
              <w:t>0.875</w:t>
            </w:r>
          </w:p>
        </w:tc>
        <w:tc>
          <w:tcPr>
            <w:tcW w:type="dxa" w:w="1138"/>
          </w:tcPr>
          <w:p>
            <w:pPr>
              <w:pStyle w:val="CellText"/>
              <w:jc w:val="center"/>
            </w:pPr>
            <w:r>
              <w:rPr>
                <w:b w:val="0"/>
                <w:sz w:val="14"/>
              </w:rPr>
              <w:t>+0.1†</w:t>
              <w:br/>
            </w:r>
            <w:r>
              <w:rPr>
                <w:b w:val="0"/>
                <w:sz w:val="14"/>
              </w:rPr>
              <w:t>[−3.7,+4.5]</w:t>
            </w:r>
          </w:p>
        </w:tc>
      </w:tr>
      <w:t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Theodorou et al. [7] similarly find cases in which forecast accuracy and inventory cost favour different methods, though under different service and cost settings.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widowControl/>
      </w:pPr>
      <w:r>
        <w:t>Adaptive updating. Parameters are re-estimated only every 13 weeks with fixed hyperparameters, which can leave the global models a block behind level shifts on fast-growing VN1 series. More frequent or warm-started refits, recency weighting or re-tuning could reduce that lag but were not tested.</w:t>
      </w:r>
    </w:p>
    <w:p>
      <w:pPr>
        <w:widowControl/>
      </w:pPr>
      <w:r>
        <w:t>How the quantiles are constructed also matters: on M5 at fill rate 0.94, LGB-T and LGB-C need 3.3–8.2% more inventory than directly estimated LightGBM quantiles. Different quantile construction may explain part of the disagreement with [7] and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and retrospective savings alone do not justify a switch. A candidate should be frozen and run in shadow mode beside it for several review cycles, with achieved fill and upper-quantile coverage monitored, where TSB-NB under-covers.</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Stock-availability records would be needed to settle these effects. Censoring could also be handled in training, treating flagged weeks as missing or right-censored with an expectation–maximisation step or a censored likelihood [28], censored quantile regression [29] or a survival model of the time between sales;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Chronos-2 [22] ran zero-shot only. Nabil et al. [27] forecast spare-part demand with a two-stage LightGBM/XGBoost model (an occurrence classifier times a size regressor) and set stock with a normal safety factor; a quantile version of this design is not tested here.</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inventory on VN1 while changing fill rate by at most 0.02 percentage points. Its economic value is not established under the assumed costs over 26 weeks. Useful next tests would use stock-availability records, longer liquidation horizons and more forecasting architectures under the same stock policy.</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