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rPr/>
        <w:t>Duy Anh Bui</w:t>
      </w:r>
      <w:r>
        <w:rPr>
          <w:vertAlign w:val="superscript"/>
        </w:rPr>
        <w:t>1</w:t>
      </w:r>
      <w:r>
        <w:rPr/>
        <w:t xml:space="preserve">, </w:t>
      </w:r>
      <w:r>
        <w:rPr/>
        <w:t>Huy Gia Tran Khong</w:t>
      </w:r>
      <w:r>
        <w:rPr>
          <w:vertAlign w:val="superscript"/>
        </w:rPr>
        <w:t>1</w:t>
      </w:r>
      <w:r>
        <w:rPr/>
        <w:t xml:space="preserve">, </w:t>
      </w:r>
      <w:r>
        <w:rPr/>
        <w:t>Huong Cam Thi Nguyen</w:t>
      </w:r>
      <w:r>
        <w:rPr>
          <w:vertAlign w:val="superscript"/>
        </w:rPr>
        <w:t>1</w:t>
      </w:r>
      <w:r>
        <w:rPr/>
        <w:t xml:space="preserve">, </w:t>
      </w:r>
      <w:r>
        <w:rPr/>
        <w:t xml:space="preserve">and </w:t>
      </w:r>
      <w:r>
        <w:rPr/>
        <w:t>Long Truong</w:t>
      </w:r>
      <w:r>
        <w:rPr>
          <w:vertAlign w:val="superscript"/>
        </w:rPr>
        <w:t>1*</w:t>
      </w:r>
    </w:p>
    <w:p>
      <w:pPr>
        <w:pStyle w:val="SmallNote"/>
        <w:jc w:val="center"/>
      </w:pPr>
      <w:r>
        <w:rPr>
          <w:vertAlign w:val="superscript"/>
        </w:rPr>
        <w:t>1</w:t>
      </w:r>
      <w:r>
        <w:rPr/>
        <w:t xml:space="preserve"> Faculty of Software Engineering, FPT University, Ho Chi Minh City, Vietnam</w:t>
      </w:r>
    </w:p>
    <w:p>
      <w:pPr>
        <w:pStyle w:val="SmallNote"/>
        <w:jc w:val="center"/>
      </w:pPr>
      <w:r>
        <w:rPr>
          <w:rFonts w:ascii="Courier New" w:hAnsi="Courier New"/>
        </w:rPr>
        <w:t>longt5@fpt.edu.vn</w:t>
      </w:r>
    </w:p>
    <w:p>
      <w:pPr>
        <w:pStyle w:val="Heading1"/>
        <w:keepNext/>
      </w:pPr>
      <w:r>
        <w:t>ABSTRACT</w:t>
      </w:r>
    </w:p>
    <w:p>
      <w:pPr>
        <w:pStyle w:val="AbstractText"/>
        <w:widowControl/>
      </w:pPr>
      <w:r>
        <w:t>The forecast with the lowest error is not necessarily the forecast that supports the lowest inventory. We test this using seven probabilistic forecasting methods—three statistical and four gradient-boosting approaches—in a weekly order-up-to simulation with optional liquidation, on all eligible series from M5 (physical stores) and VN1 (multi-vendor e-commerce) over three 26-week windows per dataset. Because inventory costs are unobserved, we compare stock at equal realised fill rates with bootstrap confidence intervals. On M5, LightGBM quantile regression (LGB-Q) has the lowest volume-weighted quantile loss and, at a fill rate of 0.94, needs 3–11% less inventory than the safety-stock, conformal, TSB-NB and exponential-smoothing alternatives in each window; this holds across tested lead times and LightGBM settings. VN1 ranks the methods differently in different windows: TSB-NB needs 13–16% less inventory for series that turn out to be stable but fails to reach a fill rate of 0.92 on growing-demand series in two windows, and neither ADI–CV² classes nor clusters consistently identify the right method in advance. A median of all seven methods' quantiles, specified before testing, needs 7–8% less VN1 inventory than LGB-Q at a fill rate of 0.92, but the saving loses significance when warehouses are resampled, does not persist when τ is calibrated from past weeks only, and is not confirmed on an independent footwear dataset, where neither combination demonstrates a statistically significant inventory advantage over LGB-Q. Quantile-based liquidation changes fill rate by at most 0.02 percentage points but shows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 quantile regression; demand segmentation; liquidation; M5; VN1</w:t>
      </w:r>
    </w:p>
    <w:p>
      <w:pPr>
        <w:pStyle w:val="SmallNote"/>
      </w:pPr>
      <w:r>
        <w:t>ACM Reference Format: Duy Anh Bui, Huy Gia Tran Khong, Huong Cam Thi Nguyen, and Long Truong. 2027. Beyond Forecast Accuracy: Comparing Probabilistic Demand Forecasts by the Inventory They Require across Retail Settings and Periods. In Proceedings of the 12th International Conference on Intelligent Information Technology (ICIIT 2027), March 4–7, 2027, Ho Chi Minh City, Vietnam. ACM, New York, NY, USA, 10 pages.</w:t>
      </w:r>
    </w:p>
    <w:p>
      <w:pPr>
        <w:pStyle w:val="Heading1"/>
        <w:keepNext/>
      </w:pPr>
      <w:r>
        <w:t>1  INTRODUCTION</w:t>
      </w:r>
    </w:p>
    <w:p>
      <w:pPr>
        <w:widowControl/>
      </w:pPr>
      <w:r>
        <w:t>Forecasting benchmarks rank models by predictive error, but retailers choose forecasts to support inventory decisions, and the two rankings need not agree. An order based on the expected value of demand cannot describe the risk of a stockout: insufficient inventory loses sales, while excess stock incurs holding costs and may later be liquidated. Forecast quantiles allow an order-up-to level to be set for a chosen service target [3], but whether they are statistically accurate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only its demand forecasts, evaluating seven methods on every eligible series of M5 and VN1 over three 26-week windows each. We ask two questions. RQ1: do rankings by forecast accuracy and by the inventory needed for a given realised fill rate agree across retail settings and periods? RQ2: do inventory savings measured at matched realised fill survive deployment-style evaluation, with service calibrated from past weeks only and an independent panel? Our contributions are as follows.</w:t>
      </w:r>
    </w:p>
    <w:p>
      <w:pPr>
        <w:widowControl/>
        <w:ind w:left="280" w:hanging="200"/>
      </w:pPr>
      <w:r>
        <w:t>•  Ranking agreement depends on the setting and the period (RQ1). On M5, LGB-Q is both the most accurate method and needs 3–11% less stock than the point-forecast, conformal, TSB-NB and exponential-smoothing alternatives in every window; on VN1 the leading method changes between windows, and neither demand classes, clusters nor pre-test warehouse features select it reliably in advance.</w:t>
      </w:r>
    </w:p>
    <w:p>
      <w:pPr>
        <w:widowControl/>
        <w:ind w:left="280" w:hanging="200"/>
      </w:pPr>
      <w:r>
        <w:t>•  Retrospective savings are not prospective evidence (RQ2). The 7–8% VN1 saving of a pre-specified seven-method median at matched realised fill is not confirmed under past-only calibration, full-policy cluster bootstraps and an independent footwear panel, whereas the M5 ranking holds; prospective inventory comparisons report achieved fill alongside stock requirements.</w:t>
      </w:r>
    </w:p>
    <w:p>
      <w:pPr>
        <w:widowControl/>
        <w:ind w:left="280" w:hanging="200"/>
      </w:pPr>
      <w:r>
        <w:t>•  Supporting results. Checks on lead time, hyperparameters, censored demand and computing cost show which findings are stable, a break-even salvage ratio states when liquidation pays, and code and results are public.</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with three test windows plus an independent third panel,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Unlike [7], which evaluates one 365-day period at product–state level, and [5], which tunes combinations for a single-period newsvendor on one 28-day holdout, we compare rankings across settings and periods and test whether retrospective savings survive prospective evaluation.</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widowControl/>
      </w:pPr>
      <w:r>
        <w:t>A single processing pipeline handles both panels. The source data differ in the definition of a series start, but the resulting dates agree for 99.5% of M5 series. Their demand characteristics are nonetheless distinct (Table 1): a classifier using nine demand features identifies the dataset with an AUC of 0.91 (repository); Section 5.7 tests whether such differences explain the results.</w:t>
      </w:r>
    </w:p>
    <w:p>
      <w:pPr>
        <w:widowControl/>
      </w:pPr>
      <w:r>
        <w:t>Independent panel. To check the combinations on data not used to specify them, we add the retail-channel sales of a Vietnamese footwear chain, public on Kaggle (tienanh2003/sales-and-inventory-snapshot-data): 1,001 style–colour series over 82 weeks (January 2022 to July 2023), excluding returns and three partial weeks. With the eligibility rule above, 909 series enter one 26-week test window from 30 January 2023. Forecasts use the same pipeline, 21 features, refit schedule and policy; rerunning it on the processed sales file reproduces them exactly. Only one window fits the short history, month-end stock snapshots are unused, and single-method results on this panel existed before, but were not used for, specifying the combinations.</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cantSplit/>
        </w:trPr>
        <w:tc>
          <w:tcPr>
            <w:tcW w:type="dxa" w:w="3240"/>
            <w:vAlign w:val="center"/>
            <w:tcMar>
              <w:top w:w="55" w:type="dxa"/>
              <w:bottom w:w="55" w:type="dxa"/>
              <w:left w:w="50" w:type="dxa"/>
              <w:right w:w="50" w:type="dxa"/>
            </w:tcMar>
            <w:shd w:fill="E8ECF0"/>
          </w:tcPr>
          <w:p>
            <w:pPr>
              <w:pStyle w:val="CellText"/>
              <w:keepN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keepN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keepNext/>
              <w:spacing w:after="0" w:line="242" w:lineRule="auto"/>
              <w:jc w:val="center"/>
            </w:pPr>
            <w:r>
              <w:rPr>
                <w:b/>
                <w:sz w:val="16"/>
              </w:rPr>
              <w:t>VN1</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Multi-vendor e-commerce; 46 vendors; 328 warehouses</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15,053</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13,844 / 11,442 / 9,383</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196</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49.1%</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18.8 / 13.7 / 47.2 / 20.3%</w:t>
            </w:r>
          </w:p>
        </w:tc>
      </w:tr>
      <w:tr>
        <w:trPr>
          <w:cantSplit/>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specified post hoc after inspecting the results, averages the corresponding LGB-Q and TSB-NB quantiles (Section 5.5). That section also evaluates two combinations of all seven methods fixed before they were run: the mean (E7) and the median (E7-med) of their quantiles.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LGB-Q, LGB-T and LGB-C share one LightGBM configuration: learning rate 0.05, 63 leaves with no depth limit, at least 200 samples per leaf, L2 penalty 1, feature and row subsampling fractions of 0.8, and at most 1,000 boosting rounds with early stopping after 50 rounds. Each refit trains on up to 104 weekly origins and validates on the following 13; LGB-T and LGB-C use Tweedie loss with variance power 1.1. HGB-Q uses learning rate 0.1, at most 300 iterations, 63 leaves and at least 200 samples per leaf.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markup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markups of 30–100%. Neither actual salvage prices nor inventory costs are observed in these datasets.</w:t>
      </w:r>
    </w:p>
    <w:p>
      <w:pPr>
        <w:pStyle w:val="Heading1"/>
        <w:keepNext/>
      </w:pPr>
      <w:r>
        <w:t>4  EXPERIMENTAL SETUP</w:t>
      </w:r>
    </w:p>
    <w:p>
      <w:pPr>
        <w:widowControl/>
      </w:pPr>
      <w:r>
        <w:t>For M5 and VN1, the main window comprises the final 26 weeks; two earlier windows are formed by removing the last 26 and 52 weeks, respectively. The footwear panel has only its final 26-week window. Within each window, the models are refitted at the beginning of two 13-week blocks, while forecasts and inventory decisions are generated weekly. Training is repeated for every window.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cantSplit/>
        </w:trPr>
        <w:tc>
          <w:tcPr>
            <w:tcW w:type="dxa" w:w="1152"/>
            <w:vAlign w:val="center"/>
            <w:tcMar>
              <w:top w:w="55" w:type="dxa"/>
              <w:bottom w:w="55" w:type="dxa"/>
              <w:left w:w="50" w:type="dxa"/>
              <w:right w:w="50" w:type="dxa"/>
            </w:tcMar>
            <w:shd w:fill="E8ECF0"/>
          </w:tcPr>
          <w:p>
            <w:pPr>
              <w:pStyle w:val="CellText"/>
              <w:keepN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keepN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keepN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keepN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keepNext/>
              <w:spacing w:after="0" w:line="242" w:lineRule="auto"/>
              <w:jc w:val="center"/>
            </w:pPr>
            <w:r>
              <w:rPr>
                <w:b/>
                <w:sz w:val="15"/>
              </w:rPr>
              <w:t>VN1 rank</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(Figure 1)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cantSplit/>
        </w:trPr>
        <w:tc>
          <w:tcPr>
            <w:tcW w:type="dxa" w:w="490"/>
            <w:vAlign w:val="center"/>
            <w:tcMar>
              <w:top w:w="55" w:type="dxa"/>
              <w:bottom w:w="55" w:type="dxa"/>
              <w:left w:w="50" w:type="dxa"/>
              <w:right w:w="50" w:type="dxa"/>
            </w:tcMar>
            <w:shd w:fill="E8ECF0"/>
          </w:tcPr>
          <w:p>
            <w:pPr>
              <w:pStyle w:val="CellText"/>
              <w:keepN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keepN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keepN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keepN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keepN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keepN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keepN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keepN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keepN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keepNext/>
              <w:spacing w:after="0" w:line="242" w:lineRule="auto"/>
              <w:jc w:val="center"/>
            </w:pPr>
            <w:r>
              <w:rPr>
                <w:b/>
                <w:sz w:val="13"/>
              </w:rPr>
              <w:t>ETS</w:t>
              <w:br/>
              <w:t>Δ %</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+10.6</w:t>
              <w:br/>
              <w:t>[+9.8,+11.5]</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+8.0</w:t>
              <w:br/>
              <w:t>[+7.1,+8.9]</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+5.9</w:t>
              <w:br/>
              <w:t>[+5.0,+6.6]</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VN1</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+12.0</w:t>
              <w:br/>
              <w:t>[+3.8,+19.7]</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VN1</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−0.4</w:t>
              <w:br/>
              <w:t>[−5.7,+4.2]</w:t>
            </w:r>
          </w:p>
        </w:tc>
      </w:tr>
      <w:tr>
        <w:trPr>
          <w:cantSplit/>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cantSplit/>
        </w:trPr>
        <w:tc>
          <w:tcPr>
            <w:tcW w:type="dxa" w:w="1008"/>
            <w:vAlign w:val="center"/>
            <w:tcMar>
              <w:top w:w="55" w:type="dxa"/>
              <w:bottom w:w="55" w:type="dxa"/>
              <w:left w:w="50" w:type="dxa"/>
              <w:right w:w="50" w:type="dxa"/>
            </w:tcMar>
            <w:shd w:fill="E8ECF0"/>
          </w:tcPr>
          <w:p>
            <w:pPr>
              <w:pStyle w:val="CellText"/>
              <w:keepN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keepN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keepN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keepN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keepNext/>
              <w:spacing w:after="0" w:line="242" w:lineRule="auto"/>
              <w:jc w:val="center"/>
            </w:pPr>
            <w:r>
              <w:rPr>
                <w:b/>
                <w:sz w:val="15"/>
              </w:rPr>
              <w:t>All series</w:t>
              <w:br/>
              <w:t>Δ %</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+10.4</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+5.5</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+6.1</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VN1</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+5.0</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VN1</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−11.3</w:t>
            </w:r>
          </w:p>
        </w:tc>
      </w:tr>
      <w:tr>
        <w:trPr>
          <w:cantSplit/>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cantSplit/>
        </w:trPr>
        <w:tc>
          <w:tcPr>
            <w:tcW w:type="dxa" w:w="2995"/>
            <w:vAlign w:val="center"/>
            <w:tcMar>
              <w:top w:w="55" w:type="dxa"/>
              <w:bottom w:w="55" w:type="dxa"/>
              <w:left w:w="50" w:type="dxa"/>
              <w:right w:w="50" w:type="dxa"/>
            </w:tcMar>
            <w:shd w:fill="E8ECF0"/>
          </w:tcPr>
          <w:p>
            <w:pPr>
              <w:pStyle w:val="CellText"/>
              <w:keepN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keepN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keepN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keepN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keepNext/>
              <w:spacing w:after="0" w:line="242" w:lineRule="auto"/>
              <w:jc w:val="center"/>
            </w:pPr>
            <w:r>
              <w:rPr>
                <w:b/>
                <w:sz w:val="14"/>
              </w:rPr>
              <w:t>VN1</w:t>
              <w:br/>
              <w:t>second → main</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+5.1</w:t>
              <w:br/>
              <w:t>[−0.3,+10.2]</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+4.8</w:t>
              <w:br/>
              <w:t>[−0.1,+12.0]</w:t>
            </w:r>
          </w:p>
        </w:tc>
      </w:tr>
      <w:tr>
        <w:trPr>
          <w:cantSplit/>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ADI, CV² and time since sale are log-transformed; all eight features are then centred on their medians, divided by their interquartile ranges and clipped at ±4, with these statistics taken from the fitting window.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the arithmetic mean of the two methods' quantiles. We chose these two inputs after inspecting their relative performance, so C2 is exploratory and post hoc. To test combination without that choice, we fixed a second design before running it: the mean (E7) and the median (E7-med) of all seven methods' quantiles, leave-one-out ablations of E7, and a prospective rule that applies the lowest-regret mean subset of one window to the next.</w:t>
      </w:r>
    </w:p>
    <w:p>
      <w:pPr>
        <w:widowControl/>
      </w:pPr>
      <w:r>
        <w:t>At fill rate 0.92, C2 uses 5.9%, 10.5% and 7.1% less VN1 inventory than LGB-Q in the main, second and third windows and E7-med 7.6%, 8.2% and 7.1% less, with all series-bootstrap intervals excluding zero (but see Section 5.8). On M5 both stay within 1.6% of LGB-Q, whereas E7 needs up to 3.1% more and so misses our preset criterion. Every combination has a higher wQL than LGB-Q. Removing LGB-Q or HGB-Q from E7 raises its stock by 1.0–4.5%, removing ETS lowers it in all six runs, and the lowest-regret subset of every run contains LGB-Q and TSB-NB. At matched realised fill, the prospective rule saves 7.8–8.2% on VN1 in both transitions but needs 0.9% more on M5 in one. C2 also saves VN1 inventory at one- and four-week lead times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markup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cantSplit/>
        </w:trPr>
        <w:tc>
          <w:tcPr>
            <w:tcW w:type="dxa" w:w="547"/>
            <w:vAlign w:val="center"/>
            <w:tcMar>
              <w:top w:w="55" w:type="dxa"/>
              <w:bottom w:w="55" w:type="dxa"/>
              <w:left w:w="50" w:type="dxa"/>
              <w:right w:w="50" w:type="dxa"/>
            </w:tcMar>
            <w:shd w:fill="E8ECF0"/>
          </w:tcPr>
          <w:p>
            <w:pPr>
              <w:pStyle w:val="CellText"/>
              <w:keepN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keepN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keepN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keepN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keepNext/>
              <w:spacing w:after="0" w:line="242" w:lineRule="auto"/>
              <w:jc w:val="center"/>
            </w:pPr>
            <w:r>
              <w:rPr>
                <w:b/>
                <w:sz w:val="14"/>
              </w:rPr>
              <w:t>s* range</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VN1's sparse price variables or limiting M5 to its 21 features shared with VN1 changes LGB-Q inventory by less than 1% in every window. Other dataset differences remain untested.</w:t>
      </w:r>
    </w:p>
    <w:p>
      <w:pPr>
        <w:pStyle w:val="Heading2"/>
        <w:keepNext/>
      </w:pPr>
      <w:r>
        <w:t>5.8  Robustness checks and a neural baseline</w:t>
      </w:r>
    </w:p>
    <w:p>
      <w:pPr>
        <w:widowControl/>
      </w:pPr>
      <w:r>
        <w:t>Hyperparameters. Refitting LGB-Q and LGB-T for h = 3 in the main window with small (15 leaves), large (255) and regularised (31 leaves, at least 500 samples per leaf, L2 penalty 10) trees leaves LGB-Q 4.7–6.8% below LGB-T and 7.5–11.0% below TSB-NB in inventory on M5 at fill rate 0.92, with its own inventory changing by less than 3%. The VN1 ranking persists for three settings; with small trees LGB-T uses 8.9% less inventory than LGB-Q.</w:t>
      </w:r>
    </w:p>
    <w:p>
      <w:pPr>
        <w:widowControl/>
      </w:pPr>
      <w:r>
        <w:t>Lead time. At lead times of one and four weeks in every window (HGB-Q omitted), LGB-Q needs less inventory on M5 than LGB-T, LGB-C, TSB-NB and ETS in all nine window–lead-time runs (2.5–14.8% at fill rate 0.94). On VN1 the post hoc C2 uses 3.2–10.9% less inventory than LGB-Q at fill rate 0.92 in all nine runs, with intervals excluding zero in seven; its maximum regret over the 18 runs is 2.0%, against 12.6% for LGB-Q.</w:t>
      </w:r>
    </w:p>
    <w:p>
      <w:pPr>
        <w:widowControl/>
      </w:pPr>
      <w:r>
        <w:t>Neural baseline. We evaluated a univariate N-HiTS network [26] separately from the seven-method benchmark. It predicts h-week demand quantiles and is refitted every 13 weeks with fixed hyperparameters. It never leads on inventory. At fill rates of 0.90–0.94 on M5 it needs 2.6–10.0% more stock than LGB-Q; its frontier ranks on VN1, among eight single methods, range from 2.8 to 4.4. It is a CPU-budgeted baseline, not evidence about deep learning as a class.</w:t>
      </w:r>
    </w:p>
    <w:p>
      <w:pPr>
        <w:widowControl/>
      </w:pPr>
      <w:r>
        <w:t>Computational cost. Except Chronos-2, every method forecasts a 26-week window within minutes on the laptop CPU (TSB-NB 1–2, LGB-Q on M5 10–21, N-HiTS about 7). Zero-shot Chronos-2 [22] needs no training, but its inference took 5.4 hours per M5 window and 32–45 minutes per VN1 window, while needing 14.7% (M5) and 1.2–48.1% (VN1) more inventory than LGB-Q at fill rate 0.92; it ran without fine-tuning or covariates.</w:t>
      </w:r>
    </w:p>
    <w:p>
      <w:pPr>
        <w:widowControl/>
      </w:pPr>
      <w:r>
        <w:t>Prospective τ, resampling and a third dataset. Choosing each method's τ on the previous window puts every method except EMP within 0.8 points of the target fill on M5, where LGB-T, LGB-C, TSB-NB and ETS then need 3.8–14.2% more inventory than LGB-Q. On VN1 the realised fill misses the target by up to 4.6 points for LGB-Q, HGB-Q, C2 and E7-med; updating τ every week by half the gap between the target and the fill realised so far reduces the miss to 2.4 points, above our one-point criterion. Table 7 separates the target (0.92) from the achieved fill (0.906–0.926 on M5, 0.906–0.940 on VN1, 0.865–0.893 on the footwear panel); LGB-Q meets the target within 0.5 points in one of five cases. Its intervals rerun the past-only policy, τ path included, in 2,000 paired cluster replicates and are wider than with τ held fixed, most on VN1. Of the 13 comparisons whose achieved fills are within 0.5 points of LGB-Q's (none on the footwear panel), one shows a significant saving (C2 on VN1, 7.4%), five need significantly more stock and seven are inconclusive; with thresholds of 0.25 or 1.0 points, 10 or 17 qualify and one or two show a saving. No method is therefore shown to beat LGB-Q where service differs. Resampling items, stores or blocks of weeks leaves every M5 interval claim intact, whereas for the matched-fill comparisons warehouse- or client-level resampling leaves only the second-window VN1 savings significant.</w:t>
      </w:r>
    </w:p>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 Matching realised fill sets τ with the test outcomes, whereas a deployed system must fix it beforehand; on VN1 and the footwear panel the achieved fill then misses the target by up to 5.5 points, so retrospective savings do not become reliable stock reductions, and a ranking should not be transferred without a prospective check.</w:t>
      </w:r>
    </w:p>
    <w:p>
      <w:pPr>
        <w:widowControl/>
      </w:pPr>
      <w:r>
        <w:t>On VN1, the retrospective demand split helps describe these reversals. TSB-NB uses less stock for stable-demand series, whereas LGB-Q reaches fill rate 0.92 on growing-demand series in two windows where TSB-NB cannot. If future demand growth were known in advance, assigning LGB-Q to growing series and TSB-NB to the rest would reduce inventory by 5.6–9.8% relative to LGB-Q on VN1. At warehouse level, pre-test features carry some information on the reversals: fitted on an earlier window, they rank the TSB-NB/LGB-Q inventory ratio of the next window with Spearman ρ of 0.21–0.27 (permutation p ≤ 0.046), but assigning TSB-NB to the warehouses they favour changes VN1 inventory by −9.4%, −0.2% and +2.9% across three train–test splits, so the signal does not yield a reliable selection rule.</w:t>
      </w:r>
    </w:p>
    <w:p>
      <w:pPr>
        <w:pStyle w:val="TableCaption"/>
        <w:keepNext/>
        <w:widowControl/>
      </w:pPr>
      <w:r>
        <w:t>Table 7: Past-only service calibration (τ updated weekly, η = 0.5); target fill 0.92 throughout, Fill = achieved fill. ΔI = inventory relative to LGB-Q (%), 95% full-policy cluster-bootstrap intervals (τ path recomputed per replicate; M5 items, VN1 warehouses, footwear styles); LGB-Q rows: weeks of demand. † = fills differ by ≥ 0.5 points, not like-for-like.</w:t>
      </w:r>
    </w:p>
    <w:tbl>
      <w:tblPr>
        <w:tblStyle w:val="TableGrid"/>
        <w:tblW w:type="auto" w:w="0"/>
        <w:jc w:val="center"/>
        <w:tblLook w:firstColumn="1" w:firstRow="1" w:lastColumn="0" w:lastRow="0" w:noHBand="0" w:noVBand="1" w:val="04A0"/>
        <w:tblLayout w:type="fixed"/>
      </w:tblPr>
      <w:tblGrid>
        <w:gridCol w:w="864"/>
        <w:gridCol w:w="648"/>
        <w:gridCol w:w="1137"/>
        <w:gridCol w:w="648"/>
        <w:gridCol w:w="1137"/>
        <w:gridCol w:w="648"/>
        <w:gridCol w:w="1137"/>
        <w:gridCol w:w="648"/>
        <w:gridCol w:w="1137"/>
        <w:gridCol w:w="648"/>
        <w:gridCol w:w="1137"/>
      </w:tblGrid>
      <w:tr>
        <w:trPr>
          <w:cantSplit/>
          <w:tblHeader/>
        </w:trPr>
        <w:tc>
          <w:tcPr>
            <w:tcW w:type="dxa" w:w="864"/>
            <w:vMerge w:val="restart"/>
          </w:tcPr>
          <w:p>
            <w:pPr>
              <w:pStyle w:val="CellText"/>
              <w:keepNext/>
              <w:jc w:val="center"/>
            </w:pPr>
            <w:r>
              <w:rPr>
                <w:b/>
                <w:sz w:val="14"/>
              </w:rPr>
              <w:t>Method</w:t>
            </w:r>
          </w:p>
        </w:tc>
        <w:tc>
          <w:tcPr>
            <w:tcW w:type="dxa" w:w="1138"/>
            <w:gridSpan w:val="2"/>
          </w:tcPr>
          <w:p>
            <w:pPr>
              <w:pStyle w:val="CellText"/>
              <w:keepNext/>
              <w:jc w:val="center"/>
            </w:pPr>
            <w:r>
              <w:rPr>
                <w:b/>
                <w:sz w:val="14"/>
              </w:rPr>
              <w:t>M5 3→2</w:t>
            </w:r>
          </w:p>
        </w:tc>
        <w:tc>
          <w:tcPr>
            <w:tcW w:type="dxa" w:w="1138"/>
            <w:gridSpan w:val="2"/>
          </w:tcPr>
          <w:p>
            <w:pPr>
              <w:pStyle w:val="CellText"/>
              <w:keepNext/>
              <w:jc w:val="center"/>
            </w:pPr>
            <w:r>
              <w:rPr>
                <w:b/>
                <w:sz w:val="14"/>
              </w:rPr>
              <w:t>M5 2→main</w:t>
            </w:r>
          </w:p>
        </w:tc>
        <w:tc>
          <w:tcPr>
            <w:tcW w:type="dxa" w:w="1138"/>
            <w:gridSpan w:val="2"/>
          </w:tcPr>
          <w:p>
            <w:pPr>
              <w:pStyle w:val="CellText"/>
              <w:keepNext/>
              <w:jc w:val="center"/>
            </w:pPr>
            <w:r>
              <w:rPr>
                <w:b/>
                <w:sz w:val="14"/>
              </w:rPr>
              <w:t>VN1 3→2</w:t>
            </w:r>
          </w:p>
        </w:tc>
        <w:tc>
          <w:tcPr>
            <w:tcW w:type="dxa" w:w="1138"/>
            <w:gridSpan w:val="2"/>
          </w:tcPr>
          <w:p>
            <w:pPr>
              <w:pStyle w:val="CellText"/>
              <w:keepNext/>
              <w:jc w:val="center"/>
            </w:pPr>
            <w:r>
              <w:rPr>
                <w:b/>
                <w:sz w:val="14"/>
              </w:rPr>
              <w:t>VN1 2→main</w:t>
            </w:r>
          </w:p>
        </w:tc>
        <w:tc>
          <w:tcPr>
            <w:tcW w:type="dxa" w:w="1138"/>
            <w:gridSpan w:val="2"/>
          </w:tcPr>
          <w:p>
            <w:pPr>
              <w:pStyle w:val="CellText"/>
              <w:keepNext/>
              <w:jc w:val="center"/>
            </w:pPr>
            <w:r>
              <w:rPr>
                <w:b/>
                <w:sz w:val="14"/>
              </w:rPr>
              <w:t>Footwear</w:t>
            </w:r>
          </w:p>
        </w:tc>
      </w:tr>
      <w:tr>
        <w:trPr>
          <w:cantSplit/>
        </w:trPr>
        <w:tc>
          <w:tcPr>
            <w:tcW w:type="dxa" w:w="890"/>
            <w:vMerge/>
          </w:tcPr>
          <w:p>
            <w:pPr>
              <w:keepNext/>
            </w:pP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r>
      <w:tr>
        <w:trPr>
          <w:cantSplit/>
        </w:trPr>
        <w:tc>
          <w:tcPr>
            <w:tcW w:type="dxa" w:w="864"/>
          </w:tcPr>
          <w:p>
            <w:pPr>
              <w:pStyle w:val="CellText"/>
              <w:keepNext/>
              <w:jc w:val="center"/>
            </w:pPr>
            <w:r>
              <w:rPr>
                <w:b w:val="0"/>
                <w:sz w:val="14"/>
              </w:rPr>
              <w:t>LGB-Q</w:t>
            </w:r>
          </w:p>
        </w:tc>
        <w:tc>
          <w:tcPr>
            <w:tcW w:type="dxa" w:w="648"/>
          </w:tcPr>
          <w:p>
            <w:pPr>
              <w:pStyle w:val="CellText"/>
              <w:keepNext/>
              <w:jc w:val="center"/>
            </w:pPr>
            <w:r>
              <w:rPr>
                <w:b w:val="0"/>
                <w:sz w:val="14"/>
              </w:rPr>
              <w:t>0.917</w:t>
            </w:r>
          </w:p>
        </w:tc>
        <w:tc>
          <w:tcPr>
            <w:tcW w:type="dxa" w:w="1138"/>
          </w:tcPr>
          <w:p>
            <w:pPr>
              <w:pStyle w:val="CellText"/>
              <w:keepNext/>
              <w:jc w:val="center"/>
            </w:pPr>
            <w:r>
              <w:rPr>
                <w:b w:val="0"/>
                <w:sz w:val="14"/>
              </w:rPr>
              <w:t>1.21 wk</w:t>
            </w:r>
          </w:p>
        </w:tc>
        <w:tc>
          <w:tcPr>
            <w:tcW w:type="dxa" w:w="648"/>
          </w:tcPr>
          <w:p>
            <w:pPr>
              <w:pStyle w:val="CellText"/>
              <w:keepNext/>
              <w:jc w:val="center"/>
            </w:pPr>
            <w:r>
              <w:rPr>
                <w:b w:val="0"/>
                <w:sz w:val="14"/>
              </w:rPr>
              <w:t>0.910</w:t>
            </w:r>
          </w:p>
        </w:tc>
        <w:tc>
          <w:tcPr>
            <w:tcW w:type="dxa" w:w="1138"/>
          </w:tcPr>
          <w:p>
            <w:pPr>
              <w:pStyle w:val="CellText"/>
              <w:keepNext/>
              <w:jc w:val="center"/>
            </w:pPr>
            <w:r>
              <w:rPr>
                <w:b w:val="0"/>
                <w:sz w:val="14"/>
              </w:rPr>
              <w:t>1.04 wk</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1.26 wk</w:t>
            </w:r>
          </w:p>
        </w:tc>
        <w:tc>
          <w:tcPr>
            <w:tcW w:type="dxa" w:w="648"/>
          </w:tcPr>
          <w:p>
            <w:pPr>
              <w:pStyle w:val="CellText"/>
              <w:keepNext/>
              <w:jc w:val="center"/>
            </w:pPr>
            <w:r>
              <w:rPr>
                <w:b w:val="0"/>
                <w:sz w:val="14"/>
              </w:rPr>
              <w:t>0.940</w:t>
            </w:r>
          </w:p>
        </w:tc>
        <w:tc>
          <w:tcPr>
            <w:tcW w:type="dxa" w:w="1138"/>
          </w:tcPr>
          <w:p>
            <w:pPr>
              <w:pStyle w:val="CellText"/>
              <w:keepNext/>
              <w:jc w:val="center"/>
            </w:pPr>
            <w:r>
              <w:rPr>
                <w:b w:val="0"/>
                <w:sz w:val="14"/>
              </w:rPr>
              <w:t>2.95 wk</w:t>
            </w:r>
          </w:p>
        </w:tc>
        <w:tc>
          <w:tcPr>
            <w:tcW w:type="dxa" w:w="648"/>
          </w:tcPr>
          <w:p>
            <w:pPr>
              <w:pStyle w:val="CellText"/>
              <w:keepNext/>
              <w:jc w:val="center"/>
            </w:pPr>
            <w:r>
              <w:rPr>
                <w:b w:val="0"/>
                <w:sz w:val="14"/>
              </w:rPr>
              <w:t>0.884</w:t>
            </w:r>
          </w:p>
        </w:tc>
        <w:tc>
          <w:tcPr>
            <w:tcW w:type="dxa" w:w="1138"/>
          </w:tcPr>
          <w:p>
            <w:pPr>
              <w:pStyle w:val="CellText"/>
              <w:keepNext/>
              <w:jc w:val="center"/>
            </w:pPr>
            <w:r>
              <w:rPr>
                <w:b w:val="0"/>
                <w:sz w:val="14"/>
              </w:rPr>
              <w:t>1.57 wk</w:t>
            </w:r>
          </w:p>
        </w:tc>
      </w:tr>
      <w:tr>
        <w:trPr>
          <w:cantSplit/>
        </w:trPr>
        <w:tc>
          <w:tcPr>
            <w:tcW w:type="dxa" w:w="864"/>
          </w:tcPr>
          <w:p>
            <w:pPr>
              <w:pStyle w:val="CellText"/>
              <w:keepNext/>
              <w:jc w:val="center"/>
            </w:pPr>
            <w:r>
              <w:rPr>
                <w:b w:val="0"/>
                <w:sz w:val="14"/>
              </w:rPr>
              <w:t>HGB-Q</w:t>
            </w:r>
          </w:p>
        </w:tc>
        <w:tc>
          <w:tcPr>
            <w:tcW w:type="dxa" w:w="648"/>
          </w:tcPr>
          <w:p>
            <w:pPr>
              <w:pStyle w:val="CellText"/>
              <w:keepNext/>
              <w:jc w:val="center"/>
            </w:pPr>
            <w:r>
              <w:rPr>
                <w:b w:val="0"/>
                <w:sz w:val="14"/>
              </w:rPr>
              <w:t>0.917</w:t>
            </w:r>
          </w:p>
        </w:tc>
        <w:tc>
          <w:tcPr>
            <w:tcW w:type="dxa" w:w="1138"/>
          </w:tcPr>
          <w:p>
            <w:pPr>
              <w:pStyle w:val="CellText"/>
              <w:keepNext/>
              <w:jc w:val="center"/>
            </w:pPr>
            <w:r>
              <w:rPr>
                <w:b w:val="0"/>
                <w:sz w:val="14"/>
              </w:rPr>
              <w:t>+0.4</w:t>
              <w:br/>
            </w:r>
            <w:r>
              <w:rPr>
                <w:b w:val="0"/>
                <w:sz w:val="14"/>
              </w:rPr>
              <w:t>[−0.6,+1.4]</w:t>
            </w:r>
          </w:p>
        </w:tc>
        <w:tc>
          <w:tcPr>
            <w:tcW w:type="dxa" w:w="648"/>
          </w:tcPr>
          <w:p>
            <w:pPr>
              <w:pStyle w:val="CellText"/>
              <w:keepNext/>
              <w:jc w:val="center"/>
            </w:pPr>
            <w:r>
              <w:rPr>
                <w:b w:val="0"/>
                <w:sz w:val="14"/>
              </w:rPr>
              <w:t>0.912</w:t>
            </w:r>
          </w:p>
        </w:tc>
        <w:tc>
          <w:tcPr>
            <w:tcW w:type="dxa" w:w="1138"/>
          </w:tcPr>
          <w:p>
            <w:pPr>
              <w:pStyle w:val="CellText"/>
              <w:keepNext/>
              <w:jc w:val="center"/>
            </w:pPr>
            <w:r>
              <w:rPr>
                <w:b w:val="0"/>
                <w:sz w:val="14"/>
              </w:rPr>
              <w:t>+3.5</w:t>
              <w:br/>
            </w:r>
            <w:r>
              <w:rPr>
                <w:b w:val="0"/>
                <w:sz w:val="14"/>
              </w:rPr>
              <w:t>[+2.8,+4.2]</w:t>
            </w:r>
          </w:p>
        </w:tc>
        <w:tc>
          <w:tcPr>
            <w:tcW w:type="dxa" w:w="648"/>
          </w:tcPr>
          <w:p>
            <w:pPr>
              <w:pStyle w:val="CellText"/>
              <w:keepNext/>
              <w:jc w:val="center"/>
            </w:pPr>
            <w:r>
              <w:rPr>
                <w:b w:val="0"/>
                <w:sz w:val="14"/>
              </w:rPr>
              <w:t>0.906</w:t>
            </w:r>
          </w:p>
        </w:tc>
        <w:tc>
          <w:tcPr>
            <w:tcW w:type="dxa" w:w="1138"/>
          </w:tcPr>
          <w:p>
            <w:pPr>
              <w:pStyle w:val="CellText"/>
              <w:keepNext/>
              <w:jc w:val="center"/>
            </w:pPr>
            <w:r>
              <w:rPr>
                <w:b w:val="0"/>
                <w:sz w:val="14"/>
              </w:rPr>
              <w:t>−1.2</w:t>
              <w:br/>
            </w:r>
            <w:r>
              <w:rPr>
                <w:b w:val="0"/>
                <w:sz w:val="14"/>
              </w:rPr>
              <w:t>[−4.5,+1.5]</w:t>
            </w:r>
          </w:p>
        </w:tc>
        <w:tc>
          <w:tcPr>
            <w:tcW w:type="dxa" w:w="648"/>
          </w:tcPr>
          <w:p>
            <w:pPr>
              <w:pStyle w:val="CellText"/>
              <w:keepNext/>
              <w:jc w:val="center"/>
            </w:pPr>
            <w:r>
              <w:rPr>
                <w:b w:val="0"/>
                <w:sz w:val="14"/>
              </w:rPr>
              <w:t>0.939</w:t>
            </w:r>
          </w:p>
        </w:tc>
        <w:tc>
          <w:tcPr>
            <w:tcW w:type="dxa" w:w="1138"/>
          </w:tcPr>
          <w:p>
            <w:pPr>
              <w:pStyle w:val="CellText"/>
              <w:keepNext/>
              <w:jc w:val="center"/>
            </w:pPr>
            <w:r>
              <w:rPr>
                <w:b w:val="0"/>
                <w:sz w:val="14"/>
              </w:rPr>
              <w:t>+3.9</w:t>
              <w:br/>
            </w:r>
            <w:r>
              <w:rPr>
                <w:b w:val="0"/>
                <w:sz w:val="14"/>
              </w:rPr>
              <w:t>[−3.1,+11.1]</w:t>
            </w:r>
          </w:p>
        </w:tc>
        <w:tc>
          <w:tcPr>
            <w:tcW w:type="dxa" w:w="648"/>
          </w:tcPr>
          <w:p>
            <w:pPr>
              <w:pStyle w:val="CellText"/>
              <w:keepNext/>
              <w:jc w:val="center"/>
            </w:pPr>
            <w:r>
              <w:rPr>
                <w:b w:val="0"/>
                <w:sz w:val="14"/>
              </w:rPr>
              <w:t>0.877</w:t>
            </w:r>
          </w:p>
        </w:tc>
        <w:tc>
          <w:tcPr>
            <w:tcW w:type="dxa" w:w="1138"/>
          </w:tcPr>
          <w:p>
            <w:pPr>
              <w:pStyle w:val="CellText"/>
              <w:keepNext/>
              <w:jc w:val="center"/>
            </w:pPr>
            <w:r>
              <w:rPr>
                <w:b w:val="0"/>
                <w:sz w:val="14"/>
              </w:rPr>
              <w:t>−8.8†</w:t>
              <w:br/>
            </w:r>
            <w:r>
              <w:rPr>
                <w:b w:val="0"/>
                <w:sz w:val="14"/>
              </w:rPr>
              <w:t>[−10.8,−6.2]</w:t>
            </w:r>
          </w:p>
        </w:tc>
      </w:tr>
      <w:tr>
        <w:trPr>
          <w:cantSplit/>
        </w:trPr>
        <w:tc>
          <w:tcPr>
            <w:tcW w:type="dxa" w:w="864"/>
          </w:tcPr>
          <w:p>
            <w:pPr>
              <w:pStyle w:val="CellText"/>
              <w:keepNext/>
              <w:jc w:val="center"/>
            </w:pPr>
            <w:r>
              <w:rPr>
                <w:b w:val="0"/>
                <w:sz w:val="14"/>
              </w:rPr>
              <w:t>TSB-NB</w:t>
            </w:r>
          </w:p>
        </w:tc>
        <w:tc>
          <w:tcPr>
            <w:tcW w:type="dxa" w:w="648"/>
          </w:tcPr>
          <w:p>
            <w:pPr>
              <w:pStyle w:val="CellText"/>
              <w:keepNext/>
              <w:jc w:val="center"/>
            </w:pPr>
            <w:r>
              <w:rPr>
                <w:b w:val="0"/>
                <w:sz w:val="14"/>
              </w:rPr>
              <w:t>0.926</w:t>
            </w:r>
          </w:p>
        </w:tc>
        <w:tc>
          <w:tcPr>
            <w:tcW w:type="dxa" w:w="1138"/>
          </w:tcPr>
          <w:p>
            <w:pPr>
              <w:pStyle w:val="CellText"/>
              <w:keepNext/>
              <w:jc w:val="center"/>
            </w:pPr>
            <w:r>
              <w:rPr>
                <w:b w:val="0"/>
                <w:sz w:val="14"/>
              </w:rPr>
              <w:t>+14.2†</w:t>
              <w:br/>
            </w:r>
            <w:r>
              <w:rPr>
                <w:b w:val="0"/>
                <w:sz w:val="14"/>
              </w:rPr>
              <w:t>[+9.1,+20.6]</w:t>
            </w:r>
          </w:p>
        </w:tc>
        <w:tc>
          <w:tcPr>
            <w:tcW w:type="dxa" w:w="648"/>
          </w:tcPr>
          <w:p>
            <w:pPr>
              <w:pStyle w:val="CellText"/>
              <w:keepNext/>
              <w:jc w:val="center"/>
            </w:pPr>
            <w:r>
              <w:rPr>
                <w:b w:val="0"/>
                <w:sz w:val="14"/>
              </w:rPr>
              <w:t>0.906</w:t>
            </w:r>
          </w:p>
        </w:tc>
        <w:tc>
          <w:tcPr>
            <w:tcW w:type="dxa" w:w="1138"/>
          </w:tcPr>
          <w:p>
            <w:pPr>
              <w:pStyle w:val="CellText"/>
              <w:keepNext/>
              <w:jc w:val="center"/>
            </w:pPr>
            <w:r>
              <w:rPr>
                <w:b w:val="0"/>
                <w:sz w:val="14"/>
              </w:rPr>
              <w:t>+6.1</w:t>
              <w:br/>
            </w:r>
            <w:r>
              <w:rPr>
                <w:b w:val="0"/>
                <w:sz w:val="14"/>
              </w:rPr>
              <w:t>[+4.0,+8.8]</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+33.3</w:t>
              <w:br/>
            </w:r>
            <w:r>
              <w:rPr>
                <w:b w:val="0"/>
                <w:sz w:val="14"/>
              </w:rPr>
              <w:t>[+7.6,+61.6]</w:t>
            </w:r>
          </w:p>
        </w:tc>
        <w:tc>
          <w:tcPr>
            <w:tcW w:type="dxa" w:w="648"/>
          </w:tcPr>
          <w:p>
            <w:pPr>
              <w:pStyle w:val="CellText"/>
              <w:keepNext/>
              <w:jc w:val="center"/>
            </w:pPr>
            <w:r>
              <w:rPr>
                <w:b w:val="0"/>
                <w:sz w:val="14"/>
              </w:rPr>
              <w:t>0.922</w:t>
            </w:r>
          </w:p>
        </w:tc>
        <w:tc>
          <w:tcPr>
            <w:tcW w:type="dxa" w:w="1138"/>
          </w:tcPr>
          <w:p>
            <w:pPr>
              <w:pStyle w:val="CellText"/>
              <w:keepNext/>
              <w:jc w:val="center"/>
            </w:pPr>
            <w:r>
              <w:rPr>
                <w:b w:val="0"/>
                <w:sz w:val="14"/>
              </w:rPr>
              <w:t>+28.3†</w:t>
              <w:br/>
            </w:r>
            <w:r>
              <w:rPr>
                <w:b w:val="0"/>
                <w:sz w:val="14"/>
              </w:rPr>
              <w:t>[−49.9,+73.7]</w:t>
            </w:r>
          </w:p>
        </w:tc>
        <w:tc>
          <w:tcPr>
            <w:tcW w:type="dxa" w:w="648"/>
          </w:tcPr>
          <w:p>
            <w:pPr>
              <w:pStyle w:val="CellText"/>
              <w:keepNext/>
              <w:jc w:val="center"/>
            </w:pPr>
            <w:r>
              <w:rPr>
                <w:b w:val="0"/>
                <w:sz w:val="14"/>
              </w:rPr>
              <w:t>0.865</w:t>
            </w:r>
          </w:p>
        </w:tc>
        <w:tc>
          <w:tcPr>
            <w:tcW w:type="dxa" w:w="1138"/>
          </w:tcPr>
          <w:p>
            <w:pPr>
              <w:pStyle w:val="CellText"/>
              <w:keepNext/>
              <w:jc w:val="center"/>
            </w:pPr>
            <w:r>
              <w:rPr>
                <w:b w:val="0"/>
                <w:sz w:val="14"/>
              </w:rPr>
              <w:t>+5.9†</w:t>
              <w:br/>
            </w:r>
            <w:r>
              <w:rPr>
                <w:b w:val="0"/>
                <w:sz w:val="14"/>
              </w:rPr>
              <w:t>[−1.6,+14.8]</w:t>
            </w:r>
          </w:p>
        </w:tc>
      </w:tr>
      <w:tr>
        <w:trPr>
          <w:cantSplit/>
        </w:trPr>
        <w:tc>
          <w:tcPr>
            <w:tcW w:type="dxa" w:w="864"/>
          </w:tcPr>
          <w:p>
            <w:pPr>
              <w:pStyle w:val="CellText"/>
              <w:keepNext/>
              <w:jc w:val="center"/>
            </w:pPr>
            <w:r>
              <w:rPr>
                <w:b w:val="0"/>
                <w:sz w:val="14"/>
              </w:rPr>
              <w:t>C2</w:t>
            </w:r>
          </w:p>
        </w:tc>
        <w:tc>
          <w:tcPr>
            <w:tcW w:type="dxa" w:w="648"/>
          </w:tcPr>
          <w:p>
            <w:pPr>
              <w:pStyle w:val="CellText"/>
              <w:keepNext/>
              <w:jc w:val="center"/>
            </w:pPr>
            <w:r>
              <w:rPr>
                <w:b w:val="0"/>
                <w:sz w:val="14"/>
              </w:rPr>
              <w:t>0.921</w:t>
            </w:r>
          </w:p>
        </w:tc>
        <w:tc>
          <w:tcPr>
            <w:tcW w:type="dxa" w:w="1138"/>
          </w:tcPr>
          <w:p>
            <w:pPr>
              <w:pStyle w:val="CellText"/>
              <w:keepNext/>
              <w:jc w:val="center"/>
            </w:pPr>
            <w:r>
              <w:rPr>
                <w:b w:val="0"/>
                <w:sz w:val="14"/>
              </w:rPr>
              <w:t>+2.8</w:t>
              <w:br/>
            </w:r>
            <w:r>
              <w:rPr>
                <w:b w:val="0"/>
                <w:sz w:val="14"/>
              </w:rPr>
              <w:t>[+1.1,+5.1]</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−0.4</w:t>
              <w:br/>
            </w:r>
            <w:r>
              <w:rPr>
                <w:b w:val="0"/>
                <w:sz w:val="14"/>
              </w:rPr>
              <w:t>[−1.4,+0.7]</w:t>
            </w:r>
          </w:p>
        </w:tc>
        <w:tc>
          <w:tcPr>
            <w:tcW w:type="dxa" w:w="648"/>
          </w:tcPr>
          <w:p>
            <w:pPr>
              <w:pStyle w:val="CellText"/>
              <w:keepNext/>
              <w:jc w:val="center"/>
            </w:pPr>
            <w:r>
              <w:rPr>
                <w:b w:val="0"/>
                <w:sz w:val="14"/>
              </w:rPr>
              <w:t>0.907</w:t>
            </w:r>
          </w:p>
        </w:tc>
        <w:tc>
          <w:tcPr>
            <w:tcW w:type="dxa" w:w="1138"/>
          </w:tcPr>
          <w:p>
            <w:pPr>
              <w:pStyle w:val="CellText"/>
              <w:keepNext/>
              <w:jc w:val="center"/>
            </w:pPr>
            <w:r>
              <w:rPr>
                <w:b w:val="0"/>
                <w:sz w:val="14"/>
              </w:rPr>
              <w:t>−7.4</w:t>
              <w:br/>
            </w:r>
            <w:r>
              <w:rPr>
                <w:b w:val="0"/>
                <w:sz w:val="14"/>
              </w:rPr>
              <w:t>[−15.3,−1.9]</w:t>
            </w:r>
          </w:p>
        </w:tc>
        <w:tc>
          <w:tcPr>
            <w:tcW w:type="dxa" w:w="648"/>
          </w:tcPr>
          <w:p>
            <w:pPr>
              <w:pStyle w:val="CellText"/>
              <w:keepNext/>
              <w:jc w:val="center"/>
            </w:pPr>
            <w:r>
              <w:rPr>
                <w:b w:val="0"/>
                <w:sz w:val="14"/>
              </w:rPr>
              <w:t>0.936</w:t>
            </w:r>
          </w:p>
        </w:tc>
        <w:tc>
          <w:tcPr>
            <w:tcW w:type="dxa" w:w="1138"/>
          </w:tcPr>
          <w:p>
            <w:pPr>
              <w:pStyle w:val="CellText"/>
              <w:keepNext/>
              <w:jc w:val="center"/>
            </w:pPr>
            <w:r>
              <w:rPr>
                <w:b w:val="0"/>
                <w:sz w:val="14"/>
              </w:rPr>
              <w:t>+18.8</w:t>
              <w:br/>
            </w:r>
            <w:r>
              <w:rPr>
                <w:b w:val="0"/>
                <w:sz w:val="14"/>
              </w:rPr>
              <w:t>[−35.2,+37.4]</w:t>
            </w:r>
          </w:p>
        </w:tc>
        <w:tc>
          <w:tcPr>
            <w:tcW w:type="dxa" w:w="648"/>
          </w:tcPr>
          <w:p>
            <w:pPr>
              <w:pStyle w:val="CellText"/>
              <w:keepNext/>
              <w:jc w:val="center"/>
            </w:pPr>
            <w:r>
              <w:rPr>
                <w:b w:val="0"/>
                <w:sz w:val="14"/>
              </w:rPr>
              <w:t>0.875</w:t>
            </w:r>
          </w:p>
        </w:tc>
        <w:tc>
          <w:tcPr>
            <w:tcW w:type="dxa" w:w="1138"/>
          </w:tcPr>
          <w:p>
            <w:pPr>
              <w:pStyle w:val="CellText"/>
              <w:keepNext/>
              <w:jc w:val="center"/>
            </w:pPr>
            <w:r>
              <w:rPr>
                <w:b w:val="0"/>
                <w:sz w:val="14"/>
              </w:rPr>
              <w:t>+0.1†</w:t>
              <w:br/>
            </w:r>
            <w:r>
              <w:rPr>
                <w:b w:val="0"/>
                <w:sz w:val="14"/>
              </w:rPr>
              <w:t>[−3.7,+4.5]</w:t>
            </w:r>
          </w:p>
        </w:tc>
      </w:tr>
      <w:tr>
        <w:trPr>
          <w:cantSplit/>
        </w:trPr>
        <w:tc>
          <w:tcPr>
            <w:tcW w:type="dxa" w:w="864"/>
          </w:tcPr>
          <w:p>
            <w:pPr>
              <w:pStyle w:val="CellText"/>
              <w:jc w:val="center"/>
            </w:pPr>
            <w:r>
              <w:rPr>
                <w:b w:val="0"/>
                <w:sz w:val="14"/>
              </w:rPr>
              <w:t>E7-med</w:t>
            </w:r>
          </w:p>
        </w:tc>
        <w:tc>
          <w:tcPr>
            <w:tcW w:type="dxa" w:w="648"/>
          </w:tcPr>
          <w:p>
            <w:pPr>
              <w:pStyle w:val="CellText"/>
              <w:jc w:val="center"/>
            </w:pPr>
            <w:r>
              <w:rPr>
                <w:b w:val="0"/>
                <w:sz w:val="14"/>
              </w:rPr>
              <w:t>0.918</w:t>
            </w:r>
          </w:p>
        </w:tc>
        <w:tc>
          <w:tcPr>
            <w:tcW w:type="dxa" w:w="1138"/>
          </w:tcPr>
          <w:p>
            <w:pPr>
              <w:pStyle w:val="CellText"/>
              <w:jc w:val="center"/>
            </w:pPr>
            <w:r>
              <w:rPr>
                <w:b w:val="0"/>
                <w:sz w:val="14"/>
              </w:rPr>
              <w:t>+1.1</w:t>
              <w:br/>
            </w:r>
            <w:r>
              <w:rPr>
                <w:b w:val="0"/>
                <w:sz w:val="14"/>
              </w:rPr>
              <w:t>[+0.2,+2.1]</w:t>
            </w:r>
          </w:p>
        </w:tc>
        <w:tc>
          <w:tcPr>
            <w:tcW w:type="dxa" w:w="648"/>
          </w:tcPr>
          <w:p>
            <w:pPr>
              <w:pStyle w:val="CellText"/>
              <w:jc w:val="center"/>
            </w:pPr>
            <w:r>
              <w:rPr>
                <w:b w:val="0"/>
                <w:sz w:val="14"/>
              </w:rPr>
              <w:t>0.908</w:t>
            </w:r>
          </w:p>
        </w:tc>
        <w:tc>
          <w:tcPr>
            <w:tcW w:type="dxa" w:w="1138"/>
          </w:tcPr>
          <w:p>
            <w:pPr>
              <w:pStyle w:val="CellText"/>
              <w:jc w:val="center"/>
            </w:pPr>
            <w:r>
              <w:rPr>
                <w:b w:val="0"/>
                <w:sz w:val="14"/>
              </w:rPr>
              <w:t>−0.9</w:t>
              <w:br/>
            </w:r>
            <w:r>
              <w:rPr>
                <w:b w:val="0"/>
                <w:sz w:val="14"/>
              </w:rPr>
              <w:t>[−1.9,+0.1]</w:t>
            </w:r>
          </w:p>
        </w:tc>
        <w:tc>
          <w:tcPr>
            <w:tcW w:type="dxa" w:w="648"/>
          </w:tcPr>
          <w:p>
            <w:pPr>
              <w:pStyle w:val="CellText"/>
              <w:jc w:val="center"/>
            </w:pPr>
            <w:r>
              <w:rPr>
                <w:b w:val="0"/>
                <w:sz w:val="14"/>
              </w:rPr>
              <w:t>0.907</w:t>
            </w:r>
          </w:p>
        </w:tc>
        <w:tc>
          <w:tcPr>
            <w:tcW w:type="dxa" w:w="1138"/>
          </w:tcPr>
          <w:p>
            <w:pPr>
              <w:pStyle w:val="CellText"/>
              <w:jc w:val="center"/>
            </w:pPr>
            <w:r>
              <w:rPr>
                <w:b w:val="0"/>
                <w:sz w:val="14"/>
              </w:rPr>
              <w:t>−1.1</w:t>
              <w:br/>
            </w:r>
            <w:r>
              <w:rPr>
                <w:b w:val="0"/>
                <w:sz w:val="14"/>
              </w:rPr>
              <w:t>[−12.9,+9.2]</w:t>
            </w:r>
          </w:p>
        </w:tc>
        <w:tc>
          <w:tcPr>
            <w:tcW w:type="dxa" w:w="648"/>
          </w:tcPr>
          <w:p>
            <w:pPr>
              <w:pStyle w:val="CellText"/>
              <w:jc w:val="center"/>
            </w:pPr>
            <w:r>
              <w:rPr>
                <w:b w:val="0"/>
                <w:sz w:val="14"/>
              </w:rPr>
              <w:t>0.928</w:t>
            </w:r>
          </w:p>
        </w:tc>
        <w:tc>
          <w:tcPr>
            <w:tcW w:type="dxa" w:w="1138"/>
          </w:tcPr>
          <w:p>
            <w:pPr>
              <w:pStyle w:val="CellText"/>
              <w:jc w:val="center"/>
            </w:pPr>
            <w:r>
              <w:rPr>
                <w:b w:val="0"/>
                <w:sz w:val="14"/>
              </w:rPr>
              <w:t>+9.6†</w:t>
              <w:br/>
            </w:r>
            <w:r>
              <w:rPr>
                <w:b w:val="0"/>
                <w:sz w:val="14"/>
              </w:rPr>
              <w:t>[−49.6,+28.1]</w:t>
            </w:r>
          </w:p>
        </w:tc>
        <w:tc>
          <w:tcPr>
            <w:tcW w:type="dxa" w:w="648"/>
          </w:tcPr>
          <w:p>
            <w:pPr>
              <w:pStyle w:val="CellText"/>
              <w:jc w:val="center"/>
            </w:pPr>
            <w:r>
              <w:rPr>
                <w:b w:val="0"/>
                <w:sz w:val="14"/>
              </w:rPr>
              <w:t>0.893</w:t>
            </w:r>
          </w:p>
        </w:tc>
        <w:tc>
          <w:tcPr>
            <w:tcW w:type="dxa" w:w="1138"/>
          </w:tcPr>
          <w:p>
            <w:pPr>
              <w:pStyle w:val="CellText"/>
              <w:jc w:val="center"/>
            </w:pPr>
            <w:r>
              <w:rPr>
                <w:b w:val="0"/>
                <w:sz w:val="14"/>
              </w:rPr>
              <w:t>+6.0†</w:t>
              <w:br/>
            </w:r>
            <w:r>
              <w:rPr>
                <w:b w:val="0"/>
                <w:sz w:val="14"/>
              </w:rPr>
              <w:t>[+3.6,+8.7]</w:t>
            </w:r>
          </w:p>
        </w:tc>
      </w:tr>
    </w:tbl>
    <w:p>
      <w:pPr>
        <w:widowControl/>
      </w:pPr>
      <w:r>
        <w:t>Adaptive updating. Parameters are re-estimated only every 13 weeks with fixed hyperparameters, which can leave the global models a block behind level shifts on fast-growing VN1 series. More frequent refits or recency weighting could reduce that lag but were not tested.</w:t>
      </w:r>
    </w:p>
    <w:p>
      <w:pPr>
        <w:widowControl/>
      </w:pPr>
      <w:r>
        <w:t>How the quantiles are constructed also matters: on M5 at fill rate 0.94, LGB-T and LGB-C need 3.3–8.2% more inventory than directly estimated LightGBM quantiles. Different quantile construction may explain part of the disagreement with [7] and [23].</w:t>
      </w:r>
    </w:p>
    <w:p>
      <w:pPr>
        <w:widowControl/>
      </w:pPr>
      <w:r>
        <w:t>Among the combinations, E7-med has the smallest maximum regret under the paper's descriptive metric (excess stock over the best single method, averaged over attainable targets): 0.3% across six runs, versus 0.9% for the post hoc C2, 3.4% for E7, 9.4% for LGB-Q, 9.5% for LGB-T, 11.4% for HGB-Q and 20.7% for TSB-NB. These figures describe the six evaluated runs, not expected deployment performance.</w:t>
      </w:r>
    </w:p>
    <w:p>
      <w:pPr>
        <w:widowControl/>
      </w:pPr>
      <w:r>
        <w:t>Toward deployment. Because neither combination showed a reliable advantage in Section 5.8, LGB-Q is the safer default, and retrospective savings alone do not justify a switch. A frozen candidate should first run in shadow mode beside it, with achieved fill and upper-quantile coverage monitored.</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The pre-specified E7-med is less sensitive: its maximum regret is 0.1% on the clean subset and −2.2% under imputation, where it needs 2.9–5.6% less M5 and 9.5–14.7% less VN1 inventory than LGB-Q at fill rate 0.92. Across detector thresholds of 0.001–0.1 and imputing half the mean, the mean or the mean positive sales, TSB-NB needs 11.8–34.2% more inventory than LGB-Q on M5, while E7-med needs 1.4–7.2% (M5) and 8.2–15.9% (VN1) less and keeps a maximum regret of at most 1.6%. Stock-availability records would be needed to settle these effects. Censoring could also be handled in training, with a censored likelihood [28] or censored quantile regression [29]; we leave this to future work.</w:t>
      </w:r>
    </w:p>
    <w:p>
      <w:pPr>
        <w:widowControl/>
      </w:pPr>
      <w:r>
        <w:t>Limitations. Recorded sales stand in for demand, and stockouts are only inferred (see above). We did not tune hyperparameters; the M5 comparison persists across four LightGBM settings, but VN1 is sensitive to one of them (Section 5.8). Growth groups are formed retrospectively. Series-level intervals are too narrow on VN1, where warehouse- and client-level resampling widens them (Section 5.8), and M5 and VN1 supply three evaluation windows, the footwear panel one. A quantile version of the two-stage occurrence-times-size LightGBM/XGBoost model of Nabil et al. [27] is not tested here.</w:t>
      </w:r>
    </w:p>
    <w:p>
      <w:pPr>
        <w:pStyle w:val="Heading1"/>
        <w:keepNext/>
      </w:pPr>
      <w:r>
        <w:t>7  CONCLUSION</w:t>
      </w:r>
    </w:p>
    <w:p>
      <w:pPr>
        <w:widowControl/>
      </w:pPr>
      <w:r>
        <w:t>For RQ1, rankings by accuracy and by inventory agree on M5 but not on VN1. Under the weekly order-up-to policy tested here, LGB-Q has the lowest volume-weighted quantile loss on M5 and needs 3–11% less inventory than the statistical and point-based alternatives at a realised fill rate of 0.94 in all three windows, across the lead-time checks and four LightGBM configurations. On VN1 no single method leads across periods, and neither demand classes, clusters nor pre-test warehouse features select one reliably in advance.</w:t>
      </w:r>
    </w:p>
    <w:p>
      <w:pPr>
        <w:widowControl/>
      </w:pPr>
      <w:r>
        <w:t>For RQ2, the results expose a gap between retrospective inventory efficiency and prospective reliability. At matched realised fill, a pre-specified median of all seven methods needs 7–8% less VN1 inventory than LGB-Q, and the post hoc LGB-Q/TSB-NB average 6–11%, while both stay within 1.6% on M5. These retrospective advantages do not generalise consistently under past-only service calibration, full-policy cluster bootstrapping and independent footwear validation. Although C2 retains a significant inventory advantage in one prospective VN1 comparison, neither combination demonstrates a reliable benefit across settings. LGB-Q therefore remains the more defensible reference method under the tested policy.</w:t>
      </w:r>
    </w:p>
    <w:p>
      <w:pPr>
        <w:widowControl/>
      </w:pPr>
      <w:r>
        <w:t>Quantile liquidation reduces VN1 inventory at a fill-rate cost of at most 0.02 points, but its economic value is not established under the assumed costs; stock-availability records and longer horizons are the next tests.</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p>
      <w:pPr>
        <w:pStyle w:val="Reference"/>
      </w:pPr>
      <w:r>
        <w:t>[28]  S. Nahmias. 1994. Demand estimation in lost sales inventory systems. Naval Research Logistics 41, 6, 739–757. https://doi.org/10.1002/1520-6750(199410)41:6&lt;739::AID-NAV3220410605&gt;3.0.CO;2-A</w:t>
      </w:r>
    </w:p>
    <w:p>
      <w:pPr>
        <w:pStyle w:val="Reference"/>
      </w:pPr>
      <w:r>
        <w:t>[29]  J. L. Powell. 1986. Censored regression quantiles. Journal of Econometrics 32, 1, 143–155. https://doi.org/10.1016/0304-4076(86)90016-3</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