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but the saving loses significance when warehouses are resampled, does not persist when τ is calibrated from past weeks only, and is not confirmed on an independent footwear dataset, where LGB-Q again needs the least stock.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tested prospectively. The median of the seven methods' quantiles needs 7–8% less VN1 inventory than LGB-Q at equal realised fill, and the ablation shows that the direct quantile learners contribute most, but the saving does not survive warehouse-level resampling, past-only τ calibration or an independent third dataset.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pre-specified combination of the compared methods.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series-bootstrap intervals excluding zero (but see Section 5.8).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widowControl/>
      </w:pPr>
      <w:r>
        <w:t>Prospective τ, resampling and a third dataset. Choosing each method's τ on the previous window puts every method except EMP within 0.8 points of the target fill on M5, where LGB-Q, HGB-Q, C2 and E7-med then need inventory within 2% of one another and LGB-T, LGB-C, TSB-NB and ETS 3.8–14.2% more. On VN1 the realised fill misses the target by up to 4.6 points for these four methods; updating τ every week by half the gap between the target and the fill realised so far reduces the miss to 2.4 points, still above our one-point criterion. With service matched this way, E7-med never needs less VN1 stock than LGB-Q at comparable fill with a warehouse-level interval excluding zero, C2 does so once, and TSB-NB needs 28–42% more in three of four cases. Resampling items, stores or blocks of weeks leaves every M5 interval claim intact, whereas warehouse- or client-level resampling leaves only the second-window VN1 savings significant. On an independent panel not used to design either combination (909 style–colour series of a Vietnamese footwear chain, one 26-week window), LGB-Q needs the least inventory at equal fill; E7-med needs 2.4% more at fill 0.92 (style-level interval −1.0% to +5.8%) and C2 0.3% more.</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Parameters are re-estimated only every 13 weeks with fixed hyperparameters, which can leave the global models a block behind level shifts on fast-growing VN1 series. More frequent or warm-started refits, recency weighting or re-tuning could reduce that lag but were not tested.</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did not pass the prospective checks of Section 5.8, any further evaluation should also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We leave such models to future work. Across detector thresholds of 0.001–0.1 and imputing half the mean, the mean or the mean positive sales, TSB-NB needs 11.8–34.2% more inventory than LGB-Q on M5, while E7-med needs 1.4–7.2% (M5) and 8.2–15.9% (VN1) less and keeps a maximum regret of at most 1.6%.</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Series-level intervals are too narrow on VN1, where warehouse- and client-level resampling widens them (Section 5.8),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the saving does not survive warehouse-level resampling, past-only τ calibration or an independent footwear dataset, so LGB-Q remains the dependable default.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