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forecasting methods—three statistical and four gradient-boosting approaches—in a weekly order-up-to simulation with optional liquidation, on all eligible series from M5 (physical stores) and VN1 (multi-vendor e-commerce) over three 26-week windows per dataset. Because inventory costs are unobserved, we compare stock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tested lead times and LightGBM settings. VN1 ranks the methods differently in different windows: TSB-NB needs 13–16% less inventory for series that turn out to be stable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Forecasting benchmarks rank models by predictive error, but retailers choose forecasts to support inventory decisions, and the two rankings need not agree. An order based on the expected value of demand cannot describe the risk of a stockout: insufficient inventory loses sales, while excess stock incurs holding costs and may later be liquidated. Forecast quantiles allow an order-up-to level to be set for a chosen service target [3], but whether they are statistically accurate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evaluating seven methods on every eligible series of M5 and VN1 over three 26-week windows each. We ask two questions. RQ1: do rankings by forecast accuracy and by the inventory needed for a given realised fill rate agree across retail settings and periods? RQ2: do inventory savings measured at matched realised fill survive deployment-style evaluation, with service calibrated from past weeks only and an independent panel? Our contributions are as follows.</w:t>
      </w:r>
    </w:p>
    <w:p>
      <w:pPr>
        <w:widowControl/>
        <w:ind w:left="280" w:hanging="200"/>
      </w:pPr>
      <w:r>
        <w:t>•  Ranking agreement depends on the setting and the period (RQ1). On M5, LGB-Q is both the most accurate method and needs 3–11% less stock than the point-forecast, conformal, TSB-NB and exponential-smoothing alternatives in every window; on VN1 the leading method changes between windows, and neither demand classes, clusters nor pre-test warehouse features select it reliably in advance.</w:t>
      </w:r>
    </w:p>
    <w:p>
      <w:pPr>
        <w:widowControl/>
        <w:ind w:left="280" w:hanging="200"/>
      </w:pPr>
      <w:r>
        <w:t>•  Retrospective savings are not prospective evidence (RQ2). The 7–8% VN1 saving of a pre-specified seven-method median at matched realised fill disappears under past-only calibration, full-policy cluster bootstraps and an independent footwear panel, whereas the M5 ranking holds; achieved fill is reported beside every inventory comparison.</w:t>
      </w:r>
    </w:p>
    <w:p>
      <w:pPr>
        <w:widowControl/>
        <w:ind w:left="280" w:hanging="200"/>
      </w:pPr>
      <w:r>
        <w:t>•  Supporting results. Checks on lead time, hyperparameters, censored demand and computing cost show which findings are stable, a break-even salvage ratio states when liquidation pays, and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with three test windows plus an independent third panel,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Unlike [7], which evaluates one 365-day period at product–state level, and [5], which tunes combinations for a single-period newsvendor on one 28-day holdout, we compare rankings across settings and periods and test whether retrospective savings survive prospective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1,001 style–colour series over 82 weeks (January 2022 to July 2023), excluding returns and three partial weeks. With the eligibility rule above, 909 series enter one 26-week test window from 30 January 2023. Forecasts use the same pipeline, 21 features, refit schedule and policy; rerunning it on the processed sales file reproduces them exactly. Only one window fits the short history, month-end stock snapshots are unused,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markup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markups of 30–100%. Neither actual salvage prices nor inventory costs are observed in these datasets.</w:t>
      </w:r>
    </w:p>
    <w:p>
      <w:pPr>
        <w:pStyle w:val="Heading1"/>
        <w:keepNext/>
      </w:pPr>
      <w:r>
        <w:t>4  EXPERIMENTAL SETUP</w:t>
      </w:r>
    </w:p>
    <w:p>
      <w:pPr>
        <w:widowControl/>
      </w:pPr>
      <w:r>
        <w:t>For M5 and VN1, the main window comprises the final 26 weeks; two earlier windows are formed by removing the last 26 and 52 weeks, respectively. The footwear panel has only its final 26-week window. Within each window, the models are refitted at the beginning of two 13-week blocks, while forecasts and inventory decisions are generated weekly. Training is repeated for every window.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At matched realised fill,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markup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VN1's sparse price variables or limiting M5 to its 21 features shared with VN1 changes LGB-Q inventory by less than 1% in every window.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separates the target (0.92) from the achieved fill (0.906–0.926 on M5, 0.906–0.940 on VN1, 0.865–0.893 on the footwear panel); LGB-Q meets the target within 0.5 points in one of five cases. Its intervals rerun the past-only policy, τ path included, in 2,000 paired cluster replicates and are wider than with τ held fixed, most on VN1. Of the 13 comparisons whose achieved fills are within 0.5 points of LGB-Q's (none on the footwear panel), one shows a significant saving (C2 on VN1, 7.4%), five need significantly more stock and seven are inconclusive; with thresholds of 0.25 or 1.0 points, 10 or 17 qualify and one or two show a saving. No method is therefore shown to beat LGB-Q where service differs. Resampling items, stores or blocks of weeks leaves every M5 interval claim intact, whereas for the matched-fill comparisons warehouse- or client-level resampling leaves only the second-window VN1 savings significant.</w:t>
      </w:r>
    </w:p>
    <w:p>
      <w:pPr>
        <w:pStyle w:val="TableCaption"/>
        <w:widowControl/>
      </w:pPr>
      <w:r>
        <w:t>Table 7. Past-only service calibration (τ updated weekly, η = 0.5); target fill 0.92 throughout, Fill = achieved fill. ΔI = inventory relative to LGB-Q (%), 95% full-policy cluster-bootstrap intervals (τ path recomputed per replicate; M5 items, VN1 warehouses, footwear styles); LGB-Q rows: weeks of demand. † = fills differ by ≥ 0.5 points, not like-for-like.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[−0.6,+1.4]</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[+2.8,+4.2]</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[−4.5,+1.5]</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[−3.1,+11.1]</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[−10.8,−6.2]</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[+9.1,+20.6]</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[+4.0,+8.8]</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[+7.6,+61.6]</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[−49.9,+73.7]</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[−1.6,+14.8]</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[+1.1,+5.1]</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[−1.4,+0.7]</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[−15.3,−1.9]</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[−35.2,+37.4]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[−3.7,+4.5]</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[+0.2,+2.1]</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[−1.9,+0.1]</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[−12.9,+9.2]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[−49.6,+28.1]</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[+3.6,+8.7]</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 Matching realised fill sets τ with the test outcomes, whereas a deployed system must fix it beforehand; on VN1 and the footwear panel the achieved fill then misses the target by up to 5.5 points, so retrospective savings do not become reliable stock reductions, and a ranking should not be transferred without a prospective check.</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If future demand growth were known in advance, assigning LGB-Q to growing series and TSB-NB to the rest would reduce inventory by 5.6–9.8% relative to LGB-Q on VN1. At warehouse level, pre-test features carry some information on the reversals: fitted on an earlier window, they rank the TSB-NB/LGB-Q inventory ratio of the next window with Spearman ρ of 0.21–0.27 (permutation p ≤ 0.046), but assigning TSB-NB to the warehouses they favour changes VN1 inventory by −9.4%, −0.2% and +2.9% across three train–test splits, so the signal does not yield a reliable selection rule.</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Different quantile construction may explain part of the disagreement with [7] and [23].</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These figures describe the six evaluated runs, not expected deployment performance.</w:t>
      </w:r>
    </w:p>
    <w:p>
      <w:pPr>
        <w:widowControl/>
      </w:pPr>
      <w:r>
        <w:t>Toward deployment. Because neither combination passed the prospective checks of Section 5.8, LGB-Q is the safer default, and retrospective savings alone do not justify a switch. A candidate should be frozen and run in shadow mode beside it for several review cycles, with achieved fill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Across detector thresholds of 0.001–0.1 and imputing half the mean, the mean or the mean positive sales, TSB-NB needs 11.8–34.2% more inventory than LGB-Q on M5, while E7-med needs 1.4–7.2% (M5) and 8.2–15.9% (VN1) less and keeps a maximum regret of at most 1.6%. Censoring thus matters most for TSB-NB and for the post hoc case for C2 on brick-and-mortar data; stock-availability records would be needed to settle it. Censoring could also be handled in training, treating flagged weeks as missing or right-censored with an expectation–maximisation step or a censored likelihood [28], censored quantile regression [29] or a survival model of the time between sales; we leave this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Growth groups are formed retrospectively. Series-level intervals are too narrow on VN1, where warehouse- and client-level resampling widens them (Section 5.8), and M5 and VN1 supply three evaluation windows, the footwear panel one. Findings may differ for other retailers or inventory policies. Chronos-2 [22] ran zero-shot only.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For RQ1, rankings by accuracy and by inventory agree on M5 but not on VN1. Under the weekly order-up-to policy tested here, LGB-Q has the lowest volume-weighted quantile loss on M5 and needs 3–11% less inventory than the statistical and point-based alternatives at a realised fill rate of 0.94 in all three windows, across the lead-time checks and four LightGBM configurations. On VN1 no single method leads across periods, and neither demand classes, clusters nor pre-test warehouse features select one reliably in advance.</w:t>
      </w:r>
    </w:p>
    <w:p>
      <w:pPr>
        <w:widowControl/>
      </w:pPr>
      <w:r>
        <w:t>For RQ2, the results expose a gap between retrospective inventory efficiency and prospective reliability. At matched realised fill, a pre-specified median of all seven methods needs 7–8% less VN1 inventory than LGB-Q, and the post hoc LGB-Q/TSB-NB average 6–11%, while both stay within 1.6% on M5. Neither advantage is confirmed under past-only τ calibration, full-policy cluster bootstraps or the independent footwear panel, so LGB-Q remains the dependable default; the conclusions about single methods do not depend on the combinations.</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