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t>Bùi Anh Duy, Khổng Trần Gia Huy, Nguyễn Thị Cẩm Hương, Trương Long</w:t>
      </w:r>
    </w:p>
    <w:p>
      <w:pPr>
        <w:pStyle w:val="SmallNote"/>
        <w:jc w:val="center"/>
      </w:pPr>
      <w:r>
        <w:t>FPT University, Ho Chi Minh City, Vietnam  ·  anhduy290605@gmail.com; huyktgse180313@fpt.edu.vn; huongntc2@fpt.edu.vn; longt5@fpt.edu.vn</w:t>
      </w:r>
    </w:p>
    <w:p>
      <w:pPr>
        <w:pStyle w:val="Heading1"/>
        <w:keepNext/>
      </w:pPr>
      <w:r>
        <w:t>ABSTRACT</w:t>
      </w:r>
    </w:p>
    <w:p>
      <w:pPr>
        <w:pStyle w:val="AbstractText"/>
        <w:widowControl/>
      </w:pPr>
      <w:r>
        <w:t>The forecast with the lowest error is not necessarily the forecast that supports the lowest inventory. We test this distinction using seven probabilistic methods—three statistical approaches and four gradient-boosting variants—in a weekly order-up-to simulation with optional liquidation. The experiments retain all eligible series from M5 (physical stores) and VN1 (multi-vendor e-commerce) and cover three non-overlapping 26-week windows per dataset. Because observed inventory costs are unavailable, we compare stock requirements at equal realised fill rates and report bootstrap confidence intervals. On M5, LightGBM quantile regression (LGB-Q) yields the lowest volume-weighted quantile loss. At a fill rate of 0.94, it uses 3–11% less inventory than the safety-stock, conformal, TSB-NB and exponential-smoothing alternatives in each window. The M5 result also persists across the tested lead times and LightGBM settings. VN1 gives a different ranking in different windows: TSB-NB uses 13–16% less inventory for stable-demand series, but fails to reach a fill rate of 0.92 on growing-demand series in two windows. Historical ADI–CV² classes and the tested clusters do not consistently identify which method to use. Averaging the LGB-Q and TSB-NB quantiles reduces VN1 inventory by 6–11% relative to LGB-Q at a fill rate of 0.92 and remains within 1.5% on M5. This combination was selected after inspection of the results and has not been independently validated, so our main evidence concerns the single methods. The N-HiTS baseline leads none of the inventory comparisons. Quantile-based liquidation changes fill rate by at most 0.02 percentage points, but has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Bùi Anh Duy, Khổng Trần Gia Huy, Nguyễn Thị Cẩm Hương, and Trương Long. 2027. Beyond Forecast Accuracy: Comparing Probabilistic Demand Forecasts by the Inventory They Require across Retail Settings and Periods. In Proceedings of the 12th International Conference on Intelligent Information Technology (ICIIT 2027). ACM, New York, NY, USA.</w:t>
      </w:r>
    </w:p>
    <w:p>
      <w:pPr>
        <w:pStyle w:val="Heading1"/>
        <w:keepNext/>
      </w:pPr>
      <w:r>
        <w:t>1  INTRODUCTION</w:t>
      </w:r>
    </w:p>
    <w:p>
      <w:pPr>
        <w:widowControl/>
      </w:pPr>
      <w:r>
        <w:t>An order based on the expected value of demand cannot describe the risk of a stockout. That risk matters: insufficient inventory loses sales, while excess stock incurs holding costs and may later be liquidated. Forecast quantiles allow an order-up-to level to be set for a chosen service target [3]. Whether the quantiles are statistically accurate, however,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its demand forecasts rather than introduce another forecasting architecture. Seven methods are evaluated on every eligible series in M5 and VN1, with weekly decisions simulated over three 26-week windows in each dataset. Inventory is compared at matched realised fill rates; liquidation is assessed through the salvage price needed to break even under stated cost assumptions. Additional experiments vary LightGBM hyperparameters and replenishment lead times and include a neural baseline. We also test whether pre-test demand characteristics can support method selection. Finally, we report an exploratory average of two forecast distributions. Its constituent methods were selected after seeing the initial results, so the combination is not an independently validated policy.</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and three test windows,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the contribution here is the comparison across datasets, periods and decision settings.</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trPr>
        <w:tc>
          <w:tcPr>
            <w:tcW w:type="dxa" w:w="3240"/>
            <w:vAlign w:val="center"/>
            <w:tcMar>
              <w:top w:w="55" w:type="dxa"/>
              <w:bottom w:w="55" w:type="dxa"/>
              <w:left w:w="50" w:type="dxa"/>
              <w:right w:w="50" w:type="dxa"/>
            </w:tcMar>
            <w:shd w:fill="E8ECF0"/>
          </w:tcPr>
          <w:p>
            <w:pPr>
              <w:pStyle w:val="CellT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spacing w:after="0" w:line="242" w:lineRule="auto"/>
              <w:jc w:val="center"/>
            </w:pPr>
            <w:r>
              <w:rPr>
                <w:b/>
                <w:sz w:val="16"/>
              </w:rPr>
              <w:t>VN1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Multi-vendor e-commerce; 46 vendors; 328 warehouses</w:t>
            </w:r>
          </w:p>
        </w:tc>
      </w:tr>
      <w:tr>
        <w:trPr/>
        <w:tc>
          <w:tcPr>
            <w:tcW w:type="dxa" w:w="3240"/>
            <w:vAlign w:val="center"/>
            <w:tcMar>
              <w:top w:w="55" w:type="dxa"/>
              <w:bottom w:w="55" w:type="dxa"/>
              <w:left w:w="50" w:type="dxa"/>
              <w:right w:w="50" w:type="dxa"/>
            </w:tcMar>
          </w:tcPr>
          <w:p>
            <w:pPr>
              <w:pStyle w:val="CellT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15,053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13,844 / 11,442 / 9,383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196</w:t>
            </w:r>
          </w:p>
        </w:tc>
      </w:tr>
      <w:tr>
        <w:trPr/>
        <w:tc>
          <w:tcPr>
            <w:tcW w:type="dxa" w:w="3240"/>
            <w:vAlign w:val="center"/>
            <w:tcMar>
              <w:top w:w="55" w:type="dxa"/>
              <w:bottom w:w="55" w:type="dxa"/>
              <w:left w:w="50" w:type="dxa"/>
              <w:right w:w="50" w:type="dxa"/>
            </w:tcMar>
          </w:tcPr>
          <w:p>
            <w:pPr>
              <w:pStyle w:val="CellT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49.1%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18.8 / 13.7 / 47.2 / 20.3%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widowControl/>
      </w:pPr>
      <w:r>
        <w:t>A single processing pipeline handles both panels. The source data differ in the definition of a series start, but the resulting dates agree for 99.5% of M5 series. Their demand characteristics are nonetheless distinct: a classifier using nine demand features identifies the dataset with an AUC of 0.91 (Section 5.7).</w:t>
      </w: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gross margin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gross margins of 30–100%. Neither actual salvage prices nor inventory costs are observed in these datasets.</w:t>
      </w:r>
    </w:p>
    <w:p>
      <w:pPr>
        <w:pStyle w:val="Heading1"/>
        <w:keepNext/>
      </w:pPr>
      <w:r>
        <w:t>4  EXPERIMENTAL SETUP</w:t>
      </w:r>
    </w:p>
    <w:p>
      <w:pPr>
        <w:widowControl/>
      </w:pPr>
      <w:r>
        <w:t>For each dataset, the main window comprises the final 26 weeks; two earlier windows are formed by removing the last 26 and 52 weeks, respectively. Within each window, the models are refitted at the beginning of two 13-week blocks, while forecasts and inventory decisions are generated weekly. Training is repeated for all three windows.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1152"/>
            <w:vAlign w:val="center"/>
            <w:tcMar>
              <w:top w:w="55" w:type="dxa"/>
              <w:bottom w:w="55" w:type="dxa"/>
              <w:left w:w="50" w:type="dxa"/>
              <w:right w:w="50" w:type="dxa"/>
            </w:tcMar>
            <w:shd w:fill="E8ECF0"/>
          </w:tcPr>
          <w:p>
            <w:pPr>
              <w:pStyle w:val="CellT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5"/>
              </w:rPr>
              <w:t>VN1 rank</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LGB-Q's aggregate wQL advantage thus does not extend uniformly to individual VN1 series.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trPr>
        <w:tc>
          <w:tcPr>
            <w:tcW w:type="dxa" w:w="490"/>
            <w:vAlign w:val="center"/>
            <w:tcMar>
              <w:top w:w="55" w:type="dxa"/>
              <w:bottom w:w="55" w:type="dxa"/>
              <w:left w:w="50" w:type="dxa"/>
              <w:right w:w="50" w:type="dxa"/>
            </w:tcMar>
            <w:shd w:fill="E8ECF0"/>
          </w:tcPr>
          <w:p>
            <w:pPr>
              <w:pStyle w:val="CellT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spacing w:after="0" w:line="242" w:lineRule="auto"/>
              <w:jc w:val="center"/>
            </w:pPr>
            <w:r>
              <w:rPr>
                <w:b/>
                <w:sz w:val="13"/>
              </w:rPr>
              <w:t>ETS</w:t>
              <w:br/>
              <w:t>Δ %</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+10.6</w:t>
              <w:br/>
              <w:t>[+9.8,+11.5]</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spacing w:after="0" w:line="242" w:lineRule="auto"/>
              <w:jc w:val="center"/>
            </w:pPr>
            <w:r>
              <w:rPr>
                <w:sz w:val="13"/>
              </w:rPr>
              <w:t>+8.0</w:t>
              <w:br/>
              <w:t>[+7.1,+8.9]</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spacing w:after="0" w:line="242" w:lineRule="auto"/>
              <w:jc w:val="center"/>
            </w:pPr>
            <w:r>
              <w:rPr>
                <w:sz w:val="13"/>
              </w:rPr>
              <w:t>+5.9</w:t>
              <w:br/>
              <w:t>[+5.0,+6.6]</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+12.0</w:t>
              <w:br/>
              <w:t>[+3.8,+19.7]</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spacing w:after="0" w:line="242" w:lineRule="auto"/>
              <w:jc w:val="center"/>
            </w:pPr>
            <w:r>
              <w:rPr>
                <w:sz w:val="13"/>
              </w:rPr>
              <w:t>−0.4</w:t>
              <w:br/>
              <w:t>[−5.7,+4.2]</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trPr>
        <w:tc>
          <w:tcPr>
            <w:tcW w:type="dxa" w:w="1008"/>
            <w:vAlign w:val="center"/>
            <w:tcMar>
              <w:top w:w="55" w:type="dxa"/>
              <w:bottom w:w="55" w:type="dxa"/>
              <w:left w:w="50" w:type="dxa"/>
              <w:right w:w="50" w:type="dxa"/>
            </w:tcMar>
            <w:shd w:fill="E8ECF0"/>
          </w:tcPr>
          <w:p>
            <w:pPr>
              <w:pStyle w:val="CellT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spacing w:after="0" w:line="242" w:lineRule="auto"/>
              <w:jc w:val="center"/>
            </w:pPr>
            <w:r>
              <w:rPr>
                <w:b/>
                <w:sz w:val="15"/>
              </w:rPr>
              <w:t>All series</w:t>
              <w:br/>
              <w:t>Δ %</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+10.4</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+5.5</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+6.1</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+5.0</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−11.3</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trPr>
        <w:tc>
          <w:tcPr>
            <w:tcW w:type="dxa" w:w="2995"/>
            <w:vAlign w:val="center"/>
            <w:tcMar>
              <w:top w:w="55" w:type="dxa"/>
              <w:bottom w:w="55" w:type="dxa"/>
              <w:left w:w="50" w:type="dxa"/>
              <w:right w:w="50" w:type="dxa"/>
            </w:tcMar>
            <w:shd w:fill="E8ECF0"/>
          </w:tcPr>
          <w:p>
            <w:pPr>
              <w:pStyle w:val="CellT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second → main</w:t>
            </w:r>
          </w:p>
        </w:tc>
      </w:tr>
      <w:tr>
        <w:trPr/>
        <w:tc>
          <w:tcPr>
            <w:tcW w:type="dxa" w:w="2995"/>
            <w:vAlign w:val="center"/>
            <w:tcMar>
              <w:top w:w="55" w:type="dxa"/>
              <w:bottom w:w="55" w:type="dxa"/>
              <w:left w:w="50" w:type="dxa"/>
              <w:right w:w="50" w:type="dxa"/>
            </w:tcMar>
          </w:tcPr>
          <w:p>
            <w:pPr>
              <w:pStyle w:val="CellT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+5.1</w:t>
              <w:br/>
              <w:t>[−0.3,+10.2]</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+4.8</w:t>
              <w:br/>
              <w:t>[−0.1,+12.0]</w:t>
            </w:r>
          </w:p>
        </w:tc>
      </w:tr>
      <w:tr>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takes the arithmetic mean of the two methods' forecasts at each quantile and does not require a prediction of demand growth. We selected these two inputs after inspecting their relative performance. C2 therefore belongs to an exploratory, post hoc analysis; the same windows cannot provide an independent test of that choice.</w:t>
      </w:r>
    </w:p>
    <w:p>
      <w:pPr>
        <w:widowControl/>
      </w:pPr>
      <w:r>
        <w:t>At fill rate 0.92, C2 uses 5.9%, 10.5% and 7.1% less VN1 inventory than LGB-Q in the main, second and third windows, with all reported bootstrap intervals excluding zero. In the second window it matches TSB-NB. On M5, its required inventory remains within 1.5% of LGB-Q, although its wQL is slightly higher. Including HGB-Q in the average gives similar results. Across the one- and four-week lead-time checks, C2 also saves VN1 inventory relative to LGB-Q at fill rate 0.92 in every tested window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margin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547"/>
            <w:vAlign w:val="center"/>
            <w:tcMar>
              <w:top w:w="55" w:type="dxa"/>
              <w:bottom w:w="55" w:type="dxa"/>
              <w:left w:w="50" w:type="dxa"/>
              <w:right w:w="50" w:type="dxa"/>
            </w:tcMar>
            <w:shd w:fill="E8ECF0"/>
          </w:tcPr>
          <w:p>
            <w:pPr>
              <w:pStyle w:val="CellT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spacing w:after="0" w:line="242" w:lineRule="auto"/>
              <w:jc w:val="center"/>
            </w:pPr>
            <w:r>
              <w:rPr>
                <w:b/>
                <w:sz w:val="14"/>
              </w:rPr>
              <w:t>s* range</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price variables from VN1, where prices are available in fewer than half of the weeks, or limiting M5 to its 21 features shared with VN1 changes LGB-Q inventory by less than 1% in every window. The tested covariate and preprocessing differences do not account for the results; other dataset differences remain untested. Further implementation details are in the repository.</w:t>
      </w:r>
    </w:p>
    <w:p>
      <w:pPr>
        <w:pStyle w:val="Heading2"/>
        <w:keepNext/>
      </w:pPr>
      <w:r>
        <w:t>5.8  Robustness checks and a neural baseline</w:t>
      </w:r>
    </w:p>
    <w:p>
      <w:pPr>
        <w:widowControl/>
      </w:pPr>
      <w:r>
        <w:t>Hyperparameters. For h = 3 in the main window, we refitted LGB-Q and LGB-T with small (15 leaves), large (255 leaves) and regularised (31 leaves, minimum 500 samples per leaf, L2 penalty 10) trees. On M5, LGB-Q needs 4.7–6.8% less inventory than LGB-T and 7.5–11.0% less than TSB-NB at fill rate 0.92 under all four configurations, and its own inventory changes by less than 3%. The VN1 ranking persists for three settings; with small trees, LGB-Q's advantage over TSB-NB is no longer resolved and LGB-T uses 8.9% less inventory than LGB-Q.</w:t>
      </w:r>
    </w:p>
    <w:p>
      <w:pPr>
        <w:widowControl/>
      </w:pPr>
      <w:r>
        <w:t>Lead time. We repeated the equal-fill comparisons at lead times of one and four weeks, corresponding to forecast horizons of two and five weeks, in every test window. HGB-Q was omitted from this check. On M5, across all nine window–lead-time combinations, LGB-Q requires less inventory than LGB-T (2.5–7.4%), LGB-C (4.5–10.9%), TSB-NB (4.9–14.8%) and ETS (5.9–13.4%) at fill rate 0.94. Its regret remains at or below 0.2%. For VN1, the post hoc C2 uses 3.2–10.9% less inventory than LGB-Q at fill rate 0.92 in all nine combinations, with confidence intervals excluding zero in seven. Across the 18 dataset–window–lead-time runs, C2's maximum regret relative to the best of the six single methods is 2.0%; LGB-Q's is 12.6%, in the second VN1 window at four weeks of lead time.</w:t>
      </w:r>
    </w:p>
    <w:p>
      <w:pPr>
        <w:widowControl/>
      </w:pPr>
      <w:r>
        <w:t>Neural baseline. We evaluated a univariate N-HiTS network [26] separately from the seven-method benchmark. It predicts quantiles of cumulative h-week demand with a multi-quantile loss, is refitted every 13 weeks and uses fixed hyperparameters. Its wQL lies between LGB-Q and TSB-NB in all six runs, and its 0.99-quantile coverage is 0.986–0.992. It never leads on inventory. At fill rates of 0.90–0.94 on M5 it needs 2.6–10.0% more stock than LGB-Q; its frontier ranks on VN1, among eight single methods, range from 2.8 to 4.4. Including N-HiTS leaves the post hoc C2's maximum regret at 0.9%. Because we did not test architectures such as DeepAR or PatchTST, this CPU-budgeted baseline is not evidence about deep-learning methods as a class.</w:t>
      </w:r>
    </w:p>
    <w:p>
      <w:pPr>
        <w:widowControl/>
      </w:pPr>
      <w:r>
        <w:t>Computational cost. All methods except Chronos-2 forecast one 26-week window in minutes on the laptop CPU: about 1–2 minutes for TSB-NB, 10–21 minutes for LGB-Q on M5 (five quantile models per refit) and about 7 minutes for N-HiTS. Zero-shot Chronos-2 [22] needs no training, but its CPU inference took 5.4 hours per M5 window and 32–45 minutes per VN1 window, while needing 14.7% more inventory than LGB-Q on M5 and 1.2–48.1% more on VN1 at fill rate 0.92. For weekly review, computation does not constrain the statistical and boosting methods, and the costlier zero-shot model did not buy inventory efficiency here; it ran without fine-tuning or covariates.</w:t>
      </w:r>
    </w:p>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w:t>
      </w:r>
    </w:p>
    <w:p>
      <w:pPr>
        <w:widowControl/>
      </w:pPr>
      <w:r>
        <w:t>On VN1, the retrospective demand split helps describe these reversals. TSB-NB uses less stock for stable-demand series, whereas LGB-Q reaches fill rate 0.92 on growing-demand series in two windows where TSB-NB cannot. Theodorou et al. [7] similarly find cases in which forecast accuracy and inventory cost favour different methods, though under different service and cost settings. In our experiment, the ranking also changes with the test period; no comparable reversal appears on M5 at the fill rates considered. If future demand growth were known in advance, assigning LGB-Q to growing series and TSB-NB to the rest would reduce inventory by 5.6–9.8% relative to LGB-Q on VN1. A classifier based on earlier features recovers only part of that hypothetical saving and remains unstable (repository).</w:t>
      </w:r>
    </w:p>
    <w:p>
      <w:pPr>
        <w:widowControl/>
      </w:pPr>
      <w:r>
        <w:t>Adaptive updating. The global models use the newest lags every week, but their parameters are re-estimated only every 13 weeks with fixed hyper-parameters, which can leave them one block behind a level shift on fast-growing VN1 series. More frequent or warm-started refits, heavier weights on recent observations, or re-tuning at each refit could reduce that lag; the VN1 sensitivity to tree size (Section 5.8) suggests configuration matters. We did not test these options, and neither the growth classifier nor learned combination weights (repository) beat simpler fixed choices, so added adaptivity needs out-of-sample validation.</w:t>
      </w:r>
    </w:p>
    <w:p>
      <w:pPr>
        <w:widowControl/>
      </w:pPr>
      <w:r>
        <w:t>How the quantiles are constructed also matters. On M5 at fill rate 0.94, LightGBM point forecasts with safety stock (LGB-T) or conformal adjustment (LGB-C) need 3.3–8.2% more inventory than directly estimated LightGBM quantiles. This is not directly comparable with the daily product–state experiment in [7], which constructed quantiles from residuals, or with the empirical-quantile results of [23]. Forecast construction and aggregation level are plausible sources of disagreement, but the studies do not isolate their effects.</w:t>
      </w:r>
    </w:p>
    <w:p>
      <w:pPr>
        <w:widowControl/>
      </w:pPr>
      <w:r>
        <w:t>The post hoc C2 has the smallest maximum regret under the paper's descriptive metric, defined as excess stock relative to the best single method averaged over attainable fill-rate targets in each dataset–window run. Its maximum across six runs is 0.9%, versus 9.4% for LGB-Q, 9.5% for LGB-T, 11.4% for HGB-Q and 20.7% for TSB-NB. LGB-T does not reach the highest target levels. When a lost sale costs at most 200 weeks of holding, C2's cost is within 3.1% of the cheapest single model in each run. At higher penalties the methods operate at τ = 0.99; LGB-Q then has the highest fill rate, and C2 can cost as much as 29% more. The regret figures describe these experiments, not expected deployment performance: C2 was chosen using the same results.</w:t>
      </w:r>
    </w:p>
    <w:p>
      <w:pPr>
        <w:widowControl/>
      </w:pPr>
      <w:r>
        <w:t>Toward deployment of C2. Because C2 is post hoc, its next evaluation should be prospective: freeze its specification (members, equal weights, quantile grid, policy and metrics), apply it unchanged to later periods and to other retail datasets, and, in a company, run it in shadow mode beside the current method for several review cycles before any switch. Two guardrails follow from our results: use LGB-Q when lost sales cost more than about 200 weeks of holding, and monitor upper-quantile coverage, where TSB-NB under-covers.</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about twice as often in intermittent and lumpy as in smooth series;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Censoring thus matters most for TSB-NB and for the post hoc case for C2 on brick-and-mortar data; stock-availability records would be needed to settle it. Censoring could also be handled in training rather than only in evaluation: flagged weeks could be treated as missing or right-censored observations and estimated with an expectation–maximisation step or a censored likelihood, as in lost-sales demand estimation [28], with censored quantile regression [29] for the quantile learners, or with a survival model of the time between sales. Because the flags are uncertain, such models would need on-hand records or a sensitivity analysis over the flagging threshold; we leave them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Lead times of one, two and four weeks were examined in all three windows, without HGB-Q in the lead-time checks. Growth groups are formed retrospectively. Bootstrap intervals resample series rather than time periods, and each dataset supplies only three evaluation windows. Findings may differ for other retailers or inventory policies. Chronos-2 [22] was run zero-shot only; N-HiTS is an additional neural baseline (Section 5.8), not one of the seven methods in the main benchmark. Nabil et al. [27] forecast spare-part demand with a two-stage LightGBM/XGBoost model (an occurrence classifier times a size regressor) and set stock with a normal safety factor; a quantile version of this design is not tested here.</w:t>
      </w:r>
    </w:p>
    <w:p>
      <w:pPr>
        <w:pStyle w:val="Heading1"/>
        <w:keepNext/>
      </w:pPr>
      <w:r>
        <w:t>7  CONCLUSION</w:t>
      </w:r>
    </w:p>
    <w:p>
      <w:pPr>
        <w:widowControl/>
      </w:pPr>
      <w:r>
        <w:t>Under the weekly order-up-to policy tested here, LGB-Q requires the least inventory on M5 for a realised fill rate of 0.94 among the compared statistical and point-based alternatives. Across three test windows, its stock requirement is 3–11% lower, and it also has the lowest volume-weighted quantile loss. This finding persists across the reported lead-time checks and four LightGBM configurations.</w:t>
      </w:r>
    </w:p>
    <w:p>
      <w:pPr>
        <w:widowControl/>
      </w:pPr>
      <w:r>
        <w:t>The VN1 results do not identify a single leading method across periods. TSB-NB uses less stock on retrospectively identified stable-demand series, while LGB-Q achieves a 0.92 fill rate on growing series in two windows where TSB-NB cannot. Historical demand classes and the tested clustering do not produce consistent benefits when used to select a method prospectively. An equal-weight LGB-Q/TSB-NB quantile average reduces inventory by 6–11% relative to LGB-Q on VN1 at fill rate 0.92 and stays within 1.5% on M5. Because that pair was chosen after inspection of the results, this finding is exploratory and needs an independent evaluation; the conclusions about single methods above do not depend on it.</w:t>
      </w:r>
    </w:p>
    <w:p>
      <w:pPr>
        <w:widowControl/>
      </w:pPr>
      <w:r>
        <w:t>Quantile liquidation reduces inventory on VN1 while changing fill rate by at most 0.02 percentage points. Its economic value is not established under the assumed costs over 26 weeks. Useful next tests would apply the quantile combination to new periods and retail datasets, select models using only information available before the forecast date, extend the liquidation horizon and compare more forecasting architectures under the same stock policy.</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w:t>
      </w:r>
    </w:p>
    <w:p>
      <w:pPr>
        <w:pStyle w:val="Reference"/>
      </w:pPr>
      <w:r>
        <w:t>[29]  J. L. Powell. 1986. Censored regression quantiles. Journal of Econometrics 32, 1, 143–155.</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