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and stays within 1.6% on M5; a post hoc average of LGB-Q and TSB-NB saves 6–11%. These VN1 savings lose significance when warehouses are resampled, and without an independent test period the combinations remain exploratory.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with ablation. The median of the seven methods' quantiles needs 7–8% less VN1 inventory than LGB-Q and has the lowest maximum regret (0.3%), but gives no gain on M5 and its VN1 saving is not robust to warehouse-level resampling; the ablation shows that the direct quantile learners contribute most and that adding ETS hurts.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pre-specified combination of the compared methods.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widowControl/>
      </w:pPr>
      <w:r>
        <w:t>Prospective τ and resampling. Choosing each method's τ on the previous window and applying it unchanged to the next puts every method except EMP within 0.8 points of the target fill on M5; LGB-Q, HGB-Q, C2 and E7-med then need inventory within 2% of one another, and LGB-T, LGB-C, TSB-NB and ETS 3.8–14.2% more. On VN1 the realised fill misses the target by 0.7–2.4 points for LGB-Q and HGB-Q and by 2.4–5.9 points for the other methods, so the combinations overshoot with 15–35% more stock in one transition and undershoot with 18–27% less in the other. Resampling items, stores or blocks of weeks leaves every M5 interval claim intact. On VN1, resampling warehouses or clients widens the intervals, and only the second-window savings of C2 (and of E7-med for warehouses) remain significant.</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We leave such models to future work. Across detector thresholds of 0.001–0.1 and imputing half the mean, the mean or the mean positive sales, TSB-NB needs 11.8–34.2% more inventory than LGB-Q on M5, while E7-med needs 1.4–7.2% (M5) and 8.2–15.9% (VN1) less and keeps a maximum regret of at most 1.6%.</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Series-level intervals are too narrow on VN1, where warehouse- and client-level resampling widens them (Section 5.8),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and warehouse-level resampling leaves only the second-window savings significant.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