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reduces VN1 inventory by 6–11% relative to LGB-Q at a fill rate of 0.92 and remains within 1.5% on M5. This combination was selected after inspection of the results and has not been independently validated, so our main evidence concerns the single methods.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its demand forecasts rather than introduce another forecasting architecture. Seven methods are evaluated on every eligible series in M5 and VN1, with weekly decisions simulated over three 26-week windows in each dataset. Inventory is compared at matched realised fill rates; liquidation is assessed through the salvage price needed to break even under stated cost assumptions. Additional experiments vary LightGBM hyperparameters and replenishment lead times and include a neural baseline. We also test whether pre-test demand characteristics can support method selection. Finally, we report an exploratory average of two forecast distributions. Its constituent methods were selected after seeing the initial results, so the combination is not an independently validated policy.</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the contribution here is the comparison across datasets, periods and decision settings.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(Section 5.7).</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takes the arithmetic mean of the two methods' forecasts at each quantile and does not require a prediction of demand growth. We selected these two inputs after inspecting their relative performance. C2 therefore belongs to an exploratory, post hoc analysis; the same windows cannot provide an independent test of that choice.</w:t>
      </w:r>
    </w:p>
    <w:p>
      <w:pPr>
        <w:widowControl/>
      </w:pPr>
      <w:r>
        <w:t>At fill rate 0.92, C2 uses 5.9%, 10.5% and 7.1% less VN1 inventory than LGB-Q in the main, second and third windows, with all reported bootstrap intervals excluding zero. In the second window it matches TSB-NB. On M5, its required inventory remains within 1.5% of LGB-Q, although its wQL is slightly higher. Including HGB-Q in the average gives similar results. Across the one- and four-week lead-time checks, C2 also saves VN1 inventory relative to LGB-Q at fill rate 0.92 in every tested window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The post hoc C2 has the smallest maximum regret under the paper's descriptive metric, defined as excess stock relative to the best single method averaged over attainable fill-rate targets in each dataset–window run. Its maximum across six runs is 0.9%, versus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 regret figures describe these experiments, not expected deployment performance: C2 was chosen using the same results.</w:t>
      </w:r>
    </w:p>
    <w:p>
      <w:pPr>
        <w:widowControl/>
      </w:pPr>
      <w:r>
        <w:t>Toward deployment of C2. Because C2 is post hoc, its next evaluation should be prospective: freeze its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Because the flags are uncertain, such models would need on-hand records or a sensitivity analysis over the flagging threshold; we leave them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Because that pair was chosen after inspection of the results, this finding is exploratory and needs an independent evaluation; the conclusions about single methods above do not depend on it.</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