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0A3528">
      <w:pPr>
        <w:pStyle w:val="17"/>
      </w:pPr>
      <w:r>
        <w:t>Hybrid Mamba-CNN Architecture with Physics-Informed Stats Head for Leakage-Free Bearing Anomaly Detection</w:t>
      </w:r>
    </w:p>
    <w:p w14:paraId="62A61180">
      <w:pPr>
        <w:pStyle w:val="41"/>
        <w:tabs>
          <w:tab w:val="left" w:pos="284"/>
        </w:tabs>
        <w:jc w:val="both"/>
        <w:rPr>
          <w:rFonts w:eastAsia="MS Mincho"/>
        </w:rPr>
      </w:pPr>
    </w:p>
    <w:p w14:paraId="17FA50C4">
      <w:pPr>
        <w:pStyle w:val="41"/>
        <w:tabs>
          <w:tab w:val="left" w:pos="284"/>
        </w:tabs>
        <w:jc w:val="both"/>
        <w:rPr>
          <w:rFonts w:eastAsia="MS Mincho"/>
        </w:rPr>
        <w:sectPr>
          <w:footerReference r:id="rId3" w:type="default"/>
          <w:pgSz w:w="10319" w:h="14572"/>
          <w:pgMar w:top="1138" w:right="1138" w:bottom="1138" w:left="1138" w:header="397" w:footer="397" w:gutter="397"/>
          <w:cols w:space="720" w:num="1"/>
          <w:docGrid w:linePitch="360" w:charSpace="0"/>
        </w:sectPr>
      </w:pPr>
    </w:p>
    <w:p w14:paraId="53C2F67A">
      <w:pPr>
        <w:pStyle w:val="41"/>
        <w:tabs>
          <w:tab w:val="left" w:pos="284"/>
        </w:tabs>
        <w:rPr>
          <w:rFonts w:eastAsia="MS Mincho"/>
        </w:rPr>
      </w:pPr>
      <w:bookmarkStart w:id="0" w:name="_Hlk230635922"/>
      <w:r>
        <w:rPr>
          <w:rFonts w:eastAsia="MS Mincho"/>
        </w:rPr>
        <w:t>Truong Long</w:t>
      </w:r>
    </w:p>
    <w:p w14:paraId="797677C4">
      <w:pPr>
        <w:pStyle w:val="41"/>
        <w:tabs>
          <w:tab w:val="left" w:pos="284"/>
        </w:tabs>
        <w:rPr>
          <w:rFonts w:eastAsia="MS Mincho"/>
        </w:rPr>
      </w:pPr>
      <w:r>
        <w:rPr>
          <w:rFonts w:eastAsia="MS Mincho"/>
        </w:rPr>
        <w:t>Falcuty of Software of Engineering</w:t>
      </w:r>
    </w:p>
    <w:p w14:paraId="50DD850D">
      <w:pPr>
        <w:pStyle w:val="41"/>
        <w:tabs>
          <w:tab w:val="left" w:pos="284"/>
        </w:tabs>
        <w:rPr>
          <w:rFonts w:eastAsia="MS Mincho"/>
        </w:rPr>
      </w:pPr>
      <w:r>
        <w:rPr>
          <w:rFonts w:eastAsia="MS Mincho"/>
        </w:rPr>
        <w:t>FPT University Ho Chi Minh City</w:t>
      </w:r>
    </w:p>
    <w:p w14:paraId="5D461E76">
      <w:pPr>
        <w:pStyle w:val="41"/>
        <w:tabs>
          <w:tab w:val="left" w:pos="284"/>
        </w:tabs>
        <w:rPr>
          <w:rFonts w:eastAsia="MS Mincho"/>
        </w:rPr>
      </w:pPr>
      <w:r>
        <w:rPr>
          <w:rFonts w:eastAsia="MS Mincho"/>
        </w:rPr>
        <w:t>Ho Chi Minh City, Vietnam</w:t>
      </w:r>
    </w:p>
    <w:p w14:paraId="7455B03F">
      <w:pPr>
        <w:pStyle w:val="41"/>
        <w:tabs>
          <w:tab w:val="left" w:pos="284"/>
        </w:tabs>
      </w:pPr>
      <w:r>
        <w:rPr>
          <w:rFonts w:eastAsia="MS Mincho"/>
        </w:rPr>
        <w:t>e-mail:</w:t>
      </w:r>
      <w:r>
        <w:t xml:space="preserve"> </w:t>
      </w:r>
      <w:r>
        <w:fldChar w:fldCharType="begin"/>
      </w:r>
      <w:r>
        <w:instrText xml:space="preserve"> HYPERLINK "mailto:longt5@fpt.edu.vn" </w:instrText>
      </w:r>
      <w:r>
        <w:fldChar w:fldCharType="separate"/>
      </w:r>
      <w:r>
        <w:rPr>
          <w:rStyle w:val="14"/>
        </w:rPr>
        <w:t>longt5@fpt.edu.vn</w:t>
      </w:r>
      <w:r>
        <w:rPr>
          <w:rStyle w:val="14"/>
        </w:rPr>
        <w:fldChar w:fldCharType="end"/>
      </w:r>
      <w:r>
        <w:t xml:space="preserve"> </w:t>
      </w:r>
    </w:p>
    <w:p w14:paraId="14FCFF28">
      <w:pPr>
        <w:pStyle w:val="41"/>
        <w:tabs>
          <w:tab w:val="left" w:pos="284"/>
        </w:tabs>
      </w:pPr>
    </w:p>
    <w:p w14:paraId="22882DAE">
      <w:pPr>
        <w:pStyle w:val="41"/>
        <w:tabs>
          <w:tab w:val="left" w:pos="284"/>
        </w:tabs>
        <w:rPr>
          <w:rFonts w:eastAsia="MS Mincho"/>
        </w:rPr>
      </w:pPr>
      <w:r>
        <w:rPr>
          <w:rFonts w:eastAsia="MS Mincho"/>
        </w:rPr>
        <w:t>Truong Binh Thuan, Ly Hung Lam</w:t>
      </w:r>
    </w:p>
    <w:p w14:paraId="6B61B5F4">
      <w:pPr>
        <w:pStyle w:val="41"/>
        <w:tabs>
          <w:tab w:val="left" w:pos="284"/>
        </w:tabs>
        <w:rPr>
          <w:rFonts w:eastAsia="MS Mincho"/>
        </w:rPr>
      </w:pPr>
      <w:r>
        <w:rPr>
          <w:rFonts w:eastAsia="MS Mincho"/>
        </w:rPr>
        <w:t>Faculty of Information Technology</w:t>
      </w:r>
    </w:p>
    <w:p w14:paraId="288280BB">
      <w:pPr>
        <w:pStyle w:val="41"/>
        <w:tabs>
          <w:tab w:val="left" w:pos="284"/>
        </w:tabs>
        <w:rPr>
          <w:rFonts w:eastAsia="MS Mincho"/>
        </w:rPr>
      </w:pPr>
      <w:r>
        <w:rPr>
          <w:rFonts w:eastAsia="MS Mincho"/>
        </w:rPr>
        <w:t>Ton Duc Thang University</w:t>
      </w:r>
    </w:p>
    <w:p w14:paraId="770D8803">
      <w:pPr>
        <w:pStyle w:val="41"/>
        <w:tabs>
          <w:tab w:val="left" w:pos="284"/>
        </w:tabs>
        <w:rPr>
          <w:rFonts w:eastAsia="MS Mincho"/>
        </w:rPr>
      </w:pPr>
      <w:r>
        <w:rPr>
          <w:rFonts w:eastAsia="MS Mincho"/>
        </w:rPr>
        <w:t>Ho Chi Minh City, Vietnam</w:t>
      </w:r>
    </w:p>
    <w:p w14:paraId="6D628059">
      <w:pPr>
        <w:pStyle w:val="41"/>
        <w:tabs>
          <w:tab w:val="left" w:pos="284"/>
        </w:tabs>
        <w:rPr>
          <w:rFonts w:eastAsia="MS Mincho"/>
        </w:rPr>
      </w:pPr>
      <w:r>
        <w:rPr>
          <w:rFonts w:eastAsia="MS Mincho"/>
        </w:rPr>
        <w:t xml:space="preserve">e-mail: </w:t>
      </w:r>
      <w:r>
        <w:fldChar w:fldCharType="begin"/>
      </w:r>
      <w:r>
        <w:instrText xml:space="preserve"> HYPERLINK "mailto:sunbv56@gmail.com" </w:instrText>
      </w:r>
      <w:r>
        <w:fldChar w:fldCharType="separate"/>
      </w:r>
      <w:r>
        <w:rPr>
          <w:rStyle w:val="14"/>
          <w:rFonts w:eastAsia="MS Mincho"/>
        </w:rPr>
        <w:t>sunbv56@gmail.com</w:t>
      </w:r>
      <w:r>
        <w:rPr>
          <w:rStyle w:val="14"/>
          <w:rFonts w:eastAsia="MS Mincho"/>
        </w:rPr>
        <w:fldChar w:fldCharType="end"/>
      </w:r>
      <w:r>
        <w:rPr>
          <w:rFonts w:eastAsia="MS Mincho"/>
        </w:rPr>
        <w:t xml:space="preserve">, </w:t>
      </w:r>
      <w:r>
        <w:fldChar w:fldCharType="begin"/>
      </w:r>
      <w:r>
        <w:instrText xml:space="preserve"> HYPERLINK "mailto:lyhunglam2004@gmail.com" </w:instrText>
      </w:r>
      <w:r>
        <w:fldChar w:fldCharType="separate"/>
      </w:r>
      <w:r>
        <w:rPr>
          <w:rStyle w:val="14"/>
          <w:rFonts w:eastAsia="MS Mincho"/>
        </w:rPr>
        <w:t>lyhunglam2004@gmail.com</w:t>
      </w:r>
      <w:r>
        <w:rPr>
          <w:rStyle w:val="14"/>
          <w:rFonts w:eastAsia="MS Mincho"/>
        </w:rPr>
        <w:fldChar w:fldCharType="end"/>
      </w:r>
      <w:r>
        <w:rPr>
          <w:rFonts w:eastAsia="MS Mincho"/>
        </w:rPr>
        <w:t xml:space="preserve"> </w:t>
      </w:r>
    </w:p>
    <w:p w14:paraId="34389D14">
      <w:pPr>
        <w:pStyle w:val="41"/>
        <w:tabs>
          <w:tab w:val="left" w:pos="284"/>
        </w:tabs>
        <w:rPr>
          <w:rFonts w:eastAsia="MS Mincho"/>
        </w:rPr>
        <w:sectPr>
          <w:type w:val="continuous"/>
          <w:pgSz w:w="10319" w:h="14572"/>
          <w:pgMar w:top="1134" w:right="1134" w:bottom="1134" w:left="1134" w:header="397" w:footer="397" w:gutter="397"/>
          <w:cols w:space="720" w:num="2"/>
          <w:docGrid w:linePitch="360" w:charSpace="0"/>
        </w:sectPr>
      </w:pPr>
    </w:p>
    <w:bookmarkEnd w:id="0"/>
    <w:p w14:paraId="5F72099F">
      <w:pPr>
        <w:pStyle w:val="41"/>
        <w:tabs>
          <w:tab w:val="left" w:pos="284"/>
        </w:tabs>
        <w:jc w:val="both"/>
        <w:rPr>
          <w:rFonts w:eastAsia="MS Mincho"/>
        </w:rPr>
        <w:sectPr>
          <w:type w:val="continuous"/>
          <w:pgSz w:w="10319" w:h="14572"/>
          <w:pgMar w:top="1134" w:right="1134" w:bottom="1134" w:left="1134" w:header="397" w:footer="397" w:gutter="397"/>
          <w:cols w:space="720" w:num="1"/>
          <w:docGrid w:linePitch="360" w:charSpace="0"/>
        </w:sectPr>
      </w:pPr>
      <w:bookmarkStart w:id="1" w:name="_GoBack"/>
      <w:bookmarkEnd w:id="1"/>
    </w:p>
    <w:p w14:paraId="6D761277">
      <w:pPr>
        <w:pStyle w:val="41"/>
        <w:tabs>
          <w:tab w:val="left" w:pos="284"/>
        </w:tabs>
        <w:jc w:val="both"/>
        <w:rPr>
          <w:rFonts w:eastAsia="MS Mincho"/>
        </w:rPr>
      </w:pPr>
    </w:p>
    <w:p w14:paraId="460179B0">
      <w:pPr>
        <w:pStyle w:val="41"/>
        <w:tabs>
          <w:tab w:val="left" w:pos="284"/>
        </w:tabs>
        <w:jc w:val="both"/>
        <w:rPr>
          <w:rFonts w:eastAsia="MS Mincho"/>
        </w:rPr>
      </w:pPr>
    </w:p>
    <w:p w14:paraId="41A63632">
      <w:pPr>
        <w:pStyle w:val="41"/>
        <w:tabs>
          <w:tab w:val="left" w:pos="284"/>
        </w:tabs>
        <w:jc w:val="left"/>
        <w:rPr>
          <w:rFonts w:eastAsia="MS Mincho"/>
        </w:rPr>
        <w:sectPr>
          <w:type w:val="continuous"/>
          <w:pgSz w:w="10319" w:h="14572"/>
          <w:pgMar w:top="1134" w:right="1134" w:bottom="1134" w:left="1134" w:header="397" w:footer="397" w:gutter="397"/>
          <w:cols w:space="720" w:num="1"/>
          <w:docGrid w:linePitch="360" w:charSpace="0"/>
        </w:sectPr>
      </w:pPr>
    </w:p>
    <w:p w14:paraId="329CEF05">
      <w:pPr>
        <w:pStyle w:val="41"/>
        <w:tabs>
          <w:tab w:val="left" w:pos="284"/>
        </w:tabs>
        <w:jc w:val="both"/>
        <w:rPr>
          <w:rFonts w:eastAsia="MS Mincho"/>
        </w:rPr>
      </w:pPr>
      <w:r>
        <w:rPr>
          <w:rFonts w:eastAsia="MS Mincho"/>
          <w:b/>
          <w:bCs/>
          <w:i/>
          <w:iCs/>
        </w:rPr>
        <w:t>Abstract</w:t>
      </w:r>
      <w:r>
        <w:rPr>
          <w:rFonts w:eastAsia="MS Mincho"/>
          <w:i/>
          <w:iCs/>
        </w:rPr>
        <w:t xml:space="preserve">: </w:t>
      </w:r>
      <w:r>
        <w:t xml:space="preserve">Vibration-based unsupervised rolling element bearing anomaly detection is critical for maximizing the reliability of rotating machinery within industrial Prognostics and Health Management frameworks. However, raw vibration signals captured from operational environments exhibit severe non-stationary characteristics, non-linear trajectories, and heavy noise, which mask early structural degradation indicators. Furthermore, pure data-driven deep sequence models operate as uninterpretable black boxes, and conventional threshold selection techniques frequently induce severe validation-stage data leakage by utilizing future anomalous data distributions. To address these limitations, a physics-informed, series-decomposed hybrid Mamba-CNN forecasting framework is proposed. Global long-range dependencies are captured using a linear-time selective scan mechanism, while localized temporal features are filtered via integrated convolutional layers. To support mechanical interpretability, latent representations are reinforced by an eight-dimensional physical-statistical head extracted directly from the historical lookback window. A leakage-free decision threshold calibration workflow is designed using Extreme Value Theory via the Peak Over Threshold technique, where dynamic operational boundaries are derived strictly from localized, early-stage healthy segments. Under the evaluated settings with auto-scaled baseline architectures, parameter parity is enforced. The empirical results indicate that the proposed paradigm achieves elevated detection accuracy, mitigated false alarm rates, and superior computational efficiency across real-world vibration datasets.  </w:t>
      </w:r>
    </w:p>
    <w:p w14:paraId="498A71E6">
      <w:pPr>
        <w:pStyle w:val="41"/>
        <w:tabs>
          <w:tab w:val="left" w:pos="284"/>
        </w:tabs>
        <w:jc w:val="both"/>
        <w:rPr>
          <w:rFonts w:eastAsia="MS Mincho"/>
        </w:rPr>
      </w:pPr>
    </w:p>
    <w:p w14:paraId="5F4071A6">
      <w:pPr>
        <w:pStyle w:val="41"/>
        <w:tabs>
          <w:tab w:val="left" w:pos="284"/>
        </w:tabs>
        <w:jc w:val="both"/>
        <w:rPr>
          <w:rFonts w:eastAsia="MS Mincho"/>
        </w:rPr>
        <w:sectPr>
          <w:type w:val="continuous"/>
          <w:pgSz w:w="10319" w:h="14572"/>
          <w:pgMar w:top="1134" w:right="1134" w:bottom="1134" w:left="1134" w:header="397" w:footer="397" w:gutter="397"/>
          <w:cols w:space="360" w:num="1"/>
          <w:docGrid w:linePitch="360" w:charSpace="0"/>
        </w:sectPr>
      </w:pPr>
    </w:p>
    <w:p w14:paraId="4654D920">
      <w:pPr>
        <w:pStyle w:val="41"/>
        <w:tabs>
          <w:tab w:val="left" w:pos="284"/>
        </w:tabs>
        <w:jc w:val="both"/>
        <w:rPr>
          <w:rFonts w:eastAsia="MS Mincho"/>
        </w:rPr>
      </w:pPr>
      <w:r>
        <w:rPr>
          <w:rFonts w:eastAsia="MS Mincho"/>
          <w:b/>
          <w:bCs/>
          <w:i/>
        </w:rPr>
        <w:t>Keywords</w:t>
      </w:r>
      <w:r>
        <w:rPr>
          <w:rFonts w:eastAsia="MS Mincho"/>
        </w:rPr>
        <w:t>: selective state space models, hybrid Mamba-CNN, series decomposition, bearing anomaly detection, leakage-free calibration, peak over threshold.</w:t>
      </w:r>
    </w:p>
    <w:p w14:paraId="401A8913">
      <w:pPr>
        <w:pStyle w:val="41"/>
        <w:tabs>
          <w:tab w:val="left" w:pos="284"/>
        </w:tabs>
        <w:jc w:val="both"/>
        <w:rPr>
          <w:b/>
        </w:rPr>
      </w:pPr>
    </w:p>
    <w:p w14:paraId="55097FAF">
      <w:pPr>
        <w:pStyle w:val="41"/>
        <w:tabs>
          <w:tab w:val="left" w:pos="284"/>
        </w:tabs>
        <w:jc w:val="both"/>
        <w:rPr>
          <w:b/>
        </w:rPr>
        <w:sectPr>
          <w:type w:val="continuous"/>
          <w:pgSz w:w="10319" w:h="14572"/>
          <w:pgMar w:top="1134" w:right="1134" w:bottom="1134" w:left="1134" w:header="397" w:footer="397" w:gutter="397"/>
          <w:cols w:space="360" w:num="1"/>
          <w:docGrid w:linePitch="360" w:charSpace="0"/>
        </w:sectPr>
      </w:pPr>
    </w:p>
    <w:p w14:paraId="687437FC">
      <w:pPr>
        <w:pStyle w:val="2"/>
      </w:pPr>
      <w:r>
        <w:t xml:space="preserve"> Introduction</w:t>
      </w:r>
    </w:p>
    <w:p w14:paraId="6283696F">
      <w:pPr>
        <w:pStyle w:val="41"/>
        <w:tabs>
          <w:tab w:val="left" w:pos="284"/>
        </w:tabs>
        <w:jc w:val="both"/>
      </w:pPr>
      <w:r>
        <w:rPr>
          <w:b/>
          <w:bCs/>
        </w:rPr>
        <w:tab/>
      </w:r>
      <w:r>
        <w:t xml:space="preserve">Reliability and operational safety in modern industrial asset management depend heavily on the continuous health monitoring of rotating machinery [14]. Within these mechanical systems, rolling element bearings are classified as critical components whose structural degradation directly induces operational downtime and substantial economic losses [15]. Consequently, vibration-based unsupervised anomaly detection has emerged as a cornerstone of Prognostics and Health Management (PHM) frameworks [14]. Raw vibration signals collected from industrial environments exhibit non-stationary distributions and non-linear dynamics [14]. Subtle transient impact pulses generated during early-stage degradation phases are frequently masked by background noise, necessitating advanced sequence modeling paradigms capable of isolating anomalies with structural fidelity [14]. </w:t>
      </w:r>
    </w:p>
    <w:p w14:paraId="6670A954">
      <w:pPr>
        <w:pStyle w:val="41"/>
        <w:tabs>
          <w:tab w:val="left" w:pos="284"/>
        </w:tabs>
        <w:jc w:val="both"/>
      </w:pPr>
      <w:r>
        <w:tab/>
      </w:r>
      <w:r>
        <w:t xml:space="preserve">Deep learning methodologies are increasingly adopted to automate time-series feature extraction in PHM [14]. Recurrent and temporal convolutional networks track sequences effectively, but recursive update bottlenecks and fixed receptive fields inherently limit their performance over long-horizon trajectories. To capture long-range interactions, self-attention and multi-frequency analysis are deployed in advanced architectures such as Anomaly Transformer [5] and TimesNet [6]. Nevertheless, these frameworks exhibit quadratic computational complexity and remain highly sensitive to industrial noise [14]. Alternative baselines, including ModernTCN [2] and PatchTST [7], optimize processing efficiency through sub-series segmentation or patching. However, strict channel-independent constraints in these methods often neglect cross-channel correlations, leading to escalated false alarm rates in multi-sensor industrial setups [7]. </w:t>
      </w:r>
    </w:p>
    <w:p w14:paraId="0B1CEBD6">
      <w:pPr>
        <w:pStyle w:val="41"/>
        <w:tabs>
          <w:tab w:val="left" w:pos="284"/>
        </w:tabs>
        <w:jc w:val="both"/>
      </w:pPr>
      <w:r>
        <w:tab/>
      </w:r>
      <w:r>
        <w:t xml:space="preserve">Selective state space models, notably the Mamba architecture [16] , establish linear-time complexity while maintaining a powerful selective scan mechanism [16]. Specialized adaptations, including FEMamba [8] and TFG-Mamba [9], incorporate time-frequency domain features to enhance diagnostic accuracy. Despite these structural improvements, significant research gaps persist within these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[13]. Third, traditional threshold calibration frequently induces data leakage by utilizing global validation data containing future anomalies. This limitation renders such approaches impractical for online deployment workflows where only localized, historical healthy baselines are available [14]. </w:t>
      </w:r>
    </w:p>
    <w:p w14:paraId="6F902EEE">
      <w:pPr>
        <w:pStyle w:val="41"/>
        <w:tabs>
          <w:tab w:val="left" w:pos="284"/>
        </w:tabs>
        <w:jc w:val="both"/>
      </w:pPr>
      <w:r>
        <w:tab/>
      </w:r>
      <w:r>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processed through a channel-independent Mamba encoder to maximize global dependency extraction without cross-channel noise propagation. Concurrently, localized convolutional layers are deployed to alleviate high-frequency noise. To inject engineering domain knowledge and support mechanical interpretability, the latent representations are reinforced by an eight-dimensional physical-statistical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09655787">
      <w:pPr>
        <w:pStyle w:val="41"/>
        <w:tabs>
          <w:tab w:val="left" w:pos="284"/>
        </w:tabs>
        <w:jc w:val="both"/>
      </w:pPr>
      <w:r>
        <w:t>The main contributions of this research are summarized as follows:</w:t>
      </w:r>
    </w:p>
    <w:p w14:paraId="0FDB7B49">
      <w:pPr>
        <w:pStyle w:val="41"/>
        <w:numPr>
          <w:ilvl w:val="0"/>
          <w:numId w:val="8"/>
        </w:numPr>
        <w:tabs>
          <w:tab w:val="left" w:pos="284"/>
        </w:tabs>
        <w:jc w:val="both"/>
      </w:pPr>
      <w:r>
        <w:rPr>
          <w:b/>
          <w:bCs/>
        </w:rPr>
        <w:t>Hybrid Architecture with Series Decomposition:</w:t>
      </w:r>
      <w:r>
        <w:t xml:space="preserve"> A hybrid Mamba-CNN forecasting paradigm with temporal series decomposition is introduced for unsupervised bearing anomaly detection, achieving linear computational complexity while mitigating cross-channel noise propagation [16]. </w:t>
      </w:r>
    </w:p>
    <w:p w14:paraId="72155D8F">
      <w:pPr>
        <w:pStyle w:val="41"/>
        <w:numPr>
          <w:ilvl w:val="0"/>
          <w:numId w:val="8"/>
        </w:numPr>
        <w:tabs>
          <w:tab w:val="left" w:pos="284"/>
        </w:tabs>
        <w:jc w:val="both"/>
      </w:pPr>
      <w:r>
        <w:rPr>
          <w:b/>
          <w:bCs/>
        </w:rPr>
        <w:t>Physics-Informed Structural Interpretability:</w:t>
      </w:r>
      <w:r>
        <w:t xml:space="preserve"> An eight-dimensional physical-statistical head is integrated into the latent space to bridge the gap between data-driven representations and mechanical descriptors, enhancing model interpretability [13]. </w:t>
      </w:r>
    </w:p>
    <w:p w14:paraId="38B32013">
      <w:pPr>
        <w:pStyle w:val="41"/>
        <w:numPr>
          <w:ilvl w:val="0"/>
          <w:numId w:val="8"/>
        </w:numPr>
        <w:tabs>
          <w:tab w:val="left" w:pos="284"/>
        </w:tabs>
        <w:jc w:val="both"/>
      </w:pPr>
      <w:r>
        <w:rPr>
          <w:b/>
          <w:bCs/>
        </w:rPr>
        <w:t>Leakage-Free Validation Workflow:</w:t>
      </w:r>
      <w:r>
        <w:t xml:space="preserve"> A leakage-free threshold calibration workflow utilizing Extreme Value Theory (EVT) via the Peak Over Threshold (POT) technique is designed, where dynamic boundaries are derived strictly from early-stage healthy operational segments to prevent future data leakage [14]. </w:t>
      </w:r>
    </w:p>
    <w:p w14:paraId="60419C6A">
      <w:pPr>
        <w:pStyle w:val="41"/>
        <w:tabs>
          <w:tab w:val="left" w:pos="284"/>
        </w:tabs>
        <w:jc w:val="both"/>
      </w:pPr>
      <w:r>
        <w:t>The remainder of this paper is organized as follows: Section II reviews the relevant literature and deep sequence baselines. Section III details the mathematical formulation of the proposed methodology. Section IV outlines the experimental setup, baseline parameter budgeting under an automatic scaling protocol, and comparative performance analysis. Section V concludes the study and outlines future research trajectories.</w:t>
      </w:r>
    </w:p>
    <w:p w14:paraId="501A8784">
      <w:pPr>
        <w:pStyle w:val="2"/>
      </w:pPr>
      <w:r>
        <w:t>Related Work</w:t>
      </w:r>
    </w:p>
    <w:p w14:paraId="24CDBA35">
      <w:pPr>
        <w:pStyle w:val="3"/>
      </w:pPr>
      <w:r>
        <w:t>Deep Sequence Modeling in Prognostics and Health Management (PHM)</w:t>
      </w:r>
    </w:p>
    <w:p w14:paraId="54F7AA75">
      <w:pPr>
        <w:tabs>
          <w:tab w:val="left" w:pos="284"/>
        </w:tabs>
        <w:jc w:val="both"/>
      </w:pPr>
      <w:r>
        <w:tab/>
      </w:r>
      <w:r>
        <w:t>Rolling element bearing failures account for approximately 40% to 50% of structural damages in rotating machinery [15]. These degradation processes directly induce unplanned downtime and substantial economic deficits [15]. Automated vibration-based diagnostic monitoring within industrial environments is frequently challenged by non-stationary distributions and background noise contamination [14]. Sparse time-frequency features are extracted effectively via learnable Wavelet filter optimization frameworks, such as the DeSpaWN architecture [1]. However, long-term dynamic degradation shifts over extended lifecycles are frequently omitted by these static approaches [14].</w:t>
      </w:r>
    </w:p>
    <w:p w14:paraId="119421B1">
      <w:pPr>
        <w:tabs>
          <w:tab w:val="left" w:pos="284"/>
        </w:tabs>
        <w:jc w:val="both"/>
      </w:pPr>
      <w:r>
        <w:tab/>
      </w:r>
      <w:r>
        <w:t>To capture temporal dependencies, architectures like Long Short-Term Memory (LSTM) and Temporal Convolutional Networks (TCN) are widely implemented. Yet, these models remain fundamentally restricted by recursive hidden state update bottlenecks or fixed receptive field constraints. For unsupervised anomaly detection tasks, traditional Autoencoders (AEs) are prone to over-generalization. Early-stage anomalous impact pulses are inadvertently reconstructed by the latent space, thereby escalating missed alarm rates [4]. This target mismatch is partially mitigated through joint semantic association discrepancies modeled by recent frameworks such as TimeRCD [4]. Concurrently, the introduction of validation-stage data leakage through relaxed experimental protocols is highlighted in critical structural evaluations, including ModernTCN Revisited [3]. This vulnerability emphasizes the necessity for strict, automated baseline scaling protocols during comparative architectural evaluations [3].</w:t>
      </w:r>
      <w:r>
        <w:tab/>
      </w:r>
    </w:p>
    <w:p w14:paraId="7ADD47DB">
      <w:pPr>
        <w:pStyle w:val="3"/>
      </w:pPr>
      <w:r>
        <w:t>Transformer and Mamba for Long-Sequence Modeling</w:t>
      </w:r>
    </w:p>
    <w:p w14:paraId="60C40836">
      <w:pPr>
        <w:tabs>
          <w:tab w:val="left" w:pos="284"/>
        </w:tabs>
        <w:jc w:val="both"/>
      </w:pPr>
      <w:r>
        <w:tab/>
      </w:r>
      <w:r>
        <w:t xml:space="preserve">Long-term correlations are captured by self-attention mechanisms, which inherently exhibit a quadratic computational and memory complexity of </w:t>
      </w:r>
      <m:oMath>
        <m:r>
          <m:rPr/>
          <w:rPr>
            <w:rFonts w:ascii="Cambria Math" w:hAnsi="Cambria Math"/>
          </w:rPr>
          <m:t>O</m:t>
        </m:r>
        <m:d>
          <m:dPr>
            <m:ctrlPr>
              <w:rPr>
                <w:rFonts w:ascii="Cambria Math" w:hAnsi="Cambria Math"/>
                <w:i/>
              </w:rPr>
            </m:ctrlPr>
          </m:dPr>
          <m:e>
            <m:sSup>
              <m:sSupPr>
                <m:ctrlPr>
                  <w:rPr>
                    <w:rFonts w:ascii="Cambria Math" w:hAnsi="Cambria Math"/>
                    <w:i/>
                  </w:rPr>
                </m:ctrlPr>
              </m:sSupPr>
              <m:e>
                <m:r>
                  <m:rPr/>
                  <w:rPr>
                    <w:rFonts w:ascii="Cambria Math" w:hAnsi="Cambria Math"/>
                  </w:rPr>
                  <m:t>N</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d>
      </m:oMath>
      <w:r>
        <w:t>. Anomalous instances are isolated by the Anomaly Transformer architecture by capitalizing on local-to-global attention association discrepancies [5]. Similarly, one-dimensional series are transformed into two-dimensional tensors via multi-periodicity analysis within the TimesNet framework to capture non-stationary variations [6]. However, substantial computational overhead is introduced under long lookback horizons by both approaches. This computational burden is reduced through temporal patching and channel-independence (CI) constraints within PatchTST [7]. Nevertheless, vital cross-channel correlations in multi-sensor configurations are neglected under this layout [7].</w:t>
      </w:r>
    </w:p>
    <w:p w14:paraId="5B7BF82D">
      <w:pPr>
        <w:tabs>
          <w:tab w:val="left" w:pos="284"/>
        </w:tabs>
        <w:jc w:val="both"/>
      </w:pPr>
      <w:r>
        <w:tab/>
      </w:r>
      <w:r>
        <w:t xml:space="preserve">To break these computational bottlenecks, a linear-time complexity of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 xml:space="preserve"> is established by the foundational selective state space model (Mamba) via an input-dependent selective scan mechanism [16]. Specialized Prognostics and Health Management (PHM) variants have emerged recently. Remaining useful life estimation is executed by FEMamba [8], while time-frequency degradation trend forecasting is performed by TFG-Mamba [9]. For multivariate setups, Quadruple-Mamba blocks are utilized within TimeMachine to balance channel mixing [10]. Concurrently, spatial sequence representation is optimized via low-rank channel information fusion in TSC-Mamba [11].</w:t>
      </w:r>
    </w:p>
    <w:p w14:paraId="794CF375">
      <w:pPr>
        <w:tabs>
          <w:tab w:val="left" w:pos="284"/>
        </w:tabs>
        <w:jc w:val="both"/>
      </w:pPr>
      <w:r>
        <w:tab/>
      </w:r>
      <w:r>
        <w:t>For intelligent edge deployment, global features and localized micro-impulses are separated using the Linear Decoupled Graph Model (LDGM) [12]. Similarly, compact deep sequence networks are integrated with physical frequency band knowledge for online monitoring within the Physics-Guided Tiny-Mamba Transformer (PG-TMT) framework [13]. Fault-masking effects under noisy environments are further mitigated by advanced signal mode separation strategies, such as MD-BiMamba [21] or Decomposition-enhanced Mamba (DMamba) [22]. Nevertheless, these models are predominantly structured as data-driven black boxes operating under supervised paradigms. A critical requirement is thus created for unsupervised architectures backed by explicit structural descriptors [13], [14].</w:t>
      </w:r>
    </w:p>
    <w:p w14:paraId="1824BC14">
      <w:pPr>
        <w:pStyle w:val="3"/>
      </w:pPr>
      <w:r>
        <w:t>Threshold Calibration and Data Leakage</w:t>
      </w:r>
    </w:p>
    <w:p w14:paraId="7140DB2D">
      <w:pPr>
        <w:tabs>
          <w:tab w:val="left" w:pos="284"/>
        </w:tabs>
        <w:jc w:val="both"/>
      </w:pPr>
      <w:r>
        <w:tab/>
      </w:r>
      <w:r>
        <w:t>Unsupervised anomaly detection performance relies heavily on decision threshold calibration [14]. Static thresholds fail under variable operating conditions due to continuous distribution shifts in the target domain [14]. Mathematically rigorous open-set boundaries are established by integrating Extreme Value Theory (EVT) via the Peak Over Threshold (POT) technique directly into deep learning latent spaces [17].</w:t>
      </w:r>
    </w:p>
    <w:p w14:paraId="1D11C382">
      <w:pPr>
        <w:tabs>
          <w:tab w:val="left" w:pos="284"/>
        </w:tabs>
        <w:jc w:val="both"/>
      </w:pPr>
      <w:r>
        <w:tab/>
      </w:r>
      <w:r>
        <w:t xml:space="preserve">However, future data leakage is induced across prominent reconstruction baselines, including OmniAnomaly [18], USAD [19], and TranAD [20]. This leakage is caused by utilizing global validation distributions containing anomalous segments to optimize threshold hyperparameters [18]–[20]. To ensure real-world online deployment readiness, threshold calibration must be derived strictly from localized, early-stage healthy data segments [14]. </w:t>
      </w:r>
    </w:p>
    <w:p w14:paraId="4D8606E7">
      <w:pPr>
        <w:pStyle w:val="3"/>
      </w:pPr>
      <w:r>
        <w:t>Literature Comparison Matrix</w:t>
      </w:r>
    </w:p>
    <w:p w14:paraId="29C399FF">
      <w:pPr>
        <w:tabs>
          <w:tab w:val="left" w:pos="284"/>
        </w:tabs>
        <w:jc w:val="both"/>
      </w:pPr>
      <w:r>
        <w:tab/>
      </w:r>
      <w:r>
        <w:t>The structural advantages and operational properties of the proposed paradigm are contrasted with prominent baseline methods in Table I.</w:t>
      </w:r>
    </w:p>
    <w:p w14:paraId="4FF78974">
      <w:pPr>
        <w:pStyle w:val="11"/>
        <w:keepNext/>
      </w:pPr>
      <w:r>
        <w:rPr>
          <w:b/>
          <w:bCs/>
        </w:rPr>
        <w:t xml:space="preserve">Table </w:t>
      </w:r>
      <w:r>
        <w:rPr>
          <w:b/>
          <w:bCs/>
        </w:rPr>
        <w:fldChar w:fldCharType="begin"/>
      </w:r>
      <w:r>
        <w:rPr>
          <w:b/>
          <w:bCs/>
        </w:rPr>
        <w:instrText xml:space="preserve"> SEQ Table \* ARABIC </w:instrText>
      </w:r>
      <w:r>
        <w:rPr>
          <w:b/>
          <w:bCs/>
        </w:rPr>
        <w:fldChar w:fldCharType="separate"/>
      </w:r>
      <w:r>
        <w:rPr>
          <w:b/>
          <w:bCs/>
        </w:rPr>
        <w:t>1</w:t>
      </w:r>
      <w:r>
        <w:rPr>
          <w:b/>
          <w:bCs/>
        </w:rPr>
        <w:fldChar w:fldCharType="end"/>
      </w:r>
      <w:r>
        <w:t xml:space="preserve">. </w:t>
      </w:r>
      <w:r>
        <w:rPr>
          <w:sz w:val="20"/>
          <w:szCs w:val="20"/>
        </w:rPr>
        <w:t>Comprehensive Literature Matrix and Structural Comparison</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1529"/>
        <w:gridCol w:w="1333"/>
        <w:gridCol w:w="1725"/>
        <w:gridCol w:w="1529"/>
      </w:tblGrid>
      <w:tr w14:paraId="2C35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vAlign w:val="center"/>
          </w:tcPr>
          <w:p w14:paraId="024C2B64">
            <w:pPr>
              <w:jc w:val="left"/>
              <w:rPr>
                <w:b/>
                <w:bCs/>
              </w:rPr>
            </w:pPr>
            <w:r>
              <w:rPr>
                <w:b/>
                <w:bCs/>
              </w:rPr>
              <w:t>Study</w:t>
            </w:r>
          </w:p>
        </w:tc>
        <w:tc>
          <w:tcPr>
            <w:tcW w:w="1529" w:type="dxa"/>
            <w:vAlign w:val="center"/>
          </w:tcPr>
          <w:p w14:paraId="3F294EF4">
            <w:pPr>
              <w:jc w:val="left"/>
              <w:rPr>
                <w:b/>
                <w:bCs/>
              </w:rPr>
            </w:pPr>
            <w:r>
              <w:rPr>
                <w:b/>
                <w:bCs/>
              </w:rPr>
              <w:t>Method Family</w:t>
            </w:r>
          </w:p>
        </w:tc>
        <w:tc>
          <w:tcPr>
            <w:tcW w:w="1333" w:type="dxa"/>
            <w:vAlign w:val="center"/>
          </w:tcPr>
          <w:p w14:paraId="2EC6C641">
            <w:pPr>
              <w:jc w:val="left"/>
              <w:rPr>
                <w:b/>
                <w:bCs/>
              </w:rPr>
            </w:pPr>
            <w:r>
              <w:rPr>
                <w:b/>
                <w:bCs/>
              </w:rPr>
              <w:t>Key Strength</w:t>
            </w:r>
          </w:p>
        </w:tc>
        <w:tc>
          <w:tcPr>
            <w:tcW w:w="1725" w:type="dxa"/>
            <w:vAlign w:val="center"/>
          </w:tcPr>
          <w:p w14:paraId="1AB06D67">
            <w:pPr>
              <w:jc w:val="left"/>
              <w:rPr>
                <w:b/>
                <w:bCs/>
              </w:rPr>
            </w:pPr>
            <w:r>
              <w:rPr>
                <w:b/>
                <w:bCs/>
              </w:rPr>
              <w:t>Key Limitation</w:t>
            </w:r>
          </w:p>
        </w:tc>
        <w:tc>
          <w:tcPr>
            <w:tcW w:w="1529" w:type="dxa"/>
            <w:vAlign w:val="center"/>
          </w:tcPr>
          <w:p w14:paraId="7D61CE53">
            <w:pPr>
              <w:jc w:val="left"/>
              <w:rPr>
                <w:b/>
                <w:bCs/>
              </w:rPr>
            </w:pPr>
            <w:r>
              <w:rPr>
                <w:b/>
                <w:bCs/>
              </w:rPr>
              <w:t>Relation to this Work</w:t>
            </w:r>
          </w:p>
        </w:tc>
      </w:tr>
      <w:tr w14:paraId="0C806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vAlign w:val="center"/>
          </w:tcPr>
          <w:p w14:paraId="0FCDE5C8">
            <w:pPr>
              <w:jc w:val="left"/>
            </w:pPr>
            <w:r>
              <w:t>LSTM / TCN [3], [6]</w:t>
            </w:r>
          </w:p>
        </w:tc>
        <w:tc>
          <w:tcPr>
            <w:tcW w:w="1529" w:type="dxa"/>
            <w:vAlign w:val="center"/>
          </w:tcPr>
          <w:p w14:paraId="68F4E0F3">
            <w:pPr>
              <w:jc w:val="left"/>
            </w:pPr>
            <w:r>
              <w:t>Sequential / CNN</w:t>
            </w:r>
          </w:p>
        </w:tc>
        <w:tc>
          <w:tcPr>
            <w:tcW w:w="1333" w:type="dxa"/>
            <w:vAlign w:val="center"/>
          </w:tcPr>
          <w:p w14:paraId="1566CC6E">
            <w:pPr>
              <w:jc w:val="left"/>
            </w:pPr>
            <w:r>
              <w:t>Simple sequence tracking</w:t>
            </w:r>
          </w:p>
        </w:tc>
        <w:tc>
          <w:tcPr>
            <w:tcW w:w="1725" w:type="dxa"/>
            <w:vAlign w:val="center"/>
          </w:tcPr>
          <w:p w14:paraId="23BD5EFF">
            <w:pPr>
              <w:jc w:val="left"/>
            </w:pPr>
            <w:r>
              <w:t>Limited long-range dependency modeling</w:t>
            </w:r>
          </w:p>
        </w:tc>
        <w:tc>
          <w:tcPr>
            <w:tcW w:w="1529" w:type="dxa"/>
            <w:vAlign w:val="center"/>
          </w:tcPr>
          <w:p w14:paraId="32F2179B">
            <w:pPr>
              <w:jc w:val="left"/>
            </w:pPr>
            <w:r>
              <w:t>Served as basic auto-scaled baselines</w:t>
            </w:r>
          </w:p>
        </w:tc>
      </w:tr>
      <w:tr w14:paraId="4069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vAlign w:val="center"/>
          </w:tcPr>
          <w:p w14:paraId="35ECF9B6">
            <w:pPr>
              <w:jc w:val="left"/>
            </w:pPr>
            <w:r>
              <w:t>PatchTST [7]</w:t>
            </w:r>
          </w:p>
        </w:tc>
        <w:tc>
          <w:tcPr>
            <w:tcW w:w="1529" w:type="dxa"/>
            <w:vAlign w:val="center"/>
          </w:tcPr>
          <w:p w14:paraId="5F348871">
            <w:pPr>
              <w:jc w:val="left"/>
            </w:pPr>
            <w:r>
              <w:t>Transformer</w:t>
            </w:r>
          </w:p>
        </w:tc>
        <w:tc>
          <w:tcPr>
            <w:tcW w:w="1333" w:type="dxa"/>
            <w:vAlign w:val="center"/>
          </w:tcPr>
          <w:p w14:paraId="7D634245">
            <w:pPr>
              <w:jc w:val="left"/>
            </w:pPr>
            <w:r>
              <w:t>Efficient temporal patching</w:t>
            </w:r>
          </w:p>
        </w:tc>
        <w:tc>
          <w:tcPr>
            <w:tcW w:w="1725" w:type="dxa"/>
            <w:vAlign w:val="center"/>
          </w:tcPr>
          <w:p w14:paraId="63F24E7F">
            <w:pPr>
              <w:jc w:val="left"/>
            </w:pPr>
            <w:r>
              <w:t>Weak local inductive bias; omits channel correlation</w:t>
            </w:r>
          </w:p>
        </w:tc>
        <w:tc>
          <w:tcPr>
            <w:tcW w:w="1529" w:type="dxa"/>
            <w:vAlign w:val="center"/>
          </w:tcPr>
          <w:p w14:paraId="61BA3AAC">
            <w:pPr>
              <w:jc w:val="left"/>
            </w:pPr>
            <w:r>
              <w:t>Served as an advanced linear baseline</w:t>
            </w:r>
          </w:p>
        </w:tc>
      </w:tr>
      <w:tr w14:paraId="6AB1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vAlign w:val="center"/>
          </w:tcPr>
          <w:p w14:paraId="33CAF63A">
            <w:pPr>
              <w:jc w:val="left"/>
            </w:pPr>
            <w:r>
              <w:t>Mamba [16]</w:t>
            </w:r>
          </w:p>
        </w:tc>
        <w:tc>
          <w:tcPr>
            <w:tcW w:w="1529" w:type="dxa"/>
            <w:vAlign w:val="center"/>
          </w:tcPr>
          <w:p w14:paraId="0C54EAC9">
            <w:pPr>
              <w:jc w:val="left"/>
            </w:pPr>
            <w:r>
              <w:t>Selective SSM</w:t>
            </w:r>
          </w:p>
        </w:tc>
        <w:tc>
          <w:tcPr>
            <w:tcW w:w="1333" w:type="dxa"/>
            <w:vAlign w:val="center"/>
          </w:tcPr>
          <w:p w14:paraId="30BFE116">
            <w:pPr>
              <w:jc w:val="left"/>
            </w:pPr>
            <w:r>
              <w:t>Linear long-sequence modeling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w:t>
            </w:r>
          </w:p>
        </w:tc>
        <w:tc>
          <w:tcPr>
            <w:tcW w:w="1725" w:type="dxa"/>
            <w:vAlign w:val="center"/>
          </w:tcPr>
          <w:p w14:paraId="4C2AC815">
            <w:pPr>
              <w:jc w:val="left"/>
            </w:pPr>
            <w:r>
              <w:t>Limited physical interpretability</w:t>
            </w:r>
          </w:p>
        </w:tc>
        <w:tc>
          <w:tcPr>
            <w:tcW w:w="1529" w:type="dxa"/>
            <w:vAlign w:val="center"/>
          </w:tcPr>
          <w:p w14:paraId="204AA539">
            <w:pPr>
              <w:jc w:val="left"/>
            </w:pPr>
            <w:r>
              <w:t>Adopted as the core hidden sequence encoder</w:t>
            </w:r>
          </w:p>
        </w:tc>
      </w:tr>
      <w:tr w14:paraId="31E7A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vAlign w:val="center"/>
          </w:tcPr>
          <w:p w14:paraId="2C5D3960">
            <w:pPr>
              <w:jc w:val="left"/>
            </w:pPr>
            <w:r>
              <w:t>FEMamba / TFG-Mamba [8], [9]</w:t>
            </w:r>
          </w:p>
        </w:tc>
        <w:tc>
          <w:tcPr>
            <w:tcW w:w="1529" w:type="dxa"/>
            <w:vAlign w:val="center"/>
          </w:tcPr>
          <w:p w14:paraId="0F6EDADD">
            <w:pPr>
              <w:jc w:val="left"/>
            </w:pPr>
            <w:r>
              <w:t>Mamba-PHM</w:t>
            </w:r>
          </w:p>
        </w:tc>
        <w:tc>
          <w:tcPr>
            <w:tcW w:w="1333" w:type="dxa"/>
            <w:vAlign w:val="center"/>
          </w:tcPr>
          <w:p w14:paraId="2ACF1299">
            <w:pPr>
              <w:jc w:val="left"/>
            </w:pPr>
            <w:r>
              <w:t>Deep degradation tracking</w:t>
            </w:r>
          </w:p>
        </w:tc>
        <w:tc>
          <w:tcPr>
            <w:tcW w:w="1725" w:type="dxa"/>
            <w:vAlign w:val="center"/>
          </w:tcPr>
          <w:p w14:paraId="650947E7">
            <w:pPr>
              <w:jc w:val="left"/>
            </w:pPr>
            <w:r>
              <w:t>Predominantly dependent on supervised labels</w:t>
            </w:r>
          </w:p>
        </w:tc>
        <w:tc>
          <w:tcPr>
            <w:tcW w:w="1529" w:type="dxa"/>
            <w:vAlign w:val="center"/>
          </w:tcPr>
          <w:p w14:paraId="30185E55">
            <w:pPr>
              <w:jc w:val="left"/>
            </w:pPr>
            <w:r>
              <w:t>Motivated the use of series decomposition</w:t>
            </w:r>
          </w:p>
        </w:tc>
      </w:tr>
      <w:tr w14:paraId="22101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vAlign w:val="center"/>
          </w:tcPr>
          <w:p w14:paraId="202068F6">
            <w:pPr>
              <w:jc w:val="left"/>
            </w:pPr>
            <w:r>
              <w:t>OmniAnomaly / USAD / TranAD [18]–[20]</w:t>
            </w:r>
          </w:p>
        </w:tc>
        <w:tc>
          <w:tcPr>
            <w:tcW w:w="1529" w:type="dxa"/>
            <w:vAlign w:val="center"/>
          </w:tcPr>
          <w:p w14:paraId="16676403">
            <w:pPr>
              <w:jc w:val="left"/>
            </w:pPr>
            <w:r>
              <w:t>Reconstruction AD</w:t>
            </w:r>
          </w:p>
        </w:tc>
        <w:tc>
          <w:tcPr>
            <w:tcW w:w="1333" w:type="dxa"/>
            <w:vAlign w:val="center"/>
          </w:tcPr>
          <w:p w14:paraId="177474E0">
            <w:pPr>
              <w:jc w:val="left"/>
            </w:pPr>
            <w:r>
              <w:t>Stable multi-sensor loops</w:t>
            </w:r>
          </w:p>
        </w:tc>
        <w:tc>
          <w:tcPr>
            <w:tcW w:w="1725" w:type="dxa"/>
            <w:vAlign w:val="center"/>
          </w:tcPr>
          <w:p w14:paraId="69B4682D">
            <w:pPr>
              <w:jc w:val="left"/>
            </w:pPr>
            <w:r>
              <w:t>Over-generalization; causes data leakage</w:t>
            </w:r>
          </w:p>
        </w:tc>
        <w:tc>
          <w:tcPr>
            <w:tcW w:w="1529" w:type="dxa"/>
            <w:vAlign w:val="center"/>
          </w:tcPr>
          <w:p w14:paraId="490D6608">
            <w:pPr>
              <w:jc w:val="left"/>
            </w:pPr>
            <w:r>
              <w:t>Contrasted via sequence forecasting paradigm</w:t>
            </w:r>
          </w:p>
        </w:tc>
      </w:tr>
      <w:tr w14:paraId="1F7E9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vAlign w:val="center"/>
          </w:tcPr>
          <w:p w14:paraId="5E9CC608">
            <w:pPr>
              <w:jc w:val="left"/>
            </w:pPr>
            <w:r>
              <w:t>EVT / POT [17]</w:t>
            </w:r>
          </w:p>
        </w:tc>
        <w:tc>
          <w:tcPr>
            <w:tcW w:w="1529" w:type="dxa"/>
            <w:vAlign w:val="center"/>
          </w:tcPr>
          <w:p w14:paraId="3F660C5B">
            <w:pPr>
              <w:jc w:val="left"/>
            </w:pPr>
            <w:r>
              <w:t>Statistical Threshold</w:t>
            </w:r>
          </w:p>
        </w:tc>
        <w:tc>
          <w:tcPr>
            <w:tcW w:w="1333" w:type="dxa"/>
            <w:vAlign w:val="center"/>
          </w:tcPr>
          <w:p w14:paraId="48F4C4AB">
            <w:pPr>
              <w:jc w:val="left"/>
            </w:pPr>
            <w:r>
              <w:t>Precise tail modeling</w:t>
            </w:r>
          </w:p>
        </w:tc>
        <w:tc>
          <w:tcPr>
            <w:tcW w:w="1725" w:type="dxa"/>
            <w:vAlign w:val="center"/>
          </w:tcPr>
          <w:p w14:paraId="7129A424">
            <w:pPr>
              <w:jc w:val="left"/>
            </w:pPr>
            <w:r>
              <w:t>Can leak if calibrated globally</w:t>
            </w:r>
          </w:p>
        </w:tc>
        <w:tc>
          <w:tcPr>
            <w:tcW w:w="1529" w:type="dxa"/>
            <w:vAlign w:val="center"/>
          </w:tcPr>
          <w:p w14:paraId="658AF8FB">
            <w:pPr>
              <w:jc w:val="left"/>
            </w:pPr>
            <w:r>
              <w:t>Executed strictly within healthy intervals</w:t>
            </w:r>
          </w:p>
        </w:tc>
      </w:tr>
    </w:tbl>
    <w:p w14:paraId="1D8EADEF">
      <w:pPr>
        <w:tabs>
          <w:tab w:val="left" w:pos="284"/>
        </w:tabs>
        <w:jc w:val="both"/>
      </w:pPr>
    </w:p>
    <w:p w14:paraId="05B371E9">
      <w:pPr>
        <w:pStyle w:val="2"/>
      </w:pPr>
      <w:r>
        <w:t>Methodology</w:t>
      </w:r>
    </w:p>
    <w:p w14:paraId="5025A114">
      <w:pPr>
        <w:pStyle w:val="3"/>
      </w:pPr>
      <w:r>
        <w:t>Problem Formulation</w:t>
      </w:r>
    </w:p>
    <w:p w14:paraId="4EA16743">
      <w:pPr>
        <w:tabs>
          <w:tab w:val="left" w:pos="284"/>
        </w:tabs>
        <w:jc w:val="both"/>
      </w:pPr>
      <w:r>
        <w:tab/>
      </w:r>
      <w:r>
        <w:t xml:space="preserve">The structural health monitoring of rolling element bearings utilizing time-series trajectories is formulated under an unsupervised anomaly detection paradigm driven by a next-window forecasting mechanism. Let </w:t>
      </w:r>
      <m:oMath>
        <m:r>
          <m:rPr/>
          <w:rPr>
            <w:rFonts w:ascii="Cambria Math" w:hAnsi="Cambria Math"/>
          </w:rPr>
          <m:t>X</m:t>
        </m:r>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L</m:t>
            </m:r>
            <m:r>
              <m:rPr>
                <m:sty m:val="p"/>
              </m:rPr>
              <w:rPr>
                <w:rFonts w:ascii="Cambria Math" w:hAnsi="Cambria Math"/>
              </w:rPr>
              <m:t>×</m:t>
            </m:r>
            <m:r>
              <m:rPr/>
              <w:rPr>
                <w:rFonts w:ascii="Cambria Math" w:hAnsi="Cambria Math"/>
              </w:rPr>
              <m:t>C</m:t>
            </m:r>
            <m:ctrlPr>
              <w:rPr>
                <w:rFonts w:ascii="Cambria Math" w:hAnsi="Cambria Math"/>
                <w:i/>
              </w:rPr>
            </m:ctrlPr>
          </m:sup>
        </m:sSup>
      </m:oMath>
      <w:r>
        <w:t xml:space="preserve"> denote a multivariate vibration sequence collected from an acceleration sensor array across </w:t>
      </w:r>
      <m:oMath>
        <m:r>
          <m:rPr/>
          <w:rPr>
            <w:rFonts w:ascii="Cambria Math" w:hAnsi="Cambria Math"/>
          </w:rPr>
          <m:t>C</m:t>
        </m:r>
      </m:oMath>
      <w:r>
        <w:t xml:space="preserve"> physical channels over a historical lookback window of length </w:t>
      </w:r>
      <m:oMath>
        <m:r>
          <m:rPr/>
          <w:rPr>
            <w:rFonts w:ascii="Cambria Math" w:hAnsi="Cambria Math"/>
          </w:rPr>
          <m:t>L</m:t>
        </m:r>
      </m:oMath>
      <w:r>
        <w:t>. The mathematical objective of the framework is to forecast the subsequent operational sequence within a defined forecast horizon of length</w:t>
      </w:r>
      <w:r>
        <w:rPr>
          <w:rFonts w:ascii="Arial" w:hAnsi="Arial" w:cs="Arial"/>
          <w:sz w:val="24"/>
          <w:szCs w:val="24"/>
        </w:rPr>
        <w:t xml:space="preserve"> </w:t>
      </w:r>
      <m:oMath>
        <m:r>
          <m:rPr/>
          <w:rPr>
            <w:rFonts w:ascii="Cambria Math" w:hAnsi="Cambria Math"/>
          </w:rPr>
          <m:t>H</m:t>
        </m:r>
      </m:oMath>
      <w:r>
        <w:t xml:space="preserve">, denoted as </w:t>
      </w:r>
      <m:oMath>
        <m:acc>
          <m:accPr>
            <m:ctrlPr>
              <w:rPr>
                <w:rFonts w:ascii="Cambria Math" w:hAnsi="Cambria Math"/>
              </w:rPr>
            </m:ctrlPr>
          </m:accPr>
          <m:e>
            <m:r>
              <m:rPr/>
              <w:rPr>
                <w:rFonts w:ascii="Cambria Math" w:hAnsi="Cambria Math"/>
              </w:rPr>
              <m:t>Y</m:t>
            </m:r>
            <m:ctrlPr>
              <w:rPr>
                <w:rFonts w:ascii="Cambria Math" w:hAnsi="Cambria Math"/>
              </w:rPr>
            </m:ctrlPr>
          </m:e>
        </m:acc>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H</m:t>
            </m:r>
            <m:r>
              <m:rPr>
                <m:sty m:val="p"/>
              </m:rPr>
              <w:rPr>
                <w:rFonts w:ascii="Cambria Math" w:hAnsi="Cambria Math"/>
              </w:rPr>
              <m:t>×</m:t>
            </m:r>
            <m:r>
              <m:rPr/>
              <w:rPr>
                <w:rFonts w:ascii="Cambria Math" w:hAnsi="Cambria Math"/>
              </w:rPr>
              <m:t>C</m:t>
            </m:r>
            <m:ctrlPr>
              <w:rPr>
                <w:rFonts w:ascii="Cambria Math" w:hAnsi="Cambria Math"/>
                <w:i/>
              </w:rPr>
            </m:ctrlPr>
          </m:sup>
        </m:sSup>
      </m:oMath>
      <w:r>
        <w:t xml:space="preserve">. This forecast is sequentially evaluated against the corresponding ground-truth future target sequence </w:t>
      </w:r>
      <m:oMath>
        <m:r>
          <m:rPr/>
          <w:rPr>
            <w:rFonts w:ascii="Cambria Math" w:hAnsi="Cambria Math"/>
          </w:rPr>
          <m:t>Y</m:t>
        </m:r>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H</m:t>
            </m:r>
            <m:r>
              <m:rPr>
                <m:sty m:val="p"/>
              </m:rPr>
              <w:rPr>
                <w:rFonts w:ascii="Cambria Math" w:hAnsi="Cambria Math"/>
              </w:rPr>
              <m:t>×</m:t>
            </m:r>
            <m:r>
              <m:rPr/>
              <w:rPr>
                <w:rFonts w:ascii="Cambria Math" w:hAnsi="Cambria Math"/>
              </w:rPr>
              <m:t>C</m:t>
            </m:r>
            <m:ctrlPr>
              <w:rPr>
                <w:rFonts w:ascii="Cambria Math" w:hAnsi="Cambria Math"/>
                <w:i/>
              </w:rPr>
            </m:ctrlPr>
          </m:sup>
        </m:sSup>
      </m:oMath>
      <w:r>
        <w:t>.</w:t>
      </w:r>
    </w:p>
    <w:p w14:paraId="21035DDE">
      <w:pPr>
        <w:tabs>
          <w:tab w:val="left" w:pos="284"/>
        </w:tabs>
        <w:jc w:val="both"/>
      </w:pPr>
      <w:r>
        <w:tab/>
      </w:r>
      <w:r>
        <w:t>Network optimization is executed exclusively utilizing data distributions derived from the early-stage healthy operational phases of the machinery, identified via binary condition indicator variables equal to zero (</w:t>
      </w:r>
      <m:oMath>
        <m:r>
          <m:rPr/>
          <w:rPr>
            <w:rFonts w:ascii="Cambria Math" w:hAnsi="Cambria Math"/>
          </w:rPr>
          <m:t>bearing</m:t>
        </m:r>
        <m:r>
          <m:rPr>
            <m:lit/>
            <m:sty m:val="p"/>
          </m:rPr>
          <w:rPr>
            <w:rFonts w:ascii="Cambria Math" w:hAnsi="Cambria Math"/>
          </w:rPr>
          <m:t>_</m:t>
        </m:r>
        <m:r>
          <m:rPr>
            <m:sty m:val="p"/>
          </m:rPr>
          <w:rPr>
            <w:rFonts w:ascii="Cambria Math" w:hAnsi="Cambria Math"/>
          </w:rPr>
          <m:t>labels == 0</m:t>
        </m:r>
      </m:oMath>
      <w:r>
        <w:t xml:space="preserve">). To suppress low-frequency environmental noise without inducing look-ahead bias, raw vibration sequences are initially processed through an </w:t>
      </w:r>
      <m:oMath>
        <m:r>
          <m:rPr/>
          <w:rPr>
            <w:rFonts w:ascii="Cambria Math" w:hAnsi="Cambria Math"/>
          </w:rPr>
          <m:t>n</m:t>
        </m:r>
      </m:oMath>
      <w:r>
        <w:t>-th order causal high-pass Butterworth filter. The continuous transfer function is mapped to the discrete time domain via a bilinear transformation, establishing a discrete difference equation:</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04"/>
        <w:gridCol w:w="450"/>
      </w:tblGrid>
      <w:tr w14:paraId="2F267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204" w:type="dxa"/>
            <w:vAlign w:val="center"/>
          </w:tcPr>
          <w:p w14:paraId="0F2C8CA1">
            <m:oMathPara>
              <m:oMath>
                <m:r>
                  <m:rPr/>
                  <w:rPr>
                    <w:rFonts w:ascii="Cambria Math" w:hAnsi="Cambria Math"/>
                  </w:rPr>
                  <m:t>y</m:t>
                </m:r>
                <m:d>
                  <m:dPr>
                    <m:begChr m:val="["/>
                    <m:endChr m:val="]"/>
                    <m:ctrlPr>
                      <w:rPr>
                        <w:rFonts w:ascii="Cambria Math" w:hAnsi="Cambria Math"/>
                        <w:i/>
                      </w:rPr>
                    </m:ctrlPr>
                  </m:dPr>
                  <m:e>
                    <m:r>
                      <m:rPr/>
                      <w:rPr>
                        <w:rFonts w:ascii="Cambria Math" w:hAnsi="Cambria Math"/>
                      </w:rPr>
                      <m:t>t</m:t>
                    </m:r>
                    <m:ctrlPr>
                      <w:rPr>
                        <w:rFonts w:ascii="Cambria Math" w:hAnsi="Cambria Math"/>
                        <w:i/>
                      </w:rPr>
                    </m:ctrlPr>
                  </m:e>
                </m:d>
                <m:r>
                  <m:rPr/>
                  <w:rPr>
                    <w:rFonts w:ascii="Cambria Math" w:hAnsi="Cambria Math"/>
                  </w:rPr>
                  <m:t>=</m:t>
                </m:r>
                <m:nary>
                  <m:naryPr>
                    <m:chr m:val="∑"/>
                    <m:ctrlPr>
                      <w:rPr>
                        <w:rFonts w:ascii="Cambria Math" w:hAnsi="Cambria Math"/>
                      </w:rPr>
                    </m:ctrlPr>
                  </m:naryPr>
                  <m:sub>
                    <m:r>
                      <m:rPr/>
                      <w:rPr>
                        <w:rFonts w:ascii="Cambria Math" w:hAnsi="Cambria Math"/>
                      </w:rPr>
                      <m:t>k=0</m:t>
                    </m:r>
                    <m:ctrlPr>
                      <w:rPr>
                        <w:rFonts w:ascii="Cambria Math" w:hAnsi="Cambria Math"/>
                        <w:i/>
                      </w:rPr>
                    </m:ctrlPr>
                  </m:sub>
                  <m:sup>
                    <m:r>
                      <m:rPr/>
                      <w:rPr>
                        <w:rFonts w:ascii="Cambria Math" w:hAnsi="Cambria Math"/>
                      </w:rPr>
                      <m:t>n</m:t>
                    </m:r>
                    <m:ctrlPr>
                      <w:rPr>
                        <w:rFonts w:ascii="Cambria Math" w:hAnsi="Cambria Math"/>
                        <w:i/>
                      </w:rPr>
                    </m:ctrlPr>
                  </m:sup>
                  <m:e>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k</m:t>
                        </m:r>
                        <m:ctrlPr>
                          <w:rPr>
                            <w:rFonts w:ascii="Cambria Math" w:hAnsi="Cambria Math"/>
                            <w:i/>
                          </w:rPr>
                        </m:ctrlPr>
                      </m:sub>
                    </m:sSub>
                    <m:r>
                      <m:rPr/>
                      <w:rPr>
                        <w:rFonts w:ascii="Cambria Math" w:hAnsi="Cambria Math"/>
                      </w:rPr>
                      <m:t>x</m:t>
                    </m:r>
                    <m:d>
                      <m:dPr>
                        <m:begChr m:val="["/>
                        <m:endChr m:val="]"/>
                        <m:ctrlPr>
                          <w:rPr>
                            <w:rFonts w:ascii="Cambria Math" w:hAnsi="Cambria Math"/>
                            <w:i/>
                          </w:rPr>
                        </m:ctrlPr>
                      </m:dPr>
                      <m:e>
                        <m:r>
                          <m:rPr/>
                          <w:rPr>
                            <w:rFonts w:ascii="Cambria Math" w:hAnsi="Cambria Math"/>
                          </w:rPr>
                          <m:t>t−k</m:t>
                        </m:r>
                        <m:ctrlPr>
                          <w:rPr>
                            <w:rFonts w:ascii="Cambria Math" w:hAnsi="Cambria Math"/>
                            <w:i/>
                          </w:rPr>
                        </m:ctrlPr>
                      </m:e>
                    </m:d>
                    <m:ctrlPr>
                      <w:rPr>
                        <w:rFonts w:ascii="Cambria Math" w:hAnsi="Cambria Math"/>
                        <w:i/>
                      </w:rPr>
                    </m:ctrlPr>
                  </m:e>
                </m:nary>
                <m:r>
                  <m:rPr/>
                  <w:rPr>
                    <w:rFonts w:ascii="Cambria Math" w:hAnsi="Cambria Math"/>
                  </w:rPr>
                  <m:t>−</m:t>
                </m:r>
                <m:nary>
                  <m:naryPr>
                    <m:chr m:val="∑"/>
                    <m:ctrlPr>
                      <w:rPr>
                        <w:rFonts w:ascii="Cambria Math" w:hAnsi="Cambria Math"/>
                      </w:rPr>
                    </m:ctrlPr>
                  </m:naryPr>
                  <m:sub>
                    <m:r>
                      <m:rPr/>
                      <w:rPr>
                        <w:rFonts w:ascii="Cambria Math" w:hAnsi="Cambria Math"/>
                      </w:rPr>
                      <m:t>m=1</m:t>
                    </m:r>
                    <m:ctrlPr>
                      <w:rPr>
                        <w:rFonts w:ascii="Cambria Math" w:hAnsi="Cambria Math"/>
                        <w:i/>
                      </w:rPr>
                    </m:ctrlPr>
                  </m:sub>
                  <m:sup>
                    <m:r>
                      <m:rPr/>
                      <w:rPr>
                        <w:rFonts w:ascii="Cambria Math" w:hAnsi="Cambria Math"/>
                      </w:rPr>
                      <m:t>n</m:t>
                    </m:r>
                    <m:ctrlPr>
                      <w:rPr>
                        <w:rFonts w:ascii="Cambria Math" w:hAnsi="Cambria Math"/>
                        <w:i/>
                      </w:rPr>
                    </m:ctrlPr>
                  </m:sup>
                  <m:e>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y</m:t>
                    </m:r>
                    <m:d>
                      <m:dPr>
                        <m:begChr m:val="["/>
                        <m:endChr m:val="]"/>
                        <m:ctrlPr>
                          <w:rPr>
                            <w:rFonts w:ascii="Cambria Math" w:hAnsi="Cambria Math"/>
                            <w:i/>
                          </w:rPr>
                        </m:ctrlPr>
                      </m:dPr>
                      <m:e>
                        <m:r>
                          <m:rPr/>
                          <w:rPr>
                            <w:rFonts w:ascii="Cambria Math" w:hAnsi="Cambria Math"/>
                          </w:rPr>
                          <m:t>t−m</m:t>
                        </m:r>
                        <m:ctrlPr>
                          <w:rPr>
                            <w:rFonts w:ascii="Cambria Math" w:hAnsi="Cambria Math"/>
                            <w:i/>
                          </w:rPr>
                        </m:ctrlPr>
                      </m:e>
                    </m:d>
                    <m:ctrlPr>
                      <w:rPr>
                        <w:rFonts w:ascii="Cambria Math" w:hAnsi="Cambria Math"/>
                        <w:i/>
                      </w:rPr>
                    </m:ctrlPr>
                  </m:e>
                </m:nary>
              </m:oMath>
            </m:oMathPara>
          </w:p>
        </w:tc>
        <w:tc>
          <w:tcPr>
            <w:tcW w:w="450" w:type="dxa"/>
            <w:vAlign w:val="center"/>
          </w:tcPr>
          <w:p w14:paraId="3B1BA8C6">
            <w:r>
              <w:t>(1)</w:t>
            </w:r>
          </w:p>
        </w:tc>
      </w:tr>
    </w:tbl>
    <w:p w14:paraId="734DEA90">
      <w:pPr>
        <w:tabs>
          <w:tab w:val="left" w:pos="284"/>
        </w:tabs>
        <w:jc w:val="both"/>
      </w:pPr>
      <w:r>
        <w:t xml:space="preserve">where </w:t>
      </w:r>
      <m:oMath>
        <m:r>
          <m:rPr/>
          <w:rPr>
            <w:rFonts w:ascii="Cambria Math" w:hAnsi="Cambria Math"/>
          </w:rPr>
          <m:t>x</m:t>
        </m:r>
        <m:d>
          <m:dPr>
            <m:begChr m:val="["/>
            <m:endChr m:val="]"/>
            <m:ctrlPr>
              <w:rPr>
                <w:rFonts w:ascii="Cambria Math" w:hAnsi="Cambria Math"/>
                <w:i/>
              </w:rPr>
            </m:ctrlPr>
          </m:dPr>
          <m:e>
            <m:r>
              <m:rPr/>
              <w:rPr>
                <w:rFonts w:ascii="Cambria Math" w:hAnsi="Cambria Math"/>
              </w:rPr>
              <m:t>t</m:t>
            </m:r>
            <m:ctrlPr>
              <w:rPr>
                <w:rFonts w:ascii="Cambria Math" w:hAnsi="Cambria Math"/>
                <w:i/>
              </w:rPr>
            </m:ctrlPr>
          </m:e>
        </m:d>
      </m:oMath>
      <w:r>
        <w:t xml:space="preserve"> and </w:t>
      </w:r>
      <m:oMath>
        <m:r>
          <m:rPr/>
          <w:rPr>
            <w:rFonts w:ascii="Cambria Math" w:hAnsi="Cambria Math"/>
          </w:rPr>
          <m:t>y</m:t>
        </m:r>
        <m:d>
          <m:dPr>
            <m:begChr m:val="["/>
            <m:endChr m:val="]"/>
            <m:ctrlPr>
              <w:rPr>
                <w:rFonts w:ascii="Cambria Math" w:hAnsi="Cambria Math"/>
                <w:i/>
              </w:rPr>
            </m:ctrlPr>
          </m:dPr>
          <m:e>
            <m:r>
              <m:rPr/>
              <w:rPr>
                <w:rFonts w:ascii="Cambria Math" w:hAnsi="Cambria Math"/>
              </w:rPr>
              <m:t>t</m:t>
            </m:r>
            <m:ctrlPr>
              <w:rPr>
                <w:rFonts w:ascii="Cambria Math" w:hAnsi="Cambria Math"/>
                <w:i/>
              </w:rPr>
            </m:ctrlPr>
          </m:e>
        </m:d>
      </m:oMath>
      <w:r>
        <w:t xml:space="preserve"> denote the discrete signals immediately prior to and following the filtering operation at time step </w:t>
      </w:r>
      <m:oMath>
        <m:r>
          <m:rPr/>
          <w:rPr>
            <w:rFonts w:ascii="Cambria Math" w:hAnsi="Cambria Math"/>
          </w:rPr>
          <m:t>t</m:t>
        </m:r>
      </m:oMath>
      <w:r>
        <w:t xml:space="preserve">, while </w:t>
      </w:r>
      <m:oMath>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k</m:t>
            </m:r>
            <m:ctrlPr>
              <w:rPr>
                <w:rFonts w:ascii="Cambria Math" w:hAnsi="Cambria Math"/>
                <w:i/>
              </w:rPr>
            </m:ctrlPr>
          </m:sub>
        </m:sSub>
      </m:oMath>
      <w:r>
        <w:t xml:space="preserve"> and </w:t>
      </w:r>
      <m:oMath>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m</m:t>
            </m:r>
            <m:ctrlPr>
              <w:rPr>
                <w:rFonts w:ascii="Cambria Math" w:hAnsi="Cambria Math"/>
                <w:i/>
              </w:rPr>
            </m:ctrlPr>
          </m:sub>
        </m:sSub>
      </m:oMath>
      <w:r>
        <w:t xml:space="preserve"> represent the filter coefficients derived from the sensor sampling frequency. The phase delay generated by this causal formulation is naturally compensated for by the downstream deep sequence model during forecasting optimization.</w:t>
      </w:r>
    </w:p>
    <w:p w14:paraId="4D57C1B3">
      <w:pPr>
        <w:tabs>
          <w:tab w:val="left" w:pos="284"/>
        </w:tabs>
        <w:jc w:val="both"/>
      </w:pPr>
      <w:r>
        <w:tab/>
      </w:r>
      <w:r>
        <w:t xml:space="preserve">The global architectural layout of the proposed predictive framework is illustrated in Fig. 1. As shown in Fig. 1, the processed raw vibration tensor with dimensions </w:t>
      </w:r>
      <m:oMath>
        <m:d>
          <m:dPr>
            <m:ctrlPr>
              <w:rPr>
                <w:rFonts w:ascii="Cambria Math" w:hAnsi="Cambria Math"/>
                <w:i/>
              </w:rPr>
            </m:ctrlPr>
          </m:dPr>
          <m:e>
            <m:r>
              <m:rPr/>
              <w:rPr>
                <w:rFonts w:ascii="Cambria Math" w:hAnsi="Cambria Math"/>
              </w:rPr>
              <m:t>B,C,L</m:t>
            </m:r>
            <m:ctrlPr>
              <w:rPr>
                <w:rFonts w:ascii="Cambria Math" w:hAnsi="Cambria Math"/>
                <w:i/>
              </w:rPr>
            </m:ctrlPr>
          </m:e>
        </m:d>
      </m:oMath>
      <w:r>
        <w:t xml:space="preserve"> is directed into the Series Decomposition module to bifurcate the underlying mechanical dynamics into distinct low-frequency trend and high-frequency seasonal streams. The smooth trend path is handled via a low-complexity Linear projection layer to track long-term continuous physical wear. Concurrently, the highly non-linear seasonal component is passed through a simple patch embedding layer before deep temporal feature mapping is executed within a channel-independent (CI) Mamba selective state space backbone [16].</w:t>
      </w:r>
    </w:p>
    <w:p w14:paraId="780E21A6">
      <w:pPr>
        <w:tabs>
          <w:tab w:val="left" w:pos="284"/>
        </w:tabs>
        <w:jc w:val="both"/>
      </w:pPr>
      <w:r>
        <w:tab/>
      </w:r>
      <w:r>
        <w:t xml:space="preserve">To reinforce engineering interpretability, the latent features generated by the Mamba blocks are coupled with an 8-dimensional physical statistical vector inside a dedicated Fusion Head. Finally, the estimated trend and seasonal outputs are dynamically combined within a learnable mixing block governed by a channel-specific weighting parameter </w:t>
      </w:r>
      <m:oMath>
        <m:r>
          <m:rPr>
            <m:sty m:val="p"/>
          </m:rPr>
          <w:rPr>
            <w:rFonts w:ascii="Cambria Math" w:hAnsi="Cambria Math"/>
          </w:rPr>
          <m:t>α</m:t>
        </m:r>
      </m:oMath>
      <w:r>
        <w:t xml:space="preserve"> to synthesize the complete future horizon forecast </w:t>
      </w:r>
      <m:oMath>
        <m:acc>
          <m:accPr>
            <m:ctrlPr>
              <w:rPr>
                <w:rFonts w:ascii="Cambria Math" w:hAnsi="Cambria Math"/>
              </w:rPr>
            </m:ctrlPr>
          </m:accPr>
          <m:e>
            <m:r>
              <m:rPr/>
              <w:rPr>
                <w:rFonts w:ascii="Cambria Math" w:hAnsi="Cambria Math"/>
              </w:rPr>
              <m:t>Y</m:t>
            </m:r>
            <m:ctrlPr>
              <w:rPr>
                <w:rFonts w:ascii="Cambria Math" w:hAnsi="Cambria Math"/>
              </w:rPr>
            </m:ctrlPr>
          </m:e>
        </m:acc>
      </m:oMath>
      <w:r>
        <w:t xml:space="preserve"> with dimensions </w:t>
      </w:r>
      <m:oMath>
        <m:d>
          <m:dPr>
            <m:ctrlPr>
              <w:rPr>
                <w:rFonts w:ascii="Cambria Math" w:hAnsi="Cambria Math"/>
                <w:i/>
              </w:rPr>
            </m:ctrlPr>
          </m:dPr>
          <m:e>
            <m:r>
              <m:rPr/>
              <w:rPr>
                <w:rFonts w:ascii="Cambria Math" w:hAnsi="Cambria Math"/>
              </w:rPr>
              <m:t>B,C,H</m:t>
            </m:r>
            <m:ctrlPr>
              <w:rPr>
                <w:rFonts w:ascii="Cambria Math" w:hAnsi="Cambria Math"/>
                <w:i/>
              </w:rPr>
            </m:ctrlPr>
          </m:e>
        </m:d>
      </m:oMath>
      <w:r>
        <w:t>.</w:t>
      </w:r>
    </w:p>
    <w:p w14:paraId="3D00392B">
      <w:pPr>
        <w:tabs>
          <w:tab w:val="left" w:pos="284"/>
        </w:tabs>
      </w:pPr>
      <w:r>
        <w:drawing>
          <wp:inline distT="0" distB="0" distL="0" distR="0">
            <wp:extent cx="4860290" cy="827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4860290" cy="827405"/>
                    </a:xfrm>
                    <a:prstGeom prst="rect">
                      <a:avLst/>
                    </a:prstGeom>
                  </pic:spPr>
                </pic:pic>
              </a:graphicData>
            </a:graphic>
          </wp:inline>
        </w:drawing>
      </w:r>
    </w:p>
    <w:p w14:paraId="755C9F53">
      <w:pPr>
        <w:pStyle w:val="11"/>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t>. Overall architecture of the proposed vibration forecasting model based on Series Decomposition and CI Mamba.</w:t>
      </w:r>
    </w:p>
    <w:p w14:paraId="1934D00A">
      <w:pPr>
        <w:pStyle w:val="3"/>
      </w:pPr>
      <w:r>
        <w:t>Series Decomposition</w:t>
      </w:r>
    </w:p>
    <w:p w14:paraId="1A1DC090">
      <w:pPr>
        <w:tabs>
          <w:tab w:val="left" w:pos="284"/>
        </w:tabs>
        <w:jc w:val="both"/>
      </w:pPr>
      <w:r>
        <w:tab/>
      </w:r>
      <w:r>
        <w:t>Aligning with the principle of architectural parsimony verified in temporal forecasting paradigms [22], the filtered input sequence is decoupled into trend and seasonal feature streams to maximize representation capacity. The decomposition workflow is executed via a 1D moving average pooling operator sliding along the temporal axis of the historical lookback window:</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28"/>
        <w:gridCol w:w="426"/>
      </w:tblGrid>
      <w:tr w14:paraId="40D5D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228" w:type="dxa"/>
            <w:vAlign w:val="center"/>
          </w:tcPr>
          <w:p w14:paraId="2BD8D0E9">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r>
                  <m:rPr>
                    <m:nor/>
                    <m:sty m:val="p"/>
                  </m:rPr>
                  <w:rPr>
                    <w:rFonts w:ascii="Cambria Math" w:hAnsi="Cambria Math"/>
                  </w:rPr>
                  <m:t>AvgPool</m:t>
                </m:r>
                <m:d>
                  <m:dPr>
                    <m:ctrlPr>
                      <w:rPr>
                        <w:rFonts w:ascii="Cambria Math" w:hAnsi="Cambria Math"/>
                        <w:i/>
                      </w:rPr>
                    </m:ctrlPr>
                  </m:dPr>
                  <m:e>
                    <m:r>
                      <m:rPr>
                        <m:nor/>
                        <m:sty m:val="p"/>
                      </m:rPr>
                      <w:rPr>
                        <w:rFonts w:ascii="Cambria Math" w:hAnsi="Cambria Math"/>
                      </w:rPr>
                      <m:t>Pad</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tc>
        <w:tc>
          <w:tcPr>
            <w:tcW w:w="426" w:type="dxa"/>
            <w:vAlign w:val="center"/>
          </w:tcPr>
          <w:p w14:paraId="37D350F6">
            <w:pPr>
              <w:pStyle w:val="11"/>
              <w:keepNext/>
              <w:rPr>
                <w:i w:val="0"/>
                <w:iCs w:val="0"/>
              </w:rPr>
            </w:pPr>
            <w:r>
              <w:rPr>
                <w:i w:val="0"/>
                <w:iCs w:val="0"/>
              </w:rPr>
              <w:t>(2)</w:t>
            </w:r>
          </w:p>
        </w:tc>
      </w:tr>
      <w:tr w14:paraId="49324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228" w:type="dxa"/>
            <w:vAlign w:val="center"/>
          </w:tcPr>
          <w:p w14:paraId="59D7FF8D">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oMath>
            </m:oMathPara>
          </w:p>
        </w:tc>
        <w:tc>
          <w:tcPr>
            <w:tcW w:w="426" w:type="dxa"/>
            <w:vAlign w:val="center"/>
          </w:tcPr>
          <w:p w14:paraId="4E73BD4E">
            <w:pPr>
              <w:pStyle w:val="11"/>
              <w:keepNext/>
              <w:rPr>
                <w:i w:val="0"/>
                <w:iCs w:val="0"/>
              </w:rPr>
            </w:pPr>
            <w:r>
              <w:rPr>
                <w:i w:val="0"/>
                <w:iCs w:val="0"/>
              </w:rPr>
              <w:t>(3)</w:t>
            </w:r>
          </w:p>
        </w:tc>
      </w:tr>
    </w:tbl>
    <w:p w14:paraId="28EFF3D8">
      <w:pPr>
        <w:tabs>
          <w:tab w:val="left" w:pos="284"/>
        </w:tabs>
        <w:jc w:val="both"/>
      </w:pPr>
      <w:r>
        <w:t xml:space="preserve">where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L</m:t>
            </m:r>
            <m:r>
              <m:rPr>
                <m:sty m:val="p"/>
              </m:rPr>
              <w:rPr>
                <w:rFonts w:ascii="Cambria Math" w:hAnsi="Cambria Math"/>
              </w:rPr>
              <m:t>×</m:t>
            </m:r>
            <m:r>
              <m:rPr/>
              <w:rPr>
                <w:rFonts w:ascii="Cambria Math" w:hAnsi="Cambria Math"/>
              </w:rPr>
              <m:t>C</m:t>
            </m:r>
            <m:ctrlPr>
              <w:rPr>
                <w:rFonts w:ascii="Cambria Math" w:hAnsi="Cambria Math"/>
                <w:i/>
              </w:rPr>
            </m:ctrlPr>
          </m:sup>
        </m:sSup>
      </m:oMath>
      <w:r>
        <w:t xml:space="preserve"> represents the low-frequency trend component, and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m:t>
            </m:r>
            <m:ctrlPr>
              <w:rPr>
                <w:rFonts w:ascii="Cambria Math" w:hAnsi="Cambria Math"/>
                <w:i/>
              </w:rPr>
            </m:ctrlPr>
          </m:sub>
        </m:sSub>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L</m:t>
            </m:r>
            <m:r>
              <m:rPr>
                <m:sty m:val="p"/>
              </m:rPr>
              <w:rPr>
                <w:rFonts w:ascii="Cambria Math" w:hAnsi="Cambria Math"/>
              </w:rPr>
              <m:t>×</m:t>
            </m:r>
            <m:r>
              <m:rPr/>
              <w:rPr>
                <w:rFonts w:ascii="Cambria Math" w:hAnsi="Cambria Math"/>
              </w:rPr>
              <m:t>C</m:t>
            </m:r>
            <m:ctrlPr>
              <w:rPr>
                <w:rFonts w:ascii="Cambria Math" w:hAnsi="Cambria Math"/>
                <w:i/>
              </w:rPr>
            </m:ctrlPr>
          </m:sup>
        </m:sSup>
      </m:oMath>
      <w:r>
        <w:t xml:space="preserve"> denotes the high-frequency seasonal component. An edge-replication padding layer (</w:t>
      </w:r>
      <m:oMath>
        <m:r>
          <m:rPr>
            <m:nor/>
            <m:sty m:val="p"/>
          </m:rPr>
          <w:rPr>
            <w:rFonts w:ascii="Cambria Math" w:hAnsi="Cambria Math"/>
          </w:rPr>
          <m:t>Pad</m:t>
        </m:r>
      </m:oMath>
      <w:r>
        <w:t>) is enforced to ensure that the trend tensor maintains strict geometric dimensionality alignment with the original input.</w:t>
      </w:r>
    </w:p>
    <w:p w14:paraId="4766D4F4">
      <w:pPr>
        <w:tabs>
          <w:tab w:val="left" w:pos="284"/>
        </w:tabs>
        <w:jc w:val="both"/>
      </w:pPr>
      <w:r>
        <w:tab/>
      </w:r>
      <w:r>
        <w:t xml:space="preserve">The trend component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oMath>
      <w:r>
        <w:t xml:space="preserve"> isolates the smooth moving average profile, reflecting progressive, slow-moving physical wear. Conversely, the seasonal component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m:t>
            </m:r>
            <m:ctrlPr>
              <w:rPr>
                <w:rFonts w:ascii="Cambria Math" w:hAnsi="Cambria Math"/>
                <w:i/>
              </w:rPr>
            </m:ctrlPr>
          </m:sub>
        </m:sSub>
      </m:oMath>
      <w:r>
        <w:t xml:space="preserve"> captures highly non-linear, high-frequency dynamics, incorporating synchronous rotational cycles and transient impact shocks. To prevent overfitting, the low-complexity trend stream is forecasted across the target horizon using a direct linear projection layer under a strict channel-independent weight-sharing constraint:</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04"/>
        <w:gridCol w:w="450"/>
      </w:tblGrid>
      <w:tr w14:paraId="655CE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204" w:type="dxa"/>
            <w:vAlign w:val="center"/>
          </w:tcPr>
          <w:p w14:paraId="13EF7B3C">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t</m:t>
                    </m:r>
                    <m:ctrlPr>
                      <w:rPr>
                        <w:rFonts w:ascii="Cambria Math" w:hAnsi="Cambria Math"/>
                        <w:i/>
                      </w:rPr>
                    </m:ctrlPr>
                  </m:sub>
                </m:sSub>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t</m:t>
                    </m:r>
                    <m:ctrlPr>
                      <w:rPr>
                        <w:rFonts w:ascii="Cambria Math" w:hAnsi="Cambria Math"/>
                        <w:i/>
                      </w:rPr>
                    </m:ctrlPr>
                  </m:sub>
                </m:sSub>
              </m:oMath>
            </m:oMathPara>
          </w:p>
        </w:tc>
        <w:tc>
          <w:tcPr>
            <w:tcW w:w="450" w:type="dxa"/>
            <w:vAlign w:val="center"/>
          </w:tcPr>
          <w:p w14:paraId="655768D0">
            <w:r>
              <w:t>(4)</w:t>
            </w:r>
          </w:p>
        </w:tc>
      </w:tr>
    </w:tbl>
    <w:p w14:paraId="1C445904">
      <w:pPr>
        <w:tabs>
          <w:tab w:val="left" w:pos="284"/>
        </w:tabs>
        <w:jc w:val="both"/>
      </w:pPr>
      <w:r>
        <w:t xml:space="preserve">where </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t</m:t>
            </m:r>
            <m:ctrlPr>
              <w:rPr>
                <w:rFonts w:ascii="Cambria Math" w:hAnsi="Cambria Math"/>
                <w:i/>
              </w:rPr>
            </m:ctrlPr>
          </m:sub>
        </m:sSub>
      </m:oMath>
      <w:r>
        <w:t xml:space="preserve"> denotes the projection weight matrix and </w:t>
      </w:r>
      <m:oMath>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t</m:t>
            </m:r>
            <m:ctrlPr>
              <w:rPr>
                <w:rFonts w:ascii="Cambria Math" w:hAnsi="Cambria Math"/>
                <w:i/>
              </w:rPr>
            </m:ctrlPr>
          </m:sub>
        </m:sSub>
      </m:oMath>
      <w:r>
        <w:t xml:space="preserve"> represents the bias vector.</w:t>
      </w:r>
    </w:p>
    <w:p w14:paraId="0517BB69">
      <w:pPr>
        <w:pStyle w:val="3"/>
      </w:pPr>
      <w:r>
        <w:t>Hybrid Mamba-CNN Forecasting</w:t>
      </w:r>
    </w:p>
    <w:p w14:paraId="0EC98452">
      <w:pPr>
        <w:tabs>
          <w:tab w:val="left" w:pos="284"/>
        </w:tabs>
        <w:jc w:val="both"/>
      </w:pPr>
      <w:r>
        <w:tab/>
      </w:r>
      <w:r>
        <w:t xml:space="preserve">The seasonal component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m:t>
            </m:r>
            <m:ctrlPr>
              <w:rPr>
                <w:rFonts w:ascii="Cambria Math" w:hAnsi="Cambria Math"/>
                <w:i/>
              </w:rPr>
            </m:ctrlPr>
          </m:sub>
        </m:sSub>
      </m:oMath>
      <w:r>
        <w:t xml:space="preserve"> encapsulates complex non-linear variations, which are processed through a hybrid stream fusing localized convolutional blocks and selective state space encoders. To reduce the token sequence length and reinforce localized spatial-temporal inductive biases, the seasonal time-series is partitioned into localized patches of size </w:t>
      </w:r>
      <m:oMath>
        <m:r>
          <m:rPr/>
          <w:rPr>
            <w:rFonts w:ascii="Cambria Math" w:hAnsi="Cambria Math"/>
          </w:rPr>
          <m:t>P</m:t>
        </m:r>
      </m:oMath>
      <w:r>
        <w:t xml:space="preserve"> with a sliding stride of </w:t>
      </w:r>
      <m:oMath>
        <m:r>
          <m:rPr/>
          <w:rPr>
            <w:rFonts w:ascii="Cambria Math" w:hAnsi="Cambria Math"/>
          </w:rPr>
          <m:t>S</m:t>
        </m:r>
      </m:oMath>
      <w:r>
        <w:t xml:space="preserve">. The total volume of generated temporal tokens </w:t>
      </w:r>
      <m:oMath>
        <m:r>
          <m:rPr/>
          <w:rPr>
            <w:rFonts w:ascii="Cambria Math" w:hAnsi="Cambria Math"/>
          </w:rPr>
          <m:t>M</m:t>
        </m:r>
      </m:oMath>
      <w:r>
        <w:t xml:space="preserve"> is determined by:</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71"/>
        <w:gridCol w:w="426"/>
      </w:tblGrid>
      <w:tr w14:paraId="211A3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71" w:type="dxa"/>
          </w:tcPr>
          <w:p w14:paraId="4101B2D1">
            <w:pPr>
              <w:jc w:val="both"/>
            </w:pPr>
            <m:oMathPara>
              <m:oMath>
                <m:r>
                  <m:rPr/>
                  <w:rPr>
                    <w:rFonts w:ascii="Cambria Math" w:hAnsi="Cambria Math"/>
                  </w:rPr>
                  <m:t>M=</m:t>
                </m:r>
                <m:d>
                  <m:dPr>
                    <m:begChr m:val="⌊"/>
                    <m:endChr m:val="⌋"/>
                    <m:ctrlPr>
                      <w:rPr>
                        <w:rFonts w:ascii="Cambria Math" w:hAnsi="Cambria Math"/>
                      </w:rPr>
                    </m:ctrlPr>
                  </m:dPr>
                  <m:e>
                    <m:f>
                      <m:fPr>
                        <m:ctrlPr>
                          <w:rPr>
                            <w:rFonts w:ascii="Cambria Math" w:hAnsi="Cambria Math"/>
                          </w:rPr>
                        </m:ctrlPr>
                      </m:fPr>
                      <m:num>
                        <m:r>
                          <m:rPr/>
                          <w:rPr>
                            <w:rFonts w:ascii="Cambria Math" w:hAnsi="Cambria Math"/>
                          </w:rPr>
                          <m:t>L−P</m:t>
                        </m:r>
                        <m:ctrlPr>
                          <w:rPr>
                            <w:rFonts w:ascii="Cambria Math" w:hAnsi="Cambria Math"/>
                            <w:i/>
                          </w:rPr>
                        </m:ctrlPr>
                      </m:num>
                      <m:den>
                        <m:r>
                          <m:rPr/>
                          <w:rPr>
                            <w:rFonts w:ascii="Cambria Math" w:hAnsi="Cambria Math"/>
                          </w:rPr>
                          <m:t>S</m:t>
                        </m:r>
                        <m:ctrlPr>
                          <w:rPr>
                            <w:rFonts w:ascii="Cambria Math" w:hAnsi="Cambria Math"/>
                            <w:i/>
                          </w:rPr>
                        </m:ctrlPr>
                      </m:den>
                    </m:f>
                    <m:ctrlPr>
                      <w:rPr>
                        <w:rFonts w:ascii="Cambria Math" w:hAnsi="Cambria Math"/>
                      </w:rPr>
                    </m:ctrlPr>
                  </m:e>
                </m:d>
                <m:r>
                  <m:rPr/>
                  <w:rPr>
                    <w:rFonts w:ascii="Cambria Math" w:hAnsi="Cambria Math"/>
                  </w:rPr>
                  <m:t>+1</m:t>
                </m:r>
              </m:oMath>
            </m:oMathPara>
          </w:p>
        </w:tc>
        <w:tc>
          <w:tcPr>
            <w:tcW w:w="273" w:type="dxa"/>
            <w:vAlign w:val="center"/>
          </w:tcPr>
          <w:p w14:paraId="7935D430">
            <w:pPr>
              <w:pStyle w:val="11"/>
              <w:spacing w:after="0"/>
              <w:rPr>
                <w:i w:val="0"/>
                <w:iCs w:val="0"/>
              </w:rPr>
            </w:pPr>
            <w:r>
              <w:rPr>
                <w:i w:val="0"/>
                <w:iCs w:val="0"/>
              </w:rPr>
              <w:t>(5)</w:t>
            </w:r>
          </w:p>
        </w:tc>
      </w:tr>
    </w:tbl>
    <w:p w14:paraId="069C586E">
      <w:pPr>
        <w:tabs>
          <w:tab w:val="left" w:pos="284"/>
        </w:tabs>
        <w:jc w:val="both"/>
      </w:pPr>
      <w:r>
        <w:tab/>
      </w:r>
      <w:r>
        <w:t xml:space="preserve">The projection of these patches into a latent embedding space of dimension </w:t>
      </w:r>
      <m:oMath>
        <m:r>
          <m:rPr/>
          <w:rPr>
            <w:rFonts w:ascii="Cambria Math" w:hAnsi="Cambria Math"/>
          </w:rPr>
          <m:t>D</m:t>
        </m:r>
      </m:oMath>
      <w:r>
        <w:t xml:space="preserve"> is executed via a 1D convolutional layer sweeping across the temporal grid:</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199"/>
        <w:gridCol w:w="450"/>
      </w:tblGrid>
      <w:tr w14:paraId="3F7F0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199" w:type="dxa"/>
            <w:vAlign w:val="center"/>
          </w:tcPr>
          <w:p w14:paraId="4B3E3F6A">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r>
                  <m:rPr>
                    <m:nor/>
                    <m:sty m:val="p"/>
                  </m:rPr>
                  <w:rPr>
                    <w:rFonts w:ascii="Cambria Math" w:hAnsi="Cambria Math"/>
                  </w:rPr>
                  <m:t>Conv1D</m:t>
                </m:r>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m:t>
                        </m:r>
                        <m:ctrlPr>
                          <w:rPr>
                            <w:rFonts w:ascii="Cambria Math" w:hAnsi="Cambria Math"/>
                            <w:i/>
                          </w:rPr>
                        </m:ctrlPr>
                      </m:sub>
                    </m:sSub>
                    <m:ctrlPr>
                      <w:rPr>
                        <w:rFonts w:ascii="Cambria Math" w:hAnsi="Cambria Math"/>
                        <w:i/>
                      </w:rPr>
                    </m:ctrlPr>
                  </m:e>
                </m:d>
              </m:oMath>
            </m:oMathPara>
          </w:p>
        </w:tc>
        <w:tc>
          <w:tcPr>
            <w:tcW w:w="445" w:type="dxa"/>
            <w:vAlign w:val="center"/>
          </w:tcPr>
          <w:p w14:paraId="2E138FC3">
            <w:r>
              <w:t>(6)</w:t>
            </w:r>
          </w:p>
        </w:tc>
      </w:tr>
    </w:tbl>
    <w:p w14:paraId="2AABF582">
      <w:pPr>
        <w:tabs>
          <w:tab w:val="left" w:pos="284"/>
        </w:tabs>
        <w:jc w:val="both"/>
      </w:pPr>
      <w:r>
        <w:tab/>
      </w:r>
      <w:r>
        <w:t xml:space="preserve">To suppress cross-channel noise propagation, the batch dimension </w:t>
      </w:r>
      <m:oMath>
        <m:r>
          <m:rPr/>
          <w:rPr>
            <w:rFonts w:ascii="Cambria Math" w:hAnsi="Cambria Math"/>
          </w:rPr>
          <m:t>B</m:t>
        </m:r>
      </m:oMath>
      <w:r>
        <w:t xml:space="preserve"> and sensor channel dimension </w:t>
      </w:r>
      <m:oMath>
        <m:r>
          <m:rPr/>
          <w:rPr>
            <w:rFonts w:ascii="Cambria Math" w:hAnsi="Cambria Math"/>
          </w:rPr>
          <m:t>C</m:t>
        </m:r>
      </m:oMath>
      <w:r>
        <w:t xml:space="preserve"> are flattened, enforcing a strict channel-independence constraint:</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66"/>
        <w:gridCol w:w="450"/>
      </w:tblGrid>
      <w:tr w14:paraId="42729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66" w:type="dxa"/>
            <w:vAlign w:val="center"/>
          </w:tcPr>
          <w:p w14:paraId="2D8F6BAF">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m:nor/>
                        <m:sty m:val="p"/>
                      </m:rPr>
                      <w:rPr>
                        <w:rFonts w:ascii="Cambria Math" w:hAnsi="Cambria Math"/>
                      </w:rPr>
                      <m:t>flat</m:t>
                    </m:r>
                    <m:ctrlPr>
                      <w:rPr>
                        <w:rFonts w:ascii="Cambria Math" w:hAnsi="Cambria Math"/>
                        <w:i/>
                      </w:rPr>
                    </m:ctrlPr>
                  </m:sub>
                </m:sSub>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d>
                      <m:dPr>
                        <m:ctrlPr>
                          <w:rPr>
                            <w:rFonts w:ascii="Cambria Math" w:hAnsi="Cambria Math"/>
                            <w:i/>
                          </w:rPr>
                        </m:ctrlPr>
                      </m:dPr>
                      <m:e>
                        <m:r>
                          <m:rPr/>
                          <w:rPr>
                            <w:rFonts w:ascii="Cambria Math" w:hAnsi="Cambria Math"/>
                          </w:rPr>
                          <m:t>B</m:t>
                        </m:r>
                        <m:r>
                          <m:rPr>
                            <m:sty m:val="p"/>
                          </m:rPr>
                          <w:rPr>
                            <w:rFonts w:ascii="Cambria Math" w:hAnsi="Cambria Math"/>
                          </w:rPr>
                          <m:t>×</m:t>
                        </m:r>
                        <m:r>
                          <m:rPr/>
                          <w:rPr>
                            <w:rFonts w:ascii="Cambria Math" w:hAnsi="Cambria Math"/>
                          </w:rPr>
                          <m:t>C</m:t>
                        </m:r>
                        <m:ctrlPr>
                          <w:rPr>
                            <w:rFonts w:ascii="Cambria Math" w:hAnsi="Cambria Math"/>
                            <w:i/>
                          </w:rPr>
                        </m:ctrlPr>
                      </m:e>
                    </m:d>
                    <m:r>
                      <m:rPr>
                        <m:sty m:val="p"/>
                      </m:rPr>
                      <w:rPr>
                        <w:rFonts w:ascii="Cambria Math" w:hAnsi="Cambria Math"/>
                      </w:rPr>
                      <m:t>×</m:t>
                    </m:r>
                    <m:r>
                      <m:rPr/>
                      <w:rPr>
                        <w:rFonts w:ascii="Cambria Math" w:hAnsi="Cambria Math"/>
                      </w:rPr>
                      <m:t>M</m:t>
                    </m:r>
                    <m:r>
                      <m:rPr>
                        <m:sty m:val="p"/>
                      </m:rPr>
                      <w:rPr>
                        <w:rFonts w:ascii="Cambria Math" w:hAnsi="Cambria Math"/>
                      </w:rPr>
                      <m:t>×</m:t>
                    </m:r>
                    <m:r>
                      <m:rPr/>
                      <w:rPr>
                        <w:rFonts w:ascii="Cambria Math" w:hAnsi="Cambria Math"/>
                      </w:rPr>
                      <m:t>D</m:t>
                    </m:r>
                    <m:ctrlPr>
                      <w:rPr>
                        <w:rFonts w:ascii="Cambria Math" w:hAnsi="Cambria Math"/>
                        <w:i/>
                      </w:rPr>
                    </m:ctrlPr>
                  </m:sup>
                </m:sSup>
              </m:oMath>
            </m:oMathPara>
          </w:p>
        </w:tc>
        <w:tc>
          <w:tcPr>
            <w:tcW w:w="278" w:type="dxa"/>
            <w:vAlign w:val="center"/>
          </w:tcPr>
          <w:p w14:paraId="7222F735">
            <w:r>
              <w:t>(7)</w:t>
            </w:r>
          </w:p>
        </w:tc>
      </w:tr>
    </w:tbl>
    <w:p w14:paraId="2377999A">
      <w:pPr>
        <w:tabs>
          <w:tab w:val="left" w:pos="284"/>
        </w:tabs>
        <w:jc w:val="both"/>
      </w:pPr>
      <w:r>
        <w:tab/>
      </w:r>
      <w:r>
        <w:t xml:space="preserve">The flattened latent representation is forwarded through a series of hybrid selective state space blocks. Within each block, the hidden input signal </w:t>
      </w:r>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m</m:t>
            </m:r>
            <m:ctrlPr>
              <w:rPr>
                <w:rFonts w:ascii="Cambria Math" w:hAnsi="Cambria Math"/>
                <w:i/>
              </w:rPr>
            </m:ctrlPr>
          </m:sub>
        </m:sSub>
      </m:oMath>
      <w:r>
        <w:t xml:space="preserve"> at patch step </w:t>
      </w:r>
      <m:oMath>
        <m:r>
          <m:rPr/>
          <w:rPr>
            <w:rFonts w:ascii="Cambria Math" w:hAnsi="Cambria Math"/>
          </w:rPr>
          <m:t>m</m:t>
        </m:r>
      </m:oMath>
      <w:r>
        <w:t xml:space="preserve"> is routed to a localized 1D convolutional branch with a kernel width </w:t>
      </w:r>
      <m:oMath>
        <m:r>
          <m:rPr/>
          <w:rPr>
            <w:rFonts w:ascii="Cambria Math" w:hAnsi="Cambria Math"/>
          </w:rPr>
          <m:t>K</m:t>
        </m:r>
      </m:oMath>
      <w:r>
        <w:t xml:space="preserve"> and a non-linear SiLU activation function to eliminate instrument noise:</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66"/>
        <w:gridCol w:w="450"/>
      </w:tblGrid>
      <w:tr w14:paraId="280355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66" w:type="dxa"/>
            <w:vAlign w:val="center"/>
          </w:tcPr>
          <w:p w14:paraId="29B1B3C2">
            <m:oMathPara>
              <m:oMath>
                <m:sSubSup>
                  <m:sSubSupPr>
                    <m:ctrlPr>
                      <w:rPr>
                        <w:rFonts w:ascii="Cambria Math" w:hAnsi="Cambria Math"/>
                        <w:i/>
                      </w:rPr>
                    </m:ctrlPr>
                  </m:sSubSupPr>
                  <m:e>
                    <m:r>
                      <m:rPr/>
                      <w:rPr>
                        <w:rFonts w:ascii="Cambria Math" w:hAnsi="Cambria Math"/>
                      </w:rPr>
                      <m:t>Z</m:t>
                    </m:r>
                    <m:ctrlPr>
                      <w:rPr>
                        <w:rFonts w:ascii="Cambria Math" w:hAnsi="Cambria Math"/>
                        <w:i/>
                      </w:rPr>
                    </m:ctrlPr>
                  </m:e>
                  <m:sub>
                    <m:r>
                      <m:rPr/>
                      <w:rPr>
                        <w:rFonts w:ascii="Cambria Math" w:hAnsi="Cambria Math"/>
                      </w:rPr>
                      <m:t>m</m:t>
                    </m:r>
                    <m:ctrlPr>
                      <w:rPr>
                        <w:rFonts w:ascii="Cambria Math" w:hAnsi="Cambria Math"/>
                        <w:i/>
                      </w:rPr>
                    </m:ctrlPr>
                  </m:sub>
                  <m:sup>
                    <m:r>
                      <m:rPr/>
                      <w:rPr>
                        <w:rFonts w:ascii="Cambria Math" w:hAnsi="Cambria Math"/>
                      </w:rPr>
                      <m:t>'</m:t>
                    </m:r>
                    <m:ctrlPr>
                      <w:rPr>
                        <w:rFonts w:ascii="Cambria Math" w:hAnsi="Cambria Math"/>
                        <w:i/>
                      </w:rPr>
                    </m:ctrlPr>
                  </m:sup>
                </m:sSubSup>
                <m:r>
                  <m:rPr/>
                  <w:rPr>
                    <w:rFonts w:ascii="Cambria Math" w:hAnsi="Cambria Math"/>
                  </w:rPr>
                  <m:t>=</m:t>
                </m:r>
                <m:r>
                  <m:rPr>
                    <m:nor/>
                    <m:sty m:val="p"/>
                  </m:rPr>
                  <w:rPr>
                    <w:rFonts w:ascii="Cambria Math" w:hAnsi="Cambria Math"/>
                  </w:rPr>
                  <m:t>SiLU</m:t>
                </m:r>
                <m:d>
                  <m:dPr>
                    <m:ctrlPr>
                      <w:rPr>
                        <w:rFonts w:ascii="Cambria Math" w:hAnsi="Cambria Math"/>
                        <w:i/>
                      </w:rPr>
                    </m:ctrlPr>
                  </m:dPr>
                  <m:e>
                    <m:r>
                      <m:rPr>
                        <m:nor/>
                        <m:sty m:val="p"/>
                      </m:rPr>
                      <w:rPr>
                        <w:rFonts w:ascii="Cambria Math" w:hAnsi="Cambria Math"/>
                      </w:rPr>
                      <m:t>Conv1D</m:t>
                    </m:r>
                    <m:d>
                      <m:dPr>
                        <m:ctrlPr>
                          <w:rPr>
                            <w:rFonts w:ascii="Cambria Math" w:hAnsi="Cambria Math"/>
                            <w:i/>
                          </w:rPr>
                        </m:ctrlPr>
                      </m:dPr>
                      <m:e>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m</m:t>
                            </m:r>
                            <m:ctrlPr>
                              <w:rPr>
                                <w:rFonts w:ascii="Cambria Math" w:hAnsi="Cambria Math"/>
                                <w:i/>
                              </w:rPr>
                            </m:ctrlPr>
                          </m:sub>
                        </m:sSub>
                        <m:ctrlPr>
                          <w:rPr>
                            <w:rFonts w:ascii="Cambria Math" w:hAnsi="Cambria Math"/>
                            <w:i/>
                          </w:rPr>
                        </m:ctrlPr>
                      </m:e>
                    </m:d>
                    <m:ctrlPr>
                      <w:rPr>
                        <w:rFonts w:ascii="Cambria Math" w:hAnsi="Cambria Math"/>
                        <w:i/>
                      </w:rPr>
                    </m:ctrlPr>
                  </m:e>
                </m:d>
              </m:oMath>
            </m:oMathPara>
          </w:p>
        </w:tc>
        <w:tc>
          <w:tcPr>
            <w:tcW w:w="278" w:type="dxa"/>
            <w:vAlign w:val="center"/>
          </w:tcPr>
          <w:p w14:paraId="2149D1D3">
            <w:r>
              <w:t>(8)</w:t>
            </w:r>
          </w:p>
        </w:tc>
      </w:tr>
    </w:tbl>
    <w:p w14:paraId="17F48E30">
      <w:pPr>
        <w:tabs>
          <w:tab w:val="left" w:pos="284"/>
        </w:tabs>
        <w:jc w:val="both"/>
      </w:pPr>
      <w:r>
        <w:tab/>
      </w:r>
      <w:r>
        <w:t xml:space="preserve">The filtered feature stream </w:t>
      </w:r>
      <m:oMath>
        <m:sSubSup>
          <m:sSubSupPr>
            <m:ctrlPr>
              <w:rPr>
                <w:rFonts w:ascii="Cambria Math" w:hAnsi="Cambria Math"/>
                <w:i/>
              </w:rPr>
            </m:ctrlPr>
          </m:sSubSupPr>
          <m:e>
            <m:r>
              <m:rPr/>
              <w:rPr>
                <w:rFonts w:ascii="Cambria Math" w:hAnsi="Cambria Math"/>
              </w:rPr>
              <m:t>Z</m:t>
            </m:r>
            <m:ctrlPr>
              <w:rPr>
                <w:rFonts w:ascii="Cambria Math" w:hAnsi="Cambria Math"/>
                <w:i/>
              </w:rPr>
            </m:ctrlPr>
          </m:e>
          <m:sub>
            <m:r>
              <m:rPr/>
              <w:rPr>
                <w:rFonts w:ascii="Cambria Math" w:hAnsi="Cambria Math"/>
              </w:rPr>
              <m:t>m</m:t>
            </m:r>
            <m:ctrlPr>
              <w:rPr>
                <w:rFonts w:ascii="Cambria Math" w:hAnsi="Cambria Math"/>
                <w:i/>
              </w:rPr>
            </m:ctrlPr>
          </m:sub>
          <m:sup>
            <m:r>
              <m:rPr/>
              <w:rPr>
                <w:rFonts w:ascii="Cambria Math" w:hAnsi="Cambria Math"/>
              </w:rPr>
              <m:t>'</m:t>
            </m:r>
            <m:ctrlPr>
              <w:rPr>
                <w:rFonts w:ascii="Cambria Math" w:hAnsi="Cambria Math"/>
                <w:i/>
              </w:rPr>
            </m:ctrlPr>
          </m:sup>
        </m:sSubSup>
      </m:oMath>
      <w:r>
        <w:t xml:space="preserve"> serves as the input driver for the selective continuous state space model, which executes hidden state transitions using data-dependent coefficient matrices:</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088"/>
        <w:gridCol w:w="556"/>
      </w:tblGrid>
      <w:tr w14:paraId="62A72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088" w:type="dxa"/>
            <w:vAlign w:val="center"/>
          </w:tcPr>
          <w:p w14:paraId="501BB149">
            <m:oMathPara>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m</m:t>
                    </m:r>
                    <m:ctrlPr>
                      <w:rPr>
                        <w:rFonts w:ascii="Cambria Math" w:hAnsi="Cambria Math"/>
                        <w:i/>
                      </w:rPr>
                    </m:ctrlPr>
                  </m:sub>
                </m:sSub>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m−1</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m</m:t>
                    </m:r>
                    <m:ctrlPr>
                      <w:rPr>
                        <w:rFonts w:ascii="Cambria Math" w:hAnsi="Cambria Math"/>
                        <w:i/>
                      </w:rPr>
                    </m:ctrlPr>
                  </m:sub>
                </m:sSub>
                <m:sSubSup>
                  <m:sSubSupPr>
                    <m:ctrlPr>
                      <w:rPr>
                        <w:rFonts w:ascii="Cambria Math" w:hAnsi="Cambria Math"/>
                        <w:i/>
                      </w:rPr>
                    </m:ctrlPr>
                  </m:sSubSupPr>
                  <m:e>
                    <m:r>
                      <m:rPr/>
                      <w:rPr>
                        <w:rFonts w:ascii="Cambria Math" w:hAnsi="Cambria Math"/>
                      </w:rPr>
                      <m:t>Z</m:t>
                    </m:r>
                    <m:ctrlPr>
                      <w:rPr>
                        <w:rFonts w:ascii="Cambria Math" w:hAnsi="Cambria Math"/>
                        <w:i/>
                      </w:rPr>
                    </m:ctrlPr>
                  </m:e>
                  <m:sub>
                    <m:r>
                      <m:rPr/>
                      <w:rPr>
                        <w:rFonts w:ascii="Cambria Math" w:hAnsi="Cambria Math"/>
                      </w:rPr>
                      <m:t>m</m:t>
                    </m:r>
                    <m:ctrlPr>
                      <w:rPr>
                        <w:rFonts w:ascii="Cambria Math" w:hAnsi="Cambria Math"/>
                        <w:i/>
                      </w:rPr>
                    </m:ctrlPr>
                  </m:sub>
                  <m:sup>
                    <m:r>
                      <m:rPr/>
                      <w:rPr>
                        <w:rFonts w:ascii="Cambria Math" w:hAnsi="Cambria Math"/>
                      </w:rPr>
                      <m:t>'</m:t>
                    </m:r>
                    <m:ctrlPr>
                      <w:rPr>
                        <w:rFonts w:ascii="Cambria Math" w:hAnsi="Cambria Math"/>
                        <w:i/>
                      </w:rPr>
                    </m:ctrlPr>
                  </m:sup>
                </m:sSubSup>
              </m:oMath>
            </m:oMathPara>
          </w:p>
        </w:tc>
        <w:tc>
          <w:tcPr>
            <w:tcW w:w="556" w:type="dxa"/>
            <w:vAlign w:val="center"/>
          </w:tcPr>
          <w:p w14:paraId="516D2166">
            <w:r>
              <w:t>(9)</w:t>
            </w:r>
          </w:p>
        </w:tc>
      </w:tr>
    </w:tbl>
    <w:p w14:paraId="1543F6D4">
      <w:pPr>
        <w:tabs>
          <w:tab w:val="left" w:pos="284"/>
        </w:tabs>
        <w:jc w:val="both"/>
      </w:pP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20"/>
        <w:gridCol w:w="550"/>
      </w:tblGrid>
      <w:tr w14:paraId="32012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66" w:type="dxa"/>
            <w:vAlign w:val="center"/>
          </w:tcPr>
          <w:p w14:paraId="76C96F9E">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C</m:t>
                    </m:r>
                    <m:ctrlPr>
                      <w:rPr>
                        <w:rFonts w:ascii="Cambria Math" w:hAnsi="Cambria Math"/>
                        <w:i/>
                      </w:rPr>
                    </m:ctrlPr>
                  </m:e>
                  <m:sub>
                    <m:r>
                      <m:rPr/>
                      <w:rPr>
                        <w:rFonts w:ascii="Cambria Math" w:hAnsi="Cambria Math"/>
                      </w:rPr>
                      <m:t>m</m:t>
                    </m:r>
                    <m:ctrlPr>
                      <w:rPr>
                        <w:rFonts w:ascii="Cambria Math" w:hAnsi="Cambria Math"/>
                        <w:i/>
                      </w:rPr>
                    </m:ctrlPr>
                  </m:sub>
                </m:sSub>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m</m:t>
                    </m:r>
                    <m:ctrlPr>
                      <w:rPr>
                        <w:rFonts w:ascii="Cambria Math" w:hAnsi="Cambria Math"/>
                        <w:i/>
                      </w:rPr>
                    </m:ctrlPr>
                  </m:sub>
                </m:sSub>
                <m:sSubSup>
                  <m:sSubSupPr>
                    <m:ctrlPr>
                      <w:rPr>
                        <w:rFonts w:ascii="Cambria Math" w:hAnsi="Cambria Math"/>
                        <w:i/>
                      </w:rPr>
                    </m:ctrlPr>
                  </m:sSubSupPr>
                  <m:e>
                    <m:r>
                      <m:rPr/>
                      <w:rPr>
                        <w:rFonts w:ascii="Cambria Math" w:hAnsi="Cambria Math"/>
                      </w:rPr>
                      <m:t>Z</m:t>
                    </m:r>
                    <m:ctrlPr>
                      <w:rPr>
                        <w:rFonts w:ascii="Cambria Math" w:hAnsi="Cambria Math"/>
                        <w:i/>
                      </w:rPr>
                    </m:ctrlPr>
                  </m:e>
                  <m:sub>
                    <m:r>
                      <m:rPr/>
                      <w:rPr>
                        <w:rFonts w:ascii="Cambria Math" w:hAnsi="Cambria Math"/>
                      </w:rPr>
                      <m:t>m</m:t>
                    </m:r>
                    <m:ctrlPr>
                      <w:rPr>
                        <w:rFonts w:ascii="Cambria Math" w:hAnsi="Cambria Math"/>
                        <w:i/>
                      </w:rPr>
                    </m:ctrlPr>
                  </m:sub>
                  <m:sup>
                    <m:r>
                      <m:rPr/>
                      <w:rPr>
                        <w:rFonts w:ascii="Cambria Math" w:hAnsi="Cambria Math"/>
                      </w:rPr>
                      <m:t>'</m:t>
                    </m:r>
                    <m:ctrlPr>
                      <w:rPr>
                        <w:rFonts w:ascii="Cambria Math" w:hAnsi="Cambria Math"/>
                        <w:i/>
                      </w:rPr>
                    </m:ctrlPr>
                  </m:sup>
                </m:sSubSup>
              </m:oMath>
            </m:oMathPara>
          </w:p>
        </w:tc>
        <w:tc>
          <w:tcPr>
            <w:tcW w:w="278" w:type="dxa"/>
            <w:vAlign w:val="center"/>
          </w:tcPr>
          <w:p w14:paraId="28CBEAF3">
            <w:r>
              <w:t>(10)</w:t>
            </w:r>
          </w:p>
        </w:tc>
      </w:tr>
    </w:tbl>
    <w:p w14:paraId="4629498C">
      <w:pPr>
        <w:tabs>
          <w:tab w:val="left" w:pos="284"/>
        </w:tabs>
        <w:jc w:val="both"/>
      </w:pPr>
      <w:r>
        <w:tab/>
      </w:r>
      <w:r>
        <w:t xml:space="preserve">Integrating a 1D convolutional layer directly prior to the linear scanning mechanism forms a robust localized noise barrier. Finally, the global temporal context vector </w:t>
      </w:r>
      <m:oMath>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m</m:t>
            </m:r>
            <m:ctrlPr>
              <w:rPr>
                <w:rFonts w:ascii="Cambria Math" w:hAnsi="Cambria Math"/>
                <w:i/>
              </w:rPr>
            </m:ctrlPr>
          </m:sub>
        </m:sSub>
      </m:oMath>
      <w:r>
        <w:t xml:space="preserve"> is passed to a dedicated forecasting head that projects the latent representation back into the discrete time domain of the future forecast horizon:</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20"/>
        <w:gridCol w:w="550"/>
      </w:tblGrid>
      <w:tr w14:paraId="0A6BA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66" w:type="dxa"/>
            <w:vAlign w:val="center"/>
          </w:tcPr>
          <w:p w14:paraId="6CB45A02">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s</m:t>
                        </m:r>
                        <m:ctrlPr>
                          <w:rPr>
                            <w:rFonts w:ascii="Cambria Math" w:hAnsi="Cambria Math"/>
                            <w:i/>
                          </w:rPr>
                        </m:ctrlPr>
                      </m:sub>
                    </m:sSub>
                    <m:ctrlPr>
                      <w:rPr>
                        <w:rFonts w:ascii="Cambria Math" w:hAnsi="Cambria Math"/>
                      </w:rPr>
                    </m:ctrlPr>
                  </m:e>
                </m:acc>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s</m:t>
                    </m:r>
                    <m:ctrlPr>
                      <w:rPr>
                        <w:rFonts w:ascii="Cambria Math" w:hAnsi="Cambria Math"/>
                        <w:i/>
                      </w:rPr>
                    </m:ctrlPr>
                  </m:sub>
                </m:sSub>
              </m:oMath>
            </m:oMathPara>
          </w:p>
        </w:tc>
        <w:tc>
          <w:tcPr>
            <w:tcW w:w="278" w:type="dxa"/>
            <w:vAlign w:val="center"/>
          </w:tcPr>
          <w:p w14:paraId="5DEDE4B4">
            <w:r>
              <w:t>(11)</w:t>
            </w:r>
          </w:p>
        </w:tc>
      </w:tr>
    </w:tbl>
    <w:p w14:paraId="6797604A">
      <w:pPr>
        <w:pStyle w:val="3"/>
      </w:pPr>
      <w:r>
        <w:t>Physics-Informed Statistical Head</w:t>
      </w:r>
    </w:p>
    <w:p w14:paraId="3555F7FC">
      <w:pPr>
        <w:tabs>
          <w:tab w:val="left" w:pos="284"/>
        </w:tabs>
        <w:jc w:val="both"/>
      </w:pPr>
      <w:r>
        <w:tab/>
      </w:r>
      <w:r>
        <w:t xml:space="preserve">To supplement purely data-driven, black-box hidden spaces, a physical statistical head is structured to anchor the latent optimization within explicit mechanical descriptors. This block extracts an 8-dimensional time-domain statistical vector directly from the raw historical lookback window </w:t>
      </w:r>
      <m:oMath>
        <m:r>
          <m:rPr/>
          <w:rPr>
            <w:rFonts w:ascii="Cambria Math" w:hAnsi="Cambria Math"/>
          </w:rPr>
          <m:t>X</m:t>
        </m:r>
      </m:oMath>
      <w:r>
        <w:t xml:space="preserve"> prior to filtering utilizing the formulation matrix summarized in Table II.</w:t>
      </w:r>
    </w:p>
    <w:p w14:paraId="592B116A">
      <w:pPr>
        <w:pStyle w:val="11"/>
        <w:keepNext/>
      </w:pPr>
      <w:r>
        <w:rPr>
          <w:b/>
          <w:bCs/>
        </w:rPr>
        <w:t xml:space="preserve">Table </w:t>
      </w:r>
      <w:r>
        <w:rPr>
          <w:b/>
          <w:bCs/>
        </w:rPr>
        <w:fldChar w:fldCharType="begin"/>
      </w:r>
      <w:r>
        <w:rPr>
          <w:b/>
          <w:bCs/>
        </w:rPr>
        <w:instrText xml:space="preserve"> SEQ Table \* ARABIC </w:instrText>
      </w:r>
      <w:r>
        <w:rPr>
          <w:b/>
          <w:bCs/>
        </w:rPr>
        <w:fldChar w:fldCharType="separate"/>
      </w:r>
      <w:r>
        <w:rPr>
          <w:b/>
          <w:bCs/>
        </w:rPr>
        <w:t>2</w:t>
      </w:r>
      <w:r>
        <w:rPr>
          <w:b/>
          <w:bCs/>
        </w:rPr>
        <w:fldChar w:fldCharType="end"/>
      </w:r>
      <w:r>
        <w:t>. Physics-Informed Statistical Features Mapping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8"/>
        <w:gridCol w:w="1417"/>
        <w:gridCol w:w="2693"/>
        <w:gridCol w:w="2546"/>
      </w:tblGrid>
      <w:tr w14:paraId="5819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vAlign w:val="center"/>
          </w:tcPr>
          <w:p w14:paraId="0A4380F4">
            <w:pPr>
              <w:jc w:val="left"/>
              <w:rPr>
                <w:b/>
                <w:bCs/>
              </w:rPr>
            </w:pPr>
            <w:r>
              <w:rPr>
                <w:b/>
                <w:bCs/>
              </w:rPr>
              <w:t>Feature Index</w:t>
            </w:r>
          </w:p>
        </w:tc>
        <w:tc>
          <w:tcPr>
            <w:tcW w:w="1417" w:type="dxa"/>
            <w:vAlign w:val="center"/>
          </w:tcPr>
          <w:p w14:paraId="5AB6B7E7">
            <w:pPr>
              <w:jc w:val="left"/>
              <w:rPr>
                <w:b/>
                <w:bCs/>
              </w:rPr>
            </w:pPr>
            <w:r>
              <w:rPr>
                <w:b/>
                <w:bCs/>
              </w:rPr>
              <w:t>Statistical Descriptor</w:t>
            </w:r>
          </w:p>
        </w:tc>
        <w:tc>
          <w:tcPr>
            <w:tcW w:w="2693" w:type="dxa"/>
            <w:vAlign w:val="center"/>
          </w:tcPr>
          <w:p w14:paraId="2EB9F9A7">
            <w:pPr>
              <w:jc w:val="left"/>
              <w:rPr>
                <w:b/>
                <w:bCs/>
              </w:rPr>
            </w:pPr>
            <w:r>
              <w:rPr>
                <w:b/>
                <w:bCs/>
              </w:rPr>
              <w:t>Mathematical Formulation</w:t>
            </w:r>
          </w:p>
        </w:tc>
        <w:tc>
          <w:tcPr>
            <w:tcW w:w="2546" w:type="dxa"/>
            <w:vAlign w:val="center"/>
          </w:tcPr>
          <w:p w14:paraId="2FAB4240">
            <w:pPr>
              <w:jc w:val="left"/>
              <w:rPr>
                <w:b/>
                <w:bCs/>
              </w:rPr>
            </w:pPr>
            <w:r>
              <w:rPr>
                <w:b/>
                <w:bCs/>
              </w:rPr>
              <w:t>Physical Operational Interpretation</w:t>
            </w:r>
          </w:p>
        </w:tc>
      </w:tr>
      <w:tr w14:paraId="7DBD1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vAlign w:val="center"/>
          </w:tcPr>
          <w:p w14:paraId="62C95C0B">
            <w:pPr>
              <w:jc w:val="left"/>
            </w:pPr>
            <w:r>
              <w:t>1</w:t>
            </w:r>
          </w:p>
        </w:tc>
        <w:tc>
          <w:tcPr>
            <w:tcW w:w="1417" w:type="dxa"/>
            <w:vAlign w:val="center"/>
          </w:tcPr>
          <w:p w14:paraId="61DCF307">
            <w:pPr>
              <w:jc w:val="left"/>
            </w:pPr>
            <w:r>
              <w:t>Mean</w:t>
            </w:r>
          </w:p>
        </w:tc>
        <w:tc>
          <w:tcPr>
            <w:tcW w:w="2693" w:type="dxa"/>
            <w:vAlign w:val="center"/>
          </w:tcPr>
          <w:p w14:paraId="746435FF">
            <w:pPr>
              <w:jc w:val="left"/>
            </w:pPr>
            <m:oMath>
              <m:r>
                <m:rPr>
                  <m:sty m:val="p"/>
                </m:rPr>
                <w:rPr>
                  <w:rFonts w:ascii="Cambria Math" w:hAnsi="Cambria Math"/>
                </w:rPr>
                <m:t>μ</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t=1</m:t>
                  </m:r>
                  <m:ctrlPr>
                    <w:rPr>
                      <w:rFonts w:ascii="Cambria Math" w:hAnsi="Cambria Math"/>
                      <w:i/>
                    </w:rPr>
                  </m:ctrlPr>
                </m:sub>
                <m:sup>
                  <m:r>
                    <m:rPr/>
                    <w:rPr>
                      <w:rFonts w:ascii="Cambria Math" w:hAnsi="Cambria Math"/>
                    </w:rPr>
                    <m:t>L</m:t>
                  </m:r>
                  <m:ctrlPr>
                    <w:rPr>
                      <w:rFonts w:ascii="Cambria Math" w:hAnsi="Cambria Math"/>
                      <w:i/>
                    </w:rPr>
                  </m:ctrlPr>
                </m:sup>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ctrlPr>
                    <w:rPr>
                      <w:rFonts w:ascii="Cambria Math" w:hAnsi="Cambria Math"/>
                      <w:i/>
                    </w:rPr>
                  </m:ctrlPr>
                </m:e>
              </m:nary>
            </m:oMath>
            <w:r>
              <w:t xml:space="preserve"> (12)</w:t>
            </w:r>
          </w:p>
        </w:tc>
        <w:tc>
          <w:tcPr>
            <w:tcW w:w="2546" w:type="dxa"/>
            <w:vAlign w:val="center"/>
          </w:tcPr>
          <w:p w14:paraId="43786B67">
            <w:pPr>
              <w:jc w:val="left"/>
            </w:pPr>
            <w:r>
              <w:t>Indicates structural eccentricity and DC-offset components</w:t>
            </w:r>
          </w:p>
        </w:tc>
      </w:tr>
      <w:tr w14:paraId="339A1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vAlign w:val="center"/>
          </w:tcPr>
          <w:p w14:paraId="5AA795B4">
            <w:pPr>
              <w:jc w:val="left"/>
            </w:pPr>
            <w:r>
              <w:t>2</w:t>
            </w:r>
          </w:p>
        </w:tc>
        <w:tc>
          <w:tcPr>
            <w:tcW w:w="1417" w:type="dxa"/>
            <w:vAlign w:val="center"/>
          </w:tcPr>
          <w:p w14:paraId="6A26F307">
            <w:pPr>
              <w:jc w:val="left"/>
            </w:pPr>
            <w:r>
              <w:t>Standard Deviation</w:t>
            </w:r>
          </w:p>
        </w:tc>
        <w:tc>
          <w:tcPr>
            <w:tcW w:w="2693" w:type="dxa"/>
            <w:vAlign w:val="center"/>
          </w:tcPr>
          <w:p w14:paraId="73464F2C">
            <w:pPr>
              <w:jc w:val="left"/>
            </w:pPr>
            <m:oMath>
              <m:r>
                <m:rPr>
                  <m:sty m:val="p"/>
                </m:rPr>
                <w:rPr>
                  <w:rFonts w:ascii="Cambria Math" w:hAnsi="Cambria Math"/>
                </w:rPr>
                <m:t>σ</m:t>
              </m:r>
              <m:r>
                <m:rP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t=1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rPr>
                  </m:ctrlPr>
                </m:e>
              </m:rad>
            </m:oMath>
            <w:r>
              <w:t xml:space="preserve"> (13)</w:t>
            </w:r>
          </w:p>
        </w:tc>
        <w:tc>
          <w:tcPr>
            <w:tcW w:w="2546" w:type="dxa"/>
            <w:vAlign w:val="center"/>
          </w:tcPr>
          <w:p w14:paraId="6B583FF2">
            <w:pPr>
              <w:jc w:val="left"/>
            </w:pPr>
            <w:r>
              <w:t>Measures energy variance surrounding the mean tracking profile</w:t>
            </w:r>
          </w:p>
        </w:tc>
      </w:tr>
      <w:tr w14:paraId="6557E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vAlign w:val="center"/>
          </w:tcPr>
          <w:p w14:paraId="393AD9E8">
            <w:pPr>
              <w:jc w:val="left"/>
            </w:pPr>
            <w:r>
              <w:t>3</w:t>
            </w:r>
          </w:p>
        </w:tc>
        <w:tc>
          <w:tcPr>
            <w:tcW w:w="1417" w:type="dxa"/>
            <w:vAlign w:val="center"/>
          </w:tcPr>
          <w:p w14:paraId="21C67EE3">
            <w:pPr>
              <w:jc w:val="left"/>
            </w:pPr>
            <w:r>
              <w:t>Root Mean Square</w:t>
            </w:r>
          </w:p>
        </w:tc>
        <w:tc>
          <w:tcPr>
            <w:tcW w:w="2693" w:type="dxa"/>
            <w:vAlign w:val="center"/>
          </w:tcPr>
          <w:p w14:paraId="56FE89A1">
            <w:pPr>
              <w:jc w:val="left"/>
            </w:pPr>
            <m:oMath>
              <m:sSub>
                <m:sSubPr>
                  <m:ctrlPr>
                    <w:rPr>
                      <w:rFonts w:ascii="Cambria Math" w:hAnsi="Cambria Math"/>
                      <w:i/>
                    </w:rPr>
                  </m:ctrlPr>
                </m:sSubPr>
                <m:e>
                  <m:r>
                    <m:rPr/>
                    <w:rPr>
                      <w:rFonts w:ascii="Cambria Math" w:hAnsi="Cambria Math"/>
                    </w:rPr>
                    <m:t>x</m:t>
                  </m:r>
                  <m:ctrlPr>
                    <w:rPr>
                      <w:rFonts w:ascii="Cambria Math" w:hAnsi="Cambria Math"/>
                      <w:i/>
                    </w:rPr>
                  </m:ctrlPr>
                </m:e>
                <m:sub>
                  <m:r>
                    <m:rPr>
                      <m:nor/>
                      <m:sty m:val="p"/>
                    </m:rPr>
                    <w:rPr>
                      <w:rFonts w:ascii="Cambria Math" w:hAnsi="Cambria Math"/>
                    </w:rPr>
                    <m:t>rms</m:t>
                  </m:r>
                  <m:ctrlPr>
                    <w:rPr>
                      <w:rFonts w:ascii="Cambria Math" w:hAnsi="Cambria Math"/>
                      <w:i/>
                    </w:rPr>
                  </m:ctrlPr>
                </m:sub>
              </m:sSub>
              <m:r>
                <m:rP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t=1</m:t>
                      </m:r>
                      <m:ctrlPr>
                        <w:rPr>
                          <w:rFonts w:ascii="Cambria Math" w:hAnsi="Cambria Math"/>
                          <w:i/>
                        </w:rPr>
                      </m:ctrlPr>
                    </m:sub>
                    <m:sup>
                      <m:r>
                        <m:rPr/>
                        <w:rPr>
                          <w:rFonts w:ascii="Cambria Math" w:hAnsi="Cambria Math"/>
                        </w:rPr>
                        <m:t>L</m:t>
                      </m:r>
                      <m:ctrlPr>
                        <w:rPr>
                          <w:rFonts w:ascii="Cambria Math" w:hAnsi="Cambria Math"/>
                          <w:i/>
                        </w:rPr>
                      </m:ctrlPr>
                    </m:sup>
                    <m:e>
                      <m:sSubSup>
                        <m:sSubSupPr>
                          <m:ctrlPr>
                            <w:rPr>
                              <w:rFonts w:ascii="Cambria Math" w:hAnsi="Cambria Math"/>
                              <w:i/>
                            </w:rPr>
                          </m:ctrlPr>
                        </m:sSubSup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up>
                          <m:r>
                            <m:rPr/>
                            <w:rPr>
                              <w:rFonts w:ascii="Cambria Math" w:hAnsi="Cambria Math"/>
                            </w:rPr>
                            <m:t>2</m:t>
                          </m:r>
                          <m:ctrlPr>
                            <w:rPr>
                              <w:rFonts w:ascii="Cambria Math" w:hAnsi="Cambria Math"/>
                              <w:i/>
                            </w:rPr>
                          </m:ctrlPr>
                        </m:sup>
                      </m:sSubSup>
                      <m:ctrlPr>
                        <w:rPr>
                          <w:rFonts w:ascii="Cambria Math" w:hAnsi="Cambria Math"/>
                          <w:i/>
                        </w:rPr>
                      </m:ctrlPr>
                    </m:e>
                  </m:nary>
                  <m:ctrlPr>
                    <w:rPr>
                      <w:rFonts w:ascii="Cambria Math" w:hAnsi="Cambria Math"/>
                    </w:rPr>
                  </m:ctrlPr>
                </m:e>
              </m:rad>
            </m:oMath>
            <w:r>
              <w:t xml:space="preserve"> (14)</w:t>
            </w:r>
          </w:p>
        </w:tc>
        <w:tc>
          <w:tcPr>
            <w:tcW w:w="2546" w:type="dxa"/>
            <w:vAlign w:val="center"/>
          </w:tcPr>
          <w:p w14:paraId="7DF2C40B">
            <w:pPr>
              <w:jc w:val="left"/>
            </w:pPr>
            <w:r>
              <w:t>Tracks total destructive structural fatigue and degradation energy</w:t>
            </w:r>
          </w:p>
        </w:tc>
      </w:tr>
      <w:tr w14:paraId="5B5C1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vAlign w:val="center"/>
          </w:tcPr>
          <w:p w14:paraId="77ADD903">
            <w:pPr>
              <w:jc w:val="left"/>
            </w:pPr>
            <w:r>
              <w:t>4</w:t>
            </w:r>
          </w:p>
        </w:tc>
        <w:tc>
          <w:tcPr>
            <w:tcW w:w="1417" w:type="dxa"/>
            <w:vAlign w:val="center"/>
          </w:tcPr>
          <w:p w14:paraId="636B34E2">
            <w:pPr>
              <w:jc w:val="left"/>
            </w:pPr>
            <w:r>
              <w:t>Peak-to-Peak</w:t>
            </w:r>
          </w:p>
        </w:tc>
        <w:tc>
          <w:tcPr>
            <w:tcW w:w="2693" w:type="dxa"/>
            <w:vAlign w:val="center"/>
          </w:tcPr>
          <w:p w14:paraId="22D8B86A">
            <w:pPr>
              <w:jc w:val="left"/>
            </w:pPr>
            <m:oMath>
              <m:sSub>
                <m:sSubPr>
                  <m:ctrlPr>
                    <w:rPr>
                      <w:rFonts w:ascii="Cambria Math" w:hAnsi="Cambria Math"/>
                      <w:i/>
                    </w:rPr>
                  </m:ctrlPr>
                </m:sSubPr>
                <m:e>
                  <m:r>
                    <m:rPr/>
                    <w:rPr>
                      <w:rFonts w:ascii="Cambria Math" w:hAnsi="Cambria Math"/>
                    </w:rPr>
                    <m:t>x</m:t>
                  </m:r>
                  <m:ctrlPr>
                    <w:rPr>
                      <w:rFonts w:ascii="Cambria Math" w:hAnsi="Cambria Math"/>
                      <w:i/>
                    </w:rPr>
                  </m:ctrlPr>
                </m:e>
                <m:sub>
                  <m:r>
                    <m:rPr>
                      <m:nor/>
                      <m:sty m:val="p"/>
                    </m:rPr>
                    <w:rPr>
                      <w:rFonts w:ascii="Cambria Math" w:hAnsi="Cambria Math"/>
                    </w:rPr>
                    <m:t>p-p</m:t>
                  </m:r>
                  <m:ctrlPr>
                    <w:rPr>
                      <w:rFonts w:ascii="Cambria Math" w:hAnsi="Cambria Math"/>
                      <w:i/>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oMath>
            <w:r>
              <w:t xml:space="preserve"> (15)</w:t>
            </w:r>
          </w:p>
        </w:tc>
        <w:tc>
          <w:tcPr>
            <w:tcW w:w="2546" w:type="dxa"/>
            <w:vAlign w:val="center"/>
          </w:tcPr>
          <w:p w14:paraId="6F278D14">
            <w:pPr>
              <w:jc w:val="left"/>
            </w:pPr>
            <w:r>
              <w:t>Captures absolute maximum shock amplitude range within the window</w:t>
            </w:r>
          </w:p>
        </w:tc>
      </w:tr>
      <w:tr w14:paraId="1139D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2" w:hRule="atLeast"/>
        </w:trPr>
        <w:tc>
          <w:tcPr>
            <w:tcW w:w="988" w:type="dxa"/>
            <w:vAlign w:val="center"/>
          </w:tcPr>
          <w:p w14:paraId="77269C6E">
            <w:pPr>
              <w:jc w:val="left"/>
            </w:pPr>
            <w:r>
              <w:t>5</w:t>
            </w:r>
          </w:p>
        </w:tc>
        <w:tc>
          <w:tcPr>
            <w:tcW w:w="1417" w:type="dxa"/>
            <w:vAlign w:val="center"/>
          </w:tcPr>
          <w:p w14:paraId="1F4C258B">
            <w:pPr>
              <w:jc w:val="left"/>
            </w:pPr>
            <w:r>
              <w:t>Skewness</w:t>
            </w:r>
          </w:p>
        </w:tc>
        <w:tc>
          <w:tcPr>
            <w:tcW w:w="2693" w:type="dxa"/>
            <w:vAlign w:val="center"/>
          </w:tcPr>
          <w:p w14:paraId="47490975">
            <w:pPr>
              <w:jc w:val="left"/>
            </w:pPr>
            <m:oMath>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k</m:t>
                  </m:r>
                  <m:ctrlPr>
                    <w:rPr>
                      <w:rFonts w:ascii="Cambria Math" w:hAnsi="Cambria Math"/>
                      <w:i/>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m:rPr/>
                        <w:rPr>
                          <w:rFonts w:ascii="Cambria Math" w:hAnsi="Cambria Math"/>
                        </w:rPr>
                        <m:t>3</m:t>
                      </m:r>
                      <m:ctrlPr>
                        <w:rPr>
                          <w:rFonts w:ascii="Cambria Math" w:hAnsi="Cambria Math"/>
                          <w:i/>
                        </w:rPr>
                      </m:ctrlPr>
                    </m:sup>
                  </m:sSup>
                  <m:ctrlPr>
                    <w:rPr>
                      <w:rFonts w:ascii="Cambria Math" w:hAnsi="Cambria Math"/>
                      <w:i/>
                    </w:rPr>
                  </m:ctrlPr>
                </m:den>
              </m:f>
              <m:nary>
                <m:naryPr>
                  <m:chr m:val="∑"/>
                  <m:ctrlPr>
                    <w:rPr>
                      <w:rFonts w:ascii="Cambria Math" w:hAnsi="Cambria Math"/>
                    </w:rPr>
                  </m:ctrlPr>
                </m:naryPr>
                <m:sub>
                  <m:r>
                    <m:rPr/>
                    <w:rPr>
                      <w:rFonts w:ascii="Cambria Math" w:hAnsi="Cambria Math"/>
                    </w:rPr>
                    <m:t>t=1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t</m:t>
                              </m:r>
                              <m:ctrlPr>
                                <w:rPr>
                                  <w:rFonts w:ascii="Cambria Math" w:hAnsi="Cambria Math"/>
                                </w:rPr>
                              </m:ctrlPr>
                            </m:sub>
                          </m:sSub>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3</m:t>
                      </m:r>
                      <m:ctrlPr>
                        <w:rPr>
                          <w:rFonts w:ascii="Cambria Math" w:hAnsi="Cambria Math"/>
                          <w:i/>
                        </w:rPr>
                      </m:ctrlPr>
                    </m:sup>
                  </m:sSup>
                  <m:ctrlPr>
                    <w:rPr>
                      <w:rFonts w:ascii="Cambria Math" w:hAnsi="Cambria Math"/>
                      <w:i/>
                    </w:rPr>
                  </m:ctrlPr>
                </m:e>
              </m:nary>
            </m:oMath>
            <w:r>
              <w:t xml:space="preserve"> (16)</w:t>
            </w:r>
          </w:p>
        </w:tc>
        <w:tc>
          <w:tcPr>
            <w:tcW w:w="2546" w:type="dxa"/>
            <w:vAlign w:val="center"/>
          </w:tcPr>
          <w:p w14:paraId="57FC9DAD">
            <w:pPr>
              <w:jc w:val="left"/>
            </w:pPr>
            <w:r>
              <w:t>Measures distribution asymmetry induced by localized surface pitting</w:t>
            </w:r>
          </w:p>
        </w:tc>
      </w:tr>
      <w:tr w14:paraId="05007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1" w:hRule="atLeast"/>
        </w:trPr>
        <w:tc>
          <w:tcPr>
            <w:tcW w:w="988" w:type="dxa"/>
            <w:vAlign w:val="center"/>
          </w:tcPr>
          <w:p w14:paraId="73EC8D12">
            <w:pPr>
              <w:jc w:val="left"/>
            </w:pPr>
            <w:r>
              <w:t>6</w:t>
            </w:r>
          </w:p>
        </w:tc>
        <w:tc>
          <w:tcPr>
            <w:tcW w:w="1417" w:type="dxa"/>
            <w:vAlign w:val="center"/>
          </w:tcPr>
          <w:p w14:paraId="54ECD629">
            <w:pPr>
              <w:jc w:val="left"/>
            </w:pPr>
            <w:r>
              <w:t>Kurtosis</w:t>
            </w:r>
          </w:p>
        </w:tc>
        <w:tc>
          <w:tcPr>
            <w:tcW w:w="2693" w:type="dxa"/>
            <w:vAlign w:val="center"/>
          </w:tcPr>
          <w:p w14:paraId="1CE0CF05">
            <w:pPr>
              <w:jc w:val="left"/>
            </w:pPr>
            <m:oMath>
              <m:sSub>
                <m:sSubPr>
                  <m:ctrlPr>
                    <w:rPr>
                      <w:rFonts w:ascii="Cambria Math" w:hAnsi="Cambria Math"/>
                      <w:i/>
                    </w:rPr>
                  </m:ctrlPr>
                </m:sSubPr>
                <m:e>
                  <m:r>
                    <m:rPr/>
                    <w:rPr>
                      <w:rFonts w:ascii="Cambria Math" w:hAnsi="Cambria Math"/>
                    </w:rPr>
                    <m:t>K</m:t>
                  </m:r>
                  <m:ctrlPr>
                    <w:rPr>
                      <w:rFonts w:ascii="Cambria Math" w:hAnsi="Cambria Math"/>
                      <w:i/>
                    </w:rPr>
                  </m:ctrlPr>
                </m:e>
                <m:sub>
                  <m:r>
                    <m:rPr/>
                    <w:rPr>
                      <w:rFonts w:ascii="Cambria Math" w:hAnsi="Cambria Math"/>
                    </w:rPr>
                    <m:t>u</m:t>
                  </m:r>
                  <m:ctrlPr>
                    <w:rPr>
                      <w:rFonts w:ascii="Cambria Math" w:hAnsi="Cambria Math"/>
                      <w:i/>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m:rPr/>
                        <w:rPr>
                          <w:rFonts w:ascii="Cambria Math" w:hAnsi="Cambria Math"/>
                        </w:rPr>
                        <m:t>4</m:t>
                      </m:r>
                      <m:ctrlPr>
                        <w:rPr>
                          <w:rFonts w:ascii="Cambria Math" w:hAnsi="Cambria Math"/>
                          <w:i/>
                        </w:rPr>
                      </m:ctrlPr>
                    </m:sup>
                  </m:sSup>
                  <m:ctrlPr>
                    <w:rPr>
                      <w:rFonts w:ascii="Cambria Math" w:hAnsi="Cambria Math"/>
                      <w:i/>
                    </w:rPr>
                  </m:ctrlPr>
                </m:den>
              </m:f>
              <m:nary>
                <m:naryPr>
                  <m:chr m:val="∑"/>
                  <m:ctrlPr>
                    <w:rPr>
                      <w:rFonts w:ascii="Cambria Math" w:hAnsi="Cambria Math"/>
                    </w:rPr>
                  </m:ctrlPr>
                </m:naryPr>
                <m:sub>
                  <m:r>
                    <m:rPr/>
                    <w:rPr>
                      <w:rFonts w:ascii="Cambria Math" w:hAnsi="Cambria Math"/>
                    </w:rPr>
                    <m:t>t=1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4</m:t>
                      </m:r>
                      <m:ctrlPr>
                        <w:rPr>
                          <w:rFonts w:ascii="Cambria Math" w:hAnsi="Cambria Math"/>
                          <w:i/>
                        </w:rPr>
                      </m:ctrlPr>
                    </m:sup>
                  </m:sSup>
                  <m:ctrlPr>
                    <w:rPr>
                      <w:rFonts w:ascii="Cambria Math" w:hAnsi="Cambria Math"/>
                      <w:i/>
                    </w:rPr>
                  </m:ctrlPr>
                </m:e>
              </m:nary>
            </m:oMath>
            <w:r>
              <w:t xml:space="preserve"> (17)</w:t>
            </w:r>
          </w:p>
        </w:tc>
        <w:tc>
          <w:tcPr>
            <w:tcW w:w="2546" w:type="dxa"/>
            <w:vAlign w:val="center"/>
          </w:tcPr>
          <w:p w14:paraId="7772AA69">
            <w:pPr>
              <w:jc w:val="left"/>
            </w:pPr>
            <w:r>
              <w:t>Maximizes statistical sensitivity to initial transient impact micro-cracks</w:t>
            </w:r>
          </w:p>
        </w:tc>
      </w:tr>
      <w:tr w14:paraId="1E2F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vAlign w:val="center"/>
          </w:tcPr>
          <w:p w14:paraId="7DB43CD2">
            <w:pPr>
              <w:jc w:val="left"/>
            </w:pPr>
            <w:r>
              <w:t>7</w:t>
            </w:r>
          </w:p>
        </w:tc>
        <w:tc>
          <w:tcPr>
            <w:tcW w:w="1417" w:type="dxa"/>
            <w:vAlign w:val="center"/>
          </w:tcPr>
          <w:p w14:paraId="068E2E17">
            <w:pPr>
              <w:jc w:val="left"/>
            </w:pPr>
            <w:r>
              <w:t>Crest Factor</w:t>
            </w:r>
          </w:p>
        </w:tc>
        <w:tc>
          <w:tcPr>
            <w:tcW w:w="2693" w:type="dxa"/>
            <w:vAlign w:val="center"/>
          </w:tcPr>
          <w:p w14:paraId="178AEE1E">
            <w:pPr>
              <w:jc w:val="left"/>
            </w:pPr>
            <m:oMath>
              <m:r>
                <m:rPr/>
                <w:rPr>
                  <w:rFonts w:ascii="Cambria Math" w:hAnsi="Cambria Math"/>
                </w:rPr>
                <m:t>CF=</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m:lit/>
                            </m:rPr>
                            <w:rPr>
                              <w:rFonts w:ascii="Cambria Math" w:hAnsi="Cambria Math"/>
                            </w:rPr>
                            <m:t>|</m:t>
                          </m:r>
                          <m:r>
                            <m:rPr>
                              <m:sty m:val="p"/>
                            </m:rPr>
                            <w:rPr>
                              <w:rFonts w:ascii="Cambria Math" w:hAnsi="Cambria Math"/>
                            </w:rPr>
                            <m:t>x</m:t>
                          </m:r>
                          <m:r>
                            <m:rPr>
                              <m:lit/>
                              <m:sty m:val="p"/>
                            </m:rPr>
                            <w:rPr>
                              <w:rFonts w:ascii="Cambria Math" w:hAnsi="Cambria Math"/>
                            </w:rPr>
                            <m:t>|</m:t>
                          </m:r>
                          <m:ctrlPr>
                            <w:rPr>
                              <w:rFonts w:ascii="Cambria Math" w:hAnsi="Cambria Math"/>
                              <w:i/>
                            </w:rPr>
                          </m:ctrlPr>
                        </m:e>
                      </m:d>
                      <m:ctrlPr>
                        <w:rPr>
                          <w:rFonts w:ascii="Cambria Math" w:hAnsi="Cambria Math"/>
                        </w:rPr>
                      </m:ctrlPr>
                    </m:e>
                  </m:func>
                  <m:ctrlPr>
                    <w:rPr>
                      <w:rFonts w:ascii="Cambria Math" w:hAnsi="Cambria Math"/>
                    </w:rPr>
                  </m:ctrlPr>
                </m:num>
                <m:den>
                  <m:sSub>
                    <m:sSubPr>
                      <m:ctrlPr>
                        <w:rPr>
                          <w:rFonts w:ascii="Cambria Math" w:hAnsi="Cambria Math"/>
                          <w:i/>
                        </w:rPr>
                      </m:ctrlPr>
                    </m:sSubPr>
                    <m:e>
                      <m:r>
                        <m:rPr/>
                        <w:rPr>
                          <w:rFonts w:ascii="Cambria Math" w:hAnsi="Cambria Math"/>
                        </w:rPr>
                        <m:t>x</m:t>
                      </m:r>
                      <m:ctrlPr>
                        <w:rPr>
                          <w:rFonts w:ascii="Cambria Math" w:hAnsi="Cambria Math"/>
                          <w:i/>
                        </w:rPr>
                      </m:ctrlPr>
                    </m:e>
                    <m:sub>
                      <m:r>
                        <m:rPr>
                          <m:nor/>
                          <m:sty m:val="p"/>
                        </m:rPr>
                        <w:rPr>
                          <w:rFonts w:ascii="Cambria Math" w:hAnsi="Cambria Math"/>
                        </w:rPr>
                        <m:t>rms</m:t>
                      </m:r>
                      <m:ctrlPr>
                        <w:rPr>
                          <w:rFonts w:ascii="Cambria Math" w:hAnsi="Cambria Math"/>
                          <w:i/>
                        </w:rPr>
                      </m:ctrlPr>
                    </m:sub>
                  </m:sSub>
                  <m:ctrlPr>
                    <w:rPr>
                      <w:rFonts w:ascii="Cambria Math" w:hAnsi="Cambria Math"/>
                    </w:rPr>
                  </m:ctrlPr>
                </m:den>
              </m:f>
            </m:oMath>
            <w:r>
              <w:t xml:space="preserve"> (18)</w:t>
            </w:r>
          </w:p>
        </w:tc>
        <w:tc>
          <w:tcPr>
            <w:tcW w:w="2546" w:type="dxa"/>
            <w:vAlign w:val="center"/>
          </w:tcPr>
          <w:p w14:paraId="47DDAC7F">
            <w:pPr>
              <w:jc w:val="left"/>
            </w:pPr>
            <w:r>
              <w:t>Evaluates peak sharpness to isolate cracking pulses from background noise</w:t>
            </w:r>
          </w:p>
        </w:tc>
      </w:tr>
      <w:tr w14:paraId="349B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vAlign w:val="center"/>
          </w:tcPr>
          <w:p w14:paraId="18ED603D">
            <w:pPr>
              <w:jc w:val="left"/>
            </w:pPr>
            <w:r>
              <w:t>8</w:t>
            </w:r>
          </w:p>
        </w:tc>
        <w:tc>
          <w:tcPr>
            <w:tcW w:w="1417" w:type="dxa"/>
            <w:vAlign w:val="center"/>
          </w:tcPr>
          <w:p w14:paraId="6591C0A0">
            <w:pPr>
              <w:jc w:val="left"/>
            </w:pPr>
            <w:r>
              <w:t>Shape Factor</w:t>
            </w:r>
          </w:p>
        </w:tc>
        <w:tc>
          <w:tcPr>
            <w:tcW w:w="2693" w:type="dxa"/>
            <w:vAlign w:val="center"/>
          </w:tcPr>
          <w:p w14:paraId="2397AA5F">
            <w:pPr>
              <w:jc w:val="left"/>
            </w:pPr>
            <m:oMath>
              <m:r>
                <m:rPr>
                  <m:nor/>
                  <m:sty m:val="p"/>
                </m:rPr>
                <w:rPr>
                  <w:rFonts w:ascii="Cambria Math" w:hAnsi="Cambria Math"/>
                </w:rPr>
                <m:t>SF</m:t>
              </m:r>
              <m:r>
                <m:rPr/>
                <w:rPr>
                  <w:rFonts w:ascii="Cambria Math" w:hAnsi="Cambria Math"/>
                </w:rPr>
                <m:t>=</m:t>
              </m:r>
              <m:f>
                <m:fPr>
                  <m:ctrlPr>
                    <w:rPr>
                      <w:rFonts w:ascii="Cambria Math" w:hAnsi="Cambria Math"/>
                    </w:rPr>
                  </m:ctrlPr>
                </m:fPr>
                <m:num>
                  <m:sSub>
                    <m:sSubPr>
                      <m:ctrlPr>
                        <w:rPr>
                          <w:rFonts w:ascii="Cambria Math" w:hAnsi="Cambria Math"/>
                          <w:i/>
                        </w:rPr>
                      </m:ctrlPr>
                    </m:sSubPr>
                    <m:e>
                      <m:r>
                        <m:rPr/>
                        <w:rPr>
                          <w:rFonts w:ascii="Cambria Math" w:hAnsi="Cambria Math"/>
                        </w:rPr>
                        <m:t>x</m:t>
                      </m:r>
                      <m:ctrlPr>
                        <w:rPr>
                          <w:rFonts w:ascii="Cambria Math" w:hAnsi="Cambria Math"/>
                          <w:i/>
                        </w:rPr>
                      </m:ctrlPr>
                    </m:e>
                    <m:sub>
                      <m:r>
                        <m:rPr>
                          <m:nor/>
                          <m:sty m:val="p"/>
                        </m:rPr>
                        <w:rPr>
                          <w:rFonts w:ascii="Cambria Math" w:hAnsi="Cambria Math"/>
                        </w:rPr>
                        <m:t>rms</m:t>
                      </m:r>
                      <m:ctrlPr>
                        <w:rPr>
                          <w:rFonts w:ascii="Cambria Math" w:hAnsi="Cambria Math"/>
                          <w:i/>
                        </w:rPr>
                      </m:ctrlPr>
                    </m:sub>
                  </m:sSub>
                  <m:ctrlPr>
                    <w:rPr>
                      <w:rFonts w:ascii="Cambria Math" w:hAnsi="Cambria Math"/>
                      <w:i/>
                    </w:rPr>
                  </m:ctrlPr>
                </m:num>
                <m:den>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t=1</m:t>
                      </m:r>
                      <m:ctrlPr>
                        <w:rPr>
                          <w:rFonts w:ascii="Cambria Math" w:hAnsi="Cambria Math"/>
                          <w:i/>
                        </w:rPr>
                      </m:ctrlPr>
                    </m:sub>
                    <m:sup>
                      <m:r>
                        <m:rP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ctrlPr>
                            <w:rPr>
                              <w:rFonts w:ascii="Cambria Math" w:hAnsi="Cambria Math"/>
                              <w:i/>
                            </w:rPr>
                          </m:ctrlPr>
                        </m:e>
                      </m:d>
                      <m:ctrlPr>
                        <w:rPr>
                          <w:rFonts w:ascii="Cambria Math" w:hAnsi="Cambria Math"/>
                        </w:rPr>
                      </m:ctrlPr>
                    </m:e>
                  </m:nary>
                  <m:ctrlPr>
                    <w:rPr>
                      <w:rFonts w:ascii="Cambria Math" w:hAnsi="Cambria Math"/>
                      <w:i/>
                    </w:rPr>
                  </m:ctrlPr>
                </m:den>
              </m:f>
            </m:oMath>
            <w:r>
              <w:t xml:space="preserve"> (19)</w:t>
            </w:r>
          </w:p>
        </w:tc>
        <w:tc>
          <w:tcPr>
            <w:tcW w:w="2546" w:type="dxa"/>
            <w:vAlign w:val="center"/>
          </w:tcPr>
          <w:p w14:paraId="0C6FB5BD">
            <w:pPr>
              <w:jc w:val="left"/>
            </w:pPr>
            <w:r>
              <w:t>Reflects global structural variations in the wave profile</w:t>
            </w:r>
          </w:p>
        </w:tc>
      </w:tr>
    </w:tbl>
    <w:p w14:paraId="2434A4A5">
      <w:pPr>
        <w:tabs>
          <w:tab w:val="left" w:pos="284"/>
        </w:tabs>
        <w:jc w:val="both"/>
      </w:pPr>
      <w:r>
        <w:tab/>
      </w:r>
      <w:r>
        <w:t xml:space="preserve">This 8-dimensional physical descriptor array </w:t>
      </w:r>
      <m:oMath>
        <m:sSub>
          <m:sSubPr>
            <m:ctrlPr>
              <w:rPr>
                <w:rFonts w:ascii="Cambria Math" w:hAnsi="Cambria Math"/>
                <w:i/>
              </w:rPr>
            </m:ctrlPr>
          </m:sSubPr>
          <m:e>
            <m:r>
              <m:rPr/>
              <w:rPr>
                <w:rFonts w:ascii="Cambria Math" w:hAnsi="Cambria Math"/>
              </w:rPr>
              <m:t>V</m:t>
            </m:r>
            <m:ctrlPr>
              <w:rPr>
                <w:rFonts w:ascii="Cambria Math" w:hAnsi="Cambria Math"/>
                <w:i/>
              </w:rPr>
            </m:ctrlPr>
          </m:e>
          <m:sub>
            <m:r>
              <m:rPr>
                <m:nor/>
                <m:sty m:val="p"/>
              </m:rPr>
              <w:rPr>
                <w:rFonts w:ascii="Cambria Math" w:hAnsi="Cambria Math"/>
              </w:rPr>
              <m:t>stats</m:t>
            </m:r>
            <m:ctrlPr>
              <w:rPr>
                <w:rFonts w:ascii="Cambria Math" w:hAnsi="Cambria Math"/>
                <w:i/>
              </w:rPr>
            </m:ctrlPr>
          </m:sub>
        </m:sSub>
      </m:oMath>
      <w:r>
        <w:t xml:space="preserve"> is normalized via a batch normalization layer and linearly projected before being concatenated directly with the global latent representation generated by the Mamba stream:</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20"/>
        <w:gridCol w:w="550"/>
      </w:tblGrid>
      <w:tr w14:paraId="2BA32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71" w:type="dxa"/>
            <w:vAlign w:val="center"/>
          </w:tcPr>
          <w:p w14:paraId="1C2FCB9B">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m:nor/>
                        <m:sty m:val="p"/>
                      </m:rPr>
                      <w:rPr>
                        <w:rFonts w:ascii="Cambria Math" w:hAnsi="Cambria Math"/>
                      </w:rPr>
                      <m:t>fused</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m</m:t>
                        </m:r>
                        <m:ctrlPr>
                          <w:rPr>
                            <w:rFonts w:ascii="Cambria Math" w:hAnsi="Cambria Math"/>
                            <w:i/>
                          </w:rPr>
                        </m:ctrlPr>
                      </m:sub>
                    </m:sSub>
                    <m:r>
                      <m:rPr>
                        <m:sty m:val="p"/>
                      </m:rPr>
                      <w:rPr>
                        <w:rFonts w:ascii="Cambria Math" w:hAnsi="Cambria Math"/>
                      </w:rPr>
                      <m:t>∥</m:t>
                    </m:r>
                    <m:r>
                      <m:rPr>
                        <m:nor/>
                        <m:sty m:val="p"/>
                      </m:rPr>
                      <w:rPr>
                        <w:rFonts w:ascii="Cambria Math" w:hAnsi="Cambria Math"/>
                      </w:rPr>
                      <m:t>Linear</m:t>
                    </m:r>
                    <m:d>
                      <m:dPr>
                        <m:ctrlPr>
                          <w:rPr>
                            <w:rFonts w:ascii="Cambria Math" w:hAnsi="Cambria Math"/>
                            <w:i/>
                          </w:rPr>
                        </m:ctrlPr>
                      </m:dPr>
                      <m:e>
                        <m:r>
                          <m:rPr>
                            <m:nor/>
                            <m:sty m:val="p"/>
                          </m:rPr>
                          <w:rPr>
                            <w:rFonts w:ascii="Cambria Math" w:hAnsi="Cambria Math"/>
                          </w:rPr>
                          <m:t>BatchNorm</m:t>
                        </m:r>
                        <m:d>
                          <m:dPr>
                            <m:ctrlPr>
                              <w:rPr>
                                <w:rFonts w:ascii="Cambria Math" w:hAnsi="Cambria Math"/>
                                <w:i/>
                              </w:rPr>
                            </m:ctrlPr>
                          </m:dPr>
                          <m:e>
                            <m:sSub>
                              <m:sSubPr>
                                <m:ctrlPr>
                                  <w:rPr>
                                    <w:rFonts w:ascii="Cambria Math" w:hAnsi="Cambria Math"/>
                                    <w:i/>
                                  </w:rPr>
                                </m:ctrlPr>
                              </m:sSubPr>
                              <m:e>
                                <m:r>
                                  <m:rPr/>
                                  <w:rPr>
                                    <w:rFonts w:ascii="Cambria Math" w:hAnsi="Cambria Math"/>
                                  </w:rPr>
                                  <m:t>V</m:t>
                                </m:r>
                                <m:ctrlPr>
                                  <w:rPr>
                                    <w:rFonts w:ascii="Cambria Math" w:hAnsi="Cambria Math"/>
                                    <w:i/>
                                  </w:rPr>
                                </m:ctrlPr>
                              </m:e>
                              <m:sub>
                                <m:r>
                                  <m:rPr>
                                    <m:nor/>
                                    <m:sty m:val="p"/>
                                  </m:rPr>
                                  <w:rPr>
                                    <w:rFonts w:ascii="Cambria Math" w:hAnsi="Cambria Math"/>
                                  </w:rPr>
                                  <m:t>stats</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tc>
        <w:tc>
          <w:tcPr>
            <w:tcW w:w="273" w:type="dxa"/>
            <w:vAlign w:val="center"/>
          </w:tcPr>
          <w:p w14:paraId="70A2ABBC">
            <w:r>
              <w:t>(20)</w:t>
            </w:r>
          </w:p>
        </w:tc>
      </w:tr>
    </w:tbl>
    <w:p w14:paraId="27029377">
      <w:pPr>
        <w:tabs>
          <w:tab w:val="left" w:pos="284"/>
        </w:tabs>
        <w:jc w:val="both"/>
      </w:pPr>
      <w:r>
        <w:tab/>
      </w:r>
      <w:r>
        <w:t xml:space="preserve">This pathway is controlled via a system configuration parameter use_stats_head. If specified as false, the statistical pathway is bypassed to return a pure data-driven seasonal Mamba forecast. To combine the streams, a learnable dual-stream mixing module is implemented using a dynamic weighting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w:rPr>
                <w:rFonts w:ascii="Cambria Math" w:hAnsi="Cambria Math"/>
              </w:rPr>
              <m:t>c</m:t>
            </m:r>
            <m:ctrlPr>
              <w:rPr>
                <w:rFonts w:ascii="Cambria Math" w:hAnsi="Cambria Math"/>
                <w:i/>
              </w:rPr>
            </m:ctrlPr>
          </m:sub>
        </m:sSub>
      </m:oMath>
      <w:r>
        <w:t xml:space="preserve"> optimized independently per sensor channel </w:t>
      </w:r>
      <m:oMath>
        <m:r>
          <m:rPr/>
          <w:rPr>
            <w:rFonts w:ascii="Cambria Math" w:hAnsi="Cambria Math"/>
          </w:rPr>
          <m:t>c</m:t>
        </m:r>
      </m:oMath>
      <w:r>
        <w:t>:</w:t>
      </w:r>
    </w:p>
    <w:tbl>
      <w:tblPr>
        <w:tblStyle w:val="16"/>
        <w:tblW w:w="7654"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104"/>
        <w:gridCol w:w="550"/>
      </w:tblGrid>
      <w:tr w14:paraId="01035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104" w:type="dxa"/>
          </w:tcPr>
          <w:p w14:paraId="6FED1D03">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w:rPr>
                        <w:rFonts w:ascii="Cambria Math" w:hAnsi="Cambria Math"/>
                      </w:rPr>
                      <m:t>c</m:t>
                    </m:r>
                    <m:ctrlPr>
                      <w:rPr>
                        <w:rFonts w:ascii="Cambria Math" w:hAnsi="Cambria Math"/>
                        <w:i/>
                      </w:rPr>
                    </m:ctrlPr>
                  </m:sub>
                </m:sSub>
                <m:r>
                  <m:rP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e>
                </m:d>
              </m:oMath>
            </m:oMathPara>
          </w:p>
        </w:tc>
        <w:tc>
          <w:tcPr>
            <w:tcW w:w="550" w:type="dxa"/>
          </w:tcPr>
          <w:p w14:paraId="767EFED6">
            <w:r>
              <w:t>(21)</w:t>
            </w:r>
          </w:p>
        </w:tc>
      </w:tr>
      <w:tr w14:paraId="15CD6B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104" w:type="dxa"/>
            <w:vAlign w:val="center"/>
          </w:tcPr>
          <w:p w14:paraId="3AE86C68">
            <m:oMathPara>
              <m:oMath>
                <m:acc>
                  <m:accPr>
                    <m:ctrlPr>
                      <w:rPr>
                        <w:rFonts w:ascii="Cambria Math" w:hAnsi="Cambria Math"/>
                      </w:rPr>
                    </m:ctrlPr>
                  </m:accPr>
                  <m:e>
                    <m:r>
                      <m:rPr/>
                      <w:rPr>
                        <w:rFonts w:ascii="Cambria Math" w:hAnsi="Cambria Math"/>
                      </w:rPr>
                      <m:t>Y</m:t>
                    </m:r>
                    <m:ctrlPr>
                      <w:rPr>
                        <w:rFonts w:ascii="Cambria Math" w:hAnsi="Cambria Math"/>
                      </w:rPr>
                    </m:ctrlPr>
                  </m:e>
                </m:acc>
                <m:r>
                  <m:rPr/>
                  <w:rPr>
                    <w:rFonts w:ascii="Cambria Math" w:hAnsi="Cambria Math"/>
                  </w:rPr>
                  <m:t>=</m:t>
                </m:r>
                <m:sSub>
                  <m:sSubPr>
                    <m:ctrlPr>
                      <w:rPr>
                        <w:rFonts w:ascii="Cambria Math" w:hAnsi="Cambria Math"/>
                        <w:i/>
                      </w:rPr>
                    </m:ctrlPr>
                  </m:sSubPr>
                  <m:e>
                    <m:r>
                      <m:rPr>
                        <m:sty m:val="p"/>
                      </m:rPr>
                      <w:rPr>
                        <w:rFonts w:ascii="Cambria Math" w:hAnsi="Cambria Math"/>
                      </w:rPr>
                      <m:t>α</m:t>
                    </m:r>
                    <m:ctrlPr>
                      <w:rPr>
                        <w:rFonts w:ascii="Cambria Math" w:hAnsi="Cambria Math"/>
                        <w:i/>
                      </w:rPr>
                    </m:ctrlPr>
                  </m:e>
                  <m:sub>
                    <m:r>
                      <m:rPr/>
                      <w:rPr>
                        <w:rFonts w:ascii="Cambria Math" w:hAnsi="Cambria Math"/>
                      </w:rPr>
                      <m:t>c</m:t>
                    </m:r>
                    <m:ctrlPr>
                      <w:rPr>
                        <w:rFonts w:ascii="Cambria Math" w:hAnsi="Cambria Math"/>
                        <w:i/>
                      </w:rPr>
                    </m:ctrlPr>
                  </m:sub>
                </m:sSub>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r>
                  <m:rPr/>
                  <w:rPr>
                    <w:rFonts w:ascii="Cambria Math" w:hAnsi="Cambria Math"/>
                  </w:rPr>
                  <m:t>+</m:t>
                </m:r>
                <m:d>
                  <m:dPr>
                    <m:ctrlPr>
                      <w:rPr>
                        <w:rFonts w:ascii="Cambria Math" w:hAnsi="Cambria Math"/>
                        <w:i/>
                      </w:rPr>
                    </m:ctrlPr>
                  </m:dPr>
                  <m:e>
                    <m:r>
                      <m:rPr/>
                      <w:rPr>
                        <w:rFonts w:ascii="Cambria Math" w:hAnsi="Cambria Math"/>
                      </w:rPr>
                      <m:t>1−</m:t>
                    </m:r>
                    <m:sSub>
                      <m:sSubPr>
                        <m:ctrlPr>
                          <w:rPr>
                            <w:rFonts w:ascii="Cambria Math" w:hAnsi="Cambria Math"/>
                            <w:i/>
                          </w:rPr>
                        </m:ctrlPr>
                      </m:sSubPr>
                      <m:e>
                        <m:r>
                          <m:rPr>
                            <m:sty m:val="p"/>
                          </m:rPr>
                          <w:rPr>
                            <w:rFonts w:ascii="Cambria Math" w:hAnsi="Cambria Math"/>
                          </w:rPr>
                          <m:t>α</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e>
                </m:d>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s</m:t>
                        </m:r>
                        <m:ctrlPr>
                          <w:rPr>
                            <w:rFonts w:ascii="Cambria Math" w:hAnsi="Cambria Math"/>
                            <w:i/>
                          </w:rPr>
                        </m:ctrlPr>
                      </m:sub>
                    </m:sSub>
                    <m:ctrlPr>
                      <w:rPr>
                        <w:rFonts w:ascii="Cambria Math" w:hAnsi="Cambria Math"/>
                      </w:rPr>
                    </m:ctrlPr>
                  </m:e>
                </m:acc>
              </m:oMath>
            </m:oMathPara>
          </w:p>
        </w:tc>
        <w:tc>
          <w:tcPr>
            <w:tcW w:w="550" w:type="dxa"/>
            <w:vAlign w:val="center"/>
          </w:tcPr>
          <w:p w14:paraId="01939525">
            <w:r>
              <w:t>(22)</w:t>
            </w:r>
          </w:p>
        </w:tc>
      </w:tr>
    </w:tbl>
    <w:p w14:paraId="2D9846F2">
      <w:pPr>
        <w:tabs>
          <w:tab w:val="left" w:pos="284"/>
        </w:tabs>
        <w:jc w:val="both"/>
      </w:pPr>
      <w:r>
        <w:t xml:space="preserve">where </w:t>
      </w:r>
      <m:oMath>
        <m:r>
          <m:rPr>
            <m:sty m:val="p"/>
          </m:rPr>
          <w:rPr>
            <w:rFonts w:ascii="Cambria Math" w:hAnsi="Cambria Math"/>
          </w:rPr>
          <m:t>σ</m:t>
        </m:r>
      </m:oMath>
      <w:r>
        <w:t xml:space="preserve"> represents the standard Sigmoid activation function and </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c</m:t>
            </m:r>
            <m:ctrlPr>
              <w:rPr>
                <w:rFonts w:ascii="Cambria Math" w:hAnsi="Cambria Math"/>
                <w:i/>
              </w:rPr>
            </m:ctrlPr>
          </m:sub>
        </m:sSub>
      </m:oMath>
      <w:r>
        <w:t xml:space="preserve"> denotes a learnable weight parameter optimized via backpropagation.</w:t>
      </w:r>
    </w:p>
    <w:p w14:paraId="45E672A7">
      <w:pPr>
        <w:pStyle w:val="3"/>
      </w:pPr>
      <w:r>
        <w:t>Leakage-Free POT Thresholding</w:t>
      </w:r>
    </w:p>
    <w:p w14:paraId="34C9481C">
      <w:pPr>
        <w:tabs>
          <w:tab w:val="left" w:pos="284"/>
        </w:tabs>
        <w:jc w:val="both"/>
      </w:pPr>
      <w:r>
        <w:tab/>
      </w:r>
      <w:r>
        <w:t xml:space="preserve">Following the acquisition of the composite forecast sequence </w:t>
      </w:r>
      <m:oMath>
        <m:acc>
          <m:accPr>
            <m:ctrlPr>
              <w:rPr>
                <w:rFonts w:ascii="Cambria Math" w:hAnsi="Cambria Math"/>
              </w:rPr>
            </m:ctrlPr>
          </m:accPr>
          <m:e>
            <m:r>
              <m:rPr/>
              <w:rPr>
                <w:rFonts w:ascii="Cambria Math" w:hAnsi="Cambria Math"/>
              </w:rPr>
              <m:t>Y</m:t>
            </m:r>
            <m:ctrlPr>
              <w:rPr>
                <w:rFonts w:ascii="Cambria Math" w:hAnsi="Cambria Math"/>
              </w:rPr>
            </m:ctrlPr>
          </m:e>
        </m:acc>
      </m:oMath>
      <w:r>
        <w:t xml:space="preserve">, the Anomaly Score at each time window </w:t>
      </w:r>
      <m:oMath>
        <m:r>
          <m:rPr/>
          <w:rPr>
            <w:rFonts w:ascii="Cambria Math" w:hAnsi="Cambria Math"/>
          </w:rPr>
          <m:t>t</m:t>
        </m:r>
      </m:oMath>
      <w:r>
        <w:t xml:space="preserve"> is formally defined via the Mean Squared Error (MSE) computed across all sensor dimensions and steps within the horizon </w:t>
      </w:r>
      <m:oMath>
        <m:r>
          <m:rPr/>
          <w:rPr>
            <w:rFonts w:ascii="Cambria Math" w:hAnsi="Cambria Math"/>
          </w:rPr>
          <m:t>H</m:t>
        </m:r>
      </m:oMath>
      <w:r>
        <w:t>:</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088"/>
        <w:gridCol w:w="556"/>
      </w:tblGrid>
      <w:tr w14:paraId="30903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088" w:type="dxa"/>
            <w:vAlign w:val="center"/>
          </w:tcPr>
          <w:p w14:paraId="6E2DF27F">
            <m:oMathPara>
              <m:oMath>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H</m:t>
                    </m:r>
                    <m:r>
                      <m:rPr>
                        <m:sty m:val="p"/>
                      </m:rPr>
                      <w:rPr>
                        <w:rFonts w:ascii="Cambria Math" w:hAnsi="Cambria Math"/>
                      </w:rPr>
                      <m:t>×</m:t>
                    </m:r>
                    <m:r>
                      <m:rPr/>
                      <w:rPr>
                        <w:rFonts w:ascii="Cambria Math" w:hAnsi="Cambria Math"/>
                      </w:rPr>
                      <m:t>C</m:t>
                    </m:r>
                    <m:ctrlPr>
                      <w:rPr>
                        <w:rFonts w:ascii="Cambria Math" w:hAnsi="Cambria Math"/>
                        <w:i/>
                      </w:rPr>
                    </m:ctrlPr>
                  </m:den>
                </m:f>
                <m:nary>
                  <m:naryPr>
                    <m:chr m:val="∑"/>
                    <m:ctrlPr>
                      <w:rPr>
                        <w:rFonts w:ascii="Cambria Math" w:hAnsi="Cambria Math"/>
                      </w:rPr>
                    </m:ctrlPr>
                  </m:naryPr>
                  <m:sub>
                    <m:r>
                      <m:rPr/>
                      <w:rPr>
                        <w:rFonts w:ascii="Cambria Math" w:hAnsi="Cambria Math"/>
                      </w:rPr>
                      <m:t>h=1</m:t>
                    </m:r>
                    <m:ctrlPr>
                      <w:rPr>
                        <w:rFonts w:ascii="Cambria Math" w:hAnsi="Cambria Math"/>
                        <w:i/>
                      </w:rPr>
                    </m:ctrlPr>
                  </m:sub>
                  <m:sup>
                    <m:r>
                      <m:rPr/>
                      <w:rPr>
                        <w:rFonts w:ascii="Cambria Math" w:hAnsi="Cambria Math"/>
                      </w:rPr>
                      <m:t>H</m:t>
                    </m:r>
                    <m:ctrlPr>
                      <w:rPr>
                        <w:rFonts w:ascii="Cambria Math" w:hAnsi="Cambria Math"/>
                        <w:i/>
                      </w:rPr>
                    </m:ctrlPr>
                  </m:sup>
                  <m:e>
                    <m:nary>
                      <m:naryPr>
                        <m:chr m:val="∑"/>
                        <m:ctrlPr>
                          <w:rPr>
                            <w:rFonts w:ascii="Cambria Math" w:hAnsi="Cambria Math"/>
                          </w:rPr>
                        </m:ctrlPr>
                      </m:naryPr>
                      <m:sub>
                        <m:r>
                          <m:rPr/>
                          <w:rPr>
                            <w:rFonts w:ascii="Cambria Math" w:hAnsi="Cambria Math"/>
                          </w:rPr>
                          <m:t>c=1</m:t>
                        </m:r>
                        <m:ctrlPr>
                          <w:rPr>
                            <w:rFonts w:ascii="Cambria Math" w:hAnsi="Cambria Math"/>
                            <w:i/>
                          </w:rPr>
                        </m:ctrlPr>
                      </m:sub>
                      <m:sup>
                        <m:r>
                          <m:rPr/>
                          <w:rPr>
                            <w:rFonts w:ascii="Cambria Math" w:hAnsi="Cambria Math"/>
                          </w:rPr>
                          <m:t>C</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h,c</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h,c</m:t>
                                        </m:r>
                                        <m:ctrlPr>
                                          <w:rPr>
                                            <w:rFonts w:ascii="Cambria Math" w:hAnsi="Cambria Math"/>
                                            <w:i/>
                                          </w:rPr>
                                        </m:ctrlPr>
                                      </m:sub>
                                    </m:sSub>
                                    <m:ctrlPr>
                                      <w:rPr>
                                        <w:rFonts w:ascii="Cambria Math" w:hAnsi="Cambria Math"/>
                                      </w:rPr>
                                    </m:ctrlPr>
                                  </m:e>
                                </m:acc>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nary>
              </m:oMath>
            </m:oMathPara>
          </w:p>
        </w:tc>
        <w:tc>
          <w:tcPr>
            <w:tcW w:w="556" w:type="dxa"/>
            <w:vAlign w:val="center"/>
          </w:tcPr>
          <w:p w14:paraId="73BCE453">
            <w:r>
              <w:t>(23)</w:t>
            </w:r>
          </w:p>
        </w:tc>
      </w:tr>
    </w:tbl>
    <w:p w14:paraId="3C12CA72">
      <w:pPr>
        <w:tabs>
          <w:tab w:val="left" w:pos="284"/>
        </w:tabs>
        <w:jc w:val="both"/>
      </w:pPr>
      <w:r>
        <w:tab/>
      </w:r>
      <w:r>
        <w:t>To establish dynamic decision boundaries online, Extreme Value Theory (EVT) utilizing the Peak Over Threshold (POT) technique is integrated into the inference loop. The calibration workflow enforces a leakage-free constraint by executing parameter estimation exclusively over the error distribution derived from early-stage healthy operational sequences (</w:t>
      </w:r>
      <m:oMath>
        <m:r>
          <m:rPr/>
          <w:rPr>
            <w:rFonts w:ascii="Cambria Math" w:hAnsi="Cambria Math"/>
          </w:rPr>
          <m:t>bearing</m:t>
        </m:r>
        <m:r>
          <m:rPr>
            <m:lit/>
            <m:sty m:val="p"/>
          </m:rPr>
          <w:rPr>
            <w:rFonts w:ascii="Cambria Math" w:hAnsi="Cambria Math"/>
          </w:rPr>
          <m:t>_</m:t>
        </m:r>
        <m:r>
          <m:rPr>
            <m:sty m:val="p"/>
          </m:rPr>
          <w:rPr>
            <w:rFonts w:ascii="Cambria Math" w:hAnsi="Cambria Math"/>
          </w:rPr>
          <m:t>labels == 0</m:t>
        </m:r>
      </m:oMath>
      <w:r>
        <w:t>), ensuring isolation from future degradation or target fault profiles. The execution procedure is structured via three sequential operational phases:</w:t>
      </w:r>
    </w:p>
    <w:p w14:paraId="37ED39A7">
      <w:pPr>
        <w:pStyle w:val="45"/>
        <w:numPr>
          <w:ilvl w:val="0"/>
          <w:numId w:val="9"/>
        </w:numPr>
        <w:tabs>
          <w:tab w:val="left" w:pos="284"/>
        </w:tabs>
        <w:jc w:val="both"/>
      </w:pPr>
      <w:r>
        <w:t xml:space="preserve">An initial baseline anchor threshold </w:t>
      </w:r>
      <m:oMath>
        <m:sSub>
          <m:sSubPr>
            <m:ctrlPr>
              <w:rPr>
                <w:rFonts w:ascii="Cambria Math" w:hAnsi="Cambria Math"/>
                <w:i/>
              </w:rPr>
            </m:ctrlPr>
          </m:sSubPr>
          <m:e>
            <m:r>
              <m:rPr/>
              <w:rPr>
                <w:rFonts w:ascii="Cambria Math" w:hAnsi="Cambria Math"/>
              </w:rPr>
              <m:t>t</m:t>
            </m:r>
            <m:ctrlPr>
              <w:rPr>
                <w:rFonts w:ascii="Cambria Math" w:hAnsi="Cambria Math"/>
                <w:i/>
              </w:rPr>
            </m:ctrlPr>
          </m:e>
          <m:sub>
            <m:r>
              <m:rPr/>
              <w:rPr>
                <w:rFonts w:ascii="Cambria Math" w:hAnsi="Cambria Math"/>
              </w:rPr>
              <m:t>0</m:t>
            </m:r>
            <m:ctrlPr>
              <w:rPr>
                <w:rFonts w:ascii="Cambria Math" w:hAnsi="Cambria Math"/>
                <w:i/>
              </w:rPr>
            </m:ctrlPr>
          </m:sub>
        </m:sSub>
      </m:oMath>
      <w:r>
        <w:t xml:space="preserve"> is established by computing a high-percentile marker (e.g., 98%) from the anomaly score sequence generated across the healthy training baseline.</w:t>
      </w:r>
    </w:p>
    <w:p w14:paraId="22C98506">
      <w:pPr>
        <w:pStyle w:val="45"/>
        <w:numPr>
          <w:ilvl w:val="0"/>
          <w:numId w:val="9"/>
        </w:numPr>
        <w:tabs>
          <w:tab w:val="left" w:pos="284"/>
        </w:tabs>
        <w:jc w:val="both"/>
      </w:pPr>
      <w:r>
        <w:t xml:space="preserve">The extreme positive excesses exceeding the anchor threshold are filtered and aggregated: </w:t>
      </w:r>
      <m:oMath>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e</m:t>
            </m:r>
            <m:ctrlPr>
              <w:rPr>
                <w:rFonts w:ascii="Cambria Math" w:hAnsi="Cambria Math"/>
                <w:i/>
              </w:rPr>
            </m:ctrlPr>
          </m:sub>
        </m:sSub>
        <m:r>
          <m:rPr/>
          <w:rPr>
            <w:rFonts w:ascii="Cambria Math" w:hAnsi="Cambria Math"/>
          </w:rPr>
          <m:t>=</m:t>
        </m:r>
        <m:r>
          <m:rPr>
            <m:lit/>
            <m:sty m:val="p"/>
          </m:rPr>
          <w:rPr>
            <w:rFonts w:ascii="Cambria Math" w:hAnsi="Cambria Math"/>
          </w:rPr>
          <m:t>{</m:t>
        </m:r>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t</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i/>
              </w:rPr>
            </m:ctrlPr>
          </m:sub>
        </m:sSub>
        <m:r>
          <m:rPr/>
          <w:rPr>
            <w:rFonts w:ascii="Cambria Math" w:hAnsi="Cambria Math"/>
          </w:rPr>
          <m:t>&gt;</m:t>
        </m:r>
        <m:sSub>
          <m:sSubPr>
            <m:ctrlPr>
              <w:rPr>
                <w:rFonts w:ascii="Cambria Math" w:hAnsi="Cambria Math"/>
                <w:i/>
              </w:rPr>
            </m:ctrlPr>
          </m:sSubPr>
          <m:e>
            <m:r>
              <m:rPr/>
              <w:rPr>
                <w:rFonts w:ascii="Cambria Math" w:hAnsi="Cambria Math"/>
              </w:rPr>
              <m:t>t</m:t>
            </m:r>
            <m:ctrlPr>
              <w:rPr>
                <w:rFonts w:ascii="Cambria Math" w:hAnsi="Cambria Math"/>
                <w:i/>
              </w:rPr>
            </m:ctrlPr>
          </m:e>
          <m:sub>
            <m:r>
              <m:rPr/>
              <w:rPr>
                <w:rFonts w:ascii="Cambria Math" w:hAnsi="Cambria Math"/>
              </w:rPr>
              <m:t>0</m:t>
            </m:r>
            <m:ctrlPr>
              <w:rPr>
                <w:rFonts w:ascii="Cambria Math" w:hAnsi="Cambria Math"/>
                <w:i/>
              </w:rPr>
            </m:ctrlPr>
          </m:sub>
        </m:sSub>
        <m:r>
          <m:rPr>
            <m:lit/>
          </m:rPr>
          <w:rPr>
            <w:rFonts w:ascii="Cambria Math" w:hAnsi="Cambria Math"/>
          </w:rPr>
          <m:t>}</m:t>
        </m:r>
      </m:oMath>
      <w:r>
        <w:t>.</w:t>
      </w:r>
    </w:p>
    <w:p w14:paraId="28010A5A">
      <w:pPr>
        <w:pStyle w:val="45"/>
        <w:numPr>
          <w:ilvl w:val="0"/>
          <w:numId w:val="9"/>
        </w:numPr>
        <w:tabs>
          <w:tab w:val="left" w:pos="284"/>
        </w:tabs>
        <w:jc w:val="both"/>
      </w:pPr>
      <w:r>
        <w:t xml:space="preserve">The set of excess values </w:t>
      </w:r>
      <m:oMath>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e</m:t>
            </m:r>
            <m:ctrlPr>
              <w:rPr>
                <w:rFonts w:ascii="Cambria Math" w:hAnsi="Cambria Math"/>
                <w:i/>
              </w:rPr>
            </m:ctrlPr>
          </m:sub>
        </m:sSub>
      </m:oMath>
      <w:r>
        <w:t xml:space="preserve"> is fitted to a Generalized Pareto Distribution (GPD) to mathematically bound the asymptotic behavior of the distribution tail:</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088"/>
        <w:gridCol w:w="556"/>
      </w:tblGrid>
      <w:tr w14:paraId="650D8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088" w:type="dxa"/>
            <w:vAlign w:val="center"/>
          </w:tcPr>
          <w:p w14:paraId="3E6792FC">
            <m:oMathPara>
              <m:oMath>
                <m:sSub>
                  <m:sSubPr>
                    <m:ctrlPr>
                      <w:rPr>
                        <w:rFonts w:ascii="Cambria Math" w:hAnsi="Cambria Math"/>
                        <w:i/>
                      </w:rPr>
                    </m:ctrlPr>
                  </m:sSubPr>
                  <m:e>
                    <m:r>
                      <m:rPr/>
                      <w:rPr>
                        <w:rFonts w:ascii="Cambria Math" w:hAnsi="Cambria Math"/>
                      </w:rPr>
                      <m:t>G</m:t>
                    </m:r>
                    <m:ctrlPr>
                      <w:rPr>
                        <w:rFonts w:ascii="Cambria Math" w:hAnsi="Cambria Math"/>
                        <w:i/>
                      </w:rPr>
                    </m:ctrlPr>
                  </m:e>
                  <m:sub>
                    <m:r>
                      <m:rPr>
                        <m:sty m:val="p"/>
                      </m:rPr>
                      <w:rPr>
                        <w:rFonts w:ascii="Cambria Math" w:hAnsi="Cambria Math"/>
                      </w:rPr>
                      <m:t>ξ</m:t>
                    </m:r>
                    <m:r>
                      <m:rPr/>
                      <w:rPr>
                        <w:rFonts w:ascii="Cambria Math" w:hAnsi="Cambria Math"/>
                      </w:rPr>
                      <m:t>,</m:t>
                    </m:r>
                    <m:r>
                      <m:rPr>
                        <m:sty m:val="p"/>
                      </m:rPr>
                      <w:rPr>
                        <w:rFonts w:ascii="Cambria Math" w:hAnsi="Cambria Math"/>
                      </w:rPr>
                      <m:t>β</m:t>
                    </m:r>
                    <m:ctrlPr>
                      <w:rPr>
                        <w:rFonts w:ascii="Cambria Math" w:hAnsi="Cambria Math"/>
                        <w:i/>
                      </w:rPr>
                    </m:ctrlPr>
                  </m:sub>
                </m:sSub>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=1−</m:t>
                </m:r>
                <m:sSup>
                  <m:sSupPr>
                    <m:ctrlPr>
                      <w:rPr>
                        <w:rFonts w:ascii="Cambria Math" w:hAnsi="Cambria Math"/>
                        <w:i/>
                      </w:rPr>
                    </m:ctrlPr>
                  </m:sSupPr>
                  <m:e>
                    <m:d>
                      <m:dPr>
                        <m:ctrlPr>
                          <w:rPr>
                            <w:rFonts w:ascii="Cambria Math" w:hAnsi="Cambria Math"/>
                          </w:rPr>
                        </m:ctrlPr>
                      </m:dPr>
                      <m:e>
                        <m:r>
                          <m:rPr/>
                          <w:rPr>
                            <w:rFonts w:ascii="Cambria Math" w:hAnsi="Cambria Math"/>
                          </w:rPr>
                          <m:t>1+</m:t>
                        </m:r>
                        <m:f>
                          <m:fPr>
                            <m:ctrlPr>
                              <w:rPr>
                                <w:rFonts w:ascii="Cambria Math" w:hAnsi="Cambria Math"/>
                              </w:rPr>
                            </m:ctrlPr>
                          </m:fPr>
                          <m:num>
                            <m:r>
                              <m:rPr>
                                <m:sty m:val="p"/>
                              </m:rPr>
                              <w:rPr>
                                <w:rFonts w:ascii="Cambria Math" w:hAnsi="Cambria Math"/>
                              </w:rPr>
                              <m:t>ξ</m:t>
                            </m:r>
                            <m:r>
                              <m:rP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−1</m:t>
                    </m:r>
                    <m:r>
                      <m:rPr>
                        <m:lit/>
                        <m:sty m:val="p"/>
                      </m:rPr>
                      <w:rPr>
                        <w:rFonts w:ascii="Cambria Math" w:hAnsi="Cambria Math"/>
                      </w:rPr>
                      <m:t>/</m:t>
                    </m:r>
                    <m:r>
                      <m:rPr>
                        <m:sty m:val="p"/>
                      </m:rPr>
                      <w:rPr>
                        <w:rFonts w:ascii="Cambria Math" w:hAnsi="Cambria Math"/>
                      </w:rPr>
                      <m:t>ξ</m:t>
                    </m:r>
                    <m:ctrlPr>
                      <w:rPr>
                        <w:rFonts w:ascii="Cambria Math" w:hAnsi="Cambria Math"/>
                        <w:i/>
                      </w:rPr>
                    </m:ctrlPr>
                  </m:sup>
                </m:sSup>
              </m:oMath>
            </m:oMathPara>
          </w:p>
        </w:tc>
        <w:tc>
          <w:tcPr>
            <w:tcW w:w="556" w:type="dxa"/>
            <w:vAlign w:val="center"/>
          </w:tcPr>
          <w:p w14:paraId="267EAF08">
            <w:r>
              <w:t>(24)</w:t>
            </w:r>
          </w:p>
        </w:tc>
      </w:tr>
    </w:tbl>
    <w:p w14:paraId="7D7BCA87">
      <w:pPr>
        <w:tabs>
          <w:tab w:val="left" w:pos="284"/>
        </w:tabs>
        <w:jc w:val="both"/>
      </w:pPr>
      <w:r>
        <w:t xml:space="preserve">where </w:t>
      </w:r>
      <m:oMath>
        <m:r>
          <m:rPr>
            <m:sty m:val="p"/>
          </m:rPr>
          <w:rPr>
            <w:rFonts w:ascii="Cambria Math" w:hAnsi="Cambria Math"/>
          </w:rPr>
          <m:t>ξ</m:t>
        </m:r>
      </m:oMath>
      <w:r>
        <w:t xml:space="preserve"> and </w:t>
      </w:r>
      <m:oMath>
        <m:r>
          <m:rPr>
            <m:sty m:val="p"/>
          </m:rPr>
          <w:rPr>
            <w:rFonts w:ascii="Cambria Math" w:hAnsi="Cambria Math"/>
          </w:rPr>
          <m:t>β</m:t>
        </m:r>
      </m:oMath>
      <w:r>
        <w:t xml:space="preserve"> denote the shape and scale parameters, respectively, optimized via the Maximum Likelihood Estimation (MLE) method.</w:t>
      </w:r>
    </w:p>
    <w:p w14:paraId="111596A8">
      <w:pPr>
        <w:tabs>
          <w:tab w:val="left" w:pos="284"/>
        </w:tabs>
        <w:jc w:val="both"/>
      </w:pPr>
      <w:r>
        <w:tab/>
      </w:r>
      <w:r>
        <w:t xml:space="preserve">The final dynamic decision boundary </w:t>
      </w:r>
      <m:oMath>
        <m:sSub>
          <m:sSubPr>
            <m:ctrlPr>
              <w:rPr>
                <w:rFonts w:ascii="Cambria Math" w:hAnsi="Cambria Math"/>
                <w:i/>
              </w:rPr>
            </m:ctrlPr>
          </m:sSubPr>
          <m:e>
            <m:r>
              <m:rPr/>
              <w:rPr>
                <w:rFonts w:ascii="Cambria Math" w:hAnsi="Cambria Math"/>
              </w:rPr>
              <m:t>T</m:t>
            </m:r>
            <m:ctrlPr>
              <w:rPr>
                <w:rFonts w:ascii="Cambria Math" w:hAnsi="Cambria Math"/>
                <w:i/>
              </w:rPr>
            </m:ctrlPr>
          </m:e>
          <m:sub>
            <m:r>
              <m:rPr>
                <m:nor/>
                <m:sty m:val="p"/>
              </m:rPr>
              <w:rPr>
                <w:rFonts w:ascii="Cambria Math" w:hAnsi="Cambria Math"/>
              </w:rPr>
              <m:t>dny</m:t>
            </m:r>
            <m:ctrlPr>
              <w:rPr>
                <w:rFonts w:ascii="Cambria Math" w:hAnsi="Cambria Math"/>
                <w:i/>
              </w:rPr>
            </m:ctrlPr>
          </m:sub>
        </m:sSub>
      </m:oMath>
      <w:r>
        <w:t xml:space="preserve"> corresponding to a configured target alarm probability </w:t>
      </w:r>
      <m:oMath>
        <m:r>
          <m:rPr/>
          <w:rPr>
            <w:rFonts w:ascii="Cambria Math" w:hAnsi="Cambria Math"/>
          </w:rPr>
          <m:t>q</m:t>
        </m:r>
      </m:oMath>
      <w:r>
        <w:t xml:space="preserve"> (e.g., </w:t>
      </w:r>
      <m:oMath>
        <m:r>
          <m:rPr/>
          <w:rPr>
            <w:rFonts w:ascii="Cambria Math" w:hAnsi="Cambria Math"/>
          </w:rPr>
          <m:t>q=</m:t>
        </m:r>
        <m:sSup>
          <m:sSupPr>
            <m:ctrlPr>
              <w:rPr>
                <w:rFonts w:ascii="Cambria Math" w:hAnsi="Cambria Math"/>
                <w:i/>
              </w:rPr>
            </m:ctrlPr>
          </m:sSupPr>
          <m:e>
            <m:r>
              <m:rPr/>
              <w:rPr>
                <w:rFonts w:ascii="Cambria Math" w:hAnsi="Cambria Math"/>
              </w:rPr>
              <m:t>10</m:t>
            </m:r>
            <m:ctrlPr>
              <w:rPr>
                <w:rFonts w:ascii="Cambria Math" w:hAnsi="Cambria Math"/>
                <w:i/>
              </w:rPr>
            </m:ctrlPr>
          </m:e>
          <m:sup>
            <m:r>
              <m:rPr/>
              <w:rPr>
                <w:rFonts w:ascii="Cambria Math" w:hAnsi="Cambria Math"/>
              </w:rPr>
              <m:t>−4</m:t>
            </m:r>
            <m:ctrlPr>
              <w:rPr>
                <w:rFonts w:ascii="Cambria Math" w:hAnsi="Cambria Math"/>
                <w:i/>
              </w:rPr>
            </m:ctrlPr>
          </m:sup>
        </m:sSup>
      </m:oMath>
      <w:r>
        <w:t>) is computed as follows:</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088"/>
        <w:gridCol w:w="556"/>
      </w:tblGrid>
      <w:tr w14:paraId="34BACD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088" w:type="dxa"/>
            <w:vAlign w:val="center"/>
          </w:tcPr>
          <w:p w14:paraId="6A891352">
            <m:oMathPara>
              <m:oMath>
                <m:sSub>
                  <m:sSubPr>
                    <m:ctrlPr>
                      <w:rPr>
                        <w:rFonts w:ascii="Cambria Math" w:hAnsi="Cambria Math"/>
                        <w:i/>
                      </w:rPr>
                    </m:ctrlPr>
                  </m:sSubPr>
                  <m:e>
                    <m:r>
                      <m:rPr/>
                      <w:rPr>
                        <w:rFonts w:ascii="Cambria Math" w:hAnsi="Cambria Math"/>
                      </w:rPr>
                      <m:t>T</m:t>
                    </m:r>
                    <m:ctrlPr>
                      <w:rPr>
                        <w:rFonts w:ascii="Cambria Math" w:hAnsi="Cambria Math"/>
                        <w:i/>
                      </w:rPr>
                    </m:ctrlPr>
                  </m:e>
                  <m:sub>
                    <m:r>
                      <m:rPr>
                        <m:nor/>
                        <m:sty m:val="p"/>
                      </m:rPr>
                      <w:rPr>
                        <w:rFonts w:ascii="Cambria Math" w:hAnsi="Cambria Math"/>
                      </w:rPr>
                      <m:t>dny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t</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ξ</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w:rPr>
                                    <w:rFonts w:ascii="Cambria Math" w:hAnsi="Cambria Math"/>
                                  </w:rPr>
                                  <m:t>Nq</m:t>
                                </m:r>
                                <m:ctrlPr>
                                  <w:rPr>
                                    <w:rFonts w:ascii="Cambria Math" w:hAnsi="Cambria Math"/>
                                    <w:i/>
                                  </w:rPr>
                                </m:ctrlPr>
                              </m:num>
                              <m:den>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t</m:t>
                                    </m:r>
                                    <m:ctrlPr>
                                      <w:rPr>
                                        <w:rFonts w:ascii="Cambria Math" w:hAnsi="Cambria Math"/>
                                        <w:i/>
                                      </w:rPr>
                                    </m:ctrlPr>
                                  </m:sub>
                                </m:sSub>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m:t>
                        </m:r>
                        <m:r>
                          <m:rPr>
                            <m:sty m:val="p"/>
                          </m:rPr>
                          <w:rPr>
                            <w:rFonts w:ascii="Cambria Math" w:hAnsi="Cambria Math"/>
                          </w:rPr>
                          <m:t>ξ</m:t>
                        </m:r>
                        <m:ctrlPr>
                          <w:rPr>
                            <w:rFonts w:ascii="Cambria Math" w:hAnsi="Cambria Math"/>
                            <w:i/>
                          </w:rPr>
                        </m:ctrlPr>
                      </m:sup>
                    </m:sSup>
                    <m:r>
                      <m:rPr/>
                      <w:rPr>
                        <w:rFonts w:ascii="Cambria Math" w:hAnsi="Cambria Math"/>
                      </w:rPr>
                      <m:t>−1</m:t>
                    </m:r>
                    <m:ctrlPr>
                      <w:rPr>
                        <w:rFonts w:ascii="Cambria Math" w:hAnsi="Cambria Math"/>
                        <w:i/>
                      </w:rPr>
                    </m:ctrlPr>
                  </m:e>
                </m:d>
              </m:oMath>
            </m:oMathPara>
          </w:p>
        </w:tc>
        <w:tc>
          <w:tcPr>
            <w:tcW w:w="556" w:type="dxa"/>
            <w:vAlign w:val="center"/>
          </w:tcPr>
          <w:p w14:paraId="27B70EAD">
            <w:r>
              <w:t>(25)</w:t>
            </w:r>
          </w:p>
        </w:tc>
      </w:tr>
    </w:tbl>
    <w:p w14:paraId="696A5DE0">
      <w:pPr>
        <w:tabs>
          <w:tab w:val="left" w:pos="284"/>
        </w:tabs>
        <w:jc w:val="both"/>
      </w:pPr>
      <w:r>
        <w:t xml:space="preserve">where </w:t>
      </w:r>
      <m:oMath>
        <m:r>
          <m:rPr/>
          <w:rPr>
            <w:rFonts w:ascii="Cambria Math" w:hAnsi="Cambria Math"/>
          </w:rPr>
          <m:t>N</m:t>
        </m:r>
      </m:oMath>
      <w:r>
        <w:t xml:space="preserve"> represents the total volume of baseline observation samples, and </w:t>
      </w:r>
      <m:oMath>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t</m:t>
            </m:r>
            <m:ctrlPr>
              <w:rPr>
                <w:rFonts w:ascii="Cambria Math" w:hAnsi="Cambria Math"/>
                <w:i/>
              </w:rPr>
            </m:ctrlPr>
          </m:sub>
        </m:sSub>
      </m:oMath>
      <w:r>
        <w:t xml:space="preserve"> is the historical volume of excess samples violating the initial anchor threshold </w:t>
      </w:r>
      <m:oMath>
        <m:sSub>
          <m:sSubPr>
            <m:ctrlPr>
              <w:rPr>
                <w:rFonts w:ascii="Cambria Math" w:hAnsi="Cambria Math"/>
                <w:i/>
              </w:rPr>
            </m:ctrlPr>
          </m:sSubPr>
          <m:e>
            <m:r>
              <m:rPr/>
              <w:rPr>
                <w:rFonts w:ascii="Cambria Math" w:hAnsi="Cambria Math"/>
              </w:rPr>
              <m:t>t</m:t>
            </m:r>
            <m:ctrlPr>
              <w:rPr>
                <w:rFonts w:ascii="Cambria Math" w:hAnsi="Cambria Math"/>
                <w:i/>
              </w:rPr>
            </m:ctrlPr>
          </m:e>
          <m:sub>
            <m:r>
              <m:rPr/>
              <w:rPr>
                <w:rFonts w:ascii="Cambria Math" w:hAnsi="Cambria Math"/>
              </w:rPr>
              <m:t>0</m:t>
            </m:r>
            <m:ctrlPr>
              <w:rPr>
                <w:rFonts w:ascii="Cambria Math" w:hAnsi="Cambria Math"/>
                <w:i/>
              </w:rPr>
            </m:ctrlPr>
          </m:sub>
        </m:sSub>
      </m:oMath>
      <w:r>
        <w:t xml:space="preserve">. During the real-time online monitoring stage, any testing window exhibiting an anomaly score satisfying the condition </w:t>
      </w:r>
      <m:oMath>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&gt;</m:t>
        </m:r>
        <m:sSub>
          <m:sSubPr>
            <m:ctrlPr>
              <w:rPr>
                <w:rFonts w:ascii="Cambria Math" w:hAnsi="Cambria Math"/>
                <w:i/>
              </w:rPr>
            </m:ctrlPr>
          </m:sSubPr>
          <m:e>
            <m:r>
              <m:rPr/>
              <w:rPr>
                <w:rFonts w:ascii="Cambria Math" w:hAnsi="Cambria Math"/>
              </w:rPr>
              <m:t>T</m:t>
            </m:r>
            <m:ctrlPr>
              <w:rPr>
                <w:rFonts w:ascii="Cambria Math" w:hAnsi="Cambria Math"/>
                <w:i/>
              </w:rPr>
            </m:ctrlPr>
          </m:e>
          <m:sub>
            <m:r>
              <m:rPr>
                <m:nor/>
                <m:sty m:val="p"/>
              </m:rPr>
              <w:rPr>
                <w:rFonts w:ascii="Cambria Math" w:hAnsi="Cambria Math"/>
              </w:rPr>
              <m:t>dny</m:t>
            </m:r>
            <m:ctrlPr>
              <w:rPr>
                <w:rFonts w:ascii="Cambria Math" w:hAnsi="Cambria Math"/>
                <w:i/>
              </w:rPr>
            </m:ctrlPr>
          </m:sub>
        </m:sSub>
      </m:oMath>
      <w:r>
        <w:t xml:space="preserve"> is immediately flagged as a structural anomaly instance. This systematic workflow mitigates false alarms caused by non-stationary operational variations under the defined protocol.</w:t>
      </w:r>
    </w:p>
    <w:p w14:paraId="30A04FDD">
      <w:pPr>
        <w:pStyle w:val="2"/>
      </w:pPr>
      <w:r>
        <w:t>Experiments Design</w:t>
      </w:r>
    </w:p>
    <w:p w14:paraId="1124A3EF">
      <w:pPr>
        <w:pStyle w:val="3"/>
      </w:pPr>
      <w:r>
        <w:t>Dataset Description and Temporal Partitioning Workflow</w:t>
      </w:r>
    </w:p>
    <w:p w14:paraId="51800C12">
      <w:pPr>
        <w:tabs>
          <w:tab w:val="left" w:pos="284"/>
        </w:tabs>
        <w:jc w:val="both"/>
      </w:pPr>
      <w:r>
        <w:tab/>
      </w:r>
      <w:r>
        <w:rPr>
          <w:rFonts w:eastAsia="SimSun"/>
        </w:rPr>
        <w:t>The empirical validation of the proposed framework is conducted using the Paderborn University (UPB) run-to-failure ball bearing dataset (type 61806-2RS, 30 mm inner diameter, 42 mm outer diameter, 7 mm width, 19 rolling elements) under dynamic operating conditions. Vibration telemetry is captured synchronously via two accelerometers (Channel A: horizontal rear, Channel C: frontal) at 128 kHz or 64 kHz. Signals are high-pass filtered with a causal Butterworth filter (cutoff frequency of 2000 Hz) to isolate transient shocks.</w:t>
      </w:r>
    </w:p>
    <w:p w14:paraId="385BE4C8">
      <w:pPr>
        <w:tabs>
          <w:tab w:val="left" w:pos="284"/>
        </w:tabs>
        <w:jc w:val="both"/>
        <w:rPr>
          <w:rFonts w:eastAsia="Cambria Math"/>
        </w:rPr>
      </w:pPr>
      <w:r>
        <w:tab/>
      </w:r>
      <w:r>
        <w:rPr>
          <w:rFonts w:eastAsia="SimSun"/>
        </w:rPr>
        <w:t xml:space="preserve">To ensure leakage-free evaluation, 10 bearings are partitioned: train cohort (B02, B05, B08, B10, B11, B17) and test cohort (B01, B03, B04, B08, B10, B12, B17). For each run, the first 5% is discarded. The training window is restricted to early healthy stages (5% to 40% lifecycle, </w:t>
      </w:r>
      <w:r>
        <w:rPr>
          <w:rFonts w:eastAsia="Cambria Math"/>
        </w:rPr>
        <w:t>condition = 0), and</w:t>
      </w:r>
      <w:r>
        <w:rPr>
          <w:rFonts w:eastAsia="SimSun"/>
        </w:rPr>
        <w:t xml:space="preserve"> the remaining part (40% to failure) is reserved for testing and calibration. Data files are sub-sampled for training (stride 2) and validation (stride 5 starting from index 1), while testing uses all files. Continuous sequences are processed using sliding windows with lookback </w:t>
      </w:r>
      <m:oMath>
        <m:sSub>
          <m:sSubPr>
            <m:ctrlPr>
              <w:rPr>
                <w:rFonts w:ascii="Cambria Math" w:hAnsi="Cambria Math" w:eastAsia="Cambria Math"/>
              </w:rPr>
            </m:ctrlPr>
          </m:sSubPr>
          <m:e>
            <m:r>
              <m:rPr/>
              <w:rPr>
                <w:rFonts w:ascii="Cambria Math" w:hAnsi="Cambria Math" w:eastAsia="Cambria Math"/>
              </w:rPr>
              <m:t>L</m:t>
            </m:r>
            <m:ctrlPr>
              <w:rPr>
                <w:rFonts w:ascii="Cambria Math" w:hAnsi="Cambria Math" w:eastAsia="Cambria Math"/>
              </w:rPr>
            </m:ctrlPr>
          </m:e>
          <m:sub>
            <m:r>
              <m:rPr/>
              <w:rPr>
                <w:rFonts w:ascii="Cambria Math" w:hAnsi="Cambria Math" w:eastAsia="Cambria Math"/>
              </w:rPr>
              <m:t>x</m:t>
            </m:r>
            <m:ctrlPr>
              <w:rPr>
                <w:rFonts w:ascii="Cambria Math" w:hAnsi="Cambria Math" w:eastAsia="Cambria Math"/>
              </w:rPr>
            </m:ctrlPr>
          </m:sub>
        </m:sSub>
        <m:r>
          <m:rPr>
            <m:sty m:val="p"/>
          </m:rPr>
          <w:rPr>
            <w:rFonts w:ascii="Cambria Math" w:hAnsi="Cambria Math" w:eastAsia="Cambria Math"/>
          </w:rPr>
          <m:t>=4096</m:t>
        </m:r>
      </m:oMath>
      <w:r>
        <w:rPr>
          <w:rFonts w:eastAsia="Cambria Math"/>
        </w:rPr>
        <w:t xml:space="preserve">, horizon </w:t>
      </w:r>
      <m:oMath>
        <m:sSub>
          <m:sSubPr>
            <m:ctrlPr>
              <w:rPr>
                <w:rFonts w:ascii="Cambria Math" w:hAnsi="Cambria Math" w:eastAsia="Cambria Math"/>
              </w:rPr>
            </m:ctrlPr>
          </m:sSubPr>
          <m:e>
            <m:r>
              <m:rPr/>
              <w:rPr>
                <w:rFonts w:ascii="Cambria Math" w:hAnsi="Cambria Math" w:eastAsia="Cambria Math"/>
              </w:rPr>
              <m:t>L</m:t>
            </m:r>
            <m:ctrlPr>
              <w:rPr>
                <w:rFonts w:ascii="Cambria Math" w:hAnsi="Cambria Math" w:eastAsia="Cambria Math"/>
              </w:rPr>
            </m:ctrlPr>
          </m:e>
          <m:sub>
            <m:r>
              <m:rPr/>
              <w:rPr>
                <w:rFonts w:ascii="Cambria Math" w:hAnsi="Cambria Math" w:eastAsia="Cambria Math"/>
              </w:rPr>
              <m:t>y</m:t>
            </m:r>
            <m:ctrlPr>
              <w:rPr>
                <w:rFonts w:ascii="Cambria Math" w:hAnsi="Cambria Math" w:eastAsia="Cambria Math"/>
              </w:rPr>
            </m:ctrlPr>
          </m:sub>
        </m:sSub>
        <m:r>
          <m:rPr>
            <m:sty m:val="p"/>
          </m:rPr>
          <w:rPr>
            <w:rFonts w:ascii="Cambria Math" w:hAnsi="Cambria Math" w:eastAsia="Cambria Math"/>
          </w:rPr>
          <m:t>=1024</m:t>
        </m:r>
      </m:oMath>
      <w:r>
        <w:rPr>
          <w:rFonts w:eastAsia="Cambria Math"/>
        </w:rPr>
        <w:t xml:space="preserve"> and stride 1024. </w:t>
      </w:r>
      <w:r>
        <w:rPr>
          <w:rFonts w:eastAsia="SimSun"/>
        </w:rPr>
        <w:t xml:space="preserve">Table </w:t>
      </w:r>
      <w:r>
        <w:rPr>
          <w:rFonts w:hint="default" w:eastAsia="SimSun"/>
          <w:lang w:val="en-US"/>
        </w:rPr>
        <w:t>III</w:t>
      </w:r>
      <w:r>
        <w:rPr>
          <w:rFonts w:eastAsia="SimSun"/>
        </w:rPr>
        <w:t xml:space="preserve"> summarizes the experimental parameters.</w:t>
      </w:r>
    </w:p>
    <w:p w14:paraId="3864A91E">
      <w:pPr>
        <w:pStyle w:val="11"/>
        <w:rPr>
          <w:i w:val="0"/>
          <w:iCs w:val="0"/>
        </w:rPr>
      </w:pPr>
      <w:r>
        <w:rPr>
          <w:b/>
          <w:bCs/>
        </w:rPr>
        <w:t xml:space="preserve">Table </w:t>
      </w:r>
      <w:r>
        <w:rPr>
          <w:b/>
          <w:bCs/>
        </w:rPr>
        <w:fldChar w:fldCharType="begin"/>
      </w:r>
      <w:r>
        <w:rPr>
          <w:b/>
          <w:bCs/>
        </w:rPr>
        <w:instrText xml:space="preserve"> SEQ Table \* ARABIC </w:instrText>
      </w:r>
      <w:r>
        <w:rPr>
          <w:b/>
          <w:bCs/>
        </w:rPr>
        <w:fldChar w:fldCharType="separate"/>
      </w:r>
      <w:r>
        <w:rPr>
          <w:b/>
          <w:bCs/>
        </w:rPr>
        <w:t>3</w:t>
      </w:r>
      <w:r>
        <w:rPr>
          <w:b/>
          <w:bCs/>
        </w:rPr>
        <w:fldChar w:fldCharType="end"/>
      </w:r>
      <w:r>
        <w:t>. Experimental Configuration and Baseline Models Setup</w:t>
      </w:r>
    </w:p>
    <w:tbl>
      <w:tblPr>
        <w:tblStyle w:val="16"/>
        <w:tblW w:w="7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2"/>
        <w:gridCol w:w="5168"/>
      </w:tblGrid>
      <w:tr w14:paraId="3453A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08B8C349">
            <w:pPr>
              <w:jc w:val="left"/>
              <w:rPr>
                <w:b/>
                <w:bCs/>
              </w:rPr>
            </w:pPr>
            <w:r>
              <w:rPr>
                <w:rFonts w:eastAsia="SimSun"/>
                <w:b/>
                <w:bCs/>
              </w:rPr>
              <w:t>Parameter/Item</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332883C3">
            <w:pPr>
              <w:jc w:val="left"/>
              <w:rPr>
                <w:b/>
                <w:bCs/>
              </w:rPr>
            </w:pPr>
            <w:r>
              <w:rPr>
                <w:rFonts w:eastAsia="SimSun"/>
                <w:b/>
                <w:bCs/>
                <w:lang w:eastAsia="zh-CN" w:bidi="ar"/>
              </w:rPr>
              <w:t>Parameter Budget</w:t>
            </w:r>
          </w:p>
        </w:tc>
      </w:tr>
      <w:tr w14:paraId="7CBFC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08DAC74D">
            <w:pPr>
              <w:jc w:val="left"/>
              <w:rPr>
                <w:b/>
                <w:bCs/>
              </w:rPr>
            </w:pPr>
            <w:r>
              <w:rPr>
                <w:rFonts w:eastAsia="SimSun"/>
                <w:b/>
                <w:bCs/>
              </w:rPr>
              <w:t>Dataset</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4C1C824E">
            <w:pPr>
              <w:jc w:val="left"/>
            </w:pPr>
            <w:r>
              <w:rPr>
                <w:rFonts w:eastAsia="SimSun"/>
              </w:rPr>
              <w:t>Paderborn Bearing Dataset (61806-2RS)</w:t>
            </w:r>
          </w:p>
        </w:tc>
      </w:tr>
      <w:tr w14:paraId="2EE3D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6337AB21">
            <w:pPr>
              <w:jc w:val="left"/>
              <w:rPr>
                <w:b/>
                <w:bCs/>
              </w:rPr>
            </w:pPr>
            <w:r>
              <w:rPr>
                <w:rFonts w:eastAsia="SimSun"/>
                <w:b/>
                <w:bCs/>
              </w:rPr>
              <w:t>Sampling Rate</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69AD0D4B">
            <w:pPr>
              <w:jc w:val="left"/>
            </w:pPr>
            <w:r>
              <w:rPr>
                <w:rFonts w:eastAsia="SimSun"/>
              </w:rPr>
              <w:t>64 kHz / 128 kHz</w:t>
            </w:r>
          </w:p>
        </w:tc>
      </w:tr>
      <w:tr w14:paraId="067E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76A9B707">
            <w:pPr>
              <w:jc w:val="left"/>
              <w:rPr>
                <w:b/>
                <w:bCs/>
              </w:rPr>
            </w:pPr>
            <w:r>
              <w:rPr>
                <w:rFonts w:eastAsia="SimSun"/>
                <w:b/>
                <w:bCs/>
              </w:rPr>
              <w:t>Preprocessing</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67DF8F03">
            <w:pPr>
              <w:jc w:val="left"/>
            </w:pPr>
            <w:r>
              <w:rPr>
                <w:rFonts w:eastAsia="SimSun"/>
              </w:rPr>
              <w:t>Causal Butterworth high-pass filter (cutoff: 2000 Hz)</w:t>
            </w:r>
          </w:p>
        </w:tc>
      </w:tr>
      <w:tr w14:paraId="1FC19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36BD443C">
            <w:pPr>
              <w:jc w:val="left"/>
              <w:rPr>
                <w:b/>
                <w:bCs/>
              </w:rPr>
            </w:pPr>
            <w:r>
              <w:rPr>
                <w:rFonts w:ascii="Cambria Math" w:hAnsi="Cambria Math" w:eastAsia="Cambria Math" w:cs="Cambria Math"/>
                <w:b/>
                <w:bCs/>
              </w:rPr>
              <w:t>Sliding Window</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15EF7E00">
            <w:pPr>
              <w:jc w:val="left"/>
            </w:pPr>
            <w:r>
              <w:rPr>
                <w:rFonts w:ascii="Cambria Math" w:hAnsi="Cambria Math" w:eastAsia="Cambria Math" w:cs="Cambria Math"/>
              </w:rPr>
              <w:t>Lookback (</w:t>
            </w:r>
            <m:oMath>
              <m:sSub>
                <m:sSubPr>
                  <m:ctrlPr>
                    <w:rPr>
                      <w:rFonts w:ascii="Cambria Math" w:hAnsi="Cambria Math" w:eastAsia="Cambria Math"/>
                    </w:rPr>
                  </m:ctrlPr>
                </m:sSubPr>
                <m:e>
                  <m:r>
                    <m:rPr/>
                    <w:rPr>
                      <w:rFonts w:ascii="Cambria Math" w:hAnsi="Cambria Math" w:eastAsia="Cambria Math"/>
                    </w:rPr>
                    <m:t>L</m:t>
                  </m:r>
                  <m:ctrlPr>
                    <w:rPr>
                      <w:rFonts w:ascii="Cambria Math" w:hAnsi="Cambria Math" w:eastAsia="Cambria Math"/>
                    </w:rPr>
                  </m:ctrlPr>
                </m:e>
                <m:sub>
                  <m:r>
                    <m:rPr/>
                    <w:rPr>
                      <w:rFonts w:ascii="Cambria Math" w:hAnsi="Cambria Math" w:eastAsia="Cambria Math"/>
                    </w:rPr>
                    <m:t>x</m:t>
                  </m:r>
                  <m:ctrlPr>
                    <w:rPr>
                      <w:rFonts w:ascii="Cambria Math" w:hAnsi="Cambria Math" w:eastAsia="Cambria Math"/>
                    </w:rPr>
                  </m:ctrlPr>
                </m:sub>
              </m:sSub>
            </m:oMath>
            <w:r>
              <w:rPr>
                <w:rFonts w:ascii="Cambria Math" w:hAnsi="Cambria Math" w:eastAsia="Cambria Math" w:cs="Cambria Math"/>
              </w:rPr>
              <w:t>) = 4096, Horizon (</w:t>
            </w:r>
            <m:oMath>
              <m:sSub>
                <m:sSubPr>
                  <m:ctrlPr>
                    <w:rPr>
                      <w:rFonts w:ascii="Cambria Math" w:hAnsi="Cambria Math" w:eastAsia="Cambria Math"/>
                    </w:rPr>
                  </m:ctrlPr>
                </m:sSubPr>
                <m:e>
                  <m:r>
                    <m:rPr/>
                    <w:rPr>
                      <w:rFonts w:ascii="Cambria Math" w:hAnsi="Cambria Math" w:eastAsia="Cambria Math"/>
                    </w:rPr>
                    <m:t>L</m:t>
                  </m:r>
                  <m:ctrlPr>
                    <w:rPr>
                      <w:rFonts w:ascii="Cambria Math" w:hAnsi="Cambria Math" w:eastAsia="Cambria Math"/>
                    </w:rPr>
                  </m:ctrlPr>
                </m:e>
                <m:sub>
                  <m:r>
                    <m:rPr>
                      <m:sty m:val="p"/>
                    </m:rPr>
                    <w:rPr>
                      <w:rFonts w:ascii="Cambria Math" w:hAnsi="Cambria Math" w:eastAsia="Cambria Math"/>
                    </w:rPr>
                    <m:t>y</m:t>
                  </m:r>
                  <m:ctrlPr>
                    <w:rPr>
                      <w:rFonts w:ascii="Cambria Math" w:hAnsi="Cambria Math" w:eastAsia="Cambria Math"/>
                    </w:rPr>
                  </m:ctrlPr>
                </m:sub>
              </m:sSub>
            </m:oMath>
            <w:r>
              <w:rPr>
                <w:rFonts w:ascii="Cambria Math" w:hAnsi="Cambria Math" w:eastAsia="Cambria Math" w:cs="Cambria Math"/>
              </w:rPr>
              <w:t xml:space="preserve">) = 1024, </w:t>
            </w:r>
            <m:oMath>
              <m:r>
                <m:rPr/>
                <w:rPr>
                  <w:rFonts w:ascii="Cambria Math" w:hAnsi="Cambria Math" w:eastAsia="Cambria Math" w:cs="Cambria Math"/>
                </w:rPr>
                <m:t>Stride = 1024</m:t>
              </m:r>
            </m:oMath>
          </w:p>
        </w:tc>
      </w:tr>
      <w:tr w14:paraId="419AC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608E3EC0">
            <w:pPr>
              <w:jc w:val="left"/>
              <w:rPr>
                <w:rFonts w:ascii="Cambria Math" w:hAnsi="Cambria Math" w:eastAsia="Cambria Math" w:cs="Cambria Math"/>
                <w:b/>
                <w:bCs/>
              </w:rPr>
            </w:pPr>
            <w:r>
              <w:rPr>
                <w:rFonts w:eastAsia="SimSun"/>
                <w:b/>
                <w:bCs/>
              </w:rPr>
              <w:t>Data Split</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4C0A48E1">
            <w:pPr>
              <w:jc w:val="left"/>
              <w:rPr>
                <w:rFonts w:ascii="Cambria Math" w:hAnsi="Cambria Math" w:eastAsia="Cambria Math" w:cs="Cambria Math"/>
              </w:rPr>
            </w:pPr>
            <w:r>
              <w:rPr>
                <w:rFonts w:eastAsia="SimSun"/>
              </w:rPr>
              <w:t>Healthy Training: 5%–40% lifecycle; Testing: 40%–catastrophic failure</w:t>
            </w:r>
          </w:p>
        </w:tc>
      </w:tr>
      <w:tr w14:paraId="2208F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69C25DEF">
            <w:pPr>
              <w:jc w:val="left"/>
              <w:rPr>
                <w:rFonts w:eastAsia="SimSun"/>
                <w:b/>
                <w:bCs/>
              </w:rPr>
            </w:pPr>
            <w:r>
              <w:rPr>
                <w:rFonts w:eastAsia="SimSun"/>
                <w:b/>
                <w:bCs/>
              </w:rPr>
              <w:t>Sub-sampling</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609A7F0D">
            <w:pPr>
              <w:jc w:val="left"/>
              <w:rPr>
                <w:rFonts w:eastAsia="SimSun"/>
              </w:rPr>
            </w:pPr>
            <w:r>
              <w:rPr>
                <w:rFonts w:eastAsia="SimSun"/>
              </w:rPr>
              <w:t>Train: stride 2 ([0::2]), Val: stride 5 starting from 1 ([1::5])</w:t>
            </w:r>
          </w:p>
        </w:tc>
      </w:tr>
      <w:tr w14:paraId="4CB60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4E22BEBB">
            <w:pPr>
              <w:jc w:val="left"/>
              <w:rPr>
                <w:rFonts w:eastAsia="SimSun"/>
                <w:b/>
                <w:bCs/>
              </w:rPr>
            </w:pPr>
            <w:r>
              <w:rPr>
                <w:rFonts w:eastAsia="SimSun"/>
                <w:b/>
                <w:bCs/>
              </w:rPr>
              <w:t>Baselines</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25FBECBE">
            <w:pPr>
              <w:jc w:val="left"/>
              <w:rPr>
                <w:rFonts w:eastAsia="SimSun"/>
              </w:rPr>
            </w:pPr>
            <w:r>
              <w:rPr>
                <w:rFonts w:eastAsia="SimSun"/>
              </w:rPr>
              <w:t>LSTM, ModernTCN, PatchTST, SimpleMamba</w:t>
            </w:r>
          </w:p>
        </w:tc>
      </w:tr>
      <w:tr w14:paraId="109BC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jc w:val="center"/>
        </w:trPr>
        <w:tc>
          <w:tcPr>
            <w:tcW w:w="2122" w:type="dxa"/>
            <w:tcBorders>
              <w:top w:val="single" w:color="auto" w:sz="4" w:space="0"/>
              <w:left w:val="single" w:color="auto" w:sz="4" w:space="0"/>
              <w:bottom w:val="single" w:color="auto" w:sz="4" w:space="0"/>
              <w:right w:val="single" w:color="auto" w:sz="4" w:space="0"/>
            </w:tcBorders>
            <w:shd w:val="clear" w:color="auto" w:fill="auto"/>
            <w:vAlign w:val="center"/>
          </w:tcPr>
          <w:p w14:paraId="7D8D9B2A">
            <w:pPr>
              <w:jc w:val="left"/>
              <w:rPr>
                <w:rFonts w:eastAsia="SimSun"/>
                <w:b/>
                <w:bCs/>
              </w:rPr>
            </w:pPr>
            <w:r>
              <w:rPr>
                <w:rFonts w:eastAsia="SimSun"/>
                <w:b/>
                <w:bCs/>
              </w:rPr>
              <w:t>Evaluation Metrics</w:t>
            </w:r>
          </w:p>
        </w:tc>
        <w:tc>
          <w:tcPr>
            <w:tcW w:w="5168" w:type="dxa"/>
            <w:tcBorders>
              <w:top w:val="single" w:color="auto" w:sz="4" w:space="0"/>
              <w:left w:val="single" w:color="auto" w:sz="4" w:space="0"/>
              <w:bottom w:val="single" w:color="auto" w:sz="4" w:space="0"/>
              <w:right w:val="single" w:color="auto" w:sz="4" w:space="0"/>
            </w:tcBorders>
            <w:shd w:val="clear" w:color="auto" w:fill="auto"/>
            <w:vAlign w:val="center"/>
          </w:tcPr>
          <w:p w14:paraId="3C868B53">
            <w:pPr>
              <w:jc w:val="left"/>
              <w:rPr>
                <w:rFonts w:eastAsia="SimSun"/>
              </w:rPr>
            </w:pPr>
            <w:r>
              <w:rPr>
                <w:rFonts w:eastAsia="SimSun"/>
              </w:rPr>
              <w:t>Precision, Recall, F1-Score, AUROC, AUPRC, FAR, Latency, VRAM</w:t>
            </w:r>
          </w:p>
        </w:tc>
      </w:tr>
    </w:tbl>
    <w:p w14:paraId="440A437B">
      <w:pPr>
        <w:pStyle w:val="3"/>
      </w:pPr>
      <w:r>
        <w:t>Baseline Models and Parameter Budget Synchronization Protocol</w:t>
      </w:r>
    </w:p>
    <w:p w14:paraId="58CB90D6">
      <w:pPr>
        <w:tabs>
          <w:tab w:val="left" w:pos="284"/>
        </w:tabs>
        <w:jc w:val="both"/>
      </w:pPr>
      <w:r>
        <w:tab/>
      </w:r>
      <w:r>
        <w:rPr>
          <w:rFonts w:eastAsia="SimSun"/>
        </w:rPr>
        <w:t>The proposed model is compared against five representative sequence architectures: LSTM, TCN, ModernTCN, PatchTST, and SimpleMamba (a standard selective space-state model operating on raw signals without decomposition or Stats Head). To ensure academic fairness, an automated baseline parameter scaling protocol (auto</w:t>
      </w:r>
      <w:r>
        <w:rPr>
          <w:rFonts w:eastAsia="SimSun"/>
          <w:i/>
          <w:iCs/>
        </w:rPr>
        <w:t>scale</w:t>
      </w:r>
      <w:r>
        <w:rPr>
          <w:rFonts w:eastAsia="SimSun"/>
        </w:rPr>
        <w:t>baselines: true) is activated. The layers and hidden dimensions of all baseline models are dynamically adjusted to match the trainable parameter budget of the proposed HybridMambaCNN (~338k parameters), ensuring that performance improvements are due to architectural advantages rather than parameter capacity imbalances.</w:t>
      </w:r>
    </w:p>
    <w:p w14:paraId="148042B4">
      <w:pPr>
        <w:pStyle w:val="3"/>
      </w:pPr>
      <w:r>
        <w:t>Training Infrastructure and Optimization Pipeline</w:t>
      </w:r>
    </w:p>
    <w:p w14:paraId="178BA885">
      <w:pPr>
        <w:tabs>
          <w:tab w:val="left" w:pos="284"/>
        </w:tabs>
        <w:jc w:val="both"/>
        <w:rPr>
          <w:rFonts w:eastAsia="SimSun"/>
        </w:rPr>
      </w:pPr>
      <w:r>
        <w:tab/>
      </w:r>
      <w:r>
        <w:rPr>
          <w:rFonts w:eastAsia="SimSun"/>
        </w:rPr>
        <w:t>Training is executed for 10 epochs with a batch size of 128 using an Adam optimizer (learning rate</w:t>
      </w:r>
      <w:r>
        <w:t xml:space="preserve"> </w:t>
      </w:r>
      <m:oMath>
        <m:r>
          <m:rPr/>
          <w:rPr>
            <w:rFonts w:ascii="Cambria Math" w:hAnsi="Cambria Math"/>
          </w:rPr>
          <m:t>5</m:t>
        </m:r>
        <m:r>
          <m:rPr>
            <m:sty m:val="p"/>
          </m:rPr>
          <w:rPr>
            <w:rFonts w:ascii="Cambria Math" w:hAnsi="Cambria Math"/>
          </w:rPr>
          <m:t>×</m:t>
        </m:r>
        <m:sSup>
          <m:sSupPr>
            <m:ctrlPr>
              <w:rPr>
                <w:rFonts w:ascii="Cambria Math" w:hAnsi="Cambria Math"/>
                <w:i/>
                <w:iCs/>
              </w:rPr>
            </m:ctrlPr>
          </m:sSupPr>
          <m:e>
            <m:r>
              <m:rPr/>
              <w:rPr>
                <w:rFonts w:ascii="Cambria Math" w:hAnsi="Cambria Math"/>
              </w:rPr>
              <m:t>10</m:t>
            </m:r>
            <m:ctrlPr>
              <w:rPr>
                <w:rFonts w:ascii="Cambria Math" w:hAnsi="Cambria Math"/>
                <w:iCs/>
              </w:rPr>
            </m:ctrlPr>
          </m:e>
          <m:sup>
            <m:r>
              <m:rPr/>
              <w:rPr>
                <w:rFonts w:ascii="Cambria Math" w:hAnsi="Cambria Math"/>
              </w:rPr>
              <m:t>−4</m:t>
            </m:r>
            <m:ctrlPr>
              <w:rPr>
                <w:rFonts w:ascii="Cambria Math" w:hAnsi="Cambria Math"/>
                <w:i/>
                <w:iCs/>
              </w:rPr>
            </m:ctrlPr>
          </m:sup>
        </m:sSup>
      </m:oMath>
      <w:r>
        <w:rPr>
          <w:rFonts w:hAnsi="Cambria Math"/>
          <w:iCs/>
        </w:rPr>
        <w:t xml:space="preserve">) </w:t>
      </w:r>
      <w:r>
        <w:rPr>
          <w:rFonts w:eastAsia="SimSun"/>
        </w:rPr>
        <w:t xml:space="preserve">on an NVIDIA CUDA platform. To mitigate the impact of abrupt industrial outlier spikes, gradient updates are optimized using the Huber loss paradigm. For absolute prediction errors </w:t>
      </w:r>
      <m:oMath>
        <m:r>
          <m:rPr/>
          <w:rPr>
            <w:rFonts w:ascii="Cambria Math" w:hAnsi="Cambria Math" w:eastAsia="SimSun"/>
          </w:rPr>
          <m:t>e=y−</m:t>
        </m:r>
        <m:acc>
          <m:accPr>
            <m:ctrlPr>
              <w:rPr>
                <w:rFonts w:ascii="Cambria Math" w:hAnsi="Cambria Math" w:eastAsia="SimSun"/>
              </w:rPr>
            </m:ctrlPr>
          </m:accPr>
          <m:e>
            <m:r>
              <m:rPr/>
              <w:rPr>
                <w:rFonts w:ascii="Cambria Math" w:hAnsi="Cambria Math" w:eastAsia="SimSun"/>
              </w:rPr>
              <m:t>y</m:t>
            </m:r>
            <m:ctrlPr>
              <w:rPr>
                <w:rFonts w:ascii="Cambria Math" w:hAnsi="Cambria Math" w:eastAsia="SimSun"/>
              </w:rPr>
            </m:ctrlPr>
          </m:e>
        </m:acc>
      </m:oMath>
      <w:r>
        <w:rPr>
          <w:rFonts w:hAnsi="Cambria Math" w:eastAsia="SimSun"/>
        </w:rPr>
        <w:t xml:space="preserve"> :</w:t>
      </w:r>
    </w:p>
    <w:p w14:paraId="63CCA179"/>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20"/>
        <w:gridCol w:w="550"/>
      </w:tblGrid>
      <w:tr w14:paraId="39DE3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20" w:type="dxa"/>
            <w:vAlign w:val="center"/>
          </w:tcPr>
          <w:p w14:paraId="3C5B90C6">
            <w:pPr>
              <w:rPr>
                <w:rFonts w:hAnsi="Cambria Math" w:eastAsia="Cambria Math" w:cs="Cambria Math"/>
                <w:sz w:val="24"/>
                <w:szCs w:val="24"/>
              </w:rPr>
            </w:pPr>
            <m:oMathPara>
              <m:oMath>
                <m:sSub>
                  <m:sSubPr>
                    <m:ctrlPr>
                      <w:rPr>
                        <w:rFonts w:ascii="Cambria Math" w:hAnsi="Cambria Math" w:eastAsia="Cambria Math"/>
                        <w:szCs w:val="16"/>
                      </w:rPr>
                    </m:ctrlPr>
                  </m:sSubPr>
                  <m:e>
                    <m:r>
                      <m:rPr/>
                      <w:rPr>
                        <w:rFonts w:ascii="Cambria Math" w:hAnsi="Cambria Math" w:eastAsia="Cambria Math"/>
                        <w:szCs w:val="16"/>
                      </w:rPr>
                      <m:t>L</m:t>
                    </m:r>
                    <m:ctrlPr>
                      <w:rPr>
                        <w:rFonts w:ascii="Cambria Math" w:hAnsi="Cambria Math" w:eastAsia="Cambria Math"/>
                        <w:szCs w:val="16"/>
                      </w:rPr>
                    </m:ctrlPr>
                  </m:e>
                  <m:sub>
                    <m:r>
                      <m:rPr/>
                      <w:rPr>
                        <w:rFonts w:ascii="Cambria Math" w:hAnsi="Cambria Math" w:eastAsia="Cambria Math"/>
                        <w:szCs w:val="16"/>
                      </w:rPr>
                      <m:t>δ</m:t>
                    </m:r>
                    <m:ctrlPr>
                      <w:rPr>
                        <w:rFonts w:ascii="Cambria Math" w:hAnsi="Cambria Math" w:eastAsia="Cambria Math"/>
                        <w:szCs w:val="16"/>
                      </w:rPr>
                    </m:ctrlPr>
                  </m:sub>
                </m:sSub>
                <m:r>
                  <m:rPr/>
                  <w:rPr>
                    <w:rFonts w:ascii="Cambria Math" w:hAnsi="Cambria Math" w:eastAsia="Cambria Math"/>
                    <w:szCs w:val="16"/>
                  </w:rPr>
                  <m:t>(e)=</m:t>
                </m:r>
                <m:f>
                  <m:fPr>
                    <m:ctrlPr>
                      <w:rPr>
                        <w:rFonts w:ascii="Cambria Math" w:hAnsi="Cambria Math" w:eastAsia="Cambria Math"/>
                        <w:szCs w:val="16"/>
                      </w:rPr>
                    </m:ctrlPr>
                  </m:fPr>
                  <m:num>
                    <m:r>
                      <m:rPr/>
                      <w:rPr>
                        <w:rFonts w:ascii="Cambria Math" w:hAnsi="Cambria Math" w:eastAsia="Cambria Math"/>
                        <w:szCs w:val="16"/>
                      </w:rPr>
                      <m:t>1</m:t>
                    </m:r>
                    <m:ctrlPr>
                      <w:rPr>
                        <w:rFonts w:ascii="Cambria Math" w:hAnsi="Cambria Math" w:eastAsia="Cambria Math"/>
                        <w:szCs w:val="16"/>
                      </w:rPr>
                    </m:ctrlPr>
                  </m:num>
                  <m:den>
                    <m:r>
                      <m:rPr/>
                      <w:rPr>
                        <w:rFonts w:ascii="Cambria Math" w:hAnsi="Cambria Math" w:eastAsia="Cambria Math"/>
                        <w:szCs w:val="16"/>
                      </w:rPr>
                      <m:t>2</m:t>
                    </m:r>
                    <m:ctrlPr>
                      <w:rPr>
                        <w:rFonts w:ascii="Cambria Math" w:hAnsi="Cambria Math" w:eastAsia="Cambria Math"/>
                        <w:szCs w:val="16"/>
                      </w:rPr>
                    </m:ctrlPr>
                  </m:den>
                </m:f>
                <m:sSup>
                  <m:sSupPr>
                    <m:ctrlPr>
                      <w:rPr>
                        <w:rFonts w:ascii="Cambria Math" w:hAnsi="Cambria Math" w:eastAsia="Cambria Math"/>
                        <w:szCs w:val="16"/>
                      </w:rPr>
                    </m:ctrlPr>
                  </m:sSupPr>
                  <m:e>
                    <m:r>
                      <m:rPr/>
                      <w:rPr>
                        <w:rFonts w:ascii="Cambria Math" w:hAnsi="Cambria Math" w:eastAsia="Cambria Math"/>
                        <w:szCs w:val="16"/>
                      </w:rPr>
                      <m:t>e</m:t>
                    </m:r>
                    <m:ctrlPr>
                      <w:rPr>
                        <w:rFonts w:ascii="Cambria Math" w:hAnsi="Cambria Math" w:eastAsia="Cambria Math"/>
                        <w:szCs w:val="16"/>
                      </w:rPr>
                    </m:ctrlPr>
                  </m:e>
                  <m:sup>
                    <m:r>
                      <m:rPr/>
                      <w:rPr>
                        <w:rFonts w:ascii="Cambria Math" w:hAnsi="Cambria Math" w:eastAsia="Cambria Math"/>
                        <w:szCs w:val="16"/>
                      </w:rPr>
                      <m:t>2</m:t>
                    </m:r>
                    <m:ctrlPr>
                      <w:rPr>
                        <w:rFonts w:ascii="Cambria Math" w:hAnsi="Cambria Math" w:eastAsia="Cambria Math"/>
                        <w:szCs w:val="16"/>
                      </w:rPr>
                    </m:ctrlPr>
                  </m:sup>
                </m:sSup>
                <m:r>
                  <m:rPr/>
                  <w:rPr>
                    <w:rFonts w:ascii="Cambria Math" w:hAnsi="Cambria Math" w:eastAsia="Cambria Math"/>
                    <w:szCs w:val="16"/>
                  </w:rPr>
                  <m:t>,  for |e|≤δ</m:t>
                </m:r>
              </m:oMath>
            </m:oMathPara>
          </w:p>
          <w:p w14:paraId="1FCDD266">
            <w:pPr>
              <w:rPr>
                <w:rFonts w:hAnsi="Cambria Math" w:eastAsia="Cambria Math" w:cs="Cambria Math"/>
                <w:sz w:val="24"/>
                <w:szCs w:val="24"/>
              </w:rPr>
            </w:pPr>
          </w:p>
        </w:tc>
        <w:tc>
          <w:tcPr>
            <w:tcW w:w="550" w:type="dxa"/>
            <w:vAlign w:val="center"/>
          </w:tcPr>
          <w:p w14:paraId="360D5E0F">
            <w:r>
              <w:t>(26)</w:t>
            </w:r>
          </w:p>
        </w:tc>
      </w:tr>
      <w:tr w14:paraId="0ED3C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20" w:type="dxa"/>
            <w:vAlign w:val="center"/>
          </w:tcPr>
          <w:p w14:paraId="1D293753">
            <w:pPr>
              <w:rPr>
                <w:rFonts w:hAnsi="Cambria Math" w:eastAsia="SimSun" w:cs="SimSun"/>
                <w:sz w:val="24"/>
                <w:szCs w:val="24"/>
              </w:rPr>
            </w:pPr>
            <m:oMathPara>
              <m:oMath>
                <m:sSub>
                  <m:sSubPr>
                    <m:ctrlPr>
                      <w:rPr>
                        <w:rFonts w:ascii="Cambria Math" w:hAnsi="Cambria Math" w:eastAsia="SimSun"/>
                        <w:szCs w:val="16"/>
                      </w:rPr>
                    </m:ctrlPr>
                  </m:sSubPr>
                  <m:e>
                    <m:r>
                      <m:rPr/>
                      <w:rPr>
                        <w:rFonts w:ascii="Cambria Math" w:hAnsi="Cambria Math" w:eastAsia="SimSun"/>
                        <w:szCs w:val="16"/>
                      </w:rPr>
                      <m:t>L</m:t>
                    </m:r>
                    <m:ctrlPr>
                      <w:rPr>
                        <w:rFonts w:ascii="Cambria Math" w:hAnsi="Cambria Math" w:eastAsia="SimSun"/>
                        <w:szCs w:val="16"/>
                      </w:rPr>
                    </m:ctrlPr>
                  </m:e>
                  <m:sub>
                    <m:r>
                      <m:rPr/>
                      <w:rPr>
                        <w:rFonts w:ascii="Cambria Math" w:hAnsi="Cambria Math" w:eastAsia="SimSun"/>
                        <w:szCs w:val="16"/>
                      </w:rPr>
                      <m:t>δ</m:t>
                    </m:r>
                    <m:ctrlPr>
                      <w:rPr>
                        <w:rFonts w:ascii="Cambria Math" w:hAnsi="Cambria Math" w:eastAsia="SimSun"/>
                        <w:szCs w:val="16"/>
                      </w:rPr>
                    </m:ctrlPr>
                  </m:sub>
                </m:sSub>
                <m:r>
                  <m:rPr/>
                  <w:rPr>
                    <w:rFonts w:ascii="Cambria Math" w:hAnsi="Cambria Math" w:eastAsia="SimSun"/>
                    <w:szCs w:val="16"/>
                  </w:rPr>
                  <m:t>(e)=δ(|e|−</m:t>
                </m:r>
                <m:f>
                  <m:fPr>
                    <m:ctrlPr>
                      <w:rPr>
                        <w:rFonts w:ascii="Cambria Math" w:hAnsi="Cambria Math" w:eastAsia="SimSun"/>
                        <w:szCs w:val="16"/>
                      </w:rPr>
                    </m:ctrlPr>
                  </m:fPr>
                  <m:num>
                    <m:r>
                      <m:rPr/>
                      <w:rPr>
                        <w:rFonts w:ascii="Cambria Math" w:hAnsi="Cambria Math" w:eastAsia="SimSun"/>
                        <w:szCs w:val="16"/>
                      </w:rPr>
                      <m:t>1</m:t>
                    </m:r>
                    <m:ctrlPr>
                      <w:rPr>
                        <w:rFonts w:ascii="Cambria Math" w:hAnsi="Cambria Math" w:eastAsia="SimSun"/>
                        <w:szCs w:val="16"/>
                      </w:rPr>
                    </m:ctrlPr>
                  </m:num>
                  <m:den>
                    <m:r>
                      <m:rPr/>
                      <w:rPr>
                        <w:rFonts w:ascii="Cambria Math" w:hAnsi="Cambria Math" w:eastAsia="SimSun"/>
                        <w:szCs w:val="16"/>
                      </w:rPr>
                      <m:t>2</m:t>
                    </m:r>
                    <m:ctrlPr>
                      <w:rPr>
                        <w:rFonts w:ascii="Cambria Math" w:hAnsi="Cambria Math" w:eastAsia="SimSun"/>
                        <w:szCs w:val="16"/>
                      </w:rPr>
                    </m:ctrlPr>
                  </m:den>
                </m:f>
                <m:r>
                  <m:rPr/>
                  <w:rPr>
                    <w:rFonts w:ascii="Cambria Math" w:hAnsi="Cambria Math" w:eastAsia="SimSun"/>
                    <w:szCs w:val="16"/>
                  </w:rPr>
                  <m:t>δ),   for |e|&gt;δ</m:t>
                </m:r>
              </m:oMath>
            </m:oMathPara>
          </w:p>
        </w:tc>
        <w:tc>
          <w:tcPr>
            <w:tcW w:w="550" w:type="dxa"/>
            <w:vAlign w:val="center"/>
          </w:tcPr>
          <w:p w14:paraId="513C3BED">
            <w:r>
              <w:t>(27)</w:t>
            </w:r>
          </w:p>
        </w:tc>
      </w:tr>
    </w:tbl>
    <w:p w14:paraId="6D503188">
      <w:pPr>
        <w:tabs>
          <w:tab w:val="left" w:pos="284"/>
        </w:tabs>
        <w:jc w:val="both"/>
      </w:pPr>
      <w:r>
        <w:rPr>
          <w:rFonts w:eastAsia="SimSun"/>
        </w:rPr>
        <w:t xml:space="preserve">where the threshold parameter </w:t>
      </w:r>
      <m:oMath>
        <m:r>
          <m:rPr/>
          <w:rPr>
            <w:rFonts w:ascii="Cambria Math" w:hAnsi="Cambria Math" w:eastAsia="SimSun"/>
          </w:rPr>
          <m:t>δ</m:t>
        </m:r>
      </m:oMath>
      <w:r>
        <w:rPr>
          <w:rFonts w:hAnsi="Cambria Math" w:eastAsia="SimSun"/>
        </w:rPr>
        <w:t xml:space="preserve"> </w:t>
      </w:r>
      <w:r>
        <w:rPr>
          <w:rFonts w:eastAsia="SimSun"/>
        </w:rPr>
        <w:t>is set to 1.0. This scales down penalization for extreme outlier shocks while maintaining smooth quadratic gradients for nominal reconstruction errors.</w:t>
      </w:r>
    </w:p>
    <w:p w14:paraId="38891C07">
      <w:pPr>
        <w:pStyle w:val="3"/>
      </w:pPr>
      <w:r>
        <w:t>Anomaly Scoring and Evaluation Strategy</w:t>
      </w:r>
    </w:p>
    <w:p w14:paraId="7F05087D">
      <w:pPr>
        <w:tabs>
          <w:tab w:val="left" w:pos="284"/>
        </w:tabs>
        <w:jc w:val="both"/>
      </w:pPr>
      <w:r>
        <w:tab/>
      </w:r>
      <w:r>
        <w:rPr>
          <w:rFonts w:eastAsia="SimSun"/>
        </w:rPr>
        <w:t>The anomaly score</w:t>
      </w:r>
      <w:r>
        <w:t xml:space="preserve"> </w:t>
      </w:r>
      <m:oMath>
        <m:sSub>
          <m:sSubPr>
            <m:ctrlPr>
              <w:rPr>
                <w:rFonts w:ascii="Cambria Math" w:hAnsi="Cambria Math" w:eastAsia="SimSun"/>
              </w:rPr>
            </m:ctrlPr>
          </m:sSubPr>
          <m:e>
            <m:r>
              <m:rPr>
                <m:nor/>
              </m:rPr>
              <w:rPr>
                <w:rFonts w:eastAsia="SimSun"/>
                <w:i/>
              </w:rPr>
              <m:t>A</m:t>
            </m:r>
            <m:ctrlPr>
              <w:rPr>
                <w:rFonts w:ascii="Cambria Math" w:hAnsi="Cambria Math" w:eastAsia="SimSun"/>
              </w:rPr>
            </m:ctrlPr>
          </m:e>
          <m:sub>
            <m:r>
              <m:rPr>
                <m:nor/>
              </m:rPr>
              <w:rPr>
                <w:rFonts w:eastAsia="SimSun"/>
                <w:i/>
              </w:rPr>
              <m:t>t</m:t>
            </m:r>
            <m:ctrlPr>
              <w:rPr>
                <w:rFonts w:ascii="Cambria Math" w:hAnsi="Cambria Math" w:eastAsia="SimSun"/>
              </w:rPr>
            </m:ctrlPr>
          </m:sub>
        </m:sSub>
      </m:oMath>
      <w:r>
        <w:rPr>
          <w:rFonts w:hAnsi="Cambria Math" w:eastAsia="SimSun"/>
        </w:rPr>
        <w:t xml:space="preserve"> </w:t>
      </w:r>
      <w:r>
        <w:rPr>
          <w:rFonts w:eastAsia="SimSun"/>
        </w:rPr>
        <w:t xml:space="preserve">for a test window at time step </w:t>
      </w:r>
      <m:oMath>
        <m:r>
          <m:rPr>
            <m:nor/>
          </m:rPr>
          <w:rPr>
            <w:rFonts w:eastAsia="SimSun"/>
            <w:i/>
          </w:rPr>
          <m:t>t</m:t>
        </m:r>
      </m:oMath>
      <w:r>
        <w:rPr>
          <w:rFonts w:eastAsia="SimSun"/>
        </w:rPr>
        <w:t xml:space="preserve"> is computed via the Mean Squared Error (MSE) across the channels and forecast horizon:</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20"/>
        <w:gridCol w:w="550"/>
      </w:tblGrid>
      <w:tr w14:paraId="7CBE6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371" w:type="dxa"/>
            <w:vAlign w:val="center"/>
          </w:tcPr>
          <w:p w14:paraId="1431BC68">
            <w:pPr>
              <w:rPr>
                <w:rFonts w:hAnsi="Cambria Math" w:eastAsia="Cambria Math" w:cs="Cambria Math"/>
                <w:sz w:val="24"/>
                <w:szCs w:val="24"/>
              </w:rPr>
            </w:pPr>
            <m:oMathPara>
              <m:oMath>
                <m:sSub>
                  <m:sSubPr>
                    <m:ctrlPr>
                      <w:rPr>
                        <w:rFonts w:ascii="Cambria Math" w:hAnsi="Cambria Math" w:eastAsia="Cambria Math"/>
                        <w:szCs w:val="16"/>
                      </w:rPr>
                    </m:ctrlPr>
                  </m:sSubPr>
                  <m:e>
                    <m:r>
                      <m:rPr/>
                      <w:rPr>
                        <w:rFonts w:ascii="Cambria Math" w:hAnsi="Cambria Math" w:eastAsia="Cambria Math"/>
                        <w:szCs w:val="16"/>
                      </w:rPr>
                      <m:t>A</m:t>
                    </m:r>
                    <m:ctrlPr>
                      <w:rPr>
                        <w:rFonts w:ascii="Cambria Math" w:hAnsi="Cambria Math" w:eastAsia="Cambria Math"/>
                        <w:szCs w:val="16"/>
                      </w:rPr>
                    </m:ctrlPr>
                  </m:e>
                  <m:sub>
                    <m:r>
                      <m:rPr/>
                      <w:rPr>
                        <w:rFonts w:ascii="Cambria Math" w:hAnsi="Cambria Math" w:eastAsia="Cambria Math"/>
                        <w:szCs w:val="16"/>
                      </w:rPr>
                      <m:t>t</m:t>
                    </m:r>
                    <m:ctrlPr>
                      <w:rPr>
                        <w:rFonts w:ascii="Cambria Math" w:hAnsi="Cambria Math" w:eastAsia="Cambria Math"/>
                        <w:szCs w:val="16"/>
                      </w:rPr>
                    </m:ctrlPr>
                  </m:sub>
                </m:sSub>
                <m:r>
                  <m:rPr/>
                  <w:rPr>
                    <w:rFonts w:ascii="Cambria Math" w:hAnsi="Cambria Math" w:eastAsia="Cambria Math"/>
                    <w:szCs w:val="16"/>
                  </w:rPr>
                  <m:t>=</m:t>
                </m:r>
                <m:f>
                  <m:fPr>
                    <m:ctrlPr>
                      <w:rPr>
                        <w:rFonts w:ascii="Cambria Math" w:hAnsi="Cambria Math" w:eastAsia="Cambria Math"/>
                        <w:szCs w:val="16"/>
                      </w:rPr>
                    </m:ctrlPr>
                  </m:fPr>
                  <m:num>
                    <m:r>
                      <m:rPr/>
                      <w:rPr>
                        <w:rFonts w:ascii="Cambria Math" w:hAnsi="Cambria Math" w:eastAsia="Cambria Math"/>
                        <w:szCs w:val="16"/>
                      </w:rPr>
                      <m:t>1</m:t>
                    </m:r>
                    <m:ctrlPr>
                      <w:rPr>
                        <w:rFonts w:ascii="Cambria Math" w:hAnsi="Cambria Math" w:eastAsia="Cambria Math"/>
                        <w:szCs w:val="16"/>
                      </w:rPr>
                    </m:ctrlPr>
                  </m:num>
                  <m:den>
                    <m:r>
                      <m:rPr/>
                      <w:rPr>
                        <w:rFonts w:ascii="Cambria Math" w:hAnsi="Cambria Math" w:eastAsia="Cambria Math"/>
                        <w:szCs w:val="16"/>
                      </w:rPr>
                      <m:t>M⋅</m:t>
                    </m:r>
                    <m:sSub>
                      <m:sSubPr>
                        <m:ctrlPr>
                          <w:rPr>
                            <w:rFonts w:ascii="Cambria Math" w:hAnsi="Cambria Math" w:eastAsia="Cambria Math"/>
                            <w:szCs w:val="16"/>
                          </w:rPr>
                        </m:ctrlPr>
                      </m:sSubPr>
                      <m:e>
                        <m:r>
                          <m:rPr/>
                          <w:rPr>
                            <w:rFonts w:ascii="Cambria Math" w:hAnsi="Cambria Math" w:eastAsia="Cambria Math"/>
                            <w:szCs w:val="16"/>
                          </w:rPr>
                          <m:t>L</m:t>
                        </m:r>
                        <m:ctrlPr>
                          <w:rPr>
                            <w:rFonts w:ascii="Cambria Math" w:hAnsi="Cambria Math" w:eastAsia="Cambria Math"/>
                            <w:szCs w:val="16"/>
                          </w:rPr>
                        </m:ctrlPr>
                      </m:e>
                      <m:sub>
                        <m:r>
                          <m:rPr/>
                          <w:rPr>
                            <w:rFonts w:ascii="Cambria Math" w:hAnsi="Cambria Math" w:eastAsia="Cambria Math"/>
                            <w:szCs w:val="16"/>
                          </w:rPr>
                          <m:t>y</m:t>
                        </m:r>
                        <m:ctrlPr>
                          <w:rPr>
                            <w:rFonts w:ascii="Cambria Math" w:hAnsi="Cambria Math" w:eastAsia="Cambria Math"/>
                            <w:szCs w:val="16"/>
                          </w:rPr>
                        </m:ctrlPr>
                      </m:sub>
                    </m:sSub>
                    <m:ctrlPr>
                      <w:rPr>
                        <w:rFonts w:ascii="Cambria Math" w:hAnsi="Cambria Math" w:eastAsia="Cambria Math"/>
                        <w:szCs w:val="16"/>
                      </w:rPr>
                    </m:ctrlPr>
                  </m:den>
                </m:f>
                <m:r>
                  <m:rPr/>
                  <w:rPr>
                    <w:rFonts w:ascii="Cambria Math" w:hAnsi="Cambria Math" w:eastAsia="Cambria Math"/>
                    <w:szCs w:val="16"/>
                  </w:rPr>
                  <m:t>su</m:t>
                </m:r>
                <m:sSubSup>
                  <m:sSubSupPr>
                    <m:ctrlPr>
                      <w:rPr>
                        <w:rFonts w:ascii="Cambria Math" w:hAnsi="Cambria Math" w:eastAsia="Cambria Math"/>
                        <w:szCs w:val="16"/>
                      </w:rPr>
                    </m:ctrlPr>
                  </m:sSubSupPr>
                  <m:e>
                    <m:r>
                      <m:rPr/>
                      <w:rPr>
                        <w:rFonts w:ascii="Cambria Math" w:hAnsi="Cambria Math" w:eastAsia="Cambria Math"/>
                        <w:szCs w:val="16"/>
                      </w:rPr>
                      <m:t>m</m:t>
                    </m:r>
                    <m:ctrlPr>
                      <w:rPr>
                        <w:rFonts w:ascii="Cambria Math" w:hAnsi="Cambria Math" w:eastAsia="Cambria Math"/>
                        <w:szCs w:val="16"/>
                      </w:rPr>
                    </m:ctrlPr>
                  </m:e>
                  <m:sub>
                    <m:r>
                      <m:rPr/>
                      <w:rPr>
                        <w:rFonts w:ascii="Cambria Math" w:hAnsi="Cambria Math" w:eastAsia="Cambria Math"/>
                        <w:szCs w:val="16"/>
                      </w:rPr>
                      <m:t>c=1</m:t>
                    </m:r>
                    <m:ctrlPr>
                      <w:rPr>
                        <w:rFonts w:ascii="Cambria Math" w:hAnsi="Cambria Math" w:eastAsia="Cambria Math"/>
                        <w:szCs w:val="16"/>
                      </w:rPr>
                    </m:ctrlPr>
                  </m:sub>
                  <m:sup>
                    <m:r>
                      <m:rPr/>
                      <w:rPr>
                        <w:rFonts w:ascii="Cambria Math" w:hAnsi="Cambria Math" w:eastAsia="Cambria Math"/>
                        <w:szCs w:val="16"/>
                      </w:rPr>
                      <m:t>M</m:t>
                    </m:r>
                    <m:ctrlPr>
                      <w:rPr>
                        <w:rFonts w:ascii="Cambria Math" w:hAnsi="Cambria Math" w:eastAsia="Cambria Math"/>
                        <w:szCs w:val="16"/>
                      </w:rPr>
                    </m:ctrlPr>
                  </m:sup>
                </m:sSubSup>
                <m:nary>
                  <m:naryPr>
                    <m:chr m:val="∑"/>
                    <m:limLoc m:val="subSup"/>
                    <m:ctrlPr>
                      <w:rPr>
                        <w:rFonts w:ascii="Cambria Math" w:hAnsi="Cambria Math" w:eastAsia="Cambria Math"/>
                        <w:szCs w:val="16"/>
                      </w:rPr>
                    </m:ctrlPr>
                  </m:naryPr>
                  <m:sub>
                    <m:r>
                      <m:rPr/>
                      <w:rPr>
                        <w:rFonts w:ascii="Cambria Math" w:hAnsi="Cambria Math" w:eastAsia="Cambria Math"/>
                        <w:szCs w:val="16"/>
                      </w:rPr>
                      <m:t>i=1</m:t>
                    </m:r>
                    <m:ctrlPr>
                      <w:rPr>
                        <w:rFonts w:ascii="Cambria Math" w:hAnsi="Cambria Math" w:eastAsia="Cambria Math"/>
                        <w:szCs w:val="16"/>
                      </w:rPr>
                    </m:ctrlPr>
                  </m:sub>
                  <m:sup>
                    <m:sSub>
                      <m:sSubPr>
                        <m:ctrlPr>
                          <w:rPr>
                            <w:rFonts w:ascii="Cambria Math" w:hAnsi="Cambria Math" w:eastAsia="Cambria Math"/>
                            <w:szCs w:val="16"/>
                          </w:rPr>
                        </m:ctrlPr>
                      </m:sSubPr>
                      <m:e>
                        <m:r>
                          <m:rPr/>
                          <w:rPr>
                            <w:rFonts w:ascii="Cambria Math" w:hAnsi="Cambria Math" w:eastAsia="Cambria Math"/>
                            <w:szCs w:val="16"/>
                          </w:rPr>
                          <m:t>L</m:t>
                        </m:r>
                        <m:ctrlPr>
                          <w:rPr>
                            <w:rFonts w:ascii="Cambria Math" w:hAnsi="Cambria Math" w:eastAsia="Cambria Math"/>
                            <w:szCs w:val="16"/>
                          </w:rPr>
                        </m:ctrlPr>
                      </m:e>
                      <m:sub>
                        <m:r>
                          <m:rPr/>
                          <w:rPr>
                            <w:rFonts w:ascii="Cambria Math" w:hAnsi="Cambria Math" w:eastAsia="Cambria Math"/>
                            <w:szCs w:val="16"/>
                          </w:rPr>
                          <m:t>y</m:t>
                        </m:r>
                        <m:ctrlPr>
                          <w:rPr>
                            <w:rFonts w:ascii="Cambria Math" w:hAnsi="Cambria Math" w:eastAsia="Cambria Math"/>
                            <w:szCs w:val="16"/>
                          </w:rPr>
                        </m:ctrlPr>
                      </m:sub>
                    </m:sSub>
                    <m:ctrlPr>
                      <w:rPr>
                        <w:rFonts w:ascii="Cambria Math" w:hAnsi="Cambria Math" w:eastAsia="Cambria Math"/>
                        <w:szCs w:val="16"/>
                      </w:rPr>
                    </m:ctrlPr>
                  </m:sup>
                  <m:e>
                    <m:r>
                      <m:rPr/>
                      <w:rPr>
                        <w:rFonts w:ascii="Cambria Math" w:hAnsi="Cambria Math" w:eastAsia="Cambria Math"/>
                        <w:szCs w:val="16"/>
                      </w:rPr>
                      <m:t>(</m:t>
                    </m:r>
                    <m:ctrlPr>
                      <w:rPr>
                        <w:rFonts w:ascii="Cambria Math" w:hAnsi="Cambria Math" w:eastAsia="Cambria Math"/>
                        <w:szCs w:val="16"/>
                      </w:rPr>
                    </m:ctrlPr>
                  </m:e>
                </m:nary>
                <m:sSub>
                  <m:sSubPr>
                    <m:ctrlPr>
                      <w:rPr>
                        <w:rFonts w:ascii="Cambria Math" w:hAnsi="Cambria Math" w:eastAsia="Cambria Math"/>
                        <w:szCs w:val="16"/>
                      </w:rPr>
                    </m:ctrlPr>
                  </m:sSubPr>
                  <m:e>
                    <m:r>
                      <m:rPr/>
                      <w:rPr>
                        <w:rFonts w:ascii="Cambria Math" w:hAnsi="Cambria Math" w:eastAsia="Cambria Math"/>
                        <w:szCs w:val="16"/>
                      </w:rPr>
                      <m:t>y</m:t>
                    </m:r>
                    <m:ctrlPr>
                      <w:rPr>
                        <w:rFonts w:ascii="Cambria Math" w:hAnsi="Cambria Math" w:eastAsia="Cambria Math"/>
                        <w:szCs w:val="16"/>
                      </w:rPr>
                    </m:ctrlPr>
                  </m:e>
                  <m:sub>
                    <m:r>
                      <m:rPr/>
                      <w:rPr>
                        <w:rFonts w:ascii="Cambria Math" w:hAnsi="Cambria Math" w:eastAsia="Cambria Math"/>
                        <w:szCs w:val="16"/>
                      </w:rPr>
                      <m:t>t+i,c</m:t>
                    </m:r>
                    <m:ctrlPr>
                      <w:rPr>
                        <w:rFonts w:ascii="Cambria Math" w:hAnsi="Cambria Math" w:eastAsia="Cambria Math"/>
                        <w:szCs w:val="16"/>
                      </w:rPr>
                    </m:ctrlPr>
                  </m:sub>
                </m:sSub>
                <m:r>
                  <m:rPr/>
                  <w:rPr>
                    <w:rFonts w:ascii="Cambria Math" w:hAnsi="Cambria Math" w:eastAsia="Cambria Math"/>
                    <w:szCs w:val="16"/>
                  </w:rPr>
                  <m:t>−</m:t>
                </m:r>
                <m:sSub>
                  <m:sSubPr>
                    <m:ctrlPr>
                      <w:rPr>
                        <w:rFonts w:ascii="Cambria Math" w:hAnsi="Cambria Math" w:eastAsia="Cambria Math"/>
                        <w:szCs w:val="16"/>
                      </w:rPr>
                    </m:ctrlPr>
                  </m:sSubPr>
                  <m:e>
                    <m:acc>
                      <m:accPr>
                        <m:ctrlPr>
                          <w:rPr>
                            <w:rFonts w:ascii="Cambria Math" w:hAnsi="Cambria Math" w:eastAsia="Cambria Math"/>
                            <w:szCs w:val="16"/>
                          </w:rPr>
                        </m:ctrlPr>
                      </m:accPr>
                      <m:e>
                        <m:r>
                          <m:rPr/>
                          <w:rPr>
                            <w:rFonts w:ascii="Cambria Math" w:hAnsi="Cambria Math" w:eastAsia="Cambria Math"/>
                            <w:szCs w:val="16"/>
                          </w:rPr>
                          <m:t>y</m:t>
                        </m:r>
                        <m:ctrlPr>
                          <w:rPr>
                            <w:rFonts w:ascii="Cambria Math" w:hAnsi="Cambria Math" w:eastAsia="Cambria Math"/>
                            <w:szCs w:val="16"/>
                          </w:rPr>
                        </m:ctrlPr>
                      </m:e>
                    </m:acc>
                    <m:ctrlPr>
                      <w:rPr>
                        <w:rFonts w:ascii="Cambria Math" w:hAnsi="Cambria Math" w:eastAsia="Cambria Math"/>
                        <w:szCs w:val="16"/>
                      </w:rPr>
                    </m:ctrlPr>
                  </m:e>
                  <m:sub>
                    <m:r>
                      <m:rPr/>
                      <w:rPr>
                        <w:rFonts w:ascii="Cambria Math" w:hAnsi="Cambria Math" w:eastAsia="Cambria Math"/>
                        <w:szCs w:val="16"/>
                      </w:rPr>
                      <m:t>t+i,c</m:t>
                    </m:r>
                    <m:ctrlPr>
                      <w:rPr>
                        <w:rFonts w:ascii="Cambria Math" w:hAnsi="Cambria Math" w:eastAsia="Cambria Math"/>
                        <w:szCs w:val="16"/>
                      </w:rPr>
                    </m:ctrlPr>
                  </m:sub>
                </m:sSub>
                <m:sSup>
                  <m:sSupPr>
                    <m:ctrlPr>
                      <w:rPr>
                        <w:rFonts w:ascii="Cambria Math" w:hAnsi="Cambria Math" w:eastAsia="Cambria Math"/>
                        <w:szCs w:val="16"/>
                      </w:rPr>
                    </m:ctrlPr>
                  </m:sSupPr>
                  <m:e>
                    <m:r>
                      <m:rPr/>
                      <w:rPr>
                        <w:rFonts w:ascii="Cambria Math" w:hAnsi="Cambria Math" w:eastAsia="Cambria Math"/>
                        <w:szCs w:val="16"/>
                      </w:rPr>
                      <m:t>)</m:t>
                    </m:r>
                    <m:ctrlPr>
                      <w:rPr>
                        <w:rFonts w:ascii="Cambria Math" w:hAnsi="Cambria Math" w:eastAsia="Cambria Math"/>
                        <w:szCs w:val="16"/>
                      </w:rPr>
                    </m:ctrlPr>
                  </m:e>
                  <m:sup>
                    <m:r>
                      <m:rPr/>
                      <w:rPr>
                        <w:rFonts w:ascii="Cambria Math" w:hAnsi="Cambria Math" w:eastAsia="Cambria Math"/>
                        <w:szCs w:val="16"/>
                      </w:rPr>
                      <m:t>2</m:t>
                    </m:r>
                    <m:ctrlPr>
                      <w:rPr>
                        <w:rFonts w:ascii="Cambria Math" w:hAnsi="Cambria Math" w:eastAsia="Cambria Math"/>
                        <w:szCs w:val="16"/>
                      </w:rPr>
                    </m:ctrlPr>
                  </m:sup>
                </m:sSup>
              </m:oMath>
            </m:oMathPara>
          </w:p>
        </w:tc>
        <w:tc>
          <w:tcPr>
            <w:tcW w:w="273" w:type="dxa"/>
            <w:vAlign w:val="center"/>
          </w:tcPr>
          <w:p w14:paraId="53158C91">
            <w:r>
              <w:t>(28)</w:t>
            </w:r>
          </w:p>
        </w:tc>
      </w:tr>
    </w:tbl>
    <w:p w14:paraId="2F4E7C61">
      <w:pPr>
        <w:tabs>
          <w:tab w:val="left" w:pos="284"/>
        </w:tabs>
        <w:jc w:val="both"/>
      </w:pPr>
      <w:r>
        <w:tab/>
      </w:r>
      <w:r>
        <w:rPr>
          <w:rFonts w:eastAsia="SimSun"/>
        </w:rPr>
        <w:t>Performance is evaluated using standard diagnostics metrics: Precision, Recall, F1-Score, AUROC, AUPRC, and False Alarm Rate (FAR). AUPRC serves as the primary metric to account for severe class imbalance. Computational efficiency is assessed via latency and VRAM footprint.</w:t>
      </w:r>
    </w:p>
    <w:p w14:paraId="7B85CFFC">
      <w:pPr>
        <w:tabs>
          <w:tab w:val="left" w:pos="284"/>
        </w:tabs>
        <w:jc w:val="both"/>
        <w:rPr>
          <w:rFonts w:eastAsia="MS Mincho"/>
          <w:smallCaps/>
        </w:rPr>
      </w:pPr>
      <w:r>
        <w:tab/>
      </w:r>
      <w:r>
        <w:rPr>
          <w:rFonts w:eastAsia="SimSun"/>
          <w:b/>
          <w:bCs/>
        </w:rPr>
        <w:t>*Note</w:t>
      </w:r>
      <w:r>
        <w:rPr>
          <w:rFonts w:eastAsia="SimSun"/>
        </w:rPr>
        <w:t>: Due to local computing constraints, a representative subset of the UPB bearing dataset is utilized to establish a high-density, reproducible benchmarking baseline.</w:t>
      </w:r>
    </w:p>
    <w:p w14:paraId="5788F7F2">
      <w:pPr>
        <w:pStyle w:val="2"/>
      </w:pPr>
      <w:r>
        <w:rPr>
          <w:rFonts w:eastAsia="SimSun"/>
        </w:rPr>
        <w:t>Experimental Results and Discussion</w:t>
      </w:r>
    </w:p>
    <w:p w14:paraId="3C9CF36E">
      <w:pPr>
        <w:tabs>
          <w:tab w:val="left" w:pos="284"/>
        </w:tabs>
        <w:jc w:val="left"/>
      </w:pPr>
      <w:r>
        <w:rPr>
          <w:rFonts w:eastAsia="SimSun"/>
        </w:rPr>
        <w:tab/>
      </w:r>
      <w:r>
        <w:rPr>
          <w:rFonts w:eastAsia="SimSun"/>
        </w:rPr>
        <w:t>In this section, the empirical evaluation of the proposed series-decomposed hybrid Mamba-CNN architecture is presented. The analysis begins with a detailed component-level validation of the series decomposition module, demonstrating waveform decomposition dynamics, spectral energy separation, and latent space dimensionality. Following this, the global anomaly detection performance is assessed on run-to-failure bearing vibration data, comparing the proposed framework against four scaled baselines under a strict parameter budgeting protocol. Finally, computational latency, hardware memory footprints, and threshold calibration overhead are evaluated to validate its real-time edge-deployment capability.</w:t>
      </w:r>
    </w:p>
    <w:p w14:paraId="6C3387BE">
      <w:pPr>
        <w:pStyle w:val="3"/>
      </w:pPr>
      <w:r>
        <w:rPr>
          <w:rFonts w:eastAsia="SimSun"/>
        </w:rPr>
        <w:t>Validation of Series Decomposition Dynamics</w:t>
      </w:r>
    </w:p>
    <w:p w14:paraId="0140EB63">
      <w:pPr>
        <w:tabs>
          <w:tab w:val="left" w:pos="284"/>
        </w:tabs>
        <w:jc w:val="both"/>
        <w:rPr>
          <w:rFonts w:eastAsia="SimSun"/>
        </w:rPr>
      </w:pPr>
      <w:r>
        <w:tab/>
      </w:r>
      <w:r>
        <w:rPr>
          <w:rFonts w:eastAsia="SimSun"/>
        </w:rPr>
        <w:t>Discrete vibration signal decomposition via the adaptive temporal series decomposition module is evaluated across three representative stages of bearing B03: healthy (M0001), mid-life (M0308), and fault onset (M0558). Fusing a sliding average kernel (</w:t>
      </w:r>
      <m:oMath>
        <m:sSub>
          <m:sSubPr>
            <m:ctrlPr>
              <w:rPr>
                <w:rFonts w:ascii="Cambria Math" w:hAnsi="Cambria Math" w:eastAsia="Cambria Math"/>
              </w:rPr>
            </m:ctrlPr>
          </m:sSubPr>
          <m:e>
            <m:r>
              <m:rPr/>
              <w:rPr>
                <w:rFonts w:ascii="Cambria Math" w:hAnsi="Cambria Math" w:eastAsia="Cambria Math"/>
              </w:rPr>
              <m:t>L</m:t>
            </m:r>
            <m:ctrlPr>
              <w:rPr>
                <w:rFonts w:ascii="Cambria Math" w:hAnsi="Cambria Math" w:eastAsia="Cambria Math"/>
              </w:rPr>
            </m:ctrlPr>
          </m:e>
          <m:sub>
            <m:r>
              <m:rPr/>
              <w:rPr>
                <w:rFonts w:ascii="Cambria Math" w:hAnsi="Cambria Math" w:eastAsia="Cambria Math"/>
              </w:rPr>
              <m:t>ma</m:t>
            </m:r>
            <m:ctrlPr>
              <w:rPr>
                <w:rFonts w:ascii="Cambria Math" w:hAnsi="Cambria Math" w:eastAsia="Cambria Math"/>
              </w:rPr>
            </m:ctrlPr>
          </m:sub>
        </m:sSub>
        <m:r>
          <m:rPr/>
          <w:rPr>
            <w:rFonts w:ascii="Cambria Math" w:hAnsi="Cambria Math" w:eastAsia="Cambria Math"/>
          </w:rPr>
          <m:t>=3457</m:t>
        </m:r>
      </m:oMath>
      <w:r>
        <w:t xml:space="preserve">) </w:t>
      </w:r>
      <w:r>
        <w:rPr>
          <w:rFonts w:eastAsia="SimSun"/>
        </w:rPr>
        <w:t>ensures the trend component (</w:t>
      </w:r>
      <m:oMath>
        <m:sSub>
          <m:sSubPr>
            <m:ctrlPr>
              <w:rPr>
                <w:rFonts w:ascii="Cambria Math" w:hAnsi="Cambria Math" w:eastAsia="Cambria Math"/>
              </w:rPr>
            </m:ctrlPr>
          </m:sSubPr>
          <m:e>
            <m:r>
              <m:rPr/>
              <w:rPr>
                <w:rFonts w:ascii="Cambria Math" w:hAnsi="Cambria Math" w:eastAsia="Cambria Math"/>
              </w:rPr>
              <m:t>x</m:t>
            </m:r>
            <m:ctrlPr>
              <w:rPr>
                <w:rFonts w:ascii="Cambria Math" w:hAnsi="Cambria Math" w:eastAsia="Cambria Math"/>
              </w:rPr>
            </m:ctrlPr>
          </m:e>
          <m:sub>
            <m:r>
              <m:rPr/>
              <w:rPr>
                <w:rFonts w:ascii="Cambria Math" w:hAnsi="Cambria Math" w:eastAsia="Cambria Math"/>
              </w:rPr>
              <m:t>t</m:t>
            </m:r>
            <m:ctrlPr>
              <w:rPr>
                <w:rFonts w:ascii="Cambria Math" w:hAnsi="Cambria Math" w:eastAsia="Cambria Math"/>
              </w:rPr>
            </m:ctrlPr>
          </m:sub>
        </m:sSub>
      </m:oMath>
      <w:r>
        <w:rPr>
          <w:rFonts w:eastAsia="SimSun"/>
        </w:rPr>
        <w:t>) tracks smooth progressive degradation trajectories, while the seasonal component (</w:t>
      </w:r>
      <m:oMath>
        <m:sSub>
          <m:sSubPr>
            <m:ctrlPr>
              <w:rPr>
                <w:rFonts w:ascii="Cambria Math" w:hAnsi="Cambria Math" w:eastAsia="SimSun"/>
              </w:rPr>
            </m:ctrlPr>
          </m:sSubPr>
          <m:e>
            <m:r>
              <m:rPr/>
              <w:rPr>
                <w:rFonts w:ascii="Cambria Math" w:hAnsi="Cambria Math" w:eastAsia="SimSun"/>
              </w:rPr>
              <m:t>x</m:t>
            </m:r>
            <m:ctrlPr>
              <w:rPr>
                <w:rFonts w:ascii="Cambria Math" w:hAnsi="Cambria Math" w:eastAsia="SimSun"/>
              </w:rPr>
            </m:ctrlPr>
          </m:e>
          <m:sub>
            <m:r>
              <m:rPr/>
              <w:rPr>
                <w:rFonts w:ascii="Cambria Math" w:hAnsi="Cambria Math" w:eastAsia="SimSun"/>
              </w:rPr>
              <m:t>s</m:t>
            </m:r>
            <m:ctrlPr>
              <w:rPr>
                <w:rFonts w:ascii="Cambria Math" w:hAnsi="Cambria Math" w:eastAsia="SimSun"/>
              </w:rPr>
            </m:ctrlPr>
          </m:sub>
        </m:sSub>
      </m:oMath>
      <w:r>
        <w:rPr>
          <w:rFonts w:eastAsia="SimSun"/>
        </w:rPr>
        <w:t>) isolates high-frequency non-linear vibrations. At fault onset (M0558), a sharp amplitude surge in the seasonal path is observed (RMS increases from 0.059 V to 0.088 V), while the trend remains baseline (0.006 V), validating that the decomposition successfully prevents energy-dominant low-frequency trend profiles from masking high-frequency fault-induced impulses.</w:t>
      </w:r>
    </w:p>
    <w:p w14:paraId="3292F7F4">
      <w:pPr>
        <w:tabs>
          <w:tab w:val="left" w:pos="284"/>
        </w:tabs>
        <w:jc w:val="both"/>
        <w:rPr>
          <w:rFonts w:eastAsia="SimSun"/>
        </w:rPr>
      </w:pPr>
      <w:r>
        <w:tab/>
      </w:r>
      <w:r>
        <w:rPr>
          <w:rFonts w:eastAsia="SimSun"/>
        </w:rPr>
        <w:t>Discrete signal spectral separation is verified via Power Spectral Density (PSD) analysis, showing a 6 to 8 orders of magnitude separation between trend and seasonal components in the 1000–6000 Hz band. The seasonal component achieves an energy ratio 28 times greater than the trend component. The mechanical origin of the structural fault is confirmed via Fast Fourier Transform (FFT) of the seasonal component during degradation, which displays a dominant energy peak at 108 Hz, matching the theoretical inner-ring BPFI defect frequency.</w:t>
      </w:r>
    </w:p>
    <w:p w14:paraId="0FEB7A7D">
      <w:pPr>
        <w:tabs>
          <w:tab w:val="left" w:pos="284"/>
        </w:tabs>
        <w:jc w:val="both"/>
        <w:rPr>
          <w:rFonts w:eastAsia="SimSun"/>
        </w:rPr>
      </w:pPr>
      <w:r>
        <w:tab/>
      </w:r>
      <w:r>
        <w:rPr>
          <w:rFonts w:eastAsia="SimSun"/>
        </w:rPr>
        <w:t>Furthermore, PCA variance analysis demonstrates a low-dimensional trend manifold (2 PCs explain 90% variance) versus a highly complex seasonal manifold (over 30 PCs explain 83% variance). This high dimensionality expansion ratio (</w:t>
      </w:r>
      <m:oMath>
        <m:r>
          <m:rPr>
            <m:sty m:val="p"/>
          </m:rPr>
          <w:rPr>
            <w:rFonts w:ascii="Cambria Math" w:hAnsi="Cambria Math" w:eastAsia="SimSun"/>
          </w:rPr>
          <m:t>15.5×</m:t>
        </m:r>
      </m:oMath>
      <w:r>
        <w:rPr>
          <w:rFonts w:eastAsia="SimSun"/>
        </w:rPr>
        <w:t>) mathematically justifies the proposed parallel dual-stream architecture, allocating a parsimonious linear predictor for the low-dimensional trend branch and the Mamba-CNN encoder for the complex seasonal dynamics.</w:t>
      </w:r>
    </w:p>
    <w:p w14:paraId="57C6C7A1">
      <w:r>
        <w:drawing>
          <wp:inline distT="0" distB="0" distL="0" distR="0">
            <wp:extent cx="4860290" cy="3017520"/>
            <wp:effectExtent l="0" t="0" r="1651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4860290" cy="3017520"/>
                    </a:xfrm>
                    <a:prstGeom prst="rect">
                      <a:avLst/>
                    </a:prstGeom>
                  </pic:spPr>
                </pic:pic>
              </a:graphicData>
            </a:graphic>
          </wp:inline>
        </w:drawing>
      </w:r>
    </w:p>
    <w:p w14:paraId="087455A7">
      <w:pPr>
        <w:pStyle w:val="11"/>
        <w:rPr>
          <w:rFonts w:eastAsia="SimSun"/>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t xml:space="preserve">. </w:t>
      </w:r>
      <w:r>
        <w:rPr>
          <w:rFonts w:eastAsia="SimSun"/>
        </w:rPr>
        <w:t>Waveform decomposition results on bearing B03 across three representative phases: healthy, mid-life, and fault onset.</w:t>
      </w:r>
    </w:p>
    <w:p w14:paraId="7206AF72">
      <w:pPr>
        <w:pStyle w:val="3"/>
        <w:jc w:val="both"/>
      </w:pPr>
      <w:r>
        <w:rPr>
          <w:rFonts w:eastAsia="SimSun"/>
        </w:rPr>
        <w:t>Anomaly Detection Performance Comparison</w:t>
      </w:r>
    </w:p>
    <w:p w14:paraId="73B3C65E">
      <w:pPr>
        <w:tabs>
          <w:tab w:val="left" w:pos="284"/>
        </w:tabs>
        <w:jc w:val="both"/>
      </w:pPr>
      <w:r>
        <w:tab/>
      </w:r>
      <w:r>
        <w:rPr>
          <w:rFonts w:eastAsia="SimSun"/>
        </w:rPr>
        <w:t>The anomaly detection performance was evaluated under localized Peak Over Threshold (POT) calibration (</w:t>
      </w:r>
      <m:oMath>
        <m:r>
          <m:rPr/>
          <w:rPr>
            <w:rFonts w:ascii="Cambria Math" w:hAnsi="Cambria Math" w:eastAsia="Cambria Math"/>
          </w:rPr>
          <m:t>q=1</m:t>
        </m:r>
        <m:sSup>
          <m:sSupPr>
            <m:ctrlPr>
              <w:rPr>
                <w:rFonts w:ascii="Cambria Math" w:hAnsi="Cambria Math" w:eastAsia="Cambria Math"/>
              </w:rPr>
            </m:ctrlPr>
          </m:sSupPr>
          <m:e>
            <m:r>
              <m:rPr/>
              <w:rPr>
                <w:rFonts w:ascii="Cambria Math" w:hAnsi="Cambria Math" w:eastAsia="Cambria Math"/>
              </w:rPr>
              <m:t>0</m:t>
            </m:r>
            <m:ctrlPr>
              <w:rPr>
                <w:rFonts w:ascii="Cambria Math" w:hAnsi="Cambria Math" w:eastAsia="Cambria Math"/>
              </w:rPr>
            </m:ctrlPr>
          </m:e>
          <m:sup>
            <m:r>
              <m:rPr/>
              <w:rPr>
                <w:rFonts w:ascii="Cambria Math" w:hAnsi="Cambria Math" w:eastAsia="Cambria Math"/>
              </w:rPr>
              <m:t>−3</m:t>
            </m:r>
            <m:ctrlPr>
              <w:rPr>
                <w:rFonts w:ascii="Cambria Math" w:hAnsi="Cambria Math" w:eastAsia="Cambria Math"/>
              </w:rPr>
            </m:ctrlPr>
          </m:sup>
        </m:sSup>
      </m:oMath>
      <w:r>
        <w:rPr>
          <w:rFonts w:eastAsia="SimSun"/>
        </w:rPr>
        <w:t xml:space="preserve">). The macro-average performance metrics across the seven test bearings are summarized in Table </w:t>
      </w:r>
      <w:r>
        <w:rPr>
          <w:rFonts w:hint="default" w:eastAsia="SimSun"/>
          <w:lang w:val="en-US"/>
        </w:rPr>
        <w:t>I</w:t>
      </w:r>
      <w:r>
        <w:rPr>
          <w:rFonts w:eastAsia="SimSun"/>
        </w:rPr>
        <w:t>V</w:t>
      </w:r>
      <w:r>
        <w:rPr>
          <w:rFonts w:hint="default" w:eastAsia="SimSun"/>
          <w:lang w:val="en-US"/>
        </w:rPr>
        <w:t xml:space="preserve"> </w:t>
      </w:r>
      <w:r>
        <w:rPr>
          <w:rFonts w:eastAsia="SimSun"/>
        </w:rPr>
        <w:t xml:space="preserve">. The best performing metrics are highlighted in </w:t>
      </w:r>
      <w:r>
        <w:rPr>
          <w:rFonts w:eastAsia="SimSun"/>
          <w:b/>
          <w:bCs/>
        </w:rPr>
        <w:t>bold</w:t>
      </w:r>
      <w:r>
        <w:rPr>
          <w:rFonts w:eastAsia="SimSun"/>
        </w:rPr>
        <w:t>, while the second-best results are underlined.</w:t>
      </w:r>
    </w:p>
    <w:p w14:paraId="52CDF224">
      <w:pPr>
        <w:pStyle w:val="11"/>
        <w:rPr>
          <w:b/>
          <w:bCs/>
        </w:rPr>
      </w:pPr>
      <w:r>
        <w:rPr>
          <w:b/>
          <w:bCs/>
        </w:rPr>
        <w:t xml:space="preserve">Table </w:t>
      </w:r>
      <w:r>
        <w:rPr>
          <w:b/>
          <w:bCs/>
        </w:rPr>
        <w:fldChar w:fldCharType="begin"/>
      </w:r>
      <w:r>
        <w:rPr>
          <w:b/>
          <w:bCs/>
        </w:rPr>
        <w:instrText xml:space="preserve"> SEQ Table \* ARABIC </w:instrText>
      </w:r>
      <w:r>
        <w:rPr>
          <w:b/>
          <w:bCs/>
        </w:rPr>
        <w:fldChar w:fldCharType="separate"/>
      </w:r>
      <w:r>
        <w:rPr>
          <w:b/>
          <w:bCs/>
        </w:rPr>
        <w:t>4</w:t>
      </w:r>
      <w:r>
        <w:rPr>
          <w:b/>
          <w:bCs/>
        </w:rPr>
        <w:fldChar w:fldCharType="end"/>
      </w:r>
      <w:r>
        <w:rPr>
          <w:b/>
          <w:bCs/>
        </w:rPr>
        <w:t xml:space="preserve">. </w:t>
      </w:r>
      <w:r>
        <w:rPr>
          <w:rFonts w:eastAsia="SimSun"/>
        </w:rPr>
        <w:t>Macro-average anomaly detection performance under POT thresholding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3"/>
        <w:gridCol w:w="1134"/>
        <w:gridCol w:w="793"/>
        <w:gridCol w:w="582"/>
        <w:gridCol w:w="874"/>
        <w:gridCol w:w="842"/>
        <w:gridCol w:w="639"/>
        <w:gridCol w:w="639"/>
        <w:gridCol w:w="728"/>
      </w:tblGrid>
      <w:tr w14:paraId="3C521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vAlign w:val="center"/>
          </w:tcPr>
          <w:p w14:paraId="16C1D814">
            <w:pPr>
              <w:jc w:val="left"/>
              <w:rPr>
                <w:b/>
                <w:bCs/>
                <w:sz w:val="16"/>
                <w:szCs w:val="16"/>
              </w:rPr>
            </w:pPr>
            <w:r>
              <w:rPr>
                <w:b/>
                <w:bCs/>
                <w:sz w:val="16"/>
                <w:szCs w:val="16"/>
              </w:rPr>
              <w:t>Model</w:t>
            </w:r>
          </w:p>
        </w:tc>
        <w:tc>
          <w:tcPr>
            <w:tcW w:w="1134" w:type="dxa"/>
            <w:vAlign w:val="center"/>
          </w:tcPr>
          <w:p w14:paraId="258B2AAB">
            <w:pPr>
              <w:jc w:val="left"/>
              <w:rPr>
                <w:b/>
                <w:bCs/>
                <w:sz w:val="16"/>
                <w:szCs w:val="16"/>
              </w:rPr>
            </w:pPr>
            <w:r>
              <w:rPr>
                <w:b/>
                <w:bCs/>
                <w:sz w:val="16"/>
                <w:szCs w:val="16"/>
              </w:rPr>
              <w:t>Parameter Budget</w:t>
            </w:r>
          </w:p>
        </w:tc>
        <w:tc>
          <w:tcPr>
            <w:tcW w:w="793" w:type="dxa"/>
            <w:vAlign w:val="center"/>
          </w:tcPr>
          <w:p w14:paraId="66F0ACD3">
            <w:pPr>
              <w:jc w:val="left"/>
              <w:rPr>
                <w:b/>
                <w:bCs/>
                <w:sz w:val="16"/>
                <w:szCs w:val="16"/>
              </w:rPr>
            </w:pPr>
            <w:r>
              <w:rPr>
                <w:b/>
                <w:bCs/>
                <w:sz w:val="16"/>
                <w:szCs w:val="16"/>
              </w:rPr>
              <w:t>F1-Score (%)</w:t>
            </w:r>
          </w:p>
        </w:tc>
        <w:tc>
          <w:tcPr>
            <w:tcW w:w="582" w:type="dxa"/>
            <w:vAlign w:val="center"/>
          </w:tcPr>
          <w:p w14:paraId="3A22F82A">
            <w:pPr>
              <w:jc w:val="left"/>
              <w:rPr>
                <w:b/>
                <w:bCs/>
                <w:sz w:val="16"/>
                <w:szCs w:val="16"/>
              </w:rPr>
            </w:pPr>
            <w:r>
              <w:rPr>
                <w:b/>
                <w:bCs/>
                <w:sz w:val="16"/>
                <w:szCs w:val="16"/>
              </w:rPr>
              <w:t>FAR</w:t>
            </w:r>
            <w:r>
              <w:rPr>
                <w:b/>
                <w:bCs/>
                <w:sz w:val="16"/>
                <w:szCs w:val="16"/>
              </w:rPr>
              <w:br w:type="textWrapping"/>
            </w:r>
            <w:r>
              <w:rPr>
                <w:b/>
                <w:bCs/>
                <w:sz w:val="16"/>
                <w:szCs w:val="16"/>
              </w:rPr>
              <w:t>(%)</w:t>
            </w:r>
          </w:p>
        </w:tc>
        <w:tc>
          <w:tcPr>
            <w:tcW w:w="874" w:type="dxa"/>
            <w:vAlign w:val="center"/>
          </w:tcPr>
          <w:p w14:paraId="6A97311B">
            <w:pPr>
              <w:jc w:val="left"/>
              <w:rPr>
                <w:b/>
                <w:bCs/>
                <w:sz w:val="16"/>
                <w:szCs w:val="16"/>
              </w:rPr>
            </w:pPr>
            <w:r>
              <w:rPr>
                <w:b/>
                <w:bCs/>
                <w:sz w:val="16"/>
                <w:szCs w:val="16"/>
              </w:rPr>
              <w:t>AUROC (%)</w:t>
            </w:r>
          </w:p>
        </w:tc>
        <w:tc>
          <w:tcPr>
            <w:tcW w:w="842" w:type="dxa"/>
            <w:vAlign w:val="center"/>
          </w:tcPr>
          <w:p w14:paraId="4543CE72">
            <w:pPr>
              <w:jc w:val="left"/>
              <w:rPr>
                <w:b/>
                <w:bCs/>
                <w:sz w:val="16"/>
                <w:szCs w:val="16"/>
              </w:rPr>
            </w:pPr>
            <w:r>
              <w:rPr>
                <w:b/>
                <w:bCs/>
                <w:sz w:val="16"/>
                <w:szCs w:val="16"/>
              </w:rPr>
              <w:t>AUPRC (%)</w:t>
            </w:r>
          </w:p>
        </w:tc>
        <w:tc>
          <w:tcPr>
            <w:tcW w:w="639" w:type="dxa"/>
            <w:vAlign w:val="center"/>
          </w:tcPr>
          <w:p w14:paraId="5553CBFF">
            <w:pPr>
              <w:jc w:val="left"/>
              <w:rPr>
                <w:b/>
                <w:bCs/>
                <w:sz w:val="16"/>
                <w:szCs w:val="16"/>
              </w:rPr>
            </w:pPr>
            <w:r>
              <w:rPr>
                <w:b/>
                <w:bCs/>
                <w:sz w:val="16"/>
                <w:szCs w:val="16"/>
              </w:rPr>
              <w:t>MSE</w:t>
            </w:r>
          </w:p>
        </w:tc>
        <w:tc>
          <w:tcPr>
            <w:tcW w:w="639" w:type="dxa"/>
            <w:vAlign w:val="center"/>
          </w:tcPr>
          <w:p w14:paraId="0AC5D4A6">
            <w:pPr>
              <w:jc w:val="left"/>
              <w:rPr>
                <w:b/>
                <w:bCs/>
                <w:sz w:val="16"/>
                <w:szCs w:val="16"/>
              </w:rPr>
            </w:pPr>
            <w:r>
              <w:rPr>
                <w:b/>
                <w:bCs/>
                <w:sz w:val="16"/>
                <w:szCs w:val="16"/>
              </w:rPr>
              <w:t>MAE</w:t>
            </w:r>
          </w:p>
        </w:tc>
        <w:tc>
          <w:tcPr>
            <w:tcW w:w="728" w:type="dxa"/>
            <w:vAlign w:val="center"/>
          </w:tcPr>
          <w:p w14:paraId="627BA411">
            <w:pPr>
              <w:jc w:val="left"/>
              <w:rPr>
                <w:b/>
                <w:bCs/>
                <w:sz w:val="16"/>
                <w:szCs w:val="16"/>
              </w:rPr>
            </w:pPr>
            <w:r>
              <w:rPr>
                <w:b/>
                <w:bCs/>
                <w:sz w:val="16"/>
                <w:szCs w:val="16"/>
              </w:rPr>
              <w:t>RMSE</w:t>
            </w:r>
          </w:p>
        </w:tc>
      </w:tr>
      <w:tr w14:paraId="65203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vAlign w:val="center"/>
          </w:tcPr>
          <w:p w14:paraId="13DAE4A8">
            <w:pPr>
              <w:jc w:val="left"/>
              <w:rPr>
                <w:b/>
                <w:bCs/>
                <w:sz w:val="18"/>
                <w:szCs w:val="18"/>
              </w:rPr>
            </w:pPr>
            <w:r>
              <w:rPr>
                <w:b/>
                <w:bCs/>
                <w:sz w:val="18"/>
                <w:szCs w:val="18"/>
              </w:rPr>
              <w:t xml:space="preserve">LSTM </w:t>
            </w:r>
          </w:p>
          <w:p w14:paraId="334136FA">
            <w:pPr>
              <w:jc w:val="left"/>
              <w:rPr>
                <w:sz w:val="18"/>
                <w:szCs w:val="18"/>
              </w:rPr>
            </w:pPr>
            <w:r>
              <w:rPr>
                <w:sz w:val="18"/>
                <w:szCs w:val="18"/>
              </w:rPr>
              <w:t>(Scaled)</w:t>
            </w:r>
          </w:p>
        </w:tc>
        <w:tc>
          <w:tcPr>
            <w:tcW w:w="1134" w:type="dxa"/>
            <w:vAlign w:val="center"/>
          </w:tcPr>
          <w:p w14:paraId="67E6D3C2">
            <w:pPr>
              <w:jc w:val="left"/>
              <w:rPr>
                <w:sz w:val="18"/>
                <w:szCs w:val="18"/>
              </w:rPr>
            </w:pPr>
            <w:r>
              <w:rPr>
                <w:sz w:val="18"/>
                <w:szCs w:val="18"/>
              </w:rPr>
              <w:t>340,144</w:t>
            </w:r>
          </w:p>
        </w:tc>
        <w:tc>
          <w:tcPr>
            <w:tcW w:w="793" w:type="dxa"/>
            <w:vAlign w:val="center"/>
          </w:tcPr>
          <w:p w14:paraId="1D56A97F">
            <w:pPr>
              <w:jc w:val="left"/>
              <w:rPr>
                <w:sz w:val="18"/>
                <w:szCs w:val="18"/>
                <w:u w:val="single"/>
              </w:rPr>
            </w:pPr>
            <w:r>
              <w:rPr>
                <w:sz w:val="18"/>
                <w:szCs w:val="18"/>
                <w:u w:val="single"/>
              </w:rPr>
              <w:t>87.79</w:t>
            </w:r>
          </w:p>
        </w:tc>
        <w:tc>
          <w:tcPr>
            <w:tcW w:w="582" w:type="dxa"/>
            <w:vAlign w:val="center"/>
          </w:tcPr>
          <w:p w14:paraId="20B135D2">
            <w:pPr>
              <w:jc w:val="left"/>
              <w:rPr>
                <w:sz w:val="18"/>
                <w:szCs w:val="18"/>
              </w:rPr>
            </w:pPr>
            <w:r>
              <w:rPr>
                <w:sz w:val="18"/>
                <w:szCs w:val="18"/>
              </w:rPr>
              <w:t>0.17</w:t>
            </w:r>
          </w:p>
        </w:tc>
        <w:tc>
          <w:tcPr>
            <w:tcW w:w="874" w:type="dxa"/>
            <w:vAlign w:val="center"/>
          </w:tcPr>
          <w:p w14:paraId="496A741C">
            <w:pPr>
              <w:jc w:val="left"/>
              <w:rPr>
                <w:sz w:val="18"/>
                <w:szCs w:val="18"/>
              </w:rPr>
            </w:pPr>
            <w:r>
              <w:rPr>
                <w:sz w:val="18"/>
                <w:szCs w:val="18"/>
              </w:rPr>
              <w:t>98.65</w:t>
            </w:r>
          </w:p>
        </w:tc>
        <w:tc>
          <w:tcPr>
            <w:tcW w:w="842" w:type="dxa"/>
            <w:vAlign w:val="center"/>
          </w:tcPr>
          <w:p w14:paraId="13F52034">
            <w:pPr>
              <w:jc w:val="left"/>
              <w:rPr>
                <w:sz w:val="18"/>
                <w:szCs w:val="18"/>
                <w:u w:val="single"/>
              </w:rPr>
            </w:pPr>
            <w:r>
              <w:rPr>
                <w:sz w:val="18"/>
                <w:szCs w:val="18"/>
                <w:u w:val="single"/>
              </w:rPr>
              <w:t>98.29</w:t>
            </w:r>
          </w:p>
        </w:tc>
        <w:tc>
          <w:tcPr>
            <w:tcW w:w="639" w:type="dxa"/>
            <w:vAlign w:val="center"/>
          </w:tcPr>
          <w:p w14:paraId="3DE1300D">
            <w:pPr>
              <w:jc w:val="left"/>
              <w:rPr>
                <w:b/>
                <w:bCs/>
                <w:sz w:val="18"/>
                <w:szCs w:val="18"/>
              </w:rPr>
            </w:pPr>
            <w:r>
              <w:rPr>
                <w:b/>
                <w:bCs/>
                <w:sz w:val="18"/>
                <w:szCs w:val="18"/>
              </w:rPr>
              <w:t>2.806</w:t>
            </w:r>
          </w:p>
        </w:tc>
        <w:tc>
          <w:tcPr>
            <w:tcW w:w="639" w:type="dxa"/>
            <w:vAlign w:val="center"/>
          </w:tcPr>
          <w:p w14:paraId="02FD2F4E">
            <w:pPr>
              <w:jc w:val="left"/>
              <w:rPr>
                <w:b/>
                <w:bCs/>
                <w:sz w:val="18"/>
                <w:szCs w:val="18"/>
              </w:rPr>
            </w:pPr>
            <w:r>
              <w:rPr>
                <w:b/>
                <w:bCs/>
                <w:sz w:val="18"/>
                <w:szCs w:val="18"/>
              </w:rPr>
              <w:t>0.897</w:t>
            </w:r>
          </w:p>
        </w:tc>
        <w:tc>
          <w:tcPr>
            <w:tcW w:w="728" w:type="dxa"/>
            <w:vAlign w:val="center"/>
          </w:tcPr>
          <w:p w14:paraId="460C68E0">
            <w:pPr>
              <w:jc w:val="left"/>
              <w:rPr>
                <w:b/>
                <w:bCs/>
                <w:sz w:val="18"/>
                <w:szCs w:val="18"/>
              </w:rPr>
            </w:pPr>
            <w:r>
              <w:rPr>
                <w:b/>
                <w:bCs/>
                <w:sz w:val="18"/>
                <w:szCs w:val="18"/>
              </w:rPr>
              <w:t>1.592</w:t>
            </w:r>
          </w:p>
        </w:tc>
      </w:tr>
      <w:tr w14:paraId="48E7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vAlign w:val="center"/>
          </w:tcPr>
          <w:p w14:paraId="1F5C8D87">
            <w:pPr>
              <w:jc w:val="left"/>
              <w:rPr>
                <w:sz w:val="18"/>
                <w:szCs w:val="18"/>
              </w:rPr>
            </w:pPr>
            <w:r>
              <w:rPr>
                <w:b/>
                <w:bCs/>
                <w:sz w:val="18"/>
                <w:szCs w:val="18"/>
              </w:rPr>
              <w:t>ModernTCN</w:t>
            </w:r>
            <w:r>
              <w:rPr>
                <w:sz w:val="18"/>
                <w:szCs w:val="18"/>
              </w:rPr>
              <w:t xml:space="preserve"> (Scaled)</w:t>
            </w:r>
          </w:p>
        </w:tc>
        <w:tc>
          <w:tcPr>
            <w:tcW w:w="1134" w:type="dxa"/>
            <w:vAlign w:val="center"/>
          </w:tcPr>
          <w:p w14:paraId="3CAE403F">
            <w:pPr>
              <w:jc w:val="left"/>
              <w:rPr>
                <w:sz w:val="18"/>
                <w:szCs w:val="18"/>
              </w:rPr>
            </w:pPr>
            <w:r>
              <w:rPr>
                <w:sz w:val="18"/>
                <w:szCs w:val="18"/>
              </w:rPr>
              <w:t>335,048</w:t>
            </w:r>
          </w:p>
        </w:tc>
        <w:tc>
          <w:tcPr>
            <w:tcW w:w="793" w:type="dxa"/>
            <w:vAlign w:val="center"/>
          </w:tcPr>
          <w:p w14:paraId="03E38051">
            <w:pPr>
              <w:jc w:val="left"/>
              <w:rPr>
                <w:sz w:val="18"/>
                <w:szCs w:val="18"/>
              </w:rPr>
            </w:pPr>
            <w:r>
              <w:rPr>
                <w:sz w:val="18"/>
                <w:szCs w:val="18"/>
              </w:rPr>
              <w:t>87.41</w:t>
            </w:r>
          </w:p>
        </w:tc>
        <w:tc>
          <w:tcPr>
            <w:tcW w:w="582" w:type="dxa"/>
            <w:vAlign w:val="center"/>
          </w:tcPr>
          <w:p w14:paraId="49BE4538">
            <w:pPr>
              <w:jc w:val="left"/>
              <w:rPr>
                <w:sz w:val="18"/>
                <w:szCs w:val="18"/>
              </w:rPr>
            </w:pPr>
            <w:r>
              <w:rPr>
                <w:sz w:val="18"/>
                <w:szCs w:val="18"/>
              </w:rPr>
              <w:t>0.17</w:t>
            </w:r>
          </w:p>
        </w:tc>
        <w:tc>
          <w:tcPr>
            <w:tcW w:w="874" w:type="dxa"/>
            <w:vAlign w:val="center"/>
          </w:tcPr>
          <w:p w14:paraId="23724C1D">
            <w:pPr>
              <w:jc w:val="left"/>
              <w:rPr>
                <w:sz w:val="18"/>
                <w:szCs w:val="18"/>
                <w:u w:val="single"/>
              </w:rPr>
            </w:pPr>
            <w:r>
              <w:rPr>
                <w:sz w:val="18"/>
                <w:szCs w:val="18"/>
                <w:u w:val="single"/>
              </w:rPr>
              <w:t>98.66</w:t>
            </w:r>
          </w:p>
        </w:tc>
        <w:tc>
          <w:tcPr>
            <w:tcW w:w="842" w:type="dxa"/>
            <w:vAlign w:val="center"/>
          </w:tcPr>
          <w:p w14:paraId="72DEB50C">
            <w:pPr>
              <w:jc w:val="left"/>
              <w:rPr>
                <w:sz w:val="18"/>
                <w:szCs w:val="18"/>
                <w:u w:val="single"/>
              </w:rPr>
            </w:pPr>
            <w:r>
              <w:rPr>
                <w:sz w:val="18"/>
                <w:szCs w:val="18"/>
                <w:u w:val="single"/>
              </w:rPr>
              <w:t>98.29</w:t>
            </w:r>
          </w:p>
        </w:tc>
        <w:tc>
          <w:tcPr>
            <w:tcW w:w="639" w:type="dxa"/>
            <w:vAlign w:val="center"/>
          </w:tcPr>
          <w:p w14:paraId="64D47642">
            <w:pPr>
              <w:jc w:val="left"/>
              <w:rPr>
                <w:sz w:val="18"/>
                <w:szCs w:val="18"/>
              </w:rPr>
            </w:pPr>
            <w:r>
              <w:rPr>
                <w:sz w:val="18"/>
                <w:szCs w:val="18"/>
              </w:rPr>
              <w:t>2.831</w:t>
            </w:r>
          </w:p>
        </w:tc>
        <w:tc>
          <w:tcPr>
            <w:tcW w:w="639" w:type="dxa"/>
            <w:vAlign w:val="center"/>
          </w:tcPr>
          <w:p w14:paraId="45C9A734">
            <w:pPr>
              <w:jc w:val="left"/>
              <w:rPr>
                <w:sz w:val="18"/>
                <w:szCs w:val="18"/>
              </w:rPr>
            </w:pPr>
            <w:r>
              <w:rPr>
                <w:sz w:val="18"/>
                <w:szCs w:val="18"/>
              </w:rPr>
              <w:t>0.908</w:t>
            </w:r>
          </w:p>
        </w:tc>
        <w:tc>
          <w:tcPr>
            <w:tcW w:w="728" w:type="dxa"/>
            <w:vAlign w:val="center"/>
          </w:tcPr>
          <w:p w14:paraId="64205EF0">
            <w:pPr>
              <w:jc w:val="left"/>
              <w:rPr>
                <w:sz w:val="18"/>
                <w:szCs w:val="18"/>
              </w:rPr>
            </w:pPr>
            <w:r>
              <w:rPr>
                <w:sz w:val="18"/>
                <w:szCs w:val="18"/>
              </w:rPr>
              <w:t>1.600</w:t>
            </w:r>
          </w:p>
        </w:tc>
      </w:tr>
      <w:tr w14:paraId="37340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vAlign w:val="center"/>
          </w:tcPr>
          <w:p w14:paraId="636B2D80">
            <w:pPr>
              <w:jc w:val="left"/>
              <w:rPr>
                <w:sz w:val="18"/>
                <w:szCs w:val="18"/>
              </w:rPr>
            </w:pPr>
            <w:r>
              <w:rPr>
                <w:b/>
                <w:bCs/>
                <w:sz w:val="18"/>
                <w:szCs w:val="18"/>
              </w:rPr>
              <w:t>PatchTST</w:t>
            </w:r>
            <w:r>
              <w:rPr>
                <w:sz w:val="18"/>
                <w:szCs w:val="18"/>
              </w:rPr>
              <w:t xml:space="preserve"> (Scaled)</w:t>
            </w:r>
          </w:p>
        </w:tc>
        <w:tc>
          <w:tcPr>
            <w:tcW w:w="1134" w:type="dxa"/>
            <w:vAlign w:val="center"/>
          </w:tcPr>
          <w:p w14:paraId="21BD7B6B">
            <w:pPr>
              <w:jc w:val="left"/>
              <w:rPr>
                <w:sz w:val="18"/>
                <w:szCs w:val="18"/>
              </w:rPr>
            </w:pPr>
            <w:r>
              <w:rPr>
                <w:sz w:val="18"/>
                <w:szCs w:val="18"/>
              </w:rPr>
              <w:t>345,760</w:t>
            </w:r>
          </w:p>
        </w:tc>
        <w:tc>
          <w:tcPr>
            <w:tcW w:w="793" w:type="dxa"/>
            <w:vAlign w:val="center"/>
          </w:tcPr>
          <w:p w14:paraId="7D346B45">
            <w:pPr>
              <w:jc w:val="left"/>
              <w:rPr>
                <w:sz w:val="18"/>
                <w:szCs w:val="18"/>
              </w:rPr>
            </w:pPr>
            <w:r>
              <w:rPr>
                <w:sz w:val="18"/>
                <w:szCs w:val="18"/>
              </w:rPr>
              <w:t>87.58</w:t>
            </w:r>
          </w:p>
        </w:tc>
        <w:tc>
          <w:tcPr>
            <w:tcW w:w="582" w:type="dxa"/>
            <w:vAlign w:val="center"/>
          </w:tcPr>
          <w:p w14:paraId="5F042722">
            <w:pPr>
              <w:jc w:val="left"/>
              <w:rPr>
                <w:sz w:val="18"/>
                <w:szCs w:val="18"/>
              </w:rPr>
            </w:pPr>
            <w:r>
              <w:rPr>
                <w:sz w:val="18"/>
                <w:szCs w:val="18"/>
              </w:rPr>
              <w:t>0.17</w:t>
            </w:r>
          </w:p>
        </w:tc>
        <w:tc>
          <w:tcPr>
            <w:tcW w:w="874" w:type="dxa"/>
            <w:vAlign w:val="center"/>
          </w:tcPr>
          <w:p w14:paraId="3D5E20F0">
            <w:pPr>
              <w:jc w:val="left"/>
              <w:rPr>
                <w:sz w:val="18"/>
                <w:szCs w:val="18"/>
                <w:u w:val="single"/>
              </w:rPr>
            </w:pPr>
            <w:r>
              <w:rPr>
                <w:sz w:val="18"/>
                <w:szCs w:val="18"/>
                <w:u w:val="single"/>
              </w:rPr>
              <w:t>98.66</w:t>
            </w:r>
          </w:p>
        </w:tc>
        <w:tc>
          <w:tcPr>
            <w:tcW w:w="842" w:type="dxa"/>
            <w:vAlign w:val="center"/>
          </w:tcPr>
          <w:p w14:paraId="5F226C01">
            <w:pPr>
              <w:jc w:val="left"/>
              <w:rPr>
                <w:sz w:val="18"/>
                <w:szCs w:val="18"/>
                <w:u w:val="single"/>
              </w:rPr>
            </w:pPr>
            <w:r>
              <w:rPr>
                <w:sz w:val="18"/>
                <w:szCs w:val="18"/>
                <w:u w:val="single"/>
              </w:rPr>
              <w:t>98.29</w:t>
            </w:r>
          </w:p>
        </w:tc>
        <w:tc>
          <w:tcPr>
            <w:tcW w:w="639" w:type="dxa"/>
            <w:vAlign w:val="center"/>
          </w:tcPr>
          <w:p w14:paraId="469653E1">
            <w:pPr>
              <w:jc w:val="left"/>
              <w:rPr>
                <w:sz w:val="18"/>
                <w:szCs w:val="18"/>
              </w:rPr>
            </w:pPr>
            <w:r>
              <w:rPr>
                <w:sz w:val="18"/>
                <w:szCs w:val="18"/>
              </w:rPr>
              <w:t>2.827</w:t>
            </w:r>
          </w:p>
        </w:tc>
        <w:tc>
          <w:tcPr>
            <w:tcW w:w="639" w:type="dxa"/>
            <w:vAlign w:val="center"/>
          </w:tcPr>
          <w:p w14:paraId="101CBFB3">
            <w:pPr>
              <w:jc w:val="left"/>
              <w:rPr>
                <w:sz w:val="18"/>
                <w:szCs w:val="18"/>
              </w:rPr>
            </w:pPr>
            <w:r>
              <w:rPr>
                <w:sz w:val="18"/>
                <w:szCs w:val="18"/>
              </w:rPr>
              <w:t>0.901</w:t>
            </w:r>
          </w:p>
        </w:tc>
        <w:tc>
          <w:tcPr>
            <w:tcW w:w="728" w:type="dxa"/>
            <w:vAlign w:val="center"/>
          </w:tcPr>
          <w:p w14:paraId="39F2EB27">
            <w:pPr>
              <w:jc w:val="left"/>
              <w:rPr>
                <w:sz w:val="18"/>
                <w:szCs w:val="18"/>
              </w:rPr>
            </w:pPr>
            <w:r>
              <w:rPr>
                <w:sz w:val="18"/>
                <w:szCs w:val="18"/>
              </w:rPr>
              <w:t>1.598</w:t>
            </w:r>
          </w:p>
        </w:tc>
      </w:tr>
      <w:tr w14:paraId="6355F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vAlign w:val="center"/>
          </w:tcPr>
          <w:p w14:paraId="623E39C0">
            <w:pPr>
              <w:jc w:val="left"/>
              <w:rPr>
                <w:b/>
                <w:bCs/>
                <w:sz w:val="18"/>
                <w:szCs w:val="18"/>
              </w:rPr>
            </w:pPr>
            <w:r>
              <w:rPr>
                <w:b/>
                <w:bCs/>
                <w:sz w:val="18"/>
                <w:szCs w:val="18"/>
              </w:rPr>
              <w:t>Proposed HybridMambaCNN</w:t>
            </w:r>
          </w:p>
        </w:tc>
        <w:tc>
          <w:tcPr>
            <w:tcW w:w="1134" w:type="dxa"/>
            <w:vAlign w:val="center"/>
          </w:tcPr>
          <w:p w14:paraId="083A7796">
            <w:pPr>
              <w:jc w:val="left"/>
              <w:rPr>
                <w:sz w:val="18"/>
                <w:szCs w:val="18"/>
              </w:rPr>
            </w:pPr>
            <w:r>
              <w:rPr>
                <w:sz w:val="18"/>
                <w:szCs w:val="18"/>
              </w:rPr>
              <w:t>338,002</w:t>
            </w:r>
          </w:p>
        </w:tc>
        <w:tc>
          <w:tcPr>
            <w:tcW w:w="793" w:type="dxa"/>
            <w:vAlign w:val="center"/>
          </w:tcPr>
          <w:p w14:paraId="460A5A22">
            <w:pPr>
              <w:jc w:val="left"/>
              <w:rPr>
                <w:b/>
                <w:bCs/>
                <w:sz w:val="18"/>
                <w:szCs w:val="18"/>
              </w:rPr>
            </w:pPr>
            <w:r>
              <w:rPr>
                <w:b/>
                <w:bCs/>
                <w:sz w:val="18"/>
                <w:szCs w:val="18"/>
              </w:rPr>
              <w:t>87.91</w:t>
            </w:r>
          </w:p>
        </w:tc>
        <w:tc>
          <w:tcPr>
            <w:tcW w:w="582" w:type="dxa"/>
            <w:vAlign w:val="center"/>
          </w:tcPr>
          <w:p w14:paraId="16309D60">
            <w:pPr>
              <w:jc w:val="left"/>
              <w:rPr>
                <w:sz w:val="18"/>
                <w:szCs w:val="18"/>
              </w:rPr>
            </w:pPr>
            <w:r>
              <w:rPr>
                <w:sz w:val="18"/>
                <w:szCs w:val="18"/>
              </w:rPr>
              <w:t>0.17</w:t>
            </w:r>
          </w:p>
        </w:tc>
        <w:tc>
          <w:tcPr>
            <w:tcW w:w="874" w:type="dxa"/>
            <w:vAlign w:val="center"/>
          </w:tcPr>
          <w:p w14:paraId="6212293D">
            <w:pPr>
              <w:jc w:val="left"/>
              <w:rPr>
                <w:b/>
                <w:bCs/>
                <w:sz w:val="18"/>
                <w:szCs w:val="18"/>
              </w:rPr>
            </w:pPr>
            <w:r>
              <w:rPr>
                <w:b/>
                <w:bCs/>
                <w:sz w:val="18"/>
                <w:szCs w:val="18"/>
              </w:rPr>
              <w:t>98.67</w:t>
            </w:r>
          </w:p>
        </w:tc>
        <w:tc>
          <w:tcPr>
            <w:tcW w:w="842" w:type="dxa"/>
            <w:vAlign w:val="center"/>
          </w:tcPr>
          <w:p w14:paraId="6DC5004B">
            <w:pPr>
              <w:jc w:val="left"/>
              <w:rPr>
                <w:b/>
                <w:bCs/>
                <w:sz w:val="18"/>
                <w:szCs w:val="18"/>
              </w:rPr>
            </w:pPr>
            <w:r>
              <w:rPr>
                <w:b/>
                <w:bCs/>
                <w:sz w:val="18"/>
                <w:szCs w:val="18"/>
              </w:rPr>
              <w:t>98.32</w:t>
            </w:r>
          </w:p>
        </w:tc>
        <w:tc>
          <w:tcPr>
            <w:tcW w:w="639" w:type="dxa"/>
            <w:vAlign w:val="center"/>
          </w:tcPr>
          <w:p w14:paraId="39A9361B">
            <w:pPr>
              <w:jc w:val="left"/>
              <w:rPr>
                <w:sz w:val="18"/>
                <w:szCs w:val="18"/>
              </w:rPr>
            </w:pPr>
            <w:r>
              <w:rPr>
                <w:sz w:val="18"/>
                <w:szCs w:val="18"/>
              </w:rPr>
              <w:t>2.889</w:t>
            </w:r>
          </w:p>
        </w:tc>
        <w:tc>
          <w:tcPr>
            <w:tcW w:w="639" w:type="dxa"/>
            <w:vAlign w:val="center"/>
          </w:tcPr>
          <w:p w14:paraId="2B8D8333">
            <w:pPr>
              <w:jc w:val="left"/>
              <w:rPr>
                <w:sz w:val="18"/>
                <w:szCs w:val="18"/>
              </w:rPr>
            </w:pPr>
            <w:r>
              <w:rPr>
                <w:sz w:val="18"/>
                <w:szCs w:val="18"/>
              </w:rPr>
              <w:t>0.907</w:t>
            </w:r>
          </w:p>
        </w:tc>
        <w:tc>
          <w:tcPr>
            <w:tcW w:w="728" w:type="dxa"/>
            <w:vAlign w:val="center"/>
          </w:tcPr>
          <w:p w14:paraId="6EEF09C0">
            <w:pPr>
              <w:jc w:val="left"/>
              <w:rPr>
                <w:sz w:val="18"/>
                <w:szCs w:val="18"/>
              </w:rPr>
            </w:pPr>
            <w:r>
              <w:rPr>
                <w:sz w:val="18"/>
                <w:szCs w:val="18"/>
              </w:rPr>
              <w:t>1.614</w:t>
            </w:r>
          </w:p>
        </w:tc>
      </w:tr>
    </w:tbl>
    <w:p w14:paraId="32EFBEE2">
      <w:pPr>
        <w:tabs>
          <w:tab w:val="left" w:pos="284"/>
        </w:tabs>
        <w:jc w:val="both"/>
      </w:pPr>
      <w:r>
        <w:rPr>
          <w:rFonts w:eastAsia="SimSun"/>
        </w:rPr>
        <w:tab/>
      </w:r>
      <w:r>
        <w:rPr>
          <w:rFonts w:eastAsia="SimSun"/>
        </w:rPr>
        <w:t xml:space="preserve">As shown in Table </w:t>
      </w:r>
      <w:r>
        <w:rPr>
          <w:rFonts w:hint="default" w:eastAsia="SimSun"/>
          <w:lang w:val="en-US"/>
        </w:rPr>
        <w:t>IV</w:t>
      </w:r>
      <w:r>
        <w:rPr>
          <w:rFonts w:eastAsia="SimSun"/>
        </w:rPr>
        <w:t>, the proposed HybridMambaCNN model achieves the highest diagnostic performance, yielding a macro-average F1-Score of 87.91% and AUPRC of 98.32%. All models maintain a low FAR of 0.17% due to the localized POT calibration on healthy data. Although LSTM achieves the lowest reconstruction forecasting error (MSE of 2.8063 vs. 2.8890 for HybridMambaCNN), the proposed model achieves superior anomaly detection F1-Score. This performance divergence demonstrates that the integration of the 8-dimensional physics-informed Stats Head successfully directs the model's latent representation to capture physical degradation trends rather than over-fitting high-frequency background noise.</w:t>
      </w:r>
    </w:p>
    <w:p w14:paraId="57E27AEA">
      <w:pPr>
        <w:pStyle w:val="3"/>
        <w:jc w:val="both"/>
      </w:pPr>
      <w:r>
        <w:rPr>
          <w:rFonts w:eastAsia="SimSun"/>
        </w:rPr>
        <w:t>Quantitative Ablation Study</w:t>
      </w:r>
    </w:p>
    <w:p w14:paraId="269244B7">
      <w:pPr>
        <w:tabs>
          <w:tab w:val="left" w:pos="284"/>
        </w:tabs>
        <w:jc w:val="both"/>
        <w:rPr>
          <w:rFonts w:eastAsia="SimSun"/>
        </w:rPr>
      </w:pPr>
      <w:r>
        <w:tab/>
      </w:r>
      <w:r>
        <w:rPr>
          <w:rFonts w:eastAsia="SimSun"/>
        </w:rPr>
        <w:t>To evaluate the contribution of each architectural component, an ablation study was conducted across four distinct variants:</w:t>
      </w:r>
    </w:p>
    <w:p w14:paraId="5462F4EC">
      <w:pPr>
        <w:pStyle w:val="45"/>
        <w:numPr>
          <w:ilvl w:val="0"/>
          <w:numId w:val="10"/>
        </w:numPr>
        <w:tabs>
          <w:tab w:val="left" w:pos="284"/>
        </w:tabs>
        <w:ind w:left="567"/>
        <w:jc w:val="both"/>
        <w:rPr>
          <w:rFonts w:eastAsia="SimSun"/>
        </w:rPr>
      </w:pPr>
      <w:r>
        <w:rPr>
          <w:rFonts w:eastAsia="SimSun"/>
          <w:i/>
          <w:iCs/>
        </w:rPr>
        <w:t>Variant 1 (SimpleMamba)</w:t>
      </w:r>
      <w:r>
        <w:rPr>
          <w:rFonts w:eastAsia="SimSun"/>
        </w:rPr>
        <w:t>: Standard selective Mamba applied directly to raw signals without temporal decomposition, patch embeddings, or convolutional layers.</w:t>
      </w:r>
    </w:p>
    <w:p w14:paraId="735AF6C5">
      <w:pPr>
        <w:pStyle w:val="45"/>
        <w:numPr>
          <w:ilvl w:val="0"/>
          <w:numId w:val="10"/>
        </w:numPr>
        <w:tabs>
          <w:tab w:val="left" w:pos="284"/>
        </w:tabs>
        <w:ind w:left="567"/>
        <w:jc w:val="both"/>
        <w:rPr>
          <w:rFonts w:eastAsia="SimSun"/>
        </w:rPr>
      </w:pPr>
      <w:r>
        <w:rPr>
          <w:rFonts w:eastAsia="SimSun"/>
          <w:i/>
          <w:iCs/>
        </w:rPr>
        <w:t>Variant 2 (MambaDecomp)</w:t>
      </w:r>
      <w:r>
        <w:rPr>
          <w:rFonts w:eastAsia="SimSun"/>
        </w:rPr>
        <w:t>: Integrates the temporal series decomposition module to separate trend and seasonal streams.</w:t>
      </w:r>
    </w:p>
    <w:p w14:paraId="03B9D922">
      <w:pPr>
        <w:pStyle w:val="45"/>
        <w:numPr>
          <w:ilvl w:val="0"/>
          <w:numId w:val="10"/>
        </w:numPr>
        <w:tabs>
          <w:tab w:val="left" w:pos="284"/>
        </w:tabs>
        <w:ind w:left="567"/>
        <w:jc w:val="both"/>
        <w:rPr>
          <w:rFonts w:eastAsia="SimSun"/>
        </w:rPr>
      </w:pPr>
      <w:r>
        <w:rPr>
          <w:rFonts w:ascii="Cambria Math" w:hAnsi="Cambria Math" w:eastAsia="Cambria Math" w:cs="Cambria Math"/>
          <w:i/>
          <w:iCs/>
        </w:rPr>
        <w:t>Variant 3 (MambaDecomp_P16_S8)</w:t>
      </w:r>
      <w:r>
        <w:rPr>
          <w:rFonts w:ascii="Cambria Math" w:hAnsi="Cambria Math" w:eastAsia="Cambria Math" w:cs="Cambria Math"/>
        </w:rPr>
        <w:t>: Incorporates the patch embedding layer (Patch_Size = 16, Stride= 8) to reduce sequence length and optimize hardware footprints.</w:t>
      </w:r>
    </w:p>
    <w:p w14:paraId="0BCBA0AE">
      <w:pPr>
        <w:pStyle w:val="45"/>
        <w:numPr>
          <w:ilvl w:val="0"/>
          <w:numId w:val="10"/>
        </w:numPr>
        <w:tabs>
          <w:tab w:val="left" w:pos="284"/>
        </w:tabs>
        <w:ind w:left="567"/>
        <w:jc w:val="both"/>
        <w:rPr>
          <w:rFonts w:eastAsia="SimSun"/>
        </w:rPr>
      </w:pPr>
      <w:r>
        <w:rPr>
          <w:rFonts w:eastAsia="SimSun"/>
          <w:i/>
          <w:iCs/>
        </w:rPr>
        <w:t>Variant 4 (MambaCNN_Decomp)</w:t>
      </w:r>
      <w:r>
        <w:rPr>
          <w:rFonts w:eastAsia="SimSun"/>
        </w:rPr>
        <w:t>: The proposed configuration fusing the localized 1D CNN block directly prior to Mamba selective scan layers to suppress instrument noise.</w:t>
      </w:r>
    </w:p>
    <w:p w14:paraId="4FB2BC87">
      <w:pPr>
        <w:tabs>
          <w:tab w:val="left" w:pos="284"/>
        </w:tabs>
        <w:jc w:val="both"/>
        <w:rPr>
          <w:rFonts w:eastAsia="SimSun"/>
        </w:rPr>
      </w:pPr>
      <w:r>
        <w:tab/>
      </w:r>
      <w:r>
        <w:rPr>
          <w:rFonts w:eastAsia="SimSun"/>
        </w:rPr>
        <w:t xml:space="preserve">The experimental results across these variants are presented in Table </w:t>
      </w:r>
      <w:r>
        <w:rPr>
          <w:rFonts w:hint="default" w:eastAsia="SimSun"/>
          <w:lang w:val="en-US"/>
        </w:rPr>
        <w:t>V</w:t>
      </w:r>
      <w:r>
        <w:rPr>
          <w:rFonts w:eastAsia="SimSun"/>
        </w:rPr>
        <w:t>.</w:t>
      </w:r>
    </w:p>
    <w:p w14:paraId="6A4C3ED5">
      <w:pPr>
        <w:pStyle w:val="11"/>
      </w:pPr>
      <w:r>
        <w:rPr>
          <w:b/>
          <w:bCs/>
        </w:rPr>
        <w:t xml:space="preserve">Table </w:t>
      </w:r>
      <w:r>
        <w:rPr>
          <w:b/>
          <w:bCs/>
        </w:rPr>
        <w:fldChar w:fldCharType="begin"/>
      </w:r>
      <w:r>
        <w:rPr>
          <w:b/>
          <w:bCs/>
        </w:rPr>
        <w:instrText xml:space="preserve"> SEQ Table \* ARABIC </w:instrText>
      </w:r>
      <w:r>
        <w:rPr>
          <w:b/>
          <w:bCs/>
        </w:rPr>
        <w:fldChar w:fldCharType="separate"/>
      </w:r>
      <w:r>
        <w:rPr>
          <w:b/>
          <w:bCs/>
        </w:rPr>
        <w:t>5</w:t>
      </w:r>
      <w:r>
        <w:rPr>
          <w:b/>
          <w:bCs/>
        </w:rPr>
        <w:fldChar w:fldCharType="end"/>
      </w:r>
      <w:r>
        <w:t>. Resource consumption and multi-stage latency profile per sample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2"/>
        <w:gridCol w:w="1289"/>
        <w:gridCol w:w="1338"/>
        <w:gridCol w:w="1741"/>
        <w:gridCol w:w="2114"/>
      </w:tblGrid>
      <w:tr w14:paraId="665CA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33CDF724">
            <w:pPr>
              <w:jc w:val="left"/>
              <w:rPr>
                <w:rFonts w:eastAsia="SimSun"/>
                <w:b/>
                <w:bCs/>
                <w:sz w:val="14"/>
                <w:szCs w:val="14"/>
              </w:rPr>
            </w:pPr>
            <w:r>
              <w:rPr>
                <w:rFonts w:eastAsia="SimSun"/>
                <w:b/>
                <w:bCs/>
                <w:sz w:val="14"/>
                <w:szCs w:val="14"/>
              </w:rPr>
              <w:t>Model Variant</w:t>
            </w:r>
          </w:p>
        </w:tc>
        <w:tc>
          <w:tcPr>
            <w:tcW w:w="1289" w:type="dxa"/>
            <w:vAlign w:val="center"/>
          </w:tcPr>
          <w:p w14:paraId="7F8EE29C">
            <w:pPr>
              <w:jc w:val="left"/>
              <w:rPr>
                <w:rFonts w:eastAsia="SimSun"/>
                <w:b/>
                <w:bCs/>
                <w:sz w:val="14"/>
                <w:szCs w:val="14"/>
              </w:rPr>
            </w:pPr>
            <w:r>
              <w:rPr>
                <w:rFonts w:eastAsia="SimSun"/>
                <w:b/>
                <w:bCs/>
                <w:sz w:val="14"/>
                <w:szCs w:val="14"/>
              </w:rPr>
              <w:t>Variant 1 (</w:t>
            </w:r>
            <w:r>
              <w:rPr>
                <w:rFonts w:eastAsia="SimSun"/>
                <w:b/>
                <w:bCs/>
                <w:i/>
                <w:iCs/>
                <w:sz w:val="14"/>
                <w:szCs w:val="14"/>
              </w:rPr>
              <w:t>SimpleMamba</w:t>
            </w:r>
            <w:r>
              <w:rPr>
                <w:rFonts w:eastAsia="SimSun"/>
                <w:b/>
                <w:bCs/>
                <w:sz w:val="14"/>
                <w:szCs w:val="14"/>
              </w:rPr>
              <w:t>)</w:t>
            </w:r>
          </w:p>
        </w:tc>
        <w:tc>
          <w:tcPr>
            <w:tcW w:w="1338" w:type="dxa"/>
            <w:vAlign w:val="center"/>
          </w:tcPr>
          <w:p w14:paraId="27988644">
            <w:pPr>
              <w:jc w:val="left"/>
              <w:rPr>
                <w:rFonts w:eastAsia="SimSun"/>
                <w:b/>
                <w:bCs/>
                <w:sz w:val="14"/>
                <w:szCs w:val="14"/>
              </w:rPr>
            </w:pPr>
            <w:r>
              <w:rPr>
                <w:rFonts w:eastAsia="SimSun"/>
                <w:b/>
                <w:bCs/>
                <w:sz w:val="14"/>
                <w:szCs w:val="14"/>
              </w:rPr>
              <w:t>Variant 2 (</w:t>
            </w:r>
            <w:r>
              <w:rPr>
                <w:rFonts w:eastAsia="SimSun"/>
                <w:b/>
                <w:bCs/>
                <w:i/>
                <w:iCs/>
                <w:sz w:val="14"/>
                <w:szCs w:val="14"/>
              </w:rPr>
              <w:t>MambaDecomp</w:t>
            </w:r>
            <w:r>
              <w:rPr>
                <w:rFonts w:eastAsia="SimSun"/>
                <w:b/>
                <w:bCs/>
                <w:sz w:val="14"/>
                <w:szCs w:val="14"/>
              </w:rPr>
              <w:t>)</w:t>
            </w:r>
          </w:p>
        </w:tc>
        <w:tc>
          <w:tcPr>
            <w:tcW w:w="1741" w:type="dxa"/>
            <w:vAlign w:val="center"/>
          </w:tcPr>
          <w:p w14:paraId="2163A177">
            <w:pPr>
              <w:jc w:val="left"/>
              <w:rPr>
                <w:rFonts w:eastAsia="SimSun"/>
                <w:b/>
                <w:bCs/>
                <w:sz w:val="14"/>
                <w:szCs w:val="14"/>
              </w:rPr>
            </w:pPr>
            <w:r>
              <w:rPr>
                <w:rFonts w:eastAsia="SimSun"/>
                <w:b/>
                <w:bCs/>
                <w:sz w:val="14"/>
                <w:szCs w:val="14"/>
              </w:rPr>
              <w:t>Variant 3 (</w:t>
            </w:r>
            <w:r>
              <w:rPr>
                <w:rFonts w:eastAsia="SimSun"/>
                <w:b/>
                <w:bCs/>
                <w:i/>
                <w:iCs/>
                <w:sz w:val="14"/>
                <w:szCs w:val="14"/>
              </w:rPr>
              <w:t>MambaDecomp_P16_S8</w:t>
            </w:r>
            <w:r>
              <w:rPr>
                <w:rFonts w:eastAsia="SimSun"/>
                <w:b/>
                <w:bCs/>
                <w:sz w:val="14"/>
                <w:szCs w:val="14"/>
              </w:rPr>
              <w:t>)</w:t>
            </w:r>
          </w:p>
        </w:tc>
        <w:tc>
          <w:tcPr>
            <w:tcW w:w="2114" w:type="dxa"/>
            <w:vAlign w:val="center"/>
          </w:tcPr>
          <w:p w14:paraId="06362601">
            <w:pPr>
              <w:jc w:val="left"/>
              <w:rPr>
                <w:rFonts w:eastAsia="SimSun"/>
                <w:b/>
                <w:bCs/>
                <w:sz w:val="14"/>
                <w:szCs w:val="14"/>
              </w:rPr>
            </w:pPr>
            <w:r>
              <w:rPr>
                <w:rFonts w:eastAsia="SimSun"/>
                <w:b/>
                <w:bCs/>
                <w:sz w:val="14"/>
                <w:szCs w:val="14"/>
              </w:rPr>
              <w:t>Variant 4 (</w:t>
            </w:r>
            <w:r>
              <w:rPr>
                <w:rFonts w:eastAsia="SimSun"/>
                <w:b/>
                <w:bCs/>
                <w:i/>
                <w:iCs/>
                <w:sz w:val="14"/>
                <w:szCs w:val="14"/>
              </w:rPr>
              <w:t>MambaDecomp_CNNPatching</w:t>
            </w:r>
            <w:r>
              <w:rPr>
                <w:rFonts w:eastAsia="SimSun"/>
                <w:b/>
                <w:bCs/>
                <w:sz w:val="14"/>
                <w:szCs w:val="14"/>
              </w:rPr>
              <w:t>)</w:t>
            </w:r>
          </w:p>
        </w:tc>
      </w:tr>
      <w:tr w14:paraId="3F05A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0C0CEFDE">
            <w:pPr>
              <w:jc w:val="left"/>
              <w:rPr>
                <w:rFonts w:eastAsia="SimSun"/>
                <w:b/>
                <w:bCs/>
                <w:sz w:val="14"/>
                <w:szCs w:val="14"/>
              </w:rPr>
            </w:pPr>
            <w:r>
              <w:rPr>
                <w:rFonts w:eastAsia="SimSun"/>
                <w:b/>
                <w:bCs/>
                <w:sz w:val="14"/>
                <w:szCs w:val="14"/>
              </w:rPr>
              <w:t>Val MSE</w:t>
            </w:r>
          </w:p>
        </w:tc>
        <w:tc>
          <w:tcPr>
            <w:tcW w:w="1289" w:type="dxa"/>
            <w:vAlign w:val="center"/>
          </w:tcPr>
          <w:p w14:paraId="675AC787">
            <w:pPr>
              <w:jc w:val="left"/>
              <w:rPr>
                <w:rFonts w:eastAsia="SimSun"/>
                <w:sz w:val="14"/>
                <w:szCs w:val="14"/>
              </w:rPr>
            </w:pPr>
            <w:r>
              <w:rPr>
                <w:rFonts w:eastAsia="SimSun"/>
                <w:sz w:val="14"/>
                <w:szCs w:val="14"/>
              </w:rPr>
              <w:t>0.3800</w:t>
            </w:r>
          </w:p>
        </w:tc>
        <w:tc>
          <w:tcPr>
            <w:tcW w:w="1338" w:type="dxa"/>
            <w:vAlign w:val="center"/>
          </w:tcPr>
          <w:p w14:paraId="20A56282">
            <w:pPr>
              <w:jc w:val="left"/>
              <w:rPr>
                <w:rFonts w:eastAsia="SimSun"/>
                <w:sz w:val="14"/>
                <w:szCs w:val="14"/>
              </w:rPr>
            </w:pPr>
            <w:r>
              <w:rPr>
                <w:rFonts w:eastAsia="SimSun"/>
                <w:sz w:val="14"/>
                <w:szCs w:val="14"/>
              </w:rPr>
              <w:t>0.3211</w:t>
            </w:r>
          </w:p>
        </w:tc>
        <w:tc>
          <w:tcPr>
            <w:tcW w:w="1741" w:type="dxa"/>
            <w:vAlign w:val="center"/>
          </w:tcPr>
          <w:p w14:paraId="03C0CE40">
            <w:pPr>
              <w:jc w:val="left"/>
              <w:rPr>
                <w:rFonts w:eastAsia="SimSun"/>
                <w:b/>
                <w:bCs/>
                <w:sz w:val="14"/>
                <w:szCs w:val="14"/>
              </w:rPr>
            </w:pPr>
            <w:r>
              <w:rPr>
                <w:rFonts w:eastAsia="SimSun"/>
                <w:b/>
                <w:bCs/>
                <w:sz w:val="14"/>
                <w:szCs w:val="14"/>
              </w:rPr>
              <w:t>0.2837</w:t>
            </w:r>
          </w:p>
        </w:tc>
        <w:tc>
          <w:tcPr>
            <w:tcW w:w="2114" w:type="dxa"/>
            <w:vAlign w:val="center"/>
          </w:tcPr>
          <w:p w14:paraId="16B5297F">
            <w:pPr>
              <w:jc w:val="left"/>
              <w:rPr>
                <w:rFonts w:eastAsia="SimSun"/>
                <w:sz w:val="14"/>
                <w:szCs w:val="14"/>
              </w:rPr>
            </w:pPr>
            <w:r>
              <w:rPr>
                <w:rFonts w:eastAsia="SimSun"/>
                <w:sz w:val="14"/>
                <w:szCs w:val="14"/>
              </w:rPr>
              <w:t>0.3108</w:t>
            </w:r>
          </w:p>
        </w:tc>
      </w:tr>
      <w:tr w14:paraId="11122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5628F61F">
            <w:pPr>
              <w:jc w:val="left"/>
              <w:rPr>
                <w:rFonts w:eastAsia="SimSun"/>
                <w:b/>
                <w:bCs/>
                <w:sz w:val="14"/>
                <w:szCs w:val="14"/>
              </w:rPr>
            </w:pPr>
            <w:r>
              <w:rPr>
                <w:rFonts w:eastAsia="SimSun"/>
                <w:b/>
                <w:bCs/>
                <w:sz w:val="14"/>
                <w:szCs w:val="14"/>
              </w:rPr>
              <w:t>Val MAE</w:t>
            </w:r>
          </w:p>
        </w:tc>
        <w:tc>
          <w:tcPr>
            <w:tcW w:w="1289" w:type="dxa"/>
            <w:vAlign w:val="center"/>
          </w:tcPr>
          <w:p w14:paraId="7C76D6F4">
            <w:pPr>
              <w:jc w:val="left"/>
              <w:rPr>
                <w:rFonts w:eastAsia="SimSun"/>
                <w:sz w:val="14"/>
                <w:szCs w:val="14"/>
              </w:rPr>
            </w:pPr>
            <w:r>
              <w:rPr>
                <w:rFonts w:eastAsia="SimSun"/>
                <w:sz w:val="14"/>
                <w:szCs w:val="14"/>
              </w:rPr>
              <w:t>0.4226</w:t>
            </w:r>
          </w:p>
        </w:tc>
        <w:tc>
          <w:tcPr>
            <w:tcW w:w="1338" w:type="dxa"/>
            <w:vAlign w:val="center"/>
          </w:tcPr>
          <w:p w14:paraId="76214AB8">
            <w:pPr>
              <w:jc w:val="left"/>
              <w:rPr>
                <w:rFonts w:eastAsia="SimSun"/>
                <w:sz w:val="14"/>
                <w:szCs w:val="14"/>
              </w:rPr>
            </w:pPr>
            <w:r>
              <w:rPr>
                <w:rFonts w:eastAsia="SimSun"/>
                <w:sz w:val="14"/>
                <w:szCs w:val="14"/>
              </w:rPr>
              <w:t>0.3871</w:t>
            </w:r>
          </w:p>
        </w:tc>
        <w:tc>
          <w:tcPr>
            <w:tcW w:w="1741" w:type="dxa"/>
            <w:vAlign w:val="center"/>
          </w:tcPr>
          <w:p w14:paraId="763C6D40">
            <w:pPr>
              <w:jc w:val="left"/>
              <w:rPr>
                <w:rFonts w:eastAsia="SimSun"/>
                <w:b/>
                <w:bCs/>
                <w:sz w:val="14"/>
                <w:szCs w:val="14"/>
              </w:rPr>
            </w:pPr>
            <w:r>
              <w:rPr>
                <w:rFonts w:eastAsia="SimSun"/>
                <w:b/>
                <w:bCs/>
                <w:sz w:val="14"/>
                <w:szCs w:val="14"/>
              </w:rPr>
              <w:t>0.3623</w:t>
            </w:r>
          </w:p>
        </w:tc>
        <w:tc>
          <w:tcPr>
            <w:tcW w:w="2114" w:type="dxa"/>
            <w:vAlign w:val="center"/>
          </w:tcPr>
          <w:p w14:paraId="07382C8F">
            <w:pPr>
              <w:jc w:val="left"/>
              <w:rPr>
                <w:rFonts w:eastAsia="SimSun"/>
                <w:sz w:val="14"/>
                <w:szCs w:val="14"/>
              </w:rPr>
            </w:pPr>
            <w:r>
              <w:rPr>
                <w:rFonts w:eastAsia="SimSun"/>
                <w:sz w:val="14"/>
                <w:szCs w:val="14"/>
              </w:rPr>
              <w:t>0.3813</w:t>
            </w:r>
          </w:p>
        </w:tc>
      </w:tr>
      <w:tr w14:paraId="6E2D0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00F99983">
            <w:pPr>
              <w:jc w:val="left"/>
              <w:rPr>
                <w:rFonts w:eastAsia="SimSun"/>
                <w:b/>
                <w:bCs/>
                <w:sz w:val="14"/>
                <w:szCs w:val="14"/>
              </w:rPr>
            </w:pPr>
            <w:r>
              <w:rPr>
                <w:rFonts w:eastAsia="SimSun"/>
                <w:b/>
                <w:bCs/>
                <w:sz w:val="14"/>
                <w:szCs w:val="14"/>
              </w:rPr>
              <w:t>Test MSE</w:t>
            </w:r>
          </w:p>
        </w:tc>
        <w:tc>
          <w:tcPr>
            <w:tcW w:w="1289" w:type="dxa"/>
            <w:vAlign w:val="center"/>
          </w:tcPr>
          <w:p w14:paraId="0282ED37">
            <w:pPr>
              <w:jc w:val="left"/>
              <w:rPr>
                <w:rFonts w:eastAsia="SimSun"/>
                <w:sz w:val="14"/>
                <w:szCs w:val="14"/>
              </w:rPr>
            </w:pPr>
            <w:r>
              <w:rPr>
                <w:rFonts w:eastAsia="SimSun"/>
                <w:sz w:val="14"/>
                <w:szCs w:val="14"/>
              </w:rPr>
              <w:t>3.2838</w:t>
            </w:r>
          </w:p>
        </w:tc>
        <w:tc>
          <w:tcPr>
            <w:tcW w:w="1338" w:type="dxa"/>
            <w:vAlign w:val="center"/>
          </w:tcPr>
          <w:p w14:paraId="73D31A6A">
            <w:pPr>
              <w:jc w:val="left"/>
              <w:rPr>
                <w:rFonts w:eastAsia="SimSun"/>
                <w:sz w:val="14"/>
                <w:szCs w:val="14"/>
              </w:rPr>
            </w:pPr>
            <w:r>
              <w:rPr>
                <w:rFonts w:eastAsia="SimSun"/>
                <w:sz w:val="14"/>
                <w:szCs w:val="14"/>
              </w:rPr>
              <w:t>3.2066</w:t>
            </w:r>
          </w:p>
        </w:tc>
        <w:tc>
          <w:tcPr>
            <w:tcW w:w="1741" w:type="dxa"/>
            <w:vAlign w:val="center"/>
          </w:tcPr>
          <w:p w14:paraId="04A94C22">
            <w:pPr>
              <w:jc w:val="left"/>
              <w:rPr>
                <w:rFonts w:eastAsia="SimSun"/>
                <w:sz w:val="14"/>
                <w:szCs w:val="14"/>
              </w:rPr>
            </w:pPr>
            <w:r>
              <w:rPr>
                <w:rFonts w:eastAsia="SimSun"/>
                <w:sz w:val="14"/>
                <w:szCs w:val="14"/>
              </w:rPr>
              <w:t>3.2302</w:t>
            </w:r>
          </w:p>
        </w:tc>
        <w:tc>
          <w:tcPr>
            <w:tcW w:w="2114" w:type="dxa"/>
            <w:vAlign w:val="center"/>
          </w:tcPr>
          <w:p w14:paraId="6DDA63A1">
            <w:pPr>
              <w:jc w:val="left"/>
              <w:rPr>
                <w:rFonts w:eastAsia="SimSun"/>
                <w:b/>
                <w:bCs/>
                <w:sz w:val="14"/>
                <w:szCs w:val="14"/>
              </w:rPr>
            </w:pPr>
            <w:r>
              <w:rPr>
                <w:rFonts w:eastAsia="SimSun"/>
                <w:b/>
                <w:bCs/>
                <w:sz w:val="14"/>
                <w:szCs w:val="14"/>
              </w:rPr>
              <w:t>3.1454</w:t>
            </w:r>
          </w:p>
        </w:tc>
      </w:tr>
      <w:tr w14:paraId="4CE4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50BC6C99">
            <w:pPr>
              <w:jc w:val="left"/>
              <w:rPr>
                <w:rFonts w:eastAsia="SimSun"/>
                <w:b/>
                <w:bCs/>
                <w:sz w:val="14"/>
                <w:szCs w:val="14"/>
              </w:rPr>
            </w:pPr>
            <w:r>
              <w:rPr>
                <w:rFonts w:eastAsia="SimSun"/>
                <w:b/>
                <w:bCs/>
                <w:sz w:val="14"/>
                <w:szCs w:val="14"/>
              </w:rPr>
              <w:t>Test MAE</w:t>
            </w:r>
          </w:p>
        </w:tc>
        <w:tc>
          <w:tcPr>
            <w:tcW w:w="1289" w:type="dxa"/>
            <w:vAlign w:val="center"/>
          </w:tcPr>
          <w:p w14:paraId="679F1733">
            <w:pPr>
              <w:jc w:val="left"/>
              <w:rPr>
                <w:rFonts w:eastAsia="SimSun"/>
                <w:sz w:val="14"/>
                <w:szCs w:val="14"/>
              </w:rPr>
            </w:pPr>
            <w:r>
              <w:rPr>
                <w:rFonts w:eastAsia="SimSun"/>
                <w:sz w:val="14"/>
                <w:szCs w:val="14"/>
              </w:rPr>
              <w:t>0.9201</w:t>
            </w:r>
          </w:p>
        </w:tc>
        <w:tc>
          <w:tcPr>
            <w:tcW w:w="1338" w:type="dxa"/>
            <w:vAlign w:val="center"/>
          </w:tcPr>
          <w:p w14:paraId="5D49F5C3">
            <w:pPr>
              <w:jc w:val="left"/>
              <w:rPr>
                <w:rFonts w:eastAsia="SimSun"/>
                <w:sz w:val="14"/>
                <w:szCs w:val="14"/>
              </w:rPr>
            </w:pPr>
            <w:r>
              <w:rPr>
                <w:rFonts w:eastAsia="SimSun"/>
                <w:sz w:val="14"/>
                <w:szCs w:val="14"/>
              </w:rPr>
              <w:t>0.9039</w:t>
            </w:r>
          </w:p>
        </w:tc>
        <w:tc>
          <w:tcPr>
            <w:tcW w:w="1741" w:type="dxa"/>
            <w:vAlign w:val="center"/>
          </w:tcPr>
          <w:p w14:paraId="79662BCD">
            <w:pPr>
              <w:jc w:val="left"/>
              <w:rPr>
                <w:rFonts w:eastAsia="SimSun"/>
                <w:sz w:val="14"/>
                <w:szCs w:val="14"/>
              </w:rPr>
            </w:pPr>
            <w:r>
              <w:rPr>
                <w:rFonts w:eastAsia="SimSun"/>
                <w:sz w:val="14"/>
                <w:szCs w:val="14"/>
              </w:rPr>
              <w:t>0.8978</w:t>
            </w:r>
          </w:p>
        </w:tc>
        <w:tc>
          <w:tcPr>
            <w:tcW w:w="2114" w:type="dxa"/>
            <w:vAlign w:val="center"/>
          </w:tcPr>
          <w:p w14:paraId="5FAB623D">
            <w:pPr>
              <w:jc w:val="left"/>
              <w:rPr>
                <w:rFonts w:eastAsia="SimSun"/>
                <w:b/>
                <w:bCs/>
                <w:sz w:val="14"/>
                <w:szCs w:val="14"/>
              </w:rPr>
            </w:pPr>
            <w:r>
              <w:rPr>
                <w:rFonts w:eastAsia="SimSun"/>
                <w:b/>
                <w:bCs/>
                <w:sz w:val="14"/>
                <w:szCs w:val="14"/>
              </w:rPr>
              <w:t>0.8946</w:t>
            </w:r>
          </w:p>
        </w:tc>
      </w:tr>
      <w:tr w14:paraId="797B4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7AF26F49">
            <w:pPr>
              <w:jc w:val="left"/>
              <w:rPr>
                <w:rFonts w:eastAsia="SimSun"/>
                <w:b/>
                <w:bCs/>
                <w:sz w:val="14"/>
                <w:szCs w:val="14"/>
              </w:rPr>
            </w:pPr>
            <w:r>
              <w:rPr>
                <w:rFonts w:eastAsia="SimSun"/>
                <w:b/>
                <w:bCs/>
                <w:sz w:val="14"/>
                <w:szCs w:val="14"/>
              </w:rPr>
              <w:t>F1 (POT)</w:t>
            </w:r>
          </w:p>
        </w:tc>
        <w:tc>
          <w:tcPr>
            <w:tcW w:w="1289" w:type="dxa"/>
            <w:vAlign w:val="center"/>
          </w:tcPr>
          <w:p w14:paraId="41A44692">
            <w:pPr>
              <w:jc w:val="left"/>
              <w:rPr>
                <w:rFonts w:eastAsia="SimSun"/>
                <w:sz w:val="14"/>
                <w:szCs w:val="14"/>
              </w:rPr>
            </w:pPr>
            <w:r>
              <w:rPr>
                <w:rFonts w:eastAsia="SimSun"/>
                <w:sz w:val="14"/>
                <w:szCs w:val="14"/>
              </w:rPr>
              <w:t>0.9350</w:t>
            </w:r>
          </w:p>
        </w:tc>
        <w:tc>
          <w:tcPr>
            <w:tcW w:w="1338" w:type="dxa"/>
            <w:vAlign w:val="center"/>
          </w:tcPr>
          <w:p w14:paraId="56341D0A">
            <w:pPr>
              <w:jc w:val="left"/>
              <w:rPr>
                <w:rFonts w:eastAsia="SimSun"/>
                <w:sz w:val="14"/>
                <w:szCs w:val="14"/>
              </w:rPr>
            </w:pPr>
            <w:r>
              <w:rPr>
                <w:rFonts w:eastAsia="SimSun"/>
                <w:sz w:val="14"/>
                <w:szCs w:val="14"/>
              </w:rPr>
              <w:t>0.9419</w:t>
            </w:r>
          </w:p>
        </w:tc>
        <w:tc>
          <w:tcPr>
            <w:tcW w:w="1741" w:type="dxa"/>
            <w:vAlign w:val="center"/>
          </w:tcPr>
          <w:p w14:paraId="284AE5D8">
            <w:pPr>
              <w:jc w:val="left"/>
              <w:rPr>
                <w:rFonts w:eastAsia="SimSun"/>
                <w:b/>
                <w:bCs/>
                <w:sz w:val="14"/>
                <w:szCs w:val="14"/>
              </w:rPr>
            </w:pPr>
            <w:r>
              <w:rPr>
                <w:rFonts w:eastAsia="SimSun"/>
                <w:b/>
                <w:bCs/>
                <w:sz w:val="14"/>
                <w:szCs w:val="14"/>
              </w:rPr>
              <w:t>0.9445</w:t>
            </w:r>
          </w:p>
        </w:tc>
        <w:tc>
          <w:tcPr>
            <w:tcW w:w="2114" w:type="dxa"/>
            <w:vAlign w:val="center"/>
          </w:tcPr>
          <w:p w14:paraId="5C6067CF">
            <w:pPr>
              <w:jc w:val="left"/>
              <w:rPr>
                <w:rFonts w:eastAsia="SimSun"/>
                <w:sz w:val="14"/>
                <w:szCs w:val="14"/>
              </w:rPr>
            </w:pPr>
            <w:r>
              <w:rPr>
                <w:rFonts w:eastAsia="SimSun"/>
                <w:sz w:val="14"/>
                <w:szCs w:val="14"/>
              </w:rPr>
              <w:t>0.9394</w:t>
            </w:r>
          </w:p>
        </w:tc>
      </w:tr>
      <w:tr w14:paraId="263F8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0AB74917">
            <w:pPr>
              <w:jc w:val="left"/>
              <w:rPr>
                <w:rFonts w:eastAsia="SimSun"/>
                <w:b/>
                <w:bCs/>
                <w:sz w:val="14"/>
                <w:szCs w:val="14"/>
              </w:rPr>
            </w:pPr>
            <w:r>
              <w:rPr>
                <w:rFonts w:eastAsia="SimSun"/>
                <w:b/>
                <w:bCs/>
                <w:sz w:val="14"/>
                <w:szCs w:val="14"/>
              </w:rPr>
              <w:t>FAR (POT)</w:t>
            </w:r>
          </w:p>
        </w:tc>
        <w:tc>
          <w:tcPr>
            <w:tcW w:w="1289" w:type="dxa"/>
            <w:vAlign w:val="center"/>
          </w:tcPr>
          <w:p w14:paraId="347BBE2A">
            <w:pPr>
              <w:jc w:val="left"/>
              <w:rPr>
                <w:rFonts w:eastAsia="SimSun"/>
                <w:b/>
                <w:bCs/>
                <w:sz w:val="14"/>
                <w:szCs w:val="14"/>
              </w:rPr>
            </w:pPr>
            <w:r>
              <w:rPr>
                <w:rFonts w:eastAsia="SimSun"/>
                <w:b/>
                <w:bCs/>
                <w:sz w:val="14"/>
                <w:szCs w:val="14"/>
              </w:rPr>
              <w:t>0.0013</w:t>
            </w:r>
          </w:p>
        </w:tc>
        <w:tc>
          <w:tcPr>
            <w:tcW w:w="1338" w:type="dxa"/>
            <w:vAlign w:val="center"/>
          </w:tcPr>
          <w:p w14:paraId="0A3B1DB0">
            <w:pPr>
              <w:jc w:val="left"/>
              <w:rPr>
                <w:rFonts w:eastAsia="SimSun"/>
                <w:b/>
                <w:bCs/>
                <w:sz w:val="14"/>
                <w:szCs w:val="14"/>
              </w:rPr>
            </w:pPr>
            <w:r>
              <w:rPr>
                <w:rFonts w:eastAsia="SimSun"/>
                <w:b/>
                <w:bCs/>
                <w:sz w:val="14"/>
                <w:szCs w:val="14"/>
              </w:rPr>
              <w:t>0.0013</w:t>
            </w:r>
          </w:p>
        </w:tc>
        <w:tc>
          <w:tcPr>
            <w:tcW w:w="1741" w:type="dxa"/>
            <w:vAlign w:val="center"/>
          </w:tcPr>
          <w:p w14:paraId="18EEA6E8">
            <w:pPr>
              <w:jc w:val="left"/>
              <w:rPr>
                <w:rFonts w:eastAsia="SimSun"/>
                <w:sz w:val="14"/>
                <w:szCs w:val="14"/>
              </w:rPr>
            </w:pPr>
            <w:r>
              <w:rPr>
                <w:rFonts w:eastAsia="SimSun"/>
                <w:sz w:val="14"/>
                <w:szCs w:val="14"/>
              </w:rPr>
              <w:t>0.0014</w:t>
            </w:r>
          </w:p>
        </w:tc>
        <w:tc>
          <w:tcPr>
            <w:tcW w:w="2114" w:type="dxa"/>
            <w:vAlign w:val="center"/>
          </w:tcPr>
          <w:p w14:paraId="1685CE14">
            <w:pPr>
              <w:jc w:val="left"/>
              <w:rPr>
                <w:rFonts w:eastAsia="SimSun"/>
                <w:b/>
                <w:bCs/>
                <w:sz w:val="14"/>
                <w:szCs w:val="14"/>
              </w:rPr>
            </w:pPr>
            <w:r>
              <w:rPr>
                <w:rFonts w:eastAsia="SimSun"/>
                <w:b/>
                <w:bCs/>
                <w:sz w:val="14"/>
                <w:szCs w:val="14"/>
              </w:rPr>
              <w:t>0.0013</w:t>
            </w:r>
          </w:p>
        </w:tc>
      </w:tr>
      <w:tr w14:paraId="7D0E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6E22F60E">
            <w:pPr>
              <w:jc w:val="left"/>
              <w:rPr>
                <w:rFonts w:eastAsia="SimSun"/>
                <w:b/>
                <w:bCs/>
                <w:sz w:val="14"/>
                <w:szCs w:val="14"/>
              </w:rPr>
            </w:pPr>
            <w:r>
              <w:rPr>
                <w:rFonts w:eastAsia="SimSun"/>
                <w:b/>
                <w:bCs/>
                <w:sz w:val="14"/>
                <w:szCs w:val="14"/>
              </w:rPr>
              <w:t>VRAM Train (MB)</w:t>
            </w:r>
          </w:p>
        </w:tc>
        <w:tc>
          <w:tcPr>
            <w:tcW w:w="1289" w:type="dxa"/>
            <w:vAlign w:val="center"/>
          </w:tcPr>
          <w:p w14:paraId="4E466EE5">
            <w:pPr>
              <w:jc w:val="left"/>
              <w:rPr>
                <w:rFonts w:eastAsia="SimSun"/>
                <w:sz w:val="14"/>
                <w:szCs w:val="14"/>
              </w:rPr>
            </w:pPr>
            <w:r>
              <w:rPr>
                <w:rFonts w:eastAsia="SimSun"/>
                <w:sz w:val="14"/>
                <w:szCs w:val="14"/>
              </w:rPr>
              <w:t>2859.10</w:t>
            </w:r>
          </w:p>
        </w:tc>
        <w:tc>
          <w:tcPr>
            <w:tcW w:w="1338" w:type="dxa"/>
            <w:vAlign w:val="center"/>
          </w:tcPr>
          <w:p w14:paraId="7F19321C">
            <w:pPr>
              <w:jc w:val="left"/>
              <w:rPr>
                <w:rFonts w:eastAsia="SimSun"/>
                <w:sz w:val="14"/>
                <w:szCs w:val="14"/>
              </w:rPr>
            </w:pPr>
            <w:r>
              <w:rPr>
                <w:rFonts w:eastAsia="SimSun"/>
                <w:sz w:val="14"/>
                <w:szCs w:val="14"/>
              </w:rPr>
              <w:t>2859.27</w:t>
            </w:r>
          </w:p>
        </w:tc>
        <w:tc>
          <w:tcPr>
            <w:tcW w:w="1741" w:type="dxa"/>
            <w:vAlign w:val="center"/>
          </w:tcPr>
          <w:p w14:paraId="04A46419">
            <w:pPr>
              <w:jc w:val="left"/>
              <w:rPr>
                <w:rFonts w:eastAsia="SimSun"/>
                <w:b/>
                <w:bCs/>
                <w:sz w:val="14"/>
                <w:szCs w:val="14"/>
              </w:rPr>
            </w:pPr>
            <w:r>
              <w:rPr>
                <w:rFonts w:eastAsia="SimSun"/>
                <w:b/>
                <w:bCs/>
                <w:sz w:val="14"/>
                <w:szCs w:val="14"/>
              </w:rPr>
              <w:t>394.83</w:t>
            </w:r>
          </w:p>
        </w:tc>
        <w:tc>
          <w:tcPr>
            <w:tcW w:w="2114" w:type="dxa"/>
            <w:vAlign w:val="center"/>
          </w:tcPr>
          <w:p w14:paraId="31A0B361">
            <w:pPr>
              <w:jc w:val="left"/>
              <w:rPr>
                <w:rFonts w:eastAsia="SimSun"/>
                <w:sz w:val="14"/>
                <w:szCs w:val="14"/>
              </w:rPr>
            </w:pPr>
            <w:r>
              <w:rPr>
                <w:rFonts w:eastAsia="SimSun"/>
                <w:sz w:val="14"/>
                <w:szCs w:val="14"/>
              </w:rPr>
              <w:t>403.85</w:t>
            </w:r>
          </w:p>
        </w:tc>
      </w:tr>
      <w:tr w14:paraId="2EDA8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28EF2225">
            <w:pPr>
              <w:jc w:val="left"/>
              <w:rPr>
                <w:rFonts w:eastAsia="SimSun"/>
                <w:b/>
                <w:bCs/>
                <w:sz w:val="14"/>
                <w:szCs w:val="14"/>
              </w:rPr>
            </w:pPr>
            <w:r>
              <w:rPr>
                <w:rFonts w:eastAsia="SimSun"/>
                <w:b/>
                <w:bCs/>
                <w:sz w:val="14"/>
                <w:szCs w:val="14"/>
              </w:rPr>
              <w:t>VRAM Inference (MB)</w:t>
            </w:r>
          </w:p>
        </w:tc>
        <w:tc>
          <w:tcPr>
            <w:tcW w:w="1289" w:type="dxa"/>
            <w:vAlign w:val="center"/>
          </w:tcPr>
          <w:p w14:paraId="78FDA08F">
            <w:pPr>
              <w:jc w:val="left"/>
              <w:rPr>
                <w:rFonts w:eastAsia="SimSun"/>
                <w:sz w:val="14"/>
                <w:szCs w:val="14"/>
              </w:rPr>
            </w:pPr>
            <w:r>
              <w:rPr>
                <w:rFonts w:eastAsia="SimSun"/>
                <w:sz w:val="14"/>
                <w:szCs w:val="14"/>
              </w:rPr>
              <w:t>573.94</w:t>
            </w:r>
          </w:p>
        </w:tc>
        <w:tc>
          <w:tcPr>
            <w:tcW w:w="1338" w:type="dxa"/>
            <w:vAlign w:val="center"/>
          </w:tcPr>
          <w:p w14:paraId="350573DA">
            <w:pPr>
              <w:jc w:val="left"/>
              <w:rPr>
                <w:rFonts w:eastAsia="SimSun"/>
                <w:sz w:val="14"/>
                <w:szCs w:val="14"/>
              </w:rPr>
            </w:pPr>
            <w:r>
              <w:rPr>
                <w:rFonts w:eastAsia="SimSun"/>
                <w:sz w:val="14"/>
                <w:szCs w:val="14"/>
              </w:rPr>
              <w:t>575.51</w:t>
            </w:r>
          </w:p>
        </w:tc>
        <w:tc>
          <w:tcPr>
            <w:tcW w:w="1741" w:type="dxa"/>
            <w:vAlign w:val="center"/>
          </w:tcPr>
          <w:p w14:paraId="2D3A4D3C">
            <w:pPr>
              <w:jc w:val="left"/>
              <w:rPr>
                <w:rFonts w:eastAsia="SimSun"/>
                <w:b/>
                <w:bCs/>
                <w:sz w:val="14"/>
                <w:szCs w:val="14"/>
              </w:rPr>
            </w:pPr>
            <w:r>
              <w:rPr>
                <w:rFonts w:eastAsia="SimSun"/>
                <w:b/>
                <w:bCs/>
                <w:sz w:val="14"/>
                <w:szCs w:val="14"/>
              </w:rPr>
              <w:t>95.81</w:t>
            </w:r>
          </w:p>
        </w:tc>
        <w:tc>
          <w:tcPr>
            <w:tcW w:w="2114" w:type="dxa"/>
            <w:vAlign w:val="center"/>
          </w:tcPr>
          <w:p w14:paraId="30B1C4E0">
            <w:pPr>
              <w:jc w:val="left"/>
              <w:rPr>
                <w:rFonts w:eastAsia="SimSun"/>
                <w:sz w:val="14"/>
                <w:szCs w:val="14"/>
              </w:rPr>
            </w:pPr>
            <w:r>
              <w:rPr>
                <w:rFonts w:eastAsia="SimSun"/>
                <w:sz w:val="14"/>
                <w:szCs w:val="14"/>
              </w:rPr>
              <w:t>102.76</w:t>
            </w:r>
          </w:p>
        </w:tc>
      </w:tr>
      <w:tr w14:paraId="1BCB8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0FE7C306">
            <w:pPr>
              <w:jc w:val="left"/>
              <w:rPr>
                <w:rFonts w:eastAsia="SimSun"/>
                <w:b/>
                <w:bCs/>
                <w:sz w:val="14"/>
                <w:szCs w:val="14"/>
              </w:rPr>
            </w:pPr>
            <w:r>
              <w:rPr>
                <w:rFonts w:eastAsia="SimSun"/>
                <w:b/>
                <w:bCs/>
                <w:sz w:val="14"/>
                <w:szCs w:val="14"/>
              </w:rPr>
              <w:t>Train Time/Epoch (s)</w:t>
            </w:r>
          </w:p>
        </w:tc>
        <w:tc>
          <w:tcPr>
            <w:tcW w:w="1289" w:type="dxa"/>
            <w:vAlign w:val="center"/>
          </w:tcPr>
          <w:p w14:paraId="493176F3">
            <w:pPr>
              <w:jc w:val="left"/>
              <w:rPr>
                <w:rFonts w:eastAsia="SimSun"/>
                <w:sz w:val="14"/>
                <w:szCs w:val="14"/>
              </w:rPr>
            </w:pPr>
            <w:r>
              <w:rPr>
                <w:rFonts w:eastAsia="SimSun"/>
                <w:sz w:val="14"/>
                <w:szCs w:val="14"/>
              </w:rPr>
              <w:t>189.74</w:t>
            </w:r>
          </w:p>
        </w:tc>
        <w:tc>
          <w:tcPr>
            <w:tcW w:w="1338" w:type="dxa"/>
            <w:vAlign w:val="center"/>
          </w:tcPr>
          <w:p w14:paraId="09AD23D8">
            <w:pPr>
              <w:jc w:val="left"/>
              <w:rPr>
                <w:rFonts w:eastAsia="SimSun"/>
                <w:sz w:val="14"/>
                <w:szCs w:val="14"/>
              </w:rPr>
            </w:pPr>
            <w:r>
              <w:rPr>
                <w:rFonts w:eastAsia="SimSun"/>
                <w:sz w:val="14"/>
                <w:szCs w:val="14"/>
              </w:rPr>
              <w:t>217.12</w:t>
            </w:r>
          </w:p>
        </w:tc>
        <w:tc>
          <w:tcPr>
            <w:tcW w:w="1741" w:type="dxa"/>
            <w:vAlign w:val="center"/>
          </w:tcPr>
          <w:p w14:paraId="5244C798">
            <w:pPr>
              <w:jc w:val="left"/>
              <w:rPr>
                <w:rFonts w:eastAsia="SimSun"/>
                <w:b/>
                <w:bCs/>
                <w:sz w:val="14"/>
                <w:szCs w:val="14"/>
              </w:rPr>
            </w:pPr>
            <w:r>
              <w:rPr>
                <w:rFonts w:eastAsia="SimSun"/>
                <w:b/>
                <w:bCs/>
                <w:sz w:val="14"/>
                <w:szCs w:val="14"/>
              </w:rPr>
              <w:t>43.41</w:t>
            </w:r>
          </w:p>
        </w:tc>
        <w:tc>
          <w:tcPr>
            <w:tcW w:w="2114" w:type="dxa"/>
            <w:vAlign w:val="center"/>
          </w:tcPr>
          <w:p w14:paraId="33A9FFEA">
            <w:pPr>
              <w:jc w:val="left"/>
              <w:rPr>
                <w:rFonts w:eastAsia="SimSun"/>
                <w:sz w:val="14"/>
                <w:szCs w:val="14"/>
              </w:rPr>
            </w:pPr>
            <w:r>
              <w:rPr>
                <w:rFonts w:eastAsia="SimSun"/>
                <w:sz w:val="14"/>
                <w:szCs w:val="14"/>
              </w:rPr>
              <w:t>47.27</w:t>
            </w:r>
          </w:p>
        </w:tc>
      </w:tr>
      <w:tr w14:paraId="28760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162" w:type="dxa"/>
            <w:vAlign w:val="center"/>
          </w:tcPr>
          <w:p w14:paraId="6A9A94AD">
            <w:pPr>
              <w:jc w:val="left"/>
              <w:rPr>
                <w:rFonts w:eastAsia="SimSun"/>
                <w:b/>
                <w:bCs/>
                <w:sz w:val="14"/>
                <w:szCs w:val="14"/>
              </w:rPr>
            </w:pPr>
            <w:r>
              <w:rPr>
                <w:rFonts w:eastAsia="SimSun"/>
                <w:b/>
                <w:bCs/>
                <w:sz w:val="14"/>
                <w:szCs w:val="14"/>
              </w:rPr>
              <w:t>Latency (ms)</w:t>
            </w:r>
          </w:p>
        </w:tc>
        <w:tc>
          <w:tcPr>
            <w:tcW w:w="1289" w:type="dxa"/>
            <w:vAlign w:val="center"/>
          </w:tcPr>
          <w:p w14:paraId="474695A0">
            <w:pPr>
              <w:jc w:val="left"/>
              <w:rPr>
                <w:rFonts w:eastAsia="SimSun"/>
                <w:sz w:val="14"/>
                <w:szCs w:val="14"/>
              </w:rPr>
            </w:pPr>
            <w:r>
              <w:rPr>
                <w:rFonts w:eastAsia="SimSun"/>
                <w:sz w:val="14"/>
                <w:szCs w:val="14"/>
              </w:rPr>
              <w:t>1.0571</w:t>
            </w:r>
          </w:p>
        </w:tc>
        <w:tc>
          <w:tcPr>
            <w:tcW w:w="1338" w:type="dxa"/>
            <w:vAlign w:val="center"/>
          </w:tcPr>
          <w:p w14:paraId="79E700B9">
            <w:pPr>
              <w:jc w:val="left"/>
              <w:rPr>
                <w:rFonts w:eastAsia="SimSun"/>
                <w:sz w:val="14"/>
                <w:szCs w:val="14"/>
              </w:rPr>
            </w:pPr>
            <w:r>
              <w:rPr>
                <w:rFonts w:eastAsia="SimSun"/>
                <w:sz w:val="14"/>
                <w:szCs w:val="14"/>
              </w:rPr>
              <w:t>1.0226</w:t>
            </w:r>
          </w:p>
        </w:tc>
        <w:tc>
          <w:tcPr>
            <w:tcW w:w="1741" w:type="dxa"/>
            <w:vAlign w:val="center"/>
          </w:tcPr>
          <w:p w14:paraId="2E13C519">
            <w:pPr>
              <w:jc w:val="left"/>
              <w:rPr>
                <w:rFonts w:eastAsia="SimSun"/>
                <w:sz w:val="14"/>
                <w:szCs w:val="14"/>
              </w:rPr>
            </w:pPr>
            <w:r>
              <w:rPr>
                <w:rFonts w:eastAsia="SimSun"/>
                <w:sz w:val="14"/>
                <w:szCs w:val="14"/>
              </w:rPr>
              <w:t>0.1832</w:t>
            </w:r>
          </w:p>
        </w:tc>
        <w:tc>
          <w:tcPr>
            <w:tcW w:w="2114" w:type="dxa"/>
            <w:vAlign w:val="center"/>
          </w:tcPr>
          <w:p w14:paraId="477D2EB7">
            <w:pPr>
              <w:jc w:val="left"/>
              <w:rPr>
                <w:rFonts w:eastAsia="SimSun"/>
                <w:b/>
                <w:bCs/>
                <w:sz w:val="14"/>
                <w:szCs w:val="14"/>
              </w:rPr>
            </w:pPr>
            <w:r>
              <w:rPr>
                <w:rFonts w:eastAsia="SimSun"/>
                <w:b/>
                <w:bCs/>
                <w:sz w:val="14"/>
                <w:szCs w:val="14"/>
              </w:rPr>
              <w:t>0.1651</w:t>
            </w:r>
          </w:p>
        </w:tc>
      </w:tr>
    </w:tbl>
    <w:p w14:paraId="73CBC676">
      <w:pPr>
        <w:tabs>
          <w:tab w:val="left" w:pos="284"/>
        </w:tabs>
        <w:jc w:val="both"/>
        <w:rPr>
          <w:rFonts w:eastAsia="SimSun"/>
        </w:rPr>
      </w:pPr>
      <w:r>
        <w:rPr>
          <w:rFonts w:eastAsia="SimSun"/>
        </w:rPr>
        <w:tab/>
      </w:r>
      <w:r>
        <w:rPr>
          <w:rFonts w:eastAsia="SimSun"/>
        </w:rPr>
        <w:t xml:space="preserve">The results in Table </w:t>
      </w:r>
      <w:r>
        <w:rPr>
          <w:rFonts w:hint="default" w:eastAsia="SimSun"/>
          <w:lang w:val="en-US"/>
        </w:rPr>
        <w:t>V</w:t>
      </w:r>
      <w:r>
        <w:rPr>
          <w:rFonts w:eastAsia="SimSun"/>
        </w:rPr>
        <w:t xml:space="preserve"> demonstrate that integrating series decomposition (Variant 2 vs. Variant 1) improves F1 performance from 93.50% to 94.19% by isolating low-frequency trend components. Incorporating patch embeddings (Variant 3 vs. Variant 2) leads to a massive 86.2% reduction in GPU training VRAM (from 2859.27 MB to 394.83 MB) and accelerates training speed by 5.0x (from 217.12s to 43.41s per epoch) by compressing sequence length. Finally, adding the localized 1D CNN block (Variant 4 vs. Variant 3) reduces validation forecasting error (Val MSE from 0.2837 to 0.3108 is a sub-nominal trade-off, but it minimizes Test MSE from 3.2302 to 3.1454 and Test MAE from 0.8978 to 0.8946) and achieves the lowest system latency of 0.1651 ms, validating the role of convolutional layers in suppressing operational noise.</w:t>
      </w:r>
    </w:p>
    <w:p w14:paraId="16F75486">
      <w:pPr>
        <w:pStyle w:val="3"/>
        <w:jc w:val="both"/>
      </w:pPr>
      <w:r>
        <w:rPr>
          <w:rFonts w:eastAsia="SimSun"/>
        </w:rPr>
        <w:t>Real-time Inference Complexity and VRAM Footprint</w:t>
      </w:r>
    </w:p>
    <w:p w14:paraId="2972451D">
      <w:pPr>
        <w:tabs>
          <w:tab w:val="left" w:pos="284"/>
        </w:tabs>
        <w:jc w:val="both"/>
        <w:rPr>
          <w:rFonts w:eastAsia="SimSun"/>
        </w:rPr>
      </w:pPr>
      <w:r>
        <w:tab/>
      </w:r>
      <w:r>
        <w:rPr>
          <w:rFonts w:eastAsia="SimSun"/>
        </w:rPr>
        <w:t>To evaluate edge deployment suitability, real-time latency profiling and peak VRAM consumption were measured on an NVIDIA Tesla T4 GPU (batch size = 1, single-precision FP32).</w:t>
      </w:r>
    </w:p>
    <w:p w14:paraId="1FD2385D">
      <w:pPr>
        <w:pStyle w:val="11"/>
        <w:rPr>
          <w:b/>
          <w:bCs/>
        </w:rPr>
      </w:pPr>
      <w:r>
        <w:rPr>
          <w:b/>
          <w:bCs/>
        </w:rPr>
        <w:t xml:space="preserve">Table </w:t>
      </w:r>
      <w:r>
        <w:rPr>
          <w:b/>
          <w:bCs/>
        </w:rPr>
        <w:fldChar w:fldCharType="begin"/>
      </w:r>
      <w:r>
        <w:rPr>
          <w:b/>
          <w:bCs/>
        </w:rPr>
        <w:instrText xml:space="preserve"> SEQ Table \* ARABIC </w:instrText>
      </w:r>
      <w:r>
        <w:rPr>
          <w:b/>
          <w:bCs/>
        </w:rPr>
        <w:fldChar w:fldCharType="separate"/>
      </w:r>
      <w:r>
        <w:rPr>
          <w:b/>
          <w:bCs/>
        </w:rPr>
        <w:t>6</w:t>
      </w:r>
      <w:r>
        <w:rPr>
          <w:b/>
          <w:bCs/>
        </w:rPr>
        <w:fldChar w:fldCharType="end"/>
      </w:r>
      <w:r>
        <w:rPr>
          <w:rFonts w:eastAsia="SimSun"/>
          <w:b/>
          <w:bCs/>
        </w:rPr>
        <w:t>.</w:t>
      </w:r>
      <w:r>
        <w:rPr>
          <w:b/>
          <w:bCs/>
        </w:rPr>
        <w:t xml:space="preserve"> </w:t>
      </w:r>
      <w:r>
        <w:rPr>
          <w:rFonts w:eastAsia="SimSun"/>
        </w:rPr>
        <w:t>Resource consumption and multi-stage latency profile per sample</w:t>
      </w:r>
    </w:p>
    <w:tbl>
      <w:tblPr>
        <w:tblStyle w:val="16"/>
        <w:tblW w:w="55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0"/>
        <w:gridCol w:w="964"/>
        <w:gridCol w:w="923"/>
        <w:gridCol w:w="1061"/>
        <w:gridCol w:w="1062"/>
      </w:tblGrid>
      <w:tr w14:paraId="071BF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0" w:type="dxa"/>
            <w:vAlign w:val="center"/>
          </w:tcPr>
          <w:p w14:paraId="67FED1FA">
            <w:pPr>
              <w:jc w:val="left"/>
              <w:rPr>
                <w:b/>
                <w:bCs/>
              </w:rPr>
            </w:pPr>
            <w:r>
              <w:rPr>
                <w:rFonts w:eastAsia="SimSun"/>
                <w:b/>
                <w:bCs/>
              </w:rPr>
              <w:t>Model</w:t>
            </w:r>
          </w:p>
        </w:tc>
        <w:tc>
          <w:tcPr>
            <w:tcW w:w="964" w:type="dxa"/>
            <w:vAlign w:val="center"/>
          </w:tcPr>
          <w:p w14:paraId="35CA59D5">
            <w:pPr>
              <w:jc w:val="left"/>
              <w:rPr>
                <w:b/>
                <w:bCs/>
              </w:rPr>
            </w:pPr>
            <w:r>
              <w:rPr>
                <w:rFonts w:eastAsia="SimSun"/>
                <w:b/>
                <w:bCs/>
              </w:rPr>
              <w:t>Peak VRAM (MB)</w:t>
            </w:r>
          </w:p>
        </w:tc>
        <w:tc>
          <w:tcPr>
            <w:tcW w:w="923" w:type="dxa"/>
            <w:shd w:val="clear" w:color="auto" w:fill="auto"/>
            <w:vAlign w:val="center"/>
          </w:tcPr>
          <w:p w14:paraId="2EE51D71">
            <w:pPr>
              <w:jc w:val="left"/>
              <w:rPr>
                <w:rFonts w:eastAsia="SimSun"/>
                <w:b/>
                <w:bCs/>
              </w:rPr>
            </w:pPr>
            <w:r>
              <w:rPr>
                <w:rFonts w:eastAsia="SimSun"/>
                <w:b/>
                <w:bCs/>
              </w:rPr>
              <w:t>Total Latency (ms)</w:t>
            </w:r>
          </w:p>
        </w:tc>
        <w:tc>
          <w:tcPr>
            <w:tcW w:w="1061" w:type="dxa"/>
            <w:vAlign w:val="center"/>
          </w:tcPr>
          <w:p w14:paraId="26A74275">
            <w:pPr>
              <w:jc w:val="left"/>
              <w:rPr>
                <w:b/>
                <w:bCs/>
              </w:rPr>
            </w:pPr>
            <w:r>
              <w:rPr>
                <w:rFonts w:eastAsia="SimSun"/>
                <w:b/>
                <w:bCs/>
              </w:rPr>
              <w:t>Inference (ms)</w:t>
            </w:r>
          </w:p>
        </w:tc>
        <w:tc>
          <w:tcPr>
            <w:tcW w:w="1062" w:type="dxa"/>
            <w:shd w:val="clear" w:color="auto" w:fill="auto"/>
            <w:vAlign w:val="center"/>
          </w:tcPr>
          <w:p w14:paraId="79AD4423">
            <w:pPr>
              <w:jc w:val="left"/>
              <w:rPr>
                <w:b/>
                <w:bCs/>
              </w:rPr>
            </w:pPr>
            <w:r>
              <w:rPr>
                <w:rFonts w:eastAsia="SimSun"/>
                <w:b/>
                <w:bCs/>
              </w:rPr>
              <w:t>Data Transfer (ms)</w:t>
            </w:r>
          </w:p>
        </w:tc>
      </w:tr>
      <w:tr w14:paraId="2C46F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1530" w:type="dxa"/>
            <w:vAlign w:val="center"/>
          </w:tcPr>
          <w:p w14:paraId="56EF6B5B">
            <w:pPr>
              <w:jc w:val="left"/>
            </w:pPr>
            <w:r>
              <w:rPr>
                <w:rFonts w:eastAsia="SimSun"/>
                <w:b/>
                <w:bCs/>
              </w:rPr>
              <w:t>LSTM</w:t>
            </w:r>
            <w:r>
              <w:rPr>
                <w:rFonts w:eastAsia="SimSun"/>
              </w:rPr>
              <w:t xml:space="preserve"> </w:t>
            </w:r>
            <w:r>
              <w:rPr>
                <w:rFonts w:eastAsia="SimSun"/>
              </w:rPr>
              <w:br w:type="textWrapping"/>
            </w:r>
            <w:r>
              <w:rPr>
                <w:rFonts w:eastAsia="SimSun"/>
                <w:i/>
                <w:iCs/>
              </w:rPr>
              <w:t>(Scaled)</w:t>
            </w:r>
          </w:p>
        </w:tc>
        <w:tc>
          <w:tcPr>
            <w:tcW w:w="964" w:type="dxa"/>
            <w:vAlign w:val="center"/>
          </w:tcPr>
          <w:p w14:paraId="39F677B2">
            <w:pPr>
              <w:jc w:val="left"/>
              <w:rPr>
                <w:b/>
                <w:bCs/>
              </w:rPr>
            </w:pPr>
            <w:r>
              <w:rPr>
                <w:rFonts w:eastAsia="SimSun"/>
                <w:b/>
                <w:bCs/>
              </w:rPr>
              <w:t>280.3</w:t>
            </w:r>
          </w:p>
        </w:tc>
        <w:tc>
          <w:tcPr>
            <w:tcW w:w="923" w:type="dxa"/>
            <w:shd w:val="clear" w:color="auto" w:fill="auto"/>
            <w:vAlign w:val="center"/>
          </w:tcPr>
          <w:p w14:paraId="3F5AC83F">
            <w:pPr>
              <w:jc w:val="left"/>
              <w:rPr>
                <w:rFonts w:eastAsia="SimSun"/>
                <w:b/>
                <w:bCs/>
              </w:rPr>
            </w:pPr>
            <w:r>
              <w:rPr>
                <w:rFonts w:eastAsia="SimSun"/>
              </w:rPr>
              <w:t>6.9986</w:t>
            </w:r>
          </w:p>
        </w:tc>
        <w:tc>
          <w:tcPr>
            <w:tcW w:w="1061" w:type="dxa"/>
            <w:vAlign w:val="center"/>
          </w:tcPr>
          <w:p w14:paraId="18C0F7E6">
            <w:pPr>
              <w:jc w:val="left"/>
              <w:rPr>
                <w:b/>
                <w:bCs/>
              </w:rPr>
            </w:pPr>
            <w:r>
              <w:rPr>
                <w:rFonts w:eastAsia="SimSun"/>
              </w:rPr>
              <w:t>6.9841</w:t>
            </w:r>
          </w:p>
        </w:tc>
        <w:tc>
          <w:tcPr>
            <w:tcW w:w="1062" w:type="dxa"/>
            <w:shd w:val="clear" w:color="auto" w:fill="auto"/>
            <w:vAlign w:val="center"/>
          </w:tcPr>
          <w:p w14:paraId="3DF2F252">
            <w:pPr>
              <w:jc w:val="left"/>
              <w:rPr>
                <w:b/>
                <w:bCs/>
              </w:rPr>
            </w:pPr>
            <w:r>
              <w:rPr>
                <w:rFonts w:eastAsia="SimSun"/>
              </w:rPr>
              <w:t>0.0115</w:t>
            </w:r>
          </w:p>
        </w:tc>
      </w:tr>
      <w:tr w14:paraId="45E4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1530" w:type="dxa"/>
            <w:vAlign w:val="center"/>
          </w:tcPr>
          <w:p w14:paraId="3A72E739">
            <w:pPr>
              <w:jc w:val="left"/>
            </w:pPr>
            <w:r>
              <w:rPr>
                <w:rFonts w:eastAsia="SimSun"/>
                <w:b/>
                <w:bCs/>
              </w:rPr>
              <w:t>ModernTCN</w:t>
            </w:r>
            <w:r>
              <w:rPr>
                <w:rFonts w:eastAsia="SimSun"/>
              </w:rPr>
              <w:t xml:space="preserve"> </w:t>
            </w:r>
            <w:r>
              <w:rPr>
                <w:rFonts w:eastAsia="SimSun"/>
                <w:i/>
                <w:iCs/>
              </w:rPr>
              <w:t>(Scaled)</w:t>
            </w:r>
          </w:p>
        </w:tc>
        <w:tc>
          <w:tcPr>
            <w:tcW w:w="964" w:type="dxa"/>
            <w:shd w:val="clear" w:color="auto" w:fill="auto"/>
            <w:vAlign w:val="center"/>
          </w:tcPr>
          <w:p w14:paraId="651D5B02">
            <w:pPr>
              <w:jc w:val="left"/>
              <w:rPr>
                <w:b/>
                <w:bCs/>
              </w:rPr>
            </w:pPr>
            <w:r>
              <w:rPr>
                <w:rFonts w:eastAsia="SimSun"/>
              </w:rPr>
              <w:t>837.4</w:t>
            </w:r>
          </w:p>
        </w:tc>
        <w:tc>
          <w:tcPr>
            <w:tcW w:w="923" w:type="dxa"/>
            <w:shd w:val="clear" w:color="auto" w:fill="auto"/>
            <w:vAlign w:val="center"/>
          </w:tcPr>
          <w:p w14:paraId="32394BBF">
            <w:pPr>
              <w:jc w:val="left"/>
              <w:rPr>
                <w:rFonts w:eastAsia="SimSun"/>
                <w:b/>
                <w:bCs/>
              </w:rPr>
            </w:pPr>
            <w:r>
              <w:rPr>
                <w:rFonts w:eastAsia="SimSun"/>
              </w:rPr>
              <w:t>1.8574</w:t>
            </w:r>
          </w:p>
        </w:tc>
        <w:tc>
          <w:tcPr>
            <w:tcW w:w="1061" w:type="dxa"/>
            <w:shd w:val="clear" w:color="auto" w:fill="auto"/>
            <w:vAlign w:val="center"/>
          </w:tcPr>
          <w:p w14:paraId="5B1BA711">
            <w:pPr>
              <w:jc w:val="left"/>
              <w:rPr>
                <w:b/>
                <w:bCs/>
              </w:rPr>
            </w:pPr>
            <w:r>
              <w:rPr>
                <w:rFonts w:eastAsia="SimSun"/>
              </w:rPr>
              <w:t>1.8440</w:t>
            </w:r>
          </w:p>
        </w:tc>
        <w:tc>
          <w:tcPr>
            <w:tcW w:w="1062" w:type="dxa"/>
            <w:shd w:val="clear" w:color="auto" w:fill="auto"/>
            <w:vAlign w:val="center"/>
          </w:tcPr>
          <w:p w14:paraId="4EE5185B">
            <w:pPr>
              <w:jc w:val="left"/>
              <w:rPr>
                <w:b/>
                <w:bCs/>
              </w:rPr>
            </w:pPr>
            <w:r>
              <w:rPr>
                <w:rFonts w:eastAsia="SimSun"/>
              </w:rPr>
              <w:t>0.0114</w:t>
            </w:r>
          </w:p>
        </w:tc>
      </w:tr>
      <w:tr w14:paraId="64FB0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jc w:val="center"/>
        </w:trPr>
        <w:tc>
          <w:tcPr>
            <w:tcW w:w="1530" w:type="dxa"/>
            <w:vAlign w:val="center"/>
          </w:tcPr>
          <w:p w14:paraId="622F664C">
            <w:pPr>
              <w:jc w:val="left"/>
            </w:pPr>
            <w:r>
              <w:rPr>
                <w:rFonts w:eastAsia="SimSun"/>
                <w:b/>
                <w:bCs/>
              </w:rPr>
              <w:t>PatchTST</w:t>
            </w:r>
            <w:r>
              <w:rPr>
                <w:rFonts w:eastAsia="SimSun"/>
              </w:rPr>
              <w:t xml:space="preserve"> </w:t>
            </w:r>
            <w:r>
              <w:rPr>
                <w:rFonts w:eastAsia="SimSun"/>
                <w:i/>
                <w:iCs/>
              </w:rPr>
              <w:t>(Scaled)</w:t>
            </w:r>
          </w:p>
        </w:tc>
        <w:tc>
          <w:tcPr>
            <w:tcW w:w="964" w:type="dxa"/>
            <w:shd w:val="clear" w:color="auto" w:fill="auto"/>
            <w:vAlign w:val="center"/>
          </w:tcPr>
          <w:p w14:paraId="4F74648C">
            <w:pPr>
              <w:jc w:val="left"/>
              <w:rPr>
                <w:b/>
                <w:bCs/>
              </w:rPr>
            </w:pPr>
            <w:r>
              <w:rPr>
                <w:rFonts w:eastAsia="SimSun"/>
              </w:rPr>
              <w:t>2630.5</w:t>
            </w:r>
          </w:p>
        </w:tc>
        <w:tc>
          <w:tcPr>
            <w:tcW w:w="923" w:type="dxa"/>
            <w:shd w:val="clear" w:color="auto" w:fill="auto"/>
            <w:vAlign w:val="center"/>
          </w:tcPr>
          <w:p w14:paraId="3F424120">
            <w:pPr>
              <w:jc w:val="left"/>
              <w:rPr>
                <w:rFonts w:eastAsia="SimSun"/>
                <w:b/>
                <w:bCs/>
              </w:rPr>
            </w:pPr>
            <w:r>
              <w:rPr>
                <w:rFonts w:eastAsia="SimSun"/>
              </w:rPr>
              <w:t>2.4233</w:t>
            </w:r>
          </w:p>
        </w:tc>
        <w:tc>
          <w:tcPr>
            <w:tcW w:w="1061" w:type="dxa"/>
            <w:shd w:val="clear" w:color="auto" w:fill="auto"/>
            <w:vAlign w:val="center"/>
          </w:tcPr>
          <w:p w14:paraId="6BC94289">
            <w:pPr>
              <w:jc w:val="left"/>
              <w:rPr>
                <w:b/>
                <w:bCs/>
              </w:rPr>
            </w:pPr>
            <w:r>
              <w:rPr>
                <w:rFonts w:eastAsia="SimSun"/>
              </w:rPr>
              <w:t>2.4095</w:t>
            </w:r>
          </w:p>
        </w:tc>
        <w:tc>
          <w:tcPr>
            <w:tcW w:w="1062" w:type="dxa"/>
            <w:shd w:val="clear" w:color="auto" w:fill="auto"/>
            <w:vAlign w:val="center"/>
          </w:tcPr>
          <w:p w14:paraId="230A80C6">
            <w:pPr>
              <w:jc w:val="left"/>
              <w:rPr>
                <w:b/>
                <w:bCs/>
              </w:rPr>
            </w:pPr>
            <w:r>
              <w:rPr>
                <w:rFonts w:eastAsia="SimSun"/>
              </w:rPr>
              <w:t>0.0115</w:t>
            </w:r>
          </w:p>
        </w:tc>
      </w:tr>
      <w:tr w14:paraId="1F829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0" w:type="dxa"/>
            <w:shd w:val="clear" w:color="auto" w:fill="auto"/>
            <w:vAlign w:val="center"/>
          </w:tcPr>
          <w:p w14:paraId="0C6CB000">
            <w:pPr>
              <w:jc w:val="left"/>
            </w:pPr>
            <w:r>
              <w:rPr>
                <w:rFonts w:eastAsia="SimSun"/>
                <w:b/>
                <w:bCs/>
              </w:rPr>
              <w:t>Proposed HybridMamba</w:t>
            </w:r>
          </w:p>
        </w:tc>
        <w:tc>
          <w:tcPr>
            <w:tcW w:w="964" w:type="dxa"/>
            <w:shd w:val="clear" w:color="auto" w:fill="auto"/>
            <w:vAlign w:val="center"/>
          </w:tcPr>
          <w:p w14:paraId="40A8B41C">
            <w:pPr>
              <w:jc w:val="left"/>
              <w:rPr>
                <w:b/>
                <w:bCs/>
              </w:rPr>
            </w:pPr>
            <w:r>
              <w:rPr>
                <w:rFonts w:eastAsia="SimSun"/>
              </w:rPr>
              <w:t>420.1</w:t>
            </w:r>
          </w:p>
        </w:tc>
        <w:tc>
          <w:tcPr>
            <w:tcW w:w="923" w:type="dxa"/>
            <w:shd w:val="clear" w:color="auto" w:fill="auto"/>
            <w:vAlign w:val="center"/>
          </w:tcPr>
          <w:p w14:paraId="23127449">
            <w:pPr>
              <w:jc w:val="left"/>
              <w:rPr>
                <w:rFonts w:eastAsia="SimSun"/>
                <w:b/>
                <w:bCs/>
              </w:rPr>
            </w:pPr>
            <w:r>
              <w:rPr>
                <w:rFonts w:eastAsia="SimSun"/>
                <w:b/>
                <w:bCs/>
              </w:rPr>
              <w:t>0.5587</w:t>
            </w:r>
          </w:p>
        </w:tc>
        <w:tc>
          <w:tcPr>
            <w:tcW w:w="1061" w:type="dxa"/>
            <w:shd w:val="clear" w:color="auto" w:fill="auto"/>
            <w:vAlign w:val="center"/>
          </w:tcPr>
          <w:p w14:paraId="1603CD65">
            <w:pPr>
              <w:jc w:val="left"/>
              <w:rPr>
                <w:b/>
                <w:bCs/>
              </w:rPr>
            </w:pPr>
            <w:r>
              <w:rPr>
                <w:rFonts w:eastAsia="SimSun"/>
                <w:b/>
                <w:bCs/>
              </w:rPr>
              <w:t>0.5458</w:t>
            </w:r>
          </w:p>
        </w:tc>
        <w:tc>
          <w:tcPr>
            <w:tcW w:w="1062" w:type="dxa"/>
            <w:shd w:val="clear" w:color="auto" w:fill="auto"/>
            <w:vAlign w:val="center"/>
          </w:tcPr>
          <w:p w14:paraId="2AEB4A00">
            <w:pPr>
              <w:jc w:val="left"/>
              <w:rPr>
                <w:b/>
                <w:bCs/>
              </w:rPr>
            </w:pPr>
            <w:r>
              <w:rPr>
                <w:rFonts w:eastAsia="SimSun"/>
                <w:b/>
                <w:bCs/>
              </w:rPr>
              <w:t>0.0112</w:t>
            </w:r>
          </w:p>
        </w:tc>
      </w:tr>
    </w:tbl>
    <w:p w14:paraId="29D00F52">
      <w:pPr>
        <w:tabs>
          <w:tab w:val="left" w:pos="284"/>
        </w:tabs>
        <w:jc w:val="both"/>
        <w:rPr>
          <w:rFonts w:eastAsia="SimSun"/>
        </w:rPr>
      </w:pPr>
      <w:r>
        <w:rPr>
          <w:rFonts w:eastAsia="SimSun"/>
        </w:rPr>
        <w:tab/>
      </w:r>
      <w:r>
        <w:rPr>
          <w:rFonts w:eastAsia="SimSun"/>
        </w:rPr>
        <w:t xml:space="preserve">As shown in Table </w:t>
      </w:r>
      <w:r>
        <w:rPr>
          <w:rFonts w:hint="default" w:eastAsia="SimSun"/>
          <w:lang w:val="en-US"/>
        </w:rPr>
        <w:t>VI</w:t>
      </w:r>
      <w:r>
        <w:rPr>
          <w:rFonts w:eastAsia="SimSun"/>
        </w:rPr>
        <w:t>, the proposed HybridMambaCNN reduces total execution latency to 0.5587 ms per sample, yielding a 12.5x speedup over LSTM, 3.3x over ModernTCN, and 4.3x over PatchTST. This showcases the processing efficiency of the selective scan mechanism. Furthermore, the peak GPU memory usage of the proposed model is maintained at 420.1 MB, which is 84% lower than PatchTST (2630.5 MB) and nearly 50% lower than ModernTCN (837.4 MB), validating its feasibility for edge-side embedded platforms.</w:t>
      </w:r>
    </w:p>
    <w:p w14:paraId="6CB8133C">
      <w:pPr>
        <w:tabs>
          <w:tab w:val="left" w:pos="284"/>
        </w:tabs>
        <w:jc w:val="both"/>
        <w:rPr>
          <w:rFonts w:eastAsia="SimSun"/>
        </w:rPr>
      </w:pPr>
      <w:r>
        <w:rPr>
          <w:rFonts w:eastAsia="SimSun"/>
        </w:rPr>
        <w:drawing>
          <wp:inline distT="0" distB="0" distL="114300" distR="114300">
            <wp:extent cx="4856480" cy="3409315"/>
            <wp:effectExtent l="0" t="0" r="1270" b="635"/>
            <wp:docPr id="2" name="Picture 2" descr="hinh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nh_7"/>
                    <pic:cNvPicPr>
                      <a:picLocks noChangeAspect="1"/>
                    </pic:cNvPicPr>
                  </pic:nvPicPr>
                  <pic:blipFill>
                    <a:blip r:embed="rId7"/>
                    <a:stretch>
                      <a:fillRect/>
                    </a:stretch>
                  </pic:blipFill>
                  <pic:spPr>
                    <a:xfrm>
                      <a:off x="0" y="0"/>
                      <a:ext cx="4856480" cy="3409315"/>
                    </a:xfrm>
                    <a:prstGeom prst="rect">
                      <a:avLst/>
                    </a:prstGeom>
                  </pic:spPr>
                </pic:pic>
              </a:graphicData>
            </a:graphic>
          </wp:inline>
        </w:drawing>
      </w:r>
    </w:p>
    <w:p w14:paraId="427B00F0">
      <w:pPr>
        <w:pStyle w:val="11"/>
        <w:rPr>
          <w:rFonts w:eastAsia="SimSun"/>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t xml:space="preserve">. </w:t>
      </w:r>
      <w:r>
        <w:rPr>
          <w:rFonts w:eastAsia="SimSun"/>
        </w:rPr>
        <w:t>Computational complexity and real-time execution profiles. The left panel shows the stacked latency breakdown (data transfer, model inference, anomaly scoring, and threshold decision), showcasing that the proposed Mamba-Hybrid model reduces total latency to 0.5587 ms per sample (a 12.5x speedup over LSTM). The right panel presents the calibration overhead per bearing, demonstrating that the Peak Over Threshold (POT) calibration is completed in only 23.51 ms, indicating its high suitability for edge-side deployment</w:t>
      </w:r>
    </w:p>
    <w:p w14:paraId="2DE87A4E">
      <w:pPr>
        <w:pStyle w:val="3"/>
        <w:jc w:val="both"/>
        <w:rPr>
          <w:rFonts w:eastAsia="SimSun"/>
        </w:rPr>
      </w:pPr>
      <w:r>
        <w:rPr>
          <w:rFonts w:eastAsia="SimSun"/>
        </w:rPr>
        <w:t>Threshold Calibration and Computational Overhead</w:t>
      </w:r>
    </w:p>
    <w:p w14:paraId="0C615E24">
      <w:pPr>
        <w:tabs>
          <w:tab w:val="left" w:pos="284"/>
        </w:tabs>
        <w:jc w:val="both"/>
      </w:pPr>
      <w:r>
        <w:tab/>
      </w:r>
      <w:r>
        <w:t>Online self-calibration requires dynamic thresholding methods with low computational footprints. The Peak Over Threshold (POT) algorithm requires only 23.51 ms to calibrate localized boundaries per bearing. This is 53x faster than GMM calibration (1248.05 ms) and 323x faster than the offline optimal threshold search (7597.00 ms), establishing POT as a highly practical solution for continuous edge-side self-calibration.</w:t>
      </w:r>
    </w:p>
    <w:p w14:paraId="4C5B7C2A">
      <w:pPr>
        <w:pStyle w:val="41"/>
        <w:tabs>
          <w:tab w:val="left" w:pos="284"/>
        </w:tabs>
        <w:rPr>
          <w:b/>
        </w:rPr>
      </w:pPr>
      <w:r>
        <w:rPr>
          <w:b/>
        </w:rPr>
        <w:drawing>
          <wp:inline distT="0" distB="0" distL="114300" distR="114300">
            <wp:extent cx="4850130" cy="2259965"/>
            <wp:effectExtent l="0" t="0" r="7620" b="6985"/>
            <wp:docPr id="12" name="Picture 12" descr="hinh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inh_8"/>
                    <pic:cNvPicPr>
                      <a:picLocks noChangeAspect="1"/>
                    </pic:cNvPicPr>
                  </pic:nvPicPr>
                  <pic:blipFill>
                    <a:blip r:embed="rId8"/>
                    <a:stretch>
                      <a:fillRect/>
                    </a:stretch>
                  </pic:blipFill>
                  <pic:spPr>
                    <a:xfrm>
                      <a:off x="0" y="0"/>
                      <a:ext cx="4850130" cy="2259965"/>
                    </a:xfrm>
                    <a:prstGeom prst="rect">
                      <a:avLst/>
                    </a:prstGeom>
                  </pic:spPr>
                </pic:pic>
              </a:graphicData>
            </a:graphic>
          </wp:inline>
        </w:drawing>
      </w:r>
    </w:p>
    <w:p w14:paraId="6CB72A80">
      <w:pPr>
        <w:pStyle w:val="11"/>
        <w:rPr>
          <w:rFonts w:eastAsia="SimSun"/>
          <w:sz w:val="20"/>
          <w:szCs w:val="20"/>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 xml:space="preserve">. </w:t>
      </w:r>
      <w:r>
        <w:rPr>
          <w:rFonts w:eastAsia="SimSun"/>
          <w:sz w:val="20"/>
          <w:szCs w:val="20"/>
        </w:rPr>
        <w:t>Timeline evolution of the MSE anomaly score and calibrated thresholds across the run-to-failure lifecycle of Bearing B17. The top panel illustrates the MSE score computed by the proposed Mamba-Hybrid architecture, overlaid with the dynamic POT threshold (0.7074), Robust threshold (0.6986), and 3-Sigma threshold (0.6348). The bottom panel displays the ground-truth anomaly state. The sharp rise in MSE at step 210,000 matches the onset of mechanical degradation, verifying that the proposed architecture triggers alarms immediately at the onset of fault propagation.</w:t>
      </w:r>
    </w:p>
    <w:p w14:paraId="17D5F3B1">
      <w:pPr>
        <w:pStyle w:val="2"/>
      </w:pPr>
      <w:r>
        <w:t>References</w:t>
      </w:r>
    </w:p>
    <w:p w14:paraId="05F27AC9">
      <w:pPr>
        <w:ind w:left="284" w:hanging="284"/>
        <w:jc w:val="both"/>
      </w:pPr>
      <w:r>
        <w:t xml:space="preserve">[1] J. Author et al., "DeSpaWN: Unsupervised Learnable Wavelet Filter Optimization for Sparse Feature Extraction in the Time-Frequency Domain," </w:t>
      </w:r>
      <w:r>
        <w:rPr>
          <w:i/>
          <w:iCs/>
        </w:rPr>
        <w:t>Proceedings of the National Academy of Sciences (PNAS)</w:t>
      </w:r>
      <w:r>
        <w:t xml:space="preserve">, vol. 118, 2021. Available: </w:t>
      </w:r>
      <w:r>
        <w:fldChar w:fldCharType="begin"/>
      </w:r>
      <w:r>
        <w:instrText xml:space="preserve"> HYPERLINK "https://www.pnas.org/doi/10.1073/pnas.2106598119" \t "_blank" </w:instrText>
      </w:r>
      <w:r>
        <w:fldChar w:fldCharType="separate"/>
      </w:r>
      <w:r>
        <w:rPr>
          <w:rStyle w:val="14"/>
        </w:rPr>
        <w:t>https://www.pnas.org/doi/10.1073/pnas.2106598119</w:t>
      </w:r>
      <w:r>
        <w:rPr>
          <w:rStyle w:val="14"/>
        </w:rPr>
        <w:fldChar w:fldCharType="end"/>
      </w:r>
    </w:p>
    <w:p w14:paraId="425D2E50">
      <w:pPr>
        <w:ind w:left="284" w:hanging="284"/>
        <w:jc w:val="both"/>
      </w:pPr>
      <w:r>
        <w:t xml:space="preserve">[2] M. Author et al., "ModernTCN: A Modernized Temporal Convolutional Network for Long-Term Time Series Forecasting," in </w:t>
      </w:r>
      <w:r>
        <w:rPr>
          <w:i/>
          <w:iCs/>
        </w:rPr>
        <w:t>Proceedings of the International Conference on Learning Representations (ICLR)</w:t>
      </w:r>
      <w:r>
        <w:t xml:space="preserve">, 2024. Available: </w:t>
      </w:r>
      <w:r>
        <w:fldChar w:fldCharType="begin"/>
      </w:r>
      <w:r>
        <w:instrText xml:space="preserve"> HYPERLINK "https://openreview.net/forum?id=vpJMJerXHU" \t "_blank" </w:instrText>
      </w:r>
      <w:r>
        <w:fldChar w:fldCharType="separate"/>
      </w:r>
      <w:r>
        <w:rPr>
          <w:rStyle w:val="14"/>
        </w:rPr>
        <w:t>https://openreview.net/forum?id=vpJMJerXHU</w:t>
      </w:r>
      <w:r>
        <w:rPr>
          <w:rStyle w:val="14"/>
        </w:rPr>
        <w:fldChar w:fldCharType="end"/>
      </w:r>
    </w:p>
    <w:p w14:paraId="0BC67CDF">
      <w:pPr>
        <w:ind w:left="284" w:hanging="284"/>
        <w:jc w:val="both"/>
      </w:pPr>
      <w:r>
        <w:t xml:space="preserve">[3] R. Author et al., "ModernTCN Revisited: Data Leakage and the 'Drop Last Trick' in Time Series Benchmarks," </w:t>
      </w:r>
      <w:r>
        <w:rPr>
          <w:i/>
          <w:iCs/>
        </w:rPr>
        <w:t>Transactions on Machine Learning Research (TMLR)</w:t>
      </w:r>
      <w:r>
        <w:t xml:space="preserve">, 2025. Available: </w:t>
      </w:r>
      <w:r>
        <w:fldChar w:fldCharType="begin"/>
      </w:r>
      <w:r>
        <w:instrText xml:space="preserve"> HYPERLINK "https://openreview.net/forum?id=R20kKdWmVZ" \t "_blank" </w:instrText>
      </w:r>
      <w:r>
        <w:fldChar w:fldCharType="separate"/>
      </w:r>
      <w:r>
        <w:rPr>
          <w:rStyle w:val="14"/>
        </w:rPr>
        <w:t>https://openreview.net/forum?id=R20kKdWmVZ</w:t>
      </w:r>
      <w:r>
        <w:rPr>
          <w:rStyle w:val="14"/>
        </w:rPr>
        <w:fldChar w:fldCharType="end"/>
      </w:r>
    </w:p>
    <w:p w14:paraId="58B12744">
      <w:pPr>
        <w:ind w:left="284" w:hanging="284"/>
        <w:jc w:val="both"/>
      </w:pPr>
      <w:r>
        <w:t xml:space="preserve">[4] T. Author et al., "TimeRCD: Relational Context Discrepancy for Unsupervised Time Series Anomaly Detection," in </w:t>
      </w:r>
      <w:r>
        <w:rPr>
          <w:i/>
          <w:iCs/>
        </w:rPr>
        <w:t>Proceedings of the International Conference on Learning Representations (ICLR)</w:t>
      </w:r>
      <w:r>
        <w:t xml:space="preserve">, 2025. Available: </w:t>
      </w:r>
      <w:r>
        <w:fldChar w:fldCharType="begin"/>
      </w:r>
      <w:r>
        <w:instrText xml:space="preserve"> HYPERLINK "https://openreview.net/forum?id=Z4T26VztkU" \t "_blank" </w:instrText>
      </w:r>
      <w:r>
        <w:fldChar w:fldCharType="separate"/>
      </w:r>
      <w:r>
        <w:rPr>
          <w:rStyle w:val="14"/>
        </w:rPr>
        <w:t>https://openreview.net/forum?id=Z4T26VztkU</w:t>
      </w:r>
      <w:r>
        <w:rPr>
          <w:rStyle w:val="14"/>
        </w:rPr>
        <w:fldChar w:fldCharType="end"/>
      </w:r>
    </w:p>
    <w:p w14:paraId="1F3C34A5">
      <w:pPr>
        <w:ind w:left="284" w:hanging="284"/>
        <w:jc w:val="both"/>
      </w:pPr>
      <w:r>
        <w:t xml:space="preserve">[5] A. Author et al., "Anomaly Transformer: Time Series Anomaly Detection with Association Discrepancy," in </w:t>
      </w:r>
      <w:r>
        <w:rPr>
          <w:i/>
          <w:iCs/>
        </w:rPr>
        <w:t>Proceedings of the International Conference on Learning Representations (ICLR)</w:t>
      </w:r>
      <w:r>
        <w:t xml:space="preserve">, 2022. Available: </w:t>
      </w:r>
      <w:r>
        <w:fldChar w:fldCharType="begin"/>
      </w:r>
      <w:r>
        <w:instrText xml:space="preserve"> HYPERLINK "https://arxiv.org/abs/2110.02642" \t "_blank" </w:instrText>
      </w:r>
      <w:r>
        <w:fldChar w:fldCharType="separate"/>
      </w:r>
      <w:r>
        <w:rPr>
          <w:rStyle w:val="14"/>
        </w:rPr>
        <w:t>https://arxiv.org/abs/2110.02642</w:t>
      </w:r>
      <w:r>
        <w:rPr>
          <w:rStyle w:val="14"/>
        </w:rPr>
        <w:fldChar w:fldCharType="end"/>
      </w:r>
    </w:p>
    <w:p w14:paraId="63BC68B8">
      <w:pPr>
        <w:ind w:left="284" w:hanging="284"/>
        <w:jc w:val="both"/>
      </w:pPr>
      <w:r>
        <w:t xml:space="preserve">[6] T. Author et al., "TimesNet: Temporal 2D Variations for Time Series Analysis," in </w:t>
      </w:r>
      <w:r>
        <w:rPr>
          <w:i/>
          <w:iCs/>
        </w:rPr>
        <w:t>Proceedings of the International Conference on Learning Representations (ICLR)</w:t>
      </w:r>
      <w:r>
        <w:t xml:space="preserve">, 2023. Available: </w:t>
      </w:r>
      <w:r>
        <w:fldChar w:fldCharType="begin"/>
      </w:r>
      <w:r>
        <w:instrText xml:space="preserve"> HYPERLINK "https://arxiv.org/abs/2210.02186" \t "_blank" </w:instrText>
      </w:r>
      <w:r>
        <w:fldChar w:fldCharType="separate"/>
      </w:r>
      <w:r>
        <w:rPr>
          <w:rStyle w:val="14"/>
        </w:rPr>
        <w:t>https://arxiv.org/abs/2210.02186</w:t>
      </w:r>
      <w:r>
        <w:rPr>
          <w:rStyle w:val="14"/>
        </w:rPr>
        <w:fldChar w:fldCharType="end"/>
      </w:r>
    </w:p>
    <w:p w14:paraId="4E0A3F52">
      <w:pPr>
        <w:ind w:left="284" w:hanging="284"/>
        <w:jc w:val="both"/>
      </w:pPr>
      <w:r>
        <w:t xml:space="preserve">[7] P. Author et al., "PatchTST: A Time Series is Worth 64 Words: Long-term Forecasting with PatchTST," in </w:t>
      </w:r>
      <w:r>
        <w:rPr>
          <w:i/>
          <w:iCs/>
        </w:rPr>
        <w:t>Proceedings of the International Conference on Learning Representations (ICLR)</w:t>
      </w:r>
      <w:r>
        <w:t xml:space="preserve">, 2023. Available: </w:t>
      </w:r>
      <w:r>
        <w:fldChar w:fldCharType="begin"/>
      </w:r>
      <w:r>
        <w:instrText xml:space="preserve"> HYPERLINK "https://arxiv.org/abs/2211.14730" \t "_blank" </w:instrText>
      </w:r>
      <w:r>
        <w:fldChar w:fldCharType="separate"/>
      </w:r>
      <w:r>
        <w:rPr>
          <w:rStyle w:val="14"/>
        </w:rPr>
        <w:t>https://arxiv.org/abs/2211.14730</w:t>
      </w:r>
      <w:r>
        <w:rPr>
          <w:rStyle w:val="14"/>
        </w:rPr>
        <w:fldChar w:fldCharType="end"/>
      </w:r>
    </w:p>
    <w:p w14:paraId="7A2C1CE1">
      <w:pPr>
        <w:ind w:left="284" w:hanging="284"/>
        <w:jc w:val="both"/>
      </w:pPr>
      <w:r>
        <w:t xml:space="preserve">[8] F. Author et al., "FEMamba: Adaptive MFES Block and Space-Constrained DSGR Module for Remaining Useful Life Estimation," in </w:t>
      </w:r>
      <w:r>
        <w:rPr>
          <w:i/>
          <w:iCs/>
        </w:rPr>
        <w:t>Proceedings of the IEEE International Conference on Data Driven Control and Learning Systems (DDCLS)</w:t>
      </w:r>
      <w:r>
        <w:t>, 2025. DOI: 10.1109/DDCLS66240.2025.11065061</w:t>
      </w:r>
    </w:p>
    <w:p w14:paraId="095CD9C1">
      <w:pPr>
        <w:ind w:left="284" w:hanging="284"/>
        <w:jc w:val="both"/>
      </w:pPr>
      <w:r>
        <w:t xml:space="preserve">[9] X. Author et al., "TFG-Mamba: Time-Frequency Guided Gated Mamba for Machinery Degradation Trend Forecasting," </w:t>
      </w:r>
      <w:r>
        <w:rPr>
          <w:i/>
          <w:iCs/>
        </w:rPr>
        <w:t>Advanced Engineering Informatics</w:t>
      </w:r>
      <w:r>
        <w:t>, vol. 68, 2026. DOI: 10.1016/j.aei.2026.104443</w:t>
      </w:r>
    </w:p>
    <w:p w14:paraId="4A1A77E3">
      <w:pPr>
        <w:ind w:left="284" w:hanging="284"/>
        <w:jc w:val="both"/>
      </w:pPr>
      <w:r>
        <w:t xml:space="preserve">[10] T. Author et al., "TimeMachine: A Quadruple-Mamba Architecture for Multivariate Time Series Forecasting," in </w:t>
      </w:r>
      <w:r>
        <w:rPr>
          <w:i/>
          <w:iCs/>
        </w:rPr>
        <w:t>Proceedings of the European Conference on Artificial Intelligence (ECAI)</w:t>
      </w:r>
      <w:r>
        <w:t xml:space="preserve">, 2024. Available: </w:t>
      </w:r>
      <w:r>
        <w:fldChar w:fldCharType="begin"/>
      </w:r>
      <w:r>
        <w:instrText xml:space="preserve"> HYPERLINK "https://arxiv.org/abs/2403.09898" \t "_blank" </w:instrText>
      </w:r>
      <w:r>
        <w:fldChar w:fldCharType="separate"/>
      </w:r>
      <w:r>
        <w:rPr>
          <w:rStyle w:val="14"/>
        </w:rPr>
        <w:t>https://arxiv.org/abs/2403.09898</w:t>
      </w:r>
      <w:r>
        <w:rPr>
          <w:rStyle w:val="14"/>
        </w:rPr>
        <w:fldChar w:fldCharType="end"/>
      </w:r>
    </w:p>
    <w:p w14:paraId="747610D6">
      <w:pPr>
        <w:ind w:left="284" w:hanging="284"/>
        <w:jc w:val="both"/>
      </w:pPr>
      <w:r>
        <w:t xml:space="preserve">[11] M. Author et al., "TSC-Mamba: Decomposition-Propagation-Cross-Correlation Pipeline via Low-Rank CIFM Module for Multivariate Time Series," </w:t>
      </w:r>
      <w:r>
        <w:rPr>
          <w:i/>
          <w:iCs/>
        </w:rPr>
        <w:t>Mathematics</w:t>
      </w:r>
      <w:r>
        <w:t xml:space="preserve">, vol. 14, no. 8, p. 1363, 2026. Available: </w:t>
      </w:r>
      <w:r>
        <w:fldChar w:fldCharType="begin"/>
      </w:r>
      <w:r>
        <w:instrText xml:space="preserve"> HYPERLINK "https://www.mdpi.com/2227-7390/14/8/1363" \t "_blank" </w:instrText>
      </w:r>
      <w:r>
        <w:fldChar w:fldCharType="separate"/>
      </w:r>
      <w:r>
        <w:rPr>
          <w:rStyle w:val="14"/>
        </w:rPr>
        <w:t>https://www.mdpi.com/2227-7390/14/8/1363</w:t>
      </w:r>
      <w:r>
        <w:rPr>
          <w:rStyle w:val="14"/>
        </w:rPr>
        <w:fldChar w:fldCharType="end"/>
      </w:r>
    </w:p>
    <w:p w14:paraId="7070C59E">
      <w:pPr>
        <w:ind w:left="284" w:hanging="284"/>
        <w:jc w:val="both"/>
      </w:pPr>
      <w:r>
        <w:t xml:space="preserve">[12] L. Author et al., "LDGM: Linear Decoupled Graph Model with Multi-Perspective Mamba (Mamba-MP) for Intelligent Edge Deployment," </w:t>
      </w:r>
      <w:r>
        <w:rPr>
          <w:i/>
          <w:iCs/>
        </w:rPr>
        <w:t>ResearchGate Preprint</w:t>
      </w:r>
      <w:r>
        <w:t xml:space="preserve">, 2026. Available: </w:t>
      </w:r>
      <w:r>
        <w:fldChar w:fldCharType="begin"/>
      </w:r>
      <w:r>
        <w:instrText xml:space="preserve"> HYPERLINK "https://www.researchgate.net/publication/400785154" \t "_blank" </w:instrText>
      </w:r>
      <w:r>
        <w:fldChar w:fldCharType="separate"/>
      </w:r>
      <w:r>
        <w:rPr>
          <w:rStyle w:val="14"/>
        </w:rPr>
        <w:t>https://www.researchgate.net/publication/400785154</w:t>
      </w:r>
      <w:r>
        <w:rPr>
          <w:rStyle w:val="14"/>
        </w:rPr>
        <w:fldChar w:fldCharType="end"/>
      </w:r>
    </w:p>
    <w:p w14:paraId="315A438C">
      <w:pPr>
        <w:ind w:left="284" w:hanging="284"/>
        <w:jc w:val="both"/>
      </w:pPr>
      <w:r>
        <w:t xml:space="preserve">[13] P. Author et al., "PG-TMT: Physics-Guided Tiny-Mamba Transformer with Deep Separable Convolutions for Online Bearing Health Monitoring," </w:t>
      </w:r>
      <w:r>
        <w:rPr>
          <w:i/>
          <w:iCs/>
        </w:rPr>
        <w:t>IEEE Transactions on Reliability</w:t>
      </w:r>
      <w:r>
        <w:t xml:space="preserve">, 2026. Available: </w:t>
      </w:r>
      <w:r>
        <w:fldChar w:fldCharType="begin"/>
      </w:r>
      <w:r>
        <w:instrText xml:space="preserve"> HYPERLINK "https://arxiv.org/abs/2601.21293" \t "_blank" </w:instrText>
      </w:r>
      <w:r>
        <w:fldChar w:fldCharType="separate"/>
      </w:r>
      <w:r>
        <w:rPr>
          <w:rStyle w:val="14"/>
        </w:rPr>
        <w:t>https://arxiv.org/abs/2601.21293</w:t>
      </w:r>
      <w:r>
        <w:rPr>
          <w:rStyle w:val="14"/>
        </w:rPr>
        <w:fldChar w:fldCharType="end"/>
      </w:r>
    </w:p>
    <w:p w14:paraId="6EDE2327">
      <w:pPr>
        <w:ind w:left="284" w:hanging="284"/>
        <w:jc w:val="both"/>
      </w:pPr>
      <w:r>
        <w:t xml:space="preserve">[14] S. Author et al., "Deep Learning-Based Fault Diagnosis in Wind Turbine Bearings and Gearboxes Using Vibration Signals: Survey, Challenges, and Recommendations," </w:t>
      </w:r>
      <w:r>
        <w:rPr>
          <w:i/>
          <w:iCs/>
        </w:rPr>
        <w:t>IEEE Access</w:t>
      </w:r>
      <w:r>
        <w:t xml:space="preserve">, 2025. Available: </w:t>
      </w:r>
      <w:r>
        <w:fldChar w:fldCharType="begin"/>
      </w:r>
      <w:r>
        <w:instrText xml:space="preserve"> HYPERLINK "https://ieeexplore.ieee.org/document/11267383/" \t "_blank" </w:instrText>
      </w:r>
      <w:r>
        <w:fldChar w:fldCharType="separate"/>
      </w:r>
      <w:r>
        <w:rPr>
          <w:rStyle w:val="14"/>
        </w:rPr>
        <w:t>https://ieeexplore.ieee.org/document/11267383/</w:t>
      </w:r>
      <w:r>
        <w:rPr>
          <w:rStyle w:val="14"/>
        </w:rPr>
        <w:fldChar w:fldCharType="end"/>
      </w:r>
    </w:p>
    <w:p w14:paraId="5AF79271">
      <w:pPr>
        <w:ind w:left="284" w:hanging="284"/>
        <w:jc w:val="both"/>
      </w:pPr>
      <w:r>
        <w:t xml:space="preserve">[15] D. Author et al., "An Explainable Adaptive Anomaly Detection Method for Multi-Condition Intelligent Equipment Monitoring," </w:t>
      </w:r>
      <w:r>
        <w:rPr>
          <w:i/>
          <w:iCs/>
        </w:rPr>
        <w:t>Diagnostyka</w:t>
      </w:r>
      <w:r>
        <w:t>, 2026. DOI: 10.29354/diag/183111</w:t>
      </w:r>
    </w:p>
    <w:p w14:paraId="66B9DBE1">
      <w:pPr>
        <w:ind w:left="284" w:hanging="284"/>
        <w:jc w:val="both"/>
      </w:pPr>
      <w:r>
        <w:t xml:space="preserve">[16] A. Gu and T. Dao, "Mamba: Linear-Time Sequence Modeling with Selective State Spaces," in </w:t>
      </w:r>
      <w:r>
        <w:rPr>
          <w:i/>
          <w:iCs/>
        </w:rPr>
        <w:t>Proceedings of the Conference on Language Modeling (COLM)</w:t>
      </w:r>
      <w:r>
        <w:t xml:space="preserve">, 2024. Available: </w:t>
      </w:r>
      <w:r>
        <w:fldChar w:fldCharType="begin"/>
      </w:r>
      <w:r>
        <w:instrText xml:space="preserve"> HYPERLINK "https://arxiv.org/abs/2312.00752" \t "_blank" </w:instrText>
      </w:r>
      <w:r>
        <w:fldChar w:fldCharType="separate"/>
      </w:r>
      <w:r>
        <w:rPr>
          <w:rStyle w:val="14"/>
        </w:rPr>
        <w:t>https://arxiv.org/abs/2312.00752</w:t>
      </w:r>
      <w:r>
        <w:rPr>
          <w:rStyle w:val="14"/>
        </w:rPr>
        <w:fldChar w:fldCharType="end"/>
      </w:r>
    </w:p>
    <w:p w14:paraId="033536FC">
      <w:pPr>
        <w:ind w:left="284" w:hanging="284"/>
        <w:jc w:val="both"/>
      </w:pPr>
      <w:r>
        <w:t xml:space="preserve">[17] E. Author et al., "Deep-Learning-Based Open Set Fault Diagnosis by Extreme Value Theory," </w:t>
      </w:r>
      <w:r>
        <w:rPr>
          <w:i/>
          <w:iCs/>
        </w:rPr>
        <w:t>IEEE Transactions on Industrial Informatics</w:t>
      </w:r>
      <w:r>
        <w:t xml:space="preserve">, vol. 18, 2022. Available: </w:t>
      </w:r>
      <w:r>
        <w:fldChar w:fldCharType="begin"/>
      </w:r>
      <w:r>
        <w:instrText xml:space="preserve"> HYPERLINK "https://ieeexplore.ieee.org/document/9394793" \t "_blank" </w:instrText>
      </w:r>
      <w:r>
        <w:fldChar w:fldCharType="separate"/>
      </w:r>
      <w:r>
        <w:rPr>
          <w:rStyle w:val="14"/>
        </w:rPr>
        <w:t>https://ieeexplore.ieee.org/document/9394793</w:t>
      </w:r>
      <w:r>
        <w:rPr>
          <w:rStyle w:val="14"/>
        </w:rPr>
        <w:fldChar w:fldCharType="end"/>
      </w:r>
    </w:p>
    <w:p w14:paraId="2B8B18C5">
      <w:pPr>
        <w:ind w:left="284" w:hanging="284"/>
        <w:jc w:val="both"/>
      </w:pPr>
      <w:r>
        <w:t xml:space="preserve">[18] O. Author et al., "Robust Anomaly Detection for Multivariate Time Series through Stochastic Recurrent Neural Network," in </w:t>
      </w:r>
      <w:r>
        <w:rPr>
          <w:i/>
          <w:iCs/>
        </w:rPr>
        <w:t>Proceedings of the ACM SIGKDD International Conference on Knowledge Discovery &amp; Data Mining</w:t>
      </w:r>
      <w:r>
        <w:t xml:space="preserve">, 2019. Available: </w:t>
      </w:r>
      <w:r>
        <w:fldChar w:fldCharType="begin"/>
      </w:r>
      <w:r>
        <w:instrText xml:space="preserve"> HYPERLINK "https://dl.acm.org/doi/epdf/10.1145/3292500.3330672" \t "_blank" </w:instrText>
      </w:r>
      <w:r>
        <w:fldChar w:fldCharType="separate"/>
      </w:r>
      <w:r>
        <w:rPr>
          <w:rStyle w:val="14"/>
        </w:rPr>
        <w:t>https://dl.acm.org/doi/epdf/10.1145/3292500.3330672</w:t>
      </w:r>
      <w:r>
        <w:rPr>
          <w:rStyle w:val="14"/>
        </w:rPr>
        <w:fldChar w:fldCharType="end"/>
      </w:r>
    </w:p>
    <w:p w14:paraId="12421264">
      <w:pPr>
        <w:ind w:left="284" w:hanging="284"/>
        <w:jc w:val="both"/>
      </w:pPr>
      <w:r>
        <w:t xml:space="preserve">[19] U. Author et al., "USAD: UnSupervised Anomaly Detection for Multivariate Time Series via Adversarially Trained Autoencoders," in </w:t>
      </w:r>
      <w:r>
        <w:rPr>
          <w:i/>
          <w:iCs/>
        </w:rPr>
        <w:t>Proceedings of the ACM SIGKDD International Conference on Knowledge Discovery &amp; Data Mining</w:t>
      </w:r>
      <w:r>
        <w:t xml:space="preserve">, 2020. Available: </w:t>
      </w:r>
      <w:r>
        <w:fldChar w:fldCharType="begin"/>
      </w:r>
      <w:r>
        <w:instrText xml:space="preserve"> HYPERLINK "https://dl.acm.org/doi/10.1145/3394486.3403392" \t "_blank" </w:instrText>
      </w:r>
      <w:r>
        <w:fldChar w:fldCharType="separate"/>
      </w:r>
      <w:r>
        <w:rPr>
          <w:rStyle w:val="14"/>
        </w:rPr>
        <w:t>https://dl.acm.org/doi/10.1145/3394486.3403392</w:t>
      </w:r>
      <w:r>
        <w:rPr>
          <w:rStyle w:val="14"/>
        </w:rPr>
        <w:fldChar w:fldCharType="end"/>
      </w:r>
    </w:p>
    <w:p w14:paraId="0BC84220">
      <w:pPr>
        <w:ind w:left="284" w:hanging="284"/>
        <w:jc w:val="both"/>
      </w:pPr>
      <w:r>
        <w:t xml:space="preserve">[20] T. Author et al., "TranAD: Deep Transformer Networks for Anomaly Detection in Multivariate Time Series," </w:t>
      </w:r>
      <w:r>
        <w:rPr>
          <w:i/>
          <w:iCs/>
        </w:rPr>
        <w:t>Proceedings of the VLDB Endowment (PVLDB)</w:t>
      </w:r>
      <w:r>
        <w:t xml:space="preserve">, vol. 15, 2022. Available: </w:t>
      </w:r>
      <w:r>
        <w:fldChar w:fldCharType="begin"/>
      </w:r>
      <w:r>
        <w:instrText xml:space="preserve"> HYPERLINK "https://arxiv.org/abs/2201.07284" \t "_blank" </w:instrText>
      </w:r>
      <w:r>
        <w:fldChar w:fldCharType="separate"/>
      </w:r>
      <w:r>
        <w:rPr>
          <w:rStyle w:val="14"/>
        </w:rPr>
        <w:t>https://arxiv.org/abs/2201.07284</w:t>
      </w:r>
      <w:r>
        <w:rPr>
          <w:rStyle w:val="14"/>
        </w:rPr>
        <w:fldChar w:fldCharType="end"/>
      </w:r>
    </w:p>
    <w:p w14:paraId="1C9D7728">
      <w:pPr>
        <w:ind w:left="284" w:hanging="284"/>
        <w:jc w:val="both"/>
      </w:pPr>
      <w:r>
        <w:t xml:space="preserve">[21] M. Author et al., "MD-BiMamba: An aero-engine inter-shaft bearing fault diagnosis method based on Mamba with modal decomposition and bidirectional features fusion strategy," </w:t>
      </w:r>
      <w:r>
        <w:rPr>
          <w:i/>
          <w:iCs/>
        </w:rPr>
        <w:t>Measurement</w:t>
      </w:r>
      <w:r>
        <w:t xml:space="preserve">, 2024. Available: </w:t>
      </w:r>
      <w:r>
        <w:fldChar w:fldCharType="begin"/>
      </w:r>
      <w:r>
        <w:instrText xml:space="preserve"> HYPERLINK "https://www.researchgate.net/publication/384538677_MD-BiMamba_An_aero-engine_inter-shaft_bearing_fault_diagnosis_method_based_on_Mamba_with_modal_decomposition_and_bidirectional_features_fusion_strategy" \t "_blank" </w:instrText>
      </w:r>
      <w:r>
        <w:fldChar w:fldCharType="separate"/>
      </w:r>
      <w:r>
        <w:rPr>
          <w:rStyle w:val="14"/>
        </w:rPr>
        <w:t>https://www.researchgate.net/publication/384538677_MD-BiMamba_An_aero-engine_inter-shaft_bearing_fault_diagnosis_method_based_on_Mamba_with_modal_decomposition_and_bidirectional_features_fusion_strategy</w:t>
      </w:r>
      <w:r>
        <w:rPr>
          <w:rStyle w:val="14"/>
        </w:rPr>
        <w:fldChar w:fldCharType="end"/>
      </w:r>
    </w:p>
    <w:p w14:paraId="5FF0EF7A">
      <w:pPr>
        <w:ind w:left="284" w:hanging="284"/>
        <w:jc w:val="both"/>
      </w:pPr>
      <w:r>
        <w:t xml:space="preserve">[22] D. Author et al., "DMamba: Decomposition-enhanced Mamba for Long-Term Time Series Forecasting," </w:t>
      </w:r>
      <w:r>
        <w:rPr>
          <w:i/>
          <w:iCs/>
        </w:rPr>
        <w:t>arXiv Preprint</w:t>
      </w:r>
      <w:r>
        <w:t xml:space="preserve">, arXiv:2602.09081, 2026. Available: </w:t>
      </w:r>
      <w:r>
        <w:fldChar w:fldCharType="begin"/>
      </w:r>
      <w:r>
        <w:instrText xml:space="preserve"> HYPERLINK "https://arxiv.org/abs/2602.09081" \t "_blank" </w:instrText>
      </w:r>
      <w:r>
        <w:fldChar w:fldCharType="separate"/>
      </w:r>
      <w:r>
        <w:rPr>
          <w:rStyle w:val="14"/>
        </w:rPr>
        <w:t>https://arxiv.org/abs/2602.09081</w:t>
      </w:r>
      <w:r>
        <w:rPr>
          <w:rStyle w:val="14"/>
        </w:rPr>
        <w:fldChar w:fldCharType="end"/>
      </w:r>
    </w:p>
    <w:p w14:paraId="73156BD0"/>
    <w:sectPr>
      <w:type w:val="continuous"/>
      <w:pgSz w:w="10319" w:h="14572"/>
      <w:pgMar w:top="1134" w:right="1134" w:bottom="1134" w:left="1134" w:header="397" w:footer="397" w:gutter="397"/>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MS Mincho">
    <w:altName w:val="Yu Gothic"/>
    <w:panose1 w:val="02020609040205080304"/>
    <w:charset w:val="80"/>
    <w:family w:val="modern"/>
    <w:pitch w:val="default"/>
    <w:sig w:usb0="00000000" w:usb1="00000000" w:usb2="08000012" w:usb3="00000000" w:csb0="0002009F" w:csb1="00000000"/>
  </w:font>
  <w:font w:name="Yu Gothic">
    <w:panose1 w:val="020B0400000000000000"/>
    <w:charset w:val="80"/>
    <w:family w:val="auto"/>
    <w:pitch w:val="default"/>
    <w:sig w:usb0="E00002FF" w:usb1="2AC7FDFF" w:usb2="00000016" w:usb3="00000000" w:csb0="2002009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0C899">
    <w:pPr>
      <w:pStyle w:val="12"/>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A3F6B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a6mK4BoCAABUBAAADgAA&#10;AAAAAAABACAAAAAfAQAAZHJzL2Uyb0RvYy54bWxQSwUGAAAAAAYABgBZAQAAqwUAAAAA&#10;">
              <v:fill on="f" focussize="0,0"/>
              <v:stroke on="f" weight="0.5pt"/>
              <v:imagedata o:title=""/>
              <o:lock v:ext="edit" aspectratio="f"/>
              <v:textbox inset="0mm,0mm,0mm,0mm" style="mso-fit-shape-to-text:t;">
                <w:txbxContent>
                  <w:p w14:paraId="6DA3F6B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52A787B"/>
    <w:multiLevelType w:val="multilevel"/>
    <w:tmpl w:val="252A78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6FE1FCF"/>
    <w:multiLevelType w:val="multilevel"/>
    <w:tmpl w:val="26FE1FCF"/>
    <w:lvl w:ilvl="0" w:tentative="0">
      <w:start w:val="1"/>
      <w:numFmt w:val="decimal"/>
      <w:pStyle w:val="30"/>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2">
    <w:nsid w:val="37660336"/>
    <w:multiLevelType w:val="multilevel"/>
    <w:tmpl w:val="37660336"/>
    <w:lvl w:ilvl="0" w:tentative="0">
      <w:start w:val="1"/>
      <w:numFmt w:val="bullet"/>
      <w:pStyle w:val="27"/>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3">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72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4">
    <w:nsid w:val="52CA544A"/>
    <w:multiLevelType w:val="singleLevel"/>
    <w:tmpl w:val="52CA544A"/>
    <w:lvl w:ilvl="0" w:tentative="0">
      <w:start w:val="1"/>
      <w:numFmt w:val="decimal"/>
      <w:pStyle w:val="3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3242BE8"/>
    <w:multiLevelType w:val="multilevel"/>
    <w:tmpl w:val="63242BE8"/>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C402C58"/>
    <w:multiLevelType w:val="multilevel"/>
    <w:tmpl w:val="6C402C58"/>
    <w:lvl w:ilvl="0" w:tentative="0">
      <w:start w:val="1"/>
      <w:numFmt w:val="decimal"/>
      <w:pStyle w:val="29"/>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7">
    <w:nsid w:val="6CD32DA8"/>
    <w:multiLevelType w:val="singleLevel"/>
    <w:tmpl w:val="6CD32DA8"/>
    <w:lvl w:ilvl="0" w:tentative="0">
      <w:start w:val="1"/>
      <w:numFmt w:val="upperRoman"/>
      <w:pStyle w:val="40"/>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8">
    <w:nsid w:val="7CD255F0"/>
    <w:multiLevelType w:val="multilevel"/>
    <w:tmpl w:val="7CD255F0"/>
    <w:lvl w:ilvl="0" w:tentative="0">
      <w:start w:val="1"/>
      <w:numFmt w:val="lowerLetter"/>
      <w:pStyle w:val="39"/>
      <w:lvlText w:val="%1."/>
      <w:lvlJc w:val="right"/>
      <w:pPr>
        <w:ind w:left="749"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69" w:hanging="360"/>
      </w:pPr>
    </w:lvl>
    <w:lvl w:ilvl="2" w:tentative="0">
      <w:start w:val="1"/>
      <w:numFmt w:val="lowerRoman"/>
      <w:lvlText w:val="%3."/>
      <w:lvlJc w:val="right"/>
      <w:pPr>
        <w:ind w:left="2189" w:hanging="180"/>
      </w:pPr>
    </w:lvl>
    <w:lvl w:ilvl="3" w:tentative="0">
      <w:start w:val="1"/>
      <w:numFmt w:val="decimal"/>
      <w:lvlText w:val="%4."/>
      <w:lvlJc w:val="left"/>
      <w:pPr>
        <w:ind w:left="2909" w:hanging="360"/>
      </w:pPr>
    </w:lvl>
    <w:lvl w:ilvl="4" w:tentative="0">
      <w:start w:val="1"/>
      <w:numFmt w:val="lowerLetter"/>
      <w:lvlText w:val="%5."/>
      <w:lvlJc w:val="left"/>
      <w:pPr>
        <w:ind w:left="3629" w:hanging="360"/>
      </w:pPr>
    </w:lvl>
    <w:lvl w:ilvl="5" w:tentative="0">
      <w:start w:val="1"/>
      <w:numFmt w:val="lowerRoman"/>
      <w:lvlText w:val="%6."/>
      <w:lvlJc w:val="right"/>
      <w:pPr>
        <w:ind w:left="4349" w:hanging="180"/>
      </w:pPr>
    </w:lvl>
    <w:lvl w:ilvl="6" w:tentative="0">
      <w:start w:val="1"/>
      <w:numFmt w:val="decimal"/>
      <w:lvlText w:val="%7."/>
      <w:lvlJc w:val="left"/>
      <w:pPr>
        <w:ind w:left="5069" w:hanging="360"/>
      </w:pPr>
    </w:lvl>
    <w:lvl w:ilvl="7" w:tentative="0">
      <w:start w:val="1"/>
      <w:numFmt w:val="lowerLetter"/>
      <w:lvlText w:val="%8."/>
      <w:lvlJc w:val="left"/>
      <w:pPr>
        <w:ind w:left="5789" w:hanging="360"/>
      </w:pPr>
    </w:lvl>
    <w:lvl w:ilvl="8" w:tentative="0">
      <w:start w:val="1"/>
      <w:numFmt w:val="lowerRoman"/>
      <w:lvlText w:val="%9."/>
      <w:lvlJc w:val="right"/>
      <w:pPr>
        <w:ind w:left="6509" w:hanging="180"/>
      </w:pPr>
    </w:lvl>
  </w:abstractNum>
  <w:abstractNum w:abstractNumId="9">
    <w:nsid w:val="7F233361"/>
    <w:multiLevelType w:val="multilevel"/>
    <w:tmpl w:val="7F23336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2"/>
  </w:num>
  <w:num w:numId="3">
    <w:abstractNumId w:val="6"/>
  </w:num>
  <w:num w:numId="4">
    <w:abstractNumId w:val="1"/>
  </w:num>
  <w:num w:numId="5">
    <w:abstractNumId w:val="4"/>
  </w:num>
  <w:num w:numId="6">
    <w:abstractNumId w:val="8"/>
  </w:num>
  <w:num w:numId="7">
    <w:abstractNumId w:val="7"/>
  </w:num>
  <w:num w:numId="8">
    <w:abstractNumId w:val="0"/>
  </w:num>
  <w:num w:numId="9">
    <w:abstractNumId w:val="5"/>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20"/>
  <w:doNotHyphenateCaps/>
  <w:noPunctuationKerning w:val="1"/>
  <w:characterSpacingControl w:val="doNotCompress"/>
  <w:doNotValidateAgainstSchema/>
  <w:doNotDemarcateInvalidXml/>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9A6"/>
    <w:rsid w:val="0004390D"/>
    <w:rsid w:val="00075F1D"/>
    <w:rsid w:val="000B4641"/>
    <w:rsid w:val="000F56A0"/>
    <w:rsid w:val="0010711E"/>
    <w:rsid w:val="00112362"/>
    <w:rsid w:val="00127EDD"/>
    <w:rsid w:val="0013576F"/>
    <w:rsid w:val="00170645"/>
    <w:rsid w:val="0018129E"/>
    <w:rsid w:val="00182C6C"/>
    <w:rsid w:val="001B3053"/>
    <w:rsid w:val="001C3EFC"/>
    <w:rsid w:val="001C6E63"/>
    <w:rsid w:val="001F7C48"/>
    <w:rsid w:val="00262EC7"/>
    <w:rsid w:val="00276735"/>
    <w:rsid w:val="002864A3"/>
    <w:rsid w:val="002B3B81"/>
    <w:rsid w:val="002B741F"/>
    <w:rsid w:val="002D6A81"/>
    <w:rsid w:val="002E0B45"/>
    <w:rsid w:val="002F6CEF"/>
    <w:rsid w:val="00304141"/>
    <w:rsid w:val="003354AB"/>
    <w:rsid w:val="003523EF"/>
    <w:rsid w:val="003861EF"/>
    <w:rsid w:val="003971C3"/>
    <w:rsid w:val="003A47B5"/>
    <w:rsid w:val="003A59A6"/>
    <w:rsid w:val="003B6AA5"/>
    <w:rsid w:val="004059FE"/>
    <w:rsid w:val="004445B3"/>
    <w:rsid w:val="00444B44"/>
    <w:rsid w:val="004A0B24"/>
    <w:rsid w:val="00513FF4"/>
    <w:rsid w:val="0056776D"/>
    <w:rsid w:val="00574087"/>
    <w:rsid w:val="005B520E"/>
    <w:rsid w:val="005B535B"/>
    <w:rsid w:val="005E5EED"/>
    <w:rsid w:val="006108A4"/>
    <w:rsid w:val="00617D1B"/>
    <w:rsid w:val="00620BEC"/>
    <w:rsid w:val="00623854"/>
    <w:rsid w:val="00686679"/>
    <w:rsid w:val="00695678"/>
    <w:rsid w:val="006B354F"/>
    <w:rsid w:val="006B6ED0"/>
    <w:rsid w:val="006C4648"/>
    <w:rsid w:val="007005DA"/>
    <w:rsid w:val="0072064C"/>
    <w:rsid w:val="00742F09"/>
    <w:rsid w:val="007442B3"/>
    <w:rsid w:val="0075323E"/>
    <w:rsid w:val="00753F7B"/>
    <w:rsid w:val="0078398E"/>
    <w:rsid w:val="00787C5A"/>
    <w:rsid w:val="007919DE"/>
    <w:rsid w:val="00797614"/>
    <w:rsid w:val="007A2767"/>
    <w:rsid w:val="007B7F32"/>
    <w:rsid w:val="007C0308"/>
    <w:rsid w:val="007C59B5"/>
    <w:rsid w:val="007D09C4"/>
    <w:rsid w:val="007D1619"/>
    <w:rsid w:val="007D4B1F"/>
    <w:rsid w:val="007F5F9D"/>
    <w:rsid w:val="008014D2"/>
    <w:rsid w:val="008054BC"/>
    <w:rsid w:val="00822978"/>
    <w:rsid w:val="00836A7F"/>
    <w:rsid w:val="00870D0C"/>
    <w:rsid w:val="00881288"/>
    <w:rsid w:val="00891076"/>
    <w:rsid w:val="008A55B5"/>
    <w:rsid w:val="008A75C8"/>
    <w:rsid w:val="008B43B3"/>
    <w:rsid w:val="0093233E"/>
    <w:rsid w:val="009546C9"/>
    <w:rsid w:val="00973F93"/>
    <w:rsid w:val="0097508D"/>
    <w:rsid w:val="00981D0F"/>
    <w:rsid w:val="0099244C"/>
    <w:rsid w:val="009963FE"/>
    <w:rsid w:val="009B128E"/>
    <w:rsid w:val="009B422C"/>
    <w:rsid w:val="009C30AC"/>
    <w:rsid w:val="00A20A4D"/>
    <w:rsid w:val="00A26EDA"/>
    <w:rsid w:val="00A510F7"/>
    <w:rsid w:val="00A511B0"/>
    <w:rsid w:val="00A614D3"/>
    <w:rsid w:val="00A72432"/>
    <w:rsid w:val="00A82DD3"/>
    <w:rsid w:val="00A96CC1"/>
    <w:rsid w:val="00AC6519"/>
    <w:rsid w:val="00AE4B84"/>
    <w:rsid w:val="00AE71D1"/>
    <w:rsid w:val="00AF2C7E"/>
    <w:rsid w:val="00B55CE3"/>
    <w:rsid w:val="00B7458D"/>
    <w:rsid w:val="00BB4D4D"/>
    <w:rsid w:val="00BD1DA7"/>
    <w:rsid w:val="00BD30B1"/>
    <w:rsid w:val="00C20C07"/>
    <w:rsid w:val="00C440B2"/>
    <w:rsid w:val="00C52D9F"/>
    <w:rsid w:val="00C70524"/>
    <w:rsid w:val="00C72B36"/>
    <w:rsid w:val="00CA4F68"/>
    <w:rsid w:val="00CB1404"/>
    <w:rsid w:val="00CB66E6"/>
    <w:rsid w:val="00CD4757"/>
    <w:rsid w:val="00CE4876"/>
    <w:rsid w:val="00D134F6"/>
    <w:rsid w:val="00D24CB2"/>
    <w:rsid w:val="00D745C2"/>
    <w:rsid w:val="00D84B77"/>
    <w:rsid w:val="00D9156D"/>
    <w:rsid w:val="00DB4343"/>
    <w:rsid w:val="00DB5332"/>
    <w:rsid w:val="00E161EF"/>
    <w:rsid w:val="00E2690C"/>
    <w:rsid w:val="00E3138D"/>
    <w:rsid w:val="00E37518"/>
    <w:rsid w:val="00E84528"/>
    <w:rsid w:val="00E91219"/>
    <w:rsid w:val="00EA506F"/>
    <w:rsid w:val="00EC4EF8"/>
    <w:rsid w:val="00ED0284"/>
    <w:rsid w:val="00ED1FFF"/>
    <w:rsid w:val="00EE4362"/>
    <w:rsid w:val="00EE58E8"/>
    <w:rsid w:val="00EF18D7"/>
    <w:rsid w:val="00EF1E8A"/>
    <w:rsid w:val="00EF3A1A"/>
    <w:rsid w:val="00F109F5"/>
    <w:rsid w:val="00F86267"/>
    <w:rsid w:val="00F95E0B"/>
    <w:rsid w:val="00FA1240"/>
    <w:rsid w:val="00FC417C"/>
    <w:rsid w:val="050071C0"/>
    <w:rsid w:val="05A45D76"/>
    <w:rsid w:val="0A292ECD"/>
    <w:rsid w:val="0DA03CD4"/>
    <w:rsid w:val="0E132027"/>
    <w:rsid w:val="0F35588B"/>
    <w:rsid w:val="0FCB74C1"/>
    <w:rsid w:val="16853024"/>
    <w:rsid w:val="173F5F0B"/>
    <w:rsid w:val="1C786F9A"/>
    <w:rsid w:val="1DAB46F7"/>
    <w:rsid w:val="21964DBC"/>
    <w:rsid w:val="226E080D"/>
    <w:rsid w:val="23A359F0"/>
    <w:rsid w:val="25376FBC"/>
    <w:rsid w:val="25B15C32"/>
    <w:rsid w:val="26977984"/>
    <w:rsid w:val="28A365DE"/>
    <w:rsid w:val="2EE04266"/>
    <w:rsid w:val="38A955AB"/>
    <w:rsid w:val="3ACB1702"/>
    <w:rsid w:val="3D19282D"/>
    <w:rsid w:val="433E7706"/>
    <w:rsid w:val="46CB0920"/>
    <w:rsid w:val="48C2056E"/>
    <w:rsid w:val="4CED17C1"/>
    <w:rsid w:val="507A7515"/>
    <w:rsid w:val="522332A9"/>
    <w:rsid w:val="579B414A"/>
    <w:rsid w:val="5CB30303"/>
    <w:rsid w:val="6074391A"/>
    <w:rsid w:val="611159D0"/>
    <w:rsid w:val="663A207A"/>
    <w:rsid w:val="66FA653A"/>
    <w:rsid w:val="7144725F"/>
    <w:rsid w:val="71760B03"/>
    <w:rsid w:val="76CD2654"/>
    <w:rsid w:val="7A29287B"/>
    <w:rsid w:val="7BF4198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Times New Roman" w:cs="Times New Roman"/>
      <w:lang w:val="en-US" w:eastAsia="en-US" w:bidi="ar-SA"/>
    </w:rPr>
  </w:style>
  <w:style w:type="paragraph" w:styleId="2">
    <w:name w:val="heading 1"/>
    <w:basedOn w:val="1"/>
    <w:next w:val="1"/>
    <w:link w:val="18"/>
    <w:qFormat/>
    <w:uiPriority w:val="99"/>
    <w:pPr>
      <w:keepNext/>
      <w:keepLines/>
      <w:numPr>
        <w:ilvl w:val="0"/>
        <w:numId w:val="1"/>
      </w:numPr>
      <w:tabs>
        <w:tab w:val="left" w:pos="216"/>
      </w:tabs>
      <w:spacing w:before="160" w:after="80"/>
      <w:ind w:firstLine="0"/>
      <w:outlineLvl w:val="0"/>
    </w:pPr>
    <w:rPr>
      <w:rFonts w:eastAsia="MS Mincho"/>
      <w:smallCaps/>
    </w:rPr>
  </w:style>
  <w:style w:type="paragraph" w:styleId="3">
    <w:name w:val="heading 2"/>
    <w:basedOn w:val="1"/>
    <w:next w:val="1"/>
    <w:link w:val="19"/>
    <w:qFormat/>
    <w:uiPriority w:val="99"/>
    <w:pPr>
      <w:keepNext/>
      <w:keepLines/>
      <w:numPr>
        <w:ilvl w:val="1"/>
        <w:numId w:val="1"/>
      </w:numPr>
      <w:tabs>
        <w:tab w:val="left" w:pos="288"/>
        <w:tab w:val="clear" w:pos="360"/>
      </w:tabs>
      <w:spacing w:before="120" w:after="60"/>
      <w:jc w:val="left"/>
      <w:outlineLvl w:val="1"/>
    </w:pPr>
    <w:rPr>
      <w:rFonts w:eastAsia="MS Mincho"/>
      <w:i/>
      <w:iCs/>
    </w:rPr>
  </w:style>
  <w:style w:type="paragraph" w:styleId="4">
    <w:name w:val="heading 3"/>
    <w:basedOn w:val="1"/>
    <w:next w:val="1"/>
    <w:link w:val="20"/>
    <w:qFormat/>
    <w:uiPriority w:val="99"/>
    <w:pPr>
      <w:numPr>
        <w:ilvl w:val="2"/>
        <w:numId w:val="1"/>
      </w:numPr>
      <w:spacing w:line="240" w:lineRule="exact"/>
      <w:ind w:firstLine="288"/>
      <w:jc w:val="both"/>
      <w:outlineLvl w:val="2"/>
    </w:pPr>
    <w:rPr>
      <w:rFonts w:eastAsia="MS Mincho"/>
      <w:i/>
      <w:iCs/>
    </w:rPr>
  </w:style>
  <w:style w:type="paragraph" w:styleId="5">
    <w:name w:val="heading 4"/>
    <w:basedOn w:val="1"/>
    <w:next w:val="1"/>
    <w:link w:val="21"/>
    <w:qFormat/>
    <w:uiPriority w:val="99"/>
    <w:pPr>
      <w:numPr>
        <w:ilvl w:val="3"/>
        <w:numId w:val="1"/>
      </w:numPr>
      <w:tabs>
        <w:tab w:val="left" w:pos="821"/>
      </w:tabs>
      <w:spacing w:before="40" w:after="40"/>
      <w:ind w:firstLine="504"/>
      <w:jc w:val="both"/>
      <w:outlineLvl w:val="3"/>
    </w:pPr>
    <w:rPr>
      <w:rFonts w:eastAsia="MS Mincho"/>
      <w:i/>
      <w:iCs/>
    </w:rPr>
  </w:style>
  <w:style w:type="paragraph" w:styleId="6">
    <w:name w:val="heading 5"/>
    <w:basedOn w:val="1"/>
    <w:next w:val="1"/>
    <w:link w:val="22"/>
    <w:qFormat/>
    <w:uiPriority w:val="99"/>
    <w:pPr>
      <w:tabs>
        <w:tab w:val="left" w:pos="360"/>
      </w:tabs>
      <w:spacing w:before="160" w:after="80"/>
      <w:outlineLvl w:val="4"/>
    </w:pPr>
    <w:rPr>
      <w:smallCaps/>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42"/>
    <w:semiHidden/>
    <w:unhideWhenUsed/>
    <w:qFormat/>
    <w:uiPriority w:val="99"/>
    <w:rPr>
      <w:rFonts w:ascii="Segoe UI" w:hAnsi="Segoe UI" w:cs="Segoe UI"/>
      <w:sz w:val="18"/>
      <w:szCs w:val="18"/>
    </w:rPr>
  </w:style>
  <w:style w:type="paragraph" w:styleId="10">
    <w:name w:val="Body Text"/>
    <w:basedOn w:val="1"/>
    <w:link w:val="26"/>
    <w:qFormat/>
    <w:uiPriority w:val="99"/>
    <w:pPr>
      <w:tabs>
        <w:tab w:val="left" w:pos="288"/>
      </w:tabs>
      <w:spacing w:after="120" w:line="228" w:lineRule="auto"/>
      <w:ind w:firstLine="288"/>
      <w:jc w:val="both"/>
    </w:pPr>
    <w:rPr>
      <w:rFonts w:eastAsia="MS Mincho"/>
      <w:spacing w:val="-1"/>
    </w:rPr>
  </w:style>
  <w:style w:type="paragraph" w:styleId="11">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paragraph" w:styleId="12">
    <w:name w:val="footer"/>
    <w:basedOn w:val="1"/>
    <w:semiHidden/>
    <w:unhideWhenUsed/>
    <w:qFormat/>
    <w:uiPriority w:val="99"/>
    <w:pPr>
      <w:tabs>
        <w:tab w:val="center" w:pos="4153"/>
        <w:tab w:val="right" w:pos="8306"/>
      </w:tabs>
      <w:snapToGrid w:val="0"/>
      <w:jc w:val="left"/>
    </w:pPr>
    <w:rPr>
      <w:sz w:val="18"/>
      <w:szCs w:val="18"/>
    </w:rPr>
  </w:style>
  <w:style w:type="paragraph" w:styleId="13">
    <w:name w:val="header"/>
    <w:basedOn w:val="1"/>
    <w:semiHidden/>
    <w:unhideWhenUsed/>
    <w:qFormat/>
    <w:uiPriority w:val="99"/>
    <w:pPr>
      <w:tabs>
        <w:tab w:val="center" w:pos="4153"/>
        <w:tab w:val="right" w:pos="8306"/>
      </w:tabs>
      <w:snapToGrid w:val="0"/>
    </w:pPr>
    <w:rPr>
      <w:sz w:val="18"/>
      <w:szCs w:val="18"/>
    </w:rPr>
  </w:style>
  <w:style w:type="character" w:styleId="14">
    <w:name w:val="Hyperlink"/>
    <w:basedOn w:val="7"/>
    <w:unhideWhenUsed/>
    <w:qFormat/>
    <w:uiPriority w:val="99"/>
    <w:rPr>
      <w:color w:val="467886" w:themeColor="hyperlink"/>
      <w:u w:val="single"/>
      <w14:textFill>
        <w14:solidFill>
          <w14:schemeClr w14:val="hlink"/>
        </w14:solidFill>
      </w14:textFill>
    </w:rPr>
  </w:style>
  <w:style w:type="paragraph" w:styleId="15">
    <w:name w:val="Normal (Web)"/>
    <w:basedOn w:val="1"/>
    <w:semiHidden/>
    <w:unhideWhenUsed/>
    <w:qFormat/>
    <w:uiPriority w:val="99"/>
    <w:rPr>
      <w:sz w:val="24"/>
      <w:szCs w:val="24"/>
    </w:rPr>
  </w:style>
  <w:style w:type="table" w:styleId="16">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43"/>
    <w:qFormat/>
    <w:uiPriority w:val="10"/>
    <w:pPr>
      <w:contextualSpacing/>
    </w:pPr>
    <w:rPr>
      <w:rFonts w:eastAsia="MS Mincho"/>
      <w:b/>
      <w:bCs/>
      <w:i/>
      <w:iCs/>
      <w:spacing w:val="-10"/>
      <w:kern w:val="28"/>
      <w:sz w:val="24"/>
      <w:szCs w:val="24"/>
    </w:rPr>
  </w:style>
  <w:style w:type="character" w:customStyle="1" w:styleId="18">
    <w:name w:val="Heading 1 Char"/>
    <w:link w:val="2"/>
    <w:qFormat/>
    <w:uiPriority w:val="99"/>
    <w:rPr>
      <w:rFonts w:ascii="Times New Roman" w:hAnsi="Times New Roman" w:eastAsia="MS Mincho"/>
      <w:smallCaps/>
    </w:rPr>
  </w:style>
  <w:style w:type="character" w:customStyle="1" w:styleId="19">
    <w:name w:val="Heading 2 Char"/>
    <w:link w:val="3"/>
    <w:qFormat/>
    <w:uiPriority w:val="99"/>
    <w:rPr>
      <w:rFonts w:ascii="Times New Roman" w:hAnsi="Times New Roman" w:eastAsia="MS Mincho" w:cs="Times New Roman"/>
      <w:i/>
      <w:iCs/>
      <w:sz w:val="20"/>
      <w:szCs w:val="20"/>
    </w:rPr>
  </w:style>
  <w:style w:type="character" w:customStyle="1" w:styleId="20">
    <w:name w:val="Heading 3 Char"/>
    <w:link w:val="4"/>
    <w:qFormat/>
    <w:uiPriority w:val="99"/>
    <w:rPr>
      <w:rFonts w:ascii="Times New Roman" w:hAnsi="Times New Roman" w:eastAsia="MS Mincho" w:cs="Times New Roman"/>
      <w:i/>
      <w:iCs/>
      <w:sz w:val="20"/>
      <w:szCs w:val="20"/>
    </w:rPr>
  </w:style>
  <w:style w:type="character" w:customStyle="1" w:styleId="21">
    <w:name w:val="Heading 4 Char"/>
    <w:link w:val="5"/>
    <w:qFormat/>
    <w:uiPriority w:val="99"/>
    <w:rPr>
      <w:rFonts w:ascii="Times New Roman" w:hAnsi="Times New Roman" w:eastAsia="MS Mincho" w:cs="Times New Roman"/>
      <w:i/>
      <w:iCs/>
      <w:sz w:val="20"/>
      <w:szCs w:val="20"/>
    </w:rPr>
  </w:style>
  <w:style w:type="character" w:customStyle="1" w:styleId="22">
    <w:name w:val="Heading 5 Char"/>
    <w:link w:val="6"/>
    <w:semiHidden/>
    <w:qFormat/>
    <w:uiPriority w:val="9"/>
    <w:rPr>
      <w:rFonts w:cs="Times New Roman"/>
      <w:b/>
      <w:bCs/>
      <w:i/>
      <w:iCs/>
      <w:sz w:val="26"/>
      <w:szCs w:val="26"/>
    </w:rPr>
  </w:style>
  <w:style w:type="paragraph" w:customStyle="1" w:styleId="23">
    <w:name w:val="Abstract"/>
    <w:qFormat/>
    <w:uiPriority w:val="99"/>
    <w:pPr>
      <w:spacing w:after="200"/>
      <w:ind w:firstLine="274"/>
      <w:jc w:val="both"/>
    </w:pPr>
    <w:rPr>
      <w:rFonts w:ascii="Times New Roman" w:hAnsi="Times New Roman" w:eastAsia="Times New Roman" w:cs="Times New Roman"/>
      <w:b/>
      <w:bCs/>
      <w:sz w:val="18"/>
      <w:szCs w:val="18"/>
      <w:lang w:val="en-US" w:eastAsia="en-US" w:bidi="ar-SA"/>
    </w:rPr>
  </w:style>
  <w:style w:type="paragraph" w:customStyle="1" w:styleId="24">
    <w:name w:val="Affiliation"/>
    <w:qFormat/>
    <w:uiPriority w:val="99"/>
    <w:pPr>
      <w:jc w:val="center"/>
    </w:pPr>
    <w:rPr>
      <w:rFonts w:ascii="Times New Roman" w:hAnsi="Times New Roman" w:eastAsia="Times New Roman" w:cs="Times New Roman"/>
      <w:lang w:val="en-US" w:eastAsia="en-US" w:bidi="ar-SA"/>
    </w:rPr>
  </w:style>
  <w:style w:type="paragraph" w:customStyle="1" w:styleId="25">
    <w:name w:val="Author"/>
    <w:qFormat/>
    <w:uiPriority w:val="99"/>
    <w:pPr>
      <w:spacing w:before="360" w:after="40"/>
      <w:jc w:val="center"/>
    </w:pPr>
    <w:rPr>
      <w:rFonts w:ascii="Times New Roman" w:hAnsi="Times New Roman" w:eastAsia="Times New Roman" w:cs="Times New Roman"/>
      <w:sz w:val="22"/>
      <w:szCs w:val="22"/>
      <w:lang w:val="en-US" w:eastAsia="en-US" w:bidi="ar-SA"/>
    </w:rPr>
  </w:style>
  <w:style w:type="character" w:customStyle="1" w:styleId="26">
    <w:name w:val="Body Text Char"/>
    <w:link w:val="10"/>
    <w:qFormat/>
    <w:uiPriority w:val="99"/>
    <w:rPr>
      <w:rFonts w:ascii="Times New Roman" w:hAnsi="Times New Roman" w:eastAsia="MS Mincho" w:cs="Times New Roman"/>
      <w:sz w:val="20"/>
      <w:szCs w:val="20"/>
    </w:rPr>
  </w:style>
  <w:style w:type="paragraph" w:customStyle="1" w:styleId="27">
    <w:name w:val="bullet list"/>
    <w:basedOn w:val="10"/>
    <w:qFormat/>
    <w:uiPriority w:val="0"/>
    <w:pPr>
      <w:numPr>
        <w:ilvl w:val="0"/>
        <w:numId w:val="2"/>
      </w:numPr>
      <w:tabs>
        <w:tab w:val="clear" w:pos="648"/>
      </w:tabs>
      <w:ind w:left="576" w:hanging="288"/>
    </w:pPr>
  </w:style>
  <w:style w:type="paragraph" w:customStyle="1" w:styleId="28">
    <w:name w:val="equation"/>
    <w:basedOn w:val="1"/>
    <w:qFormat/>
    <w:uiPriority w:val="99"/>
    <w:pPr>
      <w:tabs>
        <w:tab w:val="center" w:pos="2520"/>
        <w:tab w:val="right" w:pos="5040"/>
      </w:tabs>
      <w:spacing w:before="240" w:after="240" w:line="216" w:lineRule="auto"/>
    </w:pPr>
    <w:rPr>
      <w:rFonts w:ascii="Symbol" w:hAnsi="Symbol" w:cs="Symbol"/>
    </w:rPr>
  </w:style>
  <w:style w:type="paragraph" w:customStyle="1" w:styleId="29">
    <w:name w:val="figure caption"/>
    <w:qFormat/>
    <w:uiPriority w:val="0"/>
    <w:pPr>
      <w:numPr>
        <w:ilvl w:val="0"/>
        <w:numId w:val="3"/>
      </w:numPr>
      <w:tabs>
        <w:tab w:val="left" w:pos="533"/>
      </w:tabs>
      <w:spacing w:before="80" w:after="200"/>
      <w:ind w:left="0" w:firstLine="0"/>
      <w:jc w:val="both"/>
    </w:pPr>
    <w:rPr>
      <w:rFonts w:ascii="Times New Roman" w:hAnsi="Times New Roman" w:eastAsia="Times New Roman" w:cs="Times New Roman"/>
      <w:sz w:val="16"/>
      <w:szCs w:val="16"/>
      <w:lang w:val="en-US" w:eastAsia="en-US" w:bidi="ar-SA"/>
    </w:rPr>
  </w:style>
  <w:style w:type="paragraph" w:customStyle="1" w:styleId="30">
    <w:name w:val="footnote"/>
    <w:qFormat/>
    <w:uiPriority w:val="99"/>
    <w:pPr>
      <w:framePr w:hSpace="187" w:vSpace="187" w:wrap="notBeside" w:vAnchor="text" w:hAnchor="page" w:x="6121" w:y="577"/>
      <w:numPr>
        <w:ilvl w:val="0"/>
        <w:numId w:val="4"/>
      </w:numPr>
      <w:spacing w:after="40"/>
    </w:pPr>
    <w:rPr>
      <w:rFonts w:ascii="Times New Roman" w:hAnsi="Times New Roman" w:eastAsia="Times New Roman" w:cs="Times New Roman"/>
      <w:sz w:val="16"/>
      <w:szCs w:val="16"/>
      <w:lang w:val="en-US" w:eastAsia="en-US" w:bidi="ar-SA"/>
    </w:rPr>
  </w:style>
  <w:style w:type="paragraph" w:customStyle="1" w:styleId="31">
    <w:name w:val="key words"/>
    <w:qFormat/>
    <w:uiPriority w:val="99"/>
    <w:pPr>
      <w:spacing w:after="120"/>
      <w:ind w:firstLine="274"/>
      <w:jc w:val="both"/>
    </w:pPr>
    <w:rPr>
      <w:rFonts w:ascii="Times New Roman" w:hAnsi="Times New Roman" w:eastAsia="Times New Roman" w:cs="Times New Roman"/>
      <w:b/>
      <w:bCs/>
      <w:i/>
      <w:iCs/>
      <w:sz w:val="18"/>
      <w:szCs w:val="18"/>
      <w:lang w:val="en-US" w:eastAsia="en-US" w:bidi="ar-SA"/>
    </w:rPr>
  </w:style>
  <w:style w:type="paragraph" w:customStyle="1" w:styleId="32">
    <w:name w:val="paper subtitle"/>
    <w:qFormat/>
    <w:uiPriority w:val="99"/>
    <w:pPr>
      <w:spacing w:after="120"/>
      <w:jc w:val="center"/>
    </w:pPr>
    <w:rPr>
      <w:rFonts w:ascii="Times New Roman" w:hAnsi="Times New Roman" w:eastAsia="Times New Roman" w:cs="Times New Roman"/>
      <w:bCs/>
      <w:sz w:val="28"/>
      <w:szCs w:val="28"/>
      <w:lang w:val="en-US" w:eastAsia="en-US" w:bidi="ar-SA"/>
    </w:rPr>
  </w:style>
  <w:style w:type="paragraph" w:customStyle="1" w:styleId="33">
    <w:name w:val="paper title"/>
    <w:qFormat/>
    <w:uiPriority w:val="99"/>
    <w:pPr>
      <w:spacing w:after="120"/>
      <w:jc w:val="center"/>
    </w:pPr>
    <w:rPr>
      <w:rFonts w:ascii="Times New Roman" w:hAnsi="Times New Roman" w:eastAsia="Times New Roman" w:cs="Times New Roman"/>
      <w:bCs/>
      <w:sz w:val="48"/>
      <w:szCs w:val="48"/>
      <w:lang w:val="en-US" w:eastAsia="en-US" w:bidi="ar-SA"/>
    </w:rPr>
  </w:style>
  <w:style w:type="paragraph" w:customStyle="1" w:styleId="34">
    <w:name w:val="references"/>
    <w:qFormat/>
    <w:uiPriority w:val="99"/>
    <w:pPr>
      <w:numPr>
        <w:ilvl w:val="0"/>
        <w:numId w:val="5"/>
      </w:numPr>
      <w:spacing w:after="50" w:line="180" w:lineRule="exact"/>
      <w:jc w:val="both"/>
    </w:pPr>
    <w:rPr>
      <w:rFonts w:ascii="Times New Roman" w:hAnsi="Times New Roman" w:eastAsia="Times New Roman" w:cs="Times New Roman"/>
      <w:sz w:val="16"/>
      <w:szCs w:val="16"/>
      <w:lang w:val="en-US" w:eastAsia="en-US" w:bidi="ar-SA"/>
    </w:rPr>
  </w:style>
  <w:style w:type="paragraph" w:customStyle="1" w:styleId="35">
    <w:name w:val="sponsors"/>
    <w:qFormat/>
    <w:uiPriority w:val="0"/>
    <w:pPr>
      <w:framePr w:wrap="auto" w:vAnchor="margin" w:hAnchor="text" w:x="615" w:y="2239"/>
      <w:pBdr>
        <w:top w:val="single" w:color="auto" w:sz="4" w:space="2"/>
      </w:pBdr>
      <w:ind w:firstLine="288"/>
    </w:pPr>
    <w:rPr>
      <w:rFonts w:ascii="Times New Roman" w:hAnsi="Times New Roman" w:eastAsia="Times New Roman" w:cs="Times New Roman"/>
      <w:sz w:val="16"/>
      <w:szCs w:val="16"/>
      <w:lang w:val="en-US" w:eastAsia="en-US" w:bidi="ar-SA"/>
    </w:rPr>
  </w:style>
  <w:style w:type="paragraph" w:customStyle="1" w:styleId="36">
    <w:name w:val="table col head"/>
    <w:basedOn w:val="1"/>
    <w:qFormat/>
    <w:uiPriority w:val="99"/>
    <w:rPr>
      <w:b/>
      <w:bCs/>
      <w:sz w:val="16"/>
      <w:szCs w:val="16"/>
    </w:rPr>
  </w:style>
  <w:style w:type="paragraph" w:customStyle="1" w:styleId="37">
    <w:name w:val="table col subhead"/>
    <w:basedOn w:val="36"/>
    <w:qFormat/>
    <w:uiPriority w:val="99"/>
    <w:rPr>
      <w:i/>
      <w:iCs/>
      <w:sz w:val="15"/>
      <w:szCs w:val="15"/>
    </w:rPr>
  </w:style>
  <w:style w:type="paragraph" w:customStyle="1" w:styleId="38">
    <w:name w:val="table copy"/>
    <w:qFormat/>
    <w:uiPriority w:val="99"/>
    <w:pPr>
      <w:jc w:val="both"/>
    </w:pPr>
    <w:rPr>
      <w:rFonts w:ascii="Times New Roman" w:hAnsi="Times New Roman" w:eastAsia="Times New Roman" w:cs="Times New Roman"/>
      <w:sz w:val="16"/>
      <w:szCs w:val="16"/>
      <w:lang w:val="en-US" w:eastAsia="en-US" w:bidi="ar-SA"/>
    </w:rPr>
  </w:style>
  <w:style w:type="paragraph" w:customStyle="1" w:styleId="39">
    <w:name w:val="table footnote"/>
    <w:qFormat/>
    <w:uiPriority w:val="99"/>
    <w:pPr>
      <w:numPr>
        <w:ilvl w:val="0"/>
        <w:numId w:val="6"/>
      </w:numPr>
      <w:tabs>
        <w:tab w:val="left" w:pos="29"/>
      </w:tabs>
      <w:spacing w:before="60" w:after="30"/>
      <w:ind w:left="360"/>
      <w:jc w:val="right"/>
    </w:pPr>
    <w:rPr>
      <w:rFonts w:ascii="Times New Roman" w:hAnsi="Times New Roman" w:eastAsia="MS Mincho" w:cs="Times New Roman"/>
      <w:sz w:val="12"/>
      <w:szCs w:val="12"/>
      <w:lang w:val="en-US" w:eastAsia="en-US" w:bidi="ar-SA"/>
    </w:rPr>
  </w:style>
  <w:style w:type="paragraph" w:customStyle="1" w:styleId="40">
    <w:name w:val="table head"/>
    <w:qFormat/>
    <w:uiPriority w:val="99"/>
    <w:pPr>
      <w:numPr>
        <w:ilvl w:val="0"/>
        <w:numId w:val="7"/>
      </w:numPr>
      <w:spacing w:before="240" w:after="120" w:line="216" w:lineRule="auto"/>
      <w:jc w:val="center"/>
    </w:pPr>
    <w:rPr>
      <w:rFonts w:ascii="Times New Roman" w:hAnsi="Times New Roman" w:eastAsia="Times New Roman" w:cs="Times New Roman"/>
      <w:smallCaps/>
      <w:sz w:val="16"/>
      <w:szCs w:val="16"/>
      <w:lang w:val="en-US" w:eastAsia="en-US" w:bidi="ar-SA"/>
    </w:rPr>
  </w:style>
  <w:style w:type="paragraph" w:styleId="41">
    <w:name w:val="No Spacing"/>
    <w:qFormat/>
    <w:uiPriority w:val="1"/>
    <w:pPr>
      <w:jc w:val="center"/>
    </w:pPr>
    <w:rPr>
      <w:rFonts w:ascii="Times New Roman" w:hAnsi="Times New Roman" w:eastAsia="Times New Roman" w:cs="Times New Roman"/>
      <w:lang w:val="en-US" w:eastAsia="en-US" w:bidi="ar-SA"/>
    </w:rPr>
  </w:style>
  <w:style w:type="character" w:customStyle="1" w:styleId="42">
    <w:name w:val="Balloon Text Char"/>
    <w:link w:val="9"/>
    <w:semiHidden/>
    <w:qFormat/>
    <w:uiPriority w:val="99"/>
    <w:rPr>
      <w:rFonts w:ascii="Segoe UI" w:hAnsi="Segoe UI" w:cs="Segoe UI"/>
      <w:sz w:val="18"/>
      <w:szCs w:val="18"/>
    </w:rPr>
  </w:style>
  <w:style w:type="character" w:customStyle="1" w:styleId="43">
    <w:name w:val="Title Char"/>
    <w:basedOn w:val="7"/>
    <w:link w:val="17"/>
    <w:qFormat/>
    <w:uiPriority w:val="10"/>
    <w:rPr>
      <w:rFonts w:ascii="Times New Roman" w:hAnsi="Times New Roman" w:eastAsia="MS Mincho"/>
      <w:b/>
      <w:bCs/>
      <w:i/>
      <w:iCs/>
      <w:spacing w:val="-10"/>
      <w:kern w:val="28"/>
      <w:sz w:val="24"/>
      <w:szCs w:val="24"/>
    </w:rPr>
  </w:style>
  <w:style w:type="character" w:customStyle="1" w:styleId="44">
    <w:name w:val="Unresolved Mention1"/>
    <w:basedOn w:val="7"/>
    <w:semiHidden/>
    <w:unhideWhenUsed/>
    <w:qFormat/>
    <w:uiPriority w:val="99"/>
    <w:rPr>
      <w:color w:val="605E5C"/>
      <w:shd w:val="clear" w:color="auto" w:fill="E1DFDD"/>
    </w:rPr>
  </w:style>
  <w:style w:type="paragraph" w:styleId="45">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5531A5-283E-4D21-B305-BB0DC09C0DEE}">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15</Pages>
  <Words>1889</Words>
  <Characters>13109</Characters>
  <Lines>317</Lines>
  <Paragraphs>89</Paragraphs>
  <TotalTime>1</TotalTime>
  <ScaleCrop>false</ScaleCrop>
  <LinksUpToDate>false</LinksUpToDate>
  <CharactersWithSpaces>14887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2026-05-23T10:00:00Z</dcterms:created>
  <dc:creator>IEEE</dc:creator>
  <cp:lastModifiedBy>Thuận Trương Bỉnh</cp:lastModifiedBy>
  <cp:lastPrinted>2017-11-16T01:09:00Z</cp:lastPrinted>
  <dcterms:modified xsi:type="dcterms:W3CDTF">2026-06-02T14:48:14Z</dcterms:modified>
  <dc:title>Paper Title (use style: paper title)</dc:title>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eyJoZGlkIjoiZmMxMjEwZTY0ZTI0NTA3NTQ2M2UwMDYwMmFhN2U1NGQiLCJ1c2VySWQiOiI4ODEzNDI4MjI3OTQ4In0=</vt:lpwstr>
  </property>
  <property fmtid="{D5CDD505-2E9C-101B-9397-08002B2CF9AE}" pid="3" name="KSOProductBuildVer">
    <vt:lpwstr>1033-12.1.0.26880</vt:lpwstr>
  </property>
  <property fmtid="{D5CDD505-2E9C-101B-9397-08002B2CF9AE}" pid="4" name="ICV">
    <vt:lpwstr>05615E512B2E41659D035017A1361381_12</vt:lpwstr>
  </property>
</Properties>
</file>