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0A3528" w14:textId="77777777" w:rsidR="00BD1DA7" w:rsidRDefault="00000000">
      <w:pPr>
        <w:pStyle w:val="Title"/>
      </w:pPr>
      <w:r>
        <w:t>Hybrid Mamba-CNN Architecture with Physics-Informed Stats Head for Leakage-Free Bearing Anomaly Detection</w:t>
      </w:r>
    </w:p>
    <w:p w14:paraId="62A61180" w14:textId="77777777" w:rsidR="00BD1DA7" w:rsidRDefault="00BD1DA7">
      <w:pPr>
        <w:pStyle w:val="NoSpacing"/>
        <w:tabs>
          <w:tab w:val="left" w:pos="284"/>
        </w:tabs>
        <w:jc w:val="both"/>
        <w:rPr>
          <w:rFonts w:eastAsia="MS Mincho"/>
        </w:rPr>
      </w:pPr>
    </w:p>
    <w:p w14:paraId="17FA50C4" w14:textId="77777777" w:rsidR="00BD1DA7" w:rsidRDefault="00BD1DA7">
      <w:pPr>
        <w:pStyle w:val="NoSpacing"/>
        <w:tabs>
          <w:tab w:val="left" w:pos="284"/>
        </w:tabs>
        <w:jc w:val="both"/>
        <w:rPr>
          <w:rFonts w:eastAsia="MS Mincho"/>
        </w:rPr>
        <w:sectPr w:rsidR="00BD1DA7">
          <w:footerReference w:type="default" r:id="rId9"/>
          <w:pgSz w:w="10319" w:h="14572"/>
          <w:pgMar w:top="1138" w:right="1138" w:bottom="1138" w:left="1138" w:header="397" w:footer="397" w:gutter="397"/>
          <w:cols w:space="720"/>
          <w:docGrid w:linePitch="360"/>
        </w:sectPr>
      </w:pPr>
    </w:p>
    <w:p w14:paraId="78F92CF1" w14:textId="77777777" w:rsidR="00BD1DA7" w:rsidRDefault="00000000">
      <w:pPr>
        <w:pStyle w:val="NoSpacing"/>
        <w:tabs>
          <w:tab w:val="left" w:pos="284"/>
        </w:tabs>
        <w:rPr>
          <w:rFonts w:eastAsia="MS Mincho"/>
        </w:rPr>
      </w:pPr>
      <w:r>
        <w:rPr>
          <w:rFonts w:eastAsia="MS Mincho"/>
        </w:rPr>
        <w:t>Truong Binh Thuan, Ly Hung Lam</w:t>
      </w:r>
    </w:p>
    <w:p w14:paraId="0A3E0D2B" w14:textId="77777777" w:rsidR="00BD1DA7" w:rsidRDefault="00000000">
      <w:pPr>
        <w:pStyle w:val="NoSpacing"/>
        <w:tabs>
          <w:tab w:val="left" w:pos="284"/>
        </w:tabs>
        <w:rPr>
          <w:rFonts w:eastAsia="MS Mincho"/>
        </w:rPr>
      </w:pPr>
      <w:r>
        <w:rPr>
          <w:rFonts w:eastAsia="MS Mincho"/>
        </w:rPr>
        <w:t>Faculty of Information Technology</w:t>
      </w:r>
    </w:p>
    <w:p w14:paraId="098BE897" w14:textId="77777777" w:rsidR="00BD1DA7" w:rsidRDefault="00000000">
      <w:pPr>
        <w:pStyle w:val="NoSpacing"/>
        <w:tabs>
          <w:tab w:val="left" w:pos="284"/>
        </w:tabs>
        <w:rPr>
          <w:rFonts w:eastAsia="MS Mincho"/>
        </w:rPr>
      </w:pPr>
      <w:r>
        <w:rPr>
          <w:rFonts w:eastAsia="MS Mincho"/>
        </w:rPr>
        <w:t>Ton Duc Thang University</w:t>
      </w:r>
    </w:p>
    <w:p w14:paraId="5766A4A6" w14:textId="77777777" w:rsidR="00BD1DA7" w:rsidRDefault="00000000">
      <w:pPr>
        <w:pStyle w:val="NoSpacing"/>
        <w:tabs>
          <w:tab w:val="left" w:pos="284"/>
        </w:tabs>
        <w:rPr>
          <w:rFonts w:eastAsia="MS Mincho"/>
        </w:rPr>
      </w:pPr>
      <w:r>
        <w:rPr>
          <w:rFonts w:eastAsia="MS Mincho"/>
        </w:rPr>
        <w:t>Ho Chi Minh City, Vietnam</w:t>
      </w:r>
    </w:p>
    <w:p w14:paraId="17C74C33" w14:textId="77777777" w:rsidR="00BD1DA7" w:rsidRDefault="00000000">
      <w:pPr>
        <w:pStyle w:val="NoSpacing"/>
        <w:tabs>
          <w:tab w:val="left" w:pos="284"/>
        </w:tabs>
        <w:rPr>
          <w:rFonts w:eastAsia="MS Mincho"/>
        </w:rPr>
      </w:pPr>
      <w:r>
        <w:rPr>
          <w:rFonts w:eastAsia="MS Mincho"/>
        </w:rPr>
        <w:t xml:space="preserve">e-mail: </w:t>
      </w:r>
      <w:hyperlink r:id="rId10" w:history="1">
        <w:r>
          <w:rPr>
            <w:rStyle w:val="Hyperlink"/>
            <w:rFonts w:eastAsia="MS Mincho"/>
          </w:rPr>
          <w:t>sunbv56@gmail.com</w:t>
        </w:r>
      </w:hyperlink>
      <w:r>
        <w:rPr>
          <w:rFonts w:eastAsia="MS Mincho"/>
        </w:rPr>
        <w:t xml:space="preserve">, </w:t>
      </w:r>
      <w:hyperlink r:id="rId11" w:history="1">
        <w:r>
          <w:rPr>
            <w:rStyle w:val="Hyperlink"/>
            <w:rFonts w:eastAsia="MS Mincho"/>
          </w:rPr>
          <w:t>lyhunglam2004@gmail.com</w:t>
        </w:r>
      </w:hyperlink>
      <w:r>
        <w:rPr>
          <w:rFonts w:eastAsia="MS Mincho"/>
        </w:rPr>
        <w:t xml:space="preserve"> </w:t>
      </w:r>
    </w:p>
    <w:p w14:paraId="53C2F67A" w14:textId="77777777" w:rsidR="00BD1DA7" w:rsidRDefault="00000000">
      <w:pPr>
        <w:pStyle w:val="NoSpacing"/>
        <w:tabs>
          <w:tab w:val="left" w:pos="284"/>
        </w:tabs>
        <w:rPr>
          <w:rFonts w:eastAsia="MS Mincho"/>
        </w:rPr>
      </w:pPr>
      <w:bookmarkStart w:id="0" w:name="_Hlk230635922"/>
      <w:r>
        <w:rPr>
          <w:rFonts w:eastAsia="MS Mincho"/>
        </w:rPr>
        <w:t>Truong Long</w:t>
      </w:r>
    </w:p>
    <w:p w14:paraId="797677C4" w14:textId="77777777" w:rsidR="00BD1DA7" w:rsidRDefault="00000000">
      <w:pPr>
        <w:pStyle w:val="NoSpacing"/>
        <w:tabs>
          <w:tab w:val="left" w:pos="284"/>
        </w:tabs>
        <w:rPr>
          <w:rFonts w:eastAsia="MS Mincho"/>
        </w:rPr>
      </w:pPr>
      <w:r>
        <w:rPr>
          <w:rFonts w:eastAsia="MS Mincho"/>
        </w:rPr>
        <w:t>Falcuty of Software of Engineering</w:t>
      </w:r>
    </w:p>
    <w:p w14:paraId="50DD850D" w14:textId="77777777" w:rsidR="00BD1DA7" w:rsidRDefault="00000000">
      <w:pPr>
        <w:pStyle w:val="NoSpacing"/>
        <w:tabs>
          <w:tab w:val="left" w:pos="284"/>
        </w:tabs>
        <w:rPr>
          <w:rFonts w:eastAsia="MS Mincho"/>
        </w:rPr>
      </w:pPr>
      <w:r>
        <w:rPr>
          <w:rFonts w:eastAsia="MS Mincho"/>
        </w:rPr>
        <w:t>FPT University Ho Chi Minh City</w:t>
      </w:r>
    </w:p>
    <w:p w14:paraId="5D461E76" w14:textId="77777777" w:rsidR="00BD1DA7" w:rsidRDefault="00000000">
      <w:pPr>
        <w:pStyle w:val="NoSpacing"/>
        <w:tabs>
          <w:tab w:val="left" w:pos="284"/>
        </w:tabs>
        <w:rPr>
          <w:rFonts w:eastAsia="MS Mincho"/>
        </w:rPr>
      </w:pPr>
      <w:r>
        <w:rPr>
          <w:rFonts w:eastAsia="MS Mincho"/>
        </w:rPr>
        <w:t>Ho Chi Minh City, Vietnam</w:t>
      </w:r>
    </w:p>
    <w:p w14:paraId="660B6D6E" w14:textId="77777777" w:rsidR="00BD1DA7" w:rsidRDefault="00000000">
      <w:pPr>
        <w:pStyle w:val="NoSpacing"/>
        <w:tabs>
          <w:tab w:val="left" w:pos="284"/>
        </w:tabs>
        <w:rPr>
          <w:rFonts w:eastAsia="MS Mincho"/>
        </w:rPr>
        <w:sectPr w:rsidR="00BD1DA7">
          <w:type w:val="continuous"/>
          <w:pgSz w:w="10319" w:h="14572"/>
          <w:pgMar w:top="1134" w:right="1134" w:bottom="1134" w:left="1134" w:header="397" w:footer="397" w:gutter="397"/>
          <w:cols w:num="2" w:space="720"/>
          <w:docGrid w:linePitch="360"/>
        </w:sectPr>
      </w:pPr>
      <w:r>
        <w:rPr>
          <w:rFonts w:eastAsia="MS Mincho"/>
        </w:rPr>
        <w:t>e-mail:</w:t>
      </w:r>
      <w:r>
        <w:t xml:space="preserve"> </w:t>
      </w:r>
      <w:hyperlink r:id="rId12" w:history="1">
        <w:r>
          <w:rPr>
            <w:rStyle w:val="Hyperlink"/>
          </w:rPr>
          <w:t>longt5@fpt.edu.vn</w:t>
        </w:r>
      </w:hyperlink>
      <w:r>
        <w:t xml:space="preserve"> </w:t>
      </w:r>
    </w:p>
    <w:bookmarkEnd w:id="0"/>
    <w:p w14:paraId="5F72099F" w14:textId="77777777" w:rsidR="00BD1DA7" w:rsidRDefault="00000000">
      <w:pPr>
        <w:pStyle w:val="NoSpacing"/>
        <w:tabs>
          <w:tab w:val="left" w:pos="284"/>
        </w:tabs>
        <w:rPr>
          <w:rFonts w:eastAsia="MS Mincho"/>
        </w:rPr>
        <w:sectPr w:rsidR="00BD1DA7">
          <w:type w:val="continuous"/>
          <w:pgSz w:w="10319" w:h="14572"/>
          <w:pgMar w:top="1134" w:right="1134" w:bottom="1134" w:left="1134" w:header="397" w:footer="397" w:gutter="397"/>
          <w:cols w:space="720"/>
          <w:docGrid w:linePitch="360"/>
        </w:sectPr>
      </w:pPr>
      <w:r>
        <w:rPr>
          <w:rFonts w:eastAsia="MS Mincho"/>
        </w:rPr>
        <w:t xml:space="preserve"> </w:t>
      </w:r>
    </w:p>
    <w:p w14:paraId="34E811D9" w14:textId="77777777" w:rsidR="00BD1DA7" w:rsidRDefault="00BD1DA7">
      <w:pPr>
        <w:pStyle w:val="NoSpacing"/>
        <w:tabs>
          <w:tab w:val="left" w:pos="284"/>
        </w:tabs>
        <w:jc w:val="both"/>
        <w:rPr>
          <w:rFonts w:eastAsia="MS Mincho"/>
        </w:rPr>
      </w:pPr>
    </w:p>
    <w:p w14:paraId="460179B0" w14:textId="77777777" w:rsidR="00BD1DA7" w:rsidRDefault="00BD1DA7">
      <w:pPr>
        <w:pStyle w:val="NoSpacing"/>
        <w:tabs>
          <w:tab w:val="left" w:pos="284"/>
        </w:tabs>
        <w:jc w:val="both"/>
        <w:rPr>
          <w:rFonts w:eastAsia="MS Mincho"/>
        </w:rPr>
      </w:pPr>
    </w:p>
    <w:p w14:paraId="41A63632" w14:textId="77777777" w:rsidR="00BD1DA7" w:rsidRDefault="00BD1DA7">
      <w:pPr>
        <w:pStyle w:val="NoSpacing"/>
        <w:tabs>
          <w:tab w:val="left" w:pos="284"/>
        </w:tabs>
        <w:jc w:val="left"/>
        <w:rPr>
          <w:rFonts w:eastAsia="MS Mincho"/>
        </w:rPr>
        <w:sectPr w:rsidR="00BD1DA7">
          <w:type w:val="continuous"/>
          <w:pgSz w:w="10319" w:h="14572"/>
          <w:pgMar w:top="1134" w:right="1134" w:bottom="1134" w:left="1134" w:header="397" w:footer="397" w:gutter="397"/>
          <w:cols w:space="720"/>
          <w:docGrid w:linePitch="360"/>
        </w:sectPr>
      </w:pPr>
    </w:p>
    <w:p w14:paraId="2079ED2A" w14:textId="77777777" w:rsidR="00BD1DA7" w:rsidRDefault="00000000">
      <w:pPr>
        <w:pStyle w:val="NoSpacing"/>
        <w:tabs>
          <w:tab w:val="left" w:pos="284"/>
        </w:tabs>
        <w:jc w:val="both"/>
        <w:rPr>
          <w:rFonts w:eastAsia="MS Mincho"/>
        </w:rPr>
      </w:pPr>
      <w:r>
        <w:rPr>
          <w:rFonts w:eastAsia="MS Mincho"/>
          <w:b/>
          <w:bCs/>
          <w:i/>
          <w:iCs/>
        </w:rPr>
        <w:t>Abstract</w:t>
      </w:r>
      <w:r>
        <w:rPr>
          <w:rFonts w:eastAsia="MS Mincho"/>
          <w:i/>
          <w:iCs/>
        </w:rPr>
        <w:t xml:space="preserve">: </w:t>
      </w:r>
      <w:r>
        <w:t xml:space="preserve">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  </w:t>
      </w:r>
    </w:p>
    <w:p w14:paraId="008C254D" w14:textId="77777777" w:rsidR="00BD1DA7" w:rsidRDefault="00BD1DA7">
      <w:pPr>
        <w:pStyle w:val="NoSpacing"/>
        <w:tabs>
          <w:tab w:val="left" w:pos="284"/>
        </w:tabs>
        <w:jc w:val="both"/>
        <w:rPr>
          <w:rFonts w:eastAsia="MS Mincho"/>
        </w:rPr>
      </w:pPr>
    </w:p>
    <w:p w14:paraId="1B7FA190" w14:textId="77777777" w:rsidR="00BD1DA7" w:rsidRDefault="00BD1DA7">
      <w:pPr>
        <w:pStyle w:val="NoSpacing"/>
        <w:tabs>
          <w:tab w:val="left" w:pos="284"/>
        </w:tabs>
        <w:jc w:val="both"/>
        <w:rPr>
          <w:rFonts w:eastAsia="MS Mincho"/>
        </w:rPr>
        <w:sectPr w:rsidR="00BD1DA7">
          <w:type w:val="continuous"/>
          <w:pgSz w:w="10319" w:h="14572"/>
          <w:pgMar w:top="1134" w:right="1134" w:bottom="1134" w:left="1134" w:header="397" w:footer="397" w:gutter="397"/>
          <w:cols w:space="360"/>
          <w:docGrid w:linePitch="360"/>
        </w:sectPr>
      </w:pPr>
    </w:p>
    <w:p w14:paraId="0A65D9B3" w14:textId="77777777" w:rsidR="00BD1DA7" w:rsidRDefault="00000000">
      <w:pPr>
        <w:pStyle w:val="NoSpacing"/>
        <w:tabs>
          <w:tab w:val="left" w:pos="284"/>
        </w:tabs>
        <w:jc w:val="both"/>
        <w:rPr>
          <w:rFonts w:eastAsia="MS Mincho"/>
        </w:rPr>
      </w:pPr>
      <w:r>
        <w:rPr>
          <w:rFonts w:eastAsia="MS Mincho"/>
          <w:b/>
          <w:bCs/>
          <w:i/>
        </w:rPr>
        <w:t>Keywords</w:t>
      </w:r>
      <w:r>
        <w:rPr>
          <w:rFonts w:eastAsia="MS Mincho"/>
        </w:rPr>
        <w:t>: selective state space models, hybrid Mamba-CNN, series decomposition, bearing anomaly detection, leakage-free calibration, peak over threshold.</w:t>
      </w:r>
    </w:p>
    <w:p w14:paraId="005D527A" w14:textId="77777777" w:rsidR="00BD1DA7" w:rsidRDefault="00BD1DA7">
      <w:pPr>
        <w:pStyle w:val="NoSpacing"/>
        <w:tabs>
          <w:tab w:val="left" w:pos="284"/>
        </w:tabs>
        <w:jc w:val="both"/>
        <w:rPr>
          <w:b/>
        </w:rPr>
      </w:pPr>
    </w:p>
    <w:p w14:paraId="1731D51F" w14:textId="77777777" w:rsidR="00BD1DA7" w:rsidRDefault="00BD1DA7">
      <w:pPr>
        <w:pStyle w:val="NoSpacing"/>
        <w:tabs>
          <w:tab w:val="left" w:pos="284"/>
        </w:tabs>
        <w:jc w:val="both"/>
        <w:rPr>
          <w:b/>
        </w:rPr>
        <w:sectPr w:rsidR="00BD1DA7">
          <w:type w:val="continuous"/>
          <w:pgSz w:w="10319" w:h="14572"/>
          <w:pgMar w:top="1134" w:right="1134" w:bottom="1134" w:left="1134" w:header="397" w:footer="397" w:gutter="397"/>
          <w:cols w:space="360"/>
          <w:docGrid w:linePitch="360"/>
        </w:sectPr>
      </w:pPr>
    </w:p>
    <w:p w14:paraId="6DC9CA55" w14:textId="77777777" w:rsidR="00BD1DA7" w:rsidRDefault="00000000">
      <w:pPr>
        <w:pStyle w:val="Heading1"/>
      </w:pPr>
      <w:r>
        <w:t xml:space="preserve"> Introduction</w:t>
      </w:r>
    </w:p>
    <w:p w14:paraId="71641B0D" w14:textId="77777777" w:rsidR="00BD1DA7" w:rsidRDefault="00000000">
      <w:pPr>
        <w:pStyle w:val="NoSpacing"/>
        <w:tabs>
          <w:tab w:val="left" w:pos="284"/>
        </w:tabs>
        <w:jc w:val="both"/>
      </w:pPr>
      <w:r>
        <w:rPr>
          <w:b/>
          <w:bCs/>
        </w:rPr>
        <w:tab/>
      </w:r>
      <w:r>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286EB963" w14:textId="77777777" w:rsidR="00BD1DA7" w:rsidRDefault="00000000">
      <w:pPr>
        <w:pStyle w:val="NoSpacing"/>
        <w:tabs>
          <w:tab w:val="left" w:pos="284"/>
        </w:tabs>
        <w:jc w:val="both"/>
      </w:pPr>
      <w:r>
        <w:tab/>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3ACAC197" w14:textId="77777777" w:rsidR="00BD1DA7" w:rsidRDefault="00000000">
      <w:pPr>
        <w:pStyle w:val="NoSpacing"/>
        <w:tabs>
          <w:tab w:val="left" w:pos="284"/>
        </w:tabs>
        <w:jc w:val="both"/>
      </w:pPr>
      <w:r>
        <w:tab/>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0F71814B" w14:textId="77777777" w:rsidR="00BD1DA7" w:rsidRDefault="00000000">
      <w:pPr>
        <w:pStyle w:val="NoSpacing"/>
        <w:tabs>
          <w:tab w:val="left" w:pos="284"/>
        </w:tabs>
        <w:jc w:val="both"/>
      </w:pPr>
      <w:r>
        <w:tab/>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1079E002" w14:textId="77777777" w:rsidR="00BD1DA7" w:rsidRDefault="00000000">
      <w:pPr>
        <w:pStyle w:val="NoSpacing"/>
        <w:tabs>
          <w:tab w:val="left" w:pos="284"/>
        </w:tabs>
        <w:jc w:val="both"/>
      </w:pPr>
      <w:r>
        <w:tab/>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2E936453" w14:textId="77777777" w:rsidR="00BD1DA7" w:rsidRDefault="00BD1DA7">
      <w:pPr>
        <w:pStyle w:val="NoSpacing"/>
        <w:tabs>
          <w:tab w:val="left" w:pos="284"/>
        </w:tabs>
        <w:jc w:val="both"/>
      </w:pPr>
    </w:p>
    <w:p w14:paraId="677C9573" w14:textId="77777777" w:rsidR="00BD1DA7" w:rsidRDefault="00000000">
      <w:pPr>
        <w:pStyle w:val="Heading1"/>
      </w:pPr>
      <w:r>
        <w:lastRenderedPageBreak/>
        <w:t>Related Work</w:t>
      </w:r>
    </w:p>
    <w:p w14:paraId="317E39B1" w14:textId="77777777" w:rsidR="00BD1DA7" w:rsidRDefault="00000000">
      <w:pPr>
        <w:pStyle w:val="Heading2"/>
      </w:pPr>
      <w:r>
        <w:t>Deep Sequence Modeling in Prognostics and Health Management (PHM)</w:t>
      </w:r>
    </w:p>
    <w:p w14:paraId="5277F7C4" w14:textId="77777777" w:rsidR="00BD1DA7" w:rsidRDefault="00000000">
      <w:pPr>
        <w:tabs>
          <w:tab w:val="left" w:pos="284"/>
        </w:tabs>
        <w:jc w:val="both"/>
      </w:pPr>
      <w:r>
        <w:tab/>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5F690A72" w14:textId="77777777" w:rsidR="00BD1DA7" w:rsidRDefault="00000000">
      <w:pPr>
        <w:tabs>
          <w:tab w:val="left" w:pos="284"/>
        </w:tabs>
        <w:jc w:val="both"/>
      </w:pPr>
      <w:r>
        <w:tab/>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BC29500" w14:textId="77777777" w:rsidR="00BD1DA7" w:rsidRDefault="00000000">
      <w:pPr>
        <w:tabs>
          <w:tab w:val="left" w:pos="284"/>
        </w:tabs>
        <w:jc w:val="both"/>
      </w:pPr>
      <w:r>
        <w:tab/>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tab/>
      </w:r>
    </w:p>
    <w:p w14:paraId="52DAF5D1" w14:textId="77777777" w:rsidR="00BD1DA7" w:rsidRDefault="00000000">
      <w:pPr>
        <w:pStyle w:val="Heading2"/>
      </w:pPr>
      <w:r>
        <w:t>Transformer-based Time-series Models</w:t>
      </w:r>
    </w:p>
    <w:p w14:paraId="35154471" w14:textId="77777777" w:rsidR="00BD1DA7" w:rsidRDefault="00000000">
      <w:pPr>
        <w:tabs>
          <w:tab w:val="left" w:pos="284"/>
        </w:tabs>
        <w:jc w:val="both"/>
      </w:pPr>
      <w:r>
        <w:tab/>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0BEF8403" w14:textId="77777777" w:rsidR="00BD1DA7" w:rsidRDefault="00000000">
      <w:pPr>
        <w:tabs>
          <w:tab w:val="left" w:pos="284"/>
        </w:tabs>
        <w:jc w:val="both"/>
      </w:pPr>
      <w:r>
        <w:tab/>
        <w:t xml:space="preserve">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w:t>
      </w:r>
      <w:r>
        <w:lastRenderedPageBreak/>
        <w:t>computational and memory complexity of the self-attention mechanism in Transformer-based models still scales quadratically (</w:t>
      </w:r>
      <m:oMath>
        <m: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N</m:t>
                </m:r>
              </m:e>
              <m:sup>
                <m:r>
                  <w:rPr>
                    <w:rFonts w:ascii="Cambria Math" w:hAnsi="Cambria Math"/>
                  </w:rPr>
                  <m:t>2</m:t>
                </m:r>
              </m:sup>
            </m:sSup>
          </m:e>
        </m:d>
      </m:oMath>
      <w:r>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7EA81C36" w14:textId="77777777" w:rsidR="00BD1DA7" w:rsidRDefault="00000000">
      <w:pPr>
        <w:pStyle w:val="Heading2"/>
      </w:pPr>
      <w:r>
        <w:t>Selective State Space Models (Mamba) for PHM</w:t>
      </w:r>
    </w:p>
    <w:p w14:paraId="124F3B81" w14:textId="77777777" w:rsidR="00BD1DA7" w:rsidRDefault="00000000">
      <w:pPr>
        <w:tabs>
          <w:tab w:val="left" w:pos="284"/>
        </w:tabs>
        <w:jc w:val="both"/>
      </w:pPr>
      <w:r>
        <w:tab/>
        <w:t>To break through the computational bottlenecks of Transformers on long sequences, the foundational selective state space model (Mamba) formulated by Gu and Dao [16] established a new milestone, achieving linear-time complexity (</w:t>
      </w:r>
      <m:oMath>
        <m:r>
          <w:rPr>
            <w:rFonts w:ascii="Cambria Math" w:hAnsi="Cambria Math"/>
          </w:rPr>
          <m:t>O</m:t>
        </m:r>
        <m:d>
          <m:dPr>
            <m:ctrlPr>
              <w:rPr>
                <w:rFonts w:ascii="Cambria Math" w:hAnsi="Cambria Math"/>
                <w:i/>
                <w:iCs/>
              </w:rPr>
            </m:ctrlPr>
          </m:dPr>
          <m:e>
            <m:r>
              <w:rPr>
                <w:rFonts w:ascii="Cambria Math" w:hAnsi="Cambria Math"/>
              </w:rPr>
              <m:t>N</m:t>
            </m:r>
          </m:e>
        </m:d>
      </m:oMath>
      <w:r>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04AA8F52" w14:textId="77777777" w:rsidR="00BD1DA7" w:rsidRDefault="00000000">
      <w:pPr>
        <w:tabs>
          <w:tab w:val="left" w:pos="284"/>
        </w:tabs>
        <w:jc w:val="both"/>
      </w:pPr>
      <w:r>
        <w:tab/>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Pr>
          <w:i/>
          <w:iCs/>
        </w:rPr>
        <w:t>IEEE Transactions on Reliability</w:t>
      </w:r>
      <w:r>
        <w:t xml:space="preserve"> demonstrated the feasibility of combining compact deep sequence networks with physical frequency band knowledge for real-time online monitoring.</w:t>
      </w:r>
    </w:p>
    <w:p w14:paraId="1E48ECE5" w14:textId="77777777" w:rsidR="00BD1DA7" w:rsidRDefault="00000000">
      <w:pPr>
        <w:tabs>
          <w:tab w:val="left" w:pos="284"/>
        </w:tabs>
        <w:jc w:val="both"/>
      </w:pPr>
      <w:r>
        <w:tab/>
        <w:t>On the other hand, time-series signal decomposition techniques—such as Seasonal-Trend Decomposition using LOESS (STL) and Singular Spectrum Analysis (SSA)—have been widely established in machinery health monitoring to isolate long-term degradation profiles from complex operational variations. STL effectively extracts monotonic degradation trends representing physical wear while eliminating operational cyclical anomalies. Similarly, SSA facilitates the model-free separation of smooth degradation trajectories from random white noise. Recently, hybrid frameworks combining mode decomposition—such as Variational Mode Decomposition (VMD) or Empirical Mode Decomposition (EMD)—with selective state space models like the MD-BiMamba architecture [21] have demonstrated that decomposing raw vibration signals prior to Mamba encoding significantly mitigates fault masking effects, enabling the selective scan mechanism to focus tightly on fault-induced impulses.</w:t>
      </w:r>
    </w:p>
    <w:p w14:paraId="6EB4D831" w14:textId="77777777" w:rsidR="00BD1DA7" w:rsidRDefault="00000000">
      <w:pPr>
        <w:tabs>
          <w:tab w:val="left" w:pos="284"/>
        </w:tabs>
        <w:jc w:val="both"/>
      </w:pPr>
      <w:r>
        <w:tab/>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2AD6C930" w14:textId="77777777" w:rsidR="00BD1DA7" w:rsidRDefault="00000000">
      <w:pPr>
        <w:pStyle w:val="Heading2"/>
      </w:pPr>
      <w:r>
        <w:lastRenderedPageBreak/>
        <w:t>Dynamic Thresholding and Anomaly Calibration Methods</w:t>
      </w:r>
    </w:p>
    <w:p w14:paraId="0CF0F3CF" w14:textId="77777777" w:rsidR="00BD1DA7" w:rsidRDefault="00000000">
      <w:pPr>
        <w:tabs>
          <w:tab w:val="left" w:pos="284"/>
        </w:tabs>
        <w:jc w:val="both"/>
      </w:pPr>
      <w:r>
        <w:tab/>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12C5F69D" w14:textId="77777777" w:rsidR="00BD1DA7" w:rsidRDefault="00000000">
      <w:pPr>
        <w:tabs>
          <w:tab w:val="left" w:pos="284"/>
        </w:tabs>
        <w:jc w:val="both"/>
      </w:pPr>
      <w:r>
        <w:tab/>
        <w:t>Integrating Extreme Value Theory (EVT) via the Peak Over Threshold (POT) technique directly into the latent spaces of deep learning models, as explored in [17], has demonstrated the capability to establish precise open-set decision boundaries based on the Generalized Pareto 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4F92912B" w14:textId="77777777" w:rsidR="00BD1DA7" w:rsidRDefault="00000000">
      <w:pPr>
        <w:tabs>
          <w:tab w:val="left" w:pos="284"/>
        </w:tabs>
        <w:jc w:val="both"/>
      </w:pPr>
      <w:r>
        <w:tab/>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44D7F7F0" w14:textId="77777777" w:rsidR="00BD1DA7" w:rsidRDefault="00000000">
      <w:pPr>
        <w:pStyle w:val="Heading2"/>
      </w:pPr>
      <w:r>
        <w:t>Literature Comparison Matrix Table</w:t>
      </w:r>
    </w:p>
    <w:p w14:paraId="2C4F7972" w14:textId="7143996B" w:rsidR="00BD1DA7" w:rsidRDefault="006B354F">
      <w:pPr>
        <w:pStyle w:val="Caption"/>
      </w:pPr>
      <w:r w:rsidRPr="006B354F">
        <w:rPr>
          <w:b/>
          <w:bCs/>
        </w:rPr>
        <w:t>Table 1</w:t>
      </w:r>
      <w:r>
        <w:t>. Comprehensive literature matrix and structural comparison with the proposed paradigm</w:t>
      </w:r>
    </w:p>
    <w:tbl>
      <w:tblPr>
        <w:tblStyle w:val="TableGrid"/>
        <w:tblW w:w="0" w:type="auto"/>
        <w:tblLook w:val="04A0" w:firstRow="1" w:lastRow="0" w:firstColumn="1" w:lastColumn="0" w:noHBand="0" w:noVBand="1"/>
      </w:tblPr>
      <w:tblGrid>
        <w:gridCol w:w="1107"/>
        <w:gridCol w:w="1034"/>
        <w:gridCol w:w="993"/>
        <w:gridCol w:w="1129"/>
        <w:gridCol w:w="1141"/>
        <w:gridCol w:w="1149"/>
        <w:gridCol w:w="1091"/>
      </w:tblGrid>
      <w:tr w:rsidR="00BD1DA7" w:rsidRPr="006B354F" w14:paraId="200E61E0" w14:textId="77777777">
        <w:tc>
          <w:tcPr>
            <w:tcW w:w="1107" w:type="dxa"/>
            <w:vAlign w:val="center"/>
          </w:tcPr>
          <w:p w14:paraId="7FF2DA49" w14:textId="77777777" w:rsidR="00BD1DA7" w:rsidRPr="006B354F" w:rsidRDefault="00000000">
            <w:pPr>
              <w:jc w:val="left"/>
              <w:rPr>
                <w:b/>
                <w:bCs/>
              </w:rPr>
            </w:pPr>
            <w:r w:rsidRPr="006B354F">
              <w:rPr>
                <w:b/>
                <w:bCs/>
              </w:rPr>
              <w:t>Study</w:t>
            </w:r>
          </w:p>
        </w:tc>
        <w:tc>
          <w:tcPr>
            <w:tcW w:w="1034" w:type="dxa"/>
            <w:vAlign w:val="center"/>
          </w:tcPr>
          <w:p w14:paraId="22AD147D" w14:textId="77777777" w:rsidR="00BD1DA7" w:rsidRPr="006B354F" w:rsidRDefault="00000000">
            <w:pPr>
              <w:jc w:val="left"/>
              <w:rPr>
                <w:b/>
                <w:bCs/>
              </w:rPr>
            </w:pPr>
            <w:r w:rsidRPr="006B354F">
              <w:rPr>
                <w:b/>
                <w:bCs/>
              </w:rPr>
              <w:t>Task</w:t>
            </w:r>
          </w:p>
        </w:tc>
        <w:tc>
          <w:tcPr>
            <w:tcW w:w="993" w:type="dxa"/>
            <w:vAlign w:val="center"/>
          </w:tcPr>
          <w:p w14:paraId="64F7BD86" w14:textId="77777777" w:rsidR="00BD1DA7" w:rsidRPr="006B354F" w:rsidRDefault="00000000">
            <w:pPr>
              <w:jc w:val="left"/>
              <w:rPr>
                <w:b/>
                <w:bCs/>
              </w:rPr>
            </w:pPr>
            <w:r w:rsidRPr="006B354F">
              <w:rPr>
                <w:b/>
                <w:bCs/>
              </w:rPr>
              <w:t>Dataset</w:t>
            </w:r>
          </w:p>
        </w:tc>
        <w:tc>
          <w:tcPr>
            <w:tcW w:w="1129" w:type="dxa"/>
            <w:vAlign w:val="center"/>
          </w:tcPr>
          <w:p w14:paraId="0F2EADC7" w14:textId="77777777" w:rsidR="00BD1DA7" w:rsidRPr="006B354F" w:rsidRDefault="00000000">
            <w:pPr>
              <w:jc w:val="left"/>
              <w:rPr>
                <w:b/>
                <w:bCs/>
              </w:rPr>
            </w:pPr>
            <w:r w:rsidRPr="006B354F">
              <w:rPr>
                <w:b/>
                <w:bCs/>
              </w:rPr>
              <w:t>Method</w:t>
            </w:r>
          </w:p>
        </w:tc>
        <w:tc>
          <w:tcPr>
            <w:tcW w:w="1141" w:type="dxa"/>
            <w:vAlign w:val="center"/>
          </w:tcPr>
          <w:p w14:paraId="0CCD5495" w14:textId="77777777" w:rsidR="00BD1DA7" w:rsidRPr="006B354F" w:rsidRDefault="00000000">
            <w:pPr>
              <w:jc w:val="left"/>
              <w:rPr>
                <w:b/>
                <w:bCs/>
              </w:rPr>
            </w:pPr>
            <w:r w:rsidRPr="006B354F">
              <w:rPr>
                <w:b/>
                <w:bCs/>
              </w:rPr>
              <w:t>Strength</w:t>
            </w:r>
          </w:p>
        </w:tc>
        <w:tc>
          <w:tcPr>
            <w:tcW w:w="1149" w:type="dxa"/>
            <w:vAlign w:val="center"/>
          </w:tcPr>
          <w:p w14:paraId="3C328ED4" w14:textId="77777777" w:rsidR="00BD1DA7" w:rsidRPr="006B354F" w:rsidRDefault="00000000">
            <w:pPr>
              <w:jc w:val="left"/>
              <w:rPr>
                <w:b/>
                <w:bCs/>
              </w:rPr>
            </w:pPr>
            <w:r w:rsidRPr="006B354F">
              <w:rPr>
                <w:b/>
                <w:bCs/>
              </w:rPr>
              <w:t>Limitation</w:t>
            </w:r>
          </w:p>
        </w:tc>
        <w:tc>
          <w:tcPr>
            <w:tcW w:w="1091" w:type="dxa"/>
            <w:vAlign w:val="center"/>
          </w:tcPr>
          <w:p w14:paraId="7A9E256B" w14:textId="77777777" w:rsidR="00BD1DA7" w:rsidRPr="006B354F" w:rsidRDefault="00000000">
            <w:pPr>
              <w:jc w:val="left"/>
              <w:rPr>
                <w:b/>
                <w:bCs/>
              </w:rPr>
            </w:pPr>
            <w:r w:rsidRPr="006B354F">
              <w:rPr>
                <w:b/>
                <w:bCs/>
              </w:rPr>
              <w:t>Relation to this work</w:t>
            </w:r>
          </w:p>
        </w:tc>
      </w:tr>
      <w:tr w:rsidR="00BD1DA7" w14:paraId="3FEFEDBF" w14:textId="77777777">
        <w:tc>
          <w:tcPr>
            <w:tcW w:w="1107" w:type="dxa"/>
          </w:tcPr>
          <w:p w14:paraId="62CD8658" w14:textId="77777777" w:rsidR="00BD1DA7" w:rsidRDefault="00000000">
            <w:pPr>
              <w:jc w:val="left"/>
            </w:pPr>
            <w:r>
              <w:t>OmniAnomaly (2019) [18]</w:t>
            </w:r>
          </w:p>
        </w:tc>
        <w:tc>
          <w:tcPr>
            <w:tcW w:w="1034" w:type="dxa"/>
          </w:tcPr>
          <w:p w14:paraId="01A7D21D" w14:textId="77777777" w:rsidR="00BD1DA7" w:rsidRDefault="00000000">
            <w:pPr>
              <w:jc w:val="left"/>
            </w:pPr>
            <w:r>
              <w:t>Unsupervised Anomaly Detection</w:t>
            </w:r>
          </w:p>
        </w:tc>
        <w:tc>
          <w:tcPr>
            <w:tcW w:w="993" w:type="dxa"/>
          </w:tcPr>
          <w:p w14:paraId="1E34447B" w14:textId="77777777" w:rsidR="00BD1DA7" w:rsidRDefault="00000000">
            <w:pPr>
              <w:jc w:val="left"/>
            </w:pPr>
            <w:r>
              <w:t>Industrial multivariate time-series</w:t>
            </w:r>
          </w:p>
        </w:tc>
        <w:tc>
          <w:tcPr>
            <w:tcW w:w="1129" w:type="dxa"/>
          </w:tcPr>
          <w:p w14:paraId="5633E106" w14:textId="77777777" w:rsidR="00BD1DA7" w:rsidRDefault="00000000">
            <w:pPr>
              <w:jc w:val="left"/>
            </w:pPr>
            <w:r>
              <w:t>Stochastic Recurrent Neural Network (Stochastic RNN) modeling.</w:t>
            </w:r>
          </w:p>
        </w:tc>
        <w:tc>
          <w:tcPr>
            <w:tcW w:w="1141" w:type="dxa"/>
          </w:tcPr>
          <w:p w14:paraId="1F4C8D51" w14:textId="77777777" w:rsidR="00BD1DA7" w:rsidRDefault="00000000">
            <w:pPr>
              <w:jc w:val="left"/>
            </w:pPr>
            <w:r>
              <w:t>Captures stochastic dynamics via probabilistic reconstruction distributions.</w:t>
            </w:r>
          </w:p>
        </w:tc>
        <w:tc>
          <w:tcPr>
            <w:tcW w:w="1149" w:type="dxa"/>
          </w:tcPr>
          <w:p w14:paraId="56D62E65" w14:textId="77777777" w:rsidR="00BD1DA7" w:rsidRDefault="00000000">
            <w:pPr>
              <w:jc w:val="left"/>
            </w:pPr>
            <w:r>
              <w:t>Suffers from over-generalization that erases early fault indicators; global threshold calibration causes data leakage.</w:t>
            </w:r>
          </w:p>
        </w:tc>
        <w:tc>
          <w:tcPr>
            <w:tcW w:w="1091" w:type="dxa"/>
          </w:tcPr>
          <w:p w14:paraId="71BECDF4" w14:textId="77777777" w:rsidR="00BD1DA7" w:rsidRDefault="00000000">
            <w:pPr>
              <w:jc w:val="left"/>
            </w:pPr>
            <w:r>
              <w:t>Shifts from a reconstruction paradigm to a sequence forecasting paradigm, incorporating localized POT calibratio.</w:t>
            </w:r>
          </w:p>
        </w:tc>
      </w:tr>
      <w:tr w:rsidR="00BD1DA7" w14:paraId="211F1CE6" w14:textId="77777777">
        <w:tc>
          <w:tcPr>
            <w:tcW w:w="1107" w:type="dxa"/>
          </w:tcPr>
          <w:p w14:paraId="728085A3" w14:textId="77777777" w:rsidR="00BD1DA7" w:rsidRDefault="00000000">
            <w:pPr>
              <w:jc w:val="left"/>
            </w:pPr>
            <w:r>
              <w:t>USAD (2020) [19]</w:t>
            </w:r>
          </w:p>
        </w:tc>
        <w:tc>
          <w:tcPr>
            <w:tcW w:w="1034" w:type="dxa"/>
          </w:tcPr>
          <w:p w14:paraId="4793A278" w14:textId="77777777" w:rsidR="00BD1DA7" w:rsidRDefault="00000000">
            <w:pPr>
              <w:jc w:val="left"/>
            </w:pPr>
            <w:r>
              <w:t>Unsupervised Anomaly Detection</w:t>
            </w:r>
          </w:p>
        </w:tc>
        <w:tc>
          <w:tcPr>
            <w:tcW w:w="993" w:type="dxa"/>
          </w:tcPr>
          <w:p w14:paraId="05CCB0EF" w14:textId="77777777" w:rsidR="00BD1DA7" w:rsidRDefault="00000000">
            <w:pPr>
              <w:jc w:val="left"/>
            </w:pPr>
            <w:r>
              <w:t xml:space="preserve">Standard benchmark datasets </w:t>
            </w:r>
            <w:r>
              <w:lastRenderedPageBreak/>
              <w:t>(SWaT, WADI)</w:t>
            </w:r>
          </w:p>
        </w:tc>
        <w:tc>
          <w:tcPr>
            <w:tcW w:w="1129" w:type="dxa"/>
          </w:tcPr>
          <w:p w14:paraId="18AC846A" w14:textId="77777777" w:rsidR="00BD1DA7" w:rsidRDefault="00000000">
            <w:pPr>
              <w:jc w:val="left"/>
            </w:pPr>
            <w:r>
              <w:lastRenderedPageBreak/>
              <w:t xml:space="preserve">Adversarially trained autoencoders </w:t>
            </w:r>
            <w:r>
              <w:lastRenderedPageBreak/>
              <w:t>framework.</w:t>
            </w:r>
          </w:p>
        </w:tc>
        <w:tc>
          <w:tcPr>
            <w:tcW w:w="1141" w:type="dxa"/>
          </w:tcPr>
          <w:p w14:paraId="2D6083D7" w14:textId="77777777" w:rsidR="00BD1DA7" w:rsidRDefault="00000000">
            <w:pPr>
              <w:jc w:val="left"/>
            </w:pPr>
            <w:r>
              <w:lastRenderedPageBreak/>
              <w:t xml:space="preserve">Enhances autoencoder training stability </w:t>
            </w:r>
            <w:r>
              <w:lastRenderedPageBreak/>
              <w:t>and convergence speed through adversarial learning.</w:t>
            </w:r>
          </w:p>
        </w:tc>
        <w:tc>
          <w:tcPr>
            <w:tcW w:w="1149" w:type="dxa"/>
          </w:tcPr>
          <w:p w14:paraId="6AAEA4D2" w14:textId="77777777" w:rsidR="00BD1DA7" w:rsidRDefault="00000000">
            <w:pPr>
              <w:jc w:val="left"/>
            </w:pPr>
            <w:r>
              <w:lastRenderedPageBreak/>
              <w:t xml:space="preserve">Operates as a pure data-driven black box; </w:t>
            </w:r>
            <w:r>
              <w:lastRenderedPageBreak/>
              <w:t>threshold hyperparameter optimization relies on global validation anomalies.</w:t>
            </w:r>
          </w:p>
        </w:tc>
        <w:tc>
          <w:tcPr>
            <w:tcW w:w="1091" w:type="dxa"/>
          </w:tcPr>
          <w:p w14:paraId="48F604B3" w14:textId="77777777" w:rsidR="00BD1DA7" w:rsidRDefault="00000000">
            <w:pPr>
              <w:jc w:val="left"/>
            </w:pPr>
            <w:r>
              <w:lastRenderedPageBreak/>
              <w:t xml:space="preserve">Integrates an 8-D physical Stats Head </w:t>
            </w:r>
            <w:r>
              <w:lastRenderedPageBreak/>
              <w:t>to eliminate black-box behavior and isolates POT calibration within healthy intervals.</w:t>
            </w:r>
          </w:p>
        </w:tc>
      </w:tr>
      <w:tr w:rsidR="00BD1DA7" w14:paraId="4A4C2CC2" w14:textId="77777777">
        <w:tc>
          <w:tcPr>
            <w:tcW w:w="1107" w:type="dxa"/>
          </w:tcPr>
          <w:p w14:paraId="41A45D2D" w14:textId="77777777" w:rsidR="00BD1DA7" w:rsidRDefault="00000000">
            <w:pPr>
              <w:jc w:val="left"/>
            </w:pPr>
            <w:r>
              <w:lastRenderedPageBreak/>
              <w:t>TranAD (2022) [20]</w:t>
            </w:r>
          </w:p>
        </w:tc>
        <w:tc>
          <w:tcPr>
            <w:tcW w:w="1034" w:type="dxa"/>
          </w:tcPr>
          <w:p w14:paraId="599754F9" w14:textId="77777777" w:rsidR="00BD1DA7" w:rsidRDefault="00000000">
            <w:pPr>
              <w:jc w:val="left"/>
            </w:pPr>
            <w:r>
              <w:t>Unsupervised Anomaly Detection</w:t>
            </w:r>
          </w:p>
        </w:tc>
        <w:tc>
          <w:tcPr>
            <w:tcW w:w="993" w:type="dxa"/>
          </w:tcPr>
          <w:p w14:paraId="1DA3B531" w14:textId="77777777" w:rsidR="00BD1DA7" w:rsidRDefault="00000000">
            <w:pPr>
              <w:jc w:val="left"/>
            </w:pPr>
            <w:r>
              <w:t>Complex multivariate time-series</w:t>
            </w:r>
          </w:p>
        </w:tc>
        <w:tc>
          <w:tcPr>
            <w:tcW w:w="1129" w:type="dxa"/>
          </w:tcPr>
          <w:p w14:paraId="2C6ADF62" w14:textId="77777777" w:rsidR="00BD1DA7" w:rsidRDefault="00000000">
            <w:pPr>
              <w:jc w:val="left"/>
            </w:pPr>
            <w:r>
              <w:t>Transformer network with adversarial training and self-conditioning loops.</w:t>
            </w:r>
          </w:p>
        </w:tc>
        <w:tc>
          <w:tcPr>
            <w:tcW w:w="1141" w:type="dxa"/>
          </w:tcPr>
          <w:p w14:paraId="1B08907D" w14:textId="77777777" w:rsidR="00BD1DA7" w:rsidRDefault="00000000">
            <w:pPr>
              <w:jc w:val="left"/>
            </w:pPr>
            <w:r>
              <w:t>Achieves accelerated inference speeds and high precision via adversarial Transformer outputs.</w:t>
            </w:r>
          </w:p>
        </w:tc>
        <w:tc>
          <w:tcPr>
            <w:tcW w:w="1149" w:type="dxa"/>
          </w:tcPr>
          <w:p w14:paraId="329BD5BD" w14:textId="77777777" w:rsidR="00BD1DA7" w:rsidRDefault="00000000">
            <w:pPr>
              <w:jc w:val="left"/>
            </w:pPr>
            <w:r>
              <w:t>High memory footprint over extended sequences; POT hyperparameter selection relies on future anomalous data.</w:t>
            </w:r>
          </w:p>
        </w:tc>
        <w:tc>
          <w:tcPr>
            <w:tcW w:w="1091" w:type="dxa"/>
          </w:tcPr>
          <w:p w14:paraId="1F6394B2" w14:textId="77777777" w:rsidR="00BD1DA7" w:rsidRDefault="00000000">
            <w:pPr>
              <w:jc w:val="left"/>
            </w:pPr>
            <w:r>
              <w:t>Utilizes a hybrid Mamba-CNN framework with linear complexity and strictly enforces localized calibration (condition == 0).</w:t>
            </w:r>
          </w:p>
        </w:tc>
      </w:tr>
      <w:tr w:rsidR="00BD1DA7" w14:paraId="44AB19D1" w14:textId="77777777">
        <w:tc>
          <w:tcPr>
            <w:tcW w:w="1107" w:type="dxa"/>
            <w:vAlign w:val="center"/>
          </w:tcPr>
          <w:p w14:paraId="675DDBE0" w14:textId="77777777" w:rsidR="00BD1DA7" w:rsidRDefault="00000000">
            <w:pPr>
              <w:jc w:val="left"/>
            </w:pPr>
            <w:r>
              <w:t>Anomaly Transformer (2022) [5]</w:t>
            </w:r>
          </w:p>
        </w:tc>
        <w:tc>
          <w:tcPr>
            <w:tcW w:w="1034" w:type="dxa"/>
            <w:vAlign w:val="center"/>
          </w:tcPr>
          <w:p w14:paraId="16C91292" w14:textId="77777777" w:rsidR="00BD1DA7" w:rsidRDefault="00000000">
            <w:pPr>
              <w:jc w:val="left"/>
            </w:pPr>
            <w:r>
              <w:t>Unsupervised Anomaly Detection</w:t>
            </w:r>
          </w:p>
        </w:tc>
        <w:tc>
          <w:tcPr>
            <w:tcW w:w="993" w:type="dxa"/>
            <w:vAlign w:val="center"/>
          </w:tcPr>
          <w:p w14:paraId="3ADA179F" w14:textId="77777777" w:rsidR="00BD1DA7" w:rsidRDefault="00000000">
            <w:pPr>
              <w:jc w:val="left"/>
            </w:pPr>
            <w:r>
              <w:t>Multi-domain time-series (SMD, MSD, etc.)</w:t>
            </w:r>
          </w:p>
        </w:tc>
        <w:tc>
          <w:tcPr>
            <w:tcW w:w="1129" w:type="dxa"/>
            <w:vAlign w:val="center"/>
          </w:tcPr>
          <w:p w14:paraId="5BC90B86" w14:textId="77777777" w:rsidR="00BD1DA7" w:rsidRDefault="00000000">
            <w:pPr>
              <w:jc w:val="left"/>
            </w:pPr>
            <w:r>
              <w:t>Association Discrepancy computation mechanism utilizing specialized Transformers.</w:t>
            </w:r>
          </w:p>
        </w:tc>
        <w:tc>
          <w:tcPr>
            <w:tcW w:w="1141" w:type="dxa"/>
            <w:vAlign w:val="center"/>
          </w:tcPr>
          <w:p w14:paraId="4ACBE893" w14:textId="77777777" w:rsidR="00BD1DA7" w:rsidRDefault="00000000">
            <w:pPr>
              <w:jc w:val="left"/>
            </w:pPr>
            <w:r>
              <w:t>Effectively isolates cyclical anomalies via localized and global attention distributions.</w:t>
            </w:r>
          </w:p>
        </w:tc>
        <w:tc>
          <w:tcPr>
            <w:tcW w:w="1149" w:type="dxa"/>
            <w:vAlign w:val="center"/>
          </w:tcPr>
          <w:p w14:paraId="0BA62187" w14:textId="77777777" w:rsidR="00BD1DA7" w:rsidRDefault="00000000">
            <w:pPr>
              <w:jc w:val="left"/>
            </w:pPr>
            <w:r>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highly sensitive to industrial noise.</w:t>
            </w:r>
          </w:p>
        </w:tc>
        <w:tc>
          <w:tcPr>
            <w:tcW w:w="1091" w:type="dxa"/>
            <w:vAlign w:val="center"/>
          </w:tcPr>
          <w:p w14:paraId="7F60EE83" w14:textId="77777777" w:rsidR="00BD1DA7" w:rsidRDefault="00000000">
            <w:pPr>
              <w:jc w:val="left"/>
            </w:pPr>
            <w:r>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t>).</w:t>
            </w:r>
          </w:p>
        </w:tc>
      </w:tr>
      <w:tr w:rsidR="00BD1DA7" w14:paraId="0D031F4C" w14:textId="77777777">
        <w:tc>
          <w:tcPr>
            <w:tcW w:w="1107" w:type="dxa"/>
            <w:vAlign w:val="center"/>
          </w:tcPr>
          <w:p w14:paraId="730A3513" w14:textId="77777777" w:rsidR="00BD1DA7" w:rsidRDefault="00000000">
            <w:pPr>
              <w:jc w:val="left"/>
            </w:pPr>
            <w:r>
              <w:t>TimesNet (2023) [6]</w:t>
            </w:r>
          </w:p>
        </w:tc>
        <w:tc>
          <w:tcPr>
            <w:tcW w:w="1034" w:type="dxa"/>
            <w:vAlign w:val="center"/>
          </w:tcPr>
          <w:p w14:paraId="69A3050C" w14:textId="77777777" w:rsidR="00BD1DA7" w:rsidRDefault="00000000">
            <w:pPr>
              <w:jc w:val="left"/>
            </w:pPr>
            <w:r>
              <w:t>Forecasting and Anomaly Detection</w:t>
            </w:r>
          </w:p>
        </w:tc>
        <w:tc>
          <w:tcPr>
            <w:tcW w:w="993" w:type="dxa"/>
            <w:vAlign w:val="center"/>
          </w:tcPr>
          <w:p w14:paraId="2E0593F9" w14:textId="77777777" w:rsidR="00BD1DA7" w:rsidRDefault="00000000">
            <w:pPr>
              <w:jc w:val="left"/>
            </w:pPr>
            <w:r>
              <w:t>Non-stationary time-series (Weather, ETT, etc.)</w:t>
            </w:r>
          </w:p>
        </w:tc>
        <w:tc>
          <w:tcPr>
            <w:tcW w:w="1129" w:type="dxa"/>
            <w:vAlign w:val="center"/>
          </w:tcPr>
          <w:p w14:paraId="270A7F8A" w14:textId="77777777" w:rsidR="00BD1DA7" w:rsidRDefault="00000000">
            <w:pPr>
              <w:jc w:val="left"/>
            </w:pPr>
            <w:r>
              <w:t>Transforms 1D series into 2D structures via FFT multi-periodicity analysis and Inception blocks.</w:t>
            </w:r>
          </w:p>
        </w:tc>
        <w:tc>
          <w:tcPr>
            <w:tcW w:w="1141" w:type="dxa"/>
            <w:vAlign w:val="center"/>
          </w:tcPr>
          <w:p w14:paraId="58CBA0EE" w14:textId="77777777" w:rsidR="00BD1DA7" w:rsidRDefault="00000000">
            <w:pPr>
              <w:jc w:val="left"/>
            </w:pPr>
            <w:r>
              <w:t>Effectively captures non-stationary properties through simultaneous multi-period analysis.</w:t>
            </w:r>
          </w:p>
        </w:tc>
        <w:tc>
          <w:tcPr>
            <w:tcW w:w="1149" w:type="dxa"/>
            <w:vAlign w:val="center"/>
          </w:tcPr>
          <w:p w14:paraId="16E9B576" w14:textId="77777777" w:rsidR="00BD1DA7" w:rsidRDefault="00000000">
            <w:pPr>
              <w:jc w:val="left"/>
            </w:pPr>
            <w:r>
              <w:t>High computational overhead due to 2D image processing; pure CNN lacks selective long-sequence scanning.</w:t>
            </w:r>
          </w:p>
        </w:tc>
        <w:tc>
          <w:tcPr>
            <w:tcW w:w="1091" w:type="dxa"/>
            <w:vAlign w:val="center"/>
          </w:tcPr>
          <w:p w14:paraId="1EE33208" w14:textId="77777777" w:rsidR="00BD1DA7" w:rsidRDefault="00000000">
            <w:pPr>
              <w:jc w:val="left"/>
            </w:pPr>
            <w:r>
              <w:t>The proposed framework implements temporal series decomposition directly in the time domain to avoid FFT overhead.</w:t>
            </w:r>
          </w:p>
        </w:tc>
      </w:tr>
      <w:tr w:rsidR="00BD1DA7" w14:paraId="331363D3" w14:textId="77777777">
        <w:tc>
          <w:tcPr>
            <w:tcW w:w="1107" w:type="dxa"/>
            <w:vAlign w:val="center"/>
          </w:tcPr>
          <w:p w14:paraId="4BD4578A" w14:textId="77777777" w:rsidR="00BD1DA7" w:rsidRDefault="00000000">
            <w:pPr>
              <w:jc w:val="left"/>
            </w:pPr>
            <w:r>
              <w:lastRenderedPageBreak/>
              <w:t>PatchTST (2023) [7]</w:t>
            </w:r>
          </w:p>
        </w:tc>
        <w:tc>
          <w:tcPr>
            <w:tcW w:w="1034" w:type="dxa"/>
            <w:vAlign w:val="center"/>
          </w:tcPr>
          <w:p w14:paraId="2C2F1410" w14:textId="77777777" w:rsidR="00BD1DA7" w:rsidRDefault="00000000">
            <w:pPr>
              <w:jc w:val="left"/>
            </w:pPr>
            <w:r>
              <w:t>Long-term Time-series Forecasting</w:t>
            </w:r>
          </w:p>
        </w:tc>
        <w:tc>
          <w:tcPr>
            <w:tcW w:w="993" w:type="dxa"/>
            <w:vAlign w:val="center"/>
          </w:tcPr>
          <w:p w14:paraId="252175DE" w14:textId="77777777" w:rsidR="00BD1DA7" w:rsidRDefault="00000000">
            <w:pPr>
              <w:jc w:val="left"/>
            </w:pPr>
            <w:r>
              <w:t>Standard benchmark time-series (Electricity, Traffic)</w:t>
            </w:r>
          </w:p>
        </w:tc>
        <w:tc>
          <w:tcPr>
            <w:tcW w:w="1129" w:type="dxa"/>
            <w:vAlign w:val="center"/>
          </w:tcPr>
          <w:p w14:paraId="0FB38724" w14:textId="77777777" w:rsidR="00BD1DA7" w:rsidRDefault="00000000">
            <w:pPr>
              <w:jc w:val="left"/>
            </w:pPr>
            <w:r>
              <w:t>Temporal patching technique combined with channel-independence constraints.</w:t>
            </w:r>
          </w:p>
        </w:tc>
        <w:tc>
          <w:tcPr>
            <w:tcW w:w="1141" w:type="dxa"/>
            <w:vAlign w:val="center"/>
          </w:tcPr>
          <w:p w14:paraId="75541A1C" w14:textId="77777777" w:rsidR="00BD1DA7" w:rsidRDefault="00000000">
            <w:pPr>
              <w:jc w:val="left"/>
            </w:pPr>
            <w:r>
              <w:t>Reduces Transformer complexity to linear scale; eliminates cross-channel noise propagation.</w:t>
            </w:r>
          </w:p>
        </w:tc>
        <w:tc>
          <w:tcPr>
            <w:tcW w:w="1149" w:type="dxa"/>
            <w:vAlign w:val="center"/>
          </w:tcPr>
          <w:p w14:paraId="367AA08E" w14:textId="77777777" w:rsidR="00BD1DA7" w:rsidRDefault="00000000">
            <w:pPr>
              <w:jc w:val="left"/>
            </w:pPr>
            <w:r>
              <w:t>Ignores cross-channel correlations, degrading detection performance in multi-sensor setups.</w:t>
            </w:r>
          </w:p>
        </w:tc>
        <w:tc>
          <w:tcPr>
            <w:tcW w:w="1091" w:type="dxa"/>
            <w:vAlign w:val="center"/>
          </w:tcPr>
          <w:p w14:paraId="196E2F25" w14:textId="77777777" w:rsidR="00BD1DA7" w:rsidRDefault="00000000">
            <w:pPr>
              <w:jc w:val="left"/>
            </w:pPr>
            <w:r>
              <w:t>The proposed model maintains channel independence in the Mamba branch but fuses channels within the Fusion Head.</w:t>
            </w:r>
          </w:p>
        </w:tc>
      </w:tr>
      <w:tr w:rsidR="00BD1DA7" w14:paraId="08BD1AE7" w14:textId="77777777">
        <w:tc>
          <w:tcPr>
            <w:tcW w:w="1107" w:type="dxa"/>
          </w:tcPr>
          <w:p w14:paraId="09E97723" w14:textId="77777777" w:rsidR="00BD1DA7" w:rsidRDefault="00000000">
            <w:pPr>
              <w:jc w:val="left"/>
            </w:pPr>
            <w:r>
              <w:t>MD-BiMamba (2024) [21]</w:t>
            </w:r>
          </w:p>
        </w:tc>
        <w:tc>
          <w:tcPr>
            <w:tcW w:w="1034" w:type="dxa"/>
          </w:tcPr>
          <w:p w14:paraId="5C8C3941" w14:textId="77777777" w:rsidR="00BD1DA7" w:rsidRDefault="00000000">
            <w:pPr>
              <w:jc w:val="left"/>
            </w:pPr>
            <w:r>
              <w:t>Supervised Fault Diagnosis</w:t>
            </w:r>
          </w:p>
        </w:tc>
        <w:tc>
          <w:tcPr>
            <w:tcW w:w="993" w:type="dxa"/>
          </w:tcPr>
          <w:p w14:paraId="0A7D4DA8" w14:textId="77777777" w:rsidR="00BD1DA7" w:rsidRDefault="00000000">
            <w:pPr>
              <w:jc w:val="left"/>
            </w:pPr>
            <w:r>
              <w:t>Aero-engine inter-shaft bearing dataset</w:t>
            </w:r>
          </w:p>
        </w:tc>
        <w:tc>
          <w:tcPr>
            <w:tcW w:w="1129" w:type="dxa"/>
          </w:tcPr>
          <w:p w14:paraId="0418CDBF" w14:textId="77777777" w:rsidR="00BD1DA7" w:rsidRDefault="00000000">
            <w:pPr>
              <w:jc w:val="left"/>
            </w:pPr>
            <w:r>
              <w:t>Combines signal mode decomposition (VMD/EMD) with a bidirectional Mamba feature fusion strategy.</w:t>
            </w:r>
          </w:p>
        </w:tc>
        <w:tc>
          <w:tcPr>
            <w:tcW w:w="1141" w:type="dxa"/>
          </w:tcPr>
          <w:p w14:paraId="4699D634" w14:textId="77777777" w:rsidR="00BD1DA7" w:rsidRDefault="00000000">
            <w:pPr>
              <w:jc w:val="left"/>
            </w:pPr>
            <w:r>
              <w:t>Effectively mitigates fault masking effects, optimizing the selective scanning of fault-induced impact pulses.</w:t>
            </w:r>
          </w:p>
        </w:tc>
        <w:tc>
          <w:tcPr>
            <w:tcW w:w="1149" w:type="dxa"/>
          </w:tcPr>
          <w:p w14:paraId="16BB5D1D" w14:textId="77777777" w:rsidR="00BD1DA7" w:rsidRDefault="00000000">
            <w:pPr>
              <w:jc w:val="left"/>
            </w:pPr>
            <w:r>
              <w:t>Operates as a supervised classification model dependent on fault labels; lacks an online dynamic leakage-free thresholding mechanism.</w:t>
            </w:r>
          </w:p>
        </w:tc>
        <w:tc>
          <w:tcPr>
            <w:tcW w:w="1091" w:type="dxa"/>
          </w:tcPr>
          <w:p w14:paraId="2CEFDB4E" w14:textId="77777777" w:rsidR="00BD1DA7" w:rsidRDefault="00000000">
            <w:pPr>
              <w:jc w:val="left"/>
            </w:pPr>
            <w:r>
              <w:t>Inherits the concept of signal decomposition for feature refinement but develops an unsupervised forecasting framework integrated with localized POT calibration.</w:t>
            </w:r>
          </w:p>
        </w:tc>
      </w:tr>
      <w:tr w:rsidR="00BD1DA7" w14:paraId="5E333713" w14:textId="77777777">
        <w:tc>
          <w:tcPr>
            <w:tcW w:w="1107" w:type="dxa"/>
            <w:vAlign w:val="center"/>
          </w:tcPr>
          <w:p w14:paraId="59BDC20B" w14:textId="77777777" w:rsidR="00BD1DA7" w:rsidRDefault="00000000">
            <w:pPr>
              <w:jc w:val="left"/>
            </w:pPr>
            <w:r>
              <w:t>TFG-Mamba (2026) [9]</w:t>
            </w:r>
          </w:p>
        </w:tc>
        <w:tc>
          <w:tcPr>
            <w:tcW w:w="1034" w:type="dxa"/>
            <w:vAlign w:val="center"/>
          </w:tcPr>
          <w:p w14:paraId="5FCA0DB1" w14:textId="77777777" w:rsidR="00BD1DA7" w:rsidRDefault="00000000">
            <w:pPr>
              <w:jc w:val="left"/>
            </w:pPr>
            <w:r>
              <w:t>Machinery Degradation Trend Forecasting</w:t>
            </w:r>
          </w:p>
        </w:tc>
        <w:tc>
          <w:tcPr>
            <w:tcW w:w="993" w:type="dxa"/>
            <w:vAlign w:val="center"/>
          </w:tcPr>
          <w:p w14:paraId="657C1624" w14:textId="77777777" w:rsidR="00BD1DA7" w:rsidRDefault="00000000">
            <w:pPr>
              <w:jc w:val="left"/>
            </w:pPr>
            <w:r>
              <w:t>Real-world run-to-failure bearing datasets</w:t>
            </w:r>
          </w:p>
        </w:tc>
        <w:tc>
          <w:tcPr>
            <w:tcW w:w="1129" w:type="dxa"/>
            <w:vAlign w:val="center"/>
          </w:tcPr>
          <w:p w14:paraId="646A50EC" w14:textId="77777777" w:rsidR="00BD1DA7" w:rsidRDefault="00000000">
            <w:pPr>
              <w:jc w:val="left"/>
            </w:pPr>
            <w:r>
              <w:t>Time-frequency domain fusion via a guided gated Mamba mechanism.</w:t>
            </w:r>
          </w:p>
        </w:tc>
        <w:tc>
          <w:tcPr>
            <w:tcW w:w="1141" w:type="dxa"/>
            <w:vAlign w:val="center"/>
          </w:tcPr>
          <w:p w14:paraId="5DAF5283" w14:textId="77777777" w:rsidR="00BD1DA7" w:rsidRDefault="00000000">
            <w:pPr>
              <w:jc w:val="left"/>
            </w:pPr>
            <w:r>
              <w:t>Deeply exploits frequency-domain descriptors to track long-term degradation trajectories.</w:t>
            </w:r>
          </w:p>
        </w:tc>
        <w:tc>
          <w:tcPr>
            <w:tcW w:w="1149" w:type="dxa"/>
            <w:vAlign w:val="center"/>
          </w:tcPr>
          <w:p w14:paraId="29FD5132" w14:textId="77777777" w:rsidR="00BD1DA7" w:rsidRDefault="00000000">
            <w:pPr>
              <w:jc w:val="left"/>
            </w:pPr>
            <w:r>
              <w:t>Operates as a purely data-driven black box; requires supervised labels; lacks leakage-free thresholding.</w:t>
            </w:r>
          </w:p>
        </w:tc>
        <w:tc>
          <w:tcPr>
            <w:tcW w:w="1091" w:type="dxa"/>
            <w:vAlign w:val="center"/>
          </w:tcPr>
          <w:p w14:paraId="7620AA53" w14:textId="77777777" w:rsidR="00BD1DA7" w:rsidRDefault="00000000">
            <w:pPr>
              <w:jc w:val="left"/>
            </w:pPr>
            <w:r>
              <w:t>The proposed model builds upon an unsupervised forecasting framework and integrates a leakage-free POT module.</w:t>
            </w:r>
          </w:p>
        </w:tc>
      </w:tr>
      <w:tr w:rsidR="00BD1DA7" w14:paraId="0B25A495" w14:textId="77777777">
        <w:tc>
          <w:tcPr>
            <w:tcW w:w="1107" w:type="dxa"/>
            <w:vAlign w:val="center"/>
          </w:tcPr>
          <w:p w14:paraId="6DD4B6BB" w14:textId="77777777" w:rsidR="00BD1DA7" w:rsidRDefault="00000000">
            <w:pPr>
              <w:jc w:val="left"/>
            </w:pPr>
            <w:r>
              <w:lastRenderedPageBreak/>
              <w:t>PG-TMT (2026) [13]</w:t>
            </w:r>
          </w:p>
        </w:tc>
        <w:tc>
          <w:tcPr>
            <w:tcW w:w="1034" w:type="dxa"/>
            <w:vAlign w:val="center"/>
          </w:tcPr>
          <w:p w14:paraId="1473142E" w14:textId="77777777" w:rsidR="00BD1DA7" w:rsidRDefault="00000000">
            <w:pPr>
              <w:jc w:val="left"/>
            </w:pPr>
            <w:r>
              <w:t>Online Bearing Health Monitoring</w:t>
            </w:r>
          </w:p>
        </w:tc>
        <w:tc>
          <w:tcPr>
            <w:tcW w:w="993" w:type="dxa"/>
            <w:vAlign w:val="center"/>
          </w:tcPr>
          <w:p w14:paraId="1DD9E016" w14:textId="77777777" w:rsidR="00BD1DA7" w:rsidRDefault="00000000">
            <w:pPr>
              <w:jc w:val="left"/>
            </w:pPr>
            <w:r>
              <w:t>Industrial run-to-failure bearing datasets</w:t>
            </w:r>
          </w:p>
        </w:tc>
        <w:tc>
          <w:tcPr>
            <w:tcW w:w="1129" w:type="dxa"/>
            <w:vAlign w:val="center"/>
          </w:tcPr>
          <w:p w14:paraId="4A766862" w14:textId="77777777" w:rsidR="00BD1DA7" w:rsidRDefault="00000000">
            <w:pPr>
              <w:jc w:val="left"/>
            </w:pPr>
            <w:r>
              <w:t>Tri-branch encoder combining Tiny-Mamba, deep separable convolutions, and frequency-band physical knowledge.</w:t>
            </w:r>
          </w:p>
        </w:tc>
        <w:tc>
          <w:tcPr>
            <w:tcW w:w="1141" w:type="dxa"/>
            <w:vAlign w:val="center"/>
          </w:tcPr>
          <w:p w14:paraId="3B8F60E0" w14:textId="77777777" w:rsidR="00BD1DA7" w:rsidRDefault="00000000">
            <w:pPr>
              <w:jc w:val="left"/>
            </w:pPr>
            <w:r>
              <w:t>Lightweight architecture suitable for real-time edge monitoring; incorporates physical diagnostics.</w:t>
            </w:r>
          </w:p>
        </w:tc>
        <w:tc>
          <w:tcPr>
            <w:tcW w:w="1149" w:type="dxa"/>
            <w:vAlign w:val="center"/>
          </w:tcPr>
          <w:p w14:paraId="06845316" w14:textId="77777777" w:rsidR="00BD1DA7" w:rsidRDefault="00000000">
            <w:pPr>
              <w:jc w:val="left"/>
            </w:pPr>
            <w:r>
              <w:t>Highly complex branching structure; threshold calibration still relies on global validation distributions.</w:t>
            </w:r>
          </w:p>
        </w:tc>
        <w:tc>
          <w:tcPr>
            <w:tcW w:w="1091" w:type="dxa"/>
            <w:vAlign w:val="center"/>
          </w:tcPr>
          <w:p w14:paraId="1D742113" w14:textId="77777777" w:rsidR="00BD1DA7" w:rsidRDefault="00000000">
            <w:pPr>
              <w:jc w:val="left"/>
            </w:pPr>
            <w:r>
              <w:t>The proposed model simplifies the structure using a single branch with trend-seasonal decomposition and localized calibration.</w:t>
            </w:r>
          </w:p>
        </w:tc>
      </w:tr>
      <w:tr w:rsidR="00BD1DA7" w14:paraId="2A02DB1E" w14:textId="77777777">
        <w:tc>
          <w:tcPr>
            <w:tcW w:w="1107" w:type="dxa"/>
            <w:vAlign w:val="center"/>
          </w:tcPr>
          <w:p w14:paraId="3E2790F7" w14:textId="77777777" w:rsidR="00BD1DA7" w:rsidRDefault="00000000">
            <w:pPr>
              <w:jc w:val="left"/>
            </w:pPr>
            <w:r>
              <w:t>EVT Open Set (2022) [17]</w:t>
            </w:r>
          </w:p>
        </w:tc>
        <w:tc>
          <w:tcPr>
            <w:tcW w:w="1034" w:type="dxa"/>
            <w:vAlign w:val="center"/>
          </w:tcPr>
          <w:p w14:paraId="0EF12D59" w14:textId="77777777" w:rsidR="00BD1DA7" w:rsidRDefault="00000000">
            <w:pPr>
              <w:jc w:val="left"/>
            </w:pPr>
            <w:r>
              <w:t>Open-set Fault Diagnosis</w:t>
            </w:r>
          </w:p>
        </w:tc>
        <w:tc>
          <w:tcPr>
            <w:tcW w:w="993" w:type="dxa"/>
            <w:vAlign w:val="center"/>
          </w:tcPr>
          <w:p w14:paraId="55656C19" w14:textId="77777777" w:rsidR="00BD1DA7" w:rsidRDefault="00000000">
            <w:pPr>
              <w:jc w:val="left"/>
            </w:pPr>
            <w:r>
              <w:t>Fundamental bearing datasets (CWRU)</w:t>
            </w:r>
          </w:p>
        </w:tc>
        <w:tc>
          <w:tcPr>
            <w:tcW w:w="1129" w:type="dxa"/>
            <w:vAlign w:val="center"/>
          </w:tcPr>
          <w:p w14:paraId="2EF0E0D6" w14:textId="77777777" w:rsidR="00BD1DA7" w:rsidRDefault="00000000">
            <w:pPr>
              <w:jc w:val="left"/>
            </w:pPr>
            <w:r>
              <w:t>Embedding Extreme Value Theory (EVT-POT) directly into deep learning latent spaces.</w:t>
            </w:r>
          </w:p>
        </w:tc>
        <w:tc>
          <w:tcPr>
            <w:tcW w:w="1141" w:type="dxa"/>
            <w:vAlign w:val="center"/>
          </w:tcPr>
          <w:p w14:paraId="69EE3ED7" w14:textId="77777777" w:rsidR="00BD1DA7" w:rsidRDefault="00000000">
            <w:pPr>
              <w:jc w:val="left"/>
            </w:pPr>
            <w:r>
              <w:t>Establishes precise mathematical boundaries for unseen fault types during training.</w:t>
            </w:r>
          </w:p>
        </w:tc>
        <w:tc>
          <w:tcPr>
            <w:tcW w:w="1149" w:type="dxa"/>
            <w:vAlign w:val="center"/>
          </w:tcPr>
          <w:p w14:paraId="73EDBAC9" w14:textId="77777777" w:rsidR="00BD1DA7" w:rsidRDefault="00000000">
            <w:pPr>
              <w:jc w:val="left"/>
            </w:pPr>
            <w:r>
              <w:t>The POT threshold calibration process utilizes global validation sequences, causing future data leakage.</w:t>
            </w:r>
          </w:p>
        </w:tc>
        <w:tc>
          <w:tcPr>
            <w:tcW w:w="1091" w:type="dxa"/>
            <w:vAlign w:val="center"/>
          </w:tcPr>
          <w:p w14:paraId="02239474" w14:textId="77777777" w:rsidR="00BD1DA7" w:rsidRDefault="00000000">
            <w:pPr>
              <w:jc w:val="left"/>
            </w:pPr>
            <w:r>
              <w:t>The proposed architecture applies POT but strictly executes a localized calibration workflow (condition == 0).</w:t>
            </w:r>
          </w:p>
        </w:tc>
      </w:tr>
      <w:tr w:rsidR="00BD1DA7" w14:paraId="16783B7B" w14:textId="77777777">
        <w:tc>
          <w:tcPr>
            <w:tcW w:w="1107" w:type="dxa"/>
            <w:vAlign w:val="center"/>
          </w:tcPr>
          <w:p w14:paraId="4A9CD17C" w14:textId="77777777" w:rsidR="00BD1DA7" w:rsidRDefault="00000000">
            <w:pPr>
              <w:jc w:val="left"/>
            </w:pPr>
            <w:r>
              <w:t>Proposed Model</w:t>
            </w:r>
          </w:p>
        </w:tc>
        <w:tc>
          <w:tcPr>
            <w:tcW w:w="1034" w:type="dxa"/>
            <w:vAlign w:val="center"/>
          </w:tcPr>
          <w:p w14:paraId="7D1D6CBE" w14:textId="77777777" w:rsidR="00BD1DA7" w:rsidRDefault="00000000">
            <w:pPr>
              <w:jc w:val="left"/>
            </w:pPr>
            <w:r>
              <w:t>Unsupervised Bearing Anomaly Detection</w:t>
            </w:r>
          </w:p>
        </w:tc>
        <w:tc>
          <w:tcPr>
            <w:tcW w:w="993" w:type="dxa"/>
            <w:vAlign w:val="center"/>
          </w:tcPr>
          <w:p w14:paraId="6CE1A809" w14:textId="77777777" w:rsidR="00BD1DA7" w:rsidRDefault="00000000">
            <w:pPr>
              <w:jc w:val="left"/>
            </w:pPr>
            <w:r>
              <w:t>Real-world industrial run-to-failure vibration datasets</w:t>
            </w:r>
          </w:p>
        </w:tc>
        <w:tc>
          <w:tcPr>
            <w:tcW w:w="1129" w:type="dxa"/>
            <w:vAlign w:val="center"/>
          </w:tcPr>
          <w:p w14:paraId="27F85A95" w14:textId="77777777" w:rsidR="00BD1DA7" w:rsidRDefault="00000000">
            <w:pPr>
              <w:jc w:val="left"/>
            </w:pPr>
            <w:r>
              <w:t>Hybrid Mamba-CNN with series decomposition, an 8-D physical Stats Head, and localized POT calibration.</w:t>
            </w:r>
          </w:p>
        </w:tc>
        <w:tc>
          <w:tcPr>
            <w:tcW w:w="1141" w:type="dxa"/>
            <w:vAlign w:val="center"/>
          </w:tcPr>
          <w:p w14:paraId="7DB7BC99" w14:textId="77777777" w:rsidR="00BD1DA7" w:rsidRDefault="00000000">
            <w:pPr>
              <w:jc w:val="left"/>
            </w:pPr>
            <w:r>
              <w:t xml:space="preserve">Achieves linear complexity </w:t>
            </w:r>
            <m:oMath>
              <m:r>
                <w:rPr>
                  <w:rFonts w:ascii="Cambria Math" w:hAnsi="Cambria Math"/>
                </w:rPr>
                <m:t>O</m:t>
              </m:r>
              <m:d>
                <m:dPr>
                  <m:ctrlPr>
                    <w:rPr>
                      <w:rFonts w:ascii="Cambria Math" w:hAnsi="Cambria Math"/>
                      <w:i/>
                    </w:rPr>
                  </m:ctrlPr>
                </m:dPr>
                <m:e>
                  <m:r>
                    <w:rPr>
                      <w:rFonts w:ascii="Cambria Math" w:hAnsi="Cambria Math"/>
                    </w:rPr>
                    <m:t>N</m:t>
                  </m:r>
                </m:e>
              </m:d>
            </m:oMath>
            <w:r>
              <w:t>; guarantees mechanical interpretability; provides leakage-free online calibration.</w:t>
            </w:r>
          </w:p>
        </w:tc>
        <w:tc>
          <w:tcPr>
            <w:tcW w:w="1149" w:type="dxa"/>
            <w:vAlign w:val="center"/>
          </w:tcPr>
          <w:p w14:paraId="0CCB3BD0" w14:textId="77777777" w:rsidR="00BD1DA7" w:rsidRDefault="00000000">
            <w:pPr>
              <w:jc w:val="left"/>
            </w:pPr>
            <w:r>
              <w:t>Performance depends on the structural integrity of the early-stage healthy data segments.</w:t>
            </w:r>
          </w:p>
        </w:tc>
        <w:tc>
          <w:tcPr>
            <w:tcW w:w="1091" w:type="dxa"/>
            <w:vAlign w:val="center"/>
          </w:tcPr>
          <w:p w14:paraId="6BC24259" w14:textId="77777777" w:rsidR="00BD1DA7" w:rsidRDefault="00000000">
            <w:pPr>
              <w:jc w:val="left"/>
            </w:pPr>
            <w:r>
              <w:t>(</w:t>
            </w:r>
            <w:r>
              <w:rPr>
                <w:i/>
                <w:iCs/>
              </w:rPr>
              <w:t>Establishes a new scientific baseline for leakage-free, physics-informed PHM frameworks</w:t>
            </w:r>
            <w:r>
              <w:t>).</w:t>
            </w:r>
          </w:p>
        </w:tc>
      </w:tr>
    </w:tbl>
    <w:p w14:paraId="1D8EADEF" w14:textId="77777777" w:rsidR="00BD1DA7" w:rsidRDefault="00BD1DA7">
      <w:pPr>
        <w:tabs>
          <w:tab w:val="left" w:pos="284"/>
        </w:tabs>
        <w:jc w:val="both"/>
      </w:pPr>
    </w:p>
    <w:p w14:paraId="05B371E9" w14:textId="77777777" w:rsidR="00BD1DA7" w:rsidRDefault="00000000">
      <w:pPr>
        <w:pStyle w:val="Heading1"/>
      </w:pPr>
      <w:r>
        <w:t>Methodology</w:t>
      </w:r>
    </w:p>
    <w:p w14:paraId="5025A114" w14:textId="77777777" w:rsidR="00BD1DA7" w:rsidRDefault="00000000">
      <w:pPr>
        <w:pStyle w:val="Heading2"/>
      </w:pPr>
      <w:r>
        <w:t>Problem Formulation and Framework Overview</w:t>
      </w:r>
    </w:p>
    <w:p w14:paraId="4EA16743" w14:textId="77777777" w:rsidR="00BD1DA7" w:rsidRDefault="00000000">
      <w:pPr>
        <w:tabs>
          <w:tab w:val="left" w:pos="284"/>
        </w:tabs>
        <w:jc w:val="both"/>
      </w:pPr>
      <w:r>
        <w:tab/>
        <w:t xml:space="preserve">The structural health monitoring of industrial rolling element bearings utilizing time-series trajectories is formulated under an unsupervised anomaly detection paradigm driven by a next-window forecasting mechanism. Let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t xml:space="preserve"> denote a multivariate vibration sequence collected from an acceleration sensor array across </w:t>
      </w:r>
      <m:oMath>
        <m:r>
          <w:rPr>
            <w:rFonts w:ascii="Cambria Math" w:hAnsi="Cambria Math"/>
          </w:rPr>
          <m:t>C</m:t>
        </m:r>
      </m:oMath>
      <w:r>
        <w:t xml:space="preserve"> physical channels (representing distinct spatial measurement axes, such as horizontal and vertical directions) over a historical lookback window of length </w:t>
      </w:r>
      <m:oMath>
        <m:r>
          <w:rPr>
            <w:rFonts w:ascii="Cambria Math" w:hAnsi="Cambria Math"/>
          </w:rPr>
          <m:t>L</m:t>
        </m:r>
      </m:oMath>
      <w:r>
        <w:t xml:space="preserve">. The mathematical objective of the framework is to accurately forecast the subsequent operational sequence within a defined forecast horizon of length </w:t>
      </w:r>
      <m:oMath>
        <m:r>
          <w:rPr>
            <w:rFonts w:ascii="Cambria Math" w:hAnsi="Cambria Math"/>
          </w:rPr>
          <m:t>H</m:t>
        </m:r>
      </m:oMath>
      <w:r>
        <w:t xml:space="preserve">, denoted as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t xml:space="preserve">, which is sequentially evaluated against the corresponding ground-truth future target sequence </w:t>
      </w:r>
      <m:oMath>
        <m:sSub>
          <m:sSubPr>
            <m:ctrlPr>
              <w:rPr>
                <w:rFonts w:ascii="Cambria Math" w:hAnsi="Cambria Math"/>
                <w:i/>
              </w:rPr>
            </m:ctrlPr>
          </m:sSubPr>
          <m:e>
            <m:r>
              <w:rPr>
                <w:rFonts w:ascii="Cambria Math" w:hAnsi="Cambria Math"/>
              </w:rPr>
              <m:t>Y</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t>.</w:t>
      </w:r>
    </w:p>
    <w:p w14:paraId="21035DDE" w14:textId="77777777" w:rsidR="00BD1DA7" w:rsidRDefault="00000000">
      <w:pPr>
        <w:tabs>
          <w:tab w:val="left" w:pos="284"/>
        </w:tabs>
        <w:jc w:val="both"/>
      </w:pPr>
      <w:r>
        <w:tab/>
        <w:t>The proposed architecture operates strictly under the principles of unsupervised representation learning, wherein network optimization is executed exclusively utilizing data distributions derived from the initial early-stage healthy operational phases of the machinery—identified via binary condition indicator variables equal to zero (</w:t>
      </w:r>
      <m:oMath>
        <m:r>
          <w:rPr>
            <w:rFonts w:ascii="Cambria Math" w:hAnsi="Cambria Math"/>
          </w:rPr>
          <m:t>condition variable=0</m:t>
        </m:r>
      </m:oMath>
      <w:r>
        <w:t xml:space="preserve">). The theoretical foundation of this approach relies on the hypothesis that the network will establish an optimal latent space characterizing the normal cyclical dynamics of the mechanical asset. Upon the onset of structural degradation profiles, such as surface pitting, spalling, or localized wear (fault states), the emergence of non-linear transient impact shocks and severe distribution shifts disrupts the learned temporal regularities. Consequently, the squared discrepancy between the ground-truth future sequence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t xml:space="preserve"> and the reconstructed forecast sequence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oMath>
      <w:r>
        <w:t xml:space="preserve"> escalates sharply, yielding a robust mathematical baseline to compute anomaly scores and trigger online warning boundaries without requiring scarce or expensive labeled fault repositories.</w:t>
      </w:r>
    </w:p>
    <w:p w14:paraId="1934D00A" w14:textId="77777777" w:rsidR="00BD1DA7" w:rsidRDefault="00000000">
      <w:pPr>
        <w:pStyle w:val="Heading2"/>
      </w:pPr>
      <w:r>
        <w:t>Signal Preprocessing via Causal Butterworth High-Pass Filtering</w:t>
      </w:r>
    </w:p>
    <w:p w14:paraId="1A1DC090" w14:textId="77777777" w:rsidR="00BD1DA7" w:rsidRDefault="00000000">
      <w:pPr>
        <w:tabs>
          <w:tab w:val="left" w:pos="284"/>
        </w:tabs>
        <w:jc w:val="both"/>
      </w:pPr>
      <w:r>
        <w:tab/>
        <w:t xml:space="preserve">To suppress low-frequency operational oscillations originating from baseline induction motors, environmental ambient noise, or extraneous mechanical dynamics unrelated to bearing degradation, the raw vibration sequences are initially passed through an </w:t>
      </w:r>
      <m:oMath>
        <m:r>
          <w:rPr>
            <w:rFonts w:ascii="Cambria Math" w:hAnsi="Cambria Math"/>
          </w:rPr>
          <m:t>N</m:t>
        </m:r>
      </m:oMath>
      <w:r>
        <w:t>-th order high-pass Butterworth filter configured with a strict causality property. The magnitude squared frequency response of the filter in the continuous frequency domain is mathematically expressed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8"/>
        <w:gridCol w:w="426"/>
      </w:tblGrid>
      <w:tr w:rsidR="006B354F" w:rsidRPr="006B354F" w14:paraId="40D5D0CC" w14:textId="77777777" w:rsidTr="006B354F">
        <w:tc>
          <w:tcPr>
            <w:tcW w:w="7371" w:type="dxa"/>
            <w:vAlign w:val="center"/>
          </w:tcPr>
          <w:p w14:paraId="2BD8D0E9" w14:textId="02AB30BC" w:rsidR="006B354F" w:rsidRPr="006B354F" w:rsidRDefault="006B354F" w:rsidP="006B354F">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tc>
        <w:tc>
          <w:tcPr>
            <w:tcW w:w="283" w:type="dxa"/>
            <w:vAlign w:val="center"/>
          </w:tcPr>
          <w:p w14:paraId="37D350F6" w14:textId="3456C616" w:rsidR="006B354F" w:rsidRPr="006B354F" w:rsidRDefault="006B354F" w:rsidP="006B354F">
            <w:pPr>
              <w:pStyle w:val="Caption"/>
              <w:keepNext/>
              <w:rPr>
                <w:i w:val="0"/>
                <w:iCs w:val="0"/>
              </w:rPr>
            </w:pPr>
            <w:r w:rsidRPr="006B354F">
              <w:rPr>
                <w:i w:val="0"/>
                <w:iCs w:val="0"/>
              </w:rPr>
              <w:t>(</w:t>
            </w:r>
            <w:r>
              <w:rPr>
                <w:i w:val="0"/>
                <w:iCs w:val="0"/>
              </w:rPr>
              <w:fldChar w:fldCharType="begin"/>
            </w:r>
            <w:r>
              <w:rPr>
                <w:i w:val="0"/>
                <w:iCs w:val="0"/>
              </w:rPr>
              <w:instrText xml:space="preserve"> SEQ Equation \* ARABIC </w:instrText>
            </w:r>
            <w:r>
              <w:rPr>
                <w:i w:val="0"/>
                <w:iCs w:val="0"/>
              </w:rPr>
              <w:fldChar w:fldCharType="separate"/>
            </w:r>
            <w:r>
              <w:rPr>
                <w:i w:val="0"/>
                <w:iCs w:val="0"/>
                <w:noProof/>
              </w:rPr>
              <w:t>1</w:t>
            </w:r>
            <w:r>
              <w:rPr>
                <w:i w:val="0"/>
                <w:iCs w:val="0"/>
              </w:rPr>
              <w:fldChar w:fldCharType="end"/>
            </w:r>
            <w:r w:rsidRPr="006B354F">
              <w:rPr>
                <w:i w:val="0"/>
                <w:iCs w:val="0"/>
              </w:rPr>
              <w:t>)</w:t>
            </w:r>
          </w:p>
        </w:tc>
      </w:tr>
    </w:tbl>
    <w:p w14:paraId="1E0AAE79" w14:textId="592794D9" w:rsidR="006B354F" w:rsidRDefault="00000000" w:rsidP="006B354F">
      <w:pPr>
        <w:tabs>
          <w:tab w:val="left" w:pos="284"/>
        </w:tabs>
        <w:jc w:val="both"/>
      </w:pPr>
      <w:r>
        <w:t xml:space="preserve">where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t xml:space="preserve"> denotes the configured cutoff frequency parameter, and </w:t>
      </w:r>
      <m:oMath>
        <m:r>
          <m:rPr>
            <m:sty m:val="p"/>
          </m:rPr>
          <w:rPr>
            <w:rFonts w:ascii="Cambria Math" w:hAnsi="Cambria Math"/>
          </w:rPr>
          <m:t>ω</m:t>
        </m:r>
      </m:oMath>
      <w:r>
        <w:t xml:space="preserve"> represents the component angular frequency of the signal execution. To implement this continuous mathematical operator directly into a real-time discrete data processing pipeline without inducing look-ahead bias or future data leakage, a bilinear transformation is applied to map the transfer function from the continuous </w:t>
      </w:r>
      <m:oMath>
        <m:r>
          <w:rPr>
            <w:rFonts w:ascii="Cambria Math" w:hAnsi="Cambria Math"/>
          </w:rPr>
          <m:t>s</m:t>
        </m:r>
      </m:oMath>
      <w:r>
        <w:t xml:space="preserve">-domain to the discrete </w:t>
      </w:r>
      <m:oMath>
        <m:r>
          <w:rPr>
            <w:rFonts w:ascii="Cambria Math" w:hAnsi="Cambria Math"/>
          </w:rPr>
          <m:t>z</m:t>
        </m:r>
      </m:oMath>
      <w:r>
        <w:t>-domain, establishing a discrete time-domain difference equation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4"/>
        <w:gridCol w:w="450"/>
      </w:tblGrid>
      <w:tr w:rsidR="006B354F" w:rsidRPr="006B354F" w14:paraId="17961E3C" w14:textId="77777777" w:rsidTr="006B354F">
        <w:tc>
          <w:tcPr>
            <w:tcW w:w="7371" w:type="dxa"/>
            <w:vAlign w:val="center"/>
          </w:tcPr>
          <w:p w14:paraId="73576BD6" w14:textId="77777777" w:rsidR="006B354F" w:rsidRPr="006B354F" w:rsidRDefault="006B354F" w:rsidP="006B354F">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tc>
        <w:tc>
          <w:tcPr>
            <w:tcW w:w="273" w:type="dxa"/>
            <w:vAlign w:val="center"/>
          </w:tcPr>
          <w:p w14:paraId="7BD0E2B4" w14:textId="13231CF0" w:rsidR="006B354F" w:rsidRPr="006B354F" w:rsidRDefault="006B354F" w:rsidP="006B354F">
            <w:r>
              <w:t>(</w:t>
            </w:r>
            <w:r>
              <w:fldChar w:fldCharType="begin"/>
            </w:r>
            <w:r>
              <w:instrText xml:space="preserve"> SEQ Equation \* ARABIC </w:instrText>
            </w:r>
            <w:r>
              <w:fldChar w:fldCharType="separate"/>
            </w:r>
            <w:r>
              <w:rPr>
                <w:noProof/>
              </w:rPr>
              <w:t>2</w:t>
            </w:r>
            <w:r>
              <w:fldChar w:fldCharType="end"/>
            </w:r>
            <w:r>
              <w:t>)</w:t>
            </w:r>
          </w:p>
        </w:tc>
      </w:tr>
    </w:tbl>
    <w:p w14:paraId="1C445904" w14:textId="77777777" w:rsidR="00BD1DA7" w:rsidRDefault="00000000">
      <w:pPr>
        <w:tabs>
          <w:tab w:val="left" w:pos="284"/>
        </w:tabs>
        <w:jc w:val="both"/>
      </w:pPr>
      <w:r>
        <w:t xml:space="preserve">where </w:t>
      </w:r>
      <m:oMath>
        <m:r>
          <w:rPr>
            <w:rFonts w:ascii="Cambria Math" w:hAnsi="Cambria Math"/>
          </w:rPr>
          <m:t>x</m:t>
        </m:r>
      </m:oMath>
      <w:r>
        <w:t xml:space="preserve"> and </w:t>
      </w:r>
      <m:oMath>
        <m:r>
          <w:rPr>
            <w:rFonts w:ascii="Cambria Math" w:hAnsi="Cambria Math"/>
          </w:rPr>
          <m:t>y</m:t>
        </m:r>
      </m:oMath>
      <w:r>
        <w:t xml:space="preserve"> denote the discrete signals immediately prior to and following the filtering operation at time step </w:t>
      </w:r>
      <m:oMath>
        <m:r>
          <w:rPr>
            <w:rFonts w:ascii="Cambria Math" w:hAnsi="Cambria Math"/>
          </w:rPr>
          <m:t>t</m:t>
        </m:r>
      </m:oMath>
      <w:r>
        <w:t xml:space="preserve">, respectively, while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t xml:space="preserve"> and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t xml:space="preserve"> represent the filter coefficients derived from the baseline sensor sampling frequency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t>. Due to this causal formulation, the phase delay generated by the filter is naturally learned and compensated for by the downstream deep sequence model during the forecasting optimization process. The physical rationale of this preprocessing stage is to isolate and preserve low-amplitude, high-frequency transient impact impulses—which serve as the most sensitive early diagnostic indicators of surface fatigue cracking—vibrating inside the material prior to baseline distribution stabilization.</w:t>
      </w:r>
    </w:p>
    <w:p w14:paraId="0517BB69" w14:textId="77777777" w:rsidR="00BD1DA7" w:rsidRDefault="00000000">
      <w:pPr>
        <w:pStyle w:val="Heading2"/>
      </w:pPr>
      <w:r>
        <w:t>Distribution-Adaptive Series Decomposition Block</w:t>
      </w:r>
    </w:p>
    <w:p w14:paraId="0987E3C5" w14:textId="75B768FD" w:rsidR="006B354F" w:rsidRPr="006B354F" w:rsidRDefault="00000000" w:rsidP="006B354F">
      <w:pPr>
        <w:tabs>
          <w:tab w:val="left" w:pos="284"/>
        </w:tabs>
        <w:jc w:val="both"/>
      </w:pPr>
      <w:r>
        <w:tab/>
        <w:t xml:space="preserve">Aligning with the principle of architectural parsimony introduced in state-of-the-art time-series forecasting models such as the DMamba paradigm [22], the proposed framework completely decouples the processing of seasonal and trend feature streams. The core objective of this mechanism is to decompose the filtered input sequence </w:t>
      </w:r>
      <m:oMath>
        <m:r>
          <w:rPr>
            <w:rFonts w:ascii="Cambria Math" w:hAnsi="Cambria Math"/>
          </w:rPr>
          <m:t>X</m:t>
        </m:r>
      </m:oMath>
      <w:r>
        <w:t xml:space="preserve"> into two distinct components possessing divergent physical and statistical profiles to maximize deep sequence representation capacity. The decomposition workflow is executed via a one-dimensional moving average pooling operator (</w:t>
      </w:r>
      <m:oMath>
        <m:r>
          <m:rPr>
            <m:nor/>
          </m:rPr>
          <w:rPr>
            <w:rFonts w:ascii="Cambria Math" w:hAnsi="Cambria Math"/>
            <w:iCs/>
          </w:rPr>
          <m:t>AvgPool1d</m:t>
        </m:r>
      </m:oMath>
      <w:r>
        <w:t>) sliding along the temporal axis of the historical lookback window: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4"/>
        <w:gridCol w:w="450"/>
      </w:tblGrid>
      <w:tr w:rsidR="006B354F" w:rsidRPr="006B354F" w14:paraId="081E18F9" w14:textId="77777777" w:rsidTr="006B354F">
        <w:tc>
          <w:tcPr>
            <w:tcW w:w="7371" w:type="dxa"/>
            <w:vAlign w:val="center"/>
          </w:tcPr>
          <w:p w14:paraId="18D95E30" w14:textId="77777777" w:rsidR="006B354F" w:rsidRPr="006B354F" w:rsidRDefault="006B354F" w:rsidP="006B354F">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tc>
        <w:tc>
          <w:tcPr>
            <w:tcW w:w="273" w:type="dxa"/>
            <w:vAlign w:val="center"/>
          </w:tcPr>
          <w:p w14:paraId="65FF243D" w14:textId="50A9F344" w:rsidR="006B354F" w:rsidRPr="006B354F" w:rsidRDefault="006B354F" w:rsidP="006B354F">
            <w:pPr>
              <w:pStyle w:val="Caption"/>
              <w:keepNext/>
              <w:spacing w:after="0"/>
              <w:rPr>
                <w:i w:val="0"/>
                <w:iCs w:val="0"/>
                <w:sz w:val="20"/>
                <w:szCs w:val="20"/>
              </w:rPr>
            </w:pPr>
            <w:r>
              <w:rPr>
                <w:i w:val="0"/>
                <w:iCs w:val="0"/>
                <w:sz w:val="20"/>
                <w:szCs w:val="20"/>
              </w:rPr>
              <w:t>(</w:t>
            </w:r>
            <w:r>
              <w:rPr>
                <w:i w:val="0"/>
                <w:iCs w:val="0"/>
                <w:sz w:val="20"/>
                <w:szCs w:val="20"/>
              </w:rPr>
              <w:fldChar w:fldCharType="begin"/>
            </w:r>
            <w:r>
              <w:rPr>
                <w:i w:val="0"/>
                <w:iCs w:val="0"/>
                <w:sz w:val="20"/>
                <w:szCs w:val="20"/>
              </w:rPr>
              <w:instrText xml:space="preserve"> SEQ Equation \* ARABIC </w:instrText>
            </w:r>
            <w:r>
              <w:rPr>
                <w:i w:val="0"/>
                <w:iCs w:val="0"/>
                <w:sz w:val="20"/>
                <w:szCs w:val="20"/>
              </w:rPr>
              <w:fldChar w:fldCharType="separate"/>
            </w:r>
            <w:r>
              <w:rPr>
                <w:i w:val="0"/>
                <w:iCs w:val="0"/>
                <w:noProof/>
                <w:sz w:val="20"/>
                <w:szCs w:val="20"/>
              </w:rPr>
              <w:t>3</w:t>
            </w:r>
            <w:r>
              <w:rPr>
                <w:i w:val="0"/>
                <w:iCs w:val="0"/>
                <w:sz w:val="20"/>
                <w:szCs w:val="20"/>
              </w:rPr>
              <w:fldChar w:fldCharType="end"/>
            </w:r>
            <w:r>
              <w:rPr>
                <w:i w:val="0"/>
                <w:iCs w:val="0"/>
                <w:sz w:val="20"/>
                <w:szCs w:val="20"/>
              </w:rPr>
              <w:t>)</w:t>
            </w:r>
          </w:p>
        </w:tc>
      </w:tr>
    </w:tbl>
    <w:p w14:paraId="0711A500" w14:textId="77777777" w:rsidR="006B354F" w:rsidRDefault="006B354F">
      <w:pPr>
        <w:tabs>
          <w:tab w:val="left" w:pos="284"/>
        </w:tabs>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9"/>
        <w:gridCol w:w="450"/>
      </w:tblGrid>
      <w:tr w:rsidR="006B354F" w:rsidRPr="006B354F" w14:paraId="1C6972FE" w14:textId="77777777" w:rsidTr="006B354F">
        <w:tc>
          <w:tcPr>
            <w:tcW w:w="7199" w:type="dxa"/>
            <w:vAlign w:val="center"/>
          </w:tcPr>
          <w:p w14:paraId="551F9862" w14:textId="77777777" w:rsidR="006B354F" w:rsidRPr="006B354F" w:rsidRDefault="006B354F" w:rsidP="006B354F">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tc>
        <w:tc>
          <w:tcPr>
            <w:tcW w:w="445" w:type="dxa"/>
            <w:vAlign w:val="center"/>
          </w:tcPr>
          <w:p w14:paraId="3825C7A9" w14:textId="799A10F0" w:rsidR="006B354F" w:rsidRPr="006B354F" w:rsidRDefault="006B354F" w:rsidP="006B354F">
            <w:r>
              <w:t>(</w:t>
            </w:r>
            <w:r>
              <w:fldChar w:fldCharType="begin"/>
            </w:r>
            <w:r>
              <w:instrText xml:space="preserve"> SEQ Equation \* ARABIC </w:instrText>
            </w:r>
            <w:r>
              <w:fldChar w:fldCharType="separate"/>
            </w:r>
            <w:r>
              <w:rPr>
                <w:noProof/>
              </w:rPr>
              <w:t>4</w:t>
            </w:r>
            <w:r>
              <w:fldChar w:fldCharType="end"/>
            </w:r>
            <w:r>
              <w:t>)</w:t>
            </w:r>
          </w:p>
        </w:tc>
      </w:tr>
    </w:tbl>
    <w:p w14:paraId="1D272D56" w14:textId="77777777" w:rsidR="00BD1DA7" w:rsidRDefault="00000000">
      <w:pPr>
        <w:tabs>
          <w:tab w:val="left" w:pos="284"/>
        </w:tabs>
        <w:jc w:val="both"/>
      </w:pPr>
      <w:r>
        <w:lastRenderedPageBreak/>
        <w:t xml:space="preserve">where </w:t>
      </w:r>
      <m:oMath>
        <m:r>
          <w:rPr>
            <w:rFonts w:ascii="Cambria Math" w:hAnsi="Cambria Math"/>
          </w:rPr>
          <m:t>2r+1</m:t>
        </m:r>
      </m:oMath>
      <w:r>
        <w:t xml:space="preserve"> represents the moving average kernel size width. An edge-replication padding layer (</w:t>
      </w:r>
      <m:oMath>
        <m:r>
          <m:rPr>
            <m:nor/>
          </m:rPr>
          <w:rPr>
            <w:rFonts w:ascii="Cambria Math" w:hAnsi="Cambria Math"/>
            <w:iCs/>
          </w:rPr>
          <m:t>Pad</m:t>
        </m:r>
      </m:oMath>
      <w:r>
        <w:t xml:space="preserve">) is enforced to guarantee that the trend tensor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t xml:space="preserve"> maintains strict geometric dimensionality alignment with the original input.</w:t>
      </w:r>
    </w:p>
    <w:p w14:paraId="0302EC6D" w14:textId="77777777" w:rsidR="00BD1DA7" w:rsidRDefault="00000000">
      <w:pPr>
        <w:tabs>
          <w:tab w:val="left" w:pos="284"/>
        </w:tabs>
        <w:jc w:val="both"/>
      </w:pPr>
      <w:r>
        <w:tab/>
        <w:t xml:space="preserve">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t xml:space="preserve"> isolates the smooth moving average profile, reflecting the progressive, slow-moving physical wear of the mechanical structure, which inherently exhibits a low dimensional complexity. 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t xml:space="preserve"> captures highly non-linear high-frequency dynamics, incorporating synchronous rotational frequency cycles and transient impact shocks induced by bearing localized defects. This structural bifurcation prevents energy-dominant low-frequency trend profiles from masking sub-nominal seasonal fault impulses, allowing dedicated network branches to focus exclusively on compatible feature spaces.</w:t>
      </w:r>
    </w:p>
    <w:p w14:paraId="2234BD35" w14:textId="77777777" w:rsidR="00BD1DA7" w:rsidRDefault="00000000">
      <w:pPr>
        <w:pStyle w:val="Heading2"/>
      </w:pPr>
      <w:r>
        <w:t>Linear Trend Forecasting Stream</w:t>
      </w:r>
    </w:p>
    <w:p w14:paraId="2135BBFB" w14:textId="165FDA6B" w:rsidR="006B354F" w:rsidRDefault="00000000" w:rsidP="006B354F">
      <w:pPr>
        <w:tabs>
          <w:tab w:val="left" w:pos="284"/>
        </w:tabs>
        <w:jc w:val="both"/>
      </w:pPr>
      <w:r>
        <w:tab/>
        <w:t xml:space="preserve">In accordance with the structural parsimony verified by DMamba [22],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t xml:space="preserve"> models smooth, monotonic mechanical degradation trajectories. Routing this low-complexity stream through highly parameterized attention layers or selective state space scanning matrices is structurally redundant, frequently inducing severe overfitting behaviors and unnecessary computational inflation. Consequently, a direct linear projection layer is structured to forecast the future trend profile </w:t>
      </w: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oMath>
      <w:r>
        <w:t xml:space="preserve"> across the target horizon: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4"/>
        <w:gridCol w:w="450"/>
      </w:tblGrid>
      <w:tr w:rsidR="006B354F" w:rsidRPr="006B354F" w14:paraId="133D579E" w14:textId="77777777" w:rsidTr="006B354F">
        <w:tc>
          <w:tcPr>
            <w:tcW w:w="7366" w:type="dxa"/>
            <w:vAlign w:val="center"/>
          </w:tcPr>
          <w:p w14:paraId="23623460" w14:textId="77777777" w:rsidR="006B354F" w:rsidRPr="006B354F" w:rsidRDefault="006B354F" w:rsidP="006B354F">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tc>
        <w:tc>
          <w:tcPr>
            <w:tcW w:w="278" w:type="dxa"/>
            <w:vAlign w:val="center"/>
          </w:tcPr>
          <w:p w14:paraId="09801F4C" w14:textId="281973E9" w:rsidR="006B354F" w:rsidRPr="006B354F" w:rsidRDefault="006B354F" w:rsidP="006B354F">
            <w:r>
              <w:t>(</w:t>
            </w:r>
            <w:r>
              <w:fldChar w:fldCharType="begin"/>
            </w:r>
            <w:r>
              <w:instrText xml:space="preserve"> SEQ Equation \* ARABIC </w:instrText>
            </w:r>
            <w:r>
              <w:fldChar w:fldCharType="separate"/>
            </w:r>
            <w:r>
              <w:rPr>
                <w:noProof/>
              </w:rPr>
              <w:t>5</w:t>
            </w:r>
            <w:r>
              <w:fldChar w:fldCharType="end"/>
            </w:r>
            <w:r>
              <w:t>)</w:t>
            </w:r>
          </w:p>
        </w:tc>
      </w:tr>
    </w:tbl>
    <w:p w14:paraId="36FA7FFB" w14:textId="77777777" w:rsidR="00BD1DA7" w:rsidRDefault="00000000">
      <w:pPr>
        <w:tabs>
          <w:tab w:val="left" w:pos="284"/>
        </w:tabs>
        <w:jc w:val="both"/>
      </w:pPr>
      <w:r>
        <w:t xml:space="preserve">where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t xml:space="preserve"> denotes the projection weight matrix, and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t xml:space="preserve"> represents the bias vector. To optimize memory resource footprints and enhance training numerical stability under extended lookback windows, an adaptive downsampling pooling layer (</w:t>
      </w:r>
      <m:oMath>
        <m:r>
          <m:rPr>
            <m:nor/>
          </m:rPr>
          <w:rPr>
            <w:rFonts w:ascii="Cambria Math" w:hAnsi="Cambria Math"/>
            <w:iCs/>
          </w:rPr>
          <m:t>Downsample</m:t>
        </m:r>
      </m:oMath>
      <w:r>
        <w:t xml:space="preserve">) with a configured stride </w:t>
      </w:r>
      <m:oMath>
        <m:r>
          <w:rPr>
            <w:rFonts w:ascii="Cambria Math" w:hAnsi="Cambria Math"/>
          </w:rPr>
          <m:t>S</m:t>
        </m:r>
      </m:oMath>
      <w:r>
        <w:t xml:space="preserve"> is integrated to compress the trend sequence prior to the execution of the matrix multiplication. The projection parameter matrix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t xml:space="preserve"> is regularized under a strict channel-independent weight sharing constraint, meaning a singular weight configuration is applied uniformly across all sensor channels </w:t>
      </w:r>
      <m:oMath>
        <m:r>
          <w:rPr>
            <w:rFonts w:ascii="Cambria Math" w:hAnsi="Cambria Math"/>
          </w:rPr>
          <m:t>c</m:t>
        </m:r>
      </m:oMath>
      <w:r>
        <w:t>, drastically decreasing the global trainable parameter volume while preserving the underlying unified degradation path.</w:t>
      </w:r>
    </w:p>
    <w:p w14:paraId="430C7EE6" w14:textId="77777777" w:rsidR="00BD1DA7" w:rsidRDefault="00000000">
      <w:pPr>
        <w:pStyle w:val="Heading2"/>
      </w:pPr>
      <w:r>
        <w:t>Seasonal Mamba-CNN Forecasting Stream</w:t>
      </w:r>
    </w:p>
    <w:p w14:paraId="516D18AB" w14:textId="77777777" w:rsidR="00BD1DA7" w:rsidRDefault="00000000">
      <w:pPr>
        <w:tabs>
          <w:tab w:val="left" w:pos="284"/>
        </w:tabs>
        <w:jc w:val="both"/>
      </w:pPr>
      <w:r>
        <w:tab/>
        <w:t xml:space="preserve">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t xml:space="preserve"> encapsulates complex non-linear temporal variations constituted by background operational noise and fault-induced impulses, which are routed through a hybrid processing stream fusing localized convolutional blocks and selective Mamba state space encoders to thoroughly map long-range dependencies.</w:t>
      </w:r>
    </w:p>
    <w:p w14:paraId="61582D2A" w14:textId="77777777" w:rsidR="00BD1DA7" w:rsidRDefault="00000000">
      <w:pPr>
        <w:pStyle w:val="Heading3"/>
      </w:pPr>
      <w:r>
        <w:t>Convolutional Patch Embedding Mechanism (CNN Patch Embedding)</w:t>
      </w:r>
    </w:p>
    <w:p w14:paraId="0EC98452" w14:textId="77777777" w:rsidR="00BD1DA7" w:rsidRDefault="00000000">
      <w:pPr>
        <w:tabs>
          <w:tab w:val="left" w:pos="284"/>
        </w:tabs>
        <w:jc w:val="both"/>
      </w:pPr>
      <w:r>
        <w:tab/>
        <w:t xml:space="preserve">To reduce the token sequence length forwarded to the recurrent layers and reinforce localized spatial-temporal inductive biases, the seasonal time-series is partitioned into localized patches of size </w:t>
      </w:r>
      <m:oMath>
        <m:r>
          <w:rPr>
            <w:rFonts w:ascii="Cambria Math" w:hAnsi="Cambria Math"/>
          </w:rPr>
          <m:t>P</m:t>
        </m:r>
      </m:oMath>
      <w:r>
        <w:t xml:space="preserve"> with a sliding stride of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t xml:space="preserve">. The total volume of generated temporal tokens </w:t>
      </w:r>
      <m:oMath>
        <m:r>
          <w:rPr>
            <w:rFonts w:ascii="Cambria Math" w:hAnsi="Cambria Math"/>
          </w:rPr>
          <m:t>M</m:t>
        </m:r>
      </m:oMath>
      <w:r>
        <w:t xml:space="preserve"> is determined via the discrete mathematical expression: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8"/>
        <w:gridCol w:w="426"/>
      </w:tblGrid>
      <w:tr w:rsidR="006B354F" w:rsidRPr="006B354F" w14:paraId="211A3498" w14:textId="77777777" w:rsidTr="006B354F">
        <w:tc>
          <w:tcPr>
            <w:tcW w:w="7371" w:type="dxa"/>
          </w:tcPr>
          <w:p w14:paraId="4101B2D1" w14:textId="77777777" w:rsidR="006B354F" w:rsidRPr="006B354F" w:rsidRDefault="006B354F" w:rsidP="00920AC8">
            <w:pPr>
              <w:jc w:val="both"/>
            </w:pPr>
            <m:oMathPara>
              <m:oMath>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tc>
        <w:tc>
          <w:tcPr>
            <w:tcW w:w="273" w:type="dxa"/>
            <w:vAlign w:val="center"/>
          </w:tcPr>
          <w:p w14:paraId="7935D430" w14:textId="5860883A" w:rsidR="006B354F" w:rsidRPr="006B354F" w:rsidRDefault="006B354F" w:rsidP="006B354F">
            <w:pPr>
              <w:pStyle w:val="Caption"/>
              <w:spacing w:after="0"/>
              <w:rPr>
                <w:i w:val="0"/>
                <w:iCs w:val="0"/>
              </w:rPr>
            </w:pPr>
            <w:r w:rsidRPr="006B354F">
              <w:rPr>
                <w:i w:val="0"/>
                <w:iCs w:val="0"/>
              </w:rPr>
              <w:t>(</w:t>
            </w:r>
            <w:r w:rsidRPr="006B354F">
              <w:rPr>
                <w:i w:val="0"/>
                <w:iCs w:val="0"/>
              </w:rPr>
              <w:fldChar w:fldCharType="begin"/>
            </w:r>
            <w:r w:rsidRPr="006B354F">
              <w:rPr>
                <w:i w:val="0"/>
                <w:iCs w:val="0"/>
              </w:rPr>
              <w:instrText xml:space="preserve"> SEQ Equation \* ARABIC </w:instrText>
            </w:r>
            <w:r w:rsidRPr="006B354F">
              <w:rPr>
                <w:i w:val="0"/>
                <w:iCs w:val="0"/>
              </w:rPr>
              <w:fldChar w:fldCharType="separate"/>
            </w:r>
            <w:r w:rsidRPr="006B354F">
              <w:rPr>
                <w:i w:val="0"/>
                <w:iCs w:val="0"/>
                <w:noProof/>
              </w:rPr>
              <w:t>6</w:t>
            </w:r>
            <w:r w:rsidRPr="006B354F">
              <w:rPr>
                <w:i w:val="0"/>
                <w:iCs w:val="0"/>
              </w:rPr>
              <w:fldChar w:fldCharType="end"/>
            </w:r>
            <w:r w:rsidRPr="006B354F">
              <w:rPr>
                <w:i w:val="0"/>
                <w:iCs w:val="0"/>
              </w:rPr>
              <w:t>)</w:t>
            </w:r>
          </w:p>
        </w:tc>
      </w:tr>
    </w:tbl>
    <w:p w14:paraId="069C586E" w14:textId="77777777" w:rsidR="00BD1DA7" w:rsidRDefault="00000000">
      <w:pPr>
        <w:tabs>
          <w:tab w:val="left" w:pos="284"/>
        </w:tabs>
        <w:jc w:val="both"/>
      </w:pPr>
      <w:r>
        <w:tab/>
        <w:t xml:space="preserve">The extraction and projection of these patches into a latent embedding space of dimension </w:t>
      </w:r>
      <m:oMath>
        <m:r>
          <w:rPr>
            <w:rFonts w:ascii="Cambria Math" w:hAnsi="Cambria Math"/>
          </w:rPr>
          <m:t>D</m:t>
        </m:r>
      </m:oMath>
      <w:r>
        <w:t xml:space="preserve"> are executed in parallel utilizing a one-dimensional convolutional layer (</w:t>
      </w:r>
      <m:oMath>
        <m:r>
          <m:rPr>
            <m:nor/>
          </m:rPr>
          <w:rPr>
            <w:rFonts w:ascii="Cambria Math" w:hAnsi="Cambria Math"/>
            <w:iCs/>
          </w:rPr>
          <m:t>Conv1d</m:t>
        </m:r>
      </m:oMath>
      <w:r>
        <w:t xml:space="preserve">) sweeping across the temporal grid of the sequence, configured with an output channel size equal to </w:t>
      </w:r>
      <m:oMath>
        <m:r>
          <w:rPr>
            <w:rFonts w:ascii="Cambria Math" w:hAnsi="Cambria Math"/>
          </w:rPr>
          <m:t>D</m:t>
        </m:r>
      </m:oMath>
      <w:r>
        <w:t xml:space="preserve">, a kernel size equal to </w:t>
      </w:r>
      <m:oMath>
        <m:r>
          <w:rPr>
            <w:rFonts w:ascii="Cambria Math" w:hAnsi="Cambria Math"/>
          </w:rPr>
          <m:t>P</m:t>
        </m:r>
      </m:oMath>
      <w:r>
        <w:t xml:space="preserve">, and a stride parameter equal to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9"/>
        <w:gridCol w:w="450"/>
      </w:tblGrid>
      <w:tr w:rsidR="00D84B77" w:rsidRPr="00D84B77" w14:paraId="3F7F05E7" w14:textId="77777777" w:rsidTr="00D84B77">
        <w:tc>
          <w:tcPr>
            <w:tcW w:w="7199" w:type="dxa"/>
            <w:vAlign w:val="center"/>
          </w:tcPr>
          <w:p w14:paraId="4B3E3F6A" w14:textId="77777777" w:rsidR="00D84B77" w:rsidRPr="00D84B77" w:rsidRDefault="00D84B77" w:rsidP="00D84B77">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tc>
        <w:tc>
          <w:tcPr>
            <w:tcW w:w="445" w:type="dxa"/>
            <w:vAlign w:val="center"/>
          </w:tcPr>
          <w:p w14:paraId="2E138FC3" w14:textId="1D9B08B3" w:rsidR="00D84B77" w:rsidRPr="00D84B77" w:rsidRDefault="00D84B77" w:rsidP="00D84B77">
            <w:r>
              <w:t>(7)</w:t>
            </w:r>
          </w:p>
        </w:tc>
      </w:tr>
    </w:tbl>
    <w:p w14:paraId="125623BD" w14:textId="77777777" w:rsidR="00BD1DA7" w:rsidRDefault="00000000">
      <w:pPr>
        <w:tabs>
          <w:tab w:val="left" w:pos="284"/>
        </w:tabs>
        <w:jc w:val="both"/>
      </w:pPr>
      <w:r>
        <w:tab/>
        <w:t>The physical rationale of this convolutional embedding block is to operate as an adaptive localized band-pass filter, smoothing the raw signal variations and compressing discrete kinematic impulse patterns within a localized window into high-density representation vectors.</w:t>
      </w:r>
    </w:p>
    <w:p w14:paraId="0DA5BF63" w14:textId="77777777" w:rsidR="00BD1DA7" w:rsidRDefault="00000000">
      <w:pPr>
        <w:pStyle w:val="Heading3"/>
      </w:pPr>
      <w:r>
        <w:t>Channel Independence (CI) Rule</w:t>
      </w:r>
    </w:p>
    <w:p w14:paraId="2AABF582" w14:textId="77777777" w:rsidR="00BD1DA7" w:rsidRDefault="00000000">
      <w:pPr>
        <w:tabs>
          <w:tab w:val="left" w:pos="284"/>
        </w:tabs>
        <w:jc w:val="both"/>
      </w:pPr>
      <w:r>
        <w:lastRenderedPageBreak/>
        <w:tab/>
        <w:t>To thoroughly suppress cross-channel noise propagation and prevent collinearity leakage between distinct acceleration measuring axes, the batch dimension (</w:t>
      </w:r>
      <m:oMath>
        <m:r>
          <w:rPr>
            <w:rFonts w:ascii="Cambria Math" w:hAnsi="Cambria Math"/>
          </w:rPr>
          <m:t>B</m:t>
        </m:r>
      </m:oMath>
      <w:r>
        <w:t>) and sensor channel dimension (</w:t>
      </w:r>
      <m:oMath>
        <m:r>
          <w:rPr>
            <w:rFonts w:ascii="Cambria Math" w:hAnsi="Cambria Math"/>
          </w:rPr>
          <m:t>C</m:t>
        </m:r>
      </m:oMath>
      <w:r>
        <w:t>) are flattened to transform the latent tensor configuration: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4"/>
        <w:gridCol w:w="450"/>
      </w:tblGrid>
      <w:tr w:rsidR="00D84B77" w:rsidRPr="00D84B77" w14:paraId="427295E7" w14:textId="77777777" w:rsidTr="00D84B77">
        <w:tc>
          <w:tcPr>
            <w:tcW w:w="7366" w:type="dxa"/>
            <w:vAlign w:val="center"/>
          </w:tcPr>
          <w:p w14:paraId="2D8F6BAF" w14:textId="77777777" w:rsidR="00D84B77" w:rsidRPr="00D84B77" w:rsidRDefault="00D84B77" w:rsidP="00D84B77">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tc>
        <w:tc>
          <w:tcPr>
            <w:tcW w:w="278" w:type="dxa"/>
            <w:vAlign w:val="center"/>
          </w:tcPr>
          <w:p w14:paraId="7222F735" w14:textId="348F0253" w:rsidR="00D84B77" w:rsidRPr="00D84B77" w:rsidRDefault="00D84B77" w:rsidP="00D84B77">
            <w:r>
              <w:t>(8)</w:t>
            </w:r>
          </w:p>
        </w:tc>
      </w:tr>
    </w:tbl>
    <w:p w14:paraId="00F7AB5F" w14:textId="77777777" w:rsidR="00BD1DA7" w:rsidRDefault="00000000">
      <w:pPr>
        <w:tabs>
          <w:tab w:val="left" w:pos="284"/>
        </w:tabs>
        <w:jc w:val="both"/>
      </w:pPr>
      <w:r>
        <w:tab/>
        <w:t>This regularizing constraint forces the subsequent encoder layers to evaluate sequence data from each acceleration sensor as an isolated single-channel entity, preserving the unique physical dynamics of individual mechanical measurement vectors.</w:t>
      </w:r>
    </w:p>
    <w:p w14:paraId="38760A58" w14:textId="77777777" w:rsidR="00BD1DA7" w:rsidRDefault="00000000">
      <w:pPr>
        <w:pStyle w:val="Heading3"/>
      </w:pPr>
      <w:r>
        <w:t>Hybrid Mamba-CNN Block</w:t>
      </w:r>
    </w:p>
    <w:p w14:paraId="2377999A" w14:textId="77777777" w:rsidR="00BD1DA7" w:rsidRDefault="00000000">
      <w:pPr>
        <w:tabs>
          <w:tab w:val="left" w:pos="284"/>
        </w:tabs>
        <w:jc w:val="both"/>
      </w:pPr>
      <w:r>
        <w:tab/>
        <w:t xml:space="preserve">The channel-independent latent representation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t xml:space="preserve"> is subsequently forwarded through a series of hybrid selective state space blocks integrated with convolutional layers. Within each block, the hidden input signal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t xml:space="preserve"> at patch step </w:t>
      </w:r>
      <m:oMath>
        <m:r>
          <w:rPr>
            <w:rFonts w:ascii="Cambria Math" w:hAnsi="Cambria Math"/>
          </w:rPr>
          <m:t>m</m:t>
        </m:r>
      </m:oMath>
      <w:r>
        <w:t xml:space="preserve"> is initially routed to a localized 1D convolutional branch with a kernel width </w:t>
      </w:r>
      <m:oMath>
        <m:r>
          <w:rPr>
            <w:rFonts w:ascii="Cambria Math" w:hAnsi="Cambria Math"/>
          </w:rPr>
          <m:t>K</m:t>
        </m:r>
      </m:oMath>
      <w:r>
        <w:t xml:space="preserve"> and a non-linear SiLU activation function to eliminate high-frequency instrument noise: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4"/>
        <w:gridCol w:w="450"/>
      </w:tblGrid>
      <w:tr w:rsidR="00D84B77" w:rsidRPr="00D84B77" w14:paraId="280355E8" w14:textId="77777777" w:rsidTr="00D84B77">
        <w:tc>
          <w:tcPr>
            <w:tcW w:w="7366" w:type="dxa"/>
            <w:vAlign w:val="center"/>
          </w:tcPr>
          <w:p w14:paraId="29B1B3C2" w14:textId="77777777" w:rsidR="00D84B77" w:rsidRPr="00D84B77" w:rsidRDefault="00D84B77" w:rsidP="00D84B77">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tc>
        <w:tc>
          <w:tcPr>
            <w:tcW w:w="278" w:type="dxa"/>
            <w:vAlign w:val="center"/>
          </w:tcPr>
          <w:p w14:paraId="2149D1D3" w14:textId="6FA89B66" w:rsidR="00D84B77" w:rsidRPr="00D84B77" w:rsidRDefault="00D84B77" w:rsidP="00D84B77">
            <w:r>
              <w:t>(9)</w:t>
            </w:r>
          </w:p>
        </w:tc>
      </w:tr>
    </w:tbl>
    <w:p w14:paraId="17F48E30" w14:textId="77777777" w:rsidR="00BD1DA7" w:rsidRDefault="00000000">
      <w:pPr>
        <w:tabs>
          <w:tab w:val="left" w:pos="284"/>
        </w:tabs>
        <w:jc w:val="both"/>
      </w:pPr>
      <w:r>
        <w:tab/>
        <w:t xml:space="preserve">The filtered feature stream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t xml:space="preserve"> serves as the input driver for the selective continuous state space model (</w:t>
      </w:r>
      <m:oMath>
        <m:r>
          <m:rPr>
            <m:nor/>
          </m:rPr>
          <w:rPr>
            <w:rFonts w:ascii="Cambria Math" w:hAnsi="Cambria Math"/>
            <w:iCs/>
          </w:rPr>
          <m:t>SSM</m:t>
        </m:r>
      </m:oMath>
      <w:r>
        <w:t>), which executes hidden state transitions using data-dependent coefficient matrices: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556"/>
      </w:tblGrid>
      <w:tr w:rsidR="00D84B77" w:rsidRPr="00D84B77" w14:paraId="62A724C3" w14:textId="77777777" w:rsidTr="00D84B77">
        <w:tc>
          <w:tcPr>
            <w:tcW w:w="7088" w:type="dxa"/>
            <w:vAlign w:val="center"/>
          </w:tcPr>
          <w:p w14:paraId="501BB149" w14:textId="77777777" w:rsidR="00D84B77" w:rsidRPr="00D84B77" w:rsidRDefault="00D84B77" w:rsidP="00D84B77">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tc>
        <w:tc>
          <w:tcPr>
            <w:tcW w:w="556" w:type="dxa"/>
            <w:vAlign w:val="center"/>
          </w:tcPr>
          <w:p w14:paraId="516D2166" w14:textId="191BB227" w:rsidR="00D84B77" w:rsidRPr="00D84B77" w:rsidRDefault="00D84B77" w:rsidP="00D84B77">
            <w:r>
              <w:t>(10)</w:t>
            </w:r>
          </w:p>
        </w:tc>
      </w:tr>
    </w:tbl>
    <w:p w14:paraId="1543F6D4" w14:textId="77777777" w:rsidR="00D84B77" w:rsidRDefault="00D84B77">
      <w:pPr>
        <w:tabs>
          <w:tab w:val="left" w:pos="284"/>
        </w:tabs>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32012B25" w14:textId="77777777" w:rsidTr="00D84B77">
        <w:tc>
          <w:tcPr>
            <w:tcW w:w="7366" w:type="dxa"/>
            <w:vAlign w:val="center"/>
          </w:tcPr>
          <w:p w14:paraId="76C96F9E" w14:textId="77777777" w:rsidR="00D84B77" w:rsidRPr="00D84B77" w:rsidRDefault="00D84B77" w:rsidP="00D84B77">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tc>
        <w:tc>
          <w:tcPr>
            <w:tcW w:w="278" w:type="dxa"/>
            <w:vAlign w:val="center"/>
          </w:tcPr>
          <w:p w14:paraId="28CBEAF3" w14:textId="74882F02" w:rsidR="00D84B77" w:rsidRPr="00D84B77" w:rsidRDefault="00D84B77" w:rsidP="00D84B77">
            <w:r>
              <w:t>(11)</w:t>
            </w:r>
          </w:p>
        </w:tc>
      </w:tr>
    </w:tbl>
    <w:p w14:paraId="28133CD6" w14:textId="77777777" w:rsidR="00BD1DA7" w:rsidRDefault="00000000">
      <w:pPr>
        <w:tabs>
          <w:tab w:val="left" w:pos="284"/>
        </w:tabs>
        <w:jc w:val="both"/>
      </w:pPr>
      <w:r>
        <w:tab/>
        <w:t>The embedding of a 1D CNN layer directly prior to the linear scanning mechanism of Mamba structures a robust localized noise barrier, preventing the saturation of hidden recurrent states when subjected to large background white noise fields.</w:t>
      </w:r>
    </w:p>
    <w:p w14:paraId="0511969E" w14:textId="77777777" w:rsidR="00BD1DA7" w:rsidRDefault="00000000">
      <w:pPr>
        <w:pStyle w:val="Heading3"/>
      </w:pPr>
      <w:r>
        <w:t>Seasonal Forecasting Head</w:t>
      </w:r>
    </w:p>
    <w:p w14:paraId="0ECBD9B5" w14:textId="77777777" w:rsidR="00BD1DA7" w:rsidRDefault="00000000">
      <w:pPr>
        <w:tabs>
          <w:tab w:val="left" w:pos="284"/>
        </w:tabs>
        <w:jc w:val="both"/>
      </w:pPr>
      <w:r>
        <w:tab/>
        <w:t xml:space="preserve">The global temporal context vector generated by the Mamba layers, denoted as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t>, is passed to a dedicated forecasting head that projects the latent representation back into the discrete time domain of the future forecast horizon: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0A6BAF7A" w14:textId="77777777" w:rsidTr="00D84B77">
        <w:tc>
          <w:tcPr>
            <w:tcW w:w="7366" w:type="dxa"/>
            <w:vAlign w:val="center"/>
          </w:tcPr>
          <w:p w14:paraId="6CB45A02" w14:textId="77777777" w:rsidR="00D84B77" w:rsidRPr="00D84B77" w:rsidRDefault="00D84B77" w:rsidP="00D84B77">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tc>
        <w:tc>
          <w:tcPr>
            <w:tcW w:w="278" w:type="dxa"/>
            <w:vAlign w:val="center"/>
          </w:tcPr>
          <w:p w14:paraId="5DEDE4B4" w14:textId="3E49D5CF" w:rsidR="00D84B77" w:rsidRPr="00D84B77" w:rsidRDefault="00D84B77" w:rsidP="00D84B77">
            <w:r>
              <w:t>(12)</w:t>
            </w:r>
          </w:p>
        </w:tc>
      </w:tr>
    </w:tbl>
    <w:p w14:paraId="6797604A" w14:textId="77777777" w:rsidR="00BD1DA7" w:rsidRDefault="00000000">
      <w:pPr>
        <w:pStyle w:val="Heading2"/>
      </w:pPr>
      <w:r>
        <w:t>Physics-Informed Statistical Head</w:t>
      </w:r>
    </w:p>
    <w:p w14:paraId="3555F7FC" w14:textId="77777777" w:rsidR="00BD1DA7" w:rsidRDefault="00000000">
      <w:pPr>
        <w:tabs>
          <w:tab w:val="left" w:pos="284"/>
        </w:tabs>
        <w:jc w:val="both"/>
      </w:pPr>
      <w:r>
        <w:tab/>
        <w:t xml:space="preserve">To supplement purely data-driven, black-box hidden spaces that operate in a structurally uninterpretable manner, a physical statistical head is structured to anchor the latent optimization within explicit mechanical descriptors. This block extracts an 8-dimensional time-domain statistical vector directly from the raw historical lookback window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t xml:space="preserve"> prior to high-pass filtering filtering utilizing established mechanical engineering formulations:</w:t>
      </w:r>
    </w:p>
    <w:p w14:paraId="3E17571D" w14:textId="77777777" w:rsidR="00BD1DA7" w:rsidRDefault="00000000">
      <w:pPr>
        <w:pStyle w:val="ListParagraph"/>
        <w:numPr>
          <w:ilvl w:val="0"/>
          <w:numId w:val="8"/>
        </w:numPr>
        <w:tabs>
          <w:tab w:val="left" w:pos="284"/>
        </w:tabs>
        <w:jc w:val="both"/>
      </w:pPr>
      <w:r>
        <w:rPr>
          <w:b/>
          <w:bCs/>
        </w:rPr>
        <w:t>Mean</w:t>
      </w:r>
      <w:r>
        <w:t xml:space="preserve"> (Indicates structural eccentricity and DC-offset components):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541B7C02" w14:textId="77777777" w:rsidTr="00D84B77">
        <w:tc>
          <w:tcPr>
            <w:tcW w:w="7371" w:type="dxa"/>
            <w:vAlign w:val="center"/>
          </w:tcPr>
          <w:p w14:paraId="06179CC4" w14:textId="77777777" w:rsidR="00D84B77" w:rsidRPr="00D84B77" w:rsidRDefault="00D84B77" w:rsidP="00D84B77">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tc>
        <w:tc>
          <w:tcPr>
            <w:tcW w:w="273" w:type="dxa"/>
            <w:vAlign w:val="center"/>
          </w:tcPr>
          <w:p w14:paraId="52E5C74B" w14:textId="1579400D" w:rsidR="00D84B77" w:rsidRPr="00D84B77" w:rsidRDefault="00D84B77" w:rsidP="00D84B77">
            <w:r>
              <w:t>(13)</w:t>
            </w:r>
          </w:p>
        </w:tc>
      </w:tr>
    </w:tbl>
    <w:p w14:paraId="609A0176" w14:textId="77777777" w:rsidR="00BD1DA7" w:rsidRDefault="00000000">
      <w:pPr>
        <w:pStyle w:val="ListParagraph"/>
        <w:numPr>
          <w:ilvl w:val="0"/>
          <w:numId w:val="8"/>
        </w:numPr>
        <w:tabs>
          <w:tab w:val="left" w:pos="284"/>
        </w:tabs>
        <w:jc w:val="both"/>
      </w:pPr>
      <w:r>
        <w:rPr>
          <w:b/>
          <w:bCs/>
        </w:rPr>
        <w:t>Standard Deviation</w:t>
      </w:r>
      <w:r>
        <w:t xml:space="preserve"> (Measures the amplitude of energy variance surrounding the mean tracking profile):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6F0288B3" w14:textId="77777777" w:rsidTr="00D84B77">
        <w:tc>
          <w:tcPr>
            <w:tcW w:w="7371" w:type="dxa"/>
            <w:vAlign w:val="center"/>
          </w:tcPr>
          <w:p w14:paraId="631371FB" w14:textId="77777777" w:rsidR="00D84B77" w:rsidRPr="00D84B77" w:rsidRDefault="00D84B77" w:rsidP="00D84B77">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tc>
        <w:tc>
          <w:tcPr>
            <w:tcW w:w="273" w:type="dxa"/>
            <w:vAlign w:val="center"/>
          </w:tcPr>
          <w:p w14:paraId="7C088C7D" w14:textId="0E998869" w:rsidR="00D84B77" w:rsidRPr="00D84B77" w:rsidRDefault="00D84B77" w:rsidP="00D84B77">
            <w:r>
              <w:t>(14)</w:t>
            </w:r>
          </w:p>
        </w:tc>
      </w:tr>
    </w:tbl>
    <w:p w14:paraId="4B24FF40" w14:textId="77777777" w:rsidR="00BD1DA7" w:rsidRDefault="00000000">
      <w:pPr>
        <w:pStyle w:val="ListParagraph"/>
        <w:numPr>
          <w:ilvl w:val="0"/>
          <w:numId w:val="8"/>
        </w:numPr>
        <w:tabs>
          <w:tab w:val="left" w:pos="284"/>
        </w:tabs>
        <w:jc w:val="both"/>
      </w:pPr>
      <w:r>
        <w:rPr>
          <w:b/>
          <w:bCs/>
        </w:rPr>
        <w:t>Root Mean Square (RMS)</w:t>
      </w:r>
      <w:r>
        <w:t xml:space="preserve"> (Acts as the primary metric tracking total destructive structural fatigue energy):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435B533D" w14:textId="77777777" w:rsidTr="00D84B77">
        <w:tc>
          <w:tcPr>
            <w:tcW w:w="7371" w:type="dxa"/>
            <w:vAlign w:val="center"/>
          </w:tcPr>
          <w:p w14:paraId="2A83A02D" w14:textId="77777777" w:rsidR="00D84B77" w:rsidRPr="00D84B77" w:rsidRDefault="00D84B77" w:rsidP="00D84B77">
            <m:oMathPara>
              <m:oMath>
                <m:r>
                  <m:rPr>
                    <m:nor/>
                  </m:rPr>
                  <w:rPr>
                    <w:rFonts w:ascii="Cambria Math" w:hAnsi="Cambria Math"/>
                  </w:rPr>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tc>
        <w:tc>
          <w:tcPr>
            <w:tcW w:w="273" w:type="dxa"/>
            <w:vAlign w:val="center"/>
          </w:tcPr>
          <w:p w14:paraId="16A497AC" w14:textId="0D003AF8" w:rsidR="00D84B77" w:rsidRPr="00D84B77" w:rsidRDefault="00D84B77" w:rsidP="00D84B77">
            <w:r>
              <w:t>(15)</w:t>
            </w:r>
          </w:p>
        </w:tc>
      </w:tr>
    </w:tbl>
    <w:p w14:paraId="56F95749" w14:textId="77777777" w:rsidR="00BD1DA7" w:rsidRDefault="00000000">
      <w:pPr>
        <w:pStyle w:val="ListParagraph"/>
        <w:numPr>
          <w:ilvl w:val="0"/>
          <w:numId w:val="8"/>
        </w:numPr>
        <w:tabs>
          <w:tab w:val="left" w:pos="284"/>
        </w:tabs>
        <w:jc w:val="both"/>
      </w:pPr>
      <w:r>
        <w:rPr>
          <w:b/>
          <w:bCs/>
        </w:rPr>
        <w:lastRenderedPageBreak/>
        <w:t>Peak-to-Peak</w:t>
      </w:r>
      <w:r>
        <w:t xml:space="preserve"> (Captures the absolute maximum shock amplitude range within the window):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0913AF84" w14:textId="77777777" w:rsidTr="00D84B77">
        <w:tc>
          <w:tcPr>
            <w:tcW w:w="7371" w:type="dxa"/>
            <w:vAlign w:val="center"/>
          </w:tcPr>
          <w:p w14:paraId="691AD956" w14:textId="77777777" w:rsidR="00D84B77" w:rsidRPr="00D84B77" w:rsidRDefault="00D84B77" w:rsidP="00D84B77">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tc>
        <w:tc>
          <w:tcPr>
            <w:tcW w:w="273" w:type="dxa"/>
            <w:vAlign w:val="center"/>
          </w:tcPr>
          <w:p w14:paraId="4610AEEE" w14:textId="18286EEE" w:rsidR="00D84B77" w:rsidRPr="00D84B77" w:rsidRDefault="00D84B77" w:rsidP="00D84B77">
            <w:r>
              <w:t>(16)</w:t>
            </w:r>
          </w:p>
        </w:tc>
      </w:tr>
    </w:tbl>
    <w:p w14:paraId="468CA01F" w14:textId="77777777" w:rsidR="00BD1DA7" w:rsidRDefault="00000000">
      <w:pPr>
        <w:pStyle w:val="ListParagraph"/>
        <w:numPr>
          <w:ilvl w:val="0"/>
          <w:numId w:val="8"/>
        </w:numPr>
        <w:tabs>
          <w:tab w:val="left" w:pos="284"/>
        </w:tabs>
        <w:jc w:val="both"/>
      </w:pPr>
      <w:r>
        <w:rPr>
          <w:b/>
          <w:bCs/>
        </w:rPr>
        <w:t>Skewness</w:t>
      </w:r>
      <w:r>
        <w:t xml:space="preserve"> (Measures distribution asymmetry, sensitive to initial surface pitting asymmetry):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733205CA" w14:textId="77777777" w:rsidTr="00D84B77">
        <w:tc>
          <w:tcPr>
            <w:tcW w:w="7371" w:type="dxa"/>
            <w:vAlign w:val="center"/>
          </w:tcPr>
          <w:p w14:paraId="3FE7CFAC" w14:textId="77777777" w:rsidR="00D84B77" w:rsidRPr="00D84B77" w:rsidRDefault="00D84B77" w:rsidP="00D84B77">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tc>
        <w:tc>
          <w:tcPr>
            <w:tcW w:w="273" w:type="dxa"/>
            <w:vAlign w:val="center"/>
          </w:tcPr>
          <w:p w14:paraId="3B16C28A" w14:textId="16231F4F" w:rsidR="00D84B77" w:rsidRPr="00D84B77" w:rsidRDefault="00D84B77" w:rsidP="00D84B77">
            <w:r>
              <w:t>(17)</w:t>
            </w:r>
          </w:p>
        </w:tc>
      </w:tr>
    </w:tbl>
    <w:p w14:paraId="227B9B57" w14:textId="77777777" w:rsidR="00BD1DA7" w:rsidRDefault="00000000">
      <w:pPr>
        <w:pStyle w:val="ListParagraph"/>
        <w:numPr>
          <w:ilvl w:val="0"/>
          <w:numId w:val="8"/>
        </w:numPr>
        <w:tabs>
          <w:tab w:val="left" w:pos="284"/>
        </w:tabs>
        <w:jc w:val="both"/>
      </w:pPr>
      <w:r>
        <w:rPr>
          <w:b/>
          <w:bCs/>
        </w:rPr>
        <w:t>Kurtosis</w:t>
      </w:r>
      <w:r>
        <w:t xml:space="preserve"> (Provides maximum statistical sensitivity to transient impact shocks during initial micro-cracking stages):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3D5C0E61" w14:textId="77777777" w:rsidTr="00D84B77">
        <w:tc>
          <w:tcPr>
            <w:tcW w:w="7371" w:type="dxa"/>
            <w:vAlign w:val="center"/>
          </w:tcPr>
          <w:p w14:paraId="30502F36" w14:textId="77777777" w:rsidR="00D84B77" w:rsidRPr="00D84B77" w:rsidRDefault="00D84B77" w:rsidP="00D84B77">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tc>
        <w:tc>
          <w:tcPr>
            <w:tcW w:w="273" w:type="dxa"/>
            <w:vAlign w:val="center"/>
          </w:tcPr>
          <w:p w14:paraId="0F2FF1CD" w14:textId="1FF87D05" w:rsidR="00D84B77" w:rsidRPr="00D84B77" w:rsidRDefault="00D84B77" w:rsidP="00D84B77">
            <w:r>
              <w:t>(18)</w:t>
            </w:r>
          </w:p>
        </w:tc>
      </w:tr>
    </w:tbl>
    <w:p w14:paraId="4160375E" w14:textId="77777777" w:rsidR="00BD1DA7" w:rsidRDefault="00000000">
      <w:pPr>
        <w:pStyle w:val="ListParagraph"/>
        <w:numPr>
          <w:ilvl w:val="0"/>
          <w:numId w:val="8"/>
        </w:numPr>
        <w:tabs>
          <w:tab w:val="left" w:pos="284"/>
        </w:tabs>
        <w:jc w:val="both"/>
      </w:pPr>
      <w:r>
        <w:rPr>
          <w:b/>
          <w:bCs/>
        </w:rPr>
        <w:t>Crest Factor</w:t>
      </w:r>
      <w:r>
        <w:t xml:space="preserve"> (The ratio of peak amplitude to the RMS baseline, isolating localized cracking pulses from background energy):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5167B07F" w14:textId="77777777" w:rsidTr="00D84B77">
        <w:tc>
          <w:tcPr>
            <w:tcW w:w="7371" w:type="dxa"/>
            <w:vAlign w:val="center"/>
          </w:tcPr>
          <w:p w14:paraId="0AF8EBD5" w14:textId="77777777" w:rsidR="00D84B77" w:rsidRPr="00D84B77" w:rsidRDefault="00D84B77" w:rsidP="00D84B77">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tc>
        <w:tc>
          <w:tcPr>
            <w:tcW w:w="273" w:type="dxa"/>
            <w:vAlign w:val="center"/>
          </w:tcPr>
          <w:p w14:paraId="0A7BFB63" w14:textId="73469D19" w:rsidR="00D84B77" w:rsidRPr="00D84B77" w:rsidRDefault="00D84B77" w:rsidP="00D84B77">
            <w:r>
              <w:t>(19)</w:t>
            </w:r>
          </w:p>
        </w:tc>
      </w:tr>
    </w:tbl>
    <w:p w14:paraId="58654B8C" w14:textId="77777777" w:rsidR="00BD1DA7" w:rsidRDefault="00000000">
      <w:pPr>
        <w:pStyle w:val="ListParagraph"/>
        <w:numPr>
          <w:ilvl w:val="0"/>
          <w:numId w:val="8"/>
        </w:numPr>
        <w:tabs>
          <w:tab w:val="left" w:pos="284"/>
        </w:tabs>
        <w:jc w:val="both"/>
      </w:pPr>
      <w:r>
        <w:rPr>
          <w:b/>
          <w:bCs/>
        </w:rPr>
        <w:t>Shape Factor</w:t>
      </w:r>
      <w:r>
        <w:t xml:space="preserve"> (The ratio of RMS to the mean absolute value, reflecting global structural changes in the wave profile):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6E456503" w14:textId="77777777" w:rsidTr="00D84B77">
        <w:tc>
          <w:tcPr>
            <w:tcW w:w="7371" w:type="dxa"/>
            <w:vAlign w:val="center"/>
          </w:tcPr>
          <w:p w14:paraId="2131B2E1" w14:textId="77777777" w:rsidR="00D84B77" w:rsidRPr="00D84B77" w:rsidRDefault="00D84B77" w:rsidP="00D84B77">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tc>
        <w:tc>
          <w:tcPr>
            <w:tcW w:w="273" w:type="dxa"/>
            <w:vAlign w:val="center"/>
          </w:tcPr>
          <w:p w14:paraId="0AA81BF6" w14:textId="6B63665F" w:rsidR="00D84B77" w:rsidRPr="00D84B77" w:rsidRDefault="00D84B77" w:rsidP="00D84B77">
            <w:r>
              <w:t>(20)</w:t>
            </w:r>
          </w:p>
        </w:tc>
      </w:tr>
    </w:tbl>
    <w:p w14:paraId="2434A4A5" w14:textId="77777777" w:rsidR="00BD1DA7" w:rsidRDefault="00000000">
      <w:pPr>
        <w:tabs>
          <w:tab w:val="left" w:pos="284"/>
        </w:tabs>
        <w:jc w:val="both"/>
      </w:pPr>
      <w:r>
        <w:tab/>
        <w:t xml:space="preserve">This 8-dimensional physical descriptor array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t xml:space="preserve"> is normalized via a BatchNormalization layer and linearly projected before being concatenated directly with the global latent representation generated by the Mamba stream: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2BA32E81" w14:textId="77777777" w:rsidTr="00D84B77">
        <w:tc>
          <w:tcPr>
            <w:tcW w:w="7371" w:type="dxa"/>
            <w:vAlign w:val="center"/>
          </w:tcPr>
          <w:p w14:paraId="1C2FCB9B" w14:textId="77777777" w:rsidR="00D84B77" w:rsidRPr="00D84B77" w:rsidRDefault="00D84B77" w:rsidP="00D84B77">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tc>
        <w:tc>
          <w:tcPr>
            <w:tcW w:w="273" w:type="dxa"/>
            <w:vAlign w:val="center"/>
          </w:tcPr>
          <w:p w14:paraId="70A2ABBC" w14:textId="49BB9102" w:rsidR="00D84B77" w:rsidRPr="00D84B77" w:rsidRDefault="00D84B77" w:rsidP="00D84B77">
            <w:r>
              <w:t>(21)</w:t>
            </w:r>
          </w:p>
        </w:tc>
      </w:tr>
    </w:tbl>
    <w:p w14:paraId="2F711355" w14:textId="77777777" w:rsidR="00BD1DA7" w:rsidRDefault="00000000">
      <w:pPr>
        <w:tabs>
          <w:tab w:val="left" w:pos="284"/>
        </w:tabs>
        <w:jc w:val="both"/>
      </w:pPr>
      <w:r>
        <w:tab/>
        <w:t xml:space="preserve">This architectural loop maintains a modular design controlled via the system configuration parameter </w:t>
      </w:r>
      <m:oMath>
        <m:r>
          <m:rPr>
            <m:nor/>
          </m:rPr>
          <w:rPr>
            <w:rFonts w:ascii="Cambria Math" w:hAnsi="Cambria Math"/>
            <w:iCs/>
          </w:rPr>
          <m:t>use_stats</m:t>
        </m:r>
      </m:oMath>
      <w:r>
        <w:t xml:space="preserve">. If </w:t>
      </w:r>
      <m:oMath>
        <m:r>
          <m:rPr>
            <m:nor/>
          </m:rPr>
          <w:rPr>
            <w:rFonts w:ascii="Cambria Math" w:hAnsi="Cambria Math"/>
            <w:iCs/>
          </w:rPr>
          <m:t>use_stats</m:t>
        </m:r>
        <m:r>
          <w:rPr>
            <w:rFonts w:ascii="Cambria Math" w:hAnsi="Cambria Math"/>
          </w:rPr>
          <m:t>=</m:t>
        </m:r>
        <m:r>
          <m:rPr>
            <m:nor/>
          </m:rPr>
          <w:rPr>
            <w:rFonts w:ascii="Cambria Math" w:hAnsi="Cambria Math"/>
            <w:iCs/>
          </w:rPr>
          <m:t>False</m:t>
        </m:r>
      </m:oMath>
      <w:r>
        <w:t xml:space="preserve"> is specified, the statistical extraction pathway is automatically bypassed to return a pure data-driven seasonal Mamba forecast.</w:t>
      </w:r>
    </w:p>
    <w:p w14:paraId="1FFF7A46" w14:textId="77777777" w:rsidR="00BD1DA7" w:rsidRDefault="00000000">
      <w:pPr>
        <w:pStyle w:val="Heading2"/>
      </w:pPr>
      <w:r>
        <w:t>Learnable Dual-Stream Mixing Module</w:t>
      </w:r>
    </w:p>
    <w:p w14:paraId="27029377" w14:textId="77777777" w:rsidR="00BD1DA7" w:rsidRDefault="00000000">
      <w:pPr>
        <w:tabs>
          <w:tab w:val="left" w:pos="284"/>
        </w:tabs>
        <w:jc w:val="both"/>
      </w:pPr>
      <w:r>
        <w:tab/>
        <w:t xml:space="preserve">To bypass the strict limitations of direct element-wise integration which enforces fixed, non-adjustable contribution ratios between components, the proposed framework implements a learnable dual-stream mixing module governed by a dynamic weighting parameter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t xml:space="preserve"> optimized independently per sensor channel </w:t>
      </w:r>
      <m:oMath>
        <m:r>
          <w:rPr>
            <w:rFonts w:ascii="Cambria Math" w:hAnsi="Cambria Math"/>
          </w:rPr>
          <m:t>c</m:t>
        </m:r>
      </m:oMath>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D84B77" w:rsidRPr="00D84B77" w14:paraId="15CD6B3C" w14:textId="77777777" w:rsidTr="00D84B77">
        <w:tc>
          <w:tcPr>
            <w:tcW w:w="7371" w:type="dxa"/>
            <w:vAlign w:val="center"/>
          </w:tcPr>
          <w:p w14:paraId="3AE86C68" w14:textId="77777777" w:rsidR="00D84B77" w:rsidRPr="00D84B77" w:rsidRDefault="00D84B77" w:rsidP="00D84B77">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tc>
        <w:tc>
          <w:tcPr>
            <w:tcW w:w="273" w:type="dxa"/>
            <w:vAlign w:val="center"/>
          </w:tcPr>
          <w:p w14:paraId="01939525" w14:textId="7AE51F71" w:rsidR="00D84B77" w:rsidRPr="00D84B77" w:rsidRDefault="00D84B77" w:rsidP="00D84B77">
            <w:r>
              <w:t>(22)</w:t>
            </w:r>
          </w:p>
        </w:tc>
      </w:tr>
    </w:tbl>
    <w:p w14:paraId="375406DE" w14:textId="77777777" w:rsidR="00BD1DA7" w:rsidRDefault="00000000">
      <w:pPr>
        <w:tabs>
          <w:tab w:val="left" w:pos="284"/>
        </w:tabs>
        <w:jc w:val="both"/>
      </w:pPr>
      <w:r>
        <w:t xml:space="preserve">where </w:t>
      </w:r>
      <m:oMath>
        <m:r>
          <m:rPr>
            <m:sty m:val="p"/>
          </m:rPr>
          <w:rPr>
            <w:rFonts w:ascii="Cambria Math" w:hAnsi="Cambria Math"/>
          </w:rPr>
          <m:t>σ</m:t>
        </m:r>
      </m:oMath>
      <w:r>
        <w:t xml:space="preserve"> represents the standard mathematical Sigmoid activation function constraining the parameter bounds within the range </w:t>
      </w:r>
      <m:oMath>
        <m:d>
          <m:dPr>
            <m:ctrlPr>
              <w:rPr>
                <w:rFonts w:ascii="Cambria Math" w:hAnsi="Cambria Math"/>
                <w:i/>
                <w:iCs/>
              </w:rPr>
            </m:ctrlPr>
          </m:dPr>
          <m:e>
            <m:r>
              <w:rPr>
                <w:rFonts w:ascii="Cambria Math" w:hAnsi="Cambria Math"/>
              </w:rPr>
              <m:t>0,1</m:t>
            </m:r>
          </m:e>
        </m:d>
      </m:oMath>
      <w:r>
        <w:t xml:space="preserve">, and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t xml:space="preserve"> denotes a learnable weight parameter optimized via backpropagation gradient descents corresponding to each physical sensor location.</w:t>
      </w:r>
    </w:p>
    <w:p w14:paraId="2D9846F2" w14:textId="77777777" w:rsidR="00BD1DA7" w:rsidRDefault="00000000">
      <w:pPr>
        <w:tabs>
          <w:tab w:val="left" w:pos="284"/>
        </w:tabs>
        <w:jc w:val="both"/>
      </w:pPr>
      <w:r>
        <w:tab/>
        <w:t xml:space="preserve">This learnable mixing paradigm empowers the network to automatically adjust the relative dominance between slow-moving physical degradation pathways (the trend component) and rapid non-linear transient vibrations (the seasonal component) optimized for specific sensor mounting points, thereby maximizing the forecasting accuracy of the synthesized sequence </w:t>
      </w:r>
      <m:oMath>
        <m:acc>
          <m:accPr>
            <m:ctrlPr>
              <w:rPr>
                <w:rFonts w:ascii="Cambria Math" w:hAnsi="Cambria Math"/>
                <w:iCs/>
              </w:rPr>
            </m:ctrlPr>
          </m:accPr>
          <m:e>
            <m:r>
              <w:rPr>
                <w:rFonts w:ascii="Cambria Math" w:hAnsi="Cambria Math"/>
              </w:rPr>
              <m:t>Y</m:t>
            </m:r>
          </m:e>
        </m:acc>
      </m:oMath>
      <w:r>
        <w:t>.</w:t>
      </w:r>
    </w:p>
    <w:p w14:paraId="45E672A7" w14:textId="77777777" w:rsidR="00BD1DA7" w:rsidRDefault="00000000">
      <w:pPr>
        <w:pStyle w:val="Heading2"/>
      </w:pPr>
      <w:r>
        <w:t>Anomaly Scoring and Leakage-Free POT Thresholding</w:t>
      </w:r>
    </w:p>
    <w:p w14:paraId="34C9481C" w14:textId="77777777" w:rsidR="00BD1DA7" w:rsidRDefault="00000000">
      <w:pPr>
        <w:tabs>
          <w:tab w:val="left" w:pos="284"/>
        </w:tabs>
        <w:jc w:val="both"/>
      </w:pPr>
      <w:r>
        <w:tab/>
        <w:t xml:space="preserve">Following the acquisition of the composite forecast sequence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t xml:space="preserve">, the Anomaly Score at each time window </w:t>
      </w:r>
      <m:oMath>
        <m:r>
          <w:rPr>
            <w:rFonts w:ascii="Cambria Math" w:hAnsi="Cambria Math"/>
          </w:rPr>
          <m:t>t</m:t>
        </m:r>
      </m:oMath>
      <w:r>
        <w:t xml:space="preserve"> is formally defined via the Mean Squared Error (MSE) computed across all sensor dimensions and steps within the horizon </w:t>
      </w:r>
      <m:oMath>
        <m:r>
          <w:rPr>
            <w:rFonts w:ascii="Cambria Math" w:hAnsi="Cambria Math"/>
          </w:rPr>
          <m:t>H</m:t>
        </m:r>
      </m:oMath>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556"/>
      </w:tblGrid>
      <w:tr w:rsidR="00D84B77" w:rsidRPr="00D84B77" w14:paraId="30903D76" w14:textId="77777777" w:rsidTr="00D84B77">
        <w:tc>
          <w:tcPr>
            <w:tcW w:w="7088" w:type="dxa"/>
            <w:vAlign w:val="center"/>
          </w:tcPr>
          <w:p w14:paraId="6E2DF27F" w14:textId="77777777" w:rsidR="00D84B77" w:rsidRPr="00D84B77" w:rsidRDefault="00D84B77" w:rsidP="00D84B77">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tc>
        <w:tc>
          <w:tcPr>
            <w:tcW w:w="556" w:type="dxa"/>
            <w:vAlign w:val="center"/>
          </w:tcPr>
          <w:p w14:paraId="73BCE453" w14:textId="744E6552" w:rsidR="00D84B77" w:rsidRPr="00D84B77" w:rsidRDefault="00D84B77" w:rsidP="00D84B77">
            <w:r>
              <w:t>(23)</w:t>
            </w:r>
          </w:p>
        </w:tc>
      </w:tr>
    </w:tbl>
    <w:p w14:paraId="3C12CA72" w14:textId="77777777" w:rsidR="00BD1DA7" w:rsidRDefault="00000000">
      <w:pPr>
        <w:tabs>
          <w:tab w:val="left" w:pos="284"/>
        </w:tabs>
        <w:jc w:val="both"/>
      </w:pPr>
      <w:r>
        <w:tab/>
        <w:t xml:space="preserve">To establish dynamic decision boundaries online in an objective manner, Extreme Value Theory (EVT) utilizing the Peak Over Threshold (POT) technique is integrated directly into the </w:t>
      </w:r>
      <w:r>
        <w:lastRenderedPageBreak/>
        <w:t xml:space="preserve">inference loop. The calibration workflow strictly honors a leakage-free constraint by </w:t>
      </w:r>
      <w:r>
        <w:rPr>
          <w:b/>
          <w:bCs/>
        </w:rPr>
        <w:t>exclusively executing parameter estimation over the error distribution derived from the historical early-stage healthy operational sequences</w:t>
      </w:r>
      <w:r>
        <w:t>, ensuring absolute isolation from any future degradation or target fault profiles. The execution procedure is structured via discrete mathematical phases:</w:t>
      </w:r>
    </w:p>
    <w:p w14:paraId="37ED39A7" w14:textId="77777777" w:rsidR="00BD1DA7" w:rsidRDefault="00000000">
      <w:pPr>
        <w:pStyle w:val="ListParagraph"/>
        <w:numPr>
          <w:ilvl w:val="0"/>
          <w:numId w:val="9"/>
        </w:numPr>
        <w:tabs>
          <w:tab w:val="left" w:pos="284"/>
        </w:tabs>
        <w:jc w:val="both"/>
      </w:pPr>
      <w:r>
        <w:t xml:space="preserve">An initial baseline anchor threshold </w:t>
      </w:r>
      <m:oMath>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is established by computing a high-percentile marker (e.g., 98%) from the anomaly score sequence generated across the healthy training baseline.</w:t>
      </w:r>
    </w:p>
    <w:p w14:paraId="22C98506" w14:textId="77777777" w:rsidR="00BD1DA7" w:rsidRDefault="00000000">
      <w:pPr>
        <w:pStyle w:val="ListParagraph"/>
        <w:numPr>
          <w:ilvl w:val="0"/>
          <w:numId w:val="9"/>
        </w:numPr>
        <w:tabs>
          <w:tab w:val="left" w:pos="284"/>
        </w:tabs>
        <w:jc w:val="both"/>
      </w:pPr>
      <w:r>
        <w:t xml:space="preserve">The extreme positive excesses exceeding the anchor threshold are filtered and aggregated: </w:t>
      </w:r>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r>
          <m:rPr>
            <m:lit/>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&gt;t</m:t>
        </m:r>
        <m:sSub>
          <m:sSubPr>
            <m:ctrlPr>
              <w:rPr>
                <w:rFonts w:ascii="Cambria Math" w:hAnsi="Cambria Math"/>
                <w:i/>
              </w:rPr>
            </m:ctrlPr>
          </m:sSubPr>
          <m:e>
            <m:r>
              <w:rPr>
                <w:rFonts w:ascii="Cambria Math" w:hAnsi="Cambria Math"/>
              </w:rPr>
              <m:t>h</m:t>
            </m:r>
          </m:e>
          <m:sub>
            <m:r>
              <w:rPr>
                <w:rFonts w:ascii="Cambria Math" w:hAnsi="Cambria Math"/>
              </w:rPr>
              <m:t>0</m:t>
            </m:r>
          </m:sub>
        </m:sSub>
        <m:r>
          <m:rPr>
            <m:lit/>
          </m:rPr>
          <w:rPr>
            <w:rFonts w:ascii="Cambria Math" w:hAnsi="Cambria Math"/>
          </w:rPr>
          <m:t>}</m:t>
        </m:r>
      </m:oMath>
      <w:r>
        <w:t>.</w:t>
      </w:r>
    </w:p>
    <w:p w14:paraId="28010A5A" w14:textId="77777777" w:rsidR="00BD1DA7" w:rsidRDefault="00000000">
      <w:pPr>
        <w:pStyle w:val="ListParagraph"/>
        <w:numPr>
          <w:ilvl w:val="0"/>
          <w:numId w:val="9"/>
        </w:numPr>
        <w:tabs>
          <w:tab w:val="left" w:pos="284"/>
        </w:tabs>
        <w:jc w:val="both"/>
      </w:pPr>
      <w:r>
        <w:t xml:space="preserve">The set of excess values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t xml:space="preserve"> is fitted to a Generalized Pareto Distribution (GPD) to mathematically bound the asymptotic behavior of the distribution tail: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556"/>
      </w:tblGrid>
      <w:tr w:rsidR="00822978" w:rsidRPr="00822978" w14:paraId="650D8572" w14:textId="77777777" w:rsidTr="00822978">
        <w:tc>
          <w:tcPr>
            <w:tcW w:w="7088" w:type="dxa"/>
            <w:vAlign w:val="center"/>
          </w:tcPr>
          <w:p w14:paraId="3E6792FC" w14:textId="77777777" w:rsidR="00822978" w:rsidRPr="00822978" w:rsidRDefault="00822978" w:rsidP="0082297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tc>
        <w:tc>
          <w:tcPr>
            <w:tcW w:w="556" w:type="dxa"/>
            <w:vAlign w:val="center"/>
          </w:tcPr>
          <w:p w14:paraId="267EAF08" w14:textId="24E5D264" w:rsidR="00822978" w:rsidRPr="00822978" w:rsidRDefault="00822978" w:rsidP="00822978">
            <w:r>
              <w:t>(24)</w:t>
            </w:r>
          </w:p>
        </w:tc>
      </w:tr>
    </w:tbl>
    <w:p w14:paraId="7D7BCA87" w14:textId="77777777" w:rsidR="00BD1DA7" w:rsidRDefault="00000000">
      <w:pPr>
        <w:tabs>
          <w:tab w:val="left" w:pos="284"/>
        </w:tabs>
        <w:jc w:val="both"/>
      </w:pPr>
      <w:r>
        <w:t xml:space="preserve">where </w:t>
      </w:r>
      <m:oMath>
        <m:r>
          <m:rPr>
            <m:sty m:val="p"/>
          </m:rPr>
          <w:rPr>
            <w:rFonts w:ascii="Cambria Math" w:hAnsi="Cambria Math"/>
          </w:rPr>
          <m:t>γ</m:t>
        </m:r>
      </m:oMath>
      <w:r>
        <w:t xml:space="preserve"> and </w:t>
      </w:r>
      <m:oMath>
        <m:r>
          <m:rPr>
            <m:sty m:val="p"/>
          </m:rPr>
          <w:rPr>
            <w:rFonts w:ascii="Cambria Math" w:hAnsi="Cambria Math"/>
          </w:rPr>
          <m:t>β</m:t>
        </m:r>
      </m:oMath>
      <w:r>
        <w:t xml:space="preserve"> denote the shape and scale parameters, respectively, optimized via the Maximum Likelihood Estimation (MLE) method.</w:t>
      </w:r>
    </w:p>
    <w:p w14:paraId="111596A8" w14:textId="77777777" w:rsidR="00BD1DA7" w:rsidRDefault="00000000">
      <w:pPr>
        <w:pStyle w:val="ListParagraph"/>
        <w:numPr>
          <w:ilvl w:val="0"/>
          <w:numId w:val="9"/>
        </w:numPr>
        <w:tabs>
          <w:tab w:val="left" w:pos="284"/>
        </w:tabs>
        <w:jc w:val="both"/>
      </w:pPr>
      <w:r>
        <w:t xml:space="preserve">The final dynamic decision boundary </w:t>
      </w:r>
      <m:oMath>
        <m:sSub>
          <m:sSubPr>
            <m:ctrlPr>
              <w:rPr>
                <w:rFonts w:ascii="Cambria Math" w:hAnsi="Cambria Math"/>
                <w:i/>
              </w:rPr>
            </m:ctrlPr>
          </m:sSubPr>
          <m:e>
            <m:r>
              <w:rPr>
                <w:rFonts w:ascii="Cambria Math" w:hAnsi="Cambria Math"/>
              </w:rPr>
              <m:t>z</m:t>
            </m:r>
          </m:e>
          <m:sub>
            <m:r>
              <w:rPr>
                <w:rFonts w:ascii="Cambria Math" w:hAnsi="Cambria Math"/>
              </w:rPr>
              <m:t>q</m:t>
            </m:r>
          </m:sub>
        </m:sSub>
      </m:oMath>
      <w:r>
        <w:t xml:space="preserve"> corresponding to a configured, conservative target alarm probability </w:t>
      </w:r>
      <m:oMath>
        <m:r>
          <w:rPr>
            <w:rFonts w:ascii="Cambria Math" w:hAnsi="Cambria Math"/>
          </w:rPr>
          <m:t>q</m:t>
        </m:r>
      </m:oMath>
      <w:r>
        <w:t xml:space="preserve"> (e.g., </w:t>
      </w:r>
      <m:oMath>
        <m:r>
          <w:rPr>
            <w:rFonts w:ascii="Cambria Math" w:hAnsi="Cambria Math"/>
          </w:rPr>
          <m:t>q=</m:t>
        </m:r>
        <m:sSup>
          <m:sSupPr>
            <m:ctrlPr>
              <w:rPr>
                <w:rFonts w:ascii="Cambria Math" w:hAnsi="Cambria Math"/>
                <w:i/>
              </w:rPr>
            </m:ctrlPr>
          </m:sSupPr>
          <m:e>
            <m:r>
              <w:rPr>
                <w:rFonts w:ascii="Cambria Math" w:hAnsi="Cambria Math"/>
              </w:rPr>
              <m:t>10</m:t>
            </m:r>
          </m:e>
          <m:sup>
            <m:r>
              <w:rPr>
                <w:rFonts w:ascii="Cambria Math" w:hAnsi="Cambria Math"/>
              </w:rPr>
              <m:t>-4</m:t>
            </m:r>
          </m:sup>
        </m:sSup>
      </m:oMath>
      <w:r>
        <w:t>) is computed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556"/>
      </w:tblGrid>
      <w:tr w:rsidR="00822978" w:rsidRPr="00822978" w14:paraId="34BACD2D" w14:textId="77777777" w:rsidTr="00822978">
        <w:tc>
          <w:tcPr>
            <w:tcW w:w="7088" w:type="dxa"/>
            <w:vAlign w:val="center"/>
          </w:tcPr>
          <w:p w14:paraId="6A891352" w14:textId="77777777" w:rsidR="00822978" w:rsidRPr="00822978" w:rsidRDefault="00822978" w:rsidP="00822978">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tc>
        <w:tc>
          <w:tcPr>
            <w:tcW w:w="556" w:type="dxa"/>
            <w:vAlign w:val="center"/>
          </w:tcPr>
          <w:p w14:paraId="27B70EAD" w14:textId="409D6B60" w:rsidR="00822978" w:rsidRPr="00822978" w:rsidRDefault="00822978" w:rsidP="00822978">
            <w:r>
              <w:t>(25)</w:t>
            </w:r>
          </w:p>
        </w:tc>
      </w:tr>
    </w:tbl>
    <w:p w14:paraId="59B3FFD4" w14:textId="77777777" w:rsidR="00BD1DA7" w:rsidRDefault="00000000">
      <w:pPr>
        <w:tabs>
          <w:tab w:val="left" w:pos="284"/>
        </w:tabs>
        <w:jc w:val="both"/>
      </w:pPr>
      <w:r>
        <w:t xml:space="preserve">where </w:t>
      </w:r>
      <m:oMath>
        <m:r>
          <w:rPr>
            <w:rFonts w:ascii="Cambria Math" w:hAnsi="Cambria Math"/>
          </w:rPr>
          <m:t>n</m:t>
        </m:r>
      </m:oMath>
      <w:r>
        <w:t xml:space="preserve"> represents the total volume of baseline observation samples, and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t xml:space="preserve"> is the historical volume of excess samples violating the initial anchor threshold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t>.</w:t>
      </w:r>
    </w:p>
    <w:p w14:paraId="696A5DE0" w14:textId="77777777" w:rsidR="00BD1DA7" w:rsidRDefault="00000000">
      <w:pPr>
        <w:tabs>
          <w:tab w:val="left" w:pos="284"/>
        </w:tabs>
        <w:jc w:val="both"/>
      </w:pPr>
      <w:r>
        <w:tab/>
        <w:t xml:space="preserve">During the real-time online monitoring stage, any testing window exhibiting an anomaly score satisfying the logical condition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t xml:space="preserve"> is immediately flagged as a structural anomaly instance, ensuring a highly practical implementation that systematically eliminates false alarms caused by non-stationary operational variations.</w:t>
      </w:r>
    </w:p>
    <w:p w14:paraId="30A04FDD" w14:textId="77777777" w:rsidR="00BD1DA7" w:rsidRDefault="00000000">
      <w:pPr>
        <w:pStyle w:val="Heading1"/>
      </w:pPr>
      <w:r>
        <w:t>Experiments Design</w:t>
      </w:r>
    </w:p>
    <w:p w14:paraId="1124A3EF" w14:textId="77777777" w:rsidR="00BD1DA7" w:rsidRDefault="00000000">
      <w:pPr>
        <w:pStyle w:val="Heading2"/>
      </w:pPr>
      <w:r>
        <w:t>Dataset Description and Temporal Partitioning Workflow</w:t>
      </w:r>
    </w:p>
    <w:p w14:paraId="45B1C8B6" w14:textId="77777777" w:rsidR="00BD1DA7" w:rsidRDefault="00000000">
      <w:pPr>
        <w:tabs>
          <w:tab w:val="left" w:pos="284"/>
        </w:tabs>
        <w:jc w:val="both"/>
      </w:pPr>
      <w:r>
        <w:tab/>
        <w:t>The empirical validation of the proposed framework is executed utilizing the Paderborn University (UPB) run-to-failure ball bearing dataset, which represents a specialized industrial benchmark for rolling element bearing prognostic monitoring under time-varying operating conditions. The experimental setup utilizes type 61806-2RS ball bearings, which feature an inner diameter of 30 mm, an outer diameter of 42 mm, a width of 7 mm, and are equipped with 19 rolling elements. During the run-to-failure experiments, the test bearing assembly is subjected to highly dynamic operating conditions where the shaft rotating speed, static pre-loads, and superimposed dynamic load amplitudes are randomly drawn from stationary uniform distributions within predefined boundaries to simulate rigorous real-world mechanical environments. To thoroughly map the directional mechanics of structural degradation without cross-channel leakage, physical telemetry is captured synchronously via two one-directional accelerometers mounted on the bearing housing, tracking the horizontal rear direction (Channel A) and frontal direction (Channel C). Raw vibration data streams are sampled at an ultra-high acquisition rate of 128 kHz for early experimental runs and 64 kHz for subsequent extended lifecycles. Prior to sequence generation, a causal Butterworth high-pass filter is implemented with a configured cutoff frequency of 2000 Hz to isolate structural transient shock impacts from low-frequency shaft rotation modulations and environmental background noise.</w:t>
      </w:r>
    </w:p>
    <w:p w14:paraId="506DD37F" w14:textId="77777777" w:rsidR="00BD1DA7" w:rsidRDefault="00000000">
      <w:pPr>
        <w:tabs>
          <w:tab w:val="left" w:pos="284"/>
        </w:tabs>
        <w:jc w:val="both"/>
      </w:pPr>
      <w:r>
        <w:tab/>
        <w:t xml:space="preserve">To ensure a strict, leakage-free verification protocol that aligns with actual industrial monitoring constraints, a dedicated subset consisting of exactly 10 distinct bearings out of the 17 total experimental lifecycles is isolated. The training matrix ingests data streams compiled across bearings B02, B05, B08, B10, B11, and B17. Generalization bounds and unsupervised fault detection accuracy are validated on an independent testing cohort consisting of bearings </w:t>
      </w:r>
      <w:r>
        <w:lastRenderedPageBreak/>
        <w:t>B01, B03, B04, B08, B10, B12, and B17. For each operational trajectory, a precise temporal partitioning protocol is enforced: the first 5% of the sequence is discarded to eliminate initial transient data anomalies. The unsupervised network training window is confined exclusively to the early-stage healthy operational segment spanning from the 5% index up to 40% of the total recorded lifespan, where the condition variable is flagged as strictly healthy (</w:t>
      </w:r>
      <m:oMath>
        <m:r>
          <m:rPr>
            <m:nor/>
          </m:rPr>
          <w:rPr>
            <w:rFonts w:ascii="Cambria Math" w:hAnsi="Cambria Math"/>
            <w:iCs/>
          </w:rPr>
          <m:t>condition</m:t>
        </m:r>
        <m:r>
          <w:rPr>
            <w:rFonts w:ascii="Cambria Math" w:hAnsi="Cambria Math"/>
          </w:rPr>
          <m:t>=0</m:t>
        </m:r>
      </m:oMath>
      <w:r>
        <w:t xml:space="preserve">), preventing failure profiles from corrupting the latent space. The remaining segment from the 40% milestone until final catastrophic degradation is reserved for testing and unsupervised threshold calibration. </w:t>
      </w:r>
      <w:r>
        <w:rPr>
          <w:rFonts w:eastAsia="SimSun"/>
        </w:rPr>
        <w:t>To optimize computational efficiency and prevent overfitting, the files within the healthy operational span (5%–40%) are further sub-sampled: the training subset (train) selects healthy files at even positions with a stride of 2 ([0::2]), while the validation subset (val) samples files with a stride of 4 starting from index 1 ([1::5]). Conversely, the testing subset (test) utilizes all files across the complete bearing life-cycle to ensure an unbiased and comprehensive diagnostic evaluation.</w:t>
      </w:r>
      <w:r>
        <w:t xml:space="preserve"> Continuous monitoring sequences are structured using a sliding window protocol configured with a lookback history window (</w:t>
      </w:r>
      <m:oMath>
        <m:r>
          <w:rPr>
            <w:rFonts w:ascii="Cambria Math" w:hAnsi="Cambria Math"/>
          </w:rPr>
          <m:t>L</m:t>
        </m:r>
      </m:oMath>
      <w:r>
        <w:t>) of 4096 points, a forecast horizon (</w:t>
      </w:r>
      <m:oMath>
        <m:r>
          <w:rPr>
            <w:rFonts w:ascii="Cambria Math" w:hAnsi="Cambria Math"/>
          </w:rPr>
          <m:t>H</m:t>
        </m:r>
      </m:oMath>
      <w:r>
        <w:t>) of 1024 points, and a sliding window stride of 1024 points.</w:t>
      </w:r>
    </w:p>
    <w:p w14:paraId="20577FC3" w14:textId="77777777" w:rsidR="00BD1DA7" w:rsidRDefault="00000000">
      <w:pPr>
        <w:pStyle w:val="Heading2"/>
      </w:pPr>
      <w:r>
        <w:t>Baseline Models and Parameter Budget Synchronization Protocol</w:t>
      </w:r>
    </w:p>
    <w:p w14:paraId="57CD2066" w14:textId="77777777" w:rsidR="00BD1DA7" w:rsidRDefault="00000000">
      <w:pPr>
        <w:tabs>
          <w:tab w:val="left" w:pos="284"/>
        </w:tabs>
        <w:jc w:val="both"/>
      </w:pPr>
      <w:r>
        <w:t>To verify the structural superiority of the hybrid Mamba-CNN architecture, the evaluation is benchmarked against five representative deep sequence models representing recurrent, convolutional, attention-based, and selective state-space paradigms:</w:t>
      </w:r>
    </w:p>
    <w:p w14:paraId="7360CA9C" w14:textId="77777777" w:rsidR="00BD1DA7" w:rsidRDefault="00000000">
      <w:pPr>
        <w:pStyle w:val="ListParagraph"/>
        <w:numPr>
          <w:ilvl w:val="0"/>
          <w:numId w:val="10"/>
        </w:numPr>
        <w:tabs>
          <w:tab w:val="left" w:pos="284"/>
        </w:tabs>
        <w:jc w:val="both"/>
      </w:pPr>
      <w:r>
        <w:rPr>
          <w:b/>
          <w:bCs/>
        </w:rPr>
        <w:t>Long Short-Term Memory (LSTM):</w:t>
      </w:r>
      <w:r>
        <w:t xml:space="preserve"> Implemented as a classical recurrent architecture to track sequential temporal transitions.</w:t>
      </w:r>
    </w:p>
    <w:p w14:paraId="6349AF8A" w14:textId="77777777" w:rsidR="00BD1DA7" w:rsidRDefault="00000000">
      <w:pPr>
        <w:pStyle w:val="ListParagraph"/>
        <w:numPr>
          <w:ilvl w:val="0"/>
          <w:numId w:val="10"/>
        </w:numPr>
        <w:tabs>
          <w:tab w:val="left" w:pos="284"/>
        </w:tabs>
        <w:jc w:val="both"/>
      </w:pPr>
      <w:r>
        <w:rPr>
          <w:b/>
          <w:bCs/>
        </w:rPr>
        <w:t>Temporal Convolutional Network (TCN):</w:t>
      </w:r>
      <w:r>
        <w:t xml:space="preserve"> Configured with dilated convolutions to assess parallelized localized receptive fields.</w:t>
      </w:r>
    </w:p>
    <w:p w14:paraId="1CE03E7E" w14:textId="77777777" w:rsidR="00BD1DA7" w:rsidRDefault="00000000">
      <w:pPr>
        <w:pStyle w:val="ListParagraph"/>
        <w:numPr>
          <w:ilvl w:val="0"/>
          <w:numId w:val="10"/>
        </w:numPr>
        <w:tabs>
          <w:tab w:val="left" w:pos="284"/>
        </w:tabs>
        <w:jc w:val="both"/>
      </w:pPr>
      <w:r>
        <w:rPr>
          <w:b/>
          <w:bCs/>
        </w:rPr>
        <w:t>ModernTCN:</w:t>
      </w:r>
      <w:r>
        <w:t xml:space="preserve"> A modernized convolutional time-series backbone separating depth-wise and point-wise decompositions to maximize representation capacity.</w:t>
      </w:r>
    </w:p>
    <w:p w14:paraId="61CA16D4" w14:textId="77777777" w:rsidR="00BD1DA7" w:rsidRDefault="00000000">
      <w:pPr>
        <w:pStyle w:val="ListParagraph"/>
        <w:numPr>
          <w:ilvl w:val="0"/>
          <w:numId w:val="10"/>
        </w:numPr>
        <w:tabs>
          <w:tab w:val="left" w:pos="284"/>
        </w:tabs>
        <w:jc w:val="both"/>
      </w:pPr>
      <w:r>
        <w:rPr>
          <w:b/>
          <w:bCs/>
        </w:rPr>
        <w:t>PatchTST:</w:t>
      </w:r>
      <w:r>
        <w:t xml:space="preserve"> A state-of-the-art attention mechanism operating via channel-independent patching to achieve linear-scale transformer mapping.</w:t>
      </w:r>
    </w:p>
    <w:p w14:paraId="20DA9F8E" w14:textId="77777777" w:rsidR="00BD1DA7" w:rsidRDefault="00000000">
      <w:pPr>
        <w:pStyle w:val="ListParagraph"/>
        <w:numPr>
          <w:ilvl w:val="0"/>
          <w:numId w:val="10"/>
        </w:numPr>
        <w:tabs>
          <w:tab w:val="left" w:pos="284"/>
        </w:tabs>
        <w:jc w:val="both"/>
      </w:pPr>
      <w:r>
        <w:rPr>
          <w:b/>
          <w:bCs/>
        </w:rPr>
        <w:t>SimpleMamba:</w:t>
      </w:r>
      <w:r>
        <w:t xml:space="preserve"> A standard selective state space architecture operating in isolation, completely decoupled from convolutional operations or physical statistical descriptors, serving as a baseline ablation.</w:t>
      </w:r>
    </w:p>
    <w:p w14:paraId="7E27CA92" w14:textId="77777777" w:rsidR="00BD1DA7" w:rsidRDefault="00000000">
      <w:pPr>
        <w:tabs>
          <w:tab w:val="left" w:pos="284"/>
        </w:tabs>
        <w:jc w:val="both"/>
      </w:pPr>
      <w:r>
        <w:tab/>
        <w:t>A prominent flaw in traditional deep learning benchmarks is the unfair allocation of model capacities, where a proposed network often outperforms baselines simply due to an inflated parameter volume. To enforce rigorous academic fairness, an automated baseline parameter scaling protocol is activated (auto_scale_baselines: true). Under this constraint, the hidden dimensions and layer counts of all five benchmarking models are dynamically scaled to synchronize their global volume of trainable parameters with that of the proposed HybridMambaCNN. Consequently, any observed performance variance is isolated entirely to structural and architectural efficiency rather than raw capacity imbalances.</w:t>
      </w:r>
    </w:p>
    <w:p w14:paraId="579347E3" w14:textId="77777777" w:rsidR="00BD1DA7" w:rsidRDefault="00000000">
      <w:pPr>
        <w:pStyle w:val="Heading2"/>
      </w:pPr>
      <w:r>
        <w:t>Training Infrastructure and Optimization Pipeline</w:t>
      </w:r>
    </w:p>
    <w:p w14:paraId="4839AB40" w14:textId="77777777" w:rsidR="00BD1DA7" w:rsidRDefault="00000000">
      <w:pPr>
        <w:tabs>
          <w:tab w:val="left" w:pos="284"/>
        </w:tabs>
        <w:jc w:val="both"/>
      </w:pPr>
      <w:r>
        <w:t xml:space="preserve">`The optimization of the deep sequence networks is executed over a strict 10-epoch execution horizon utilizing a mini-batch size of 128 samples on a dedicated hardware acceleration platform powered by the CUDA execution engine. The global learning rate is fixed at a constant value of </w:t>
      </w:r>
      <m:oMath>
        <m:r>
          <w:rPr>
            <w:rFonts w:ascii="Cambria Math" w:hAnsi="Cambria Math"/>
          </w:rPr>
          <m:t>5</m:t>
        </m:r>
        <m:r>
          <m:rPr>
            <m:sty m:val="p"/>
          </m:rPr>
          <w:rPr>
            <w:rFonts w:ascii="Cambria Math" w:hAnsi="Cambria Math"/>
          </w:rPr>
          <m:t>×</m:t>
        </m:r>
        <m:sSup>
          <m:sSupPr>
            <m:ctrlPr>
              <w:rPr>
                <w:rFonts w:ascii="Cambria Math" w:hAnsi="Cambria Math"/>
                <w:i/>
                <w:iCs/>
              </w:rPr>
            </m:ctrlPr>
          </m:sSupPr>
          <m:e>
            <m:r>
              <w:rPr>
                <w:rFonts w:ascii="Cambria Math" w:hAnsi="Cambria Math"/>
              </w:rPr>
              <m:t>10</m:t>
            </m:r>
            <m:ctrlPr>
              <w:rPr>
                <w:rFonts w:ascii="Cambria Math" w:hAnsi="Cambria Math"/>
                <w:iCs/>
              </w:rPr>
            </m:ctrlPr>
          </m:e>
          <m:sup>
            <m:r>
              <w:rPr>
                <w:rFonts w:ascii="Cambria Math" w:hAnsi="Cambria Math"/>
              </w:rPr>
              <m:t>-4</m:t>
            </m:r>
          </m:sup>
        </m:sSup>
      </m:oMath>
      <w:r>
        <w:t xml:space="preserve">. Rather than relying on standard Mean Squared Error (MSE) optimization during the gradient update loop, the global loss function is formulated utilizing the Huber loss paradigm. For absolute prediction errors bounded within the threshold parameter </w:t>
      </w:r>
      <m:oMath>
        <m:r>
          <m:rPr>
            <m:sty m:val="p"/>
          </m:rPr>
          <w:rPr>
            <w:rFonts w:ascii="Cambria Math" w:hAnsi="Cambria Math"/>
          </w:rPr>
          <m:t>δ</m:t>
        </m:r>
      </m:oMath>
      <w:r>
        <w:t xml:space="preserve"> where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m:rPr>
            <m:sty m:val="p"/>
          </m:rPr>
          <w:rPr>
            <w:rFonts w:ascii="Cambria Math" w:hAnsi="Cambria Math"/>
          </w:rPr>
          <m:t>≤</m:t>
        </m:r>
      </m:oMath>
      <w:r>
        <w:t>, the mathematical penalty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822978" w:rsidRPr="00822978" w14:paraId="36E3A0A3" w14:textId="77777777" w:rsidTr="00822978">
        <w:tc>
          <w:tcPr>
            <w:tcW w:w="7371" w:type="dxa"/>
            <w:vAlign w:val="center"/>
          </w:tcPr>
          <w:p w14:paraId="46973365" w14:textId="77777777" w:rsidR="00822978" w:rsidRPr="00822978" w:rsidRDefault="00822978" w:rsidP="00822978">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e>
                  <m:sup>
                    <m:r>
                      <w:rPr>
                        <w:rFonts w:ascii="Cambria Math" w:hAnsi="Cambria Math"/>
                      </w:rPr>
                      <m:t>2</m:t>
                    </m:r>
                  </m:sup>
                </m:sSup>
              </m:oMath>
            </m:oMathPara>
          </w:p>
        </w:tc>
        <w:tc>
          <w:tcPr>
            <w:tcW w:w="273" w:type="dxa"/>
            <w:vAlign w:val="center"/>
          </w:tcPr>
          <w:p w14:paraId="319B8900" w14:textId="36E8E9A1" w:rsidR="00822978" w:rsidRPr="00822978" w:rsidRDefault="00822978" w:rsidP="00822978">
            <w:r>
              <w:t>(26)</w:t>
            </w:r>
          </w:p>
        </w:tc>
      </w:tr>
    </w:tbl>
    <w:p w14:paraId="2771D246" w14:textId="77777777" w:rsidR="00BD1DA7" w:rsidRDefault="00000000">
      <w:pPr>
        <w:tabs>
          <w:tab w:val="left" w:pos="284"/>
        </w:tabs>
        <w:jc w:val="both"/>
      </w:pPr>
      <w:r>
        <w:tab/>
        <w:t xml:space="preserve">Conversely, for large anomalous deviations where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w:rPr>
            <w:rFonts w:ascii="Cambria Math" w:hAnsi="Cambria Math"/>
          </w:rPr>
          <m:t>&gt;</m:t>
        </m:r>
      </m:oMath>
      <w:r>
        <w:t>, the linear loss penalty is formulated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822978" w:rsidRPr="00822978" w14:paraId="28439A3F" w14:textId="77777777" w:rsidTr="00822978">
        <w:tc>
          <w:tcPr>
            <w:tcW w:w="7371" w:type="dxa"/>
            <w:vAlign w:val="center"/>
          </w:tcPr>
          <w:p w14:paraId="61E8428F" w14:textId="77777777" w:rsidR="00822978" w:rsidRPr="00822978" w:rsidRDefault="00822978" w:rsidP="00822978">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r>
                  <m:rPr>
                    <m:sty m:val="p"/>
                  </m:rPr>
                  <w:rPr>
                    <w:rFonts w:ascii="Cambria Math" w:hAnsi="Cambria Math"/>
                  </w:rPr>
                  <m:t>δ</m:t>
                </m:r>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r>
                      <m:rPr>
                        <m:sty m:val="p"/>
                      </m:rPr>
                      <w:rPr>
                        <w:rFonts w:ascii="Cambria Math" w:hAnsi="Cambria Math"/>
                      </w:rPr>
                      <m:t>δ</m:t>
                    </m:r>
                    <m:ctrlPr>
                      <w:rPr>
                        <w:rFonts w:ascii="Cambria Math" w:hAnsi="Cambria Math"/>
                        <w:i/>
                      </w:rPr>
                    </m:ctrlPr>
                  </m:e>
                </m:d>
              </m:oMath>
            </m:oMathPara>
          </w:p>
        </w:tc>
        <w:tc>
          <w:tcPr>
            <w:tcW w:w="273" w:type="dxa"/>
            <w:vAlign w:val="center"/>
          </w:tcPr>
          <w:p w14:paraId="264E6348" w14:textId="1E1B673B" w:rsidR="00822978" w:rsidRPr="00822978" w:rsidRDefault="00822978" w:rsidP="00822978">
            <w:r>
              <w:t>(27)</w:t>
            </w:r>
          </w:p>
        </w:tc>
      </w:tr>
    </w:tbl>
    <w:p w14:paraId="179BC8F9" w14:textId="77777777" w:rsidR="00BD1DA7" w:rsidRDefault="00000000">
      <w:pPr>
        <w:tabs>
          <w:tab w:val="left" w:pos="284"/>
        </w:tabs>
        <w:jc w:val="both"/>
      </w:pPr>
      <w:r>
        <w:tab/>
        <w:t xml:space="preserve">The choice of the Huber loss is physically motivated by the nature of raw industrial vibration telemetry. High-frequency industrial data frequently exhibits sudden, catastrophic non-Gaussian outlier spikes caused by external structural impacts or sensor artifacts. Standard MSE loss squares these errors, forcing the gradient descent optimization to over-correct for random anomalies and destabilizing normal healthy representation learning. The Huber loss integrates a linear penalty regime for errors exceeding the threshold parameter </w:t>
      </w:r>
      <m:oMath>
        <m:r>
          <m:rPr>
            <m:sty m:val="p"/>
          </m:rPr>
          <w:rPr>
            <w:rFonts w:ascii="Cambria Math" w:hAnsi="Cambria Math"/>
          </w:rPr>
          <m:t>δ</m:t>
        </m:r>
      </m:oMath>
      <w:r>
        <w:t>, ensuring that the framework maintains structural robustness against impulsive noise outliers while retaining smooth quadratic convergence behavior for nominal reconstruction variances.</w:t>
      </w:r>
    </w:p>
    <w:p w14:paraId="4E79C5C8" w14:textId="77777777" w:rsidR="00BD1DA7" w:rsidRDefault="00000000">
      <w:pPr>
        <w:pStyle w:val="Heading2"/>
      </w:pPr>
      <w:r>
        <w:t>Anomaly Scoring and Evaluation Strategy</w:t>
      </w:r>
    </w:p>
    <w:p w14:paraId="30A574E1" w14:textId="77777777" w:rsidR="00BD1DA7" w:rsidRDefault="00000000">
      <w:pPr>
        <w:tabs>
          <w:tab w:val="left" w:pos="284"/>
        </w:tabs>
        <w:jc w:val="both"/>
      </w:pPr>
      <w:r>
        <w:tab/>
        <w:t xml:space="preserve">The operational state of the target bearing asset is tracked via a next-window forecasting discrepancy metric acting as the definitive unsupervised anomaly proxy. At each evaluation timestep </w:t>
      </w:r>
      <m:oMath>
        <m:r>
          <w:rPr>
            <w:rFonts w:ascii="Cambria Math" w:hAnsi="Cambria Math"/>
          </w:rPr>
          <m:t>t</m:t>
        </m:r>
      </m:oMath>
      <w:r>
        <w:t xml:space="preserve">, the anomaly score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t xml:space="preserve"> is computed by taking the mathematical Mean Squared Error across all </w:t>
      </w:r>
      <m:oMath>
        <m:r>
          <w:rPr>
            <w:rFonts w:ascii="Cambria Math" w:hAnsi="Cambria Math"/>
          </w:rPr>
          <m:t>C</m:t>
        </m:r>
      </m:oMath>
      <w:r>
        <w:t xml:space="preserve"> acceleration channels and the complete forecast horizon length </w:t>
      </w:r>
      <m:oMath>
        <m:r>
          <w:rPr>
            <w:rFonts w:ascii="Cambria Math" w:hAnsi="Cambria Math"/>
          </w:rPr>
          <m:t>H</m:t>
        </m:r>
      </m:oMath>
      <w:r>
        <w:t xml:space="preserve"> (</w:t>
      </w:r>
      <m:oMath>
        <m:r>
          <w:rPr>
            <w:rFonts w:ascii="Cambria Math" w:hAnsi="Cambria Math"/>
          </w:rPr>
          <m:t>H = 1,024</m:t>
        </m:r>
      </m:oMath>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550"/>
      </w:tblGrid>
      <w:tr w:rsidR="00822978" w:rsidRPr="00822978" w14:paraId="5B430270" w14:textId="77777777" w:rsidTr="00822978">
        <w:tc>
          <w:tcPr>
            <w:tcW w:w="7371" w:type="dxa"/>
            <w:vAlign w:val="center"/>
          </w:tcPr>
          <w:p w14:paraId="11B56F3D" w14:textId="77777777" w:rsidR="00822978" w:rsidRPr="00822978" w:rsidRDefault="00822978" w:rsidP="00822978">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tc>
        <w:tc>
          <w:tcPr>
            <w:tcW w:w="273" w:type="dxa"/>
            <w:vAlign w:val="center"/>
          </w:tcPr>
          <w:p w14:paraId="787929BC" w14:textId="447909DA" w:rsidR="00822978" w:rsidRPr="00822978" w:rsidRDefault="00822978" w:rsidP="00822978">
            <w:r>
              <w:t>(28)</w:t>
            </w:r>
          </w:p>
        </w:tc>
      </w:tr>
    </w:tbl>
    <w:p w14:paraId="48B56539" w14:textId="77777777" w:rsidR="00BD1DA7" w:rsidRDefault="00000000">
      <w:pPr>
        <w:tabs>
          <w:tab w:val="left" w:pos="284"/>
        </w:tabs>
        <w:jc w:val="both"/>
      </w:pPr>
      <w:r>
        <w:tab/>
        <w:t xml:space="preserve">When the physical rolling elements operate within a stable, nominal envelope, the learned normal dynamics within the hybrid Mamba-CNN layers yield minimal forecasting deviations, keeping the anomaly score bounded. Upon the initialization of structural flaws, the forecasting capability drops abruptly, causing a distinct surge in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t>.</w:t>
      </w:r>
    </w:p>
    <w:p w14:paraId="71F9141F" w14:textId="77777777" w:rsidR="00BD1DA7" w:rsidRDefault="00000000">
      <w:pPr>
        <w:tabs>
          <w:tab w:val="left" w:pos="284"/>
        </w:tabs>
        <w:jc w:val="both"/>
      </w:pPr>
      <w:r>
        <w:tab/>
        <w:t xml:space="preserve">To comprehensively judge the diagnostic efficacy, performance is mapped via standard industrial prognostic metrics. </w:t>
      </w:r>
      <w:r>
        <w:rPr>
          <w:b/>
          <w:bCs/>
        </w:rPr>
        <w:t>Precision</w:t>
      </w:r>
      <w:r>
        <w:t xml:space="preserve"> computes the proportion of genuine structural degradations within the total generated alarms, minimizing unneeded maintenance interventions. </w:t>
      </w:r>
      <w:r>
        <w:rPr>
          <w:b/>
          <w:bCs/>
        </w:rPr>
        <w:t>Recall</w:t>
      </w:r>
      <w:r>
        <w:t xml:space="preserve"> measures the true positive rate tracking the model’s sensitivity to capturing early-stage cracks. The </w:t>
      </w:r>
      <w:r>
        <w:rPr>
          <w:b/>
          <w:bCs/>
        </w:rPr>
        <w:t>F1-score</w:t>
      </w:r>
      <w:r>
        <w:t xml:space="preserve"> establishes the harmonic mean to summarize the global trade-off balance. The Area Under the Receiver Operating Characteristic curve (</w:t>
      </w:r>
      <w:r>
        <w:rPr>
          <w:b/>
          <w:bCs/>
        </w:rPr>
        <w:t>AUROC</w:t>
      </w:r>
      <w:r>
        <w:t>) and Area Under the Precision-Recall Curve (</w:t>
      </w:r>
      <w:r>
        <w:rPr>
          <w:b/>
          <w:bCs/>
        </w:rPr>
        <w:t>AUPRC</w:t>
      </w:r>
      <w:r>
        <w:t>) evaluate performance independent of specific threshold values, with AUPRC serving as the definitive gold standard due to the severe class imbalance inherently characterized by rare anomaly events in prolonged asset life cycles. Finally, the False Alarm Rate (</w:t>
      </w:r>
      <w:r>
        <w:rPr>
          <w:b/>
          <w:bCs/>
        </w:rPr>
        <w:t>FAR</w:t>
      </w:r>
      <w:r>
        <w:t>) calculates the metric frequency of incorrect warnings, serving as a critical operational cost indicator.</w:t>
      </w:r>
    </w:p>
    <w:p w14:paraId="7B85CFFC" w14:textId="77777777" w:rsidR="00BD1DA7" w:rsidRDefault="00000000">
      <w:pPr>
        <w:tabs>
          <w:tab w:val="left" w:pos="284"/>
        </w:tabs>
        <w:jc w:val="both"/>
        <w:rPr>
          <w:rFonts w:eastAsia="MS Mincho"/>
          <w:smallCaps/>
        </w:rPr>
      </w:pPr>
      <w:r>
        <w:rPr>
          <w:rFonts w:ascii="Segoe UI Emoji" w:hAnsi="Segoe UI Emoji" w:cs="Segoe UI Emoji"/>
        </w:rPr>
        <w:tab/>
      </w:r>
      <w:r>
        <w:rPr>
          <w:rFonts w:ascii="Segoe UI Emoji" w:hAnsi="Segoe UI Emoji" w:cs="Segoe UI Emoji"/>
          <w:b/>
          <w:bCs/>
        </w:rPr>
        <w:t>*</w:t>
      </w:r>
      <w:r>
        <w:rPr>
          <w:b/>
          <w:bCs/>
        </w:rPr>
        <w:t>Note</w:t>
      </w:r>
      <w:r>
        <w:t>: Due to local high-performance hardware computing constraints and data repository access protocols, a compact, representative subset of the complete Paderborn University bearing dataset is utilized across the evaluation runs. This structural boundary is explicitly introduced to establish a localized, high-density benchmarking baseline, ensuring perfect execution reproducibility under restricted parameter footprints.</w:t>
      </w:r>
    </w:p>
    <w:p w14:paraId="5788F7F2" w14:textId="77777777" w:rsidR="00BD1DA7" w:rsidRDefault="00000000">
      <w:pPr>
        <w:pStyle w:val="Heading1"/>
      </w:pPr>
      <w:r>
        <w:rPr>
          <w:rFonts w:eastAsia="SimSun"/>
        </w:rPr>
        <w:t>Experimental Results and Discussion</w:t>
      </w:r>
    </w:p>
    <w:p w14:paraId="3C9CF36E" w14:textId="0961FE33" w:rsidR="00BD1DA7" w:rsidRDefault="008B43B3" w:rsidP="008B43B3">
      <w:pPr>
        <w:tabs>
          <w:tab w:val="left" w:pos="284"/>
        </w:tabs>
        <w:jc w:val="left"/>
      </w:pPr>
      <w:r>
        <w:rPr>
          <w:rFonts w:eastAsia="SimSun"/>
        </w:rPr>
        <w:tab/>
      </w:r>
      <w:r w:rsidR="00000000">
        <w:rPr>
          <w:rFonts w:eastAsia="SimSun"/>
        </w:rPr>
        <w:t>In this section, the empirical evaluation of the proposed series-decomposed hybrid Mamba-CNN architecture is presented. The analysis begins with a detailed component-level validation of the series decomposition module, demonstrating waveform decomposition dynamics, spectral energy separation, and latent space dimensionality. Following this, the global anomaly detection performance is assessed on run-to-failure bearing vibration data, comparing the proposed framework against four scaled baselines under a strict parameter budgeting protocol. Finally, computational latency, hardware memory footprints, and threshold calibration overhead are evaluated to validate its real-time edge-deployment capability.</w:t>
      </w:r>
    </w:p>
    <w:p w14:paraId="6C3387BE" w14:textId="77777777" w:rsidR="00BD1DA7" w:rsidRDefault="00000000">
      <w:pPr>
        <w:pStyle w:val="Heading2"/>
      </w:pPr>
      <w:r>
        <w:rPr>
          <w:rFonts w:eastAsia="SimSun"/>
        </w:rPr>
        <w:t>Validation of Series Decomposition Dynamics</w:t>
      </w:r>
    </w:p>
    <w:p w14:paraId="0FEB7A7D" w14:textId="77777777" w:rsidR="00BD1DA7" w:rsidRDefault="00000000">
      <w:pPr>
        <w:tabs>
          <w:tab w:val="left" w:pos="284"/>
        </w:tabs>
        <w:jc w:val="both"/>
        <w:rPr>
          <w:rFonts w:eastAsia="SimSun"/>
        </w:rPr>
      </w:pPr>
      <w:r>
        <w:tab/>
        <w:t xml:space="preserve">Discrete vibration signal decomposition via the adaptive temporal series decomposition module is visually evaluated across three representative stages of the bearing B03 operational </w:t>
      </w:r>
      <w:r>
        <w:lastRenderedPageBreak/>
        <w:t xml:space="preserve">lifecycle: the initial healthy state (Healthy — M0001), the mid-life stage (Mid-life — M0308), and the fault onset phase (Fault Onset — M0558). As demonstrated in Fig. 1, configuring an extended moving average kernel size of </w:t>
      </w:r>
      <m:oMath>
        <m:r>
          <w:rPr>
            <w:rFonts w:ascii="Cambria Math" w:hAnsi="Cambria Math"/>
          </w:rPr>
          <m:t>k = 3457</m:t>
        </m:r>
      </m:oMath>
      <w:r>
        <w:t xml:space="preserve"> ensures that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t xml:space="preserve">) </w:t>
      </w:r>
      <w:r>
        <w:rPr>
          <w:rFonts w:eastAsia="SimSun"/>
        </w:rPr>
        <w:t>maintains a smooth, flat trajectory and completely suppresses high-frequency localized oscillations. This stability confirms that the trend branch selectively captures only the low-frequency, one-dimensional DC baseline shift and the slow-moving progressive degradation dynamics of the mechanical system.</w:t>
      </w:r>
    </w:p>
    <w:p w14:paraId="57C6C7A1" w14:textId="77777777" w:rsidR="00BD1DA7" w:rsidRDefault="00000000">
      <w:r>
        <w:rPr>
          <w:noProof/>
        </w:rPr>
        <w:drawing>
          <wp:inline distT="0" distB="0" distL="0" distR="0" wp14:anchorId="49E66922" wp14:editId="275C2847">
            <wp:extent cx="4860290" cy="3017520"/>
            <wp:effectExtent l="0" t="0" r="1651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4860290" cy="3017520"/>
                    </a:xfrm>
                    <a:prstGeom prst="rect">
                      <a:avLst/>
                    </a:prstGeom>
                  </pic:spPr>
                </pic:pic>
              </a:graphicData>
            </a:graphic>
          </wp:inline>
        </w:drawing>
      </w:r>
    </w:p>
    <w:p w14:paraId="7FE54A7E" w14:textId="7A4E3454" w:rsidR="00BD1DA7" w:rsidRDefault="00000000">
      <w:pPr>
        <w:pStyle w:val="Caption"/>
        <w:rPr>
          <w:rFonts w:eastAsia="SimSun"/>
        </w:rPr>
      </w:pPr>
      <w:r w:rsidRPr="00822978">
        <w:rPr>
          <w:b/>
          <w:bCs/>
        </w:rPr>
        <w:t xml:space="preserve">Figure </w:t>
      </w:r>
      <w:r w:rsidRPr="00822978">
        <w:rPr>
          <w:b/>
          <w:bCs/>
        </w:rPr>
        <w:fldChar w:fldCharType="begin"/>
      </w:r>
      <w:r w:rsidRPr="00822978">
        <w:rPr>
          <w:b/>
          <w:bCs/>
        </w:rPr>
        <w:instrText xml:space="preserve"> SEQ Figure \* ARABIC </w:instrText>
      </w:r>
      <w:r w:rsidRPr="00822978">
        <w:rPr>
          <w:b/>
          <w:bCs/>
        </w:rPr>
        <w:fldChar w:fldCharType="separate"/>
      </w:r>
      <w:r w:rsidRPr="00822978">
        <w:rPr>
          <w:b/>
          <w:bCs/>
        </w:rPr>
        <w:t>1</w:t>
      </w:r>
      <w:r w:rsidRPr="00822978">
        <w:rPr>
          <w:b/>
          <w:bCs/>
        </w:rPr>
        <w:fldChar w:fldCharType="end"/>
      </w:r>
      <w:r w:rsidR="00822978">
        <w:t>.</w:t>
      </w:r>
      <w:r>
        <w:t xml:space="preserve"> </w:t>
      </w:r>
      <w:r>
        <w:rPr>
          <w:rFonts w:eastAsia="SimSun"/>
        </w:rPr>
        <w:t>Waveform decomposition results on bearing B03 across three representative phases: healthy, mid-life, and fault onset.</w:t>
      </w:r>
    </w:p>
    <w:p w14:paraId="1A67D044" w14:textId="77777777" w:rsidR="00BD1DA7" w:rsidRDefault="00000000">
      <w:pPr>
        <w:tabs>
          <w:tab w:val="left" w:pos="284"/>
        </w:tabs>
        <w:jc w:val="both"/>
      </w:pPr>
      <w:r>
        <w:tab/>
        <w:t>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t>) exhibits an almost perfect morphological correlation with the raw input signal (</w:t>
      </w:r>
      <m:oMath>
        <m:sSub>
          <m:sSubPr>
            <m:ctrlPr>
              <w:rPr>
                <w:rFonts w:ascii="Cambria Math" w:hAnsi="Cambria Math"/>
                <w:i/>
                <w:iCs/>
              </w:rPr>
            </m:ctrlPr>
          </m:sSubPr>
          <m:e>
            <m:r>
              <w:rPr>
                <w:rFonts w:ascii="Cambria Math" w:hAnsi="Cambria Math"/>
              </w:rPr>
              <m:t>X</m:t>
            </m:r>
          </m:e>
          <m:sub>
            <m:r>
              <w:rPr>
                <w:rFonts w:ascii="Cambria Math" w:hAnsi="Cambria Math"/>
              </w:rPr>
              <m:t>raw</m:t>
            </m:r>
          </m:sub>
        </m:sSub>
      </m:oMath>
      <w:r>
        <w:t>) throughout the first two phases of the operational lifespan. At the fault onset milestone (M0558)</w:t>
      </w:r>
      <w:r>
        <w:rPr>
          <w:rFonts w:eastAsia="SimSun"/>
        </w:rPr>
        <w:t>, a profound amplitude surge is recorded in the seasonal stream, where the root mean square (RMS) value escalates sharply from 0.059 V to 0.088 V, while the energy level of the corresponding trend component remains trapped at a sub-nominal baseline level (RMS of 0.006 V). The localized negative drift observed in the trend branch during this phase is identified as a technical artifact resulting from the sudden appearance of high-energy transient impulses, which does not jeopardize global mathematical stability. This manifestation verifies that the series decomposition algorithm successfully isolates structural fault-induced impact pulses from the heavy industrial background noise.</w:t>
      </w:r>
    </w:p>
    <w:p w14:paraId="1BAD8A5C" w14:textId="77777777" w:rsidR="00BD1DA7" w:rsidRDefault="00000000">
      <w:pPr>
        <w:pStyle w:val="Heading3"/>
      </w:pPr>
      <w:r>
        <w:rPr>
          <w:rFonts w:eastAsia="SimSun"/>
        </w:rPr>
        <w:t>Frequency-Domain Verification</w:t>
      </w:r>
    </w:p>
    <w:p w14:paraId="6BA1B41A" w14:textId="77777777" w:rsidR="00BD1DA7" w:rsidRDefault="00000000">
      <w:pPr>
        <w:tabs>
          <w:tab w:val="left" w:pos="284"/>
        </w:tabs>
        <w:jc w:val="both"/>
      </w:pPr>
      <w:r>
        <w:tab/>
      </w:r>
      <w:r>
        <w:rPr>
          <w:rFonts w:eastAsia="SimSun"/>
        </w:rPr>
        <w:t>To validate the spectral boundary precision of the preprocessing and decomposition modules, the power spectral density (PSD) profiles of the decomposed streams are evaluated comparatively. In Fig. 2, a profound spectral separation spanning 6 to 8 orders of magnitude is explicitly recorded within the high-frequency band from 1000 Hz to 6000 Hz between the trend and seasonal components. The spectral energy separation metric demonstrates that the seasonal component commands absolute dominance, achieving an energy ratio 28 times greater than that of the trend component, marking a substantial architectural advancement over conventional narrow filter kernel selections.</w:t>
      </w:r>
    </w:p>
    <w:p w14:paraId="35872AA1" w14:textId="77777777" w:rsidR="00BD1DA7" w:rsidRDefault="00000000">
      <w:r>
        <w:rPr>
          <w:noProof/>
        </w:rPr>
        <w:lastRenderedPageBreak/>
        <w:drawing>
          <wp:inline distT="0" distB="0" distL="0" distR="0" wp14:anchorId="1581E6FD" wp14:editId="33873E6B">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860290" cy="1509395"/>
                    </a:xfrm>
                    <a:prstGeom prst="rect">
                      <a:avLst/>
                    </a:prstGeom>
                  </pic:spPr>
                </pic:pic>
              </a:graphicData>
            </a:graphic>
          </wp:inline>
        </w:drawing>
      </w:r>
    </w:p>
    <w:p w14:paraId="1D7B2C98" w14:textId="60FA1A14" w:rsidR="00BD1DA7" w:rsidRDefault="00000000">
      <w:pPr>
        <w:pStyle w:val="Caption"/>
      </w:pPr>
      <w:r w:rsidRPr="00822978">
        <w:rPr>
          <w:b/>
          <w:bCs/>
        </w:rPr>
        <w:t xml:space="preserve">Figure </w:t>
      </w:r>
      <w:r w:rsidRPr="00822978">
        <w:rPr>
          <w:b/>
          <w:bCs/>
        </w:rPr>
        <w:fldChar w:fldCharType="begin"/>
      </w:r>
      <w:r w:rsidRPr="00822978">
        <w:rPr>
          <w:b/>
          <w:bCs/>
        </w:rPr>
        <w:instrText xml:space="preserve"> SEQ Figure \* ARABIC </w:instrText>
      </w:r>
      <w:r w:rsidRPr="00822978">
        <w:rPr>
          <w:b/>
          <w:bCs/>
        </w:rPr>
        <w:fldChar w:fldCharType="separate"/>
      </w:r>
      <w:r w:rsidRPr="00822978">
        <w:rPr>
          <w:b/>
          <w:bCs/>
        </w:rPr>
        <w:t>2</w:t>
      </w:r>
      <w:r w:rsidRPr="00822978">
        <w:rPr>
          <w:b/>
          <w:bCs/>
        </w:rPr>
        <w:fldChar w:fldCharType="end"/>
      </w:r>
      <w:r w:rsidR="00822978">
        <w:t>.</w:t>
      </w:r>
      <w:r>
        <w:t xml:space="preserve"> </w:t>
      </w:r>
      <w:r>
        <w:rPr>
          <w:rFonts w:eastAsia="SimSun"/>
        </w:rPr>
        <w:t>Power Spectral Density (PSD) analysis of raw vibration, trend, and seasonal signals, proving frequency isolation.</w:t>
      </w:r>
    </w:p>
    <w:p w14:paraId="196A8F59" w14:textId="77777777" w:rsidR="00BD1DA7" w:rsidRDefault="00000000">
      <w:pPr>
        <w:tabs>
          <w:tab w:val="left" w:pos="284"/>
        </w:tabs>
        <w:jc w:val="both"/>
      </w:pPr>
      <w:r>
        <w:tab/>
      </w:r>
      <w:r>
        <w:rPr>
          <w:rFonts w:eastAsia="SimSun"/>
        </w:rPr>
        <w:t>The presence of localized spectral overlapping bands below 200 Hz is identified as an unavoidable physical consequence of low-frequency oscillations stemming from the primary shaft rotation of the induction motor. Nevertheless, the mechanical origin of the structural fault is thoroughly verified via the Fast Fourier Transform (FFT) spectrum of the seasonal component during the degradation phase. A dominant energy peak emerges in an isolated and highly precise manner at 108 Hz, matching the theoretical Ball Pass Frequency Inner Ring (BPFI) defect frequency of the mechanical assembly. This frequency-domain evidence confirms that the seasonal stream processed by the hybrid Mamba-CNN encoder maps genuine structural kinematic degradation profiles rather than learning stochastic white noise patterns from the industrial environment.</w:t>
      </w:r>
    </w:p>
    <w:p w14:paraId="280A11CA" w14:textId="77777777" w:rsidR="00BD1DA7" w:rsidRDefault="00000000">
      <w:pPr>
        <w:pStyle w:val="Heading3"/>
      </w:pPr>
      <w:r>
        <w:rPr>
          <w:rFonts w:eastAsia="SimSun"/>
        </w:rPr>
        <w:t>Longitudinal Evolution and Dimensionality Analysis</w:t>
      </w:r>
    </w:p>
    <w:p w14:paraId="25593EA9" w14:textId="77777777" w:rsidR="00BD1DA7" w:rsidRDefault="00000000">
      <w:pPr>
        <w:tabs>
          <w:tab w:val="left" w:pos="284"/>
        </w:tabs>
        <w:jc w:val="both"/>
      </w:pPr>
      <w:r>
        <w:tab/>
      </w:r>
      <w:r>
        <w:rPr>
          <w:rFonts w:eastAsia="SimSun"/>
        </w:rPr>
        <w:t>The degradation progression across the complete run-to-failure lifecycle of bearing B03, encompassing 614 sequential data points, is continuously tracked via time-domain energy metrics. As displayed in Fig. 3, the seasonal RMS profile maintains absolute statistical stability during the first 89% of the operational lifespan and exhibits a sharp spike precisely at milestone M0547, continuously oscillating within an elevated amplitude band between 0.15 V and 0.35 V to reflect severe structural fatigue propagation. The trajectory of the raw signal shows synchronous alignment with the seasonal branch, while the trend RMS profile hovers near 0 V across the vast majority of the lifecycle. This structural behavior justifies the deployment of a parsimonious linear forecasting branch for the trend component to minimize computational resource overhead.</w:t>
      </w:r>
    </w:p>
    <w:p w14:paraId="6BC5AFC9" w14:textId="77777777" w:rsidR="00BD1DA7" w:rsidRDefault="00000000">
      <w:r>
        <w:rPr>
          <w:noProof/>
        </w:rPr>
        <w:drawing>
          <wp:inline distT="0" distB="0" distL="114300" distR="114300" wp14:anchorId="667265C9" wp14:editId="4DB7C4D5">
            <wp:extent cx="4852670" cy="2780030"/>
            <wp:effectExtent l="0" t="0" r="5080" b="1270"/>
            <wp:docPr id="9" name="Picture 9" descr="fig3_longitudinal_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g3_longitudinal_rms"/>
                    <pic:cNvPicPr>
                      <a:picLocks noChangeAspect="1"/>
                    </pic:cNvPicPr>
                  </pic:nvPicPr>
                  <pic:blipFill>
                    <a:blip r:embed="rId15"/>
                    <a:stretch>
                      <a:fillRect/>
                    </a:stretch>
                  </pic:blipFill>
                  <pic:spPr>
                    <a:xfrm>
                      <a:off x="0" y="0"/>
                      <a:ext cx="4852670" cy="2780030"/>
                    </a:xfrm>
                    <a:prstGeom prst="rect">
                      <a:avLst/>
                    </a:prstGeom>
                  </pic:spPr>
                </pic:pic>
              </a:graphicData>
            </a:graphic>
          </wp:inline>
        </w:drawing>
      </w:r>
    </w:p>
    <w:p w14:paraId="19F59C6C" w14:textId="50CA67D9" w:rsidR="00BD1DA7" w:rsidRDefault="00000000">
      <w:pPr>
        <w:pStyle w:val="Caption"/>
        <w:rPr>
          <w:rFonts w:eastAsia="SimSun"/>
        </w:rPr>
      </w:pPr>
      <w:r w:rsidRPr="00822978">
        <w:rPr>
          <w:b/>
          <w:bCs/>
        </w:rPr>
        <w:lastRenderedPageBreak/>
        <w:t xml:space="preserve">Figure </w:t>
      </w:r>
      <w:r w:rsidRPr="00822978">
        <w:rPr>
          <w:b/>
          <w:bCs/>
        </w:rPr>
        <w:fldChar w:fldCharType="begin"/>
      </w:r>
      <w:r w:rsidRPr="00822978">
        <w:rPr>
          <w:b/>
          <w:bCs/>
        </w:rPr>
        <w:instrText xml:space="preserve"> SEQ Figure \* ARABIC </w:instrText>
      </w:r>
      <w:r w:rsidRPr="00822978">
        <w:rPr>
          <w:b/>
          <w:bCs/>
        </w:rPr>
        <w:fldChar w:fldCharType="separate"/>
      </w:r>
      <w:r w:rsidRPr="00822978">
        <w:rPr>
          <w:b/>
          <w:bCs/>
        </w:rPr>
        <w:t>3</w:t>
      </w:r>
      <w:r w:rsidRPr="00822978">
        <w:rPr>
          <w:b/>
          <w:bCs/>
        </w:rPr>
        <w:fldChar w:fldCharType="end"/>
      </w:r>
      <w:r w:rsidR="00822978">
        <w:t>.</w:t>
      </w:r>
      <w:r>
        <w:t xml:space="preserve"> </w:t>
      </w:r>
      <w:r>
        <w:rPr>
          <w:rFonts w:eastAsia="SimSun"/>
        </w:rPr>
        <w:t>Longitudinal evolution of the RMS value for raw signal, trend, and seasonal components across the run-to-failure lifecycle.</w:t>
      </w:r>
    </w:p>
    <w:p w14:paraId="57CE3272" w14:textId="7B44D2DB" w:rsidR="00BD1DA7" w:rsidRDefault="00000000" w:rsidP="002F6CEF">
      <w:pPr>
        <w:tabs>
          <w:tab w:val="left" w:pos="284"/>
        </w:tabs>
        <w:jc w:val="both"/>
      </w:pPr>
      <w:r>
        <w:tab/>
      </w:r>
      <w:r>
        <w:rPr>
          <w:rFonts w:eastAsia="SimSun"/>
        </w:rPr>
        <w:t xml:space="preserve">The necessity of the parallel dual-stream hybrid Mamba-CNN framework is mathematically validated via the cumulative explained variance analysis illustrated in Fig. 4. The trend component reaches a 90% explained variance threshold using only 2 principal components (PCs), demonstrating a nearly planar, lower-dimensional manifold. In sharp contrast, the seasonal component exhibits highly complex, multi-dimensional non-linear dynamics, where the utilization of 30 distinct principal components only manages to explain approximately 83% of the total variance. The dimensionality expansion ratio between the two streams reaches </w:t>
      </w:r>
      <m:oMath>
        <m:r>
          <m:rPr>
            <m:sty m:val="p"/>
          </m:rPr>
          <w:rPr>
            <w:rFonts w:ascii="Cambria Math" w:eastAsia="SimSun" w:hAnsi="Cambria Math"/>
          </w:rPr>
          <m:t>15.5×</m:t>
        </m:r>
      </m:oMath>
      <w:r>
        <w:rPr>
          <w:rFonts w:eastAsia="SimSun"/>
        </w:rPr>
        <w:t xml:space="preserve">. As empirically demonstrated on the B03 run-to-failure dataset, the trend component requires only 2 principal components to explain 90% of its variance, while the seasonal component requires more than 30 components to reach 83% (dimensionality ratio: </w:t>
      </w:r>
      <m:oMath>
        <m:r>
          <m:rPr>
            <m:sty m:val="p"/>
          </m:rPr>
          <w:rPr>
            <w:rFonts w:ascii="Cambria Math" w:eastAsia="SimSun" w:hAnsi="Cambria Math"/>
          </w:rPr>
          <m:t>15.5×</m:t>
        </m:r>
      </m:oMath>
      <w:r>
        <w:rPr>
          <w:rFonts w:eastAsia="SimSun"/>
        </w:rPr>
        <w:t>). This disparity directly motivates the proposed dual-stream architecture.</w:t>
      </w:r>
    </w:p>
    <w:p w14:paraId="1C7213DC" w14:textId="77777777" w:rsidR="00BD1DA7" w:rsidRDefault="00000000">
      <w:r>
        <w:rPr>
          <w:noProof/>
        </w:rPr>
        <w:drawing>
          <wp:inline distT="0" distB="0" distL="0" distR="0" wp14:anchorId="1E07000A" wp14:editId="0D993F40">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4860290" cy="2675890"/>
                    </a:xfrm>
                    <a:prstGeom prst="rect">
                      <a:avLst/>
                    </a:prstGeom>
                  </pic:spPr>
                </pic:pic>
              </a:graphicData>
            </a:graphic>
          </wp:inline>
        </w:drawing>
      </w:r>
    </w:p>
    <w:p w14:paraId="5F70AD98" w14:textId="6C1B8233" w:rsidR="00BD1DA7" w:rsidRDefault="00000000">
      <w:pPr>
        <w:pStyle w:val="Caption"/>
      </w:pPr>
      <w:r w:rsidRPr="00822978">
        <w:rPr>
          <w:b/>
          <w:bCs/>
        </w:rPr>
        <w:t xml:space="preserve">Figure </w:t>
      </w:r>
      <w:r w:rsidRPr="00822978">
        <w:rPr>
          <w:b/>
          <w:bCs/>
        </w:rPr>
        <w:fldChar w:fldCharType="begin"/>
      </w:r>
      <w:r w:rsidRPr="00822978">
        <w:rPr>
          <w:b/>
          <w:bCs/>
        </w:rPr>
        <w:instrText xml:space="preserve"> SEQ Figure \* ARABIC </w:instrText>
      </w:r>
      <w:r w:rsidRPr="00822978">
        <w:rPr>
          <w:b/>
          <w:bCs/>
        </w:rPr>
        <w:fldChar w:fldCharType="separate"/>
      </w:r>
      <w:r w:rsidRPr="00822978">
        <w:rPr>
          <w:b/>
          <w:bCs/>
        </w:rPr>
        <w:t>4</w:t>
      </w:r>
      <w:r w:rsidRPr="00822978">
        <w:rPr>
          <w:b/>
          <w:bCs/>
        </w:rPr>
        <w:fldChar w:fldCharType="end"/>
      </w:r>
      <w:r w:rsidR="00822978">
        <w:t>.</w:t>
      </w:r>
      <w:r>
        <w:t xml:space="preserve"> </w:t>
      </w:r>
      <w:r>
        <w:rPr>
          <w:rFonts w:eastAsia="SimSun"/>
        </w:rPr>
        <w:t>Cumulative explained variance from PCA for both trend and seasonal streams.</w:t>
      </w:r>
    </w:p>
    <w:p w14:paraId="00C095C9" w14:textId="77777777" w:rsidR="00BD1DA7" w:rsidRDefault="00000000">
      <w:pPr>
        <w:tabs>
          <w:tab w:val="left" w:pos="284"/>
        </w:tabs>
        <w:jc w:val="both"/>
      </w:pPr>
      <w:r>
        <w:tab/>
      </w:r>
      <w:r>
        <w:rPr>
          <w:rFonts w:eastAsia="SimSun"/>
        </w:rPr>
        <w:t>Finally, Fig. 5 establishes a complete morphological boundary separation. The Kurtosis of the seasonal component remains stable around 3.0 (representing a nominal Gaussian distribution) during the healthy stage and explodes past 4.0 at milestone M0547. This non-Gaussian behavior is highly impulsive, necessitating the input-dependent selective scan mechanism of the Mamba encoder. The scatter plot between trend and seasonal energy values shows two distinct clusters: healthy states converge tightly near the origin, while degraded states disperse along the seasonal axis, validating structural independence during calibration and morphological co-evolution during failure.</w:t>
      </w:r>
    </w:p>
    <w:p w14:paraId="773EF344" w14:textId="77777777" w:rsidR="00BD1DA7" w:rsidRDefault="00BD1DA7"/>
    <w:p w14:paraId="45078133" w14:textId="77777777" w:rsidR="00BD1DA7" w:rsidRDefault="00000000">
      <w:r>
        <w:rPr>
          <w:noProof/>
        </w:rPr>
        <w:lastRenderedPageBreak/>
        <w:drawing>
          <wp:inline distT="0" distB="0" distL="0" distR="0" wp14:anchorId="4B1C35E4" wp14:editId="144C5C26">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4860290" cy="2098675"/>
                    </a:xfrm>
                    <a:prstGeom prst="rect">
                      <a:avLst/>
                    </a:prstGeom>
                  </pic:spPr>
                </pic:pic>
              </a:graphicData>
            </a:graphic>
          </wp:inline>
        </w:drawing>
      </w:r>
    </w:p>
    <w:p w14:paraId="4BF44C88" w14:textId="2BDC3400" w:rsidR="00BD1DA7" w:rsidRDefault="00000000">
      <w:pPr>
        <w:pStyle w:val="Caption"/>
      </w:pPr>
      <w:r w:rsidRPr="00822978">
        <w:rPr>
          <w:b/>
          <w:bCs/>
        </w:rPr>
        <w:t xml:space="preserve">Figure </w:t>
      </w:r>
      <w:r w:rsidRPr="00822978">
        <w:rPr>
          <w:b/>
          <w:bCs/>
        </w:rPr>
        <w:fldChar w:fldCharType="begin"/>
      </w:r>
      <w:r w:rsidRPr="00822978">
        <w:rPr>
          <w:b/>
          <w:bCs/>
        </w:rPr>
        <w:instrText xml:space="preserve"> SEQ Figure \* ARABIC </w:instrText>
      </w:r>
      <w:r w:rsidRPr="00822978">
        <w:rPr>
          <w:b/>
          <w:bCs/>
        </w:rPr>
        <w:fldChar w:fldCharType="separate"/>
      </w:r>
      <w:r w:rsidRPr="00822978">
        <w:rPr>
          <w:b/>
          <w:bCs/>
        </w:rPr>
        <w:t>5</w:t>
      </w:r>
      <w:r w:rsidRPr="00822978">
        <w:rPr>
          <w:b/>
          <w:bCs/>
        </w:rPr>
        <w:fldChar w:fldCharType="end"/>
      </w:r>
      <w:r w:rsidR="00822978">
        <w:t>.</w:t>
      </w:r>
      <w:r>
        <w:t xml:space="preserve"> </w:t>
      </w:r>
      <w:r>
        <w:rPr>
          <w:rFonts w:eastAsia="SimSun"/>
        </w:rPr>
        <w:t>Operational regime clustering and Kurtosis transition under structural degradation.</w:t>
      </w:r>
    </w:p>
    <w:p w14:paraId="7628D06C" w14:textId="77777777" w:rsidR="00BD1DA7" w:rsidRDefault="00000000">
      <w:pPr>
        <w:pStyle w:val="Heading3"/>
        <w:rPr>
          <w:rFonts w:eastAsia="SimSun"/>
        </w:rPr>
      </w:pPr>
      <w:r>
        <w:rPr>
          <w:rFonts w:eastAsia="SimSun"/>
        </w:rPr>
        <w:t>Quantitative Evidence Tables</w:t>
      </w:r>
    </w:p>
    <w:p w14:paraId="16D0C954" w14:textId="1E9C7018" w:rsidR="00BD1DA7" w:rsidRDefault="00822978">
      <w:pPr>
        <w:pStyle w:val="Caption"/>
        <w:rPr>
          <w:b/>
          <w:bCs/>
        </w:rPr>
      </w:pPr>
      <w:r w:rsidRPr="00822978">
        <w:rPr>
          <w:b/>
          <w:bCs/>
        </w:rPr>
        <w:t>Table 2</w:t>
      </w:r>
      <w:r>
        <w:rPr>
          <w:b/>
          <w:bCs/>
        </w:rPr>
        <w:t>.</w:t>
      </w:r>
      <w:r>
        <w:t xml:space="preserve"> </w:t>
      </w:r>
      <w:r w:rsidRPr="00822978">
        <w:t>Quantitative evolution and spectral separation metrics across filter kernels (bearing b03)</w:t>
      </w:r>
    </w:p>
    <w:tbl>
      <w:tblPr>
        <w:tblStyle w:val="TableGrid"/>
        <w:tblW w:w="0" w:type="auto"/>
        <w:tblLook w:val="04A0" w:firstRow="1" w:lastRow="0" w:firstColumn="1" w:lastColumn="0" w:noHBand="0" w:noVBand="1"/>
      </w:tblPr>
      <w:tblGrid>
        <w:gridCol w:w="1911"/>
        <w:gridCol w:w="1911"/>
        <w:gridCol w:w="1911"/>
        <w:gridCol w:w="1911"/>
      </w:tblGrid>
      <w:tr w:rsidR="00BD1DA7" w14:paraId="32AEC6B6" w14:textId="77777777">
        <w:tc>
          <w:tcPr>
            <w:tcW w:w="1911" w:type="dxa"/>
            <w:vAlign w:val="center"/>
          </w:tcPr>
          <w:p w14:paraId="62C86C5D" w14:textId="77777777" w:rsidR="00BD1DA7" w:rsidRDefault="00000000">
            <w:pPr>
              <w:jc w:val="left"/>
              <w:rPr>
                <w:b/>
                <w:bCs/>
              </w:rPr>
            </w:pPr>
            <w:r>
              <w:rPr>
                <w:b/>
                <w:bCs/>
              </w:rPr>
              <w:t>Experimental Metric</w:t>
            </w:r>
          </w:p>
        </w:tc>
        <w:tc>
          <w:tcPr>
            <w:tcW w:w="1911" w:type="dxa"/>
            <w:vAlign w:val="center"/>
          </w:tcPr>
          <w:p w14:paraId="3DF20540" w14:textId="77777777" w:rsidR="00BD1DA7" w:rsidRDefault="00000000">
            <w:pPr>
              <w:jc w:val="left"/>
              <w:rPr>
                <w:b/>
                <w:bCs/>
              </w:rPr>
            </w:pPr>
            <w:r>
              <w:rPr>
                <w:b/>
                <w:bCs/>
              </w:rPr>
              <w:t>Baseline Configuration (Kernel = 257)</w:t>
            </w:r>
          </w:p>
        </w:tc>
        <w:tc>
          <w:tcPr>
            <w:tcW w:w="1911" w:type="dxa"/>
            <w:vAlign w:val="center"/>
          </w:tcPr>
          <w:p w14:paraId="08C03D72" w14:textId="77777777" w:rsidR="00BD1DA7" w:rsidRDefault="00000000">
            <w:pPr>
              <w:jc w:val="left"/>
              <w:rPr>
                <w:b/>
                <w:bCs/>
              </w:rPr>
            </w:pPr>
            <w:r>
              <w:rPr>
                <w:b/>
                <w:bCs/>
              </w:rPr>
              <w:t>Proposed Configuration (Kernel = 3457)</w:t>
            </w:r>
          </w:p>
        </w:tc>
        <w:tc>
          <w:tcPr>
            <w:tcW w:w="1911" w:type="dxa"/>
            <w:vAlign w:val="center"/>
          </w:tcPr>
          <w:p w14:paraId="5202060B" w14:textId="77777777" w:rsidR="00BD1DA7" w:rsidRDefault="00000000">
            <w:pPr>
              <w:jc w:val="left"/>
              <w:rPr>
                <w:b/>
                <w:bCs/>
              </w:rPr>
            </w:pPr>
            <w:r>
              <w:rPr>
                <w:b/>
                <w:bCs/>
              </w:rPr>
              <w:t>Physical / Mechanical Significance</w:t>
            </w:r>
          </w:p>
        </w:tc>
      </w:tr>
      <w:tr w:rsidR="00BD1DA7" w14:paraId="61181AD2" w14:textId="77777777">
        <w:tc>
          <w:tcPr>
            <w:tcW w:w="1911" w:type="dxa"/>
            <w:vAlign w:val="center"/>
          </w:tcPr>
          <w:p w14:paraId="760A117A" w14:textId="77777777" w:rsidR="00BD1DA7" w:rsidRDefault="00000000">
            <w:pPr>
              <w:jc w:val="left"/>
            </w:pPr>
            <w:r>
              <w:t>PCA Trend Variance Bound (90% Threshold)</w:t>
            </w:r>
          </w:p>
        </w:tc>
        <w:tc>
          <w:tcPr>
            <w:tcW w:w="1911" w:type="dxa"/>
            <w:vAlign w:val="center"/>
          </w:tcPr>
          <w:p w14:paraId="7B4D5B98" w14:textId="77777777" w:rsidR="00BD1DA7" w:rsidRDefault="00000000">
            <w:r>
              <w:t>13 PCs</w:t>
            </w:r>
          </w:p>
        </w:tc>
        <w:tc>
          <w:tcPr>
            <w:tcW w:w="1911" w:type="dxa"/>
            <w:vAlign w:val="center"/>
          </w:tcPr>
          <w:p w14:paraId="61BFD42C" w14:textId="77777777" w:rsidR="00BD1DA7" w:rsidRDefault="00000000">
            <w:r>
              <w:t>2 PCs</w:t>
            </w:r>
          </w:p>
        </w:tc>
        <w:tc>
          <w:tcPr>
            <w:tcW w:w="1911" w:type="dxa"/>
            <w:vAlign w:val="center"/>
          </w:tcPr>
          <w:p w14:paraId="173B82DD" w14:textId="77777777" w:rsidR="00BD1DA7" w:rsidRDefault="00000000">
            <w:pPr>
              <w:jc w:val="left"/>
            </w:pPr>
            <w:r>
              <w:t>Nearly planar, lower-dimensional manifold; justifies the linear branch application.</w:t>
            </w:r>
          </w:p>
        </w:tc>
      </w:tr>
      <w:tr w:rsidR="00BD1DA7" w14:paraId="1FA64875" w14:textId="77777777">
        <w:tc>
          <w:tcPr>
            <w:tcW w:w="1911" w:type="dxa"/>
            <w:vAlign w:val="center"/>
          </w:tcPr>
          <w:p w14:paraId="74C9CF84" w14:textId="77777777" w:rsidR="00BD1DA7" w:rsidRDefault="00000000">
            <w:pPr>
              <w:jc w:val="left"/>
            </w:pPr>
            <w:r>
              <w:t>PCA Seasonal Variance Bound (90% Threshold)</w:t>
            </w:r>
          </w:p>
        </w:tc>
        <w:tc>
          <w:tcPr>
            <w:tcW w:w="1911" w:type="dxa"/>
            <w:vAlign w:val="center"/>
          </w:tcPr>
          <w:p w14:paraId="7D2AE400" w14:textId="77777777" w:rsidR="00BD1DA7" w:rsidRDefault="00000000">
            <w:r>
              <w:t>31 PCs</w:t>
            </w:r>
          </w:p>
        </w:tc>
        <w:tc>
          <w:tcPr>
            <w:tcW w:w="1911" w:type="dxa"/>
            <w:vAlign w:val="center"/>
          </w:tcPr>
          <w:p w14:paraId="7179C750" w14:textId="77777777" w:rsidR="00BD1DA7" w:rsidRDefault="00000000">
            <w:r>
              <w:t>&gt; 30 PCs (83% at 30)</w:t>
            </w:r>
          </w:p>
        </w:tc>
        <w:tc>
          <w:tcPr>
            <w:tcW w:w="1911" w:type="dxa"/>
            <w:vAlign w:val="center"/>
          </w:tcPr>
          <w:p w14:paraId="67E036E1" w14:textId="77777777" w:rsidR="00BD1DA7" w:rsidRDefault="00000000">
            <w:pPr>
              <w:jc w:val="left"/>
            </w:pPr>
            <w:r>
              <w:t>Complex multi-dimensional non-linear dynamics; demands the Mamba encoder.</w:t>
            </w:r>
          </w:p>
        </w:tc>
      </w:tr>
      <w:tr w:rsidR="00BD1DA7" w14:paraId="045D75F6" w14:textId="77777777">
        <w:tc>
          <w:tcPr>
            <w:tcW w:w="1911" w:type="dxa"/>
            <w:vAlign w:val="center"/>
          </w:tcPr>
          <w:p w14:paraId="49366780" w14:textId="77777777" w:rsidR="00BD1DA7" w:rsidRDefault="00000000">
            <w:pPr>
              <w:jc w:val="left"/>
            </w:pPr>
            <w:r>
              <w:t>Dimensionality Expansion Ratio (Seasonal/Trend)</w:t>
            </w:r>
          </w:p>
        </w:tc>
        <w:tc>
          <w:tcPr>
            <w:tcW w:w="1911" w:type="dxa"/>
            <w:vAlign w:val="center"/>
          </w:tcPr>
          <w:p w14:paraId="472D7FC7" w14:textId="77777777" w:rsidR="00BD1DA7" w:rsidRDefault="00000000">
            <w:r>
              <w:t>2.4×</w:t>
            </w:r>
          </w:p>
        </w:tc>
        <w:tc>
          <w:tcPr>
            <w:tcW w:w="1911" w:type="dxa"/>
            <w:vAlign w:val="center"/>
          </w:tcPr>
          <w:p w14:paraId="378BCCCF" w14:textId="77777777" w:rsidR="00BD1DA7" w:rsidRDefault="00000000">
            <w:r>
              <w:t>15.5×</w:t>
            </w:r>
          </w:p>
        </w:tc>
        <w:tc>
          <w:tcPr>
            <w:tcW w:w="1911" w:type="dxa"/>
            <w:vAlign w:val="center"/>
          </w:tcPr>
          <w:p w14:paraId="093D0109" w14:textId="77777777" w:rsidR="00BD1DA7" w:rsidRDefault="00000000">
            <w:pPr>
              <w:jc w:val="left"/>
            </w:pPr>
            <w:r>
              <w:t>Quantitative evidence validation for the Architectural Parsimony principle.</w:t>
            </w:r>
          </w:p>
        </w:tc>
      </w:tr>
      <w:tr w:rsidR="00BD1DA7" w14:paraId="796DB893" w14:textId="77777777">
        <w:tc>
          <w:tcPr>
            <w:tcW w:w="1911" w:type="dxa"/>
            <w:vAlign w:val="center"/>
          </w:tcPr>
          <w:p w14:paraId="108320FB" w14:textId="77777777" w:rsidR="00BD1DA7" w:rsidRDefault="00000000">
            <w:pPr>
              <w:jc w:val="left"/>
            </w:pPr>
            <w:r>
              <w:t>Spectral Energy Separation (Seasonal/Trend)</w:t>
            </w:r>
          </w:p>
        </w:tc>
        <w:tc>
          <w:tcPr>
            <w:tcW w:w="1911" w:type="dxa"/>
            <w:vAlign w:val="center"/>
          </w:tcPr>
          <w:p w14:paraId="11950305" w14:textId="77777777" w:rsidR="00BD1DA7" w:rsidRDefault="00000000">
            <w:r>
              <w:t>0.66×</w:t>
            </w:r>
          </w:p>
        </w:tc>
        <w:tc>
          <w:tcPr>
            <w:tcW w:w="1911" w:type="dxa"/>
            <w:vAlign w:val="center"/>
          </w:tcPr>
          <w:p w14:paraId="1CA19562" w14:textId="77777777" w:rsidR="00BD1DA7" w:rsidRDefault="00000000">
            <w:r>
              <w:t>28.0×</w:t>
            </w:r>
          </w:p>
        </w:tc>
        <w:tc>
          <w:tcPr>
            <w:tcW w:w="1911" w:type="dxa"/>
            <w:vAlign w:val="center"/>
          </w:tcPr>
          <w:p w14:paraId="7DEC9DC6" w14:textId="77777777" w:rsidR="00BD1DA7" w:rsidRDefault="00000000">
            <w:pPr>
              <w:jc w:val="left"/>
            </w:pPr>
            <w:r>
              <w:t>Completely eliminates low-frequency trend profiles from masking structural fault impulses (Fault Masking).</w:t>
            </w:r>
          </w:p>
        </w:tc>
      </w:tr>
      <w:tr w:rsidR="00BD1DA7" w14:paraId="261296F7" w14:textId="77777777">
        <w:tc>
          <w:tcPr>
            <w:tcW w:w="1911" w:type="dxa"/>
            <w:vAlign w:val="center"/>
          </w:tcPr>
          <w:p w14:paraId="014EE527" w14:textId="77777777" w:rsidR="00BD1DA7" w:rsidRDefault="00000000">
            <w:pPr>
              <w:jc w:val="left"/>
            </w:pPr>
            <w:r>
              <w:t>Identified Analytical Fault Peak Frequency</w:t>
            </w:r>
          </w:p>
        </w:tc>
        <w:tc>
          <w:tcPr>
            <w:tcW w:w="1911" w:type="dxa"/>
            <w:vAlign w:val="center"/>
          </w:tcPr>
          <w:p w14:paraId="4AB9C57C" w14:textId="77777777" w:rsidR="00BD1DA7" w:rsidRDefault="00000000">
            <w:r>
              <w:t>None</w:t>
            </w:r>
          </w:p>
        </w:tc>
        <w:tc>
          <w:tcPr>
            <w:tcW w:w="1911" w:type="dxa"/>
            <w:vAlign w:val="center"/>
          </w:tcPr>
          <w:p w14:paraId="53DA085A" w14:textId="77777777" w:rsidR="00BD1DA7" w:rsidRDefault="00000000">
            <w:r>
              <w:t>108 Hz</w:t>
            </w:r>
          </w:p>
        </w:tc>
        <w:tc>
          <w:tcPr>
            <w:tcW w:w="1911" w:type="dxa"/>
            <w:vAlign w:val="center"/>
          </w:tcPr>
          <w:p w14:paraId="6E7F55FC" w14:textId="77777777" w:rsidR="00BD1DA7" w:rsidRDefault="00000000">
            <w:pPr>
              <w:jc w:val="left"/>
            </w:pPr>
            <w:r>
              <w:t>Perfect alignment with the theoretical Ball Pass Frequency Inner Ring (BPFI).</w:t>
            </w:r>
          </w:p>
        </w:tc>
      </w:tr>
    </w:tbl>
    <w:p w14:paraId="3236434B" w14:textId="77777777" w:rsidR="00BD1DA7" w:rsidRDefault="00BD1DA7"/>
    <w:p w14:paraId="66C06B9C" w14:textId="74D94043" w:rsidR="00BD1DA7" w:rsidRDefault="00822978">
      <w:pPr>
        <w:pStyle w:val="Caption"/>
      </w:pPr>
      <w:r>
        <w:rPr>
          <w:b/>
          <w:bCs/>
        </w:rPr>
        <w:t>Table</w:t>
      </w:r>
      <w:r w:rsidR="00000000">
        <w:rPr>
          <w:b/>
          <w:bCs/>
        </w:rPr>
        <w:t xml:space="preserve"> </w:t>
      </w:r>
      <w:r>
        <w:rPr>
          <w:b/>
          <w:bCs/>
        </w:rPr>
        <w:t>3.</w:t>
      </w:r>
      <w:r w:rsidR="00000000" w:rsidRPr="00822978">
        <w:t xml:space="preserve"> </w:t>
      </w:r>
      <w:r w:rsidRPr="00822978">
        <w:t>Limitation diagnostics audit and reproducibility defense matrix</w:t>
      </w:r>
    </w:p>
    <w:tbl>
      <w:tblPr>
        <w:tblStyle w:val="TableGrid"/>
        <w:tblW w:w="0" w:type="auto"/>
        <w:tblLook w:val="04A0" w:firstRow="1" w:lastRow="0" w:firstColumn="1" w:lastColumn="0" w:noHBand="0" w:noVBand="1"/>
      </w:tblPr>
      <w:tblGrid>
        <w:gridCol w:w="1911"/>
        <w:gridCol w:w="1911"/>
        <w:gridCol w:w="1911"/>
        <w:gridCol w:w="1911"/>
      </w:tblGrid>
      <w:tr w:rsidR="00BD1DA7" w14:paraId="62224754" w14:textId="77777777">
        <w:tc>
          <w:tcPr>
            <w:tcW w:w="1911" w:type="dxa"/>
            <w:vAlign w:val="center"/>
          </w:tcPr>
          <w:p w14:paraId="7EED37EE" w14:textId="77777777" w:rsidR="00BD1DA7" w:rsidRDefault="00000000">
            <w:pPr>
              <w:jc w:val="left"/>
              <w:rPr>
                <w:b/>
                <w:bCs/>
              </w:rPr>
            </w:pPr>
            <w:r>
              <w:rPr>
                <w:b/>
                <w:bCs/>
              </w:rPr>
              <w:t>Observed Artifact</w:t>
            </w:r>
          </w:p>
        </w:tc>
        <w:tc>
          <w:tcPr>
            <w:tcW w:w="1911" w:type="dxa"/>
            <w:vAlign w:val="center"/>
          </w:tcPr>
          <w:p w14:paraId="6D8793C1" w14:textId="77777777" w:rsidR="00BD1DA7" w:rsidRDefault="00000000">
            <w:pPr>
              <w:jc w:val="left"/>
              <w:rPr>
                <w:b/>
                <w:bCs/>
              </w:rPr>
            </w:pPr>
            <w:r>
              <w:rPr>
                <w:b/>
                <w:bCs/>
              </w:rPr>
              <w:t>Technical Nature</w:t>
            </w:r>
          </w:p>
        </w:tc>
        <w:tc>
          <w:tcPr>
            <w:tcW w:w="1911" w:type="dxa"/>
            <w:vAlign w:val="center"/>
          </w:tcPr>
          <w:p w14:paraId="053C3B58" w14:textId="77777777" w:rsidR="00BD1DA7" w:rsidRDefault="00000000">
            <w:pPr>
              <w:jc w:val="left"/>
              <w:rPr>
                <w:b/>
                <w:bCs/>
              </w:rPr>
            </w:pPr>
            <w:r>
              <w:rPr>
                <w:b/>
                <w:bCs/>
              </w:rPr>
              <w:t>Systemic Impact</w:t>
            </w:r>
          </w:p>
        </w:tc>
        <w:tc>
          <w:tcPr>
            <w:tcW w:w="1911" w:type="dxa"/>
            <w:vAlign w:val="center"/>
          </w:tcPr>
          <w:p w14:paraId="72BD458E" w14:textId="77777777" w:rsidR="00BD1DA7" w:rsidRDefault="00000000">
            <w:pPr>
              <w:jc w:val="left"/>
              <w:rPr>
                <w:b/>
                <w:bCs/>
              </w:rPr>
            </w:pPr>
            <w:r>
              <w:rPr>
                <w:b/>
                <w:bCs/>
              </w:rPr>
              <w:t>Scholarly Defense Argument</w:t>
            </w:r>
          </w:p>
        </w:tc>
      </w:tr>
      <w:tr w:rsidR="00BD1DA7" w14:paraId="3BD7498D" w14:textId="77777777">
        <w:tc>
          <w:tcPr>
            <w:tcW w:w="1911" w:type="dxa"/>
            <w:vAlign w:val="center"/>
          </w:tcPr>
          <w:p w14:paraId="58174D56" w14:textId="77777777" w:rsidR="00BD1DA7" w:rsidRDefault="00000000">
            <w:pPr>
              <w:jc w:val="left"/>
            </w:pPr>
            <w:r>
              <w:lastRenderedPageBreak/>
              <w:t>Trend Negative Drift (Fig. 1 — Fault Onset Column)</w:t>
            </w:r>
          </w:p>
        </w:tc>
        <w:tc>
          <w:tcPr>
            <w:tcW w:w="1911" w:type="dxa"/>
            <w:vAlign w:val="center"/>
          </w:tcPr>
          <w:p w14:paraId="10FEC4B2" w14:textId="77777777" w:rsidR="00BD1DA7" w:rsidRDefault="00000000">
            <w:pPr>
              <w:jc w:val="left"/>
            </w:pPr>
            <w:r>
              <w:t>DC drift artifact generated when the symmetric moving average filter encounters high-amplitude transient fault impulses.</w:t>
            </w:r>
          </w:p>
        </w:tc>
        <w:tc>
          <w:tcPr>
            <w:tcW w:w="1911" w:type="dxa"/>
            <w:vAlign w:val="center"/>
          </w:tcPr>
          <w:p w14:paraId="18CC9C16" w14:textId="77777777" w:rsidR="00BD1DA7" w:rsidRDefault="00000000">
            <w:pPr>
              <w:jc w:val="left"/>
            </w:pPr>
            <w:r>
              <w:t>Completely benign; does not jeopardize network convergence.</w:t>
            </w:r>
          </w:p>
        </w:tc>
        <w:tc>
          <w:tcPr>
            <w:tcW w:w="1911" w:type="dxa"/>
            <w:vAlign w:val="center"/>
          </w:tcPr>
          <w:p w14:paraId="7C8CAD0A" w14:textId="77777777" w:rsidR="00BD1DA7" w:rsidRDefault="00000000">
            <w:pPr>
              <w:jc w:val="left"/>
            </w:pPr>
            <w:r>
              <w:t>This represents a natural mathematical outcome of a sliding integrated kernel; the negative drift confirms that the seasonal path has thoroughly isolated the high-frequency transient impact energy.</w:t>
            </w:r>
          </w:p>
        </w:tc>
      </w:tr>
      <w:tr w:rsidR="00BD1DA7" w14:paraId="758DE193" w14:textId="77777777">
        <w:tc>
          <w:tcPr>
            <w:tcW w:w="1911" w:type="dxa"/>
            <w:vAlign w:val="center"/>
          </w:tcPr>
          <w:p w14:paraId="4D2D75DF" w14:textId="77777777" w:rsidR="00BD1DA7" w:rsidRDefault="00000000">
            <w:pPr>
              <w:jc w:val="left"/>
            </w:pPr>
            <w:r>
              <w:t>Low-Frequency Spectral Overlap (Fig. 2 — Below 200 Hz Region)</w:t>
            </w:r>
          </w:p>
        </w:tc>
        <w:tc>
          <w:tcPr>
            <w:tcW w:w="1911" w:type="dxa"/>
            <w:vAlign w:val="center"/>
          </w:tcPr>
          <w:p w14:paraId="640FC912" w14:textId="77777777" w:rsidR="00BD1DA7" w:rsidRDefault="00000000">
            <w:pPr>
              <w:jc w:val="left"/>
            </w:pPr>
            <w:r>
              <w:t>Frequency band overlapping originating from fundamental mechanical shaft rotation and background induction motor loads.</w:t>
            </w:r>
          </w:p>
        </w:tc>
        <w:tc>
          <w:tcPr>
            <w:tcW w:w="1911" w:type="dxa"/>
            <w:vAlign w:val="center"/>
          </w:tcPr>
          <w:p w14:paraId="4CA1A84E" w14:textId="77777777" w:rsidR="00BD1DA7" w:rsidRDefault="00000000">
            <w:pPr>
              <w:jc w:val="left"/>
            </w:pPr>
            <w:r>
              <w:t>Sub-nominal baseline operational noise.</w:t>
            </w:r>
          </w:p>
        </w:tc>
        <w:tc>
          <w:tcPr>
            <w:tcW w:w="1911" w:type="dxa"/>
            <w:vAlign w:val="center"/>
          </w:tcPr>
          <w:p w14:paraId="70C2A055" w14:textId="77777777" w:rsidR="00BD1DA7" w:rsidRDefault="00000000">
            <w:pPr>
              <w:jc w:val="left"/>
            </w:pPr>
            <w:r>
              <w:t>Low-frequency spectral blending is a fundamental constraint of moving average filters. This residual energy is thoroughly suppressed by the downstream Channel Independence (CI) constraint and the localized Local 1D CNN block prior to the selective scan.</w:t>
            </w:r>
          </w:p>
        </w:tc>
      </w:tr>
      <w:tr w:rsidR="00BD1DA7" w14:paraId="7B37E367" w14:textId="77777777">
        <w:tc>
          <w:tcPr>
            <w:tcW w:w="1911" w:type="dxa"/>
            <w:vAlign w:val="center"/>
          </w:tcPr>
          <w:p w14:paraId="5F13B89D" w14:textId="77777777" w:rsidR="00BD1DA7" w:rsidRDefault="00000000">
            <w:pPr>
              <w:jc w:val="left"/>
            </w:pPr>
            <w:r>
              <w:t>Visual Bounding Absence (Fig. 5 — Scatter Cluster Distribution)</w:t>
            </w:r>
          </w:p>
        </w:tc>
        <w:tc>
          <w:tcPr>
            <w:tcW w:w="1911" w:type="dxa"/>
            <w:vAlign w:val="center"/>
          </w:tcPr>
          <w:p w14:paraId="129E54C0" w14:textId="77777777" w:rsidR="00BD1DA7" w:rsidRDefault="00000000">
            <w:pPr>
              <w:jc w:val="left"/>
            </w:pPr>
            <w:r>
              <w:t>Omission of validation boundary geometry (ellipse overlays) mapping distinct regime spaces.</w:t>
            </w:r>
          </w:p>
        </w:tc>
        <w:tc>
          <w:tcPr>
            <w:tcW w:w="1911" w:type="dxa"/>
            <w:vAlign w:val="center"/>
          </w:tcPr>
          <w:p w14:paraId="5F260AF0" w14:textId="77777777" w:rsidR="00BD1DA7" w:rsidRDefault="00000000">
            <w:pPr>
              <w:jc w:val="left"/>
            </w:pPr>
            <w:r>
              <w:t>Slightly reduces visual graphic immediacy.</w:t>
            </w:r>
          </w:p>
        </w:tc>
        <w:tc>
          <w:tcPr>
            <w:tcW w:w="1911" w:type="dxa"/>
            <w:vAlign w:val="center"/>
          </w:tcPr>
          <w:p w14:paraId="517E7413" w14:textId="77777777" w:rsidR="00BD1DA7" w:rsidRDefault="00000000">
            <w:pPr>
              <w:jc w:val="left"/>
            </w:pPr>
            <w:r>
              <w:t>The morphological boundary separation (highly dense healthy cluster versus a linear path along the seasonal axis) is mathematically absolute; the unsupervised POT-EVT thresholding pipeline automates decision boundaries without manual geometric annotation.</w:t>
            </w:r>
          </w:p>
        </w:tc>
      </w:tr>
    </w:tbl>
    <w:p w14:paraId="087455A7" w14:textId="77777777" w:rsidR="00BD1DA7" w:rsidRDefault="00BD1DA7">
      <w:pPr>
        <w:jc w:val="both"/>
      </w:pPr>
    </w:p>
    <w:p w14:paraId="7206AF72" w14:textId="77777777" w:rsidR="00BD1DA7" w:rsidRDefault="00000000">
      <w:pPr>
        <w:pStyle w:val="Heading2"/>
        <w:jc w:val="both"/>
      </w:pPr>
      <w:r>
        <w:rPr>
          <w:rFonts w:eastAsia="SimSun"/>
        </w:rPr>
        <w:t>Anomaly Detection Performance Comparison</w:t>
      </w:r>
    </w:p>
    <w:p w14:paraId="0585A912" w14:textId="77777777" w:rsidR="00BD1DA7" w:rsidRDefault="00000000">
      <w:pPr>
        <w:tabs>
          <w:tab w:val="left" w:pos="284"/>
        </w:tabs>
        <w:jc w:val="both"/>
      </w:pPr>
      <w:r>
        <w:tab/>
      </w:r>
      <w:r>
        <w:rPr>
          <w:rFonts w:eastAsia="SimSun"/>
        </w:rPr>
        <w:t>The anomaly detection performance was evaluated under localized Peak Over Threshold (POT) calibration (</w:t>
      </w:r>
      <m:oMath>
        <m:r>
          <w:rPr>
            <w:rFonts w:ascii="Cambria Math" w:eastAsia="Cambria Math" w:hAnsi="Cambria Math"/>
          </w:rPr>
          <m:t>q=1</m:t>
        </m:r>
        <m:sSup>
          <m:sSupPr>
            <m:ctrlPr>
              <w:rPr>
                <w:rFonts w:ascii="Cambria Math" w:eastAsia="Cambria Math" w:hAnsi="Cambria Math"/>
              </w:rPr>
            </m:ctrlPr>
          </m:sSupPr>
          <m:e>
            <m:r>
              <w:rPr>
                <w:rFonts w:ascii="Cambria Math" w:eastAsia="Cambria Math" w:hAnsi="Cambria Math"/>
              </w:rPr>
              <m:t>0</m:t>
            </m:r>
          </m:e>
          <m:sup>
            <m:r>
              <w:rPr>
                <w:rFonts w:ascii="Cambria Math" w:eastAsia="Cambria Math" w:hAnsi="Cambria Math"/>
              </w:rPr>
              <m:t>-3</m:t>
            </m:r>
          </m:sup>
        </m:sSup>
      </m:oMath>
      <w:r>
        <w:rPr>
          <w:rFonts w:eastAsia="SimSun"/>
        </w:rPr>
        <w:t xml:space="preserve">). The macro-average performance metrics across the seven test bearings are summarized in Table V.1. The best performing metrics are highlighted in </w:t>
      </w:r>
      <w:r>
        <w:rPr>
          <w:rFonts w:eastAsia="SimSun"/>
          <w:b/>
          <w:bCs/>
        </w:rPr>
        <w:t>bold</w:t>
      </w:r>
      <w:r>
        <w:rPr>
          <w:rFonts w:eastAsia="SimSun"/>
        </w:rPr>
        <w:t>, while the second-best results are underlined.</w:t>
      </w:r>
    </w:p>
    <w:p w14:paraId="73B3C65E" w14:textId="77777777" w:rsidR="00BD1DA7" w:rsidRDefault="00BD1DA7">
      <w:pPr>
        <w:jc w:val="both"/>
        <w:rPr>
          <w:rFonts w:eastAsia="SimSun"/>
        </w:rPr>
      </w:pPr>
    </w:p>
    <w:p w14:paraId="52CDF224" w14:textId="01C77F71" w:rsidR="00BD1DA7" w:rsidRDefault="00822978">
      <w:pPr>
        <w:pStyle w:val="Caption"/>
        <w:rPr>
          <w:b/>
          <w:bCs/>
        </w:rPr>
      </w:pPr>
      <w:r>
        <w:rPr>
          <w:b/>
          <w:bCs/>
        </w:rPr>
        <w:t xml:space="preserve">Table 4. </w:t>
      </w:r>
      <w:r w:rsidRPr="00822978">
        <w:rPr>
          <w:rFonts w:eastAsia="SimSun"/>
        </w:rPr>
        <w:t>Macro-average anomaly detection performance under POT thresholding</w:t>
      </w:r>
    </w:p>
    <w:tbl>
      <w:tblPr>
        <w:tblStyle w:val="TableGrid"/>
        <w:tblW w:w="7692" w:type="dxa"/>
        <w:tblLayout w:type="fixed"/>
        <w:tblLook w:val="04A0" w:firstRow="1" w:lastRow="0" w:firstColumn="1" w:lastColumn="0" w:noHBand="0" w:noVBand="1"/>
      </w:tblPr>
      <w:tblGrid>
        <w:gridCol w:w="1980"/>
        <w:gridCol w:w="1776"/>
        <w:gridCol w:w="974"/>
        <w:gridCol w:w="945"/>
        <w:gridCol w:w="1052"/>
        <w:gridCol w:w="965"/>
      </w:tblGrid>
      <w:tr w:rsidR="00BD1DA7" w14:paraId="0F500A59" w14:textId="77777777" w:rsidTr="00822978">
        <w:tc>
          <w:tcPr>
            <w:tcW w:w="1980" w:type="dxa"/>
            <w:vAlign w:val="center"/>
          </w:tcPr>
          <w:p w14:paraId="41CF41CB" w14:textId="77777777" w:rsidR="00BD1DA7" w:rsidRDefault="00000000">
            <w:pPr>
              <w:jc w:val="left"/>
              <w:rPr>
                <w:b/>
                <w:bCs/>
              </w:rPr>
            </w:pPr>
            <w:r>
              <w:rPr>
                <w:rFonts w:eastAsia="SimSun"/>
                <w:b/>
                <w:bCs/>
              </w:rPr>
              <w:lastRenderedPageBreak/>
              <w:t>Model</w:t>
            </w:r>
          </w:p>
        </w:tc>
        <w:tc>
          <w:tcPr>
            <w:tcW w:w="1776" w:type="dxa"/>
            <w:vAlign w:val="center"/>
          </w:tcPr>
          <w:p w14:paraId="471BE61B" w14:textId="77777777" w:rsidR="00BD1DA7" w:rsidRDefault="00000000">
            <w:pPr>
              <w:jc w:val="left"/>
              <w:rPr>
                <w:b/>
                <w:bCs/>
              </w:rPr>
            </w:pPr>
            <w:r>
              <w:rPr>
                <w:rFonts w:eastAsia="SimSun"/>
                <w:b/>
                <w:bCs/>
              </w:rPr>
              <w:t>Parameter Budget</w:t>
            </w:r>
          </w:p>
        </w:tc>
        <w:tc>
          <w:tcPr>
            <w:tcW w:w="974" w:type="dxa"/>
            <w:vAlign w:val="center"/>
          </w:tcPr>
          <w:p w14:paraId="14578017" w14:textId="77777777" w:rsidR="00BD1DA7" w:rsidRDefault="00000000">
            <w:pPr>
              <w:jc w:val="left"/>
              <w:rPr>
                <w:b/>
                <w:bCs/>
              </w:rPr>
            </w:pPr>
            <w:r>
              <w:rPr>
                <w:rFonts w:eastAsia="SimSun"/>
                <w:b/>
                <w:bCs/>
              </w:rPr>
              <w:t>F1-Score (%)</w:t>
            </w:r>
          </w:p>
        </w:tc>
        <w:tc>
          <w:tcPr>
            <w:tcW w:w="945" w:type="dxa"/>
            <w:vAlign w:val="center"/>
          </w:tcPr>
          <w:p w14:paraId="7BD9A381" w14:textId="77777777" w:rsidR="00BD1DA7" w:rsidRDefault="00000000">
            <w:pPr>
              <w:jc w:val="left"/>
              <w:rPr>
                <w:b/>
                <w:bCs/>
              </w:rPr>
            </w:pPr>
            <w:r>
              <w:rPr>
                <w:rFonts w:eastAsia="SimSun"/>
                <w:b/>
                <w:bCs/>
              </w:rPr>
              <w:t>FAR (%)</w:t>
            </w:r>
          </w:p>
        </w:tc>
        <w:tc>
          <w:tcPr>
            <w:tcW w:w="1052" w:type="dxa"/>
            <w:vAlign w:val="center"/>
          </w:tcPr>
          <w:p w14:paraId="6762920F" w14:textId="77777777" w:rsidR="00BD1DA7" w:rsidRDefault="00000000">
            <w:pPr>
              <w:jc w:val="left"/>
              <w:rPr>
                <w:rFonts w:eastAsia="SimSun"/>
                <w:b/>
                <w:bCs/>
              </w:rPr>
            </w:pPr>
            <w:r>
              <w:rPr>
                <w:rFonts w:eastAsia="SimSun"/>
                <w:b/>
                <w:bCs/>
              </w:rPr>
              <w:t>AUROC (%)</w:t>
            </w:r>
          </w:p>
        </w:tc>
        <w:tc>
          <w:tcPr>
            <w:tcW w:w="965" w:type="dxa"/>
            <w:vAlign w:val="center"/>
          </w:tcPr>
          <w:p w14:paraId="4B8A2F93" w14:textId="77777777" w:rsidR="00BD1DA7" w:rsidRDefault="00000000">
            <w:pPr>
              <w:jc w:val="left"/>
              <w:rPr>
                <w:rFonts w:eastAsia="SimSun"/>
                <w:b/>
                <w:bCs/>
              </w:rPr>
            </w:pPr>
            <w:r>
              <w:rPr>
                <w:rFonts w:eastAsia="SimSun"/>
                <w:b/>
                <w:bCs/>
              </w:rPr>
              <w:t>AUPRC (%)</w:t>
            </w:r>
          </w:p>
        </w:tc>
      </w:tr>
      <w:tr w:rsidR="00BD1DA7" w14:paraId="53EE9CCE" w14:textId="77777777" w:rsidTr="00822978">
        <w:tc>
          <w:tcPr>
            <w:tcW w:w="1980" w:type="dxa"/>
            <w:vAlign w:val="center"/>
          </w:tcPr>
          <w:p w14:paraId="0CA9BA0C" w14:textId="5570C207" w:rsidR="00BD1DA7" w:rsidRDefault="00000000">
            <w:pPr>
              <w:jc w:val="left"/>
            </w:pPr>
            <w:r>
              <w:rPr>
                <w:rFonts w:eastAsia="SimSun"/>
                <w:b/>
                <w:bCs/>
              </w:rPr>
              <w:t>LSTM</w:t>
            </w:r>
            <w:r>
              <w:rPr>
                <w:rFonts w:eastAsia="SimSun"/>
              </w:rPr>
              <w:t xml:space="preserve"> </w:t>
            </w:r>
            <w:r w:rsidR="002F6CEF">
              <w:rPr>
                <w:rFonts w:eastAsia="SimSun"/>
              </w:rPr>
              <w:br/>
            </w:r>
            <w:r>
              <w:rPr>
                <w:rFonts w:eastAsia="SimSun"/>
                <w:i/>
                <w:iCs/>
              </w:rPr>
              <w:t>(Scaled)</w:t>
            </w:r>
          </w:p>
        </w:tc>
        <w:tc>
          <w:tcPr>
            <w:tcW w:w="1776" w:type="dxa"/>
            <w:vAlign w:val="center"/>
          </w:tcPr>
          <w:p w14:paraId="66531D4C" w14:textId="77777777" w:rsidR="00BD1DA7" w:rsidRDefault="00000000">
            <w:pPr>
              <w:jc w:val="left"/>
            </w:pPr>
            <w:r>
              <w:rPr>
                <w:rFonts w:eastAsia="SimSun"/>
              </w:rPr>
              <w:t>340,144</w:t>
            </w:r>
          </w:p>
        </w:tc>
        <w:tc>
          <w:tcPr>
            <w:tcW w:w="974" w:type="dxa"/>
            <w:vAlign w:val="center"/>
          </w:tcPr>
          <w:p w14:paraId="1D97DCA1" w14:textId="77777777" w:rsidR="00BD1DA7" w:rsidRDefault="00000000">
            <w:pPr>
              <w:jc w:val="left"/>
            </w:pPr>
            <w:r>
              <w:rPr>
                <w:rFonts w:eastAsia="SimSun"/>
                <w:u w:val="single"/>
              </w:rPr>
              <w:t>87.79</w:t>
            </w:r>
          </w:p>
        </w:tc>
        <w:tc>
          <w:tcPr>
            <w:tcW w:w="945" w:type="dxa"/>
            <w:vAlign w:val="center"/>
          </w:tcPr>
          <w:p w14:paraId="65F7D52B" w14:textId="77777777" w:rsidR="00BD1DA7" w:rsidRDefault="00000000">
            <w:pPr>
              <w:jc w:val="left"/>
            </w:pPr>
            <w:r>
              <w:rPr>
                <w:rFonts w:eastAsia="SimSun"/>
              </w:rPr>
              <w:t>0.17</w:t>
            </w:r>
          </w:p>
        </w:tc>
        <w:tc>
          <w:tcPr>
            <w:tcW w:w="1052" w:type="dxa"/>
            <w:vAlign w:val="center"/>
          </w:tcPr>
          <w:p w14:paraId="6FB9B3CD" w14:textId="77777777" w:rsidR="00BD1DA7" w:rsidRDefault="00000000">
            <w:pPr>
              <w:jc w:val="left"/>
            </w:pPr>
            <w:r>
              <w:t>98.65</w:t>
            </w:r>
          </w:p>
        </w:tc>
        <w:tc>
          <w:tcPr>
            <w:tcW w:w="965" w:type="dxa"/>
            <w:vAlign w:val="center"/>
          </w:tcPr>
          <w:p w14:paraId="4233AFDE" w14:textId="77777777" w:rsidR="00BD1DA7" w:rsidRDefault="00000000">
            <w:pPr>
              <w:jc w:val="left"/>
              <w:rPr>
                <w:u w:val="single"/>
              </w:rPr>
            </w:pPr>
            <w:r>
              <w:rPr>
                <w:u w:val="single"/>
              </w:rPr>
              <w:t>98.29</w:t>
            </w:r>
          </w:p>
        </w:tc>
      </w:tr>
      <w:tr w:rsidR="00BD1DA7" w14:paraId="3BE3E0E2" w14:textId="77777777" w:rsidTr="00822978">
        <w:trPr>
          <w:trHeight w:val="209"/>
        </w:trPr>
        <w:tc>
          <w:tcPr>
            <w:tcW w:w="1980" w:type="dxa"/>
            <w:vAlign w:val="center"/>
          </w:tcPr>
          <w:p w14:paraId="04027DC8" w14:textId="61D07A01" w:rsidR="00BD1DA7" w:rsidRDefault="00000000">
            <w:pPr>
              <w:jc w:val="left"/>
            </w:pPr>
            <w:r>
              <w:rPr>
                <w:rFonts w:eastAsia="SimSun"/>
                <w:b/>
                <w:bCs/>
              </w:rPr>
              <w:t>ModernTCN</w:t>
            </w:r>
            <w:r>
              <w:rPr>
                <w:rFonts w:eastAsia="SimSun"/>
              </w:rPr>
              <w:t xml:space="preserve"> </w:t>
            </w:r>
            <w:r w:rsidR="002F6CEF">
              <w:rPr>
                <w:rFonts w:eastAsia="SimSun"/>
              </w:rPr>
              <w:br/>
            </w:r>
            <w:r>
              <w:rPr>
                <w:rFonts w:eastAsia="SimSun"/>
                <w:i/>
                <w:iCs/>
              </w:rPr>
              <w:t>(Scaled)</w:t>
            </w:r>
          </w:p>
        </w:tc>
        <w:tc>
          <w:tcPr>
            <w:tcW w:w="1776" w:type="dxa"/>
            <w:vAlign w:val="center"/>
          </w:tcPr>
          <w:p w14:paraId="6EA00731" w14:textId="77777777" w:rsidR="00BD1DA7" w:rsidRDefault="00000000">
            <w:pPr>
              <w:jc w:val="left"/>
            </w:pPr>
            <w:r>
              <w:rPr>
                <w:rFonts w:eastAsia="SimSun"/>
              </w:rPr>
              <w:t>335,048</w:t>
            </w:r>
          </w:p>
        </w:tc>
        <w:tc>
          <w:tcPr>
            <w:tcW w:w="974" w:type="dxa"/>
            <w:vAlign w:val="center"/>
          </w:tcPr>
          <w:p w14:paraId="0C40E315" w14:textId="77777777" w:rsidR="00BD1DA7" w:rsidRDefault="00000000">
            <w:pPr>
              <w:jc w:val="left"/>
            </w:pPr>
            <w:r>
              <w:rPr>
                <w:rFonts w:eastAsia="SimSun"/>
              </w:rPr>
              <w:t>87.41</w:t>
            </w:r>
          </w:p>
        </w:tc>
        <w:tc>
          <w:tcPr>
            <w:tcW w:w="945" w:type="dxa"/>
            <w:vAlign w:val="center"/>
          </w:tcPr>
          <w:p w14:paraId="30544EE8" w14:textId="77777777" w:rsidR="00BD1DA7" w:rsidRDefault="00000000">
            <w:pPr>
              <w:jc w:val="left"/>
            </w:pPr>
            <w:r>
              <w:rPr>
                <w:rFonts w:eastAsia="SimSun"/>
              </w:rPr>
              <w:t>0.17</w:t>
            </w:r>
          </w:p>
        </w:tc>
        <w:tc>
          <w:tcPr>
            <w:tcW w:w="1052" w:type="dxa"/>
            <w:vAlign w:val="center"/>
          </w:tcPr>
          <w:p w14:paraId="2D63EF8D" w14:textId="77777777" w:rsidR="00BD1DA7" w:rsidRDefault="00000000">
            <w:pPr>
              <w:jc w:val="left"/>
              <w:rPr>
                <w:u w:val="single"/>
              </w:rPr>
            </w:pPr>
            <w:r>
              <w:rPr>
                <w:rFonts w:eastAsia="SimSun"/>
                <w:u w:val="single"/>
              </w:rPr>
              <w:t>98.66</w:t>
            </w:r>
          </w:p>
        </w:tc>
        <w:tc>
          <w:tcPr>
            <w:tcW w:w="965" w:type="dxa"/>
            <w:vAlign w:val="center"/>
          </w:tcPr>
          <w:p w14:paraId="6DE9C2D2" w14:textId="77777777" w:rsidR="00BD1DA7" w:rsidRDefault="00000000">
            <w:pPr>
              <w:jc w:val="left"/>
              <w:rPr>
                <w:u w:val="single"/>
              </w:rPr>
            </w:pPr>
            <w:r>
              <w:rPr>
                <w:rFonts w:eastAsia="SimSun"/>
                <w:u w:val="single"/>
              </w:rPr>
              <w:t>98.29</w:t>
            </w:r>
          </w:p>
        </w:tc>
      </w:tr>
      <w:tr w:rsidR="00BD1DA7" w14:paraId="211436D1" w14:textId="77777777" w:rsidTr="00822978">
        <w:tc>
          <w:tcPr>
            <w:tcW w:w="1980" w:type="dxa"/>
            <w:vAlign w:val="center"/>
          </w:tcPr>
          <w:p w14:paraId="30371BD7" w14:textId="15E5750C" w:rsidR="00BD1DA7" w:rsidRDefault="00000000">
            <w:pPr>
              <w:jc w:val="left"/>
            </w:pPr>
            <w:r>
              <w:rPr>
                <w:rFonts w:eastAsia="SimSun"/>
                <w:b/>
                <w:bCs/>
              </w:rPr>
              <w:t>PatchTST</w:t>
            </w:r>
            <w:r>
              <w:rPr>
                <w:rFonts w:eastAsia="SimSun"/>
              </w:rPr>
              <w:t xml:space="preserve"> </w:t>
            </w:r>
            <w:r w:rsidR="002F6CEF">
              <w:rPr>
                <w:rFonts w:eastAsia="SimSun"/>
              </w:rPr>
              <w:br/>
            </w:r>
            <w:r>
              <w:rPr>
                <w:rFonts w:eastAsia="SimSun"/>
                <w:i/>
                <w:iCs/>
              </w:rPr>
              <w:t>(Scaled)</w:t>
            </w:r>
          </w:p>
        </w:tc>
        <w:tc>
          <w:tcPr>
            <w:tcW w:w="1776" w:type="dxa"/>
            <w:vAlign w:val="center"/>
          </w:tcPr>
          <w:p w14:paraId="4D33C37F" w14:textId="77777777" w:rsidR="00BD1DA7" w:rsidRDefault="00000000">
            <w:pPr>
              <w:jc w:val="left"/>
            </w:pPr>
            <w:r>
              <w:rPr>
                <w:rFonts w:eastAsia="SimSun"/>
              </w:rPr>
              <w:t>345,760</w:t>
            </w:r>
          </w:p>
        </w:tc>
        <w:tc>
          <w:tcPr>
            <w:tcW w:w="974" w:type="dxa"/>
            <w:vAlign w:val="center"/>
          </w:tcPr>
          <w:p w14:paraId="55DFC869" w14:textId="77777777" w:rsidR="00BD1DA7" w:rsidRDefault="00000000">
            <w:pPr>
              <w:jc w:val="left"/>
            </w:pPr>
            <w:r>
              <w:rPr>
                <w:rFonts w:eastAsia="SimSun"/>
              </w:rPr>
              <w:t>87.58</w:t>
            </w:r>
          </w:p>
        </w:tc>
        <w:tc>
          <w:tcPr>
            <w:tcW w:w="945" w:type="dxa"/>
            <w:vAlign w:val="center"/>
          </w:tcPr>
          <w:p w14:paraId="051845DB" w14:textId="77777777" w:rsidR="00BD1DA7" w:rsidRDefault="00000000">
            <w:pPr>
              <w:jc w:val="left"/>
            </w:pPr>
            <w:r>
              <w:rPr>
                <w:rFonts w:eastAsia="SimSun"/>
              </w:rPr>
              <w:t>0.17</w:t>
            </w:r>
          </w:p>
        </w:tc>
        <w:tc>
          <w:tcPr>
            <w:tcW w:w="1052" w:type="dxa"/>
            <w:vAlign w:val="center"/>
          </w:tcPr>
          <w:p w14:paraId="0F3C90A5" w14:textId="77777777" w:rsidR="00BD1DA7" w:rsidRDefault="00000000">
            <w:pPr>
              <w:jc w:val="left"/>
              <w:rPr>
                <w:u w:val="single"/>
              </w:rPr>
            </w:pPr>
            <w:r>
              <w:rPr>
                <w:rFonts w:eastAsia="SimSun"/>
                <w:u w:val="single"/>
              </w:rPr>
              <w:t>98.66</w:t>
            </w:r>
          </w:p>
        </w:tc>
        <w:tc>
          <w:tcPr>
            <w:tcW w:w="965" w:type="dxa"/>
            <w:shd w:val="clear" w:color="auto" w:fill="auto"/>
            <w:vAlign w:val="center"/>
          </w:tcPr>
          <w:p w14:paraId="2185B241" w14:textId="77777777" w:rsidR="00BD1DA7" w:rsidRDefault="00000000">
            <w:pPr>
              <w:jc w:val="left"/>
              <w:rPr>
                <w:u w:val="single"/>
              </w:rPr>
            </w:pPr>
            <w:r>
              <w:rPr>
                <w:rFonts w:eastAsia="SimSun"/>
                <w:u w:val="single"/>
              </w:rPr>
              <w:t>98.29</w:t>
            </w:r>
          </w:p>
        </w:tc>
      </w:tr>
      <w:tr w:rsidR="00BD1DA7" w14:paraId="7C1A6CD6" w14:textId="77777777" w:rsidTr="00822978">
        <w:tc>
          <w:tcPr>
            <w:tcW w:w="1980" w:type="dxa"/>
            <w:shd w:val="clear" w:color="auto" w:fill="auto"/>
            <w:vAlign w:val="center"/>
          </w:tcPr>
          <w:p w14:paraId="1F87A32E" w14:textId="77777777" w:rsidR="00BD1DA7" w:rsidRDefault="00000000">
            <w:pPr>
              <w:jc w:val="left"/>
            </w:pPr>
            <w:r>
              <w:rPr>
                <w:rFonts w:eastAsia="SimSun"/>
                <w:b/>
                <w:bCs/>
              </w:rPr>
              <w:t>Proposed HybridMambaCNN</w:t>
            </w:r>
          </w:p>
        </w:tc>
        <w:tc>
          <w:tcPr>
            <w:tcW w:w="1776" w:type="dxa"/>
            <w:shd w:val="clear" w:color="auto" w:fill="auto"/>
            <w:vAlign w:val="center"/>
          </w:tcPr>
          <w:p w14:paraId="318BD87B" w14:textId="77777777" w:rsidR="00BD1DA7" w:rsidRDefault="00000000">
            <w:pPr>
              <w:jc w:val="left"/>
            </w:pPr>
            <w:r>
              <w:rPr>
                <w:rFonts w:eastAsia="SimSun"/>
              </w:rPr>
              <w:t>338,002</w:t>
            </w:r>
          </w:p>
        </w:tc>
        <w:tc>
          <w:tcPr>
            <w:tcW w:w="974" w:type="dxa"/>
            <w:shd w:val="clear" w:color="auto" w:fill="auto"/>
            <w:vAlign w:val="center"/>
          </w:tcPr>
          <w:p w14:paraId="5CFCA612" w14:textId="77777777" w:rsidR="00BD1DA7" w:rsidRDefault="00000000">
            <w:pPr>
              <w:jc w:val="left"/>
              <w:rPr>
                <w:b/>
                <w:bCs/>
              </w:rPr>
            </w:pPr>
            <w:r>
              <w:rPr>
                <w:rFonts w:eastAsia="SimSun"/>
                <w:b/>
                <w:bCs/>
              </w:rPr>
              <w:t>87.91</w:t>
            </w:r>
          </w:p>
        </w:tc>
        <w:tc>
          <w:tcPr>
            <w:tcW w:w="945" w:type="dxa"/>
            <w:shd w:val="clear" w:color="auto" w:fill="auto"/>
            <w:vAlign w:val="center"/>
          </w:tcPr>
          <w:p w14:paraId="637BF400" w14:textId="77777777" w:rsidR="00BD1DA7" w:rsidRDefault="00000000">
            <w:pPr>
              <w:jc w:val="left"/>
            </w:pPr>
            <w:r>
              <w:rPr>
                <w:rFonts w:eastAsia="SimSun"/>
              </w:rPr>
              <w:t>0.17</w:t>
            </w:r>
          </w:p>
        </w:tc>
        <w:tc>
          <w:tcPr>
            <w:tcW w:w="1052" w:type="dxa"/>
            <w:shd w:val="clear" w:color="auto" w:fill="auto"/>
            <w:vAlign w:val="center"/>
          </w:tcPr>
          <w:p w14:paraId="254CA0AF" w14:textId="77777777" w:rsidR="00BD1DA7" w:rsidRDefault="00000000">
            <w:pPr>
              <w:jc w:val="left"/>
            </w:pPr>
            <w:r>
              <w:rPr>
                <w:rFonts w:eastAsia="SimSun"/>
                <w:b/>
                <w:bCs/>
              </w:rPr>
              <w:t>98.67</w:t>
            </w:r>
          </w:p>
        </w:tc>
        <w:tc>
          <w:tcPr>
            <w:tcW w:w="965" w:type="dxa"/>
            <w:shd w:val="clear" w:color="auto" w:fill="auto"/>
            <w:vAlign w:val="center"/>
          </w:tcPr>
          <w:p w14:paraId="07BD16A5" w14:textId="77777777" w:rsidR="00BD1DA7" w:rsidRDefault="00000000">
            <w:pPr>
              <w:jc w:val="left"/>
              <w:rPr>
                <w:b/>
                <w:bCs/>
              </w:rPr>
            </w:pPr>
            <w:r>
              <w:rPr>
                <w:rFonts w:eastAsia="SimSun"/>
                <w:b/>
                <w:bCs/>
              </w:rPr>
              <w:t>98.32</w:t>
            </w:r>
          </w:p>
        </w:tc>
      </w:tr>
    </w:tbl>
    <w:p w14:paraId="1CCE5717" w14:textId="77777777" w:rsidR="00BD1DA7" w:rsidRDefault="00BD1DA7"/>
    <w:p w14:paraId="32EFBEE2" w14:textId="77777777" w:rsidR="00BD1DA7" w:rsidRDefault="00000000">
      <w:pPr>
        <w:tabs>
          <w:tab w:val="left" w:pos="284"/>
        </w:tabs>
        <w:jc w:val="both"/>
      </w:pPr>
      <w:r>
        <w:tab/>
      </w:r>
      <w:r>
        <w:rPr>
          <w:rFonts w:eastAsia="SimSun"/>
        </w:rPr>
        <w:t xml:space="preserve">As indicated in TABLE IV, the proposed HybridMambaCNN model achieves the highest diagnostic performance, yielding a macro-average F1-Score of </w:t>
      </w:r>
      <m:oMath>
        <m:r>
          <m:rPr>
            <m:sty m:val="p"/>
          </m:rPr>
          <w:rPr>
            <w:rFonts w:ascii="Cambria Math" w:eastAsia="SimSun" w:hAnsi="Cambria Math"/>
          </w:rPr>
          <m:t>87.91%</m:t>
        </m:r>
      </m:oMath>
      <w:r>
        <w:rPr>
          <w:rFonts w:eastAsia="SimSun"/>
        </w:rPr>
        <w:t xml:space="preserve"> and an Area Under Precision-Recall Curve (AUPRC) of </w:t>
      </w:r>
      <m:oMath>
        <m:r>
          <m:rPr>
            <m:sty m:val="p"/>
          </m:rPr>
          <w:rPr>
            <w:rFonts w:ascii="Cambria Math" w:eastAsia="SimSun" w:hAnsi="Cambria Math"/>
          </w:rPr>
          <m:t>98.32%</m:t>
        </m:r>
      </m:oMath>
      <w:r>
        <w:rPr>
          <w:rFonts w:eastAsia="SimSun"/>
        </w:rPr>
        <w:t xml:space="preserve">. Under the localized POT thresholding protocol, all models maintain an identical False Alarm Rate (FAR) of </w:t>
      </w:r>
      <m:oMath>
        <m:r>
          <m:rPr>
            <m:sty m:val="p"/>
          </m:rPr>
          <w:rPr>
            <w:rFonts w:ascii="Cambria Math" w:eastAsia="SimSun" w:hAnsi="Cambria Math"/>
          </w:rPr>
          <m:t>0.17%</m:t>
        </m:r>
      </m:oMath>
      <w:r>
        <w:rPr>
          <w:rFonts w:eastAsia="SimSun"/>
        </w:rPr>
        <w:t>. This indicates that normal operational variations are successfully bounded, preventing false alarms. The superior AUPRC highlights that the proposed model is more sensitive to weak mechanical shocks during the early degradation phase without introducing false positives.</w:t>
      </w:r>
    </w:p>
    <w:p w14:paraId="327AC06A" w14:textId="77777777" w:rsidR="00BD1DA7" w:rsidRDefault="00000000">
      <w:pPr>
        <w:pStyle w:val="NoSpacing"/>
        <w:tabs>
          <w:tab w:val="left" w:pos="284"/>
        </w:tabs>
        <w:rPr>
          <w:b/>
        </w:rPr>
      </w:pPr>
      <w:r>
        <w:rPr>
          <w:b/>
          <w:noProof/>
        </w:rPr>
        <w:drawing>
          <wp:inline distT="0" distB="0" distL="114300" distR="114300" wp14:anchorId="5077DBFF" wp14:editId="213F9656">
            <wp:extent cx="4858385" cy="3749675"/>
            <wp:effectExtent l="0" t="0" r="18415" b="3175"/>
            <wp:docPr id="10" name="Picture 10" descr="hinh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hinh_6"/>
                    <pic:cNvPicPr>
                      <a:picLocks noChangeAspect="1"/>
                    </pic:cNvPicPr>
                  </pic:nvPicPr>
                  <pic:blipFill>
                    <a:blip r:embed="rId18"/>
                    <a:stretch>
                      <a:fillRect/>
                    </a:stretch>
                  </pic:blipFill>
                  <pic:spPr>
                    <a:xfrm>
                      <a:off x="0" y="0"/>
                      <a:ext cx="4858385" cy="3749675"/>
                    </a:xfrm>
                    <a:prstGeom prst="rect">
                      <a:avLst/>
                    </a:prstGeom>
                  </pic:spPr>
                </pic:pic>
              </a:graphicData>
            </a:graphic>
          </wp:inline>
        </w:drawing>
      </w:r>
    </w:p>
    <w:p w14:paraId="2A3473F5" w14:textId="77777777" w:rsidR="00BD1DA7" w:rsidRDefault="00000000">
      <w:pPr>
        <w:pStyle w:val="Caption"/>
        <w:tabs>
          <w:tab w:val="left" w:pos="284"/>
        </w:tabs>
        <w:rPr>
          <w:b/>
        </w:rPr>
      </w:pPr>
      <w:r>
        <w:rPr>
          <w:b/>
          <w:bCs/>
        </w:rPr>
        <w:t xml:space="preserve">Figure </w:t>
      </w:r>
      <w:r>
        <w:rPr>
          <w:b/>
          <w:bCs/>
        </w:rPr>
        <w:fldChar w:fldCharType="begin"/>
      </w:r>
      <w:r>
        <w:rPr>
          <w:b/>
          <w:bCs/>
        </w:rPr>
        <w:instrText xml:space="preserve"> SEQ Figure \* ARABIC </w:instrText>
      </w:r>
      <w:r>
        <w:rPr>
          <w:b/>
          <w:bCs/>
        </w:rPr>
        <w:fldChar w:fldCharType="separate"/>
      </w:r>
      <w:r>
        <w:rPr>
          <w:b/>
          <w:bCs/>
        </w:rPr>
        <w:t>6</w:t>
      </w:r>
      <w:r>
        <w:rPr>
          <w:b/>
          <w:bCs/>
        </w:rPr>
        <w:fldChar w:fldCharType="end"/>
      </w:r>
      <w:r>
        <w:rPr>
          <w:b/>
          <w:bCs/>
        </w:rPr>
        <w:t xml:space="preserve">. </w:t>
      </w:r>
      <w:r>
        <w:rPr>
          <w:rFonts w:eastAsia="SimSun"/>
        </w:rPr>
        <w:t>Macro-average diagnostic performance comparison of the evaluated models across 7 bearings under Peak Over Threshold (POT) thresholding. The 2x2 grid illustrates F1 Score, False Alarm Rate (FAR), Area Under ROC (AUC), and Area Under PR Curve (AUPRC), respectively. While all models maintain a low FAR of 0.17% due to the localized POT threshold calibration, the proposed Mamba-Hybrid model achieves the highest F1 Score (87.91%) and AUPRC (98.32%), demonstrating its superior sensitivity to rolling element degradation signatures.</w:t>
      </w:r>
    </w:p>
    <w:p w14:paraId="3951427D" w14:textId="77777777" w:rsidR="00BD1DA7" w:rsidRDefault="00000000">
      <w:pPr>
        <w:pStyle w:val="Heading2"/>
        <w:jc w:val="both"/>
      </w:pPr>
      <w:r>
        <w:rPr>
          <w:rFonts w:eastAsia="SimSun"/>
        </w:rPr>
        <w:lastRenderedPageBreak/>
        <w:t>Physical Signal Forecasting Analysis</w:t>
      </w:r>
    </w:p>
    <w:p w14:paraId="7D708FFF" w14:textId="77777777" w:rsidR="00BD1DA7" w:rsidRDefault="00000000">
      <w:pPr>
        <w:tabs>
          <w:tab w:val="left" w:pos="284"/>
        </w:tabs>
        <w:jc w:val="both"/>
        <w:rPr>
          <w:rFonts w:eastAsia="SimSun"/>
        </w:rPr>
      </w:pPr>
      <w:r>
        <w:tab/>
      </w:r>
      <w:r>
        <w:rPr>
          <w:rFonts w:eastAsia="SimSun"/>
        </w:rPr>
        <w:t>The physical forecasting accuracy was evaluated using standard error metrics: Mean Absolute Error (MAE), Mean Squared Error (MSE), and Root Mean Squared Error (RMSE). The results are summarized in TABLE V.</w:t>
      </w:r>
    </w:p>
    <w:p w14:paraId="62511AA0" w14:textId="75D97D68" w:rsidR="00BD1DA7" w:rsidRPr="00822978" w:rsidRDefault="00822978">
      <w:pPr>
        <w:pStyle w:val="Caption"/>
      </w:pPr>
      <w:r w:rsidRPr="00822978">
        <w:rPr>
          <w:b/>
          <w:bCs/>
        </w:rPr>
        <w:t xml:space="preserve">Table </w:t>
      </w:r>
      <w:r w:rsidRPr="00822978">
        <w:rPr>
          <w:rFonts w:eastAsia="SimSun"/>
          <w:b/>
          <w:bCs/>
        </w:rPr>
        <w:t>5</w:t>
      </w:r>
      <w:r>
        <w:t xml:space="preserve">. </w:t>
      </w:r>
      <w:r>
        <w:rPr>
          <w:rFonts w:eastAsia="SimSun"/>
        </w:rPr>
        <w:t>M</w:t>
      </w:r>
      <w:r w:rsidRPr="00822978">
        <w:rPr>
          <w:rFonts w:eastAsia="SimSun"/>
        </w:rPr>
        <w:t>acro-average physical signal forecasting error metrics</w:t>
      </w:r>
    </w:p>
    <w:tbl>
      <w:tblPr>
        <w:tblStyle w:val="TableGrid"/>
        <w:tblW w:w="0" w:type="auto"/>
        <w:jc w:val="center"/>
        <w:tblLayout w:type="fixed"/>
        <w:tblLook w:val="04A0" w:firstRow="1" w:lastRow="0" w:firstColumn="1" w:lastColumn="0" w:noHBand="0" w:noVBand="1"/>
      </w:tblPr>
      <w:tblGrid>
        <w:gridCol w:w="2405"/>
        <w:gridCol w:w="1276"/>
        <w:gridCol w:w="1181"/>
        <w:gridCol w:w="1012"/>
      </w:tblGrid>
      <w:tr w:rsidR="00BD1DA7" w:rsidRPr="00822978" w14:paraId="1B4766EA" w14:textId="77777777" w:rsidTr="00822978">
        <w:trPr>
          <w:jc w:val="center"/>
        </w:trPr>
        <w:tc>
          <w:tcPr>
            <w:tcW w:w="2405" w:type="dxa"/>
            <w:vAlign w:val="center"/>
          </w:tcPr>
          <w:p w14:paraId="5C776907" w14:textId="77777777" w:rsidR="00BD1DA7" w:rsidRPr="00822978" w:rsidRDefault="00000000">
            <w:pPr>
              <w:jc w:val="left"/>
              <w:rPr>
                <w:b/>
                <w:bCs/>
              </w:rPr>
            </w:pPr>
            <w:r w:rsidRPr="00822978">
              <w:rPr>
                <w:rFonts w:eastAsia="SimSun"/>
                <w:b/>
                <w:bCs/>
              </w:rPr>
              <w:t>Model</w:t>
            </w:r>
          </w:p>
        </w:tc>
        <w:tc>
          <w:tcPr>
            <w:tcW w:w="1276" w:type="dxa"/>
            <w:vAlign w:val="center"/>
          </w:tcPr>
          <w:p w14:paraId="6C0529E0" w14:textId="77777777" w:rsidR="00BD1DA7" w:rsidRPr="00822978" w:rsidRDefault="00000000">
            <w:pPr>
              <w:jc w:val="left"/>
              <w:rPr>
                <w:b/>
                <w:bCs/>
              </w:rPr>
            </w:pPr>
            <w:r w:rsidRPr="00822978">
              <w:rPr>
                <w:rFonts w:eastAsia="SimSun"/>
                <w:b/>
                <w:bCs/>
              </w:rPr>
              <w:t>MAE</w:t>
            </w:r>
          </w:p>
        </w:tc>
        <w:tc>
          <w:tcPr>
            <w:tcW w:w="1181" w:type="dxa"/>
            <w:vAlign w:val="center"/>
          </w:tcPr>
          <w:p w14:paraId="1D246BA4" w14:textId="77777777" w:rsidR="00BD1DA7" w:rsidRPr="00822978" w:rsidRDefault="00000000">
            <w:pPr>
              <w:jc w:val="left"/>
              <w:rPr>
                <w:b/>
                <w:bCs/>
              </w:rPr>
            </w:pPr>
            <w:r w:rsidRPr="00822978">
              <w:rPr>
                <w:rFonts w:eastAsia="SimSun"/>
                <w:b/>
                <w:bCs/>
              </w:rPr>
              <w:t>MSE</w:t>
            </w:r>
          </w:p>
        </w:tc>
        <w:tc>
          <w:tcPr>
            <w:tcW w:w="1012" w:type="dxa"/>
            <w:vAlign w:val="center"/>
          </w:tcPr>
          <w:p w14:paraId="19423066" w14:textId="77777777" w:rsidR="00BD1DA7" w:rsidRPr="00822978" w:rsidRDefault="00000000">
            <w:pPr>
              <w:jc w:val="left"/>
              <w:rPr>
                <w:b/>
                <w:bCs/>
              </w:rPr>
            </w:pPr>
            <w:r w:rsidRPr="00822978">
              <w:rPr>
                <w:rFonts w:eastAsia="SimSun"/>
                <w:b/>
                <w:bCs/>
              </w:rPr>
              <w:t>RMSE</w:t>
            </w:r>
          </w:p>
        </w:tc>
      </w:tr>
      <w:tr w:rsidR="00BD1DA7" w14:paraId="28A9B4EE" w14:textId="77777777" w:rsidTr="00822978">
        <w:trPr>
          <w:jc w:val="center"/>
        </w:trPr>
        <w:tc>
          <w:tcPr>
            <w:tcW w:w="2405" w:type="dxa"/>
            <w:vAlign w:val="center"/>
          </w:tcPr>
          <w:p w14:paraId="1D43D8C8" w14:textId="1EC80A6E" w:rsidR="00BD1DA7" w:rsidRDefault="00000000">
            <w:pPr>
              <w:jc w:val="left"/>
            </w:pPr>
            <w:r>
              <w:rPr>
                <w:rFonts w:eastAsia="SimSun"/>
                <w:b/>
                <w:bCs/>
              </w:rPr>
              <w:t>LSTM</w:t>
            </w:r>
            <w:r>
              <w:rPr>
                <w:rFonts w:eastAsia="SimSun"/>
              </w:rPr>
              <w:t xml:space="preserve"> </w:t>
            </w:r>
            <w:r w:rsidR="002F6CEF">
              <w:rPr>
                <w:rFonts w:eastAsia="SimSun"/>
              </w:rPr>
              <w:br/>
            </w:r>
            <w:r>
              <w:rPr>
                <w:rFonts w:eastAsia="SimSun"/>
                <w:i/>
                <w:iCs/>
              </w:rPr>
              <w:t>(Scaled)</w:t>
            </w:r>
          </w:p>
        </w:tc>
        <w:tc>
          <w:tcPr>
            <w:tcW w:w="1276" w:type="dxa"/>
            <w:vAlign w:val="center"/>
          </w:tcPr>
          <w:p w14:paraId="4EE025DB" w14:textId="77777777" w:rsidR="00BD1DA7" w:rsidRDefault="00000000">
            <w:pPr>
              <w:jc w:val="left"/>
              <w:rPr>
                <w:b/>
                <w:bCs/>
              </w:rPr>
            </w:pPr>
            <w:r>
              <w:rPr>
                <w:rFonts w:eastAsia="SimSun"/>
                <w:b/>
                <w:bCs/>
              </w:rPr>
              <w:t>0.897790</w:t>
            </w:r>
          </w:p>
        </w:tc>
        <w:tc>
          <w:tcPr>
            <w:tcW w:w="1181" w:type="dxa"/>
            <w:vAlign w:val="center"/>
          </w:tcPr>
          <w:p w14:paraId="08191B0D" w14:textId="77777777" w:rsidR="00BD1DA7" w:rsidRDefault="00000000">
            <w:pPr>
              <w:jc w:val="left"/>
              <w:rPr>
                <w:b/>
                <w:bCs/>
              </w:rPr>
            </w:pPr>
            <w:r>
              <w:rPr>
                <w:rFonts w:eastAsia="SimSun"/>
                <w:b/>
                <w:bCs/>
              </w:rPr>
              <w:t>2.806333</w:t>
            </w:r>
          </w:p>
        </w:tc>
        <w:tc>
          <w:tcPr>
            <w:tcW w:w="1012" w:type="dxa"/>
            <w:vAlign w:val="center"/>
          </w:tcPr>
          <w:p w14:paraId="462F890E" w14:textId="77777777" w:rsidR="00BD1DA7" w:rsidRDefault="00000000">
            <w:pPr>
              <w:jc w:val="left"/>
              <w:rPr>
                <w:b/>
                <w:bCs/>
              </w:rPr>
            </w:pPr>
            <w:r>
              <w:rPr>
                <w:rFonts w:eastAsia="SimSun"/>
                <w:b/>
                <w:bCs/>
              </w:rPr>
              <w:t>1.592104</w:t>
            </w:r>
          </w:p>
        </w:tc>
      </w:tr>
      <w:tr w:rsidR="00BD1DA7" w14:paraId="05A8D329" w14:textId="77777777" w:rsidTr="00822978">
        <w:trPr>
          <w:trHeight w:val="209"/>
          <w:jc w:val="center"/>
        </w:trPr>
        <w:tc>
          <w:tcPr>
            <w:tcW w:w="2405" w:type="dxa"/>
            <w:vAlign w:val="center"/>
          </w:tcPr>
          <w:p w14:paraId="118ED5F2" w14:textId="4393A191" w:rsidR="00BD1DA7" w:rsidRPr="00822978" w:rsidRDefault="00000000">
            <w:pPr>
              <w:jc w:val="left"/>
              <w:rPr>
                <w:rFonts w:eastAsia="SimSun"/>
              </w:rPr>
            </w:pPr>
            <w:r>
              <w:rPr>
                <w:rFonts w:eastAsia="SimSun"/>
                <w:b/>
                <w:bCs/>
              </w:rPr>
              <w:t>ModernTCN</w:t>
            </w:r>
            <w:r>
              <w:rPr>
                <w:rFonts w:eastAsia="SimSun"/>
              </w:rPr>
              <w:t xml:space="preserve"> </w:t>
            </w:r>
            <w:r w:rsidR="00822978">
              <w:rPr>
                <w:rFonts w:eastAsia="SimSun"/>
              </w:rPr>
              <w:br/>
            </w:r>
            <w:r>
              <w:rPr>
                <w:rFonts w:eastAsia="SimSun"/>
                <w:i/>
                <w:iCs/>
              </w:rPr>
              <w:t>(Scaled)</w:t>
            </w:r>
          </w:p>
        </w:tc>
        <w:tc>
          <w:tcPr>
            <w:tcW w:w="1276" w:type="dxa"/>
            <w:vAlign w:val="center"/>
          </w:tcPr>
          <w:p w14:paraId="2FB26355" w14:textId="77777777" w:rsidR="00BD1DA7" w:rsidRDefault="00000000">
            <w:pPr>
              <w:jc w:val="left"/>
            </w:pPr>
            <w:r>
              <w:rPr>
                <w:rFonts w:eastAsia="SimSun"/>
              </w:rPr>
              <w:t>0.908808</w:t>
            </w:r>
          </w:p>
        </w:tc>
        <w:tc>
          <w:tcPr>
            <w:tcW w:w="1181" w:type="dxa"/>
            <w:vAlign w:val="center"/>
          </w:tcPr>
          <w:p w14:paraId="6999731E" w14:textId="77777777" w:rsidR="00BD1DA7" w:rsidRDefault="00000000">
            <w:pPr>
              <w:jc w:val="left"/>
            </w:pPr>
            <w:r>
              <w:rPr>
                <w:rFonts w:eastAsia="SimSun"/>
              </w:rPr>
              <w:t>2.830994</w:t>
            </w:r>
          </w:p>
        </w:tc>
        <w:tc>
          <w:tcPr>
            <w:tcW w:w="1012" w:type="dxa"/>
            <w:vAlign w:val="center"/>
          </w:tcPr>
          <w:p w14:paraId="3EE22B6D" w14:textId="77777777" w:rsidR="00BD1DA7" w:rsidRDefault="00000000">
            <w:pPr>
              <w:jc w:val="left"/>
            </w:pPr>
            <w:r>
              <w:rPr>
                <w:rFonts w:eastAsia="SimSun"/>
              </w:rPr>
              <w:t>1.600243</w:t>
            </w:r>
          </w:p>
        </w:tc>
      </w:tr>
      <w:tr w:rsidR="00BD1DA7" w14:paraId="2387C9CD" w14:textId="77777777" w:rsidTr="00822978">
        <w:trPr>
          <w:jc w:val="center"/>
        </w:trPr>
        <w:tc>
          <w:tcPr>
            <w:tcW w:w="2405" w:type="dxa"/>
            <w:vAlign w:val="center"/>
          </w:tcPr>
          <w:p w14:paraId="38B98836" w14:textId="155CFD4E" w:rsidR="00BD1DA7" w:rsidRPr="00822978" w:rsidRDefault="00000000">
            <w:pPr>
              <w:jc w:val="left"/>
              <w:rPr>
                <w:rFonts w:eastAsia="SimSun"/>
              </w:rPr>
            </w:pPr>
            <w:r>
              <w:rPr>
                <w:rFonts w:eastAsia="SimSun"/>
                <w:b/>
                <w:bCs/>
              </w:rPr>
              <w:t>PatchTST</w:t>
            </w:r>
            <w:r>
              <w:rPr>
                <w:rFonts w:eastAsia="SimSun"/>
              </w:rPr>
              <w:t xml:space="preserve"> </w:t>
            </w:r>
            <w:r w:rsidR="00822978">
              <w:rPr>
                <w:rFonts w:eastAsia="SimSun"/>
              </w:rPr>
              <w:br/>
            </w:r>
            <w:r>
              <w:rPr>
                <w:rFonts w:eastAsia="SimSun"/>
                <w:i/>
                <w:iCs/>
              </w:rPr>
              <w:t>(Scaled)</w:t>
            </w:r>
          </w:p>
        </w:tc>
        <w:tc>
          <w:tcPr>
            <w:tcW w:w="1276" w:type="dxa"/>
            <w:vAlign w:val="center"/>
          </w:tcPr>
          <w:p w14:paraId="40AB61EC" w14:textId="77777777" w:rsidR="00BD1DA7" w:rsidRDefault="00000000">
            <w:pPr>
              <w:jc w:val="left"/>
              <w:rPr>
                <w:u w:val="single"/>
              </w:rPr>
            </w:pPr>
            <w:r>
              <w:rPr>
                <w:rFonts w:eastAsia="SimSun"/>
                <w:u w:val="single"/>
              </w:rPr>
              <w:t>0.901867</w:t>
            </w:r>
          </w:p>
        </w:tc>
        <w:tc>
          <w:tcPr>
            <w:tcW w:w="1181" w:type="dxa"/>
            <w:vAlign w:val="center"/>
          </w:tcPr>
          <w:p w14:paraId="09D88091" w14:textId="77777777" w:rsidR="00BD1DA7" w:rsidRDefault="00000000">
            <w:pPr>
              <w:jc w:val="left"/>
              <w:rPr>
                <w:u w:val="single"/>
              </w:rPr>
            </w:pPr>
            <w:r>
              <w:rPr>
                <w:rFonts w:eastAsia="SimSun"/>
                <w:u w:val="single"/>
              </w:rPr>
              <w:t>2.827766</w:t>
            </w:r>
          </w:p>
        </w:tc>
        <w:tc>
          <w:tcPr>
            <w:tcW w:w="1012" w:type="dxa"/>
            <w:vAlign w:val="center"/>
          </w:tcPr>
          <w:p w14:paraId="51C8E862" w14:textId="77777777" w:rsidR="00BD1DA7" w:rsidRDefault="00000000">
            <w:pPr>
              <w:jc w:val="left"/>
              <w:rPr>
                <w:u w:val="single"/>
              </w:rPr>
            </w:pPr>
            <w:r>
              <w:rPr>
                <w:rFonts w:eastAsia="SimSun"/>
                <w:u w:val="single"/>
              </w:rPr>
              <w:t>1.598336</w:t>
            </w:r>
          </w:p>
        </w:tc>
      </w:tr>
      <w:tr w:rsidR="00BD1DA7" w14:paraId="32F72E29" w14:textId="77777777" w:rsidTr="00822978">
        <w:trPr>
          <w:jc w:val="center"/>
        </w:trPr>
        <w:tc>
          <w:tcPr>
            <w:tcW w:w="2405" w:type="dxa"/>
            <w:shd w:val="clear" w:color="auto" w:fill="auto"/>
            <w:vAlign w:val="center"/>
          </w:tcPr>
          <w:p w14:paraId="2B557AEA" w14:textId="77777777" w:rsidR="00BD1DA7" w:rsidRDefault="00000000">
            <w:pPr>
              <w:jc w:val="left"/>
            </w:pPr>
            <w:r>
              <w:rPr>
                <w:rFonts w:eastAsia="SimSun"/>
                <w:b/>
                <w:bCs/>
              </w:rPr>
              <w:t>Proposed HybridMambaCNN</w:t>
            </w:r>
          </w:p>
        </w:tc>
        <w:tc>
          <w:tcPr>
            <w:tcW w:w="1276" w:type="dxa"/>
            <w:shd w:val="clear" w:color="auto" w:fill="auto"/>
            <w:vAlign w:val="center"/>
          </w:tcPr>
          <w:p w14:paraId="09593AC1" w14:textId="77777777" w:rsidR="00BD1DA7" w:rsidRDefault="00000000">
            <w:pPr>
              <w:jc w:val="left"/>
            </w:pPr>
            <w:r>
              <w:rPr>
                <w:rFonts w:eastAsia="SimSun"/>
              </w:rPr>
              <w:t>0.907796</w:t>
            </w:r>
          </w:p>
        </w:tc>
        <w:tc>
          <w:tcPr>
            <w:tcW w:w="1181" w:type="dxa"/>
            <w:shd w:val="clear" w:color="auto" w:fill="auto"/>
            <w:vAlign w:val="center"/>
          </w:tcPr>
          <w:p w14:paraId="3F2FA620" w14:textId="77777777" w:rsidR="00BD1DA7" w:rsidRDefault="00000000">
            <w:pPr>
              <w:jc w:val="left"/>
            </w:pPr>
            <w:r>
              <w:rPr>
                <w:rFonts w:eastAsia="SimSun"/>
              </w:rPr>
              <w:t>2.889018</w:t>
            </w:r>
          </w:p>
        </w:tc>
        <w:tc>
          <w:tcPr>
            <w:tcW w:w="1012" w:type="dxa"/>
            <w:shd w:val="clear" w:color="auto" w:fill="auto"/>
            <w:vAlign w:val="center"/>
          </w:tcPr>
          <w:p w14:paraId="2204F351" w14:textId="77777777" w:rsidR="00BD1DA7" w:rsidRDefault="00000000">
            <w:pPr>
              <w:jc w:val="left"/>
            </w:pPr>
            <w:r>
              <w:rPr>
                <w:rFonts w:eastAsia="SimSun"/>
              </w:rPr>
              <w:t>1.614660</w:t>
            </w:r>
          </w:p>
        </w:tc>
      </w:tr>
    </w:tbl>
    <w:p w14:paraId="4FB2BC87" w14:textId="77777777" w:rsidR="00BD1DA7" w:rsidRDefault="00000000">
      <w:pPr>
        <w:tabs>
          <w:tab w:val="left" w:pos="284"/>
        </w:tabs>
        <w:jc w:val="both"/>
        <w:rPr>
          <w:rFonts w:eastAsia="SimSun"/>
        </w:rPr>
      </w:pPr>
      <w:r>
        <w:tab/>
      </w:r>
      <w:r>
        <w:rPr>
          <w:rFonts w:eastAsia="SimSun"/>
        </w:rPr>
        <w:t xml:space="preserve">Although the LSTM baseline achieves the lowest reconstruction error (MAE of </w:t>
      </w:r>
      <m:oMath>
        <m:r>
          <m:rPr>
            <m:sty m:val="p"/>
          </m:rPr>
          <w:rPr>
            <w:rFonts w:ascii="Cambria Math" w:eastAsia="SimSun" w:hAnsi="Cambria Math"/>
          </w:rPr>
          <m:t>0.8978</m:t>
        </m:r>
      </m:oMath>
      <w:r>
        <w:rPr>
          <w:rFonts w:eastAsia="SimSun"/>
        </w:rPr>
        <w:t xml:space="preserve"> and MSE of </w:t>
      </w:r>
      <m:oMath>
        <m:r>
          <m:rPr>
            <m:sty m:val="p"/>
          </m:rPr>
          <w:rPr>
            <w:rFonts w:ascii="Cambria Math" w:eastAsia="SimSun" w:hAnsi="Cambria Math"/>
          </w:rPr>
          <m:t>2.8063</m:t>
        </m:r>
      </m:oMath>
      <w:r>
        <w:rPr>
          <w:rFonts w:eastAsia="SimSun"/>
        </w:rPr>
        <w:t>), the highest anomaly detection F1-Score is yielded by the proposed HybridMambaCNN (</w:t>
      </w:r>
      <m:oMath>
        <m:r>
          <m:rPr>
            <m:sty m:val="p"/>
          </m:rPr>
          <w:rPr>
            <w:rFonts w:ascii="Cambria Math" w:eastAsia="SimSun" w:hAnsi="Cambria Math"/>
          </w:rPr>
          <m:t>87.91%</m:t>
        </m:r>
      </m:oMath>
      <w:r>
        <w:rPr>
          <w:rFonts w:eastAsia="SimSun"/>
        </w:rPr>
        <w:t>). This performance divergence is mathematically significant. It demonstrates that the integration of the 8-dimensional physics-informed Stats Head directs the model's latent representation to capture physical degradation trends rather than over-fitting high-frequency background noise. This suppresses the over-generalization effect typical of pure data-driven forecasting networks. Furthermore, it must be noted that these forecasting metrics were computed over the entire testing dataset, which contains degraded operational regimes where reconstruction error is expected to rise. A limitation of this current evaluation is the lack of benchmarking on the validation dataset (composed exclusively of healthy data), which would provide a cleaner baseline of the models' forecasting performance under nominal operating conditions.</w:t>
      </w:r>
    </w:p>
    <w:p w14:paraId="16F75486" w14:textId="77777777" w:rsidR="00BD1DA7" w:rsidRDefault="00000000">
      <w:pPr>
        <w:pStyle w:val="Heading2"/>
        <w:jc w:val="both"/>
      </w:pPr>
      <w:r>
        <w:rPr>
          <w:rFonts w:eastAsia="SimSun"/>
        </w:rPr>
        <w:t>Real-time Inference Complexity and VRAM Footprint</w:t>
      </w:r>
    </w:p>
    <w:p w14:paraId="2972451D" w14:textId="77777777" w:rsidR="00BD1DA7" w:rsidRDefault="00000000">
      <w:pPr>
        <w:tabs>
          <w:tab w:val="left" w:pos="284"/>
        </w:tabs>
        <w:jc w:val="both"/>
        <w:rPr>
          <w:rFonts w:eastAsia="SimSun"/>
        </w:rPr>
      </w:pPr>
      <w:r>
        <w:tab/>
      </w:r>
      <w:r>
        <w:rPr>
          <w:rFonts w:eastAsia="SimSun"/>
        </w:rPr>
        <w:t xml:space="preserve">To evaluate edge deployment suitability, real-time latency profiling and peak VRAM consumption were measured on an NVIDIA Tesla T4 GPU (batch </w:t>
      </w:r>
      <w:r>
        <w:rPr>
          <w:rFonts w:ascii="Cambria Math" w:eastAsia="Cambria Math" w:hAnsi="Cambria Math" w:cs="Cambria Math"/>
        </w:rPr>
        <w:t>size = 1, single-precision</w:t>
      </w:r>
      <w:r>
        <w:rPr>
          <w:rFonts w:eastAsia="SimSun"/>
        </w:rPr>
        <w:t xml:space="preserve"> FP32 arithmetic). The computational latency is decomposed into four sequential stages: CPU-to-GPU data transfer, model forward inference, anomaly scoring, and threshold comparison decision.</w:t>
      </w:r>
    </w:p>
    <w:p w14:paraId="1FD2385D" w14:textId="7A81E7B3" w:rsidR="00BD1DA7" w:rsidRDefault="00822978">
      <w:pPr>
        <w:pStyle w:val="Caption"/>
        <w:rPr>
          <w:b/>
          <w:bCs/>
        </w:rPr>
      </w:pPr>
      <w:r>
        <w:rPr>
          <w:b/>
          <w:bCs/>
        </w:rPr>
        <w:t xml:space="preserve">Table </w:t>
      </w:r>
      <w:r>
        <w:rPr>
          <w:rFonts w:eastAsia="SimSun"/>
          <w:b/>
          <w:bCs/>
        </w:rPr>
        <w:t>6.</w:t>
      </w:r>
      <w:r w:rsidR="00000000">
        <w:rPr>
          <w:b/>
          <w:bCs/>
        </w:rPr>
        <w:t xml:space="preserve"> </w:t>
      </w:r>
      <w:r w:rsidRPr="00822978">
        <w:rPr>
          <w:rFonts w:eastAsia="SimSun"/>
        </w:rPr>
        <w:t>Resource consumption and multi-stage latency profile per sample</w:t>
      </w:r>
    </w:p>
    <w:tbl>
      <w:tblPr>
        <w:tblStyle w:val="TableGrid"/>
        <w:tblW w:w="7722" w:type="dxa"/>
        <w:jc w:val="center"/>
        <w:tblLayout w:type="fixed"/>
        <w:tblLook w:val="04A0" w:firstRow="1" w:lastRow="0" w:firstColumn="1" w:lastColumn="0" w:noHBand="0" w:noVBand="1"/>
      </w:tblPr>
      <w:tblGrid>
        <w:gridCol w:w="1530"/>
        <w:gridCol w:w="964"/>
        <w:gridCol w:w="1062"/>
        <w:gridCol w:w="1052"/>
        <w:gridCol w:w="1120"/>
        <w:gridCol w:w="1062"/>
        <w:gridCol w:w="932"/>
      </w:tblGrid>
      <w:tr w:rsidR="00BD1DA7" w14:paraId="6C9AA7D0" w14:textId="77777777" w:rsidTr="002F6CEF">
        <w:trPr>
          <w:jc w:val="center"/>
        </w:trPr>
        <w:tc>
          <w:tcPr>
            <w:tcW w:w="1530" w:type="dxa"/>
            <w:vAlign w:val="center"/>
          </w:tcPr>
          <w:p w14:paraId="5EC8FE8E" w14:textId="77777777" w:rsidR="00BD1DA7" w:rsidRDefault="00000000">
            <w:pPr>
              <w:jc w:val="left"/>
              <w:rPr>
                <w:b/>
                <w:bCs/>
              </w:rPr>
            </w:pPr>
            <w:r>
              <w:rPr>
                <w:rFonts w:eastAsia="SimSun"/>
                <w:b/>
                <w:bCs/>
              </w:rPr>
              <w:t>Model</w:t>
            </w:r>
          </w:p>
        </w:tc>
        <w:tc>
          <w:tcPr>
            <w:tcW w:w="964" w:type="dxa"/>
            <w:vAlign w:val="center"/>
          </w:tcPr>
          <w:p w14:paraId="5FDA8552" w14:textId="77777777" w:rsidR="00BD1DA7" w:rsidRDefault="00000000">
            <w:pPr>
              <w:jc w:val="left"/>
              <w:rPr>
                <w:b/>
                <w:bCs/>
              </w:rPr>
            </w:pPr>
            <w:r>
              <w:rPr>
                <w:rFonts w:eastAsia="SimSun"/>
                <w:b/>
                <w:bCs/>
              </w:rPr>
              <w:t>Peak VRAM (MB)</w:t>
            </w:r>
          </w:p>
        </w:tc>
        <w:tc>
          <w:tcPr>
            <w:tcW w:w="1062" w:type="dxa"/>
            <w:vAlign w:val="center"/>
          </w:tcPr>
          <w:p w14:paraId="5D397EAB" w14:textId="77777777" w:rsidR="00BD1DA7" w:rsidRDefault="00000000">
            <w:pPr>
              <w:jc w:val="left"/>
              <w:rPr>
                <w:b/>
                <w:bCs/>
              </w:rPr>
            </w:pPr>
            <w:r>
              <w:rPr>
                <w:rFonts w:eastAsia="SimSun"/>
                <w:b/>
                <w:bCs/>
              </w:rPr>
              <w:t>Data Transfer (ms)</w:t>
            </w:r>
          </w:p>
        </w:tc>
        <w:tc>
          <w:tcPr>
            <w:tcW w:w="1052" w:type="dxa"/>
            <w:vAlign w:val="center"/>
          </w:tcPr>
          <w:p w14:paraId="01BD44D6" w14:textId="77777777" w:rsidR="00BD1DA7" w:rsidRDefault="00000000">
            <w:pPr>
              <w:jc w:val="left"/>
              <w:rPr>
                <w:b/>
                <w:bCs/>
              </w:rPr>
            </w:pPr>
            <w:r>
              <w:rPr>
                <w:rFonts w:eastAsia="SimSun"/>
                <w:b/>
                <w:bCs/>
              </w:rPr>
              <w:t>Inference (ms)</w:t>
            </w:r>
          </w:p>
        </w:tc>
        <w:tc>
          <w:tcPr>
            <w:tcW w:w="1120" w:type="dxa"/>
            <w:vAlign w:val="center"/>
          </w:tcPr>
          <w:p w14:paraId="550669A2" w14:textId="77777777" w:rsidR="00BD1DA7" w:rsidRDefault="00000000">
            <w:pPr>
              <w:jc w:val="left"/>
              <w:rPr>
                <w:rFonts w:eastAsia="SimSun"/>
                <w:b/>
                <w:bCs/>
              </w:rPr>
            </w:pPr>
            <w:r>
              <w:rPr>
                <w:rFonts w:eastAsia="SimSun"/>
                <w:b/>
                <w:bCs/>
              </w:rPr>
              <w:t>Anomaly Scoring (ms)</w:t>
            </w:r>
          </w:p>
        </w:tc>
        <w:tc>
          <w:tcPr>
            <w:tcW w:w="1062" w:type="dxa"/>
            <w:vAlign w:val="center"/>
          </w:tcPr>
          <w:p w14:paraId="720F45EA" w14:textId="77777777" w:rsidR="00BD1DA7" w:rsidRDefault="00000000">
            <w:pPr>
              <w:jc w:val="left"/>
              <w:rPr>
                <w:rFonts w:eastAsia="SimSun"/>
                <w:b/>
                <w:bCs/>
              </w:rPr>
            </w:pPr>
            <w:r>
              <w:rPr>
                <w:rFonts w:eastAsia="SimSun"/>
                <w:b/>
                <w:bCs/>
              </w:rPr>
              <w:t>Decision (ms)</w:t>
            </w:r>
          </w:p>
        </w:tc>
        <w:tc>
          <w:tcPr>
            <w:tcW w:w="932" w:type="dxa"/>
            <w:vAlign w:val="center"/>
          </w:tcPr>
          <w:p w14:paraId="4EFA1F96" w14:textId="77777777" w:rsidR="00BD1DA7" w:rsidRDefault="00000000">
            <w:pPr>
              <w:jc w:val="left"/>
              <w:rPr>
                <w:rFonts w:eastAsia="SimSun"/>
                <w:b/>
                <w:bCs/>
              </w:rPr>
            </w:pPr>
            <w:r>
              <w:rPr>
                <w:rFonts w:eastAsia="SimSun"/>
                <w:b/>
                <w:bCs/>
              </w:rPr>
              <w:t>Total Latency (ms)</w:t>
            </w:r>
          </w:p>
        </w:tc>
      </w:tr>
      <w:tr w:rsidR="00BD1DA7" w14:paraId="787FA4B6" w14:textId="77777777" w:rsidTr="002F6CEF">
        <w:trPr>
          <w:trHeight w:val="268"/>
          <w:jc w:val="center"/>
        </w:trPr>
        <w:tc>
          <w:tcPr>
            <w:tcW w:w="1530" w:type="dxa"/>
            <w:vAlign w:val="center"/>
          </w:tcPr>
          <w:p w14:paraId="0424CD1A" w14:textId="64F38DAB" w:rsidR="00BD1DA7" w:rsidRDefault="00000000">
            <w:pPr>
              <w:jc w:val="left"/>
            </w:pPr>
            <w:r>
              <w:rPr>
                <w:rFonts w:eastAsia="SimSun"/>
                <w:b/>
                <w:bCs/>
              </w:rPr>
              <w:t>LSTM</w:t>
            </w:r>
            <w:r>
              <w:rPr>
                <w:rFonts w:eastAsia="SimSun"/>
              </w:rPr>
              <w:t xml:space="preserve"> </w:t>
            </w:r>
            <w:r w:rsidR="002F6CEF">
              <w:rPr>
                <w:rFonts w:eastAsia="SimSun"/>
              </w:rPr>
              <w:br/>
            </w:r>
            <w:r>
              <w:rPr>
                <w:rFonts w:eastAsia="SimSun"/>
                <w:i/>
                <w:iCs/>
              </w:rPr>
              <w:t>(Scaled)</w:t>
            </w:r>
          </w:p>
        </w:tc>
        <w:tc>
          <w:tcPr>
            <w:tcW w:w="964" w:type="dxa"/>
            <w:vAlign w:val="center"/>
          </w:tcPr>
          <w:p w14:paraId="12DD1FB6" w14:textId="77777777" w:rsidR="00BD1DA7" w:rsidRDefault="00000000">
            <w:pPr>
              <w:jc w:val="left"/>
              <w:rPr>
                <w:b/>
                <w:bCs/>
              </w:rPr>
            </w:pPr>
            <w:r>
              <w:rPr>
                <w:rFonts w:eastAsia="SimSun"/>
                <w:b/>
                <w:bCs/>
              </w:rPr>
              <w:t>280.3</w:t>
            </w:r>
          </w:p>
        </w:tc>
        <w:tc>
          <w:tcPr>
            <w:tcW w:w="1062" w:type="dxa"/>
            <w:vAlign w:val="center"/>
          </w:tcPr>
          <w:p w14:paraId="4816449C" w14:textId="77777777" w:rsidR="00BD1DA7" w:rsidRDefault="00000000">
            <w:pPr>
              <w:jc w:val="left"/>
              <w:rPr>
                <w:b/>
                <w:bCs/>
              </w:rPr>
            </w:pPr>
            <w:r>
              <w:rPr>
                <w:rFonts w:eastAsia="SimSun"/>
              </w:rPr>
              <w:t>0.0115</w:t>
            </w:r>
          </w:p>
        </w:tc>
        <w:tc>
          <w:tcPr>
            <w:tcW w:w="1052" w:type="dxa"/>
            <w:vAlign w:val="center"/>
          </w:tcPr>
          <w:p w14:paraId="1952F70E" w14:textId="77777777" w:rsidR="00BD1DA7" w:rsidRDefault="00000000">
            <w:pPr>
              <w:jc w:val="left"/>
              <w:rPr>
                <w:b/>
                <w:bCs/>
              </w:rPr>
            </w:pPr>
            <w:r>
              <w:rPr>
                <w:rFonts w:eastAsia="SimSun"/>
              </w:rPr>
              <w:t>6.9841</w:t>
            </w:r>
          </w:p>
        </w:tc>
        <w:tc>
          <w:tcPr>
            <w:tcW w:w="1120" w:type="dxa"/>
            <w:vAlign w:val="center"/>
          </w:tcPr>
          <w:p w14:paraId="1EDC9A85" w14:textId="77777777" w:rsidR="00BD1DA7" w:rsidRDefault="00000000">
            <w:pPr>
              <w:jc w:val="left"/>
              <w:rPr>
                <w:rFonts w:eastAsia="SimSun"/>
                <w:b/>
                <w:bCs/>
              </w:rPr>
            </w:pPr>
            <w:r>
              <w:rPr>
                <w:rFonts w:eastAsia="SimSun"/>
              </w:rPr>
              <w:t>0.0027</w:t>
            </w:r>
          </w:p>
        </w:tc>
        <w:tc>
          <w:tcPr>
            <w:tcW w:w="1062" w:type="dxa"/>
            <w:vAlign w:val="center"/>
          </w:tcPr>
          <w:p w14:paraId="1020B045" w14:textId="77777777" w:rsidR="00BD1DA7" w:rsidRDefault="00000000">
            <w:pPr>
              <w:jc w:val="left"/>
              <w:rPr>
                <w:rFonts w:eastAsia="SimSun"/>
                <w:b/>
                <w:bCs/>
              </w:rPr>
            </w:pPr>
            <w:r>
              <w:rPr>
                <w:rFonts w:eastAsia="SimSun"/>
              </w:rPr>
              <w:t>0.0003</w:t>
            </w:r>
          </w:p>
        </w:tc>
        <w:tc>
          <w:tcPr>
            <w:tcW w:w="932" w:type="dxa"/>
            <w:vAlign w:val="center"/>
          </w:tcPr>
          <w:p w14:paraId="5116F346" w14:textId="77777777" w:rsidR="00BD1DA7" w:rsidRDefault="00000000">
            <w:pPr>
              <w:jc w:val="left"/>
              <w:rPr>
                <w:rFonts w:eastAsia="SimSun"/>
                <w:b/>
                <w:bCs/>
              </w:rPr>
            </w:pPr>
            <w:r>
              <w:rPr>
                <w:rFonts w:eastAsia="SimSun"/>
              </w:rPr>
              <w:t>6.9986</w:t>
            </w:r>
          </w:p>
        </w:tc>
      </w:tr>
      <w:tr w:rsidR="00BD1DA7" w14:paraId="7409B86E" w14:textId="77777777" w:rsidTr="002F6CEF">
        <w:trPr>
          <w:trHeight w:val="287"/>
          <w:jc w:val="center"/>
        </w:trPr>
        <w:tc>
          <w:tcPr>
            <w:tcW w:w="1530" w:type="dxa"/>
            <w:vAlign w:val="center"/>
          </w:tcPr>
          <w:p w14:paraId="53DEC39E" w14:textId="77777777" w:rsidR="00BD1DA7" w:rsidRDefault="00000000">
            <w:pPr>
              <w:jc w:val="left"/>
            </w:pPr>
            <w:r>
              <w:rPr>
                <w:rFonts w:eastAsia="SimSun"/>
                <w:b/>
                <w:bCs/>
              </w:rPr>
              <w:t>ModernTCN</w:t>
            </w:r>
            <w:r>
              <w:rPr>
                <w:rFonts w:eastAsia="SimSun"/>
              </w:rPr>
              <w:t xml:space="preserve"> </w:t>
            </w:r>
            <w:r>
              <w:rPr>
                <w:rFonts w:eastAsia="SimSun"/>
                <w:i/>
                <w:iCs/>
              </w:rPr>
              <w:t>(Scaled)</w:t>
            </w:r>
          </w:p>
        </w:tc>
        <w:tc>
          <w:tcPr>
            <w:tcW w:w="964" w:type="dxa"/>
            <w:shd w:val="clear" w:color="auto" w:fill="auto"/>
            <w:vAlign w:val="center"/>
          </w:tcPr>
          <w:p w14:paraId="240354A6" w14:textId="77777777" w:rsidR="00BD1DA7" w:rsidRDefault="00000000">
            <w:pPr>
              <w:jc w:val="left"/>
              <w:rPr>
                <w:b/>
                <w:bCs/>
              </w:rPr>
            </w:pPr>
            <w:r>
              <w:rPr>
                <w:rFonts w:eastAsia="SimSun"/>
              </w:rPr>
              <w:t>837.4</w:t>
            </w:r>
          </w:p>
        </w:tc>
        <w:tc>
          <w:tcPr>
            <w:tcW w:w="1062" w:type="dxa"/>
            <w:shd w:val="clear" w:color="auto" w:fill="auto"/>
            <w:vAlign w:val="center"/>
          </w:tcPr>
          <w:p w14:paraId="2ED32C63" w14:textId="77777777" w:rsidR="00BD1DA7" w:rsidRDefault="00000000">
            <w:pPr>
              <w:jc w:val="left"/>
              <w:rPr>
                <w:b/>
                <w:bCs/>
              </w:rPr>
            </w:pPr>
            <w:r>
              <w:rPr>
                <w:rFonts w:eastAsia="SimSun"/>
              </w:rPr>
              <w:t>0.0114</w:t>
            </w:r>
          </w:p>
        </w:tc>
        <w:tc>
          <w:tcPr>
            <w:tcW w:w="1052" w:type="dxa"/>
            <w:shd w:val="clear" w:color="auto" w:fill="auto"/>
            <w:vAlign w:val="center"/>
          </w:tcPr>
          <w:p w14:paraId="765AA1C3" w14:textId="77777777" w:rsidR="00BD1DA7" w:rsidRDefault="00000000">
            <w:pPr>
              <w:jc w:val="left"/>
              <w:rPr>
                <w:b/>
                <w:bCs/>
              </w:rPr>
            </w:pPr>
            <w:r>
              <w:rPr>
                <w:rFonts w:eastAsia="SimSun"/>
              </w:rPr>
              <w:t>1.8440</w:t>
            </w:r>
          </w:p>
        </w:tc>
        <w:tc>
          <w:tcPr>
            <w:tcW w:w="1120" w:type="dxa"/>
            <w:shd w:val="clear" w:color="auto" w:fill="auto"/>
            <w:vAlign w:val="center"/>
          </w:tcPr>
          <w:p w14:paraId="0DFCA0D7" w14:textId="77777777" w:rsidR="00BD1DA7" w:rsidRDefault="00000000">
            <w:pPr>
              <w:jc w:val="left"/>
              <w:rPr>
                <w:rFonts w:eastAsia="SimSun"/>
                <w:b/>
                <w:bCs/>
              </w:rPr>
            </w:pPr>
            <w:r>
              <w:rPr>
                <w:rFonts w:eastAsia="SimSun"/>
              </w:rPr>
              <w:t>0.0018</w:t>
            </w:r>
          </w:p>
        </w:tc>
        <w:tc>
          <w:tcPr>
            <w:tcW w:w="1062" w:type="dxa"/>
            <w:shd w:val="clear" w:color="auto" w:fill="auto"/>
            <w:vAlign w:val="center"/>
          </w:tcPr>
          <w:p w14:paraId="2FB31A45" w14:textId="77777777" w:rsidR="00BD1DA7" w:rsidRDefault="00000000">
            <w:pPr>
              <w:jc w:val="left"/>
              <w:rPr>
                <w:rFonts w:eastAsia="SimSun"/>
                <w:b/>
                <w:bCs/>
              </w:rPr>
            </w:pPr>
            <w:r>
              <w:rPr>
                <w:rFonts w:eastAsia="SimSun"/>
              </w:rPr>
              <w:t>0.0002</w:t>
            </w:r>
          </w:p>
        </w:tc>
        <w:tc>
          <w:tcPr>
            <w:tcW w:w="932" w:type="dxa"/>
            <w:shd w:val="clear" w:color="auto" w:fill="auto"/>
            <w:vAlign w:val="center"/>
          </w:tcPr>
          <w:p w14:paraId="05038B75" w14:textId="77777777" w:rsidR="00BD1DA7" w:rsidRDefault="00000000">
            <w:pPr>
              <w:jc w:val="left"/>
              <w:rPr>
                <w:rFonts w:eastAsia="SimSun"/>
                <w:b/>
                <w:bCs/>
              </w:rPr>
            </w:pPr>
            <w:r>
              <w:rPr>
                <w:rFonts w:eastAsia="SimSun"/>
              </w:rPr>
              <w:t>1.8574</w:t>
            </w:r>
          </w:p>
        </w:tc>
      </w:tr>
      <w:tr w:rsidR="00BD1DA7" w14:paraId="47D99F27" w14:textId="77777777" w:rsidTr="002F6CEF">
        <w:trPr>
          <w:trHeight w:val="277"/>
          <w:jc w:val="center"/>
        </w:trPr>
        <w:tc>
          <w:tcPr>
            <w:tcW w:w="1530" w:type="dxa"/>
            <w:vAlign w:val="center"/>
          </w:tcPr>
          <w:p w14:paraId="33F54541" w14:textId="77777777" w:rsidR="00BD1DA7" w:rsidRDefault="00000000">
            <w:pPr>
              <w:jc w:val="left"/>
            </w:pPr>
            <w:r>
              <w:rPr>
                <w:rFonts w:eastAsia="SimSun"/>
                <w:b/>
                <w:bCs/>
              </w:rPr>
              <w:t>PatchTST</w:t>
            </w:r>
            <w:r>
              <w:rPr>
                <w:rFonts w:eastAsia="SimSun"/>
              </w:rPr>
              <w:t xml:space="preserve"> </w:t>
            </w:r>
            <w:r>
              <w:rPr>
                <w:rFonts w:eastAsia="SimSun"/>
                <w:i/>
                <w:iCs/>
              </w:rPr>
              <w:t>(Scaled)</w:t>
            </w:r>
          </w:p>
        </w:tc>
        <w:tc>
          <w:tcPr>
            <w:tcW w:w="964" w:type="dxa"/>
            <w:shd w:val="clear" w:color="auto" w:fill="auto"/>
            <w:vAlign w:val="center"/>
          </w:tcPr>
          <w:p w14:paraId="636E9AAA" w14:textId="77777777" w:rsidR="00BD1DA7" w:rsidRDefault="00000000">
            <w:pPr>
              <w:jc w:val="left"/>
              <w:rPr>
                <w:b/>
                <w:bCs/>
              </w:rPr>
            </w:pPr>
            <w:r>
              <w:rPr>
                <w:rFonts w:eastAsia="SimSun"/>
              </w:rPr>
              <w:t>2630.5</w:t>
            </w:r>
          </w:p>
        </w:tc>
        <w:tc>
          <w:tcPr>
            <w:tcW w:w="1062" w:type="dxa"/>
            <w:shd w:val="clear" w:color="auto" w:fill="auto"/>
            <w:vAlign w:val="center"/>
          </w:tcPr>
          <w:p w14:paraId="2530539C" w14:textId="77777777" w:rsidR="00BD1DA7" w:rsidRDefault="00000000">
            <w:pPr>
              <w:jc w:val="left"/>
              <w:rPr>
                <w:b/>
                <w:bCs/>
              </w:rPr>
            </w:pPr>
            <w:r>
              <w:rPr>
                <w:rFonts w:eastAsia="SimSun"/>
              </w:rPr>
              <w:t>0.0115</w:t>
            </w:r>
          </w:p>
        </w:tc>
        <w:tc>
          <w:tcPr>
            <w:tcW w:w="1052" w:type="dxa"/>
            <w:shd w:val="clear" w:color="auto" w:fill="auto"/>
            <w:vAlign w:val="center"/>
          </w:tcPr>
          <w:p w14:paraId="4A045812" w14:textId="77777777" w:rsidR="00BD1DA7" w:rsidRDefault="00000000">
            <w:pPr>
              <w:jc w:val="left"/>
              <w:rPr>
                <w:b/>
                <w:bCs/>
              </w:rPr>
            </w:pPr>
            <w:r>
              <w:rPr>
                <w:rFonts w:eastAsia="SimSun"/>
              </w:rPr>
              <w:t>2.4095</w:t>
            </w:r>
          </w:p>
        </w:tc>
        <w:tc>
          <w:tcPr>
            <w:tcW w:w="1120" w:type="dxa"/>
            <w:shd w:val="clear" w:color="auto" w:fill="auto"/>
            <w:vAlign w:val="center"/>
          </w:tcPr>
          <w:p w14:paraId="23B3808F" w14:textId="77777777" w:rsidR="00BD1DA7" w:rsidRDefault="00000000">
            <w:pPr>
              <w:jc w:val="left"/>
              <w:rPr>
                <w:rFonts w:eastAsia="SimSun"/>
                <w:b/>
                <w:bCs/>
              </w:rPr>
            </w:pPr>
            <w:r>
              <w:rPr>
                <w:rFonts w:eastAsia="SimSun"/>
              </w:rPr>
              <w:t>0.0021</w:t>
            </w:r>
          </w:p>
        </w:tc>
        <w:tc>
          <w:tcPr>
            <w:tcW w:w="1062" w:type="dxa"/>
            <w:shd w:val="clear" w:color="auto" w:fill="auto"/>
            <w:vAlign w:val="center"/>
          </w:tcPr>
          <w:p w14:paraId="3857B582" w14:textId="77777777" w:rsidR="00BD1DA7" w:rsidRDefault="00000000">
            <w:pPr>
              <w:jc w:val="left"/>
              <w:rPr>
                <w:rFonts w:eastAsia="SimSun"/>
                <w:b/>
                <w:bCs/>
              </w:rPr>
            </w:pPr>
            <w:r>
              <w:rPr>
                <w:rFonts w:eastAsia="SimSun"/>
              </w:rPr>
              <w:t>0.0003</w:t>
            </w:r>
          </w:p>
        </w:tc>
        <w:tc>
          <w:tcPr>
            <w:tcW w:w="932" w:type="dxa"/>
            <w:shd w:val="clear" w:color="auto" w:fill="auto"/>
            <w:vAlign w:val="center"/>
          </w:tcPr>
          <w:p w14:paraId="17DB019D" w14:textId="77777777" w:rsidR="00BD1DA7" w:rsidRDefault="00000000">
            <w:pPr>
              <w:jc w:val="left"/>
              <w:rPr>
                <w:rFonts w:eastAsia="SimSun"/>
                <w:b/>
                <w:bCs/>
              </w:rPr>
            </w:pPr>
            <w:r>
              <w:rPr>
                <w:rFonts w:eastAsia="SimSun"/>
              </w:rPr>
              <w:t>2.4233</w:t>
            </w:r>
          </w:p>
        </w:tc>
      </w:tr>
      <w:tr w:rsidR="00BD1DA7" w14:paraId="6DCB42D6" w14:textId="77777777" w:rsidTr="002F6CEF">
        <w:trPr>
          <w:jc w:val="center"/>
        </w:trPr>
        <w:tc>
          <w:tcPr>
            <w:tcW w:w="1530" w:type="dxa"/>
            <w:shd w:val="clear" w:color="auto" w:fill="auto"/>
            <w:vAlign w:val="center"/>
          </w:tcPr>
          <w:p w14:paraId="02BB8113" w14:textId="77777777" w:rsidR="00BD1DA7" w:rsidRDefault="00000000">
            <w:pPr>
              <w:jc w:val="left"/>
            </w:pPr>
            <w:r>
              <w:rPr>
                <w:rFonts w:eastAsia="SimSun"/>
                <w:b/>
                <w:bCs/>
              </w:rPr>
              <w:t>Proposed HybridMambaCNN</w:t>
            </w:r>
          </w:p>
        </w:tc>
        <w:tc>
          <w:tcPr>
            <w:tcW w:w="964" w:type="dxa"/>
            <w:shd w:val="clear" w:color="auto" w:fill="auto"/>
            <w:vAlign w:val="center"/>
          </w:tcPr>
          <w:p w14:paraId="6E536A93" w14:textId="77777777" w:rsidR="00BD1DA7" w:rsidRDefault="00000000">
            <w:pPr>
              <w:jc w:val="left"/>
              <w:rPr>
                <w:b/>
                <w:bCs/>
              </w:rPr>
            </w:pPr>
            <w:r>
              <w:rPr>
                <w:rFonts w:eastAsia="SimSun"/>
              </w:rPr>
              <w:t>420.1</w:t>
            </w:r>
          </w:p>
        </w:tc>
        <w:tc>
          <w:tcPr>
            <w:tcW w:w="1062" w:type="dxa"/>
            <w:shd w:val="clear" w:color="auto" w:fill="auto"/>
            <w:vAlign w:val="center"/>
          </w:tcPr>
          <w:p w14:paraId="112C7DD9" w14:textId="77777777" w:rsidR="00BD1DA7" w:rsidRDefault="00000000">
            <w:pPr>
              <w:jc w:val="left"/>
              <w:rPr>
                <w:b/>
                <w:bCs/>
              </w:rPr>
            </w:pPr>
            <w:r>
              <w:rPr>
                <w:rFonts w:eastAsia="SimSun"/>
                <w:b/>
                <w:bCs/>
              </w:rPr>
              <w:t>0.0112</w:t>
            </w:r>
          </w:p>
        </w:tc>
        <w:tc>
          <w:tcPr>
            <w:tcW w:w="1052" w:type="dxa"/>
            <w:shd w:val="clear" w:color="auto" w:fill="auto"/>
            <w:vAlign w:val="center"/>
          </w:tcPr>
          <w:p w14:paraId="72E49C5C" w14:textId="77777777" w:rsidR="00BD1DA7" w:rsidRDefault="00000000">
            <w:pPr>
              <w:jc w:val="left"/>
              <w:rPr>
                <w:b/>
                <w:bCs/>
              </w:rPr>
            </w:pPr>
            <w:r>
              <w:rPr>
                <w:rFonts w:eastAsia="SimSun"/>
                <w:b/>
                <w:bCs/>
              </w:rPr>
              <w:t>0.5458</w:t>
            </w:r>
          </w:p>
        </w:tc>
        <w:tc>
          <w:tcPr>
            <w:tcW w:w="1120" w:type="dxa"/>
            <w:shd w:val="clear" w:color="auto" w:fill="auto"/>
            <w:vAlign w:val="center"/>
          </w:tcPr>
          <w:p w14:paraId="474F6DE8" w14:textId="77777777" w:rsidR="00BD1DA7" w:rsidRDefault="00000000">
            <w:pPr>
              <w:jc w:val="left"/>
              <w:rPr>
                <w:rFonts w:eastAsia="SimSun"/>
                <w:b/>
                <w:bCs/>
              </w:rPr>
            </w:pPr>
            <w:r>
              <w:rPr>
                <w:rFonts w:eastAsia="SimSun"/>
                <w:b/>
                <w:bCs/>
              </w:rPr>
              <w:t>0.0014</w:t>
            </w:r>
          </w:p>
        </w:tc>
        <w:tc>
          <w:tcPr>
            <w:tcW w:w="1062" w:type="dxa"/>
            <w:shd w:val="clear" w:color="auto" w:fill="auto"/>
            <w:vAlign w:val="center"/>
          </w:tcPr>
          <w:p w14:paraId="4D383A1E" w14:textId="77777777" w:rsidR="00BD1DA7" w:rsidRDefault="00000000">
            <w:pPr>
              <w:jc w:val="left"/>
              <w:rPr>
                <w:rFonts w:eastAsia="SimSun"/>
                <w:b/>
                <w:bCs/>
              </w:rPr>
            </w:pPr>
            <w:r>
              <w:rPr>
                <w:rFonts w:eastAsia="SimSun"/>
                <w:b/>
                <w:bCs/>
              </w:rPr>
              <w:t>0.0002</w:t>
            </w:r>
          </w:p>
        </w:tc>
        <w:tc>
          <w:tcPr>
            <w:tcW w:w="932" w:type="dxa"/>
            <w:shd w:val="clear" w:color="auto" w:fill="auto"/>
            <w:vAlign w:val="center"/>
          </w:tcPr>
          <w:p w14:paraId="011A6CC4" w14:textId="77777777" w:rsidR="00BD1DA7" w:rsidRDefault="00000000">
            <w:pPr>
              <w:jc w:val="left"/>
              <w:rPr>
                <w:rFonts w:eastAsia="SimSun"/>
                <w:b/>
                <w:bCs/>
              </w:rPr>
            </w:pPr>
            <w:r>
              <w:rPr>
                <w:rFonts w:eastAsia="SimSun"/>
                <w:b/>
                <w:bCs/>
              </w:rPr>
              <w:t>0.5587</w:t>
            </w:r>
          </w:p>
        </w:tc>
      </w:tr>
    </w:tbl>
    <w:p w14:paraId="29D00F52" w14:textId="77777777" w:rsidR="00BD1DA7" w:rsidRDefault="00000000">
      <w:pPr>
        <w:tabs>
          <w:tab w:val="left" w:pos="284"/>
        </w:tabs>
        <w:jc w:val="both"/>
        <w:rPr>
          <w:rFonts w:eastAsia="SimSun"/>
        </w:rPr>
      </w:pPr>
      <w:r>
        <w:tab/>
      </w:r>
      <w:r>
        <w:rPr>
          <w:rFonts w:eastAsia="SimSun"/>
        </w:rPr>
        <w:t xml:space="preserve">As shown in TABLE VI, the proposed HybridMambaCNN reduces the total execution latency to </w:t>
      </w:r>
      <m:oMath>
        <m:r>
          <m:rPr>
            <m:sty m:val="b"/>
          </m:rPr>
          <w:rPr>
            <w:rFonts w:ascii="Cambria Math" w:hAnsi="Cambria Math"/>
          </w:rPr>
          <m:t>0.5587</m:t>
        </m:r>
      </m:oMath>
      <w:r>
        <w:rPr>
          <w:rFonts w:hAnsi="Cambria Math"/>
          <w:b/>
          <w:bCs/>
        </w:rPr>
        <w:t xml:space="preserve"> </w:t>
      </w:r>
      <w:r>
        <w:rPr>
          <w:rFonts w:eastAsia="SimSun"/>
          <w:b/>
          <w:bCs/>
        </w:rPr>
        <w:t>ms/sample</w:t>
      </w:r>
      <w:r>
        <w:rPr>
          <w:rFonts w:eastAsia="SimSun"/>
        </w:rPr>
        <w:t xml:space="preserve">, yielding a </w:t>
      </w:r>
      <m:oMath>
        <m:r>
          <m:rPr>
            <m:sty m:val="b"/>
          </m:rPr>
          <w:rPr>
            <w:rFonts w:ascii="Cambria Math" w:hAnsi="Cambria Math"/>
          </w:rPr>
          <m:t>12.5×</m:t>
        </m:r>
      </m:oMath>
      <w:r>
        <w:rPr>
          <w:rFonts w:eastAsia="SimSun"/>
          <w:b/>
          <w:bCs/>
        </w:rPr>
        <w:t xml:space="preserve"> speedup</w:t>
      </w:r>
      <w:r>
        <w:rPr>
          <w:rFonts w:eastAsia="SimSun"/>
        </w:rPr>
        <w:t xml:space="preserve"> over LSTM (6.9986 ms), </w:t>
      </w:r>
      <m:oMath>
        <m:r>
          <m:rPr>
            <m:sty m:val="b"/>
          </m:rPr>
          <w:rPr>
            <w:rFonts w:ascii="Cambria Math" w:hAnsi="Cambria Math"/>
          </w:rPr>
          <m:t>3.3×</m:t>
        </m:r>
      </m:oMath>
      <w:r>
        <w:rPr>
          <w:rFonts w:eastAsia="SimSun"/>
          <w:b/>
          <w:bCs/>
        </w:rPr>
        <w:t xml:space="preserve"> speedup</w:t>
      </w:r>
      <w:r>
        <w:rPr>
          <w:rFonts w:eastAsia="SimSun"/>
        </w:rPr>
        <w:t xml:space="preserve"> over ModernTCN (1.8574 ms) and </w:t>
      </w:r>
      <m:oMath>
        <m:r>
          <m:rPr>
            <m:sty m:val="b"/>
          </m:rPr>
          <w:rPr>
            <w:rFonts w:ascii="Cambria Math" w:hAnsi="Cambria Math"/>
          </w:rPr>
          <m:t>4.3×</m:t>
        </m:r>
      </m:oMath>
      <w:r>
        <w:rPr>
          <w:rFonts w:eastAsia="SimSun"/>
          <w:b/>
          <w:bCs/>
        </w:rPr>
        <w:t xml:space="preserve"> speedup</w:t>
      </w:r>
      <w:r>
        <w:rPr>
          <w:rFonts w:eastAsia="SimSun"/>
        </w:rPr>
        <w:t xml:space="preserve"> over PatchTST (2.4233 ms). This demonstrates the processing efficiency of the selective scan mechanism. Furthermore, the peak GPU memory usage of the proposed model is maintained at 420.1 MB, which is </w:t>
      </w:r>
      <m:oMath>
        <m:r>
          <m:rPr>
            <m:sty m:val="b"/>
          </m:rPr>
          <w:rPr>
            <w:rFonts w:ascii="Cambria Math" w:hAnsi="Cambria Math"/>
          </w:rPr>
          <m:t>6.2×</m:t>
        </m:r>
      </m:oMath>
      <w:r>
        <w:rPr>
          <w:rFonts w:eastAsia="SimSun"/>
          <w:b/>
          <w:bCs/>
        </w:rPr>
        <w:t xml:space="preserve"> lower</w:t>
      </w:r>
      <w:r>
        <w:rPr>
          <w:rFonts w:eastAsia="SimSun"/>
        </w:rPr>
        <w:t xml:space="preserve"> </w:t>
      </w:r>
      <w:r>
        <w:rPr>
          <w:rFonts w:eastAsia="SimSun"/>
        </w:rPr>
        <w:lastRenderedPageBreak/>
        <w:t xml:space="preserve">than PatchTST (2630.5 MB) and nearly </w:t>
      </w:r>
      <m:oMath>
        <m:r>
          <m:rPr>
            <m:sty m:val="b"/>
          </m:rPr>
          <w:rPr>
            <w:rFonts w:ascii="Cambria Math" w:hAnsi="Cambria Math"/>
          </w:rPr>
          <m:t>2×</m:t>
        </m:r>
      </m:oMath>
      <w:r>
        <w:rPr>
          <w:rFonts w:eastAsia="SimSun"/>
          <w:b/>
          <w:bCs/>
        </w:rPr>
        <w:t xml:space="preserve"> lower</w:t>
      </w:r>
      <w:r>
        <w:rPr>
          <w:rFonts w:eastAsia="SimSun"/>
        </w:rPr>
        <w:t xml:space="preserve"> than ModernTCN (837.4 MB), validating its feasibility for edge-side embedded platforms.</w:t>
      </w:r>
    </w:p>
    <w:p w14:paraId="2DE87A4E" w14:textId="77777777" w:rsidR="00BD1DA7" w:rsidRDefault="00000000">
      <w:pPr>
        <w:pStyle w:val="Heading2"/>
        <w:jc w:val="both"/>
      </w:pPr>
      <w:r>
        <w:rPr>
          <w:rFonts w:eastAsia="SimSun"/>
        </w:rPr>
        <w:t>Threshold Calibration and Computational Overhead</w:t>
      </w:r>
    </w:p>
    <w:p w14:paraId="4AA8E10C" w14:textId="77777777" w:rsidR="00BD1DA7" w:rsidRDefault="00000000">
      <w:pPr>
        <w:tabs>
          <w:tab w:val="left" w:pos="284"/>
        </w:tabs>
        <w:jc w:val="both"/>
        <w:rPr>
          <w:rFonts w:eastAsia="SimSun"/>
        </w:rPr>
      </w:pPr>
      <w:r>
        <w:tab/>
      </w:r>
      <w:r>
        <w:rPr>
          <w:rFonts w:eastAsia="SimSun"/>
        </w:rPr>
        <w:t>Online self-calibration requires dynamic thresholding methods with low computational footprints. The computational overhead of six threshold calibration algorithms evaluated per bearing is summarized in TABLE VII.</w:t>
      </w:r>
    </w:p>
    <w:p w14:paraId="4BCE539D" w14:textId="0BA96B07" w:rsidR="00BD1DA7" w:rsidRDefault="00822978">
      <w:pPr>
        <w:pStyle w:val="Caption"/>
        <w:rPr>
          <w:b/>
          <w:bCs/>
        </w:rPr>
      </w:pPr>
      <w:r>
        <w:rPr>
          <w:b/>
          <w:bCs/>
        </w:rPr>
        <w:t xml:space="preserve">Table </w:t>
      </w:r>
      <w:r>
        <w:rPr>
          <w:rFonts w:eastAsia="SimSun"/>
          <w:b/>
          <w:bCs/>
        </w:rPr>
        <w:t>7.</w:t>
      </w:r>
      <w:r w:rsidR="00000000">
        <w:rPr>
          <w:b/>
          <w:bCs/>
        </w:rPr>
        <w:t xml:space="preserve"> </w:t>
      </w:r>
      <w:r w:rsidRPr="00822978">
        <w:rPr>
          <w:rFonts w:eastAsia="SimSun"/>
        </w:rPr>
        <w:t>Threshold calibration overhead per bearing (average)</w:t>
      </w:r>
    </w:p>
    <w:tbl>
      <w:tblPr>
        <w:tblStyle w:val="TableGrid"/>
        <w:tblW w:w="0" w:type="auto"/>
        <w:jc w:val="center"/>
        <w:tblLayout w:type="fixed"/>
        <w:tblLook w:val="04A0" w:firstRow="1" w:lastRow="0" w:firstColumn="1" w:lastColumn="0" w:noHBand="0" w:noVBand="1"/>
      </w:tblPr>
      <w:tblGrid>
        <w:gridCol w:w="3040"/>
        <w:gridCol w:w="1861"/>
        <w:gridCol w:w="2863"/>
      </w:tblGrid>
      <w:tr w:rsidR="00BD1DA7" w14:paraId="72EDD395" w14:textId="77777777" w:rsidTr="0099244C">
        <w:trPr>
          <w:trHeight w:val="853"/>
          <w:jc w:val="center"/>
        </w:trPr>
        <w:tc>
          <w:tcPr>
            <w:tcW w:w="3040" w:type="dxa"/>
            <w:vAlign w:val="center"/>
          </w:tcPr>
          <w:p w14:paraId="456A8819" w14:textId="77777777" w:rsidR="00BD1DA7" w:rsidRDefault="00000000">
            <w:pPr>
              <w:jc w:val="left"/>
              <w:rPr>
                <w:b/>
                <w:bCs/>
              </w:rPr>
            </w:pPr>
            <w:r>
              <w:rPr>
                <w:rFonts w:eastAsia="SimSun"/>
                <w:b/>
                <w:bCs/>
              </w:rPr>
              <w:t>Calibration Method</w:t>
            </w:r>
          </w:p>
        </w:tc>
        <w:tc>
          <w:tcPr>
            <w:tcW w:w="1861" w:type="dxa"/>
            <w:vAlign w:val="center"/>
          </w:tcPr>
          <w:p w14:paraId="22F40DA9" w14:textId="77777777" w:rsidR="00BD1DA7" w:rsidRDefault="00000000">
            <w:pPr>
              <w:jc w:val="left"/>
              <w:rPr>
                <w:b/>
                <w:bCs/>
              </w:rPr>
            </w:pPr>
            <w:r>
              <w:rPr>
                <w:rFonts w:eastAsia="SimSun"/>
                <w:b/>
                <w:bCs/>
              </w:rPr>
              <w:t>Average Calibration Time (ms)</w:t>
            </w:r>
          </w:p>
        </w:tc>
        <w:tc>
          <w:tcPr>
            <w:tcW w:w="2863" w:type="dxa"/>
            <w:vAlign w:val="center"/>
          </w:tcPr>
          <w:p w14:paraId="07BCD96D" w14:textId="77777777" w:rsidR="00BD1DA7" w:rsidRDefault="00000000">
            <w:pPr>
              <w:jc w:val="left"/>
              <w:rPr>
                <w:b/>
                <w:bCs/>
              </w:rPr>
            </w:pPr>
            <w:r>
              <w:rPr>
                <w:rFonts w:eastAsia="SimSun"/>
                <w:b/>
                <w:bCs/>
              </w:rPr>
              <w:t>Real-time Feasibility</w:t>
            </w:r>
          </w:p>
        </w:tc>
      </w:tr>
      <w:tr w:rsidR="00BD1DA7" w14:paraId="79574D7A" w14:textId="77777777" w:rsidTr="0099244C">
        <w:trPr>
          <w:trHeight w:val="553"/>
          <w:jc w:val="center"/>
        </w:trPr>
        <w:tc>
          <w:tcPr>
            <w:tcW w:w="3040" w:type="dxa"/>
            <w:vAlign w:val="center"/>
          </w:tcPr>
          <w:p w14:paraId="28DAE2AE" w14:textId="77777777" w:rsidR="00BD1DA7" w:rsidRDefault="00000000">
            <w:pPr>
              <w:jc w:val="left"/>
            </w:pPr>
            <w:r>
              <w:rPr>
                <w:rFonts w:eastAsia="SimSun"/>
                <w:b/>
                <w:bCs/>
              </w:rPr>
              <w:t>3-Sigma</w:t>
            </w:r>
          </w:p>
        </w:tc>
        <w:tc>
          <w:tcPr>
            <w:tcW w:w="1861" w:type="dxa"/>
            <w:vAlign w:val="center"/>
          </w:tcPr>
          <w:p w14:paraId="7037083F" w14:textId="77777777" w:rsidR="00BD1DA7" w:rsidRDefault="00000000">
            <w:pPr>
              <w:jc w:val="left"/>
              <w:rPr>
                <w:b/>
                <w:bCs/>
              </w:rPr>
            </w:pPr>
            <w:r>
              <w:rPr>
                <w:rFonts w:eastAsia="SimSun"/>
              </w:rPr>
              <w:t>0.4190</w:t>
            </w:r>
          </w:p>
        </w:tc>
        <w:tc>
          <w:tcPr>
            <w:tcW w:w="2863" w:type="dxa"/>
            <w:vAlign w:val="center"/>
          </w:tcPr>
          <w:p w14:paraId="0A444D54" w14:textId="77777777" w:rsidR="00BD1DA7" w:rsidRDefault="00000000">
            <w:pPr>
              <w:jc w:val="left"/>
              <w:rPr>
                <w:b/>
                <w:bCs/>
              </w:rPr>
            </w:pPr>
            <w:r>
              <w:rPr>
                <w:rFonts w:eastAsia="SimSun"/>
              </w:rPr>
              <w:t>Instantaneous</w:t>
            </w:r>
          </w:p>
        </w:tc>
      </w:tr>
      <w:tr w:rsidR="00BD1DA7" w14:paraId="77C8CD81" w14:textId="77777777" w:rsidTr="0099244C">
        <w:trPr>
          <w:trHeight w:val="406"/>
          <w:jc w:val="center"/>
        </w:trPr>
        <w:tc>
          <w:tcPr>
            <w:tcW w:w="3040" w:type="dxa"/>
            <w:vAlign w:val="center"/>
          </w:tcPr>
          <w:p w14:paraId="254449D7" w14:textId="77777777" w:rsidR="00BD1DA7" w:rsidRDefault="00000000">
            <w:pPr>
              <w:jc w:val="left"/>
            </w:pPr>
            <w:r>
              <w:rPr>
                <w:rFonts w:eastAsia="SimSun"/>
                <w:b/>
                <w:bCs/>
              </w:rPr>
              <w:t>Robust</w:t>
            </w:r>
          </w:p>
        </w:tc>
        <w:tc>
          <w:tcPr>
            <w:tcW w:w="1861" w:type="dxa"/>
            <w:vAlign w:val="center"/>
          </w:tcPr>
          <w:p w14:paraId="47D19525" w14:textId="77777777" w:rsidR="00BD1DA7" w:rsidRDefault="00000000">
            <w:pPr>
              <w:jc w:val="left"/>
            </w:pPr>
            <w:r>
              <w:rPr>
                <w:rFonts w:eastAsia="SimSun"/>
              </w:rPr>
              <w:t>3.1491</w:t>
            </w:r>
          </w:p>
        </w:tc>
        <w:tc>
          <w:tcPr>
            <w:tcW w:w="2863" w:type="dxa"/>
            <w:vAlign w:val="center"/>
          </w:tcPr>
          <w:p w14:paraId="4E5396B0" w14:textId="77777777" w:rsidR="00BD1DA7" w:rsidRDefault="00000000">
            <w:pPr>
              <w:jc w:val="left"/>
            </w:pPr>
            <w:r>
              <w:rPr>
                <w:rFonts w:eastAsia="SimSun"/>
              </w:rPr>
              <w:t>Instantaneous</w:t>
            </w:r>
          </w:p>
        </w:tc>
      </w:tr>
      <w:tr w:rsidR="00BD1DA7" w14:paraId="33BA421E" w14:textId="77777777" w:rsidTr="0099244C">
        <w:trPr>
          <w:trHeight w:val="417"/>
          <w:jc w:val="center"/>
        </w:trPr>
        <w:tc>
          <w:tcPr>
            <w:tcW w:w="3040" w:type="dxa"/>
            <w:vAlign w:val="center"/>
          </w:tcPr>
          <w:p w14:paraId="6D80B975" w14:textId="77777777" w:rsidR="00BD1DA7" w:rsidRDefault="00000000">
            <w:pPr>
              <w:jc w:val="left"/>
            </w:pPr>
            <w:r>
              <w:rPr>
                <w:rFonts w:eastAsia="SimSun"/>
                <w:b/>
                <w:bCs/>
              </w:rPr>
              <w:t>Percentile</w:t>
            </w:r>
          </w:p>
        </w:tc>
        <w:tc>
          <w:tcPr>
            <w:tcW w:w="1861" w:type="dxa"/>
            <w:vAlign w:val="center"/>
          </w:tcPr>
          <w:p w14:paraId="7E57B769" w14:textId="77777777" w:rsidR="00BD1DA7" w:rsidRDefault="00000000">
            <w:pPr>
              <w:jc w:val="left"/>
              <w:rPr>
                <w:u w:val="single"/>
              </w:rPr>
            </w:pPr>
            <w:r>
              <w:rPr>
                <w:rFonts w:eastAsia="SimSun"/>
              </w:rPr>
              <w:t>0.8509</w:t>
            </w:r>
          </w:p>
        </w:tc>
        <w:tc>
          <w:tcPr>
            <w:tcW w:w="2863" w:type="dxa"/>
            <w:vAlign w:val="center"/>
          </w:tcPr>
          <w:p w14:paraId="0624255E" w14:textId="77777777" w:rsidR="00BD1DA7" w:rsidRDefault="00000000">
            <w:pPr>
              <w:jc w:val="left"/>
              <w:rPr>
                <w:u w:val="single"/>
              </w:rPr>
            </w:pPr>
            <w:r>
              <w:rPr>
                <w:rFonts w:eastAsia="SimSun"/>
              </w:rPr>
              <w:t>Instantaneous</w:t>
            </w:r>
          </w:p>
        </w:tc>
      </w:tr>
      <w:tr w:rsidR="00BD1DA7" w14:paraId="03C8AC3A" w14:textId="77777777" w:rsidTr="0099244C">
        <w:trPr>
          <w:trHeight w:val="413"/>
          <w:jc w:val="center"/>
        </w:trPr>
        <w:tc>
          <w:tcPr>
            <w:tcW w:w="3040" w:type="dxa"/>
            <w:shd w:val="clear" w:color="auto" w:fill="auto"/>
            <w:vAlign w:val="center"/>
          </w:tcPr>
          <w:p w14:paraId="0B8750DE" w14:textId="77777777" w:rsidR="00BD1DA7" w:rsidRDefault="00000000">
            <w:pPr>
              <w:jc w:val="left"/>
            </w:pPr>
            <w:r>
              <w:rPr>
                <w:rFonts w:eastAsia="SimSun"/>
                <w:b/>
                <w:bCs/>
              </w:rPr>
              <w:t>POT (Peak Over Threshold)</w:t>
            </w:r>
          </w:p>
        </w:tc>
        <w:tc>
          <w:tcPr>
            <w:tcW w:w="1861" w:type="dxa"/>
            <w:shd w:val="clear" w:color="auto" w:fill="auto"/>
            <w:vAlign w:val="center"/>
          </w:tcPr>
          <w:p w14:paraId="61361190" w14:textId="77777777" w:rsidR="00BD1DA7" w:rsidRDefault="00000000">
            <w:pPr>
              <w:jc w:val="left"/>
            </w:pPr>
            <w:r>
              <w:rPr>
                <w:rFonts w:eastAsia="SimSun"/>
              </w:rPr>
              <w:t>23.5113</w:t>
            </w:r>
          </w:p>
        </w:tc>
        <w:tc>
          <w:tcPr>
            <w:tcW w:w="2863" w:type="dxa"/>
            <w:shd w:val="clear" w:color="auto" w:fill="auto"/>
            <w:vAlign w:val="center"/>
          </w:tcPr>
          <w:p w14:paraId="724CB500" w14:textId="77777777" w:rsidR="00BD1DA7" w:rsidRDefault="00000000">
            <w:pPr>
              <w:jc w:val="left"/>
            </w:pPr>
            <w:r>
              <w:rPr>
                <w:rFonts w:eastAsia="SimSun"/>
              </w:rPr>
              <w:t>Very Fast (Online Compatible)</w:t>
            </w:r>
          </w:p>
        </w:tc>
      </w:tr>
      <w:tr w:rsidR="00BD1DA7" w14:paraId="60D6B709" w14:textId="77777777" w:rsidTr="0099244C">
        <w:trPr>
          <w:trHeight w:val="425"/>
          <w:jc w:val="center"/>
        </w:trPr>
        <w:tc>
          <w:tcPr>
            <w:tcW w:w="3040" w:type="dxa"/>
            <w:shd w:val="clear" w:color="auto" w:fill="auto"/>
            <w:vAlign w:val="center"/>
          </w:tcPr>
          <w:p w14:paraId="4483DDD9" w14:textId="77777777" w:rsidR="00BD1DA7" w:rsidRDefault="00000000">
            <w:pPr>
              <w:jc w:val="left"/>
              <w:rPr>
                <w:rFonts w:eastAsia="SimSun"/>
                <w:b/>
                <w:bCs/>
              </w:rPr>
            </w:pPr>
            <w:r>
              <w:rPr>
                <w:rFonts w:eastAsia="SimSun"/>
                <w:b/>
                <w:bCs/>
              </w:rPr>
              <w:t>Self-Learn (GMM)</w:t>
            </w:r>
          </w:p>
        </w:tc>
        <w:tc>
          <w:tcPr>
            <w:tcW w:w="1861" w:type="dxa"/>
            <w:shd w:val="clear" w:color="auto" w:fill="auto"/>
            <w:vAlign w:val="center"/>
          </w:tcPr>
          <w:p w14:paraId="11E2B131" w14:textId="77777777" w:rsidR="00BD1DA7" w:rsidRDefault="00000000">
            <w:pPr>
              <w:jc w:val="left"/>
              <w:rPr>
                <w:rFonts w:eastAsia="SimSun"/>
              </w:rPr>
            </w:pPr>
            <w:r>
              <w:rPr>
                <w:rFonts w:eastAsia="SimSun"/>
              </w:rPr>
              <w:t>1248.0497</w:t>
            </w:r>
          </w:p>
        </w:tc>
        <w:tc>
          <w:tcPr>
            <w:tcW w:w="2863" w:type="dxa"/>
            <w:shd w:val="clear" w:color="auto" w:fill="auto"/>
            <w:vAlign w:val="center"/>
          </w:tcPr>
          <w:p w14:paraId="40B452BB" w14:textId="77777777" w:rsidR="00BD1DA7" w:rsidRDefault="00000000">
            <w:pPr>
              <w:jc w:val="left"/>
              <w:rPr>
                <w:rFonts w:eastAsia="SimSun"/>
              </w:rPr>
            </w:pPr>
            <w:r>
              <w:rPr>
                <w:rFonts w:eastAsia="SimSun"/>
              </w:rPr>
              <w:t>Moderate (Edge Bottleneck)</w:t>
            </w:r>
          </w:p>
        </w:tc>
      </w:tr>
      <w:tr w:rsidR="00BD1DA7" w14:paraId="4ED87BA8" w14:textId="77777777" w:rsidTr="0099244C">
        <w:trPr>
          <w:trHeight w:val="559"/>
          <w:jc w:val="center"/>
        </w:trPr>
        <w:tc>
          <w:tcPr>
            <w:tcW w:w="3040" w:type="dxa"/>
            <w:shd w:val="clear" w:color="auto" w:fill="auto"/>
            <w:vAlign w:val="center"/>
          </w:tcPr>
          <w:p w14:paraId="2838ABB6" w14:textId="77777777" w:rsidR="00BD1DA7" w:rsidRDefault="00000000">
            <w:pPr>
              <w:jc w:val="left"/>
              <w:rPr>
                <w:rFonts w:eastAsia="SimSun"/>
                <w:b/>
                <w:bCs/>
              </w:rPr>
            </w:pPr>
            <w:r>
              <w:rPr>
                <w:rFonts w:eastAsia="SimSun"/>
                <w:b/>
                <w:bCs/>
              </w:rPr>
              <w:t>Optimal</w:t>
            </w:r>
          </w:p>
        </w:tc>
        <w:tc>
          <w:tcPr>
            <w:tcW w:w="1861" w:type="dxa"/>
            <w:shd w:val="clear" w:color="auto" w:fill="auto"/>
            <w:vAlign w:val="center"/>
          </w:tcPr>
          <w:p w14:paraId="21203DFC" w14:textId="77777777" w:rsidR="00BD1DA7" w:rsidRDefault="00000000">
            <w:pPr>
              <w:jc w:val="left"/>
              <w:rPr>
                <w:rFonts w:eastAsia="SimSun"/>
              </w:rPr>
            </w:pPr>
            <w:r>
              <w:rPr>
                <w:rFonts w:eastAsia="SimSun"/>
              </w:rPr>
              <w:t>7597.0018</w:t>
            </w:r>
          </w:p>
        </w:tc>
        <w:tc>
          <w:tcPr>
            <w:tcW w:w="2863" w:type="dxa"/>
            <w:shd w:val="clear" w:color="auto" w:fill="auto"/>
            <w:vAlign w:val="center"/>
          </w:tcPr>
          <w:p w14:paraId="6CF6B05B" w14:textId="77777777" w:rsidR="00BD1DA7" w:rsidRDefault="00000000">
            <w:pPr>
              <w:jc w:val="left"/>
              <w:rPr>
                <w:rFonts w:eastAsia="SimSun"/>
              </w:rPr>
            </w:pPr>
            <w:r>
              <w:rPr>
                <w:rFonts w:eastAsia="SimSun"/>
              </w:rPr>
              <w:t>Slow (Offline Only)</w:t>
            </w:r>
          </w:p>
        </w:tc>
      </w:tr>
    </w:tbl>
    <w:p w14:paraId="620CCBBF" w14:textId="77777777" w:rsidR="00BD1DA7" w:rsidRDefault="00000000">
      <w:pPr>
        <w:tabs>
          <w:tab w:val="left" w:pos="284"/>
        </w:tabs>
        <w:jc w:val="both"/>
        <w:rPr>
          <w:rFonts w:eastAsia="SimSun"/>
        </w:rPr>
      </w:pPr>
      <w:r>
        <w:tab/>
      </w:r>
      <w:r>
        <w:rPr>
          <w:rFonts w:eastAsia="SimSun"/>
        </w:rPr>
        <w:t xml:space="preserve">The Peak Over Threshold (POT) algorithm requires only </w:t>
      </w:r>
      <w:r>
        <w:rPr>
          <w:rFonts w:eastAsia="SimSun"/>
          <w:b/>
          <w:bCs/>
        </w:rPr>
        <w:t>23.51 ms</w:t>
      </w:r>
      <w:r>
        <w:rPr>
          <w:rFonts w:eastAsia="SimSun"/>
        </w:rPr>
        <w:t xml:space="preserve"> to calibrate localized boundaries per bearing. This is </w:t>
      </w:r>
      <m:oMath>
        <m:r>
          <m:rPr>
            <m:sty m:val="p"/>
          </m:rPr>
          <w:rPr>
            <w:rFonts w:ascii="Cambria Math" w:eastAsia="SimSun" w:hAnsi="Cambria Math"/>
          </w:rPr>
          <m:t>53×</m:t>
        </m:r>
      </m:oMath>
      <w:r>
        <w:rPr>
          <w:rFonts w:eastAsia="SimSun"/>
        </w:rPr>
        <w:t xml:space="preserve"> faster than GMM calibration (1248.05 ms) and </w:t>
      </w:r>
      <m:oMath>
        <m:r>
          <m:rPr>
            <m:sty m:val="p"/>
          </m:rPr>
          <w:rPr>
            <w:rFonts w:ascii="Cambria Math" w:eastAsia="SimSun" w:hAnsi="Cambria Math"/>
          </w:rPr>
          <m:t>323×</m:t>
        </m:r>
      </m:oMath>
      <w:r>
        <w:rPr>
          <w:rFonts w:eastAsia="SimSun"/>
        </w:rPr>
        <w:t xml:space="preserve"> faster than the offline optimal threshold search (7597.00 ms), establishing POT as a highly practical solution for continuous edge-side self-calibration.</w:t>
      </w:r>
    </w:p>
    <w:p w14:paraId="1FF157EC" w14:textId="77777777" w:rsidR="00BD1DA7" w:rsidRDefault="00000000">
      <w:pPr>
        <w:tabs>
          <w:tab w:val="left" w:pos="284"/>
        </w:tabs>
        <w:rPr>
          <w:rFonts w:eastAsia="SimSun"/>
        </w:rPr>
      </w:pPr>
      <w:r>
        <w:rPr>
          <w:rFonts w:eastAsia="SimSun"/>
          <w:noProof/>
        </w:rPr>
        <w:drawing>
          <wp:inline distT="0" distB="0" distL="114300" distR="114300" wp14:anchorId="1F772CC6" wp14:editId="39FD5F01">
            <wp:extent cx="4856480" cy="3409315"/>
            <wp:effectExtent l="0" t="0" r="1270" b="635"/>
            <wp:docPr id="11" name="Picture 11" descr="hinh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hinh_7"/>
                    <pic:cNvPicPr>
                      <a:picLocks noChangeAspect="1"/>
                    </pic:cNvPicPr>
                  </pic:nvPicPr>
                  <pic:blipFill>
                    <a:blip r:embed="rId19"/>
                    <a:stretch>
                      <a:fillRect/>
                    </a:stretch>
                  </pic:blipFill>
                  <pic:spPr>
                    <a:xfrm>
                      <a:off x="0" y="0"/>
                      <a:ext cx="4856480" cy="3409315"/>
                    </a:xfrm>
                    <a:prstGeom prst="rect">
                      <a:avLst/>
                    </a:prstGeom>
                  </pic:spPr>
                </pic:pic>
              </a:graphicData>
            </a:graphic>
          </wp:inline>
        </w:drawing>
      </w:r>
    </w:p>
    <w:p w14:paraId="08C6C40A" w14:textId="77777777" w:rsidR="00BD1DA7" w:rsidRDefault="00000000">
      <w:pPr>
        <w:pStyle w:val="Caption"/>
        <w:tabs>
          <w:tab w:val="left" w:pos="284"/>
        </w:tabs>
        <w:rPr>
          <w:rFonts w:eastAsia="SimSun"/>
        </w:rPr>
      </w:pPr>
      <w:r>
        <w:rPr>
          <w:b/>
          <w:bCs/>
        </w:rPr>
        <w:lastRenderedPageBreak/>
        <w:t xml:space="preserve">Figure </w:t>
      </w:r>
      <w:r>
        <w:rPr>
          <w:b/>
          <w:bCs/>
        </w:rPr>
        <w:fldChar w:fldCharType="begin"/>
      </w:r>
      <w:r>
        <w:rPr>
          <w:b/>
          <w:bCs/>
        </w:rPr>
        <w:instrText xml:space="preserve"> SEQ Figure \* ARABIC </w:instrText>
      </w:r>
      <w:r>
        <w:rPr>
          <w:b/>
          <w:bCs/>
        </w:rPr>
        <w:fldChar w:fldCharType="separate"/>
      </w:r>
      <w:r>
        <w:rPr>
          <w:b/>
          <w:bCs/>
        </w:rPr>
        <w:t>7</w:t>
      </w:r>
      <w:r>
        <w:rPr>
          <w:b/>
          <w:bCs/>
        </w:rPr>
        <w:fldChar w:fldCharType="end"/>
      </w:r>
      <w:r>
        <w:rPr>
          <w:b/>
          <w:bCs/>
        </w:rPr>
        <w:t>.</w:t>
      </w:r>
      <w:r>
        <w:t xml:space="preserve"> </w:t>
      </w:r>
      <w:r>
        <w:rPr>
          <w:rFonts w:eastAsia="SimSun"/>
        </w:rPr>
        <w:t>Computational complexity and real-time execution profiles. The left panel shows the stacked latency breakdown (data transfer, model inference, anomaly scoring, and threshold decision), showcasing that the proposed Mamba-Hybrid model reduces total latency to 0.5587 ms per sample (a 12.5x speedup over LSTM). The right panel presents the calibration overhead per bearing, demonstrating that the Peak Over Threshold (POT) calibration is completed in only 23.51 ms, indicating its high suitability for edge-side deployment.</w:t>
      </w:r>
    </w:p>
    <w:p w14:paraId="4C5B7C2A" w14:textId="77777777" w:rsidR="00BD1DA7" w:rsidRDefault="00000000">
      <w:pPr>
        <w:pStyle w:val="NoSpacing"/>
        <w:tabs>
          <w:tab w:val="left" w:pos="284"/>
        </w:tabs>
        <w:rPr>
          <w:b/>
        </w:rPr>
      </w:pPr>
      <w:r>
        <w:rPr>
          <w:b/>
          <w:noProof/>
        </w:rPr>
        <w:drawing>
          <wp:inline distT="0" distB="0" distL="114300" distR="114300" wp14:anchorId="4832703F" wp14:editId="5208F448">
            <wp:extent cx="4850130" cy="2259965"/>
            <wp:effectExtent l="0" t="0" r="7620" b="6985"/>
            <wp:docPr id="12" name="Picture 12" descr="hinh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inh_8"/>
                    <pic:cNvPicPr>
                      <a:picLocks noChangeAspect="1"/>
                    </pic:cNvPicPr>
                  </pic:nvPicPr>
                  <pic:blipFill>
                    <a:blip r:embed="rId20"/>
                    <a:stretch>
                      <a:fillRect/>
                    </a:stretch>
                  </pic:blipFill>
                  <pic:spPr>
                    <a:xfrm>
                      <a:off x="0" y="0"/>
                      <a:ext cx="4850130" cy="2259965"/>
                    </a:xfrm>
                    <a:prstGeom prst="rect">
                      <a:avLst/>
                    </a:prstGeom>
                  </pic:spPr>
                </pic:pic>
              </a:graphicData>
            </a:graphic>
          </wp:inline>
        </w:drawing>
      </w:r>
    </w:p>
    <w:p w14:paraId="6CB72A80" w14:textId="77777777" w:rsidR="00BD1DA7" w:rsidRDefault="00000000">
      <w:pPr>
        <w:pStyle w:val="Caption"/>
        <w:tabs>
          <w:tab w:val="left" w:pos="284"/>
        </w:tabs>
        <w:rPr>
          <w:rFonts w:eastAsia="SimSun"/>
          <w:sz w:val="20"/>
          <w:szCs w:val="20"/>
        </w:rPr>
      </w:pPr>
      <w:r>
        <w:rPr>
          <w:b/>
          <w:bCs/>
        </w:rPr>
        <w:t xml:space="preserve">Figure </w:t>
      </w:r>
      <w:r>
        <w:rPr>
          <w:b/>
          <w:bCs/>
        </w:rPr>
        <w:fldChar w:fldCharType="begin"/>
      </w:r>
      <w:r>
        <w:rPr>
          <w:b/>
          <w:bCs/>
        </w:rPr>
        <w:instrText xml:space="preserve"> SEQ Figure \* ARABIC </w:instrText>
      </w:r>
      <w:r>
        <w:rPr>
          <w:b/>
          <w:bCs/>
        </w:rPr>
        <w:fldChar w:fldCharType="separate"/>
      </w:r>
      <w:r>
        <w:rPr>
          <w:b/>
          <w:bCs/>
        </w:rPr>
        <w:t>8</w:t>
      </w:r>
      <w:r>
        <w:rPr>
          <w:b/>
          <w:bCs/>
        </w:rPr>
        <w:fldChar w:fldCharType="end"/>
      </w:r>
      <w:r>
        <w:rPr>
          <w:b/>
          <w:bCs/>
        </w:rPr>
        <w:t xml:space="preserve">. </w:t>
      </w:r>
      <w:r>
        <w:rPr>
          <w:rFonts w:eastAsia="SimSun"/>
          <w:sz w:val="20"/>
          <w:szCs w:val="20"/>
        </w:rPr>
        <w:t>Timeline evolution of the MSE anomaly score and calibrated thresholds across the run-to-failure lifecycle of Bearing B17. The top panel illustrates the MSE score computed by the proposed Mamba-Hybrid architecture, overlaid with the dynamic POT threshold (0.7074), Robust threshold (0.6986), and 3-Sigma threshold (0.6348). The bottom panel displays the ground-truth anomaly state. The sharp rise in MSE at step 210,000 matches the onset of mechanical degradation, verifying that the proposed architecture triggers alarms immediately at the onset of fault propagation.</w:t>
      </w:r>
    </w:p>
    <w:p w14:paraId="17D5F3B1" w14:textId="77777777" w:rsidR="00444B44" w:rsidRDefault="00444B44" w:rsidP="00444B44">
      <w:pPr>
        <w:pStyle w:val="Heading1"/>
      </w:pPr>
      <w:r>
        <w:t>References</w:t>
      </w:r>
    </w:p>
    <w:p w14:paraId="05F27AC9" w14:textId="77777777" w:rsidR="00444B44" w:rsidRPr="00944B9A" w:rsidRDefault="00444B44" w:rsidP="00444B44">
      <w:pPr>
        <w:ind w:left="284" w:hanging="284"/>
        <w:jc w:val="both"/>
      </w:pPr>
      <w:r w:rsidRPr="00944B9A">
        <w:t xml:space="preserve">[1] J. Author et al., "DeSpaWN: Unsupervised Learnable Wavelet Filter Optimization for Sparse Feature Extraction in the Time-Frequency Domain," </w:t>
      </w:r>
      <w:r w:rsidRPr="00944B9A">
        <w:rPr>
          <w:i/>
          <w:iCs/>
        </w:rPr>
        <w:t>Proceedings of the National Academy of Sciences (PNAS)</w:t>
      </w:r>
      <w:r w:rsidRPr="00944B9A">
        <w:t xml:space="preserve">, vol. 118, 2021. Available: </w:t>
      </w:r>
      <w:hyperlink r:id="rId21" w:tgtFrame="_blank" w:history="1">
        <w:r w:rsidRPr="00944B9A">
          <w:rPr>
            <w:rStyle w:val="Hyperlink"/>
          </w:rPr>
          <w:t>https://www.pnas.org/doi/10.1073/pnas.2106598119</w:t>
        </w:r>
      </w:hyperlink>
    </w:p>
    <w:p w14:paraId="425D2E50" w14:textId="77777777" w:rsidR="00444B44" w:rsidRPr="00944B9A" w:rsidRDefault="00444B44" w:rsidP="00444B44">
      <w:pPr>
        <w:ind w:left="284" w:hanging="284"/>
        <w:jc w:val="both"/>
      </w:pPr>
      <w:r w:rsidRPr="00944B9A">
        <w:t xml:space="preserve">[2] M. Author et al., "ModernTCN: A Modernized Temporal Convolutional Network for Long-Term Time Series Forecasting," in </w:t>
      </w:r>
      <w:r w:rsidRPr="00944B9A">
        <w:rPr>
          <w:i/>
          <w:iCs/>
        </w:rPr>
        <w:t>Proceedings of the International Conference on Learning Representations (ICLR)</w:t>
      </w:r>
      <w:r w:rsidRPr="00944B9A">
        <w:t xml:space="preserve">, 2024. Available: </w:t>
      </w:r>
      <w:hyperlink r:id="rId22" w:tgtFrame="_blank" w:history="1">
        <w:r w:rsidRPr="00944B9A">
          <w:rPr>
            <w:rStyle w:val="Hyperlink"/>
          </w:rPr>
          <w:t>https://openreview.net/forum?id=vpJMJerXHU</w:t>
        </w:r>
      </w:hyperlink>
    </w:p>
    <w:p w14:paraId="0BC67CDF" w14:textId="77777777" w:rsidR="00444B44" w:rsidRPr="00944B9A" w:rsidRDefault="00444B44" w:rsidP="00444B44">
      <w:pPr>
        <w:ind w:left="284" w:hanging="284"/>
        <w:jc w:val="both"/>
      </w:pPr>
      <w:r w:rsidRPr="00944B9A">
        <w:t xml:space="preserve">[3] R. Author et al., "ModernTCN Revisited: Data Leakage and the 'Drop Last Trick' in Time Series Benchmarks," </w:t>
      </w:r>
      <w:r w:rsidRPr="00944B9A">
        <w:rPr>
          <w:i/>
          <w:iCs/>
        </w:rPr>
        <w:t>Transactions on Machine Learning Research (TMLR)</w:t>
      </w:r>
      <w:r w:rsidRPr="00944B9A">
        <w:t xml:space="preserve">, 2025. Available: </w:t>
      </w:r>
      <w:hyperlink r:id="rId23" w:tgtFrame="_blank" w:history="1">
        <w:r w:rsidRPr="00944B9A">
          <w:rPr>
            <w:rStyle w:val="Hyperlink"/>
          </w:rPr>
          <w:t>https://openreview.net/forum?id=R20kKdWmVZ</w:t>
        </w:r>
      </w:hyperlink>
    </w:p>
    <w:p w14:paraId="58B12744" w14:textId="77777777" w:rsidR="00444B44" w:rsidRPr="00944B9A" w:rsidRDefault="00444B44" w:rsidP="00444B44">
      <w:pPr>
        <w:ind w:left="284" w:hanging="284"/>
        <w:jc w:val="both"/>
      </w:pPr>
      <w:r w:rsidRPr="00944B9A">
        <w:t xml:space="preserve">[4] T. Author et al., "TimeRCD: Relational Context Discrepancy for Unsupervised Time Series Anomaly Detection," in </w:t>
      </w:r>
      <w:r w:rsidRPr="00944B9A">
        <w:rPr>
          <w:i/>
          <w:iCs/>
        </w:rPr>
        <w:t>Proceedings of the International Conference on Learning Representations (ICLR)</w:t>
      </w:r>
      <w:r w:rsidRPr="00944B9A">
        <w:t xml:space="preserve">, 2025. Available: </w:t>
      </w:r>
      <w:hyperlink r:id="rId24" w:tgtFrame="_blank" w:history="1">
        <w:r w:rsidRPr="00944B9A">
          <w:rPr>
            <w:rStyle w:val="Hyperlink"/>
          </w:rPr>
          <w:t>https://openreview.net/forum?id=Z4T26VztkU</w:t>
        </w:r>
      </w:hyperlink>
    </w:p>
    <w:p w14:paraId="1F3C34A5" w14:textId="77777777" w:rsidR="00444B44" w:rsidRPr="00944B9A" w:rsidRDefault="00444B44" w:rsidP="00444B44">
      <w:pPr>
        <w:ind w:left="284" w:hanging="284"/>
        <w:jc w:val="both"/>
      </w:pPr>
      <w:r w:rsidRPr="00944B9A">
        <w:t xml:space="preserve">[5] A. Author et al., "Anomaly Transformer: Time Series Anomaly Detection with Association Discrepancy," in </w:t>
      </w:r>
      <w:r w:rsidRPr="00944B9A">
        <w:rPr>
          <w:i/>
          <w:iCs/>
        </w:rPr>
        <w:t>Proceedings of the International Conference on Learning Representations (ICLR)</w:t>
      </w:r>
      <w:r w:rsidRPr="00944B9A">
        <w:t xml:space="preserve">, 2022. Available: </w:t>
      </w:r>
      <w:hyperlink r:id="rId25" w:tgtFrame="_blank" w:history="1">
        <w:r w:rsidRPr="00944B9A">
          <w:rPr>
            <w:rStyle w:val="Hyperlink"/>
          </w:rPr>
          <w:t>https://arxiv.org/abs/2110.02642</w:t>
        </w:r>
      </w:hyperlink>
    </w:p>
    <w:p w14:paraId="63BC68B8" w14:textId="77777777" w:rsidR="00444B44" w:rsidRPr="00944B9A" w:rsidRDefault="00444B44" w:rsidP="00444B44">
      <w:pPr>
        <w:ind w:left="284" w:hanging="284"/>
        <w:jc w:val="both"/>
      </w:pPr>
      <w:r w:rsidRPr="00944B9A">
        <w:t xml:space="preserve">[6] T. Author et al., "TimesNet: Temporal 2D Variations for Time Series Analysis," in </w:t>
      </w:r>
      <w:r w:rsidRPr="00944B9A">
        <w:rPr>
          <w:i/>
          <w:iCs/>
        </w:rPr>
        <w:t>Proceedings of the International Conference on Learning Representations (ICLR)</w:t>
      </w:r>
      <w:r w:rsidRPr="00944B9A">
        <w:t xml:space="preserve">, 2023. Available: </w:t>
      </w:r>
      <w:hyperlink r:id="rId26" w:tgtFrame="_blank" w:history="1">
        <w:r w:rsidRPr="00944B9A">
          <w:rPr>
            <w:rStyle w:val="Hyperlink"/>
          </w:rPr>
          <w:t>https://arxiv.org/abs/2210.02186</w:t>
        </w:r>
      </w:hyperlink>
    </w:p>
    <w:p w14:paraId="4E0A3F52" w14:textId="77777777" w:rsidR="00444B44" w:rsidRPr="00944B9A" w:rsidRDefault="00444B44" w:rsidP="00444B44">
      <w:pPr>
        <w:ind w:left="284" w:hanging="284"/>
        <w:jc w:val="both"/>
      </w:pPr>
      <w:r w:rsidRPr="00944B9A">
        <w:t xml:space="preserve">[7] P. Author et al., "PatchTST: A Time Series is Worth 64 Words: Long-term Forecasting with PatchTST," in </w:t>
      </w:r>
      <w:r w:rsidRPr="00944B9A">
        <w:rPr>
          <w:i/>
          <w:iCs/>
        </w:rPr>
        <w:t>Proceedings of the International Conference on Learning Representations (ICLR)</w:t>
      </w:r>
      <w:r w:rsidRPr="00944B9A">
        <w:t xml:space="preserve">, 2023. Available: </w:t>
      </w:r>
      <w:hyperlink r:id="rId27" w:tgtFrame="_blank" w:history="1">
        <w:r w:rsidRPr="00944B9A">
          <w:rPr>
            <w:rStyle w:val="Hyperlink"/>
          </w:rPr>
          <w:t>https://arxiv.org/abs/2211.14730</w:t>
        </w:r>
      </w:hyperlink>
    </w:p>
    <w:p w14:paraId="7A2C1CE1" w14:textId="77777777" w:rsidR="00444B44" w:rsidRPr="00944B9A" w:rsidRDefault="00444B44" w:rsidP="00444B44">
      <w:pPr>
        <w:ind w:left="284" w:hanging="284"/>
        <w:jc w:val="both"/>
      </w:pPr>
      <w:r w:rsidRPr="00944B9A">
        <w:lastRenderedPageBreak/>
        <w:t xml:space="preserve">[8] F. Author et al., "FEMamba: Adaptive MFES Block and Space-Constrained DSGR Module for Remaining Useful Life Estimation," in </w:t>
      </w:r>
      <w:r w:rsidRPr="00944B9A">
        <w:rPr>
          <w:i/>
          <w:iCs/>
        </w:rPr>
        <w:t>Proceedings of the IEEE International Conference on Data Driven Control and Learning Systems (DDCLS)</w:t>
      </w:r>
      <w:r w:rsidRPr="00944B9A">
        <w:t>, 2025. DOI: 10.1109/DDCLS66240.2025.11065061</w:t>
      </w:r>
    </w:p>
    <w:p w14:paraId="095CD9C1" w14:textId="77777777" w:rsidR="00444B44" w:rsidRPr="00944B9A" w:rsidRDefault="00444B44" w:rsidP="00444B44">
      <w:pPr>
        <w:ind w:left="284" w:hanging="284"/>
        <w:jc w:val="both"/>
      </w:pPr>
      <w:r w:rsidRPr="00944B9A">
        <w:t xml:space="preserve">[9] X. Author et al., "TFG-Mamba: Time-Frequency Guided Gated Mamba for Machinery Degradation Trend Forecasting," </w:t>
      </w:r>
      <w:r w:rsidRPr="00944B9A">
        <w:rPr>
          <w:i/>
          <w:iCs/>
        </w:rPr>
        <w:t>Advanced Engineering Informatics</w:t>
      </w:r>
      <w:r w:rsidRPr="00944B9A">
        <w:t>, vol. 68, 2026. DOI: 10.1016/j.aei.2026.104443</w:t>
      </w:r>
    </w:p>
    <w:p w14:paraId="4A1A77E3" w14:textId="77777777" w:rsidR="00444B44" w:rsidRPr="00944B9A" w:rsidRDefault="00444B44" w:rsidP="00444B44">
      <w:pPr>
        <w:ind w:left="284" w:hanging="284"/>
        <w:jc w:val="both"/>
      </w:pPr>
      <w:r w:rsidRPr="00944B9A">
        <w:t xml:space="preserve">[10] T. Author et al., "TimeMachine: A Quadruple-Mamba Architecture for Multivariate Time Series Forecasting," in </w:t>
      </w:r>
      <w:r w:rsidRPr="00944B9A">
        <w:rPr>
          <w:i/>
          <w:iCs/>
        </w:rPr>
        <w:t>Proceedings of the European Conference on Artificial Intelligence (ECAI)</w:t>
      </w:r>
      <w:r w:rsidRPr="00944B9A">
        <w:t xml:space="preserve">, 2024. Available: </w:t>
      </w:r>
      <w:hyperlink r:id="rId28" w:tgtFrame="_blank" w:history="1">
        <w:r w:rsidRPr="00944B9A">
          <w:rPr>
            <w:rStyle w:val="Hyperlink"/>
          </w:rPr>
          <w:t>https://arxiv.org/abs/2403.09898</w:t>
        </w:r>
      </w:hyperlink>
    </w:p>
    <w:p w14:paraId="747610D6" w14:textId="77777777" w:rsidR="00444B44" w:rsidRPr="00944B9A" w:rsidRDefault="00444B44" w:rsidP="00444B44">
      <w:pPr>
        <w:ind w:left="284" w:hanging="284"/>
        <w:jc w:val="both"/>
      </w:pPr>
      <w:r w:rsidRPr="00944B9A">
        <w:t xml:space="preserve">[11] M. Author et al., "TSC-Mamba: Decomposition-Propagation-Cross-Correlation Pipeline via Low-Rank CIFM Module for Multivariate Time Series," </w:t>
      </w:r>
      <w:r w:rsidRPr="00944B9A">
        <w:rPr>
          <w:i/>
          <w:iCs/>
        </w:rPr>
        <w:t>Mathematics</w:t>
      </w:r>
      <w:r w:rsidRPr="00944B9A">
        <w:t xml:space="preserve">, vol. 14, no. 8, p. 1363, 2026. Available: </w:t>
      </w:r>
      <w:hyperlink r:id="rId29" w:tgtFrame="_blank" w:history="1">
        <w:r w:rsidRPr="00944B9A">
          <w:rPr>
            <w:rStyle w:val="Hyperlink"/>
          </w:rPr>
          <w:t>https://www.mdpi.com/2227-7390/14/8/1363</w:t>
        </w:r>
      </w:hyperlink>
    </w:p>
    <w:p w14:paraId="7070C59E" w14:textId="77777777" w:rsidR="00444B44" w:rsidRPr="00944B9A" w:rsidRDefault="00444B44" w:rsidP="00444B44">
      <w:pPr>
        <w:ind w:left="284" w:hanging="284"/>
        <w:jc w:val="both"/>
      </w:pPr>
      <w:r w:rsidRPr="00944B9A">
        <w:t xml:space="preserve">[12] L. Author et al., "LDGM: Linear Decoupled Graph Model with Multi-Perspective Mamba (Mamba-MP) for Intelligent Edge Deployment," </w:t>
      </w:r>
      <w:r w:rsidRPr="00944B9A">
        <w:rPr>
          <w:i/>
          <w:iCs/>
        </w:rPr>
        <w:t>ResearchGate Preprint</w:t>
      </w:r>
      <w:r w:rsidRPr="00944B9A">
        <w:t xml:space="preserve">, 2026. Available: </w:t>
      </w:r>
      <w:hyperlink r:id="rId30" w:tgtFrame="_blank" w:history="1">
        <w:r w:rsidRPr="00944B9A">
          <w:rPr>
            <w:rStyle w:val="Hyperlink"/>
          </w:rPr>
          <w:t>https://www.researchgate.net/publication/400785154</w:t>
        </w:r>
      </w:hyperlink>
    </w:p>
    <w:p w14:paraId="315A438C" w14:textId="77777777" w:rsidR="00444B44" w:rsidRPr="00944B9A" w:rsidRDefault="00444B44" w:rsidP="00444B44">
      <w:pPr>
        <w:ind w:left="284" w:hanging="284"/>
        <w:jc w:val="both"/>
      </w:pPr>
      <w:r w:rsidRPr="00944B9A">
        <w:t xml:space="preserve">[13] P. Author et al., "PG-TMT: Physics-Guided Tiny-Mamba Transformer with Deep Separable Convolutions for Online Bearing Health Monitoring," </w:t>
      </w:r>
      <w:r w:rsidRPr="00944B9A">
        <w:rPr>
          <w:i/>
          <w:iCs/>
        </w:rPr>
        <w:t>IEEE Transactions on Reliability</w:t>
      </w:r>
      <w:r w:rsidRPr="00944B9A">
        <w:t xml:space="preserve">, 2026. Available: </w:t>
      </w:r>
      <w:hyperlink r:id="rId31" w:tgtFrame="_blank" w:history="1">
        <w:r w:rsidRPr="00944B9A">
          <w:rPr>
            <w:rStyle w:val="Hyperlink"/>
          </w:rPr>
          <w:t>https://arxiv.org/abs/2601.21293</w:t>
        </w:r>
      </w:hyperlink>
    </w:p>
    <w:p w14:paraId="6EDE2327" w14:textId="77777777" w:rsidR="00444B44" w:rsidRPr="00944B9A" w:rsidRDefault="00444B44" w:rsidP="00444B44">
      <w:pPr>
        <w:ind w:left="284" w:hanging="284"/>
        <w:jc w:val="both"/>
      </w:pPr>
      <w:r w:rsidRPr="00944B9A">
        <w:t xml:space="preserve">[14] S. Author et al., "Deep Learning-Based Fault Diagnosis in Wind Turbine Bearings and Gearboxes Using Vibration Signals: Survey, Challenges, and Recommendations," </w:t>
      </w:r>
      <w:r w:rsidRPr="00944B9A">
        <w:rPr>
          <w:i/>
          <w:iCs/>
        </w:rPr>
        <w:t>IEEE Access</w:t>
      </w:r>
      <w:r w:rsidRPr="00944B9A">
        <w:t xml:space="preserve">, 2025. Available: </w:t>
      </w:r>
      <w:hyperlink r:id="rId32" w:tgtFrame="_blank" w:history="1">
        <w:r w:rsidRPr="00944B9A">
          <w:rPr>
            <w:rStyle w:val="Hyperlink"/>
          </w:rPr>
          <w:t>https://ieeexplore.ieee.org/document/11267383/</w:t>
        </w:r>
      </w:hyperlink>
    </w:p>
    <w:p w14:paraId="5AF79271" w14:textId="77777777" w:rsidR="00444B44" w:rsidRPr="00944B9A" w:rsidRDefault="00444B44" w:rsidP="00444B44">
      <w:pPr>
        <w:ind w:left="284" w:hanging="284"/>
        <w:jc w:val="both"/>
      </w:pPr>
      <w:r w:rsidRPr="00944B9A">
        <w:t xml:space="preserve">[15] D. Author et al., "An Explainable Adaptive Anomaly Detection Method for Multi-Condition Intelligent Equipment Monitoring," </w:t>
      </w:r>
      <w:r w:rsidRPr="00944B9A">
        <w:rPr>
          <w:i/>
          <w:iCs/>
        </w:rPr>
        <w:t>Diagnostyka</w:t>
      </w:r>
      <w:r w:rsidRPr="00944B9A">
        <w:t>, 2026. DOI: 10.29354/diag/183111</w:t>
      </w:r>
    </w:p>
    <w:p w14:paraId="66B9DBE1" w14:textId="77777777" w:rsidR="00444B44" w:rsidRPr="00944B9A" w:rsidRDefault="00444B44" w:rsidP="00444B44">
      <w:pPr>
        <w:ind w:left="284" w:hanging="284"/>
        <w:jc w:val="both"/>
      </w:pPr>
      <w:r w:rsidRPr="00944B9A">
        <w:t xml:space="preserve">[16] A. Gu and T. Dao, "Mamba: Linear-Time Sequence Modeling with Selective State Spaces," in </w:t>
      </w:r>
      <w:r w:rsidRPr="00944B9A">
        <w:rPr>
          <w:i/>
          <w:iCs/>
        </w:rPr>
        <w:t>Proceedings of the Conference on Language Modeling (COLM)</w:t>
      </w:r>
      <w:r w:rsidRPr="00944B9A">
        <w:t xml:space="preserve">, 2024. Available: </w:t>
      </w:r>
      <w:hyperlink r:id="rId33" w:tgtFrame="_blank" w:history="1">
        <w:r w:rsidRPr="00944B9A">
          <w:rPr>
            <w:rStyle w:val="Hyperlink"/>
          </w:rPr>
          <w:t>https://arxiv.org/abs/2312.00752</w:t>
        </w:r>
      </w:hyperlink>
    </w:p>
    <w:p w14:paraId="033536FC" w14:textId="77777777" w:rsidR="00444B44" w:rsidRPr="00944B9A" w:rsidRDefault="00444B44" w:rsidP="00444B44">
      <w:pPr>
        <w:ind w:left="284" w:hanging="284"/>
        <w:jc w:val="both"/>
      </w:pPr>
      <w:r w:rsidRPr="00944B9A">
        <w:t xml:space="preserve">[17] E. Author et al., "Deep-Learning-Based Open Set Fault Diagnosis by Extreme Value Theory," </w:t>
      </w:r>
      <w:r w:rsidRPr="00944B9A">
        <w:rPr>
          <w:i/>
          <w:iCs/>
        </w:rPr>
        <w:t>IEEE Transactions on Industrial Informatics</w:t>
      </w:r>
      <w:r w:rsidRPr="00944B9A">
        <w:t xml:space="preserve">, vol. 18, 2022. Available: </w:t>
      </w:r>
      <w:hyperlink r:id="rId34" w:tgtFrame="_blank" w:history="1">
        <w:r w:rsidRPr="00944B9A">
          <w:rPr>
            <w:rStyle w:val="Hyperlink"/>
          </w:rPr>
          <w:t>https://ieeexplore.ieee.org/document/9394793</w:t>
        </w:r>
      </w:hyperlink>
    </w:p>
    <w:p w14:paraId="2B8B18C5" w14:textId="77777777" w:rsidR="00444B44" w:rsidRPr="00944B9A" w:rsidRDefault="00444B44" w:rsidP="00444B44">
      <w:pPr>
        <w:ind w:left="284" w:hanging="284"/>
        <w:jc w:val="both"/>
      </w:pPr>
      <w:r w:rsidRPr="00944B9A">
        <w:t xml:space="preserve">[18] O. Author et al., "Robust Anomaly Detection for Multivariate Time Series through Stochastic Recurrent Neural Network," in </w:t>
      </w:r>
      <w:r w:rsidRPr="00944B9A">
        <w:rPr>
          <w:i/>
          <w:iCs/>
        </w:rPr>
        <w:t>Proceedings of the ACM SIGKDD International Conference on Knowledge Discovery &amp; Data Mining</w:t>
      </w:r>
      <w:r w:rsidRPr="00944B9A">
        <w:t xml:space="preserve">, 2019. Available: </w:t>
      </w:r>
      <w:hyperlink r:id="rId35" w:tgtFrame="_blank" w:history="1">
        <w:r w:rsidRPr="00944B9A">
          <w:rPr>
            <w:rStyle w:val="Hyperlink"/>
          </w:rPr>
          <w:t>https://dl.acm.org/doi/epdf/10.1145/3292500.3330672</w:t>
        </w:r>
      </w:hyperlink>
    </w:p>
    <w:p w14:paraId="12421264" w14:textId="77777777" w:rsidR="00444B44" w:rsidRPr="00944B9A" w:rsidRDefault="00444B44" w:rsidP="00444B44">
      <w:pPr>
        <w:ind w:left="284" w:hanging="284"/>
        <w:jc w:val="both"/>
      </w:pPr>
      <w:r w:rsidRPr="00944B9A">
        <w:t xml:space="preserve">[19] U. Author et al., "USAD: UnSupervised Anomaly Detection for Multivariate Time Series via Adversarially Trained Autoencoders," in </w:t>
      </w:r>
      <w:r w:rsidRPr="00944B9A">
        <w:rPr>
          <w:i/>
          <w:iCs/>
        </w:rPr>
        <w:t>Proceedings of the ACM SIGKDD International Conference on Knowledge Discovery &amp; Data Mining</w:t>
      </w:r>
      <w:r w:rsidRPr="00944B9A">
        <w:t xml:space="preserve">, 2020. Available: </w:t>
      </w:r>
      <w:hyperlink r:id="rId36" w:tgtFrame="_blank" w:history="1">
        <w:r w:rsidRPr="00944B9A">
          <w:rPr>
            <w:rStyle w:val="Hyperlink"/>
          </w:rPr>
          <w:t>https://dl.acm.org/doi/10.1145/3394486.3403392</w:t>
        </w:r>
      </w:hyperlink>
    </w:p>
    <w:p w14:paraId="0BC84220" w14:textId="77777777" w:rsidR="00444B44" w:rsidRPr="00944B9A" w:rsidRDefault="00444B44" w:rsidP="00444B44">
      <w:pPr>
        <w:ind w:left="284" w:hanging="284"/>
        <w:jc w:val="both"/>
      </w:pPr>
      <w:r w:rsidRPr="00944B9A">
        <w:t xml:space="preserve">[20] T. Author et al., "TranAD: Deep Transformer Networks for Anomaly Detection in Multivariate Time Series," </w:t>
      </w:r>
      <w:r w:rsidRPr="00944B9A">
        <w:rPr>
          <w:i/>
          <w:iCs/>
        </w:rPr>
        <w:t>Proceedings of the VLDB Endowment (PVLDB)</w:t>
      </w:r>
      <w:r w:rsidRPr="00944B9A">
        <w:t xml:space="preserve">, vol. 15, 2022. Available: </w:t>
      </w:r>
      <w:hyperlink r:id="rId37" w:tgtFrame="_blank" w:history="1">
        <w:r w:rsidRPr="00944B9A">
          <w:rPr>
            <w:rStyle w:val="Hyperlink"/>
          </w:rPr>
          <w:t>https://arxiv.org/abs/2201.07284</w:t>
        </w:r>
      </w:hyperlink>
    </w:p>
    <w:p w14:paraId="1C9D7728" w14:textId="77777777" w:rsidR="00444B44" w:rsidRPr="00944B9A" w:rsidRDefault="00444B44" w:rsidP="00444B44">
      <w:pPr>
        <w:ind w:left="284" w:hanging="284"/>
        <w:jc w:val="both"/>
      </w:pPr>
      <w:r w:rsidRPr="00944B9A">
        <w:t xml:space="preserve">[21] M. Author et al., "MD-BiMamba: An aero-engine inter-shaft bearing fault diagnosis method based on Mamba with modal decomposition and bidirectional features fusion strategy," </w:t>
      </w:r>
      <w:r w:rsidRPr="00944B9A">
        <w:rPr>
          <w:i/>
          <w:iCs/>
        </w:rPr>
        <w:t>Measurement</w:t>
      </w:r>
      <w:r w:rsidRPr="00944B9A">
        <w:t xml:space="preserve">, 2024. Available: </w:t>
      </w:r>
      <w:hyperlink r:id="rId38" w:tgtFrame="_blank" w:history="1">
        <w:r w:rsidRPr="00944B9A">
          <w:rPr>
            <w:rStyle w:val="Hyperlink"/>
          </w:rPr>
          <w:t>https://www.researchgate.net/publication/384538677_MD-BiMamba_An_aero-engine_inter-shaft_bearing_fault_diagnosis_method_based_on_Mamba_with_modal_decomposition_and_bidirectional_features_fusion_strategy</w:t>
        </w:r>
      </w:hyperlink>
    </w:p>
    <w:p w14:paraId="5FF0EF7A" w14:textId="77777777" w:rsidR="00444B44" w:rsidRPr="00944B9A" w:rsidRDefault="00444B44" w:rsidP="00444B44">
      <w:pPr>
        <w:ind w:left="284" w:hanging="284"/>
        <w:jc w:val="both"/>
      </w:pPr>
      <w:r w:rsidRPr="00944B9A">
        <w:t xml:space="preserve">[22] D. Author et al., "DMamba: Decomposition-enhanced Mamba for Long-Term Time Series Forecasting," </w:t>
      </w:r>
      <w:r w:rsidRPr="00944B9A">
        <w:rPr>
          <w:i/>
          <w:iCs/>
        </w:rPr>
        <w:t>arXiv Preprint</w:t>
      </w:r>
      <w:r w:rsidRPr="00944B9A">
        <w:t xml:space="preserve">, arXiv:2602.09081, 2026. Available: </w:t>
      </w:r>
      <w:hyperlink r:id="rId39" w:tgtFrame="_blank" w:history="1">
        <w:r w:rsidRPr="00944B9A">
          <w:rPr>
            <w:rStyle w:val="Hyperlink"/>
          </w:rPr>
          <w:t>https://arxiv.org/abs/2602.09081</w:t>
        </w:r>
      </w:hyperlink>
    </w:p>
    <w:p w14:paraId="73156BD0" w14:textId="77777777" w:rsidR="00444B44" w:rsidRPr="00444B44" w:rsidRDefault="00444B44" w:rsidP="00444B44"/>
    <w:sectPr w:rsidR="00444B44" w:rsidRPr="00444B44">
      <w:type w:val="continuous"/>
      <w:pgSz w:w="10319" w:h="14572"/>
      <w:pgMar w:top="1134" w:right="1134" w:bottom="1134" w:left="1134" w:header="397" w:footer="397"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E9683" w14:textId="77777777" w:rsidR="009C30AC" w:rsidRDefault="009C30AC">
      <w:r>
        <w:separator/>
      </w:r>
    </w:p>
  </w:endnote>
  <w:endnote w:type="continuationSeparator" w:id="0">
    <w:p w14:paraId="1E9A4547" w14:textId="77777777" w:rsidR="009C30AC" w:rsidRDefault="009C30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Light">
    <w:altName w:val="等线 Light"/>
    <w:panose1 w:val="00000000000000000000"/>
    <w:charset w:val="86"/>
    <w:family w:val="roman"/>
    <w:notTrueType/>
    <w:pitch w:val="default"/>
  </w:font>
  <w:font w:name="Aptos Display">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default"/>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0C899" w14:textId="77777777" w:rsidR="00BD1DA7" w:rsidRDefault="00000000">
    <w:pPr>
      <w:pStyle w:val="Footer"/>
    </w:pPr>
    <w:r>
      <w:rPr>
        <w:noProof/>
      </w:rPr>
      <mc:AlternateContent>
        <mc:Choice Requires="wps">
          <w:drawing>
            <wp:anchor distT="0" distB="0" distL="114300" distR="114300" simplePos="0" relativeHeight="251659264" behindDoc="0" locked="0" layoutInCell="1" allowOverlap="1" wp14:anchorId="296B1E48" wp14:editId="0D757206">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DA3F6B1" w14:textId="77777777" w:rsidR="00BD1DA7"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96B1E48" id="_x0000_t202" coordsize="21600,21600" o:spt="202" path="m,l,21600r21600,l21600,xe">
              <v:stroke joinstyle="miter"/>
              <v:path gradientshapeok="t" o:connecttype="rect"/>
            </v:shapetype>
            <v:shape id="Text Box 6"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6DA3F6B1" w14:textId="77777777" w:rsidR="00BD1DA7"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D13A25" w14:textId="77777777" w:rsidR="009C30AC" w:rsidRDefault="009C30AC">
      <w:r>
        <w:separator/>
      </w:r>
    </w:p>
  </w:footnote>
  <w:footnote w:type="continuationSeparator" w:id="0">
    <w:p w14:paraId="251BE87A" w14:textId="77777777" w:rsidR="009C30AC" w:rsidRDefault="009C30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FE1FCF"/>
    <w:multiLevelType w:val="multilevel"/>
    <w:tmpl w:val="26FE1FCF"/>
    <w:lvl w:ilvl="0">
      <w:start w:val="1"/>
      <w:numFmt w:val="decimal"/>
      <w:pStyle w:val="footnote"/>
      <w:lvlText w:val="%1 "/>
      <w:lvlJc w:val="left"/>
      <w:pPr>
        <w:tabs>
          <w:tab w:val="left"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1" w15:restartNumberingAfterBreak="0">
    <w:nsid w:val="37660336"/>
    <w:multiLevelType w:val="multilevel"/>
    <w:tmpl w:val="37660336"/>
    <w:lvl w:ilvl="0">
      <w:start w:val="1"/>
      <w:numFmt w:val="bullet"/>
      <w:pStyle w:val="bulletlist"/>
      <w:lvlText w:val=""/>
      <w:lvlJc w:val="left"/>
      <w:pPr>
        <w:tabs>
          <w:tab w:val="left" w:pos="648"/>
        </w:tabs>
        <w:ind w:left="648"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4189603E"/>
    <w:multiLevelType w:val="multilevel"/>
    <w:tmpl w:val="4189603E"/>
    <w:lvl w:ilvl="0">
      <w:start w:val="1"/>
      <w:numFmt w:val="upperRoman"/>
      <w:pStyle w:val="Heading1"/>
      <w:lvlText w:val="%1."/>
      <w:lvlJc w:val="center"/>
      <w:pPr>
        <w:tabs>
          <w:tab w:val="left"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rPr>
    </w:lvl>
    <w:lvl w:ilvl="1">
      <w:start w:val="1"/>
      <w:numFmt w:val="upperLetter"/>
      <w:pStyle w:val="Heading2"/>
      <w:lvlText w:val="%2."/>
      <w:lvlJc w:val="left"/>
      <w:pPr>
        <w:tabs>
          <w:tab w:val="left"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start w:val="1"/>
      <w:numFmt w:val="decimal"/>
      <w:pStyle w:val="Heading3"/>
      <w:lvlText w:val="%3)"/>
      <w:lvlJc w:val="left"/>
      <w:pPr>
        <w:tabs>
          <w:tab w:val="left"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start w:val="1"/>
      <w:numFmt w:val="lowerLetter"/>
      <w:pStyle w:val="Heading4"/>
      <w:lvlText w:val="%4)"/>
      <w:lvlJc w:val="left"/>
      <w:pPr>
        <w:tabs>
          <w:tab w:val="left"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left" w:pos="3240"/>
        </w:tabs>
        <w:ind w:left="2880"/>
      </w:pPr>
      <w:rPr>
        <w:rFonts w:cs="Times New Roman" w:hint="default"/>
      </w:rPr>
    </w:lvl>
    <w:lvl w:ilvl="5">
      <w:start w:val="1"/>
      <w:numFmt w:val="lowerLetter"/>
      <w:lvlText w:val="(%6)"/>
      <w:lvlJc w:val="left"/>
      <w:pPr>
        <w:tabs>
          <w:tab w:val="left" w:pos="3960"/>
        </w:tabs>
        <w:ind w:left="3600"/>
      </w:pPr>
      <w:rPr>
        <w:rFonts w:cs="Times New Roman" w:hint="default"/>
      </w:rPr>
    </w:lvl>
    <w:lvl w:ilvl="6">
      <w:start w:val="1"/>
      <w:numFmt w:val="lowerRoman"/>
      <w:lvlText w:val="(%7)"/>
      <w:lvlJc w:val="left"/>
      <w:pPr>
        <w:tabs>
          <w:tab w:val="left" w:pos="4680"/>
        </w:tabs>
        <w:ind w:left="4320"/>
      </w:pPr>
      <w:rPr>
        <w:rFonts w:cs="Times New Roman" w:hint="default"/>
      </w:rPr>
    </w:lvl>
    <w:lvl w:ilvl="7">
      <w:start w:val="1"/>
      <w:numFmt w:val="lowerLetter"/>
      <w:lvlText w:val="(%8)"/>
      <w:lvlJc w:val="left"/>
      <w:pPr>
        <w:tabs>
          <w:tab w:val="left" w:pos="5400"/>
        </w:tabs>
        <w:ind w:left="5040"/>
      </w:pPr>
      <w:rPr>
        <w:rFonts w:cs="Times New Roman" w:hint="default"/>
      </w:rPr>
    </w:lvl>
    <w:lvl w:ilvl="8">
      <w:start w:val="1"/>
      <w:numFmt w:val="lowerRoman"/>
      <w:lvlText w:val="(%9)"/>
      <w:lvlJc w:val="left"/>
      <w:pPr>
        <w:tabs>
          <w:tab w:val="left" w:pos="6120"/>
        </w:tabs>
        <w:ind w:left="5760"/>
      </w:pPr>
      <w:rPr>
        <w:rFonts w:cs="Times New Roman" w:hint="default"/>
      </w:rPr>
    </w:lvl>
  </w:abstractNum>
  <w:abstractNum w:abstractNumId="3" w15:restartNumberingAfterBreak="0">
    <w:nsid w:val="52CA544A"/>
    <w:multiLevelType w:val="singleLevel"/>
    <w:tmpl w:val="52CA544A"/>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16"/>
        <w:szCs w:val="16"/>
      </w:rPr>
    </w:lvl>
  </w:abstractNum>
  <w:abstractNum w:abstractNumId="4" w15:restartNumberingAfterBreak="0">
    <w:nsid w:val="56F83F6F"/>
    <w:multiLevelType w:val="multilevel"/>
    <w:tmpl w:val="56F83F6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3242BE8"/>
    <w:multiLevelType w:val="multilevel"/>
    <w:tmpl w:val="63242B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402C58"/>
    <w:multiLevelType w:val="multilevel"/>
    <w:tmpl w:val="6C402C58"/>
    <w:lvl w:ilvl="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7" w15:restartNumberingAfterBreak="0">
    <w:nsid w:val="6CD32DA8"/>
    <w:multiLevelType w:val="singleLevel"/>
    <w:tmpl w:val="6CD32DA8"/>
    <w:lvl w:ilvl="0">
      <w:start w:val="1"/>
      <w:numFmt w:val="upperRoman"/>
      <w:pStyle w:val="tablehead"/>
      <w:lvlText w:val="TABLE %1. "/>
      <w:lvlJc w:val="left"/>
      <w:pPr>
        <w:tabs>
          <w:tab w:val="left" w:pos="1080"/>
        </w:tabs>
      </w:pPr>
      <w:rPr>
        <w:rFonts w:ascii="Times New Roman" w:hAnsi="Times New Roman" w:cs="Times New Roman" w:hint="default"/>
        <w:b w:val="0"/>
        <w:bCs w:val="0"/>
        <w:i w:val="0"/>
        <w:iCs w:val="0"/>
        <w:sz w:val="16"/>
        <w:szCs w:val="16"/>
      </w:rPr>
    </w:lvl>
  </w:abstractNum>
  <w:abstractNum w:abstractNumId="8" w15:restartNumberingAfterBreak="0">
    <w:nsid w:val="79981922"/>
    <w:multiLevelType w:val="multilevel"/>
    <w:tmpl w:val="799819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7CD255F0"/>
    <w:multiLevelType w:val="multilevel"/>
    <w:tmpl w:val="7CD255F0"/>
    <w:lvl w:ilvl="0">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num w:numId="1" w16cid:durableId="2058578323">
    <w:abstractNumId w:val="2"/>
  </w:num>
  <w:num w:numId="2" w16cid:durableId="1146170637">
    <w:abstractNumId w:val="1"/>
  </w:num>
  <w:num w:numId="3" w16cid:durableId="1770463389">
    <w:abstractNumId w:val="6"/>
  </w:num>
  <w:num w:numId="4" w16cid:durableId="598486233">
    <w:abstractNumId w:val="0"/>
  </w:num>
  <w:num w:numId="5" w16cid:durableId="502429005">
    <w:abstractNumId w:val="3"/>
  </w:num>
  <w:num w:numId="6" w16cid:durableId="1235361679">
    <w:abstractNumId w:val="9"/>
  </w:num>
  <w:num w:numId="7" w16cid:durableId="367296275">
    <w:abstractNumId w:val="7"/>
  </w:num>
  <w:num w:numId="8" w16cid:durableId="113987793">
    <w:abstractNumId w:val="4"/>
  </w:num>
  <w:num w:numId="9" w16cid:durableId="1900706280">
    <w:abstractNumId w:val="5"/>
  </w:num>
  <w:num w:numId="10" w16cid:durableId="17753951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noPunctuationKerning/>
  <w:characterSpacingControl w:val="doNotCompress"/>
  <w:doNotValidateAgainstSchema/>
  <w:doNotDemarcateInvalidXml/>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9A6"/>
    <w:rsid w:val="0004390D"/>
    <w:rsid w:val="00075F1D"/>
    <w:rsid w:val="000B4641"/>
    <w:rsid w:val="000F56A0"/>
    <w:rsid w:val="0010711E"/>
    <w:rsid w:val="00112362"/>
    <w:rsid w:val="00127EDD"/>
    <w:rsid w:val="0013576F"/>
    <w:rsid w:val="00170645"/>
    <w:rsid w:val="0018129E"/>
    <w:rsid w:val="00182C6C"/>
    <w:rsid w:val="001B3053"/>
    <w:rsid w:val="001C3EFC"/>
    <w:rsid w:val="001C6E63"/>
    <w:rsid w:val="001F7C48"/>
    <w:rsid w:val="00262EC7"/>
    <w:rsid w:val="00276735"/>
    <w:rsid w:val="002864A3"/>
    <w:rsid w:val="002B3B81"/>
    <w:rsid w:val="002B741F"/>
    <w:rsid w:val="002D6A81"/>
    <w:rsid w:val="002E0B45"/>
    <w:rsid w:val="002F6CEF"/>
    <w:rsid w:val="00304141"/>
    <w:rsid w:val="003354AB"/>
    <w:rsid w:val="003523EF"/>
    <w:rsid w:val="003861EF"/>
    <w:rsid w:val="003A47B5"/>
    <w:rsid w:val="003A59A6"/>
    <w:rsid w:val="004059FE"/>
    <w:rsid w:val="004445B3"/>
    <w:rsid w:val="00444B44"/>
    <w:rsid w:val="004A0B24"/>
    <w:rsid w:val="00513FF4"/>
    <w:rsid w:val="0056776D"/>
    <w:rsid w:val="00574087"/>
    <w:rsid w:val="005B520E"/>
    <w:rsid w:val="005B535B"/>
    <w:rsid w:val="006108A4"/>
    <w:rsid w:val="00620BEC"/>
    <w:rsid w:val="00623854"/>
    <w:rsid w:val="00695678"/>
    <w:rsid w:val="006B354F"/>
    <w:rsid w:val="006B6ED0"/>
    <w:rsid w:val="006C4648"/>
    <w:rsid w:val="007005DA"/>
    <w:rsid w:val="0072064C"/>
    <w:rsid w:val="00742F09"/>
    <w:rsid w:val="007442B3"/>
    <w:rsid w:val="00753F7B"/>
    <w:rsid w:val="0078398E"/>
    <w:rsid w:val="00787C5A"/>
    <w:rsid w:val="007919DE"/>
    <w:rsid w:val="007A2767"/>
    <w:rsid w:val="007B7F32"/>
    <w:rsid w:val="007C0308"/>
    <w:rsid w:val="007C59B5"/>
    <w:rsid w:val="007D09C4"/>
    <w:rsid w:val="007D4B1F"/>
    <w:rsid w:val="007F5F9D"/>
    <w:rsid w:val="008014D2"/>
    <w:rsid w:val="008054BC"/>
    <w:rsid w:val="00822978"/>
    <w:rsid w:val="00836A7F"/>
    <w:rsid w:val="00870D0C"/>
    <w:rsid w:val="00881288"/>
    <w:rsid w:val="008A55B5"/>
    <w:rsid w:val="008A75C8"/>
    <w:rsid w:val="008B43B3"/>
    <w:rsid w:val="009546C9"/>
    <w:rsid w:val="00973F93"/>
    <w:rsid w:val="0097508D"/>
    <w:rsid w:val="00981D0F"/>
    <w:rsid w:val="0099244C"/>
    <w:rsid w:val="009B128E"/>
    <w:rsid w:val="009B422C"/>
    <w:rsid w:val="009C30AC"/>
    <w:rsid w:val="00A20A4D"/>
    <w:rsid w:val="00A26EDA"/>
    <w:rsid w:val="00A510F7"/>
    <w:rsid w:val="00A614D3"/>
    <w:rsid w:val="00A72432"/>
    <w:rsid w:val="00A82DD3"/>
    <w:rsid w:val="00A96CC1"/>
    <w:rsid w:val="00AC6519"/>
    <w:rsid w:val="00AE4B84"/>
    <w:rsid w:val="00AE71D1"/>
    <w:rsid w:val="00AF2C7E"/>
    <w:rsid w:val="00B55CE3"/>
    <w:rsid w:val="00BB4D4D"/>
    <w:rsid w:val="00BD1DA7"/>
    <w:rsid w:val="00C20C07"/>
    <w:rsid w:val="00C440B2"/>
    <w:rsid w:val="00C52D9F"/>
    <w:rsid w:val="00C70524"/>
    <w:rsid w:val="00C72B36"/>
    <w:rsid w:val="00CA4F68"/>
    <w:rsid w:val="00CB1404"/>
    <w:rsid w:val="00CB66E6"/>
    <w:rsid w:val="00CD4757"/>
    <w:rsid w:val="00D24CB2"/>
    <w:rsid w:val="00D84B77"/>
    <w:rsid w:val="00D9156D"/>
    <w:rsid w:val="00DB4343"/>
    <w:rsid w:val="00DB5332"/>
    <w:rsid w:val="00E2690C"/>
    <w:rsid w:val="00E3138D"/>
    <w:rsid w:val="00E37518"/>
    <w:rsid w:val="00E84528"/>
    <w:rsid w:val="00E91219"/>
    <w:rsid w:val="00EA506F"/>
    <w:rsid w:val="00ED0284"/>
    <w:rsid w:val="00ED1FFF"/>
    <w:rsid w:val="00EE4362"/>
    <w:rsid w:val="00EE58E8"/>
    <w:rsid w:val="00EF18D7"/>
    <w:rsid w:val="00EF1E8A"/>
    <w:rsid w:val="00EF3A1A"/>
    <w:rsid w:val="00F86267"/>
    <w:rsid w:val="00F95E0B"/>
    <w:rsid w:val="00FA1240"/>
    <w:rsid w:val="00FC417C"/>
    <w:rsid w:val="050071C0"/>
    <w:rsid w:val="05A45D76"/>
    <w:rsid w:val="0A292ECD"/>
    <w:rsid w:val="0DA03CD4"/>
    <w:rsid w:val="0E132027"/>
    <w:rsid w:val="0FCB74C1"/>
    <w:rsid w:val="16853024"/>
    <w:rsid w:val="1C786F9A"/>
    <w:rsid w:val="1DAB46F7"/>
    <w:rsid w:val="226E080D"/>
    <w:rsid w:val="23A359F0"/>
    <w:rsid w:val="25376FBC"/>
    <w:rsid w:val="25B15C32"/>
    <w:rsid w:val="28A365DE"/>
    <w:rsid w:val="2EE04266"/>
    <w:rsid w:val="3ACB1702"/>
    <w:rsid w:val="3D19282D"/>
    <w:rsid w:val="433E7706"/>
    <w:rsid w:val="46CB0920"/>
    <w:rsid w:val="48C2056E"/>
    <w:rsid w:val="4CED17C1"/>
    <w:rsid w:val="522332A9"/>
    <w:rsid w:val="579B414A"/>
    <w:rsid w:val="5CB30303"/>
    <w:rsid w:val="6074391A"/>
    <w:rsid w:val="66FA653A"/>
    <w:rsid w:val="71760B03"/>
    <w:rsid w:val="76CD2654"/>
    <w:rsid w:val="7A29287B"/>
    <w:rsid w:val="7BF419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48C1E9"/>
  <w15:docId w15:val="{285FF0F2-BDB0-43BD-86D9-4CCEEC6B7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center"/>
    </w:pPr>
    <w:rPr>
      <w:rFonts w:eastAsia="Times New Roman"/>
    </w:rPr>
  </w:style>
  <w:style w:type="paragraph" w:styleId="Heading1">
    <w:name w:val="heading 1"/>
    <w:basedOn w:val="Normal"/>
    <w:next w:val="Normal"/>
    <w:link w:val="Heading1Char"/>
    <w:uiPriority w:val="99"/>
    <w:qFormat/>
    <w:pPr>
      <w:keepNext/>
      <w:keepLines/>
      <w:numPr>
        <w:numId w:val="1"/>
      </w:numPr>
      <w:tabs>
        <w:tab w:val="left" w:pos="216"/>
      </w:tabs>
      <w:spacing w:before="160" w:after="80"/>
      <w:ind w:firstLine="0"/>
      <w:outlineLvl w:val="0"/>
    </w:pPr>
    <w:rPr>
      <w:rFonts w:eastAsia="MS Mincho"/>
      <w:smallCaps/>
    </w:rPr>
  </w:style>
  <w:style w:type="paragraph" w:styleId="Heading2">
    <w:name w:val="heading 2"/>
    <w:basedOn w:val="Normal"/>
    <w:next w:val="Normal"/>
    <w:link w:val="Heading2Char"/>
    <w:uiPriority w:val="99"/>
    <w:qFormat/>
    <w:pPr>
      <w:keepNext/>
      <w:keepLines/>
      <w:numPr>
        <w:ilvl w:val="1"/>
        <w:numId w:val="1"/>
      </w:numPr>
      <w:tabs>
        <w:tab w:val="clear" w:pos="360"/>
        <w:tab w:val="left" w:pos="288"/>
      </w:tabs>
      <w:spacing w:before="120" w:after="60"/>
      <w:jc w:val="left"/>
      <w:outlineLvl w:val="1"/>
    </w:pPr>
    <w:rPr>
      <w:rFonts w:eastAsia="MS Mincho"/>
      <w:i/>
      <w:iCs/>
    </w:rPr>
  </w:style>
  <w:style w:type="paragraph" w:styleId="Heading3">
    <w:name w:val="heading 3"/>
    <w:basedOn w:val="Normal"/>
    <w:next w:val="Normal"/>
    <w:link w:val="Heading3Char"/>
    <w:uiPriority w:val="99"/>
    <w:qFormat/>
    <w:pPr>
      <w:numPr>
        <w:ilvl w:val="2"/>
        <w:numId w:val="1"/>
      </w:numPr>
      <w:spacing w:line="240" w:lineRule="exact"/>
      <w:ind w:firstLine="288"/>
      <w:jc w:val="both"/>
      <w:outlineLvl w:val="2"/>
    </w:pPr>
    <w:rPr>
      <w:rFonts w:eastAsia="MS Mincho"/>
      <w:i/>
      <w:iCs/>
    </w:rPr>
  </w:style>
  <w:style w:type="paragraph" w:styleId="Heading4">
    <w:name w:val="heading 4"/>
    <w:basedOn w:val="Normal"/>
    <w:next w:val="Normal"/>
    <w:link w:val="Heading4Char"/>
    <w:uiPriority w:val="99"/>
    <w:qFormat/>
    <w:pPr>
      <w:numPr>
        <w:ilvl w:val="3"/>
        <w:numId w:val="1"/>
      </w:numPr>
      <w:tabs>
        <w:tab w:val="left" w:pos="821"/>
      </w:tabs>
      <w:spacing w:before="40" w:after="40"/>
      <w:ind w:firstLine="504"/>
      <w:jc w:val="both"/>
      <w:outlineLvl w:val="3"/>
    </w:pPr>
    <w:rPr>
      <w:rFonts w:eastAsia="MS Mincho"/>
      <w:i/>
      <w:iCs/>
    </w:rPr>
  </w:style>
  <w:style w:type="paragraph" w:styleId="Heading5">
    <w:name w:val="heading 5"/>
    <w:basedOn w:val="Normal"/>
    <w:next w:val="Normal"/>
    <w:link w:val="Heading5Char"/>
    <w:uiPriority w:val="99"/>
    <w:qFormat/>
    <w:pPr>
      <w:tabs>
        <w:tab w:val="left" w:pos="360"/>
      </w:tabs>
      <w:spacing w:before="160" w:after="80"/>
      <w:outlineLvl w:val="4"/>
    </w:pPr>
    <w:rPr>
      <w:small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BodyText">
    <w:name w:val="Body Text"/>
    <w:basedOn w:val="Normal"/>
    <w:link w:val="BodyTextChar"/>
    <w:uiPriority w:val="99"/>
    <w:qFormat/>
    <w:pPr>
      <w:tabs>
        <w:tab w:val="left" w:pos="288"/>
      </w:tabs>
      <w:spacing w:after="120" w:line="228" w:lineRule="auto"/>
      <w:ind w:firstLine="288"/>
      <w:jc w:val="both"/>
    </w:pPr>
    <w:rPr>
      <w:rFonts w:eastAsia="MS Mincho"/>
      <w:spacing w:val="-1"/>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er">
    <w:name w:val="footer"/>
    <w:basedOn w:val="Normal"/>
    <w:uiPriority w:val="99"/>
    <w:semiHidden/>
    <w:unhideWhenUsed/>
    <w:pPr>
      <w:tabs>
        <w:tab w:val="center" w:pos="4153"/>
        <w:tab w:val="right" w:pos="8306"/>
      </w:tabs>
      <w:snapToGrid w:val="0"/>
      <w:jc w:val="left"/>
    </w:pPr>
    <w:rPr>
      <w:sz w:val="18"/>
      <w:szCs w:val="18"/>
    </w:rPr>
  </w:style>
  <w:style w:type="paragraph" w:styleId="Header">
    <w:name w:val="header"/>
    <w:basedOn w:val="Normal"/>
    <w:uiPriority w:val="99"/>
    <w:semiHidden/>
    <w:unhideWhenUsed/>
    <w:qFormat/>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rPr>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contextualSpacing/>
    </w:pPr>
    <w:rPr>
      <w:rFonts w:eastAsia="MS Mincho"/>
      <w:b/>
      <w:bCs/>
      <w:i/>
      <w:iCs/>
      <w:spacing w:val="-10"/>
      <w:kern w:val="28"/>
      <w:sz w:val="24"/>
      <w:szCs w:val="24"/>
    </w:rPr>
  </w:style>
  <w:style w:type="character" w:customStyle="1" w:styleId="Heading1Char">
    <w:name w:val="Heading 1 Char"/>
    <w:link w:val="Heading1"/>
    <w:uiPriority w:val="99"/>
    <w:qFormat/>
    <w:rPr>
      <w:rFonts w:ascii="Times New Roman" w:eastAsia="MS Mincho" w:hAnsi="Times New Roman"/>
      <w:smallCaps/>
    </w:rPr>
  </w:style>
  <w:style w:type="character" w:customStyle="1" w:styleId="Heading2Char">
    <w:name w:val="Heading 2 Char"/>
    <w:link w:val="Heading2"/>
    <w:uiPriority w:val="99"/>
    <w:qFormat/>
    <w:rPr>
      <w:rFonts w:ascii="Times New Roman" w:eastAsia="MS Mincho" w:hAnsi="Times New Roman" w:cs="Times New Roman"/>
      <w:i/>
      <w:iCs/>
      <w:sz w:val="20"/>
      <w:szCs w:val="20"/>
    </w:rPr>
  </w:style>
  <w:style w:type="character" w:customStyle="1" w:styleId="Heading3Char">
    <w:name w:val="Heading 3 Char"/>
    <w:link w:val="Heading3"/>
    <w:uiPriority w:val="99"/>
    <w:qFormat/>
    <w:rPr>
      <w:rFonts w:ascii="Times New Roman" w:eastAsia="MS Mincho" w:hAnsi="Times New Roman" w:cs="Times New Roman"/>
      <w:i/>
      <w:iCs/>
      <w:sz w:val="20"/>
      <w:szCs w:val="20"/>
    </w:rPr>
  </w:style>
  <w:style w:type="character" w:customStyle="1" w:styleId="Heading4Char">
    <w:name w:val="Heading 4 Char"/>
    <w:link w:val="Heading4"/>
    <w:uiPriority w:val="99"/>
    <w:qFormat/>
    <w:rPr>
      <w:rFonts w:ascii="Times New Roman" w:eastAsia="MS Mincho" w:hAnsi="Times New Roman" w:cs="Times New Roman"/>
      <w:i/>
      <w:iCs/>
      <w:sz w:val="20"/>
      <w:szCs w:val="20"/>
    </w:rPr>
  </w:style>
  <w:style w:type="character" w:customStyle="1" w:styleId="Heading5Char">
    <w:name w:val="Heading 5 Char"/>
    <w:link w:val="Heading5"/>
    <w:uiPriority w:val="9"/>
    <w:semiHidden/>
    <w:qFormat/>
    <w:rPr>
      <w:rFonts w:cs="Times New Roman"/>
      <w:b/>
      <w:bCs/>
      <w:i/>
      <w:iCs/>
      <w:sz w:val="26"/>
      <w:szCs w:val="26"/>
    </w:rPr>
  </w:style>
  <w:style w:type="paragraph" w:customStyle="1" w:styleId="Abstract">
    <w:name w:val="Abstract"/>
    <w:uiPriority w:val="99"/>
    <w:qFormat/>
    <w:pPr>
      <w:spacing w:after="200"/>
      <w:ind w:firstLine="274"/>
      <w:jc w:val="both"/>
    </w:pPr>
    <w:rPr>
      <w:rFonts w:eastAsia="Times New Roman"/>
      <w:b/>
      <w:bCs/>
      <w:sz w:val="18"/>
      <w:szCs w:val="18"/>
    </w:rPr>
  </w:style>
  <w:style w:type="paragraph" w:customStyle="1" w:styleId="Affiliation">
    <w:name w:val="Affiliation"/>
    <w:uiPriority w:val="99"/>
    <w:qFormat/>
    <w:pPr>
      <w:jc w:val="center"/>
    </w:pPr>
    <w:rPr>
      <w:rFonts w:eastAsia="Times New Roman"/>
    </w:rPr>
  </w:style>
  <w:style w:type="paragraph" w:customStyle="1" w:styleId="Author">
    <w:name w:val="Author"/>
    <w:uiPriority w:val="99"/>
    <w:qFormat/>
    <w:pPr>
      <w:spacing w:before="360" w:after="40"/>
      <w:jc w:val="center"/>
    </w:pPr>
    <w:rPr>
      <w:rFonts w:eastAsia="Times New Roman"/>
      <w:sz w:val="22"/>
      <w:szCs w:val="22"/>
    </w:rPr>
  </w:style>
  <w:style w:type="character" w:customStyle="1" w:styleId="BodyTextChar">
    <w:name w:val="Body Text Char"/>
    <w:link w:val="BodyText"/>
    <w:uiPriority w:val="99"/>
    <w:qFormat/>
    <w:rPr>
      <w:rFonts w:ascii="Times New Roman" w:eastAsia="MS Mincho" w:hAnsi="Times New Roman" w:cs="Times New Roman"/>
      <w:sz w:val="20"/>
      <w:szCs w:val="20"/>
    </w:rPr>
  </w:style>
  <w:style w:type="paragraph" w:customStyle="1" w:styleId="bulletlist">
    <w:name w:val="bullet list"/>
    <w:basedOn w:val="BodyText"/>
    <w:qFormat/>
    <w:pPr>
      <w:numPr>
        <w:numId w:val="2"/>
      </w:numPr>
      <w:tabs>
        <w:tab w:val="clear" w:pos="648"/>
      </w:tabs>
      <w:ind w:left="576" w:hanging="288"/>
    </w:pPr>
  </w:style>
  <w:style w:type="paragraph" w:customStyle="1" w:styleId="equation">
    <w:name w:val="equation"/>
    <w:basedOn w:val="Normal"/>
    <w:uiPriority w:val="99"/>
    <w:qFormat/>
    <w:pPr>
      <w:tabs>
        <w:tab w:val="center" w:pos="2520"/>
        <w:tab w:val="right" w:pos="5040"/>
      </w:tabs>
      <w:spacing w:before="240" w:after="240" w:line="216" w:lineRule="auto"/>
    </w:pPr>
    <w:rPr>
      <w:rFonts w:ascii="Symbol" w:hAnsi="Symbol" w:cs="Symbol"/>
    </w:rPr>
  </w:style>
  <w:style w:type="paragraph" w:customStyle="1" w:styleId="figurecaption">
    <w:name w:val="figure caption"/>
    <w:qFormat/>
    <w:pPr>
      <w:numPr>
        <w:numId w:val="3"/>
      </w:numPr>
      <w:tabs>
        <w:tab w:val="left" w:pos="533"/>
      </w:tabs>
      <w:spacing w:before="80" w:after="200"/>
      <w:ind w:left="0" w:firstLine="0"/>
      <w:jc w:val="both"/>
    </w:pPr>
    <w:rPr>
      <w:rFonts w:eastAsia="Times New Roman"/>
      <w:sz w:val="16"/>
      <w:szCs w:val="16"/>
    </w:rPr>
  </w:style>
  <w:style w:type="paragraph" w:customStyle="1" w:styleId="footnote">
    <w:name w:val="footnote"/>
    <w:uiPriority w:val="99"/>
    <w:qFormat/>
    <w:pPr>
      <w:framePr w:hSpace="187" w:vSpace="187" w:wrap="notBeside" w:vAnchor="text" w:hAnchor="page" w:x="6121" w:y="577"/>
      <w:numPr>
        <w:numId w:val="4"/>
      </w:numPr>
      <w:spacing w:after="40"/>
    </w:pPr>
    <w:rPr>
      <w:rFonts w:eastAsia="Times New Roman"/>
      <w:sz w:val="16"/>
      <w:szCs w:val="16"/>
    </w:rPr>
  </w:style>
  <w:style w:type="paragraph" w:customStyle="1" w:styleId="keywords">
    <w:name w:val="key words"/>
    <w:uiPriority w:val="99"/>
    <w:qFormat/>
    <w:pPr>
      <w:spacing w:after="120"/>
      <w:ind w:firstLine="274"/>
      <w:jc w:val="both"/>
    </w:pPr>
    <w:rPr>
      <w:rFonts w:eastAsia="Times New Roman"/>
      <w:b/>
      <w:bCs/>
      <w:i/>
      <w:iCs/>
      <w:sz w:val="18"/>
      <w:szCs w:val="18"/>
    </w:rPr>
  </w:style>
  <w:style w:type="paragraph" w:customStyle="1" w:styleId="papersubtitle">
    <w:name w:val="paper subtitle"/>
    <w:uiPriority w:val="99"/>
    <w:qFormat/>
    <w:pPr>
      <w:spacing w:after="120"/>
      <w:jc w:val="center"/>
    </w:pPr>
    <w:rPr>
      <w:rFonts w:eastAsia="Times New Roman"/>
      <w:bCs/>
      <w:sz w:val="28"/>
      <w:szCs w:val="28"/>
    </w:rPr>
  </w:style>
  <w:style w:type="paragraph" w:customStyle="1" w:styleId="papertitle">
    <w:name w:val="paper title"/>
    <w:uiPriority w:val="99"/>
    <w:qFormat/>
    <w:pPr>
      <w:spacing w:after="120"/>
      <w:jc w:val="center"/>
    </w:pPr>
    <w:rPr>
      <w:rFonts w:eastAsia="Times New Roman"/>
      <w:bCs/>
      <w:sz w:val="48"/>
      <w:szCs w:val="48"/>
    </w:rPr>
  </w:style>
  <w:style w:type="paragraph" w:customStyle="1" w:styleId="references">
    <w:name w:val="references"/>
    <w:uiPriority w:val="99"/>
    <w:qFormat/>
    <w:pPr>
      <w:numPr>
        <w:numId w:val="5"/>
      </w:numPr>
      <w:spacing w:after="50" w:line="180" w:lineRule="exact"/>
      <w:jc w:val="both"/>
    </w:pPr>
    <w:rPr>
      <w:rFonts w:eastAsia="Times New Roman"/>
      <w:sz w:val="16"/>
      <w:szCs w:val="16"/>
    </w:rPr>
  </w:style>
  <w:style w:type="paragraph" w:customStyle="1" w:styleId="sponsors">
    <w:name w:val="sponsors"/>
    <w:qFormat/>
    <w:pPr>
      <w:framePr w:wrap="auto" w:hAnchor="text" w:x="615" w:y="2239"/>
      <w:pBdr>
        <w:top w:val="single" w:sz="4" w:space="2" w:color="auto"/>
      </w:pBdr>
      <w:ind w:firstLine="288"/>
    </w:pPr>
    <w:rPr>
      <w:rFonts w:eastAsia="Times New Roman"/>
      <w:sz w:val="16"/>
      <w:szCs w:val="16"/>
    </w:rPr>
  </w:style>
  <w:style w:type="paragraph" w:customStyle="1" w:styleId="tablecolhead">
    <w:name w:val="table col head"/>
    <w:basedOn w:val="Normal"/>
    <w:uiPriority w:val="99"/>
    <w:qFormat/>
    <w:rPr>
      <w:b/>
      <w:bCs/>
      <w:sz w:val="16"/>
      <w:szCs w:val="16"/>
    </w:rPr>
  </w:style>
  <w:style w:type="paragraph" w:customStyle="1" w:styleId="tablecolsubhead">
    <w:name w:val="table col subhead"/>
    <w:basedOn w:val="tablecolhead"/>
    <w:uiPriority w:val="99"/>
    <w:qFormat/>
    <w:rPr>
      <w:i/>
      <w:iCs/>
      <w:sz w:val="15"/>
      <w:szCs w:val="15"/>
    </w:rPr>
  </w:style>
  <w:style w:type="paragraph" w:customStyle="1" w:styleId="tablecopy">
    <w:name w:val="table copy"/>
    <w:uiPriority w:val="99"/>
    <w:qFormat/>
    <w:pPr>
      <w:jc w:val="both"/>
    </w:pPr>
    <w:rPr>
      <w:rFonts w:eastAsia="Times New Roman"/>
      <w:sz w:val="16"/>
      <w:szCs w:val="16"/>
    </w:rPr>
  </w:style>
  <w:style w:type="paragraph" w:customStyle="1" w:styleId="tablefootnote">
    <w:name w:val="table footnote"/>
    <w:uiPriority w:val="99"/>
    <w:qFormat/>
    <w:pPr>
      <w:numPr>
        <w:numId w:val="6"/>
      </w:numPr>
      <w:tabs>
        <w:tab w:val="left" w:pos="29"/>
      </w:tabs>
      <w:spacing w:before="60" w:after="30"/>
      <w:ind w:left="360"/>
      <w:jc w:val="right"/>
    </w:pPr>
    <w:rPr>
      <w:rFonts w:eastAsia="MS Mincho"/>
      <w:sz w:val="12"/>
      <w:szCs w:val="12"/>
    </w:rPr>
  </w:style>
  <w:style w:type="paragraph" w:customStyle="1" w:styleId="tablehead">
    <w:name w:val="table head"/>
    <w:uiPriority w:val="99"/>
    <w:qFormat/>
    <w:pPr>
      <w:numPr>
        <w:numId w:val="7"/>
      </w:numPr>
      <w:spacing w:before="240" w:after="120" w:line="216" w:lineRule="auto"/>
      <w:jc w:val="center"/>
    </w:pPr>
    <w:rPr>
      <w:rFonts w:eastAsia="Times New Roman"/>
      <w:smallCaps/>
      <w:sz w:val="16"/>
      <w:szCs w:val="16"/>
    </w:rPr>
  </w:style>
  <w:style w:type="paragraph" w:styleId="NoSpacing">
    <w:name w:val="No Spacing"/>
    <w:uiPriority w:val="1"/>
    <w:qFormat/>
    <w:pPr>
      <w:jc w:val="center"/>
    </w:pPr>
    <w:rPr>
      <w:rFonts w:eastAsia="Times New Roman"/>
    </w:rPr>
  </w:style>
  <w:style w:type="character" w:customStyle="1" w:styleId="BalloonTextChar">
    <w:name w:val="Balloon Text Char"/>
    <w:link w:val="BalloonText"/>
    <w:uiPriority w:val="99"/>
    <w:semiHidden/>
    <w:qFormat/>
    <w:rPr>
      <w:rFonts w:ascii="Segoe UI" w:hAnsi="Segoe UI" w:cs="Segoe UI"/>
      <w:sz w:val="18"/>
      <w:szCs w:val="18"/>
    </w:rPr>
  </w:style>
  <w:style w:type="character" w:customStyle="1" w:styleId="TitleChar">
    <w:name w:val="Title Char"/>
    <w:basedOn w:val="DefaultParagraphFont"/>
    <w:link w:val="Title"/>
    <w:uiPriority w:val="10"/>
    <w:qFormat/>
    <w:rPr>
      <w:rFonts w:ascii="Times New Roman" w:eastAsia="MS Mincho" w:hAnsi="Times New Roman"/>
      <w:b/>
      <w:bCs/>
      <w:i/>
      <w:iCs/>
      <w:spacing w:val="-10"/>
      <w:kern w:val="28"/>
      <w:sz w:val="24"/>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rxiv.org/abs/2210.02186" TargetMode="External"/><Relationship Id="rId39" Type="http://schemas.openxmlformats.org/officeDocument/2006/relationships/hyperlink" Target="https://arxiv.org/abs/2602.09081" TargetMode="External"/><Relationship Id="rId21" Type="http://schemas.openxmlformats.org/officeDocument/2006/relationships/hyperlink" Target="https://www.pnas.org/doi/10.1073/pnas.2106598119" TargetMode="External"/><Relationship Id="rId34" Type="http://schemas.openxmlformats.org/officeDocument/2006/relationships/hyperlink" Target="https://ieeexplore.ieee.org/document/9394793"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mdpi.com/2227-7390/14/8/1363"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lyhunglam2004@gmail.com" TargetMode="External"/><Relationship Id="rId24" Type="http://schemas.openxmlformats.org/officeDocument/2006/relationships/hyperlink" Target="https://openreview.net/forum?id=Z4T26VztkU" TargetMode="External"/><Relationship Id="rId32" Type="http://schemas.openxmlformats.org/officeDocument/2006/relationships/hyperlink" Target="https://ieeexplore.ieee.org/document/11267383/" TargetMode="External"/><Relationship Id="rId37" Type="http://schemas.openxmlformats.org/officeDocument/2006/relationships/hyperlink" Target="https://arxiv.org/abs/2201.07284"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yperlink" Target="https://openreview.net/forum?id=R20kKdWmVZ" TargetMode="External"/><Relationship Id="rId28" Type="http://schemas.openxmlformats.org/officeDocument/2006/relationships/hyperlink" Target="https://arxiv.org/abs/2403.09898" TargetMode="External"/><Relationship Id="rId36" Type="http://schemas.openxmlformats.org/officeDocument/2006/relationships/hyperlink" Target="https://dl.acm.org/doi/10.1145/3394486.3403392" TargetMode="External"/><Relationship Id="rId10" Type="http://schemas.openxmlformats.org/officeDocument/2006/relationships/hyperlink" Target="mailto:sunbv56@gmail.com" TargetMode="External"/><Relationship Id="rId19" Type="http://schemas.openxmlformats.org/officeDocument/2006/relationships/image" Target="media/image7.png"/><Relationship Id="rId31" Type="http://schemas.openxmlformats.org/officeDocument/2006/relationships/hyperlink" Target="https://arxiv.org/abs/2601.21293"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openreview.net/forum?id=vpJMJerXHU" TargetMode="External"/><Relationship Id="rId27" Type="http://schemas.openxmlformats.org/officeDocument/2006/relationships/hyperlink" Target="https://arxiv.org/abs/2211.14730" TargetMode="External"/><Relationship Id="rId30" Type="http://schemas.openxmlformats.org/officeDocument/2006/relationships/hyperlink" Target="https://www.researchgate.net/publication/400785154" TargetMode="External"/><Relationship Id="rId35" Type="http://schemas.openxmlformats.org/officeDocument/2006/relationships/hyperlink" Target="https://dl.acm.org/doi/epdf/10.1145/3292500.3330672"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mailto:longt5@fpt.edu.vn" TargetMode="External"/><Relationship Id="rId17" Type="http://schemas.openxmlformats.org/officeDocument/2006/relationships/image" Target="media/image5.png"/><Relationship Id="rId25" Type="http://schemas.openxmlformats.org/officeDocument/2006/relationships/hyperlink" Target="https://arxiv.org/abs/2110.02642" TargetMode="External"/><Relationship Id="rId33" Type="http://schemas.openxmlformats.org/officeDocument/2006/relationships/hyperlink" Target="https://arxiv.org/abs/2312.00752" TargetMode="External"/><Relationship Id="rId38" Type="http://schemas.openxmlformats.org/officeDocument/2006/relationships/hyperlink" Target="https://www.researchgate.net/publication/384538677_MD-BiMamba_An_aero-engine_inter-shaft_bearing_fault_diagnosis_method_based_on_Mamba_with_modal_decomposition_and_bidirectional_features_fusion_strate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25</Pages>
  <Words>10978</Words>
  <Characters>62575</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73407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Hưng Lâm</cp:lastModifiedBy>
  <cp:revision>28</cp:revision>
  <cp:lastPrinted>2017-11-16T01:09:00Z</cp:lastPrinted>
  <dcterms:created xsi:type="dcterms:W3CDTF">2026-05-23T10:00:00Z</dcterms:created>
  <dcterms:modified xsi:type="dcterms:W3CDTF">2026-06-01T10:04:00Z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eyJoZGlkIjoiZmMxMjEwZTY0ZTI0NTA3NTQ2M2UwMDYwMmFhN2U1NGQiLCJ1c2VySWQiOiI4ODEzNDI4MjI3OTQ4In0=</vt:lpwstr>
  </property>
  <property fmtid="{D5CDD505-2E9C-101B-9397-08002B2CF9AE}" pid="3" name="KSOProductBuildVer">
    <vt:lpwstr>1033-12.1.0.26880</vt:lpwstr>
  </property>
  <property fmtid="{D5CDD505-2E9C-101B-9397-08002B2CF9AE}" pid="4" name="ICV">
    <vt:lpwstr>05615E512B2E41659D035017A1361381_12</vt:lpwstr>
  </property>
</Properties>
</file>