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AE25" w14:textId="539180C8" w:rsidR="00696D3E" w:rsidRPr="00D24BF7" w:rsidRDefault="00363910" w:rsidP="00AC5295">
      <w:pPr>
        <w:ind w:left="-142"/>
        <w:rPr>
          <w:b/>
          <w:bCs/>
          <w:color w:val="000000" w:themeColor="text1"/>
          <w:lang w:val="en-US"/>
        </w:rPr>
      </w:pPr>
      <w:r w:rsidRPr="00D24BF7">
        <w:rPr>
          <w:b/>
          <w:bCs/>
          <w:color w:val="000000" w:themeColor="text1"/>
          <w:lang w:val="en-US"/>
        </w:rPr>
        <w:t xml:space="preserve">2.1.2 </w:t>
      </w:r>
      <w:r w:rsidR="00D24BF7" w:rsidRPr="00D24BF7">
        <w:rPr>
          <w:b/>
          <w:bCs/>
          <w:color w:val="000000" w:themeColor="text1"/>
          <w:lang w:val="en-US"/>
        </w:rPr>
        <w:t>Labor</w:t>
      </w:r>
      <w:r w:rsidR="00AC5295" w:rsidRPr="00D24BF7">
        <w:rPr>
          <w:b/>
          <w:bCs/>
          <w:color w:val="000000" w:themeColor="text1"/>
          <w:lang w:val="en-US"/>
        </w:rPr>
        <w:t xml:space="preserve"> Productivity</w:t>
      </w:r>
    </w:p>
    <w:p w14:paraId="0A311140" w14:textId="67C00955" w:rsidR="00AC5295" w:rsidRPr="00D24BF7" w:rsidRDefault="0004267E" w:rsidP="00AC5295">
      <w:pPr>
        <w:ind w:left="-142"/>
        <w:jc w:val="both"/>
        <w:rPr>
          <w:color w:val="000000" w:themeColor="text1"/>
          <w:shd w:val="clear" w:color="auto" w:fill="FFFFFF"/>
        </w:rPr>
      </w:pPr>
      <w:r w:rsidRPr="00D24BF7">
        <w:rPr>
          <w:color w:val="000000" w:themeColor="text1"/>
          <w:shd w:val="clear" w:color="auto" w:fill="FFFFFF"/>
        </w:rPr>
        <w:t>Labour</w:t>
      </w:r>
      <w:r w:rsidR="00AC5295" w:rsidRPr="00D24BF7">
        <w:rPr>
          <w:color w:val="000000" w:themeColor="text1"/>
          <w:shd w:val="clear" w:color="auto" w:fill="FFFFFF"/>
        </w:rPr>
        <w:t xml:space="preserve"> productivity, also known as workforce productivity, is defined as real economic output per </w:t>
      </w:r>
      <w:r w:rsidRPr="00D24BF7">
        <w:rPr>
          <w:color w:val="000000" w:themeColor="text1"/>
          <w:shd w:val="clear" w:color="auto" w:fill="FFFFFF"/>
        </w:rPr>
        <w:t>Labour</w:t>
      </w:r>
      <w:r w:rsidR="00AC5295" w:rsidRPr="00D24BF7">
        <w:rPr>
          <w:color w:val="000000" w:themeColor="text1"/>
          <w:shd w:val="clear" w:color="auto" w:fill="FFFFFF"/>
        </w:rPr>
        <w:t xml:space="preserve"> hour. Growth in </w:t>
      </w:r>
      <w:r w:rsidRPr="00D24BF7">
        <w:rPr>
          <w:color w:val="000000" w:themeColor="text1"/>
          <w:shd w:val="clear" w:color="auto" w:fill="FFFFFF"/>
        </w:rPr>
        <w:t>Labour</w:t>
      </w:r>
      <w:r w:rsidR="00AC5295" w:rsidRPr="00D24BF7">
        <w:rPr>
          <w:color w:val="000000" w:themeColor="text1"/>
          <w:shd w:val="clear" w:color="auto" w:fill="FFFFFF"/>
        </w:rPr>
        <w:t xml:space="preserve"> productivity is measured by the change in economic output per </w:t>
      </w:r>
      <w:r w:rsidRPr="00D24BF7">
        <w:rPr>
          <w:color w:val="000000" w:themeColor="text1"/>
          <w:shd w:val="clear" w:color="auto" w:fill="FFFFFF"/>
        </w:rPr>
        <w:t>Labour</w:t>
      </w:r>
      <w:r w:rsidR="00AC5295" w:rsidRPr="00D24BF7">
        <w:rPr>
          <w:color w:val="000000" w:themeColor="text1"/>
          <w:shd w:val="clear" w:color="auto" w:fill="FFFFFF"/>
        </w:rPr>
        <w:t xml:space="preserve"> hour over a defined period. </w:t>
      </w:r>
      <w:r w:rsidRPr="00D24BF7">
        <w:rPr>
          <w:color w:val="000000" w:themeColor="text1"/>
          <w:shd w:val="clear" w:color="auto" w:fill="FFFFFF"/>
        </w:rPr>
        <w:t>Labour</w:t>
      </w:r>
      <w:r w:rsidR="00AC5295" w:rsidRPr="00D24BF7">
        <w:rPr>
          <w:color w:val="000000" w:themeColor="text1"/>
          <w:shd w:val="clear" w:color="auto" w:fill="FFFFFF"/>
        </w:rPr>
        <w:t xml:space="preserve"> productivity is directly linked to improved standards of living in the form of higher consumption. As an economy's </w:t>
      </w:r>
      <w:r w:rsidRPr="00D24BF7">
        <w:rPr>
          <w:color w:val="000000" w:themeColor="text1"/>
          <w:shd w:val="clear" w:color="auto" w:fill="FFFFFF"/>
        </w:rPr>
        <w:t>Labour</w:t>
      </w:r>
      <w:r w:rsidR="00AC5295" w:rsidRPr="00D24BF7">
        <w:rPr>
          <w:color w:val="000000" w:themeColor="text1"/>
          <w:shd w:val="clear" w:color="auto" w:fill="FFFFFF"/>
        </w:rPr>
        <w:t xml:space="preserve"> productivity grows, it produces more goods and services for the same amount of relative work. This increase in output makes it possible to consume more of the goods and services for an increasingly reasonable price.</w:t>
      </w:r>
    </w:p>
    <w:p w14:paraId="45AD9E8C" w14:textId="72220022" w:rsidR="00AC5295" w:rsidRPr="00D24BF7" w:rsidRDefault="00AC5295" w:rsidP="00AC5295">
      <w:pPr>
        <w:ind w:left="-142"/>
        <w:jc w:val="both"/>
        <w:rPr>
          <w:color w:val="000000" w:themeColor="text1"/>
          <w:shd w:val="clear" w:color="auto" w:fill="FFFFFF"/>
        </w:rPr>
      </w:pPr>
      <w:r w:rsidRPr="00D24BF7">
        <w:rPr>
          <w:color w:val="000000" w:themeColor="text1"/>
          <w:shd w:val="clear" w:color="auto" w:fill="FFFFFF"/>
        </w:rPr>
        <w:t>As per the National Sample Survey (NSS) 73rd round conducted during the period 2015-16. These included 360.41 lakh jobs in manufacturing, 387.18 lakh in trade, 362.82 lakh in other services in the rural and urban areas across the country.</w:t>
      </w:r>
    </w:p>
    <w:p w14:paraId="4B994073" w14:textId="77777777" w:rsidR="008A7AD3" w:rsidRPr="00D24BF7" w:rsidRDefault="008A7AD3" w:rsidP="008A7AD3">
      <w:pPr>
        <w:tabs>
          <w:tab w:val="left" w:pos="4536"/>
        </w:tabs>
        <w:ind w:left="-142"/>
        <w:jc w:val="both"/>
        <w:rPr>
          <w:noProof/>
          <w:color w:val="000000" w:themeColor="text1"/>
        </w:rPr>
      </w:pPr>
      <w:r w:rsidRPr="00D24BF7">
        <w:rPr>
          <w:noProof/>
          <w:color w:val="000000" w:themeColor="text1"/>
        </w:rPr>
        <w:drawing>
          <wp:inline distT="0" distB="0" distL="0" distR="0" wp14:anchorId="2CCF7CF9" wp14:editId="53E2349B">
            <wp:extent cx="3028950" cy="2209800"/>
            <wp:effectExtent l="0" t="0" r="0" b="0"/>
            <wp:docPr id="1" name="Chart 1">
              <a:extLst xmlns:a="http://schemas.openxmlformats.org/drawingml/2006/main">
                <a:ext uri="{FF2B5EF4-FFF2-40B4-BE49-F238E27FC236}">
                  <a16:creationId xmlns:a16="http://schemas.microsoft.com/office/drawing/2014/main" id="{6E814848-9672-47D1-8E22-81426941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D24BF7">
        <w:rPr>
          <w:noProof/>
          <w:color w:val="000000" w:themeColor="text1"/>
        </w:rPr>
        <w:t xml:space="preserve">     </w:t>
      </w:r>
      <w:r w:rsidRPr="00D24BF7">
        <w:rPr>
          <w:noProof/>
          <w:color w:val="000000" w:themeColor="text1"/>
        </w:rPr>
        <w:drawing>
          <wp:inline distT="0" distB="0" distL="0" distR="0" wp14:anchorId="451A8BDB" wp14:editId="2809039D">
            <wp:extent cx="2867025" cy="2190750"/>
            <wp:effectExtent l="0" t="0" r="9525" b="0"/>
            <wp:docPr id="2" name="Chart 2">
              <a:extLst xmlns:a="http://schemas.openxmlformats.org/drawingml/2006/main">
                <a:ext uri="{FF2B5EF4-FFF2-40B4-BE49-F238E27FC236}">
                  <a16:creationId xmlns:a16="http://schemas.microsoft.com/office/drawing/2014/main" id="{13F4C8BB-BEF0-4095-8976-C098D33DD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583C18" w14:textId="0BAEF74C" w:rsidR="008A7AD3" w:rsidRPr="00D24BF7" w:rsidRDefault="008A7AD3" w:rsidP="008A7AD3">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cs="Noto Serif"/>
          <w:color w:val="000000" w:themeColor="text1"/>
          <w:sz w:val="20"/>
          <w:szCs w:val="20"/>
        </w:rPr>
        <w:t xml:space="preserve">India's MSME sector comprises 63 million units and has created 111 million jobs, but this sector is plagued by low levels of registration. </w:t>
      </w:r>
      <w:r w:rsidR="00416CA6" w:rsidRPr="00D24BF7">
        <w:rPr>
          <w:rFonts w:ascii="Verdana" w:hAnsi="Verdana" w:cs="Noto Serif"/>
          <w:color w:val="000000" w:themeColor="text1"/>
          <w:sz w:val="20"/>
          <w:szCs w:val="20"/>
        </w:rPr>
        <w:t>A</w:t>
      </w:r>
      <w:r w:rsidRPr="00D24BF7">
        <w:rPr>
          <w:rFonts w:ascii="Verdana" w:hAnsi="Verdana" w:cs="Noto Serif"/>
          <w:color w:val="000000" w:themeColor="text1"/>
          <w:sz w:val="20"/>
          <w:szCs w:val="20"/>
        </w:rPr>
        <w:t>lthough MSME registrations are at a meagre 8.3 million (13% of all MSMEs), these registered MSMEs create 46.6 million (42%) jobs. Top registrations are from personal and professional services (10%), textile and apparel manufacturers (9.4%), food and beverage manufacturers (7.9%), wholesale and retail traders (6.6%), hospitality services (6.4%) and other manufacturing enterprises (6.2%).</w:t>
      </w:r>
    </w:p>
    <w:p w14:paraId="6C064BD1" w14:textId="557852DC" w:rsidR="008A7AD3" w:rsidRPr="00D24BF7" w:rsidRDefault="008A7AD3" w:rsidP="008A7AD3">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cs="Noto Serif"/>
          <w:color w:val="000000" w:themeColor="text1"/>
          <w:sz w:val="20"/>
          <w:szCs w:val="20"/>
        </w:rPr>
        <w:t>Recognising the ability of MSMEs to generate large-scale employment and contribute to the nation's GDP and exports, the government is encouraging more establishments to register as MSMEs.</w:t>
      </w:r>
    </w:p>
    <w:p w14:paraId="12CB8FE1" w14:textId="459509C0" w:rsidR="008A7AD3" w:rsidRPr="00D24BF7" w:rsidRDefault="008A7AD3" w:rsidP="008A7AD3">
      <w:pPr>
        <w:tabs>
          <w:tab w:val="left" w:pos="4536"/>
        </w:tabs>
        <w:ind w:left="-142"/>
        <w:jc w:val="both"/>
        <w:rPr>
          <w:noProof/>
          <w:color w:val="000000" w:themeColor="text1"/>
        </w:rPr>
      </w:pPr>
      <w:r w:rsidRPr="00D24BF7">
        <w:rPr>
          <w:noProof/>
          <w:color w:val="000000" w:themeColor="text1"/>
        </w:rPr>
        <w:lastRenderedPageBreak/>
        <w:drawing>
          <wp:inline distT="0" distB="0" distL="0" distR="0" wp14:anchorId="01A3E724" wp14:editId="7CDC67B0">
            <wp:extent cx="6143625" cy="2743200"/>
            <wp:effectExtent l="0" t="0" r="9525" b="0"/>
            <wp:docPr id="3" name="Chart 3">
              <a:extLst xmlns:a="http://schemas.openxmlformats.org/drawingml/2006/main">
                <a:ext uri="{FF2B5EF4-FFF2-40B4-BE49-F238E27FC236}">
                  <a16:creationId xmlns:a16="http://schemas.microsoft.com/office/drawing/2014/main" id="{9EB00F43-3FDF-4781-980B-63DA934A93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9FA4C6" w14:textId="58EDC1FA" w:rsidR="00363910" w:rsidRPr="00D24BF7" w:rsidRDefault="00363910" w:rsidP="00363910">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cs="Noto Serif"/>
          <w:color w:val="000000" w:themeColor="text1"/>
          <w:sz w:val="20"/>
          <w:szCs w:val="20"/>
        </w:rPr>
        <w:t>India Labour Productivity Growth data is updated yearly, available from Dec 1992 to Dec 2021, averaging at 5.24 %. The data reached an all-time high of 9.15 % in Dec 2016 and a record low of 1.13 % in Dec 2002. India Labour Productivity improved by 2.91 % YoY in Dec 2021, compared with a growth of 1.41 % in the previous year.</w:t>
      </w:r>
    </w:p>
    <w:p w14:paraId="343773A8" w14:textId="37BA4DCD" w:rsidR="00363910" w:rsidRPr="00D24BF7" w:rsidRDefault="00363910" w:rsidP="00363910">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noProof/>
          <w:color w:val="000000" w:themeColor="text1"/>
          <w:sz w:val="20"/>
          <w:szCs w:val="20"/>
        </w:rPr>
        <w:drawing>
          <wp:inline distT="0" distB="0" distL="0" distR="0" wp14:anchorId="0147932F" wp14:editId="2E82B9FC">
            <wp:extent cx="6010275" cy="2200275"/>
            <wp:effectExtent l="0" t="0" r="9525" b="9525"/>
            <wp:docPr id="4" name="Chart 4">
              <a:extLst xmlns:a="http://schemas.openxmlformats.org/drawingml/2006/main">
                <a:ext uri="{FF2B5EF4-FFF2-40B4-BE49-F238E27FC236}">
                  <a16:creationId xmlns:a16="http://schemas.microsoft.com/office/drawing/2014/main" id="{7A791242-F778-40C6-8C7F-AAA62F9DC7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0E99C7" w14:textId="798BB387" w:rsidR="00363910" w:rsidRPr="00D24BF7" w:rsidRDefault="001E637A" w:rsidP="00363910">
      <w:pPr>
        <w:pStyle w:val="NormalWeb"/>
        <w:shd w:val="clear" w:color="auto" w:fill="FFFFFF"/>
        <w:spacing w:before="0" w:beforeAutospacing="0" w:after="225" w:afterAutospacing="0"/>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 xml:space="preserve">2.1.3 </w:t>
      </w:r>
      <w:r w:rsidR="00784849" w:rsidRPr="00D24BF7">
        <w:rPr>
          <w:rFonts w:ascii="Verdana" w:hAnsi="Verdana" w:cs="Noto Serif"/>
          <w:b/>
          <w:bCs/>
          <w:color w:val="000000" w:themeColor="text1"/>
          <w:sz w:val="20"/>
          <w:szCs w:val="20"/>
        </w:rPr>
        <w:t>Labour Mobilization</w:t>
      </w:r>
    </w:p>
    <w:p w14:paraId="1903DFCB" w14:textId="69F1B81C" w:rsidR="00784849" w:rsidRPr="00D24BF7" w:rsidRDefault="00784849" w:rsidP="00363910">
      <w:pPr>
        <w:pStyle w:val="NormalWeb"/>
        <w:shd w:val="clear" w:color="auto" w:fill="FFFFFF"/>
        <w:spacing w:before="0" w:beforeAutospacing="0" w:after="225" w:afterAutospacing="0"/>
        <w:jc w:val="both"/>
        <w:rPr>
          <w:rFonts w:ascii="Verdana" w:hAnsi="Verdana"/>
          <w:color w:val="000000" w:themeColor="text1"/>
          <w:sz w:val="20"/>
          <w:szCs w:val="20"/>
          <w:shd w:val="clear" w:color="auto" w:fill="FFFFFF"/>
        </w:rPr>
      </w:pPr>
      <w:r w:rsidRPr="00D24BF7">
        <w:rPr>
          <w:rFonts w:ascii="Verdana" w:hAnsi="Verdana"/>
          <w:color w:val="000000" w:themeColor="text1"/>
          <w:spacing w:val="1"/>
          <w:sz w:val="20"/>
          <w:szCs w:val="20"/>
          <w:shd w:val="clear" w:color="auto" w:fill="FFFFFF"/>
        </w:rPr>
        <w:t xml:space="preserve">In 2020, there were about 900 million people (67% of total population) in the working age group of 15-64 in India, which is expected to expand by another 100 million by 2030, despite a declining trend in fertility rate. This implies that a whopping 24.3% of the incremental global workforce over the next decade </w:t>
      </w:r>
      <w:r w:rsidR="00E7030C" w:rsidRPr="00D24BF7">
        <w:rPr>
          <w:rFonts w:ascii="Verdana" w:hAnsi="Verdana"/>
          <w:color w:val="000000" w:themeColor="text1"/>
          <w:spacing w:val="1"/>
          <w:sz w:val="20"/>
          <w:szCs w:val="20"/>
          <w:shd w:val="clear" w:color="auto" w:fill="FFFFFF"/>
        </w:rPr>
        <w:t>may</w:t>
      </w:r>
      <w:r w:rsidRPr="00D24BF7">
        <w:rPr>
          <w:rFonts w:ascii="Verdana" w:hAnsi="Verdana"/>
          <w:color w:val="000000" w:themeColor="text1"/>
          <w:spacing w:val="1"/>
          <w:sz w:val="20"/>
          <w:szCs w:val="20"/>
          <w:shd w:val="clear" w:color="auto" w:fill="FFFFFF"/>
        </w:rPr>
        <w:t xml:space="preserve"> come from India</w:t>
      </w:r>
      <w:r w:rsidR="00E7030C" w:rsidRPr="00D24BF7">
        <w:rPr>
          <w:rFonts w:ascii="Verdana" w:hAnsi="Verdana"/>
          <w:color w:val="000000" w:themeColor="text1"/>
          <w:spacing w:val="1"/>
          <w:sz w:val="20"/>
          <w:szCs w:val="20"/>
          <w:shd w:val="clear" w:color="auto" w:fill="FFFFFF"/>
        </w:rPr>
        <w:t xml:space="preserve"> alone. </w:t>
      </w:r>
      <w:r w:rsidR="001E637A" w:rsidRPr="00D24BF7">
        <w:rPr>
          <w:rFonts w:ascii="Verdana" w:hAnsi="Verdana"/>
          <w:color w:val="000000" w:themeColor="text1"/>
          <w:sz w:val="20"/>
          <w:szCs w:val="20"/>
        </w:rPr>
        <w:t>As per the National Sample Survey (NSS) 73rd round conducted during the period 2015-16, MSME sector has been creating 11.10 crore jobs (360.41 lakh in Manufacturing, 0.07 lakh in Non-captive Electricity Generation and Transmission, 387.18 lakh in Trade and 362.82 lakh in Other Services) in the rural and the urban areas across the country.</w:t>
      </w:r>
    </w:p>
    <w:tbl>
      <w:tblPr>
        <w:tblW w:w="9478" w:type="dxa"/>
        <w:tblLook w:val="04A0" w:firstRow="1" w:lastRow="0" w:firstColumn="1" w:lastColumn="0" w:noHBand="0" w:noVBand="1"/>
      </w:tblPr>
      <w:tblGrid>
        <w:gridCol w:w="2611"/>
        <w:gridCol w:w="1676"/>
        <w:gridCol w:w="1676"/>
        <w:gridCol w:w="1968"/>
        <w:gridCol w:w="1547"/>
      </w:tblGrid>
      <w:tr w:rsidR="00AC6F0D" w:rsidRPr="00D24BF7" w14:paraId="03052A3E" w14:textId="77777777" w:rsidTr="00325A71">
        <w:trPr>
          <w:trHeight w:val="349"/>
        </w:trPr>
        <w:tc>
          <w:tcPr>
            <w:tcW w:w="261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397E7C"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Broad Activity Category</w:t>
            </w:r>
          </w:p>
        </w:tc>
        <w:tc>
          <w:tcPr>
            <w:tcW w:w="53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0B60BAD"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Employment in Lakhs</w:t>
            </w:r>
          </w:p>
        </w:tc>
        <w:tc>
          <w:tcPr>
            <w:tcW w:w="154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AC145"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Share %</w:t>
            </w:r>
          </w:p>
        </w:tc>
      </w:tr>
      <w:tr w:rsidR="00AC6F0D" w:rsidRPr="00D24BF7" w14:paraId="56097B92" w14:textId="77777777" w:rsidTr="00325A71">
        <w:trPr>
          <w:trHeight w:val="349"/>
        </w:trPr>
        <w:tc>
          <w:tcPr>
            <w:tcW w:w="2611" w:type="dxa"/>
            <w:vMerge/>
            <w:tcBorders>
              <w:top w:val="single" w:sz="4" w:space="0" w:color="auto"/>
              <w:left w:val="single" w:sz="4" w:space="0" w:color="auto"/>
              <w:bottom w:val="single" w:sz="4" w:space="0" w:color="auto"/>
              <w:right w:val="single" w:sz="4" w:space="0" w:color="auto"/>
            </w:tcBorders>
            <w:vAlign w:val="center"/>
            <w:hideMark/>
          </w:tcPr>
          <w:p w14:paraId="78324C83" w14:textId="77777777" w:rsidR="001E637A" w:rsidRPr="00D24BF7" w:rsidRDefault="001E637A" w:rsidP="001E637A">
            <w:pPr>
              <w:spacing w:after="0" w:line="240" w:lineRule="auto"/>
              <w:rPr>
                <w:rFonts w:eastAsia="Times New Roman" w:cs="Calibri"/>
                <w:b/>
                <w:bCs/>
                <w:color w:val="000000" w:themeColor="text1"/>
                <w:spacing w:val="0"/>
                <w:lang w:eastAsia="en-IN"/>
              </w:rPr>
            </w:pPr>
          </w:p>
        </w:tc>
        <w:tc>
          <w:tcPr>
            <w:tcW w:w="1676" w:type="dxa"/>
            <w:tcBorders>
              <w:top w:val="nil"/>
              <w:left w:val="nil"/>
              <w:bottom w:val="single" w:sz="4" w:space="0" w:color="auto"/>
              <w:right w:val="single" w:sz="4" w:space="0" w:color="auto"/>
            </w:tcBorders>
            <w:shd w:val="clear" w:color="auto" w:fill="auto"/>
            <w:noWrap/>
            <w:vAlign w:val="bottom"/>
            <w:hideMark/>
          </w:tcPr>
          <w:p w14:paraId="3CAE3313"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Rural</w:t>
            </w:r>
          </w:p>
        </w:tc>
        <w:tc>
          <w:tcPr>
            <w:tcW w:w="1676" w:type="dxa"/>
            <w:tcBorders>
              <w:top w:val="nil"/>
              <w:left w:val="nil"/>
              <w:bottom w:val="single" w:sz="4" w:space="0" w:color="auto"/>
              <w:right w:val="single" w:sz="4" w:space="0" w:color="auto"/>
            </w:tcBorders>
            <w:shd w:val="clear" w:color="auto" w:fill="auto"/>
            <w:noWrap/>
            <w:vAlign w:val="bottom"/>
            <w:hideMark/>
          </w:tcPr>
          <w:p w14:paraId="01EA2B0F"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Urban</w:t>
            </w:r>
          </w:p>
        </w:tc>
        <w:tc>
          <w:tcPr>
            <w:tcW w:w="1966" w:type="dxa"/>
            <w:tcBorders>
              <w:top w:val="nil"/>
              <w:left w:val="nil"/>
              <w:bottom w:val="single" w:sz="4" w:space="0" w:color="auto"/>
              <w:right w:val="single" w:sz="4" w:space="0" w:color="auto"/>
            </w:tcBorders>
            <w:shd w:val="clear" w:color="auto" w:fill="auto"/>
            <w:noWrap/>
            <w:vAlign w:val="bottom"/>
            <w:hideMark/>
          </w:tcPr>
          <w:p w14:paraId="0F82990C" w14:textId="77777777" w:rsidR="001E637A" w:rsidRPr="00D24BF7" w:rsidRDefault="001E637A" w:rsidP="001E637A">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Total</w:t>
            </w:r>
          </w:p>
        </w:tc>
        <w:tc>
          <w:tcPr>
            <w:tcW w:w="1547" w:type="dxa"/>
            <w:vMerge/>
            <w:tcBorders>
              <w:top w:val="single" w:sz="4" w:space="0" w:color="auto"/>
              <w:left w:val="single" w:sz="4" w:space="0" w:color="auto"/>
              <w:bottom w:val="single" w:sz="4" w:space="0" w:color="auto"/>
              <w:right w:val="single" w:sz="4" w:space="0" w:color="auto"/>
            </w:tcBorders>
            <w:vAlign w:val="center"/>
            <w:hideMark/>
          </w:tcPr>
          <w:p w14:paraId="2036167D" w14:textId="77777777" w:rsidR="001E637A" w:rsidRPr="00D24BF7" w:rsidRDefault="001E637A" w:rsidP="001E637A">
            <w:pPr>
              <w:spacing w:after="0" w:line="240" w:lineRule="auto"/>
              <w:rPr>
                <w:rFonts w:eastAsia="Times New Roman" w:cs="Calibri"/>
                <w:b/>
                <w:bCs/>
                <w:color w:val="000000" w:themeColor="text1"/>
                <w:spacing w:val="0"/>
                <w:lang w:eastAsia="en-IN"/>
              </w:rPr>
            </w:pPr>
          </w:p>
        </w:tc>
      </w:tr>
      <w:tr w:rsidR="00AC6F0D" w:rsidRPr="00D24BF7" w14:paraId="6D0938AF" w14:textId="77777777" w:rsidTr="00325A71">
        <w:trPr>
          <w:trHeight w:val="349"/>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44D678CA" w14:textId="77777777" w:rsidR="001E637A" w:rsidRPr="00D24BF7" w:rsidRDefault="001E637A" w:rsidP="001E637A">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Manufacturing</w:t>
            </w:r>
          </w:p>
        </w:tc>
        <w:tc>
          <w:tcPr>
            <w:tcW w:w="1676" w:type="dxa"/>
            <w:tcBorders>
              <w:top w:val="nil"/>
              <w:left w:val="nil"/>
              <w:bottom w:val="single" w:sz="4" w:space="0" w:color="auto"/>
              <w:right w:val="single" w:sz="4" w:space="0" w:color="auto"/>
            </w:tcBorders>
            <w:shd w:val="clear" w:color="auto" w:fill="auto"/>
            <w:noWrap/>
            <w:vAlign w:val="bottom"/>
            <w:hideMark/>
          </w:tcPr>
          <w:p w14:paraId="72E4B4AC"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186.56</w:t>
            </w:r>
          </w:p>
        </w:tc>
        <w:tc>
          <w:tcPr>
            <w:tcW w:w="1676" w:type="dxa"/>
            <w:tcBorders>
              <w:top w:val="nil"/>
              <w:left w:val="nil"/>
              <w:bottom w:val="single" w:sz="4" w:space="0" w:color="auto"/>
              <w:right w:val="single" w:sz="4" w:space="0" w:color="auto"/>
            </w:tcBorders>
            <w:shd w:val="clear" w:color="auto" w:fill="auto"/>
            <w:noWrap/>
            <w:vAlign w:val="bottom"/>
            <w:hideMark/>
          </w:tcPr>
          <w:p w14:paraId="4AF41BC7"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173.86</w:t>
            </w:r>
          </w:p>
        </w:tc>
        <w:tc>
          <w:tcPr>
            <w:tcW w:w="1966" w:type="dxa"/>
            <w:tcBorders>
              <w:top w:val="nil"/>
              <w:left w:val="nil"/>
              <w:bottom w:val="single" w:sz="4" w:space="0" w:color="auto"/>
              <w:right w:val="single" w:sz="4" w:space="0" w:color="auto"/>
            </w:tcBorders>
            <w:shd w:val="clear" w:color="auto" w:fill="auto"/>
            <w:noWrap/>
            <w:vAlign w:val="bottom"/>
            <w:hideMark/>
          </w:tcPr>
          <w:p w14:paraId="11DA6D59"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360.41</w:t>
            </w:r>
          </w:p>
        </w:tc>
        <w:tc>
          <w:tcPr>
            <w:tcW w:w="1547" w:type="dxa"/>
            <w:tcBorders>
              <w:top w:val="nil"/>
              <w:left w:val="nil"/>
              <w:bottom w:val="single" w:sz="4" w:space="0" w:color="auto"/>
              <w:right w:val="single" w:sz="4" w:space="0" w:color="auto"/>
            </w:tcBorders>
            <w:shd w:val="clear" w:color="auto" w:fill="auto"/>
            <w:noWrap/>
            <w:vAlign w:val="bottom"/>
            <w:hideMark/>
          </w:tcPr>
          <w:p w14:paraId="03A1B0D3"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32</w:t>
            </w:r>
          </w:p>
        </w:tc>
      </w:tr>
      <w:tr w:rsidR="00AC6F0D" w:rsidRPr="00D24BF7" w14:paraId="46F08DCA" w14:textId="77777777" w:rsidTr="00325A71">
        <w:trPr>
          <w:trHeight w:val="349"/>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5D08DF5" w14:textId="77777777" w:rsidR="001E637A" w:rsidRPr="00D24BF7" w:rsidRDefault="001E637A" w:rsidP="001E637A">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Electricity</w:t>
            </w:r>
          </w:p>
        </w:tc>
        <w:tc>
          <w:tcPr>
            <w:tcW w:w="1676" w:type="dxa"/>
            <w:tcBorders>
              <w:top w:val="nil"/>
              <w:left w:val="nil"/>
              <w:bottom w:val="single" w:sz="4" w:space="0" w:color="auto"/>
              <w:right w:val="single" w:sz="4" w:space="0" w:color="auto"/>
            </w:tcBorders>
            <w:shd w:val="clear" w:color="auto" w:fill="auto"/>
            <w:noWrap/>
            <w:vAlign w:val="bottom"/>
            <w:hideMark/>
          </w:tcPr>
          <w:p w14:paraId="7CE2B78F"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0.06</w:t>
            </w:r>
          </w:p>
        </w:tc>
        <w:tc>
          <w:tcPr>
            <w:tcW w:w="1676" w:type="dxa"/>
            <w:tcBorders>
              <w:top w:val="nil"/>
              <w:left w:val="nil"/>
              <w:bottom w:val="single" w:sz="4" w:space="0" w:color="auto"/>
              <w:right w:val="single" w:sz="4" w:space="0" w:color="auto"/>
            </w:tcBorders>
            <w:shd w:val="clear" w:color="auto" w:fill="auto"/>
            <w:noWrap/>
            <w:vAlign w:val="bottom"/>
            <w:hideMark/>
          </w:tcPr>
          <w:p w14:paraId="20A8D4B3"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0.02</w:t>
            </w:r>
          </w:p>
        </w:tc>
        <w:tc>
          <w:tcPr>
            <w:tcW w:w="1966" w:type="dxa"/>
            <w:tcBorders>
              <w:top w:val="nil"/>
              <w:left w:val="nil"/>
              <w:bottom w:val="single" w:sz="4" w:space="0" w:color="auto"/>
              <w:right w:val="single" w:sz="4" w:space="0" w:color="auto"/>
            </w:tcBorders>
            <w:shd w:val="clear" w:color="auto" w:fill="auto"/>
            <w:noWrap/>
            <w:vAlign w:val="bottom"/>
            <w:hideMark/>
          </w:tcPr>
          <w:p w14:paraId="07F4924D"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0.07</w:t>
            </w:r>
          </w:p>
        </w:tc>
        <w:tc>
          <w:tcPr>
            <w:tcW w:w="1547" w:type="dxa"/>
            <w:tcBorders>
              <w:top w:val="nil"/>
              <w:left w:val="nil"/>
              <w:bottom w:val="single" w:sz="4" w:space="0" w:color="auto"/>
              <w:right w:val="single" w:sz="4" w:space="0" w:color="auto"/>
            </w:tcBorders>
            <w:shd w:val="clear" w:color="auto" w:fill="auto"/>
            <w:noWrap/>
            <w:vAlign w:val="bottom"/>
            <w:hideMark/>
          </w:tcPr>
          <w:p w14:paraId="4C9D3B16"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0</w:t>
            </w:r>
          </w:p>
        </w:tc>
      </w:tr>
      <w:tr w:rsidR="00AC6F0D" w:rsidRPr="00D24BF7" w14:paraId="6F491286" w14:textId="77777777" w:rsidTr="00325A71">
        <w:trPr>
          <w:trHeight w:val="349"/>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57C4D36" w14:textId="77777777" w:rsidR="001E637A" w:rsidRPr="00D24BF7" w:rsidRDefault="001E637A" w:rsidP="001E637A">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Trade</w:t>
            </w:r>
          </w:p>
        </w:tc>
        <w:tc>
          <w:tcPr>
            <w:tcW w:w="1676" w:type="dxa"/>
            <w:tcBorders>
              <w:top w:val="nil"/>
              <w:left w:val="nil"/>
              <w:bottom w:val="single" w:sz="4" w:space="0" w:color="auto"/>
              <w:right w:val="single" w:sz="4" w:space="0" w:color="auto"/>
            </w:tcBorders>
            <w:shd w:val="clear" w:color="auto" w:fill="auto"/>
            <w:noWrap/>
            <w:vAlign w:val="bottom"/>
            <w:hideMark/>
          </w:tcPr>
          <w:p w14:paraId="5CAAC763"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160.54</w:t>
            </w:r>
          </w:p>
        </w:tc>
        <w:tc>
          <w:tcPr>
            <w:tcW w:w="1676" w:type="dxa"/>
            <w:tcBorders>
              <w:top w:val="nil"/>
              <w:left w:val="nil"/>
              <w:bottom w:val="single" w:sz="4" w:space="0" w:color="auto"/>
              <w:right w:val="single" w:sz="4" w:space="0" w:color="auto"/>
            </w:tcBorders>
            <w:shd w:val="clear" w:color="auto" w:fill="auto"/>
            <w:noWrap/>
            <w:vAlign w:val="bottom"/>
            <w:hideMark/>
          </w:tcPr>
          <w:p w14:paraId="1EB018B4"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226.54</w:t>
            </w:r>
          </w:p>
        </w:tc>
        <w:tc>
          <w:tcPr>
            <w:tcW w:w="1966" w:type="dxa"/>
            <w:tcBorders>
              <w:top w:val="nil"/>
              <w:left w:val="nil"/>
              <w:bottom w:val="single" w:sz="4" w:space="0" w:color="auto"/>
              <w:right w:val="single" w:sz="4" w:space="0" w:color="auto"/>
            </w:tcBorders>
            <w:shd w:val="clear" w:color="auto" w:fill="auto"/>
            <w:noWrap/>
            <w:vAlign w:val="bottom"/>
            <w:hideMark/>
          </w:tcPr>
          <w:p w14:paraId="64B06EE8"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387.18</w:t>
            </w:r>
          </w:p>
        </w:tc>
        <w:tc>
          <w:tcPr>
            <w:tcW w:w="1547" w:type="dxa"/>
            <w:tcBorders>
              <w:top w:val="nil"/>
              <w:left w:val="nil"/>
              <w:bottom w:val="single" w:sz="4" w:space="0" w:color="auto"/>
              <w:right w:val="single" w:sz="4" w:space="0" w:color="auto"/>
            </w:tcBorders>
            <w:shd w:val="clear" w:color="auto" w:fill="auto"/>
            <w:noWrap/>
            <w:vAlign w:val="bottom"/>
            <w:hideMark/>
          </w:tcPr>
          <w:p w14:paraId="5F9B98FD"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35</w:t>
            </w:r>
          </w:p>
        </w:tc>
      </w:tr>
      <w:tr w:rsidR="00AC6F0D" w:rsidRPr="00D24BF7" w14:paraId="57285BA2" w14:textId="77777777" w:rsidTr="00325A71">
        <w:trPr>
          <w:trHeight w:val="349"/>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1589F1B" w14:textId="77777777" w:rsidR="001E637A" w:rsidRPr="00D24BF7" w:rsidRDefault="001E637A" w:rsidP="001E637A">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lastRenderedPageBreak/>
              <w:t>Other Services</w:t>
            </w:r>
          </w:p>
        </w:tc>
        <w:tc>
          <w:tcPr>
            <w:tcW w:w="1676" w:type="dxa"/>
            <w:tcBorders>
              <w:top w:val="nil"/>
              <w:left w:val="nil"/>
              <w:bottom w:val="single" w:sz="4" w:space="0" w:color="auto"/>
              <w:right w:val="single" w:sz="4" w:space="0" w:color="auto"/>
            </w:tcBorders>
            <w:shd w:val="clear" w:color="auto" w:fill="auto"/>
            <w:noWrap/>
            <w:vAlign w:val="bottom"/>
            <w:hideMark/>
          </w:tcPr>
          <w:p w14:paraId="1FDCB58A"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150.53</w:t>
            </w:r>
          </w:p>
        </w:tc>
        <w:tc>
          <w:tcPr>
            <w:tcW w:w="1676" w:type="dxa"/>
            <w:tcBorders>
              <w:top w:val="nil"/>
              <w:left w:val="nil"/>
              <w:bottom w:val="single" w:sz="4" w:space="0" w:color="auto"/>
              <w:right w:val="single" w:sz="4" w:space="0" w:color="auto"/>
            </w:tcBorders>
            <w:shd w:val="clear" w:color="auto" w:fill="auto"/>
            <w:noWrap/>
            <w:vAlign w:val="bottom"/>
            <w:hideMark/>
          </w:tcPr>
          <w:p w14:paraId="712D23BB"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211.69</w:t>
            </w:r>
          </w:p>
        </w:tc>
        <w:tc>
          <w:tcPr>
            <w:tcW w:w="1966" w:type="dxa"/>
            <w:tcBorders>
              <w:top w:val="nil"/>
              <w:left w:val="nil"/>
              <w:bottom w:val="single" w:sz="4" w:space="0" w:color="auto"/>
              <w:right w:val="single" w:sz="4" w:space="0" w:color="auto"/>
            </w:tcBorders>
            <w:shd w:val="clear" w:color="auto" w:fill="auto"/>
            <w:noWrap/>
            <w:vAlign w:val="bottom"/>
            <w:hideMark/>
          </w:tcPr>
          <w:p w14:paraId="6BC0AA67"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362.22</w:t>
            </w:r>
          </w:p>
        </w:tc>
        <w:tc>
          <w:tcPr>
            <w:tcW w:w="1547" w:type="dxa"/>
            <w:tcBorders>
              <w:top w:val="nil"/>
              <w:left w:val="nil"/>
              <w:bottom w:val="single" w:sz="4" w:space="0" w:color="auto"/>
              <w:right w:val="single" w:sz="4" w:space="0" w:color="auto"/>
            </w:tcBorders>
            <w:shd w:val="clear" w:color="auto" w:fill="auto"/>
            <w:noWrap/>
            <w:vAlign w:val="bottom"/>
            <w:hideMark/>
          </w:tcPr>
          <w:p w14:paraId="595619CB"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33</w:t>
            </w:r>
          </w:p>
        </w:tc>
      </w:tr>
      <w:tr w:rsidR="001E637A" w:rsidRPr="00D24BF7" w14:paraId="4B7122ED" w14:textId="77777777" w:rsidTr="00325A71">
        <w:trPr>
          <w:trHeight w:val="349"/>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42503C5B" w14:textId="77777777" w:rsidR="001E637A" w:rsidRPr="00D24BF7" w:rsidRDefault="001E637A" w:rsidP="001E637A">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All</w:t>
            </w:r>
          </w:p>
        </w:tc>
        <w:tc>
          <w:tcPr>
            <w:tcW w:w="1676" w:type="dxa"/>
            <w:tcBorders>
              <w:top w:val="nil"/>
              <w:left w:val="nil"/>
              <w:bottom w:val="single" w:sz="4" w:space="0" w:color="auto"/>
              <w:right w:val="single" w:sz="4" w:space="0" w:color="auto"/>
            </w:tcBorders>
            <w:shd w:val="clear" w:color="auto" w:fill="auto"/>
            <w:noWrap/>
            <w:vAlign w:val="bottom"/>
            <w:hideMark/>
          </w:tcPr>
          <w:p w14:paraId="1B28351E"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497.78</w:t>
            </w:r>
          </w:p>
        </w:tc>
        <w:tc>
          <w:tcPr>
            <w:tcW w:w="1676" w:type="dxa"/>
            <w:tcBorders>
              <w:top w:val="nil"/>
              <w:left w:val="nil"/>
              <w:bottom w:val="single" w:sz="4" w:space="0" w:color="auto"/>
              <w:right w:val="single" w:sz="4" w:space="0" w:color="auto"/>
            </w:tcBorders>
            <w:shd w:val="clear" w:color="auto" w:fill="auto"/>
            <w:noWrap/>
            <w:vAlign w:val="bottom"/>
            <w:hideMark/>
          </w:tcPr>
          <w:p w14:paraId="708A935E"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612.1</w:t>
            </w:r>
          </w:p>
        </w:tc>
        <w:tc>
          <w:tcPr>
            <w:tcW w:w="1966" w:type="dxa"/>
            <w:tcBorders>
              <w:top w:val="nil"/>
              <w:left w:val="nil"/>
              <w:bottom w:val="single" w:sz="4" w:space="0" w:color="auto"/>
              <w:right w:val="single" w:sz="4" w:space="0" w:color="auto"/>
            </w:tcBorders>
            <w:shd w:val="clear" w:color="auto" w:fill="auto"/>
            <w:noWrap/>
            <w:vAlign w:val="bottom"/>
            <w:hideMark/>
          </w:tcPr>
          <w:p w14:paraId="0F446454"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1109.89</w:t>
            </w:r>
          </w:p>
        </w:tc>
        <w:tc>
          <w:tcPr>
            <w:tcW w:w="1547" w:type="dxa"/>
            <w:tcBorders>
              <w:top w:val="nil"/>
              <w:left w:val="nil"/>
              <w:bottom w:val="single" w:sz="4" w:space="0" w:color="auto"/>
              <w:right w:val="single" w:sz="4" w:space="0" w:color="auto"/>
            </w:tcBorders>
            <w:shd w:val="clear" w:color="auto" w:fill="auto"/>
            <w:noWrap/>
            <w:vAlign w:val="bottom"/>
            <w:hideMark/>
          </w:tcPr>
          <w:p w14:paraId="4DC9A2A3" w14:textId="77777777" w:rsidR="001E637A" w:rsidRPr="00D24BF7" w:rsidRDefault="001E637A" w:rsidP="001E637A">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100</w:t>
            </w:r>
          </w:p>
        </w:tc>
      </w:tr>
    </w:tbl>
    <w:p w14:paraId="065A53A3" w14:textId="77777777" w:rsidR="00E7030C" w:rsidRPr="00D24BF7" w:rsidRDefault="00E7030C" w:rsidP="00363910">
      <w:pPr>
        <w:pStyle w:val="NormalWeb"/>
        <w:shd w:val="clear" w:color="auto" w:fill="FFFFFF"/>
        <w:spacing w:before="0" w:beforeAutospacing="0" w:after="225" w:afterAutospacing="0"/>
        <w:jc w:val="both"/>
        <w:rPr>
          <w:rFonts w:ascii="Verdana" w:hAnsi="Verdana"/>
          <w:color w:val="000000" w:themeColor="text1"/>
          <w:sz w:val="20"/>
          <w:szCs w:val="20"/>
        </w:rPr>
      </w:pPr>
    </w:p>
    <w:p w14:paraId="5EBFCF91" w14:textId="5B9F244E" w:rsidR="008A7AD3" w:rsidRPr="00D24BF7" w:rsidRDefault="00325A71" w:rsidP="00363910">
      <w:pPr>
        <w:pStyle w:val="NormalWeb"/>
        <w:shd w:val="clear" w:color="auto" w:fill="FFFFFF"/>
        <w:spacing w:before="0" w:beforeAutospacing="0" w:after="225" w:afterAutospacing="0"/>
        <w:jc w:val="both"/>
        <w:rPr>
          <w:rFonts w:ascii="Verdana" w:hAnsi="Verdana"/>
          <w:color w:val="000000" w:themeColor="text1"/>
          <w:sz w:val="20"/>
          <w:szCs w:val="20"/>
        </w:rPr>
      </w:pPr>
      <w:r w:rsidRPr="00D24BF7">
        <w:rPr>
          <w:rFonts w:ascii="Verdana" w:hAnsi="Verdana"/>
          <w:color w:val="000000" w:themeColor="text1"/>
          <w:sz w:val="20"/>
          <w:szCs w:val="20"/>
        </w:rPr>
        <w:t xml:space="preserve">Micro sector with 630.52 lakh estimated enterprises provided employment to 1076.19 lakh persons that in turn accounts for around 97% of total employment in the sector. Small sector with 3.31 lakh and medium sector with 0.05 lakh estimated MSMEs provided employment to 31.95 lakh (2.88%) and 1.75 lakh (0.16%) persons of total employment in MSME sector, respectively. </w:t>
      </w:r>
      <w:r w:rsidR="00AC6F0D" w:rsidRPr="00D24BF7">
        <w:rPr>
          <w:rFonts w:ascii="Verdana" w:hAnsi="Verdana"/>
          <w:color w:val="000000" w:themeColor="text1"/>
          <w:sz w:val="20"/>
          <w:szCs w:val="20"/>
        </w:rPr>
        <w:t xml:space="preserve">Table below </w:t>
      </w:r>
      <w:r w:rsidRPr="00D24BF7">
        <w:rPr>
          <w:rFonts w:ascii="Verdana" w:hAnsi="Verdana"/>
          <w:color w:val="000000" w:themeColor="text1"/>
          <w:sz w:val="20"/>
          <w:szCs w:val="20"/>
        </w:rPr>
        <w:t>shows the distribution of employment sector wise in Rural and Urban Areas.</w:t>
      </w:r>
    </w:p>
    <w:tbl>
      <w:tblPr>
        <w:tblW w:w="9383" w:type="dxa"/>
        <w:tblLook w:val="04A0" w:firstRow="1" w:lastRow="0" w:firstColumn="1" w:lastColumn="0" w:noHBand="0" w:noVBand="1"/>
      </w:tblPr>
      <w:tblGrid>
        <w:gridCol w:w="1373"/>
        <w:gridCol w:w="1701"/>
        <w:gridCol w:w="1198"/>
        <w:gridCol w:w="1809"/>
        <w:gridCol w:w="1701"/>
        <w:gridCol w:w="1601"/>
      </w:tblGrid>
      <w:tr w:rsidR="00AC6F0D" w:rsidRPr="00D24BF7" w14:paraId="61DF6992" w14:textId="77777777" w:rsidTr="00325A71">
        <w:trPr>
          <w:trHeight w:val="163"/>
        </w:trPr>
        <w:tc>
          <w:tcPr>
            <w:tcW w:w="9383"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909F2" w14:textId="77777777" w:rsidR="00325A71" w:rsidRPr="00D24BF7" w:rsidRDefault="00325A71" w:rsidP="00325A71">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Employment Distribution</w:t>
            </w:r>
          </w:p>
        </w:tc>
      </w:tr>
      <w:tr w:rsidR="00AC6F0D" w:rsidRPr="00D24BF7" w14:paraId="48CF4E3D" w14:textId="77777777" w:rsidTr="00325A71">
        <w:trPr>
          <w:trHeight w:val="576"/>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14:paraId="52E1EC04"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Sector</w:t>
            </w:r>
          </w:p>
        </w:tc>
        <w:tc>
          <w:tcPr>
            <w:tcW w:w="1701" w:type="dxa"/>
            <w:tcBorders>
              <w:top w:val="nil"/>
              <w:left w:val="nil"/>
              <w:bottom w:val="single" w:sz="4" w:space="0" w:color="auto"/>
              <w:right w:val="single" w:sz="4" w:space="0" w:color="auto"/>
            </w:tcBorders>
            <w:shd w:val="clear" w:color="auto" w:fill="auto"/>
            <w:noWrap/>
            <w:vAlign w:val="bottom"/>
            <w:hideMark/>
          </w:tcPr>
          <w:p w14:paraId="40283776"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Micro</w:t>
            </w:r>
          </w:p>
        </w:tc>
        <w:tc>
          <w:tcPr>
            <w:tcW w:w="1198" w:type="dxa"/>
            <w:tcBorders>
              <w:top w:val="nil"/>
              <w:left w:val="nil"/>
              <w:bottom w:val="single" w:sz="4" w:space="0" w:color="auto"/>
              <w:right w:val="single" w:sz="4" w:space="0" w:color="auto"/>
            </w:tcBorders>
            <w:shd w:val="clear" w:color="auto" w:fill="auto"/>
            <w:noWrap/>
            <w:vAlign w:val="bottom"/>
            <w:hideMark/>
          </w:tcPr>
          <w:p w14:paraId="61E473D2"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Small</w:t>
            </w:r>
          </w:p>
        </w:tc>
        <w:tc>
          <w:tcPr>
            <w:tcW w:w="1809" w:type="dxa"/>
            <w:tcBorders>
              <w:top w:val="nil"/>
              <w:left w:val="nil"/>
              <w:bottom w:val="single" w:sz="4" w:space="0" w:color="auto"/>
              <w:right w:val="single" w:sz="4" w:space="0" w:color="auto"/>
            </w:tcBorders>
            <w:shd w:val="clear" w:color="auto" w:fill="auto"/>
            <w:noWrap/>
            <w:vAlign w:val="bottom"/>
            <w:hideMark/>
          </w:tcPr>
          <w:p w14:paraId="143C23D9"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Medium</w:t>
            </w:r>
          </w:p>
        </w:tc>
        <w:tc>
          <w:tcPr>
            <w:tcW w:w="1701" w:type="dxa"/>
            <w:tcBorders>
              <w:top w:val="nil"/>
              <w:left w:val="nil"/>
              <w:bottom w:val="single" w:sz="4" w:space="0" w:color="auto"/>
              <w:right w:val="single" w:sz="4" w:space="0" w:color="auto"/>
            </w:tcBorders>
            <w:shd w:val="clear" w:color="auto" w:fill="auto"/>
            <w:noWrap/>
            <w:vAlign w:val="bottom"/>
            <w:hideMark/>
          </w:tcPr>
          <w:p w14:paraId="6237E62A"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 xml:space="preserve">Total </w:t>
            </w:r>
          </w:p>
        </w:tc>
        <w:tc>
          <w:tcPr>
            <w:tcW w:w="1599" w:type="dxa"/>
            <w:tcBorders>
              <w:top w:val="nil"/>
              <w:left w:val="nil"/>
              <w:bottom w:val="single" w:sz="4" w:space="0" w:color="auto"/>
              <w:right w:val="single" w:sz="4" w:space="0" w:color="auto"/>
            </w:tcBorders>
            <w:shd w:val="clear" w:color="auto" w:fill="auto"/>
            <w:noWrap/>
            <w:vAlign w:val="bottom"/>
            <w:hideMark/>
          </w:tcPr>
          <w:p w14:paraId="1585CB27" w14:textId="77777777" w:rsidR="00325A71" w:rsidRPr="00D24BF7" w:rsidRDefault="00325A71" w:rsidP="00325A71">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Share%</w:t>
            </w:r>
          </w:p>
        </w:tc>
      </w:tr>
      <w:tr w:rsidR="00AC6F0D" w:rsidRPr="00D24BF7" w14:paraId="1D6AA441" w14:textId="77777777" w:rsidTr="00325A71">
        <w:trPr>
          <w:trHeight w:val="576"/>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14:paraId="53F96768"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 xml:space="preserve">Rural </w:t>
            </w:r>
          </w:p>
        </w:tc>
        <w:tc>
          <w:tcPr>
            <w:tcW w:w="1701" w:type="dxa"/>
            <w:tcBorders>
              <w:top w:val="nil"/>
              <w:left w:val="nil"/>
              <w:bottom w:val="single" w:sz="4" w:space="0" w:color="auto"/>
              <w:right w:val="single" w:sz="4" w:space="0" w:color="auto"/>
            </w:tcBorders>
            <w:shd w:val="clear" w:color="auto" w:fill="auto"/>
            <w:noWrap/>
            <w:vAlign w:val="bottom"/>
            <w:hideMark/>
          </w:tcPr>
          <w:p w14:paraId="2200D42E"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489.3</w:t>
            </w:r>
          </w:p>
        </w:tc>
        <w:tc>
          <w:tcPr>
            <w:tcW w:w="1198" w:type="dxa"/>
            <w:tcBorders>
              <w:top w:val="nil"/>
              <w:left w:val="nil"/>
              <w:bottom w:val="single" w:sz="4" w:space="0" w:color="auto"/>
              <w:right w:val="single" w:sz="4" w:space="0" w:color="auto"/>
            </w:tcBorders>
            <w:shd w:val="clear" w:color="auto" w:fill="auto"/>
            <w:noWrap/>
            <w:vAlign w:val="bottom"/>
            <w:hideMark/>
          </w:tcPr>
          <w:p w14:paraId="14D8A28F"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7.88</w:t>
            </w:r>
          </w:p>
        </w:tc>
        <w:tc>
          <w:tcPr>
            <w:tcW w:w="1809" w:type="dxa"/>
            <w:tcBorders>
              <w:top w:val="nil"/>
              <w:left w:val="nil"/>
              <w:bottom w:val="single" w:sz="4" w:space="0" w:color="auto"/>
              <w:right w:val="single" w:sz="4" w:space="0" w:color="auto"/>
            </w:tcBorders>
            <w:shd w:val="clear" w:color="auto" w:fill="auto"/>
            <w:noWrap/>
            <w:vAlign w:val="bottom"/>
            <w:hideMark/>
          </w:tcPr>
          <w:p w14:paraId="55E1041E"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0.6</w:t>
            </w:r>
          </w:p>
        </w:tc>
        <w:tc>
          <w:tcPr>
            <w:tcW w:w="1701" w:type="dxa"/>
            <w:tcBorders>
              <w:top w:val="nil"/>
              <w:left w:val="nil"/>
              <w:bottom w:val="single" w:sz="4" w:space="0" w:color="auto"/>
              <w:right w:val="single" w:sz="4" w:space="0" w:color="auto"/>
            </w:tcBorders>
            <w:shd w:val="clear" w:color="auto" w:fill="auto"/>
            <w:noWrap/>
            <w:vAlign w:val="bottom"/>
            <w:hideMark/>
          </w:tcPr>
          <w:p w14:paraId="3467C745"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497.78</w:t>
            </w:r>
          </w:p>
        </w:tc>
        <w:tc>
          <w:tcPr>
            <w:tcW w:w="1599" w:type="dxa"/>
            <w:tcBorders>
              <w:top w:val="nil"/>
              <w:left w:val="nil"/>
              <w:bottom w:val="single" w:sz="4" w:space="0" w:color="auto"/>
              <w:right w:val="single" w:sz="4" w:space="0" w:color="auto"/>
            </w:tcBorders>
            <w:shd w:val="clear" w:color="auto" w:fill="auto"/>
            <w:noWrap/>
            <w:vAlign w:val="bottom"/>
            <w:hideMark/>
          </w:tcPr>
          <w:p w14:paraId="0C5469C7"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45</w:t>
            </w:r>
          </w:p>
        </w:tc>
      </w:tr>
      <w:tr w:rsidR="00AC6F0D" w:rsidRPr="00D24BF7" w14:paraId="1EDB91ED" w14:textId="77777777" w:rsidTr="00325A71">
        <w:trPr>
          <w:trHeight w:val="576"/>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14:paraId="1F2C047E"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Urban</w:t>
            </w:r>
          </w:p>
        </w:tc>
        <w:tc>
          <w:tcPr>
            <w:tcW w:w="1701" w:type="dxa"/>
            <w:tcBorders>
              <w:top w:val="nil"/>
              <w:left w:val="nil"/>
              <w:bottom w:val="single" w:sz="4" w:space="0" w:color="auto"/>
              <w:right w:val="single" w:sz="4" w:space="0" w:color="auto"/>
            </w:tcBorders>
            <w:shd w:val="clear" w:color="auto" w:fill="auto"/>
            <w:noWrap/>
            <w:vAlign w:val="bottom"/>
            <w:hideMark/>
          </w:tcPr>
          <w:p w14:paraId="76B5160F"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586.88</w:t>
            </w:r>
          </w:p>
        </w:tc>
        <w:tc>
          <w:tcPr>
            <w:tcW w:w="1198" w:type="dxa"/>
            <w:tcBorders>
              <w:top w:val="nil"/>
              <w:left w:val="nil"/>
              <w:bottom w:val="single" w:sz="4" w:space="0" w:color="auto"/>
              <w:right w:val="single" w:sz="4" w:space="0" w:color="auto"/>
            </w:tcBorders>
            <w:shd w:val="clear" w:color="auto" w:fill="auto"/>
            <w:noWrap/>
            <w:vAlign w:val="bottom"/>
            <w:hideMark/>
          </w:tcPr>
          <w:p w14:paraId="1C1C37CF"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24.06</w:t>
            </w:r>
          </w:p>
        </w:tc>
        <w:tc>
          <w:tcPr>
            <w:tcW w:w="1809" w:type="dxa"/>
            <w:tcBorders>
              <w:top w:val="nil"/>
              <w:left w:val="nil"/>
              <w:bottom w:val="single" w:sz="4" w:space="0" w:color="auto"/>
              <w:right w:val="single" w:sz="4" w:space="0" w:color="auto"/>
            </w:tcBorders>
            <w:shd w:val="clear" w:color="auto" w:fill="auto"/>
            <w:noWrap/>
            <w:vAlign w:val="bottom"/>
            <w:hideMark/>
          </w:tcPr>
          <w:p w14:paraId="0195CB82"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1.16</w:t>
            </w:r>
          </w:p>
        </w:tc>
        <w:tc>
          <w:tcPr>
            <w:tcW w:w="1701" w:type="dxa"/>
            <w:tcBorders>
              <w:top w:val="nil"/>
              <w:left w:val="nil"/>
              <w:bottom w:val="single" w:sz="4" w:space="0" w:color="auto"/>
              <w:right w:val="single" w:sz="4" w:space="0" w:color="auto"/>
            </w:tcBorders>
            <w:shd w:val="clear" w:color="auto" w:fill="auto"/>
            <w:noWrap/>
            <w:vAlign w:val="bottom"/>
            <w:hideMark/>
          </w:tcPr>
          <w:p w14:paraId="6AACDC64"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612.1</w:t>
            </w:r>
          </w:p>
        </w:tc>
        <w:tc>
          <w:tcPr>
            <w:tcW w:w="1599" w:type="dxa"/>
            <w:tcBorders>
              <w:top w:val="nil"/>
              <w:left w:val="nil"/>
              <w:bottom w:val="single" w:sz="4" w:space="0" w:color="auto"/>
              <w:right w:val="single" w:sz="4" w:space="0" w:color="auto"/>
            </w:tcBorders>
            <w:shd w:val="clear" w:color="auto" w:fill="auto"/>
            <w:noWrap/>
            <w:vAlign w:val="bottom"/>
            <w:hideMark/>
          </w:tcPr>
          <w:p w14:paraId="048FE1F1"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55</w:t>
            </w:r>
          </w:p>
        </w:tc>
      </w:tr>
      <w:tr w:rsidR="00325A71" w:rsidRPr="00D24BF7" w14:paraId="047BDCBA" w14:textId="77777777" w:rsidTr="00325A71">
        <w:trPr>
          <w:trHeight w:val="576"/>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14:paraId="6879ED7D"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All</w:t>
            </w:r>
          </w:p>
        </w:tc>
        <w:tc>
          <w:tcPr>
            <w:tcW w:w="1701" w:type="dxa"/>
            <w:tcBorders>
              <w:top w:val="nil"/>
              <w:left w:val="nil"/>
              <w:bottom w:val="single" w:sz="4" w:space="0" w:color="auto"/>
              <w:right w:val="single" w:sz="4" w:space="0" w:color="auto"/>
            </w:tcBorders>
            <w:shd w:val="clear" w:color="auto" w:fill="auto"/>
            <w:noWrap/>
            <w:vAlign w:val="bottom"/>
            <w:hideMark/>
          </w:tcPr>
          <w:p w14:paraId="2898BDB0"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1076.18</w:t>
            </w:r>
          </w:p>
        </w:tc>
        <w:tc>
          <w:tcPr>
            <w:tcW w:w="1198" w:type="dxa"/>
            <w:tcBorders>
              <w:top w:val="nil"/>
              <w:left w:val="nil"/>
              <w:bottom w:val="single" w:sz="4" w:space="0" w:color="auto"/>
              <w:right w:val="single" w:sz="4" w:space="0" w:color="auto"/>
            </w:tcBorders>
            <w:shd w:val="clear" w:color="auto" w:fill="auto"/>
            <w:noWrap/>
            <w:vAlign w:val="bottom"/>
            <w:hideMark/>
          </w:tcPr>
          <w:p w14:paraId="06B1C449"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31.94</w:t>
            </w:r>
          </w:p>
        </w:tc>
        <w:tc>
          <w:tcPr>
            <w:tcW w:w="1809" w:type="dxa"/>
            <w:tcBorders>
              <w:top w:val="nil"/>
              <w:left w:val="nil"/>
              <w:bottom w:val="single" w:sz="4" w:space="0" w:color="auto"/>
              <w:right w:val="single" w:sz="4" w:space="0" w:color="auto"/>
            </w:tcBorders>
            <w:shd w:val="clear" w:color="auto" w:fill="auto"/>
            <w:noWrap/>
            <w:vAlign w:val="bottom"/>
            <w:hideMark/>
          </w:tcPr>
          <w:p w14:paraId="6CC3D299"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1.76</w:t>
            </w:r>
          </w:p>
        </w:tc>
        <w:tc>
          <w:tcPr>
            <w:tcW w:w="1701" w:type="dxa"/>
            <w:tcBorders>
              <w:top w:val="nil"/>
              <w:left w:val="nil"/>
              <w:bottom w:val="single" w:sz="4" w:space="0" w:color="auto"/>
              <w:right w:val="single" w:sz="4" w:space="0" w:color="auto"/>
            </w:tcBorders>
            <w:shd w:val="clear" w:color="auto" w:fill="auto"/>
            <w:noWrap/>
            <w:vAlign w:val="bottom"/>
            <w:hideMark/>
          </w:tcPr>
          <w:p w14:paraId="2F732C9F"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1109.88</w:t>
            </w:r>
          </w:p>
        </w:tc>
        <w:tc>
          <w:tcPr>
            <w:tcW w:w="1599" w:type="dxa"/>
            <w:tcBorders>
              <w:top w:val="nil"/>
              <w:left w:val="nil"/>
              <w:bottom w:val="single" w:sz="4" w:space="0" w:color="auto"/>
              <w:right w:val="single" w:sz="4" w:space="0" w:color="auto"/>
            </w:tcBorders>
            <w:shd w:val="clear" w:color="auto" w:fill="auto"/>
            <w:noWrap/>
            <w:vAlign w:val="bottom"/>
            <w:hideMark/>
          </w:tcPr>
          <w:p w14:paraId="70839F1C" w14:textId="77777777" w:rsidR="00325A71" w:rsidRPr="00D24BF7" w:rsidRDefault="00325A71" w:rsidP="00325A71">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100</w:t>
            </w:r>
          </w:p>
        </w:tc>
      </w:tr>
    </w:tbl>
    <w:p w14:paraId="7D835632" w14:textId="788CE16D" w:rsidR="00325A71" w:rsidRPr="00D24BF7" w:rsidRDefault="00325A71" w:rsidP="00363910">
      <w:pPr>
        <w:pStyle w:val="NormalWeb"/>
        <w:shd w:val="clear" w:color="auto" w:fill="FFFFFF"/>
        <w:spacing w:before="0" w:beforeAutospacing="0" w:after="225" w:afterAutospacing="0"/>
        <w:jc w:val="both"/>
        <w:rPr>
          <w:rFonts w:ascii="Verdana" w:hAnsi="Verdana" w:cs="Noto Serif"/>
          <w:color w:val="000000" w:themeColor="text1"/>
          <w:sz w:val="20"/>
          <w:szCs w:val="20"/>
        </w:rPr>
      </w:pPr>
    </w:p>
    <w:p w14:paraId="4FB0F940" w14:textId="043BC0A0" w:rsidR="00325A71" w:rsidRPr="00D24BF7" w:rsidRDefault="008B0300" w:rsidP="00363910">
      <w:pPr>
        <w:pStyle w:val="NormalWeb"/>
        <w:shd w:val="clear" w:color="auto" w:fill="FFFFFF"/>
        <w:spacing w:before="0" w:beforeAutospacing="0" w:after="225" w:afterAutospacing="0"/>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 xml:space="preserve">2.1.4 </w:t>
      </w:r>
      <w:r w:rsidR="003947A6" w:rsidRPr="00D24BF7">
        <w:rPr>
          <w:rFonts w:ascii="Verdana" w:hAnsi="Verdana" w:cs="Noto Serif"/>
          <w:b/>
          <w:bCs/>
          <w:color w:val="000000" w:themeColor="text1"/>
          <w:sz w:val="20"/>
          <w:szCs w:val="20"/>
        </w:rPr>
        <w:t>Gender Gap in Labour Force Participation Rate</w:t>
      </w:r>
    </w:p>
    <w:p w14:paraId="7EA853BC" w14:textId="1147B7D0" w:rsidR="003947A6" w:rsidRPr="00D24BF7" w:rsidRDefault="008B0300" w:rsidP="00363910">
      <w:pPr>
        <w:pStyle w:val="NormalWeb"/>
        <w:shd w:val="clear" w:color="auto" w:fill="FFFFFF"/>
        <w:spacing w:before="0" w:beforeAutospacing="0" w:after="225" w:afterAutospacing="0"/>
        <w:jc w:val="both"/>
        <w:rPr>
          <w:rFonts w:ascii="Verdana" w:hAnsi="Verdana"/>
          <w:color w:val="000000" w:themeColor="text1"/>
          <w:sz w:val="20"/>
          <w:szCs w:val="20"/>
        </w:rPr>
      </w:pPr>
      <w:r w:rsidRPr="00D24BF7">
        <w:rPr>
          <w:rFonts w:ascii="Verdana" w:hAnsi="Verdana"/>
          <w:color w:val="000000" w:themeColor="text1"/>
          <w:sz w:val="20"/>
          <w:szCs w:val="20"/>
        </w:rPr>
        <w:t>As per the National Sample Survey (NSS) 73rd round conducted during the period 2015-16, o</w:t>
      </w:r>
      <w:r w:rsidR="003947A6" w:rsidRPr="00D24BF7">
        <w:rPr>
          <w:rFonts w:ascii="Verdana" w:hAnsi="Verdana"/>
          <w:color w:val="000000" w:themeColor="text1"/>
          <w:sz w:val="20"/>
          <w:szCs w:val="20"/>
        </w:rPr>
        <w:t>ut of 1109.89 lakh employees in MSME sector, 844.68 (76%) are male employees and remaining 264.92 lakh (24%) are females.</w:t>
      </w:r>
    </w:p>
    <w:tbl>
      <w:tblPr>
        <w:tblW w:w="9455" w:type="dxa"/>
        <w:tblLook w:val="04A0" w:firstRow="1" w:lastRow="0" w:firstColumn="1" w:lastColumn="0" w:noHBand="0" w:noVBand="1"/>
      </w:tblPr>
      <w:tblGrid>
        <w:gridCol w:w="1972"/>
        <w:gridCol w:w="1931"/>
        <w:gridCol w:w="1789"/>
        <w:gridCol w:w="1789"/>
        <w:gridCol w:w="1974"/>
      </w:tblGrid>
      <w:tr w:rsidR="00AC6F0D" w:rsidRPr="00D24BF7" w14:paraId="1FCF3B3A" w14:textId="77777777" w:rsidTr="003947A6">
        <w:trPr>
          <w:trHeight w:val="512"/>
        </w:trPr>
        <w:tc>
          <w:tcPr>
            <w:tcW w:w="9455"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66107116" w14:textId="77777777" w:rsidR="003947A6" w:rsidRPr="00D24BF7" w:rsidRDefault="003947A6" w:rsidP="003947A6">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Distribution of workers by gender in rural &amp; urban areas (in lakhs)</w:t>
            </w:r>
          </w:p>
        </w:tc>
      </w:tr>
      <w:tr w:rsidR="00AC6F0D" w:rsidRPr="00D24BF7" w14:paraId="2165708D" w14:textId="77777777" w:rsidTr="003947A6">
        <w:trPr>
          <w:trHeight w:val="308"/>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14:paraId="6C1FD890" w14:textId="77777777" w:rsidR="003947A6" w:rsidRPr="00D24BF7" w:rsidRDefault="003947A6" w:rsidP="003947A6">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Sector</w:t>
            </w:r>
          </w:p>
        </w:tc>
        <w:tc>
          <w:tcPr>
            <w:tcW w:w="1931" w:type="dxa"/>
            <w:tcBorders>
              <w:top w:val="nil"/>
              <w:left w:val="nil"/>
              <w:bottom w:val="single" w:sz="4" w:space="0" w:color="auto"/>
              <w:right w:val="single" w:sz="4" w:space="0" w:color="auto"/>
            </w:tcBorders>
            <w:shd w:val="clear" w:color="auto" w:fill="auto"/>
            <w:noWrap/>
            <w:vAlign w:val="bottom"/>
            <w:hideMark/>
          </w:tcPr>
          <w:p w14:paraId="1CC40ADE" w14:textId="77777777" w:rsidR="003947A6" w:rsidRPr="00D24BF7" w:rsidRDefault="003947A6" w:rsidP="003947A6">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Female</w:t>
            </w:r>
          </w:p>
        </w:tc>
        <w:tc>
          <w:tcPr>
            <w:tcW w:w="1789" w:type="dxa"/>
            <w:tcBorders>
              <w:top w:val="nil"/>
              <w:left w:val="nil"/>
              <w:bottom w:val="single" w:sz="4" w:space="0" w:color="auto"/>
              <w:right w:val="single" w:sz="4" w:space="0" w:color="auto"/>
            </w:tcBorders>
            <w:shd w:val="clear" w:color="auto" w:fill="auto"/>
            <w:noWrap/>
            <w:vAlign w:val="bottom"/>
            <w:hideMark/>
          </w:tcPr>
          <w:p w14:paraId="27E1B88C" w14:textId="77777777" w:rsidR="003947A6" w:rsidRPr="00D24BF7" w:rsidRDefault="003947A6" w:rsidP="003947A6">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Male</w:t>
            </w:r>
          </w:p>
        </w:tc>
        <w:tc>
          <w:tcPr>
            <w:tcW w:w="1789" w:type="dxa"/>
            <w:tcBorders>
              <w:top w:val="nil"/>
              <w:left w:val="nil"/>
              <w:bottom w:val="single" w:sz="4" w:space="0" w:color="auto"/>
              <w:right w:val="single" w:sz="4" w:space="0" w:color="auto"/>
            </w:tcBorders>
            <w:shd w:val="clear" w:color="auto" w:fill="auto"/>
            <w:noWrap/>
            <w:vAlign w:val="bottom"/>
            <w:hideMark/>
          </w:tcPr>
          <w:p w14:paraId="19719ACB" w14:textId="77777777" w:rsidR="003947A6" w:rsidRPr="00D24BF7" w:rsidRDefault="003947A6" w:rsidP="003947A6">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Total</w:t>
            </w:r>
          </w:p>
        </w:tc>
        <w:tc>
          <w:tcPr>
            <w:tcW w:w="1972" w:type="dxa"/>
            <w:tcBorders>
              <w:top w:val="nil"/>
              <w:left w:val="nil"/>
              <w:bottom w:val="single" w:sz="4" w:space="0" w:color="auto"/>
              <w:right w:val="single" w:sz="4" w:space="0" w:color="auto"/>
            </w:tcBorders>
            <w:shd w:val="clear" w:color="auto" w:fill="auto"/>
            <w:noWrap/>
            <w:vAlign w:val="bottom"/>
            <w:hideMark/>
          </w:tcPr>
          <w:p w14:paraId="364C1F9C" w14:textId="77777777" w:rsidR="003947A6" w:rsidRPr="00D24BF7" w:rsidRDefault="003947A6" w:rsidP="003947A6">
            <w:pPr>
              <w:spacing w:after="0" w:line="240" w:lineRule="auto"/>
              <w:jc w:val="center"/>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Share%</w:t>
            </w:r>
          </w:p>
        </w:tc>
      </w:tr>
      <w:tr w:rsidR="00AC6F0D" w:rsidRPr="00D24BF7" w14:paraId="50BFDF64" w14:textId="77777777" w:rsidTr="003947A6">
        <w:trPr>
          <w:trHeight w:val="308"/>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14:paraId="4B9B92A2" w14:textId="77777777" w:rsidR="003947A6" w:rsidRPr="00D24BF7" w:rsidRDefault="003947A6" w:rsidP="003947A6">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Rural</w:t>
            </w:r>
          </w:p>
        </w:tc>
        <w:tc>
          <w:tcPr>
            <w:tcW w:w="1931" w:type="dxa"/>
            <w:tcBorders>
              <w:top w:val="nil"/>
              <w:left w:val="nil"/>
              <w:bottom w:val="single" w:sz="4" w:space="0" w:color="auto"/>
              <w:right w:val="single" w:sz="4" w:space="0" w:color="auto"/>
            </w:tcBorders>
            <w:shd w:val="clear" w:color="auto" w:fill="auto"/>
            <w:noWrap/>
            <w:vAlign w:val="bottom"/>
            <w:hideMark/>
          </w:tcPr>
          <w:p w14:paraId="2A5540A5"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137.5</w:t>
            </w:r>
          </w:p>
        </w:tc>
        <w:tc>
          <w:tcPr>
            <w:tcW w:w="1789" w:type="dxa"/>
            <w:tcBorders>
              <w:top w:val="nil"/>
              <w:left w:val="nil"/>
              <w:bottom w:val="single" w:sz="4" w:space="0" w:color="auto"/>
              <w:right w:val="single" w:sz="4" w:space="0" w:color="auto"/>
            </w:tcBorders>
            <w:shd w:val="clear" w:color="auto" w:fill="auto"/>
            <w:noWrap/>
            <w:vAlign w:val="bottom"/>
            <w:hideMark/>
          </w:tcPr>
          <w:p w14:paraId="239DD415"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360.15</w:t>
            </w:r>
          </w:p>
        </w:tc>
        <w:tc>
          <w:tcPr>
            <w:tcW w:w="1789" w:type="dxa"/>
            <w:tcBorders>
              <w:top w:val="nil"/>
              <w:left w:val="nil"/>
              <w:bottom w:val="single" w:sz="4" w:space="0" w:color="auto"/>
              <w:right w:val="single" w:sz="4" w:space="0" w:color="auto"/>
            </w:tcBorders>
            <w:shd w:val="clear" w:color="auto" w:fill="auto"/>
            <w:noWrap/>
            <w:vAlign w:val="bottom"/>
            <w:hideMark/>
          </w:tcPr>
          <w:p w14:paraId="78DDF0CF"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497.65</w:t>
            </w:r>
          </w:p>
        </w:tc>
        <w:tc>
          <w:tcPr>
            <w:tcW w:w="1972" w:type="dxa"/>
            <w:tcBorders>
              <w:top w:val="nil"/>
              <w:left w:val="nil"/>
              <w:bottom w:val="single" w:sz="4" w:space="0" w:color="auto"/>
              <w:right w:val="single" w:sz="4" w:space="0" w:color="auto"/>
            </w:tcBorders>
            <w:shd w:val="clear" w:color="auto" w:fill="auto"/>
            <w:noWrap/>
            <w:vAlign w:val="bottom"/>
            <w:hideMark/>
          </w:tcPr>
          <w:p w14:paraId="756C2477"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45</w:t>
            </w:r>
          </w:p>
        </w:tc>
      </w:tr>
      <w:tr w:rsidR="00AC6F0D" w:rsidRPr="00D24BF7" w14:paraId="126FB24C" w14:textId="77777777" w:rsidTr="003947A6">
        <w:trPr>
          <w:trHeight w:val="308"/>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14:paraId="6BE9EA66" w14:textId="77777777" w:rsidR="003947A6" w:rsidRPr="00D24BF7" w:rsidRDefault="003947A6" w:rsidP="003947A6">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Urban</w:t>
            </w:r>
          </w:p>
        </w:tc>
        <w:tc>
          <w:tcPr>
            <w:tcW w:w="1931" w:type="dxa"/>
            <w:tcBorders>
              <w:top w:val="nil"/>
              <w:left w:val="nil"/>
              <w:bottom w:val="single" w:sz="4" w:space="0" w:color="auto"/>
              <w:right w:val="single" w:sz="4" w:space="0" w:color="auto"/>
            </w:tcBorders>
            <w:shd w:val="clear" w:color="auto" w:fill="auto"/>
            <w:noWrap/>
            <w:vAlign w:val="bottom"/>
            <w:hideMark/>
          </w:tcPr>
          <w:p w14:paraId="07D23A8D"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127.42</w:t>
            </w:r>
          </w:p>
        </w:tc>
        <w:tc>
          <w:tcPr>
            <w:tcW w:w="1789" w:type="dxa"/>
            <w:tcBorders>
              <w:top w:val="nil"/>
              <w:left w:val="nil"/>
              <w:bottom w:val="single" w:sz="4" w:space="0" w:color="auto"/>
              <w:right w:val="single" w:sz="4" w:space="0" w:color="auto"/>
            </w:tcBorders>
            <w:shd w:val="clear" w:color="auto" w:fill="auto"/>
            <w:noWrap/>
            <w:vAlign w:val="bottom"/>
            <w:hideMark/>
          </w:tcPr>
          <w:p w14:paraId="271CF17D"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484.54</w:t>
            </w:r>
          </w:p>
        </w:tc>
        <w:tc>
          <w:tcPr>
            <w:tcW w:w="1789" w:type="dxa"/>
            <w:tcBorders>
              <w:top w:val="nil"/>
              <w:left w:val="nil"/>
              <w:bottom w:val="single" w:sz="4" w:space="0" w:color="auto"/>
              <w:right w:val="single" w:sz="4" w:space="0" w:color="auto"/>
            </w:tcBorders>
            <w:shd w:val="clear" w:color="auto" w:fill="auto"/>
            <w:noWrap/>
            <w:vAlign w:val="bottom"/>
            <w:hideMark/>
          </w:tcPr>
          <w:p w14:paraId="1C692014"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611.96</w:t>
            </w:r>
          </w:p>
        </w:tc>
        <w:tc>
          <w:tcPr>
            <w:tcW w:w="1972" w:type="dxa"/>
            <w:tcBorders>
              <w:top w:val="nil"/>
              <w:left w:val="nil"/>
              <w:bottom w:val="single" w:sz="4" w:space="0" w:color="auto"/>
              <w:right w:val="single" w:sz="4" w:space="0" w:color="auto"/>
            </w:tcBorders>
            <w:shd w:val="clear" w:color="auto" w:fill="auto"/>
            <w:noWrap/>
            <w:vAlign w:val="bottom"/>
            <w:hideMark/>
          </w:tcPr>
          <w:p w14:paraId="080066AD"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55</w:t>
            </w:r>
          </w:p>
        </w:tc>
      </w:tr>
      <w:tr w:rsidR="00AC6F0D" w:rsidRPr="00D24BF7" w14:paraId="66C94689" w14:textId="77777777" w:rsidTr="003947A6">
        <w:trPr>
          <w:trHeight w:val="308"/>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14:paraId="6217D0F8" w14:textId="77777777" w:rsidR="003947A6" w:rsidRPr="00D24BF7" w:rsidRDefault="003947A6" w:rsidP="003947A6">
            <w:pPr>
              <w:spacing w:after="0" w:line="240" w:lineRule="auto"/>
              <w:rPr>
                <w:rFonts w:eastAsia="Times New Roman" w:cs="Calibri"/>
                <w:color w:val="000000" w:themeColor="text1"/>
                <w:spacing w:val="0"/>
                <w:lang w:eastAsia="en-IN"/>
              </w:rPr>
            </w:pPr>
            <w:r w:rsidRPr="00D24BF7">
              <w:rPr>
                <w:rFonts w:eastAsia="Times New Roman" w:cs="Calibri"/>
                <w:color w:val="000000" w:themeColor="text1"/>
                <w:spacing w:val="0"/>
                <w:lang w:eastAsia="en-IN"/>
              </w:rPr>
              <w:t>Total</w:t>
            </w:r>
          </w:p>
        </w:tc>
        <w:tc>
          <w:tcPr>
            <w:tcW w:w="1931" w:type="dxa"/>
            <w:tcBorders>
              <w:top w:val="nil"/>
              <w:left w:val="nil"/>
              <w:bottom w:val="single" w:sz="4" w:space="0" w:color="auto"/>
              <w:right w:val="single" w:sz="4" w:space="0" w:color="auto"/>
            </w:tcBorders>
            <w:shd w:val="clear" w:color="auto" w:fill="auto"/>
            <w:noWrap/>
            <w:vAlign w:val="bottom"/>
            <w:hideMark/>
          </w:tcPr>
          <w:p w14:paraId="46B89F3F"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264.92</w:t>
            </w:r>
          </w:p>
        </w:tc>
        <w:tc>
          <w:tcPr>
            <w:tcW w:w="1789" w:type="dxa"/>
            <w:tcBorders>
              <w:top w:val="nil"/>
              <w:left w:val="nil"/>
              <w:bottom w:val="single" w:sz="4" w:space="0" w:color="auto"/>
              <w:right w:val="single" w:sz="4" w:space="0" w:color="auto"/>
            </w:tcBorders>
            <w:shd w:val="clear" w:color="auto" w:fill="auto"/>
            <w:noWrap/>
            <w:vAlign w:val="bottom"/>
            <w:hideMark/>
          </w:tcPr>
          <w:p w14:paraId="33C215F8"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844.68</w:t>
            </w:r>
          </w:p>
        </w:tc>
        <w:tc>
          <w:tcPr>
            <w:tcW w:w="1789" w:type="dxa"/>
            <w:tcBorders>
              <w:top w:val="nil"/>
              <w:left w:val="nil"/>
              <w:bottom w:val="single" w:sz="4" w:space="0" w:color="auto"/>
              <w:right w:val="single" w:sz="4" w:space="0" w:color="auto"/>
            </w:tcBorders>
            <w:shd w:val="clear" w:color="auto" w:fill="auto"/>
            <w:noWrap/>
            <w:vAlign w:val="bottom"/>
            <w:hideMark/>
          </w:tcPr>
          <w:p w14:paraId="37D19C04"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1109.6</w:t>
            </w:r>
          </w:p>
        </w:tc>
        <w:tc>
          <w:tcPr>
            <w:tcW w:w="1972" w:type="dxa"/>
            <w:tcBorders>
              <w:top w:val="nil"/>
              <w:left w:val="nil"/>
              <w:bottom w:val="single" w:sz="4" w:space="0" w:color="auto"/>
              <w:right w:val="single" w:sz="4" w:space="0" w:color="auto"/>
            </w:tcBorders>
            <w:shd w:val="clear" w:color="auto" w:fill="auto"/>
            <w:noWrap/>
            <w:vAlign w:val="bottom"/>
            <w:hideMark/>
          </w:tcPr>
          <w:p w14:paraId="7F5B25E2"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100</w:t>
            </w:r>
          </w:p>
        </w:tc>
      </w:tr>
      <w:tr w:rsidR="003947A6" w:rsidRPr="00D24BF7" w14:paraId="600B245D" w14:textId="77777777" w:rsidTr="003947A6">
        <w:trPr>
          <w:trHeight w:val="308"/>
        </w:trPr>
        <w:tc>
          <w:tcPr>
            <w:tcW w:w="1972" w:type="dxa"/>
            <w:tcBorders>
              <w:top w:val="nil"/>
              <w:left w:val="single" w:sz="4" w:space="0" w:color="auto"/>
              <w:bottom w:val="single" w:sz="4" w:space="0" w:color="auto"/>
              <w:right w:val="single" w:sz="4" w:space="0" w:color="auto"/>
            </w:tcBorders>
            <w:shd w:val="clear" w:color="auto" w:fill="auto"/>
            <w:noWrap/>
            <w:vAlign w:val="bottom"/>
            <w:hideMark/>
          </w:tcPr>
          <w:p w14:paraId="52A3E44A" w14:textId="77777777" w:rsidR="003947A6" w:rsidRPr="00D24BF7" w:rsidRDefault="003947A6" w:rsidP="003947A6">
            <w:pPr>
              <w:spacing w:after="0" w:line="240" w:lineRule="auto"/>
              <w:rPr>
                <w:rFonts w:eastAsia="Times New Roman" w:cs="Calibri"/>
                <w:b/>
                <w:bCs/>
                <w:color w:val="000000" w:themeColor="text1"/>
                <w:spacing w:val="0"/>
                <w:lang w:eastAsia="en-IN"/>
              </w:rPr>
            </w:pPr>
            <w:r w:rsidRPr="00D24BF7">
              <w:rPr>
                <w:rFonts w:eastAsia="Times New Roman" w:cs="Calibri"/>
                <w:b/>
                <w:bCs/>
                <w:color w:val="000000" w:themeColor="text1"/>
                <w:spacing w:val="0"/>
                <w:lang w:eastAsia="en-IN"/>
              </w:rPr>
              <w:t>Share%</w:t>
            </w:r>
          </w:p>
        </w:tc>
        <w:tc>
          <w:tcPr>
            <w:tcW w:w="1931" w:type="dxa"/>
            <w:tcBorders>
              <w:top w:val="nil"/>
              <w:left w:val="nil"/>
              <w:bottom w:val="single" w:sz="4" w:space="0" w:color="auto"/>
              <w:right w:val="single" w:sz="4" w:space="0" w:color="auto"/>
            </w:tcBorders>
            <w:shd w:val="clear" w:color="auto" w:fill="auto"/>
            <w:noWrap/>
            <w:vAlign w:val="bottom"/>
            <w:hideMark/>
          </w:tcPr>
          <w:p w14:paraId="7479C1A6"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24</w:t>
            </w:r>
          </w:p>
        </w:tc>
        <w:tc>
          <w:tcPr>
            <w:tcW w:w="1789" w:type="dxa"/>
            <w:tcBorders>
              <w:top w:val="nil"/>
              <w:left w:val="nil"/>
              <w:bottom w:val="single" w:sz="4" w:space="0" w:color="auto"/>
              <w:right w:val="single" w:sz="4" w:space="0" w:color="auto"/>
            </w:tcBorders>
            <w:shd w:val="clear" w:color="auto" w:fill="auto"/>
            <w:noWrap/>
            <w:vAlign w:val="bottom"/>
            <w:hideMark/>
          </w:tcPr>
          <w:p w14:paraId="7E06E42E"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76</w:t>
            </w:r>
          </w:p>
        </w:tc>
        <w:tc>
          <w:tcPr>
            <w:tcW w:w="1789" w:type="dxa"/>
            <w:tcBorders>
              <w:top w:val="nil"/>
              <w:left w:val="nil"/>
              <w:bottom w:val="single" w:sz="4" w:space="0" w:color="auto"/>
              <w:right w:val="single" w:sz="4" w:space="0" w:color="auto"/>
            </w:tcBorders>
            <w:shd w:val="clear" w:color="auto" w:fill="auto"/>
            <w:noWrap/>
            <w:vAlign w:val="bottom"/>
            <w:hideMark/>
          </w:tcPr>
          <w:p w14:paraId="696CA1AF" w14:textId="77777777" w:rsidR="003947A6" w:rsidRPr="00D24BF7" w:rsidRDefault="003947A6" w:rsidP="003947A6">
            <w:pPr>
              <w:spacing w:after="0" w:line="240" w:lineRule="auto"/>
              <w:jc w:val="center"/>
              <w:rPr>
                <w:rFonts w:eastAsia="Times New Roman" w:cs="Calibri"/>
                <w:color w:val="000000" w:themeColor="text1"/>
                <w:spacing w:val="0"/>
                <w:lang w:eastAsia="en-IN"/>
              </w:rPr>
            </w:pPr>
            <w:r w:rsidRPr="00D24BF7">
              <w:rPr>
                <w:rFonts w:eastAsia="Times New Roman" w:cs="Calibri"/>
                <w:color w:val="000000" w:themeColor="text1"/>
                <w:spacing w:val="0"/>
                <w:lang w:eastAsia="en-IN"/>
              </w:rPr>
              <w:t>100</w:t>
            </w:r>
          </w:p>
        </w:tc>
        <w:tc>
          <w:tcPr>
            <w:tcW w:w="1972" w:type="dxa"/>
            <w:tcBorders>
              <w:top w:val="nil"/>
              <w:left w:val="nil"/>
              <w:bottom w:val="single" w:sz="4" w:space="0" w:color="auto"/>
              <w:right w:val="single" w:sz="4" w:space="0" w:color="auto"/>
            </w:tcBorders>
            <w:shd w:val="clear" w:color="auto" w:fill="auto"/>
            <w:noWrap/>
            <w:vAlign w:val="bottom"/>
            <w:hideMark/>
          </w:tcPr>
          <w:p w14:paraId="0783A2D9" w14:textId="3C7E0DD6" w:rsidR="003947A6" w:rsidRPr="00D24BF7" w:rsidRDefault="003947A6" w:rsidP="003947A6">
            <w:pPr>
              <w:spacing w:after="0" w:line="240" w:lineRule="auto"/>
              <w:jc w:val="center"/>
              <w:rPr>
                <w:rFonts w:eastAsia="Times New Roman" w:cs="Calibri"/>
                <w:color w:val="000000" w:themeColor="text1"/>
                <w:spacing w:val="0"/>
                <w:lang w:eastAsia="en-IN"/>
              </w:rPr>
            </w:pPr>
          </w:p>
        </w:tc>
      </w:tr>
    </w:tbl>
    <w:p w14:paraId="707A550E" w14:textId="20C82920" w:rsidR="003947A6" w:rsidRPr="00D24BF7" w:rsidRDefault="003947A6" w:rsidP="00363910">
      <w:pPr>
        <w:pStyle w:val="NormalWeb"/>
        <w:shd w:val="clear" w:color="auto" w:fill="FFFFFF"/>
        <w:spacing w:before="0" w:beforeAutospacing="0" w:after="225" w:afterAutospacing="0"/>
        <w:jc w:val="both"/>
        <w:rPr>
          <w:rFonts w:ascii="Verdana" w:hAnsi="Verdana" w:cs="Noto Serif"/>
          <w:color w:val="000000" w:themeColor="text1"/>
          <w:sz w:val="20"/>
          <w:szCs w:val="20"/>
        </w:rPr>
      </w:pPr>
    </w:p>
    <w:p w14:paraId="34ABA6BC" w14:textId="77777777" w:rsidR="00936C93" w:rsidRPr="00D24BF7" w:rsidRDefault="00936C93" w:rsidP="00936C93">
      <w:pPr>
        <w:pStyle w:val="NormalWeb"/>
        <w:shd w:val="clear" w:color="auto" w:fill="FFFFFF"/>
        <w:spacing w:before="0" w:beforeAutospacing="0" w:after="0" w:afterAutospacing="0"/>
        <w:jc w:val="both"/>
        <w:rPr>
          <w:rFonts w:ascii="Verdana" w:hAnsi="Verdana"/>
          <w:color w:val="000000" w:themeColor="text1"/>
          <w:sz w:val="20"/>
          <w:szCs w:val="20"/>
        </w:rPr>
      </w:pPr>
      <w:r w:rsidRPr="00D24BF7">
        <w:rPr>
          <w:rFonts w:ascii="Verdana" w:hAnsi="Verdana"/>
          <w:color w:val="000000" w:themeColor="text1"/>
          <w:sz w:val="20"/>
          <w:szCs w:val="20"/>
          <w:shd w:val="clear" w:color="auto" w:fill="FFFFFF"/>
        </w:rPr>
        <w:t>The period between 2011 and 2019 has seen the percentage of female labour in the agricultural sector fall from 62% to 54.7%. The percentage of women employed in industrial work during this period also saw a marginal decline, from 19.9% to 19%. Although the same period also saw the share of women workers in the services sector rise significantly, this growth has largely been confined to urban areas. </w:t>
      </w:r>
      <w:r w:rsidRPr="00D24BF7">
        <w:rPr>
          <w:rFonts w:ascii="Verdana" w:hAnsi="Verdana"/>
          <w:color w:val="000000" w:themeColor="text1"/>
          <w:sz w:val="20"/>
          <w:szCs w:val="20"/>
        </w:rPr>
        <w:t>Thirty per cent of women in rural India are performing low-skilled occupations, compared to 19% in urban areas. Within the agricultural sector, over 71% of women are engaged in low productive activities. </w:t>
      </w:r>
    </w:p>
    <w:p w14:paraId="38284BAB" w14:textId="77777777" w:rsidR="00936C93" w:rsidRPr="00D24BF7" w:rsidRDefault="00936C93" w:rsidP="00936C93">
      <w:pPr>
        <w:shd w:val="clear" w:color="auto" w:fill="FFFFFF"/>
        <w:spacing w:after="0" w:line="240" w:lineRule="auto"/>
        <w:jc w:val="both"/>
        <w:rPr>
          <w:rFonts w:eastAsia="Times New Roman" w:cs="Times New Roman"/>
          <w:color w:val="000000" w:themeColor="text1"/>
          <w:spacing w:val="0"/>
          <w:lang w:eastAsia="en-IN"/>
        </w:rPr>
      </w:pPr>
      <w:r w:rsidRPr="00D24BF7">
        <w:rPr>
          <w:rFonts w:eastAsia="Times New Roman" w:cs="Times New Roman"/>
          <w:color w:val="000000" w:themeColor="text1"/>
          <w:spacing w:val="0"/>
          <w:lang w:eastAsia="en-IN"/>
        </w:rPr>
        <w:t>The occupational structure of women’s workforce shows that most women continue to undertake marginal and vulnerable jobs, and that more than half work as self-employed. Of those who are engaged in self-employment, most are unpaid helpers and contributing family workers.</w:t>
      </w:r>
    </w:p>
    <w:p w14:paraId="39DE6F7E" w14:textId="3DB1084C" w:rsidR="00936C93" w:rsidRPr="00D24BF7" w:rsidRDefault="00936C93" w:rsidP="00936C93">
      <w:pPr>
        <w:pStyle w:val="NormalWeb"/>
        <w:shd w:val="clear" w:color="auto" w:fill="FFFFFF"/>
        <w:spacing w:before="0" w:beforeAutospacing="0" w:after="225" w:afterAutospacing="0"/>
        <w:jc w:val="both"/>
        <w:rPr>
          <w:rFonts w:ascii="Verdana" w:hAnsi="Verdana"/>
          <w:color w:val="000000" w:themeColor="text1"/>
          <w:sz w:val="20"/>
          <w:szCs w:val="20"/>
          <w:shd w:val="clear" w:color="auto" w:fill="FFFFFF"/>
        </w:rPr>
      </w:pPr>
      <w:r w:rsidRPr="00D24BF7">
        <w:rPr>
          <w:rFonts w:ascii="Verdana" w:hAnsi="Verdana"/>
          <w:color w:val="000000" w:themeColor="text1"/>
          <w:sz w:val="20"/>
          <w:szCs w:val="20"/>
          <w:shd w:val="clear" w:color="auto" w:fill="FFFFFF"/>
        </w:rPr>
        <w:t>For urban women, marriage reduces the likelihood of their participation in the workforce by 17%. The presence of young children is also associated with lower participation, as women in households with children less than five years of age are less likely to participate in the labour force across rural and urban areas.</w:t>
      </w:r>
    </w:p>
    <w:p w14:paraId="324802CB" w14:textId="77777777" w:rsidR="00BA0423" w:rsidRPr="00D24BF7" w:rsidRDefault="00BA0423" w:rsidP="00936C93">
      <w:pPr>
        <w:pStyle w:val="NormalWeb"/>
        <w:shd w:val="clear" w:color="auto" w:fill="FFFFFF"/>
        <w:spacing w:before="0" w:beforeAutospacing="0" w:after="225" w:afterAutospacing="0"/>
        <w:jc w:val="both"/>
        <w:rPr>
          <w:rFonts w:ascii="Verdana" w:hAnsi="Verdana"/>
          <w:sz w:val="20"/>
          <w:szCs w:val="20"/>
        </w:rPr>
      </w:pPr>
      <w:r w:rsidRPr="00D24BF7">
        <w:rPr>
          <w:rFonts w:ascii="Verdana" w:hAnsi="Verdana"/>
          <w:sz w:val="20"/>
          <w:szCs w:val="20"/>
        </w:rPr>
        <w:lastRenderedPageBreak/>
        <w:t xml:space="preserve">The total number of establishments owned by women entrepreneurs was 8,050,819 out of which 5,243,044 constituting about 65.12 % of the total establishments were in rural areas and the remaining 2,807,775 (34.88%) </w:t>
      </w:r>
      <w:proofErr w:type="gramStart"/>
      <w:r w:rsidRPr="00D24BF7">
        <w:rPr>
          <w:rFonts w:ascii="Verdana" w:hAnsi="Verdana"/>
          <w:sz w:val="20"/>
          <w:szCs w:val="20"/>
        </w:rPr>
        <w:t>were located in</w:t>
      </w:r>
      <w:proofErr w:type="gramEnd"/>
      <w:r w:rsidRPr="00D24BF7">
        <w:rPr>
          <w:rFonts w:ascii="Verdana" w:hAnsi="Verdana"/>
          <w:sz w:val="20"/>
          <w:szCs w:val="20"/>
        </w:rPr>
        <w:t xml:space="preserve"> urban areas. Further, about 6,697,354 establishments i.e., 83.19% operated without hired workers and 1,353,465 (16.31%) operated with hired workers. The percentage of establishments without hired workers in rural areas was 86.85% whereas, in urban areas, it was 76.33%. The number of women establishments involved in agricultural activities was 2,761,767 constituting 34.3 % of the total number of establishments owned by women.</w:t>
      </w:r>
    </w:p>
    <w:p w14:paraId="4B982D17" w14:textId="01FB8811" w:rsidR="00BA0423" w:rsidRPr="00D24BF7" w:rsidRDefault="00BA0423" w:rsidP="00936C93">
      <w:pPr>
        <w:pStyle w:val="NormalWeb"/>
        <w:shd w:val="clear" w:color="auto" w:fill="FFFFFF"/>
        <w:spacing w:before="0" w:beforeAutospacing="0" w:after="225" w:afterAutospacing="0"/>
        <w:jc w:val="both"/>
        <w:rPr>
          <w:rFonts w:ascii="Verdana" w:hAnsi="Verdana"/>
          <w:sz w:val="20"/>
          <w:szCs w:val="20"/>
        </w:rPr>
      </w:pPr>
      <w:r w:rsidRPr="00D24BF7">
        <w:rPr>
          <w:rFonts w:ascii="Verdana" w:hAnsi="Verdana"/>
          <w:sz w:val="20"/>
          <w:szCs w:val="20"/>
        </w:rPr>
        <w:t>Collectively, these women-owned enterprises contribute 3.09 percent of industrial output and employ over 8 million people. Approximately, 78 percent of women enterprises belong to the services sector, which is followed by manufacturing. Women entrepreneurship is largely skewed towards smaller sized firms, as almost 98 percent of 12 women-owned businesses are micro-enterprises. As with the broader MSME sector, access to formal finance is a key barrier to the growth of women-owned businesses, leading to over 90 percent of finance requirements being met through informal sources.</w:t>
      </w:r>
    </w:p>
    <w:p w14:paraId="299FB55D" w14:textId="1CBD27AF" w:rsidR="00BA0423" w:rsidRPr="00D24BF7" w:rsidRDefault="00BA0423" w:rsidP="00936C93">
      <w:pPr>
        <w:pStyle w:val="NormalWeb"/>
        <w:shd w:val="clear" w:color="auto" w:fill="FFFFFF"/>
        <w:spacing w:before="0" w:beforeAutospacing="0" w:after="225" w:afterAutospacing="0"/>
        <w:jc w:val="both"/>
        <w:rPr>
          <w:rFonts w:ascii="Verdana" w:hAnsi="Verdana"/>
          <w:color w:val="000000" w:themeColor="text1"/>
          <w:sz w:val="20"/>
          <w:szCs w:val="20"/>
          <w:shd w:val="clear" w:color="auto" w:fill="FFFFFF"/>
        </w:rPr>
      </w:pPr>
      <w:r w:rsidRPr="00D24BF7">
        <w:rPr>
          <w:rFonts w:ascii="Verdana" w:hAnsi="Verdana"/>
          <w:sz w:val="20"/>
          <w:szCs w:val="20"/>
        </w:rPr>
        <w:t>Female entrepreneurs with workers are most active in services, followed by manufacturing and trade. A more detailed sectoral breakdown shows that there are large differences between men’s and women’s activities. Apart from retail trade, which is the most important sector for both females and males, nearly half of female entrepreneurs with workers operate in traditionally female sectors. These are wearing apparel, education, health, and other personal services (beauty treatment, hairdressing, cleaning of textile, household maintenance etc.). In contrast, male entrepreneurs with workers are dispersed in more diverse activities.</w:t>
      </w:r>
    </w:p>
    <w:p w14:paraId="696E73FD" w14:textId="1832B478" w:rsidR="00B72D92" w:rsidRPr="00D24BF7" w:rsidRDefault="003E08FF" w:rsidP="00936C93">
      <w:pPr>
        <w:pStyle w:val="NormalWeb"/>
        <w:shd w:val="clear" w:color="auto" w:fill="FFFFFF"/>
        <w:spacing w:before="0" w:beforeAutospacing="0" w:after="225" w:afterAutospacing="0"/>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 xml:space="preserve">2.1.5 Regional Disparities </w:t>
      </w:r>
    </w:p>
    <w:p w14:paraId="11612665" w14:textId="77777777" w:rsidR="003C46C1" w:rsidRPr="00D24BF7" w:rsidRDefault="00806FB0" w:rsidP="003C46C1">
      <w:pPr>
        <w:pStyle w:val="NormalWeb"/>
        <w:shd w:val="clear" w:color="auto" w:fill="FFFFFF"/>
        <w:spacing w:before="0" w:beforeAutospacing="0" w:after="225" w:afterAutospacing="0"/>
        <w:jc w:val="both"/>
        <w:rPr>
          <w:rFonts w:ascii="Verdana" w:hAnsi="Verdana"/>
          <w:sz w:val="20"/>
          <w:szCs w:val="20"/>
        </w:rPr>
      </w:pPr>
      <w:r w:rsidRPr="00D24BF7">
        <w:rPr>
          <w:rFonts w:ascii="Verdana" w:hAnsi="Verdana" w:cs="Noto Serif"/>
          <w:color w:val="000000" w:themeColor="text1"/>
          <w:sz w:val="20"/>
          <w:szCs w:val="20"/>
        </w:rPr>
        <w:t>With over 1400 million peoples spread across the length and breadth of the country; India stands as the 2</w:t>
      </w:r>
      <w:r w:rsidRPr="00D24BF7">
        <w:rPr>
          <w:rFonts w:ascii="Verdana" w:hAnsi="Verdana" w:cs="Noto Serif"/>
          <w:color w:val="000000" w:themeColor="text1"/>
          <w:sz w:val="20"/>
          <w:szCs w:val="20"/>
          <w:vertAlign w:val="superscript"/>
        </w:rPr>
        <w:t>nd</w:t>
      </w:r>
      <w:r w:rsidRPr="00D24BF7">
        <w:rPr>
          <w:rFonts w:ascii="Verdana" w:hAnsi="Verdana" w:cs="Noto Serif"/>
          <w:color w:val="000000" w:themeColor="text1"/>
          <w:sz w:val="20"/>
          <w:szCs w:val="20"/>
        </w:rPr>
        <w:t xml:space="preserve"> most populous country in the world only next to China. A strong heterogeneity can be seen in terms of the changing customs, regional balances, and traditions at every 200 Miles across India.</w:t>
      </w:r>
      <w:r w:rsidR="00A823B4" w:rsidRPr="00D24BF7">
        <w:rPr>
          <w:rFonts w:ascii="Verdana" w:hAnsi="Verdana" w:cs="Noto Serif"/>
          <w:color w:val="000000" w:themeColor="text1"/>
          <w:sz w:val="20"/>
          <w:szCs w:val="20"/>
        </w:rPr>
        <w:t xml:space="preserve"> Mumbai, Delhi NCR, Kolkata, Chennai being the most populous cities across India. Mumbai is also known as the Financial Capital of the country and witnesses one of the biggest tax contributions made single handed from a major city. </w:t>
      </w:r>
      <w:r w:rsidR="003C46C1" w:rsidRPr="00D24BF7">
        <w:rPr>
          <w:rFonts w:ascii="Verdana" w:hAnsi="Verdana"/>
          <w:sz w:val="20"/>
          <w:szCs w:val="20"/>
        </w:rPr>
        <w:t xml:space="preserve">The National Capital Region of Delhi has emerged as an economic powerhouse with rapid industrial growth along with adjoining areas of Punjab, Uttar Pradesh, </w:t>
      </w:r>
      <w:proofErr w:type="gramStart"/>
      <w:r w:rsidR="003C46C1" w:rsidRPr="00D24BF7">
        <w:rPr>
          <w:rFonts w:ascii="Verdana" w:hAnsi="Verdana"/>
          <w:sz w:val="20"/>
          <w:szCs w:val="20"/>
        </w:rPr>
        <w:t>Haryana</w:t>
      </w:r>
      <w:proofErr w:type="gramEnd"/>
      <w:r w:rsidR="003C46C1" w:rsidRPr="00D24BF7">
        <w:rPr>
          <w:rFonts w:ascii="Verdana" w:hAnsi="Verdana"/>
          <w:sz w:val="20"/>
          <w:szCs w:val="20"/>
        </w:rPr>
        <w:t xml:space="preserve"> and Rajasthan. Chandigarh has the highest per-capita State Domestic Product (SDP) of any Indian union territory. New Delhi, apart from being the capital of the country, boasts a large sourcing hub, large industrial/ manufacturing hubs and is known as the unofficial capital for design and creative industry in the country. Chandigarh, </w:t>
      </w:r>
      <w:proofErr w:type="gramStart"/>
      <w:r w:rsidR="003C46C1" w:rsidRPr="00D24BF7">
        <w:rPr>
          <w:rFonts w:ascii="Verdana" w:hAnsi="Verdana"/>
          <w:sz w:val="20"/>
          <w:szCs w:val="20"/>
        </w:rPr>
        <w:t>Jaipur</w:t>
      </w:r>
      <w:proofErr w:type="gramEnd"/>
      <w:r w:rsidR="003C46C1" w:rsidRPr="00D24BF7">
        <w:rPr>
          <w:rFonts w:ascii="Verdana" w:hAnsi="Verdana"/>
          <w:sz w:val="20"/>
          <w:szCs w:val="20"/>
        </w:rPr>
        <w:t xml:space="preserve"> and Lucknow are now major hubs for business, trade, capital (money) and talent for entrepreneurship apart from Delhi.</w:t>
      </w:r>
    </w:p>
    <w:p w14:paraId="6C422127" w14:textId="6570010B" w:rsidR="00806FB0" w:rsidRPr="00D24BF7" w:rsidRDefault="00A823B4" w:rsidP="00936C93">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cs="Arial"/>
          <w:color w:val="202122"/>
          <w:sz w:val="20"/>
          <w:szCs w:val="20"/>
          <w:shd w:val="clear" w:color="auto" w:fill="FFFFFF"/>
        </w:rPr>
        <w:t>Given its natural rate of population growth and aging characteristics, India is adding about 13 million new workers every year to its labour pool. India's economy has been adding about 8 million new jobs every year predominantly in low paying, unorganised sector. The remaining 5 million youth joining the ranks of poorly paid partial employment, casual labour pool for temporary infrastructure and real estate construction jobs, or in many cases, being unemployed.</w:t>
      </w:r>
    </w:p>
    <w:tbl>
      <w:tblPr>
        <w:tblW w:w="9465" w:type="dxa"/>
        <w:tblLook w:val="04A0" w:firstRow="1" w:lastRow="0" w:firstColumn="1" w:lastColumn="0" w:noHBand="0" w:noVBand="1"/>
      </w:tblPr>
      <w:tblGrid>
        <w:gridCol w:w="721"/>
        <w:gridCol w:w="1460"/>
        <w:gridCol w:w="1968"/>
        <w:gridCol w:w="2191"/>
        <w:gridCol w:w="1746"/>
        <w:gridCol w:w="1379"/>
      </w:tblGrid>
      <w:tr w:rsidR="00E1662A" w:rsidRPr="00D24BF7" w14:paraId="636A8F6D" w14:textId="77777777" w:rsidTr="00A823B4">
        <w:trPr>
          <w:trHeight w:val="874"/>
        </w:trPr>
        <w:tc>
          <w:tcPr>
            <w:tcW w:w="726" w:type="dxa"/>
            <w:vMerge w:val="restart"/>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2B1B20C0" w14:textId="77777777" w:rsidR="00E1662A" w:rsidRPr="00D24BF7" w:rsidRDefault="00E1662A" w:rsidP="00E1662A">
            <w:pPr>
              <w:spacing w:after="0" w:line="240" w:lineRule="auto"/>
              <w:jc w:val="center"/>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SI No</w:t>
            </w:r>
          </w:p>
        </w:tc>
        <w:tc>
          <w:tcPr>
            <w:tcW w:w="1396" w:type="dxa"/>
            <w:vMerge w:val="restart"/>
            <w:tcBorders>
              <w:top w:val="single" w:sz="4" w:space="0" w:color="auto"/>
              <w:left w:val="single" w:sz="4" w:space="0" w:color="auto"/>
              <w:bottom w:val="single" w:sz="4" w:space="0" w:color="auto"/>
              <w:right w:val="single" w:sz="4" w:space="0" w:color="auto"/>
            </w:tcBorders>
            <w:shd w:val="clear" w:color="auto" w:fill="7030A0"/>
            <w:noWrap/>
            <w:vAlign w:val="center"/>
            <w:hideMark/>
          </w:tcPr>
          <w:p w14:paraId="4AC4213E" w14:textId="77777777" w:rsidR="00E1662A" w:rsidRPr="00D24BF7" w:rsidRDefault="00E1662A" w:rsidP="00E1662A">
            <w:pPr>
              <w:spacing w:after="0" w:line="240" w:lineRule="auto"/>
              <w:jc w:val="center"/>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State/UT</w:t>
            </w:r>
          </w:p>
        </w:tc>
        <w:tc>
          <w:tcPr>
            <w:tcW w:w="4193" w:type="dxa"/>
            <w:gridSpan w:val="2"/>
            <w:tcBorders>
              <w:top w:val="single" w:sz="4" w:space="0" w:color="auto"/>
              <w:left w:val="nil"/>
              <w:bottom w:val="single" w:sz="4" w:space="0" w:color="auto"/>
              <w:right w:val="single" w:sz="4" w:space="0" w:color="auto"/>
            </w:tcBorders>
            <w:shd w:val="clear" w:color="auto" w:fill="7030A0"/>
            <w:noWrap/>
            <w:vAlign w:val="center"/>
            <w:hideMark/>
          </w:tcPr>
          <w:p w14:paraId="613C29E7" w14:textId="77777777" w:rsidR="00E1662A" w:rsidRPr="00D24BF7" w:rsidRDefault="00E1662A" w:rsidP="00E1662A">
            <w:pPr>
              <w:spacing w:after="0" w:line="240" w:lineRule="auto"/>
              <w:jc w:val="center"/>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NSS 73rd Round</w:t>
            </w:r>
          </w:p>
        </w:tc>
        <w:tc>
          <w:tcPr>
            <w:tcW w:w="3150" w:type="dxa"/>
            <w:gridSpan w:val="2"/>
            <w:tcBorders>
              <w:top w:val="single" w:sz="4" w:space="0" w:color="auto"/>
              <w:left w:val="nil"/>
              <w:bottom w:val="single" w:sz="4" w:space="0" w:color="auto"/>
              <w:right w:val="single" w:sz="4" w:space="0" w:color="auto"/>
            </w:tcBorders>
            <w:shd w:val="clear" w:color="auto" w:fill="7030A0"/>
            <w:vAlign w:val="bottom"/>
            <w:hideMark/>
          </w:tcPr>
          <w:p w14:paraId="5C206FB6" w14:textId="77777777" w:rsidR="00E1662A" w:rsidRPr="00D24BF7" w:rsidRDefault="00E1662A" w:rsidP="00E1662A">
            <w:pPr>
              <w:spacing w:after="0" w:line="240" w:lineRule="auto"/>
              <w:jc w:val="center"/>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Fourth All India Census of MSME and 5th Economic Census</w:t>
            </w:r>
          </w:p>
        </w:tc>
      </w:tr>
      <w:tr w:rsidR="00E1662A" w:rsidRPr="00D24BF7" w14:paraId="7DE9E548" w14:textId="77777777" w:rsidTr="00A823B4">
        <w:trPr>
          <w:trHeight w:val="296"/>
        </w:trPr>
        <w:tc>
          <w:tcPr>
            <w:tcW w:w="726" w:type="dxa"/>
            <w:vMerge/>
            <w:tcBorders>
              <w:top w:val="single" w:sz="4" w:space="0" w:color="auto"/>
              <w:left w:val="single" w:sz="4" w:space="0" w:color="auto"/>
              <w:bottom w:val="single" w:sz="4" w:space="0" w:color="auto"/>
              <w:right w:val="single" w:sz="4" w:space="0" w:color="auto"/>
            </w:tcBorders>
            <w:shd w:val="clear" w:color="auto" w:fill="7030A0"/>
            <w:vAlign w:val="center"/>
            <w:hideMark/>
          </w:tcPr>
          <w:p w14:paraId="0A0D4189" w14:textId="77777777" w:rsidR="00E1662A" w:rsidRPr="00D24BF7" w:rsidRDefault="00E1662A" w:rsidP="00E1662A">
            <w:pPr>
              <w:spacing w:after="0" w:line="240" w:lineRule="auto"/>
              <w:rPr>
                <w:rFonts w:eastAsia="Times New Roman" w:cs="Calibri"/>
                <w:b/>
                <w:bCs/>
                <w:color w:val="FFFFFF" w:themeColor="background1"/>
                <w:spacing w:val="0"/>
                <w:lang w:eastAsia="en-IN"/>
              </w:rPr>
            </w:pPr>
          </w:p>
        </w:tc>
        <w:tc>
          <w:tcPr>
            <w:tcW w:w="1396" w:type="dxa"/>
            <w:vMerge/>
            <w:tcBorders>
              <w:top w:val="single" w:sz="4" w:space="0" w:color="auto"/>
              <w:left w:val="single" w:sz="4" w:space="0" w:color="auto"/>
              <w:bottom w:val="single" w:sz="4" w:space="0" w:color="auto"/>
              <w:right w:val="single" w:sz="4" w:space="0" w:color="auto"/>
            </w:tcBorders>
            <w:shd w:val="clear" w:color="auto" w:fill="7030A0"/>
            <w:vAlign w:val="center"/>
            <w:hideMark/>
          </w:tcPr>
          <w:p w14:paraId="3997DEB1" w14:textId="77777777" w:rsidR="00E1662A" w:rsidRPr="00D24BF7" w:rsidRDefault="00E1662A" w:rsidP="00E1662A">
            <w:pPr>
              <w:spacing w:after="0" w:line="240" w:lineRule="auto"/>
              <w:rPr>
                <w:rFonts w:eastAsia="Times New Roman" w:cs="Calibri"/>
                <w:b/>
                <w:bCs/>
                <w:color w:val="FFFFFF" w:themeColor="background1"/>
                <w:spacing w:val="0"/>
                <w:lang w:eastAsia="en-IN"/>
              </w:rPr>
            </w:pPr>
          </w:p>
        </w:tc>
        <w:tc>
          <w:tcPr>
            <w:tcW w:w="1984" w:type="dxa"/>
            <w:tcBorders>
              <w:top w:val="nil"/>
              <w:left w:val="nil"/>
              <w:bottom w:val="single" w:sz="4" w:space="0" w:color="auto"/>
              <w:right w:val="single" w:sz="4" w:space="0" w:color="auto"/>
            </w:tcBorders>
            <w:shd w:val="clear" w:color="auto" w:fill="7030A0"/>
            <w:noWrap/>
            <w:vAlign w:val="bottom"/>
            <w:hideMark/>
          </w:tcPr>
          <w:p w14:paraId="1246EF71" w14:textId="77777777" w:rsidR="00E1662A" w:rsidRPr="00D24BF7" w:rsidRDefault="00E1662A" w:rsidP="00E1662A">
            <w:pPr>
              <w:spacing w:after="0" w:line="240" w:lineRule="auto"/>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Number in Lakhs</w:t>
            </w:r>
          </w:p>
        </w:tc>
        <w:tc>
          <w:tcPr>
            <w:tcW w:w="2209" w:type="dxa"/>
            <w:tcBorders>
              <w:top w:val="nil"/>
              <w:left w:val="nil"/>
              <w:bottom w:val="single" w:sz="4" w:space="0" w:color="auto"/>
              <w:right w:val="single" w:sz="4" w:space="0" w:color="auto"/>
            </w:tcBorders>
            <w:shd w:val="clear" w:color="auto" w:fill="7030A0"/>
            <w:noWrap/>
            <w:vAlign w:val="bottom"/>
            <w:hideMark/>
          </w:tcPr>
          <w:p w14:paraId="465C6BF0" w14:textId="77777777" w:rsidR="00E1662A" w:rsidRPr="00D24BF7" w:rsidRDefault="00E1662A" w:rsidP="00E1662A">
            <w:pPr>
              <w:spacing w:after="0" w:line="240" w:lineRule="auto"/>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Share%</w:t>
            </w:r>
          </w:p>
        </w:tc>
        <w:tc>
          <w:tcPr>
            <w:tcW w:w="1760" w:type="dxa"/>
            <w:tcBorders>
              <w:top w:val="nil"/>
              <w:left w:val="nil"/>
              <w:bottom w:val="single" w:sz="4" w:space="0" w:color="auto"/>
              <w:right w:val="single" w:sz="4" w:space="0" w:color="auto"/>
            </w:tcBorders>
            <w:shd w:val="clear" w:color="auto" w:fill="7030A0"/>
            <w:noWrap/>
            <w:vAlign w:val="bottom"/>
            <w:hideMark/>
          </w:tcPr>
          <w:p w14:paraId="62A59E44" w14:textId="77777777" w:rsidR="00E1662A" w:rsidRPr="00D24BF7" w:rsidRDefault="00E1662A" w:rsidP="00E1662A">
            <w:pPr>
              <w:spacing w:after="0" w:line="240" w:lineRule="auto"/>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Number in Lakhs</w:t>
            </w:r>
          </w:p>
        </w:tc>
        <w:tc>
          <w:tcPr>
            <w:tcW w:w="1390" w:type="dxa"/>
            <w:tcBorders>
              <w:top w:val="nil"/>
              <w:left w:val="nil"/>
              <w:bottom w:val="single" w:sz="4" w:space="0" w:color="auto"/>
              <w:right w:val="single" w:sz="4" w:space="0" w:color="auto"/>
            </w:tcBorders>
            <w:shd w:val="clear" w:color="auto" w:fill="7030A0"/>
            <w:noWrap/>
            <w:vAlign w:val="bottom"/>
            <w:hideMark/>
          </w:tcPr>
          <w:p w14:paraId="06B58CDE" w14:textId="77777777" w:rsidR="00E1662A" w:rsidRPr="00D24BF7" w:rsidRDefault="00E1662A" w:rsidP="00E1662A">
            <w:pPr>
              <w:spacing w:after="0" w:line="240" w:lineRule="auto"/>
              <w:rPr>
                <w:rFonts w:eastAsia="Times New Roman" w:cs="Calibri"/>
                <w:b/>
                <w:bCs/>
                <w:color w:val="FFFFFF" w:themeColor="background1"/>
                <w:spacing w:val="0"/>
                <w:lang w:eastAsia="en-IN"/>
              </w:rPr>
            </w:pPr>
            <w:r w:rsidRPr="00D24BF7">
              <w:rPr>
                <w:rFonts w:eastAsia="Times New Roman" w:cs="Calibri"/>
                <w:b/>
                <w:bCs/>
                <w:color w:val="FFFFFF" w:themeColor="background1"/>
                <w:spacing w:val="0"/>
                <w:lang w:eastAsia="en-IN"/>
              </w:rPr>
              <w:t>Share%</w:t>
            </w:r>
          </w:p>
        </w:tc>
      </w:tr>
      <w:tr w:rsidR="00E1662A" w:rsidRPr="00D24BF7" w14:paraId="74006653"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110DE3AF"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1</w:t>
            </w:r>
          </w:p>
        </w:tc>
        <w:tc>
          <w:tcPr>
            <w:tcW w:w="1396" w:type="dxa"/>
            <w:tcBorders>
              <w:top w:val="nil"/>
              <w:left w:val="nil"/>
              <w:bottom w:val="single" w:sz="4" w:space="0" w:color="auto"/>
              <w:right w:val="single" w:sz="4" w:space="0" w:color="auto"/>
            </w:tcBorders>
            <w:shd w:val="clear" w:color="auto" w:fill="auto"/>
            <w:noWrap/>
            <w:vAlign w:val="bottom"/>
            <w:hideMark/>
          </w:tcPr>
          <w:p w14:paraId="5CE47309"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UP</w:t>
            </w:r>
          </w:p>
        </w:tc>
        <w:tc>
          <w:tcPr>
            <w:tcW w:w="1984" w:type="dxa"/>
            <w:tcBorders>
              <w:top w:val="nil"/>
              <w:left w:val="nil"/>
              <w:bottom w:val="single" w:sz="4" w:space="0" w:color="auto"/>
              <w:right w:val="single" w:sz="4" w:space="0" w:color="auto"/>
            </w:tcBorders>
            <w:shd w:val="clear" w:color="auto" w:fill="auto"/>
            <w:noWrap/>
            <w:vAlign w:val="bottom"/>
            <w:hideMark/>
          </w:tcPr>
          <w:p w14:paraId="431DFE88"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89.99</w:t>
            </w:r>
          </w:p>
        </w:tc>
        <w:tc>
          <w:tcPr>
            <w:tcW w:w="2209" w:type="dxa"/>
            <w:tcBorders>
              <w:top w:val="nil"/>
              <w:left w:val="nil"/>
              <w:bottom w:val="single" w:sz="4" w:space="0" w:color="auto"/>
              <w:right w:val="single" w:sz="4" w:space="0" w:color="auto"/>
            </w:tcBorders>
            <w:shd w:val="clear" w:color="auto" w:fill="auto"/>
            <w:noWrap/>
            <w:vAlign w:val="bottom"/>
            <w:hideMark/>
          </w:tcPr>
          <w:p w14:paraId="70BA6E36"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14</w:t>
            </w:r>
          </w:p>
        </w:tc>
        <w:tc>
          <w:tcPr>
            <w:tcW w:w="1760" w:type="dxa"/>
            <w:tcBorders>
              <w:top w:val="nil"/>
              <w:left w:val="nil"/>
              <w:bottom w:val="single" w:sz="4" w:space="0" w:color="auto"/>
              <w:right w:val="single" w:sz="4" w:space="0" w:color="auto"/>
            </w:tcBorders>
            <w:shd w:val="clear" w:color="auto" w:fill="auto"/>
            <w:noWrap/>
            <w:vAlign w:val="bottom"/>
            <w:hideMark/>
          </w:tcPr>
          <w:p w14:paraId="3B230068"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44.03</w:t>
            </w:r>
          </w:p>
        </w:tc>
        <w:tc>
          <w:tcPr>
            <w:tcW w:w="1390" w:type="dxa"/>
            <w:tcBorders>
              <w:top w:val="nil"/>
              <w:left w:val="nil"/>
              <w:bottom w:val="single" w:sz="4" w:space="0" w:color="auto"/>
              <w:right w:val="single" w:sz="4" w:space="0" w:color="auto"/>
            </w:tcBorders>
            <w:shd w:val="clear" w:color="auto" w:fill="auto"/>
            <w:noWrap/>
            <w:vAlign w:val="bottom"/>
            <w:hideMark/>
          </w:tcPr>
          <w:p w14:paraId="48D37A1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12</w:t>
            </w:r>
          </w:p>
        </w:tc>
      </w:tr>
      <w:tr w:rsidR="00E1662A" w:rsidRPr="00D24BF7" w14:paraId="39F377EA"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4E627C68"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2</w:t>
            </w:r>
          </w:p>
        </w:tc>
        <w:tc>
          <w:tcPr>
            <w:tcW w:w="1396" w:type="dxa"/>
            <w:tcBorders>
              <w:top w:val="nil"/>
              <w:left w:val="nil"/>
              <w:bottom w:val="single" w:sz="4" w:space="0" w:color="auto"/>
              <w:right w:val="single" w:sz="4" w:space="0" w:color="auto"/>
            </w:tcBorders>
            <w:shd w:val="clear" w:color="auto" w:fill="auto"/>
            <w:noWrap/>
            <w:vAlign w:val="bottom"/>
            <w:hideMark/>
          </w:tcPr>
          <w:p w14:paraId="334B7E2B"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WB</w:t>
            </w:r>
          </w:p>
        </w:tc>
        <w:tc>
          <w:tcPr>
            <w:tcW w:w="1984" w:type="dxa"/>
            <w:tcBorders>
              <w:top w:val="nil"/>
              <w:left w:val="nil"/>
              <w:bottom w:val="single" w:sz="4" w:space="0" w:color="auto"/>
              <w:right w:val="single" w:sz="4" w:space="0" w:color="auto"/>
            </w:tcBorders>
            <w:shd w:val="clear" w:color="auto" w:fill="auto"/>
            <w:noWrap/>
            <w:vAlign w:val="bottom"/>
            <w:hideMark/>
          </w:tcPr>
          <w:p w14:paraId="72341009"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88.67</w:t>
            </w:r>
          </w:p>
        </w:tc>
        <w:tc>
          <w:tcPr>
            <w:tcW w:w="2209" w:type="dxa"/>
            <w:tcBorders>
              <w:top w:val="nil"/>
              <w:left w:val="nil"/>
              <w:bottom w:val="single" w:sz="4" w:space="0" w:color="auto"/>
              <w:right w:val="single" w:sz="4" w:space="0" w:color="auto"/>
            </w:tcBorders>
            <w:shd w:val="clear" w:color="auto" w:fill="auto"/>
            <w:noWrap/>
            <w:vAlign w:val="bottom"/>
            <w:hideMark/>
          </w:tcPr>
          <w:p w14:paraId="52580FFF"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14</w:t>
            </w:r>
          </w:p>
        </w:tc>
        <w:tc>
          <w:tcPr>
            <w:tcW w:w="1760" w:type="dxa"/>
            <w:tcBorders>
              <w:top w:val="nil"/>
              <w:left w:val="nil"/>
              <w:bottom w:val="single" w:sz="4" w:space="0" w:color="auto"/>
              <w:right w:val="single" w:sz="4" w:space="0" w:color="auto"/>
            </w:tcBorders>
            <w:shd w:val="clear" w:color="auto" w:fill="auto"/>
            <w:noWrap/>
            <w:vAlign w:val="bottom"/>
            <w:hideMark/>
          </w:tcPr>
          <w:p w14:paraId="176A84AD"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34.64</w:t>
            </w:r>
          </w:p>
        </w:tc>
        <w:tc>
          <w:tcPr>
            <w:tcW w:w="1390" w:type="dxa"/>
            <w:tcBorders>
              <w:top w:val="nil"/>
              <w:left w:val="nil"/>
              <w:bottom w:val="single" w:sz="4" w:space="0" w:color="auto"/>
              <w:right w:val="single" w:sz="4" w:space="0" w:color="auto"/>
            </w:tcBorders>
            <w:shd w:val="clear" w:color="auto" w:fill="auto"/>
            <w:noWrap/>
            <w:vAlign w:val="bottom"/>
            <w:hideMark/>
          </w:tcPr>
          <w:p w14:paraId="6C70AEE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10</w:t>
            </w:r>
          </w:p>
        </w:tc>
      </w:tr>
      <w:tr w:rsidR="00E1662A" w:rsidRPr="00D24BF7" w14:paraId="7FC07F01"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4C4C204D"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3</w:t>
            </w:r>
          </w:p>
        </w:tc>
        <w:tc>
          <w:tcPr>
            <w:tcW w:w="1396" w:type="dxa"/>
            <w:tcBorders>
              <w:top w:val="nil"/>
              <w:left w:val="nil"/>
              <w:bottom w:val="single" w:sz="4" w:space="0" w:color="auto"/>
              <w:right w:val="single" w:sz="4" w:space="0" w:color="auto"/>
            </w:tcBorders>
            <w:shd w:val="clear" w:color="auto" w:fill="auto"/>
            <w:noWrap/>
            <w:vAlign w:val="bottom"/>
            <w:hideMark/>
          </w:tcPr>
          <w:p w14:paraId="1F801114"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TN</w:t>
            </w:r>
          </w:p>
        </w:tc>
        <w:tc>
          <w:tcPr>
            <w:tcW w:w="1984" w:type="dxa"/>
            <w:tcBorders>
              <w:top w:val="nil"/>
              <w:left w:val="nil"/>
              <w:bottom w:val="single" w:sz="4" w:space="0" w:color="auto"/>
              <w:right w:val="single" w:sz="4" w:space="0" w:color="auto"/>
            </w:tcBorders>
            <w:shd w:val="clear" w:color="auto" w:fill="auto"/>
            <w:noWrap/>
            <w:vAlign w:val="bottom"/>
            <w:hideMark/>
          </w:tcPr>
          <w:p w14:paraId="0F1BDD59"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49.48</w:t>
            </w:r>
          </w:p>
        </w:tc>
        <w:tc>
          <w:tcPr>
            <w:tcW w:w="2209" w:type="dxa"/>
            <w:tcBorders>
              <w:top w:val="nil"/>
              <w:left w:val="nil"/>
              <w:bottom w:val="single" w:sz="4" w:space="0" w:color="auto"/>
              <w:right w:val="single" w:sz="4" w:space="0" w:color="auto"/>
            </w:tcBorders>
            <w:shd w:val="clear" w:color="auto" w:fill="auto"/>
            <w:noWrap/>
            <w:vAlign w:val="bottom"/>
            <w:hideMark/>
          </w:tcPr>
          <w:p w14:paraId="3B0751D6"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8</w:t>
            </w:r>
          </w:p>
        </w:tc>
        <w:tc>
          <w:tcPr>
            <w:tcW w:w="1760" w:type="dxa"/>
            <w:tcBorders>
              <w:top w:val="nil"/>
              <w:left w:val="nil"/>
              <w:bottom w:val="single" w:sz="4" w:space="0" w:color="auto"/>
              <w:right w:val="single" w:sz="4" w:space="0" w:color="auto"/>
            </w:tcBorders>
            <w:shd w:val="clear" w:color="auto" w:fill="auto"/>
            <w:noWrap/>
            <w:vAlign w:val="bottom"/>
            <w:hideMark/>
          </w:tcPr>
          <w:p w14:paraId="22DB428E"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33.13</w:t>
            </w:r>
          </w:p>
        </w:tc>
        <w:tc>
          <w:tcPr>
            <w:tcW w:w="1390" w:type="dxa"/>
            <w:tcBorders>
              <w:top w:val="nil"/>
              <w:left w:val="nil"/>
              <w:bottom w:val="single" w:sz="4" w:space="0" w:color="auto"/>
              <w:right w:val="single" w:sz="4" w:space="0" w:color="auto"/>
            </w:tcBorders>
            <w:shd w:val="clear" w:color="auto" w:fill="auto"/>
            <w:noWrap/>
            <w:vAlign w:val="bottom"/>
            <w:hideMark/>
          </w:tcPr>
          <w:p w14:paraId="509503D2"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9</w:t>
            </w:r>
          </w:p>
        </w:tc>
      </w:tr>
      <w:tr w:rsidR="00E1662A" w:rsidRPr="00D24BF7" w14:paraId="3D57BF79"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16D542E6"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lastRenderedPageBreak/>
              <w:t>4</w:t>
            </w:r>
          </w:p>
        </w:tc>
        <w:tc>
          <w:tcPr>
            <w:tcW w:w="1396" w:type="dxa"/>
            <w:tcBorders>
              <w:top w:val="nil"/>
              <w:left w:val="nil"/>
              <w:bottom w:val="single" w:sz="4" w:space="0" w:color="auto"/>
              <w:right w:val="single" w:sz="4" w:space="0" w:color="auto"/>
            </w:tcBorders>
            <w:shd w:val="clear" w:color="auto" w:fill="auto"/>
            <w:noWrap/>
            <w:vAlign w:val="bottom"/>
            <w:hideMark/>
          </w:tcPr>
          <w:p w14:paraId="0E743D03"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Maharashtra</w:t>
            </w:r>
          </w:p>
        </w:tc>
        <w:tc>
          <w:tcPr>
            <w:tcW w:w="1984" w:type="dxa"/>
            <w:tcBorders>
              <w:top w:val="nil"/>
              <w:left w:val="nil"/>
              <w:bottom w:val="single" w:sz="4" w:space="0" w:color="auto"/>
              <w:right w:val="single" w:sz="4" w:space="0" w:color="auto"/>
            </w:tcBorders>
            <w:shd w:val="clear" w:color="auto" w:fill="auto"/>
            <w:noWrap/>
            <w:vAlign w:val="bottom"/>
            <w:hideMark/>
          </w:tcPr>
          <w:p w14:paraId="1C554C32"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47.78</w:t>
            </w:r>
          </w:p>
        </w:tc>
        <w:tc>
          <w:tcPr>
            <w:tcW w:w="2209" w:type="dxa"/>
            <w:tcBorders>
              <w:top w:val="nil"/>
              <w:left w:val="nil"/>
              <w:bottom w:val="single" w:sz="4" w:space="0" w:color="auto"/>
              <w:right w:val="single" w:sz="4" w:space="0" w:color="auto"/>
            </w:tcBorders>
            <w:shd w:val="clear" w:color="auto" w:fill="auto"/>
            <w:noWrap/>
            <w:vAlign w:val="bottom"/>
            <w:hideMark/>
          </w:tcPr>
          <w:p w14:paraId="0F58E52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8</w:t>
            </w:r>
          </w:p>
        </w:tc>
        <w:tc>
          <w:tcPr>
            <w:tcW w:w="1760" w:type="dxa"/>
            <w:tcBorders>
              <w:top w:val="nil"/>
              <w:left w:val="nil"/>
              <w:bottom w:val="single" w:sz="4" w:space="0" w:color="auto"/>
              <w:right w:val="single" w:sz="4" w:space="0" w:color="auto"/>
            </w:tcBorders>
            <w:shd w:val="clear" w:color="auto" w:fill="auto"/>
            <w:noWrap/>
            <w:vAlign w:val="bottom"/>
            <w:hideMark/>
          </w:tcPr>
          <w:p w14:paraId="605C75A4"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30.63</w:t>
            </w:r>
          </w:p>
        </w:tc>
        <w:tc>
          <w:tcPr>
            <w:tcW w:w="1390" w:type="dxa"/>
            <w:tcBorders>
              <w:top w:val="nil"/>
              <w:left w:val="nil"/>
              <w:bottom w:val="single" w:sz="4" w:space="0" w:color="auto"/>
              <w:right w:val="single" w:sz="4" w:space="0" w:color="auto"/>
            </w:tcBorders>
            <w:shd w:val="clear" w:color="auto" w:fill="auto"/>
            <w:noWrap/>
            <w:vAlign w:val="bottom"/>
            <w:hideMark/>
          </w:tcPr>
          <w:p w14:paraId="5619F84F"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8</w:t>
            </w:r>
          </w:p>
        </w:tc>
      </w:tr>
      <w:tr w:rsidR="00E1662A" w:rsidRPr="00D24BF7" w14:paraId="45B2C44D"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6A595773"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5</w:t>
            </w:r>
          </w:p>
        </w:tc>
        <w:tc>
          <w:tcPr>
            <w:tcW w:w="1396" w:type="dxa"/>
            <w:tcBorders>
              <w:top w:val="nil"/>
              <w:left w:val="nil"/>
              <w:bottom w:val="single" w:sz="4" w:space="0" w:color="auto"/>
              <w:right w:val="single" w:sz="4" w:space="0" w:color="auto"/>
            </w:tcBorders>
            <w:shd w:val="clear" w:color="auto" w:fill="auto"/>
            <w:noWrap/>
            <w:vAlign w:val="bottom"/>
            <w:hideMark/>
          </w:tcPr>
          <w:p w14:paraId="007CD676"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Karnataka</w:t>
            </w:r>
          </w:p>
        </w:tc>
        <w:tc>
          <w:tcPr>
            <w:tcW w:w="1984" w:type="dxa"/>
            <w:tcBorders>
              <w:top w:val="nil"/>
              <w:left w:val="nil"/>
              <w:bottom w:val="single" w:sz="4" w:space="0" w:color="auto"/>
              <w:right w:val="single" w:sz="4" w:space="0" w:color="auto"/>
            </w:tcBorders>
            <w:shd w:val="clear" w:color="auto" w:fill="auto"/>
            <w:noWrap/>
            <w:vAlign w:val="bottom"/>
            <w:hideMark/>
          </w:tcPr>
          <w:p w14:paraId="503C0DC3"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38.34</w:t>
            </w:r>
          </w:p>
        </w:tc>
        <w:tc>
          <w:tcPr>
            <w:tcW w:w="2209" w:type="dxa"/>
            <w:tcBorders>
              <w:top w:val="nil"/>
              <w:left w:val="nil"/>
              <w:bottom w:val="single" w:sz="4" w:space="0" w:color="auto"/>
              <w:right w:val="single" w:sz="4" w:space="0" w:color="auto"/>
            </w:tcBorders>
            <w:shd w:val="clear" w:color="auto" w:fill="auto"/>
            <w:noWrap/>
            <w:vAlign w:val="bottom"/>
            <w:hideMark/>
          </w:tcPr>
          <w:p w14:paraId="2AE8C1B7"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6</w:t>
            </w:r>
          </w:p>
        </w:tc>
        <w:tc>
          <w:tcPr>
            <w:tcW w:w="1760" w:type="dxa"/>
            <w:tcBorders>
              <w:top w:val="nil"/>
              <w:left w:val="nil"/>
              <w:bottom w:val="single" w:sz="4" w:space="0" w:color="auto"/>
              <w:right w:val="single" w:sz="4" w:space="0" w:color="auto"/>
            </w:tcBorders>
            <w:shd w:val="clear" w:color="auto" w:fill="auto"/>
            <w:noWrap/>
            <w:vAlign w:val="bottom"/>
            <w:hideMark/>
          </w:tcPr>
          <w:p w14:paraId="3E5C608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20.19</w:t>
            </w:r>
          </w:p>
        </w:tc>
        <w:tc>
          <w:tcPr>
            <w:tcW w:w="1390" w:type="dxa"/>
            <w:tcBorders>
              <w:top w:val="nil"/>
              <w:left w:val="nil"/>
              <w:bottom w:val="single" w:sz="4" w:space="0" w:color="auto"/>
              <w:right w:val="single" w:sz="4" w:space="0" w:color="auto"/>
            </w:tcBorders>
            <w:shd w:val="clear" w:color="auto" w:fill="auto"/>
            <w:noWrap/>
            <w:vAlign w:val="bottom"/>
            <w:hideMark/>
          </w:tcPr>
          <w:p w14:paraId="78F0B73E"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6</w:t>
            </w:r>
          </w:p>
        </w:tc>
      </w:tr>
      <w:tr w:rsidR="00E1662A" w:rsidRPr="00D24BF7" w14:paraId="5EB984BB"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7621A4B2"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6</w:t>
            </w:r>
          </w:p>
        </w:tc>
        <w:tc>
          <w:tcPr>
            <w:tcW w:w="1396" w:type="dxa"/>
            <w:tcBorders>
              <w:top w:val="nil"/>
              <w:left w:val="nil"/>
              <w:bottom w:val="single" w:sz="4" w:space="0" w:color="auto"/>
              <w:right w:val="single" w:sz="4" w:space="0" w:color="auto"/>
            </w:tcBorders>
            <w:shd w:val="clear" w:color="auto" w:fill="auto"/>
            <w:noWrap/>
            <w:vAlign w:val="bottom"/>
            <w:hideMark/>
          </w:tcPr>
          <w:p w14:paraId="03B841FF"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Bihar</w:t>
            </w:r>
          </w:p>
        </w:tc>
        <w:tc>
          <w:tcPr>
            <w:tcW w:w="1984" w:type="dxa"/>
            <w:tcBorders>
              <w:top w:val="nil"/>
              <w:left w:val="nil"/>
              <w:bottom w:val="single" w:sz="4" w:space="0" w:color="auto"/>
              <w:right w:val="single" w:sz="4" w:space="0" w:color="auto"/>
            </w:tcBorders>
            <w:shd w:val="clear" w:color="auto" w:fill="auto"/>
            <w:noWrap/>
            <w:vAlign w:val="bottom"/>
            <w:hideMark/>
          </w:tcPr>
          <w:p w14:paraId="4EC87488"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34.46</w:t>
            </w:r>
          </w:p>
        </w:tc>
        <w:tc>
          <w:tcPr>
            <w:tcW w:w="2209" w:type="dxa"/>
            <w:tcBorders>
              <w:top w:val="nil"/>
              <w:left w:val="nil"/>
              <w:bottom w:val="single" w:sz="4" w:space="0" w:color="auto"/>
              <w:right w:val="single" w:sz="4" w:space="0" w:color="auto"/>
            </w:tcBorders>
            <w:shd w:val="clear" w:color="auto" w:fill="auto"/>
            <w:noWrap/>
            <w:vAlign w:val="bottom"/>
            <w:hideMark/>
          </w:tcPr>
          <w:p w14:paraId="7B2B5547"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5</w:t>
            </w:r>
          </w:p>
        </w:tc>
        <w:tc>
          <w:tcPr>
            <w:tcW w:w="1760" w:type="dxa"/>
            <w:tcBorders>
              <w:top w:val="nil"/>
              <w:left w:val="nil"/>
              <w:bottom w:val="single" w:sz="4" w:space="0" w:color="auto"/>
              <w:right w:val="single" w:sz="4" w:space="0" w:color="auto"/>
            </w:tcBorders>
            <w:shd w:val="clear" w:color="auto" w:fill="auto"/>
            <w:noWrap/>
            <w:vAlign w:val="bottom"/>
            <w:hideMark/>
          </w:tcPr>
          <w:p w14:paraId="487376C2"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14.7</w:t>
            </w:r>
          </w:p>
        </w:tc>
        <w:tc>
          <w:tcPr>
            <w:tcW w:w="1390" w:type="dxa"/>
            <w:tcBorders>
              <w:top w:val="nil"/>
              <w:left w:val="nil"/>
              <w:bottom w:val="single" w:sz="4" w:space="0" w:color="auto"/>
              <w:right w:val="single" w:sz="4" w:space="0" w:color="auto"/>
            </w:tcBorders>
            <w:shd w:val="clear" w:color="auto" w:fill="auto"/>
            <w:noWrap/>
            <w:vAlign w:val="bottom"/>
            <w:hideMark/>
          </w:tcPr>
          <w:p w14:paraId="109FD4F5"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w:t>
            </w:r>
          </w:p>
        </w:tc>
      </w:tr>
      <w:tr w:rsidR="00E1662A" w:rsidRPr="00D24BF7" w14:paraId="5DEDD0A8"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0E25EFF3"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7</w:t>
            </w:r>
          </w:p>
        </w:tc>
        <w:tc>
          <w:tcPr>
            <w:tcW w:w="1396" w:type="dxa"/>
            <w:tcBorders>
              <w:top w:val="nil"/>
              <w:left w:val="nil"/>
              <w:bottom w:val="single" w:sz="4" w:space="0" w:color="auto"/>
              <w:right w:val="single" w:sz="4" w:space="0" w:color="auto"/>
            </w:tcBorders>
            <w:shd w:val="clear" w:color="auto" w:fill="auto"/>
            <w:noWrap/>
            <w:vAlign w:val="bottom"/>
            <w:hideMark/>
          </w:tcPr>
          <w:p w14:paraId="6072F3F9"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AP</w:t>
            </w:r>
          </w:p>
        </w:tc>
        <w:tc>
          <w:tcPr>
            <w:tcW w:w="1984" w:type="dxa"/>
            <w:tcBorders>
              <w:top w:val="nil"/>
              <w:left w:val="nil"/>
              <w:bottom w:val="single" w:sz="4" w:space="0" w:color="auto"/>
              <w:right w:val="single" w:sz="4" w:space="0" w:color="auto"/>
            </w:tcBorders>
            <w:shd w:val="clear" w:color="auto" w:fill="auto"/>
            <w:noWrap/>
            <w:vAlign w:val="bottom"/>
            <w:hideMark/>
          </w:tcPr>
          <w:p w14:paraId="3506883A"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33.87</w:t>
            </w:r>
          </w:p>
        </w:tc>
        <w:tc>
          <w:tcPr>
            <w:tcW w:w="2209" w:type="dxa"/>
            <w:tcBorders>
              <w:top w:val="nil"/>
              <w:left w:val="nil"/>
              <w:bottom w:val="single" w:sz="4" w:space="0" w:color="auto"/>
              <w:right w:val="single" w:sz="4" w:space="0" w:color="auto"/>
            </w:tcBorders>
            <w:shd w:val="clear" w:color="auto" w:fill="auto"/>
            <w:noWrap/>
            <w:vAlign w:val="bottom"/>
            <w:hideMark/>
          </w:tcPr>
          <w:p w14:paraId="56A4DAB5"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5</w:t>
            </w:r>
          </w:p>
        </w:tc>
        <w:tc>
          <w:tcPr>
            <w:tcW w:w="1760" w:type="dxa"/>
            <w:tcBorders>
              <w:top w:val="nil"/>
              <w:left w:val="nil"/>
              <w:bottom w:val="single" w:sz="4" w:space="0" w:color="auto"/>
              <w:right w:val="single" w:sz="4" w:space="0" w:color="auto"/>
            </w:tcBorders>
            <w:shd w:val="clear" w:color="auto" w:fill="auto"/>
            <w:noWrap/>
            <w:vAlign w:val="bottom"/>
            <w:hideMark/>
          </w:tcPr>
          <w:p w14:paraId="0D673018"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25.96</w:t>
            </w:r>
          </w:p>
        </w:tc>
        <w:tc>
          <w:tcPr>
            <w:tcW w:w="1390" w:type="dxa"/>
            <w:tcBorders>
              <w:top w:val="nil"/>
              <w:left w:val="nil"/>
              <w:bottom w:val="single" w:sz="4" w:space="0" w:color="auto"/>
              <w:right w:val="single" w:sz="4" w:space="0" w:color="auto"/>
            </w:tcBorders>
            <w:shd w:val="clear" w:color="auto" w:fill="auto"/>
            <w:noWrap/>
            <w:vAlign w:val="bottom"/>
            <w:hideMark/>
          </w:tcPr>
          <w:p w14:paraId="4AACB021"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7</w:t>
            </w:r>
          </w:p>
        </w:tc>
      </w:tr>
      <w:tr w:rsidR="00E1662A" w:rsidRPr="00D24BF7" w14:paraId="4C6CCA6B"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076AA1BD"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8</w:t>
            </w:r>
          </w:p>
        </w:tc>
        <w:tc>
          <w:tcPr>
            <w:tcW w:w="1396" w:type="dxa"/>
            <w:tcBorders>
              <w:top w:val="nil"/>
              <w:left w:val="nil"/>
              <w:bottom w:val="single" w:sz="4" w:space="0" w:color="auto"/>
              <w:right w:val="single" w:sz="4" w:space="0" w:color="auto"/>
            </w:tcBorders>
            <w:shd w:val="clear" w:color="auto" w:fill="auto"/>
            <w:noWrap/>
            <w:vAlign w:val="bottom"/>
            <w:hideMark/>
          </w:tcPr>
          <w:p w14:paraId="20CB87EF"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Gujarat</w:t>
            </w:r>
          </w:p>
        </w:tc>
        <w:tc>
          <w:tcPr>
            <w:tcW w:w="1984" w:type="dxa"/>
            <w:tcBorders>
              <w:top w:val="nil"/>
              <w:left w:val="nil"/>
              <w:bottom w:val="single" w:sz="4" w:space="0" w:color="auto"/>
              <w:right w:val="single" w:sz="4" w:space="0" w:color="auto"/>
            </w:tcBorders>
            <w:shd w:val="clear" w:color="auto" w:fill="auto"/>
            <w:noWrap/>
            <w:vAlign w:val="bottom"/>
            <w:hideMark/>
          </w:tcPr>
          <w:p w14:paraId="3B2A9F1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33.16</w:t>
            </w:r>
          </w:p>
        </w:tc>
        <w:tc>
          <w:tcPr>
            <w:tcW w:w="2209" w:type="dxa"/>
            <w:tcBorders>
              <w:top w:val="nil"/>
              <w:left w:val="nil"/>
              <w:bottom w:val="single" w:sz="4" w:space="0" w:color="auto"/>
              <w:right w:val="single" w:sz="4" w:space="0" w:color="auto"/>
            </w:tcBorders>
            <w:shd w:val="clear" w:color="auto" w:fill="auto"/>
            <w:noWrap/>
            <w:vAlign w:val="bottom"/>
            <w:hideMark/>
          </w:tcPr>
          <w:p w14:paraId="6D26D35B"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5</w:t>
            </w:r>
          </w:p>
        </w:tc>
        <w:tc>
          <w:tcPr>
            <w:tcW w:w="1760" w:type="dxa"/>
            <w:tcBorders>
              <w:top w:val="nil"/>
              <w:left w:val="nil"/>
              <w:bottom w:val="single" w:sz="4" w:space="0" w:color="auto"/>
              <w:right w:val="single" w:sz="4" w:space="0" w:color="auto"/>
            </w:tcBorders>
            <w:shd w:val="clear" w:color="auto" w:fill="auto"/>
            <w:noWrap/>
            <w:vAlign w:val="bottom"/>
            <w:hideMark/>
          </w:tcPr>
          <w:p w14:paraId="05873044"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21.78</w:t>
            </w:r>
          </w:p>
        </w:tc>
        <w:tc>
          <w:tcPr>
            <w:tcW w:w="1390" w:type="dxa"/>
            <w:tcBorders>
              <w:top w:val="nil"/>
              <w:left w:val="nil"/>
              <w:bottom w:val="single" w:sz="4" w:space="0" w:color="auto"/>
              <w:right w:val="single" w:sz="4" w:space="0" w:color="auto"/>
            </w:tcBorders>
            <w:shd w:val="clear" w:color="auto" w:fill="auto"/>
            <w:noWrap/>
            <w:vAlign w:val="bottom"/>
            <w:hideMark/>
          </w:tcPr>
          <w:p w14:paraId="2E534AE4"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6</w:t>
            </w:r>
          </w:p>
        </w:tc>
      </w:tr>
      <w:tr w:rsidR="00E1662A" w:rsidRPr="00D24BF7" w14:paraId="6878366C"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049E508E"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9</w:t>
            </w:r>
          </w:p>
        </w:tc>
        <w:tc>
          <w:tcPr>
            <w:tcW w:w="1396" w:type="dxa"/>
            <w:tcBorders>
              <w:top w:val="nil"/>
              <w:left w:val="nil"/>
              <w:bottom w:val="single" w:sz="4" w:space="0" w:color="auto"/>
              <w:right w:val="single" w:sz="4" w:space="0" w:color="auto"/>
            </w:tcBorders>
            <w:shd w:val="clear" w:color="auto" w:fill="auto"/>
            <w:noWrap/>
            <w:vAlign w:val="bottom"/>
            <w:hideMark/>
          </w:tcPr>
          <w:p w14:paraId="4884F75B"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Raj</w:t>
            </w:r>
          </w:p>
        </w:tc>
        <w:tc>
          <w:tcPr>
            <w:tcW w:w="1984" w:type="dxa"/>
            <w:tcBorders>
              <w:top w:val="nil"/>
              <w:left w:val="nil"/>
              <w:bottom w:val="single" w:sz="4" w:space="0" w:color="auto"/>
              <w:right w:val="single" w:sz="4" w:space="0" w:color="auto"/>
            </w:tcBorders>
            <w:shd w:val="clear" w:color="auto" w:fill="auto"/>
            <w:noWrap/>
            <w:vAlign w:val="bottom"/>
            <w:hideMark/>
          </w:tcPr>
          <w:p w14:paraId="30123880"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26.87</w:t>
            </w:r>
          </w:p>
        </w:tc>
        <w:tc>
          <w:tcPr>
            <w:tcW w:w="2209" w:type="dxa"/>
            <w:tcBorders>
              <w:top w:val="nil"/>
              <w:left w:val="nil"/>
              <w:bottom w:val="single" w:sz="4" w:space="0" w:color="auto"/>
              <w:right w:val="single" w:sz="4" w:space="0" w:color="auto"/>
            </w:tcBorders>
            <w:shd w:val="clear" w:color="auto" w:fill="auto"/>
            <w:noWrap/>
            <w:vAlign w:val="bottom"/>
            <w:hideMark/>
          </w:tcPr>
          <w:p w14:paraId="460E4331"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w:t>
            </w:r>
          </w:p>
        </w:tc>
        <w:tc>
          <w:tcPr>
            <w:tcW w:w="1760" w:type="dxa"/>
            <w:tcBorders>
              <w:top w:val="nil"/>
              <w:left w:val="nil"/>
              <w:bottom w:val="single" w:sz="4" w:space="0" w:color="auto"/>
              <w:right w:val="single" w:sz="4" w:space="0" w:color="auto"/>
            </w:tcBorders>
            <w:shd w:val="clear" w:color="auto" w:fill="auto"/>
            <w:noWrap/>
            <w:vAlign w:val="bottom"/>
            <w:hideMark/>
          </w:tcPr>
          <w:p w14:paraId="2C348D96"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16.64</w:t>
            </w:r>
          </w:p>
        </w:tc>
        <w:tc>
          <w:tcPr>
            <w:tcW w:w="1390" w:type="dxa"/>
            <w:tcBorders>
              <w:top w:val="nil"/>
              <w:left w:val="nil"/>
              <w:bottom w:val="single" w:sz="4" w:space="0" w:color="auto"/>
              <w:right w:val="single" w:sz="4" w:space="0" w:color="auto"/>
            </w:tcBorders>
            <w:shd w:val="clear" w:color="auto" w:fill="auto"/>
            <w:noWrap/>
            <w:vAlign w:val="bottom"/>
            <w:hideMark/>
          </w:tcPr>
          <w:p w14:paraId="772884B6"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5</w:t>
            </w:r>
          </w:p>
        </w:tc>
      </w:tr>
      <w:tr w:rsidR="00E1662A" w:rsidRPr="00D24BF7" w14:paraId="0CB1E44A"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66CCB442"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10</w:t>
            </w:r>
          </w:p>
        </w:tc>
        <w:tc>
          <w:tcPr>
            <w:tcW w:w="1396" w:type="dxa"/>
            <w:tcBorders>
              <w:top w:val="nil"/>
              <w:left w:val="nil"/>
              <w:bottom w:val="single" w:sz="4" w:space="0" w:color="auto"/>
              <w:right w:val="single" w:sz="4" w:space="0" w:color="auto"/>
            </w:tcBorders>
            <w:shd w:val="clear" w:color="auto" w:fill="auto"/>
            <w:noWrap/>
            <w:vAlign w:val="bottom"/>
            <w:hideMark/>
          </w:tcPr>
          <w:p w14:paraId="562C3ED0" w14:textId="77777777"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MP</w:t>
            </w:r>
          </w:p>
        </w:tc>
        <w:tc>
          <w:tcPr>
            <w:tcW w:w="1984" w:type="dxa"/>
            <w:tcBorders>
              <w:top w:val="nil"/>
              <w:left w:val="nil"/>
              <w:bottom w:val="single" w:sz="4" w:space="0" w:color="auto"/>
              <w:right w:val="single" w:sz="4" w:space="0" w:color="auto"/>
            </w:tcBorders>
            <w:shd w:val="clear" w:color="auto" w:fill="auto"/>
            <w:noWrap/>
            <w:vAlign w:val="bottom"/>
            <w:hideMark/>
          </w:tcPr>
          <w:p w14:paraId="7A728E8C"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26.74</w:t>
            </w:r>
          </w:p>
        </w:tc>
        <w:tc>
          <w:tcPr>
            <w:tcW w:w="2209" w:type="dxa"/>
            <w:tcBorders>
              <w:top w:val="nil"/>
              <w:left w:val="nil"/>
              <w:bottom w:val="single" w:sz="4" w:space="0" w:color="auto"/>
              <w:right w:val="single" w:sz="4" w:space="0" w:color="auto"/>
            </w:tcBorders>
            <w:shd w:val="clear" w:color="auto" w:fill="auto"/>
            <w:noWrap/>
            <w:vAlign w:val="bottom"/>
            <w:hideMark/>
          </w:tcPr>
          <w:p w14:paraId="17D37AA9"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4</w:t>
            </w:r>
          </w:p>
        </w:tc>
        <w:tc>
          <w:tcPr>
            <w:tcW w:w="1760" w:type="dxa"/>
            <w:tcBorders>
              <w:top w:val="nil"/>
              <w:left w:val="nil"/>
              <w:bottom w:val="single" w:sz="4" w:space="0" w:color="auto"/>
              <w:right w:val="single" w:sz="4" w:space="0" w:color="auto"/>
            </w:tcBorders>
            <w:shd w:val="clear" w:color="auto" w:fill="auto"/>
            <w:noWrap/>
            <w:vAlign w:val="bottom"/>
            <w:hideMark/>
          </w:tcPr>
          <w:p w14:paraId="27156B28"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19.33</w:t>
            </w:r>
          </w:p>
        </w:tc>
        <w:tc>
          <w:tcPr>
            <w:tcW w:w="1390" w:type="dxa"/>
            <w:tcBorders>
              <w:top w:val="nil"/>
              <w:left w:val="nil"/>
              <w:bottom w:val="single" w:sz="4" w:space="0" w:color="auto"/>
              <w:right w:val="single" w:sz="4" w:space="0" w:color="auto"/>
            </w:tcBorders>
            <w:shd w:val="clear" w:color="auto" w:fill="auto"/>
            <w:noWrap/>
            <w:vAlign w:val="bottom"/>
            <w:hideMark/>
          </w:tcPr>
          <w:p w14:paraId="7BBC9520"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5</w:t>
            </w:r>
          </w:p>
        </w:tc>
      </w:tr>
      <w:tr w:rsidR="00E1662A" w:rsidRPr="00D24BF7" w14:paraId="6CEC1A3F" w14:textId="77777777" w:rsidTr="00A823B4">
        <w:trPr>
          <w:trHeight w:val="296"/>
        </w:trPr>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FA182" w14:textId="77777777" w:rsidR="00E1662A" w:rsidRPr="00D24BF7" w:rsidRDefault="00E1662A" w:rsidP="00E1662A">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Total of above 10 states</w:t>
            </w:r>
          </w:p>
        </w:tc>
        <w:tc>
          <w:tcPr>
            <w:tcW w:w="1984" w:type="dxa"/>
            <w:tcBorders>
              <w:top w:val="nil"/>
              <w:left w:val="nil"/>
              <w:bottom w:val="single" w:sz="4" w:space="0" w:color="auto"/>
              <w:right w:val="single" w:sz="4" w:space="0" w:color="auto"/>
            </w:tcBorders>
            <w:shd w:val="clear" w:color="auto" w:fill="auto"/>
            <w:noWrap/>
            <w:vAlign w:val="bottom"/>
            <w:hideMark/>
          </w:tcPr>
          <w:p w14:paraId="6433BBA9"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469.4</w:t>
            </w:r>
          </w:p>
        </w:tc>
        <w:tc>
          <w:tcPr>
            <w:tcW w:w="2209" w:type="dxa"/>
            <w:tcBorders>
              <w:top w:val="nil"/>
              <w:left w:val="nil"/>
              <w:bottom w:val="single" w:sz="4" w:space="0" w:color="auto"/>
              <w:right w:val="single" w:sz="4" w:space="0" w:color="auto"/>
            </w:tcBorders>
            <w:shd w:val="clear" w:color="auto" w:fill="auto"/>
            <w:noWrap/>
            <w:vAlign w:val="bottom"/>
            <w:hideMark/>
          </w:tcPr>
          <w:p w14:paraId="2FB32E84"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74</w:t>
            </w:r>
          </w:p>
        </w:tc>
        <w:tc>
          <w:tcPr>
            <w:tcW w:w="1760" w:type="dxa"/>
            <w:tcBorders>
              <w:top w:val="nil"/>
              <w:left w:val="nil"/>
              <w:bottom w:val="single" w:sz="4" w:space="0" w:color="auto"/>
              <w:right w:val="single" w:sz="4" w:space="0" w:color="auto"/>
            </w:tcBorders>
            <w:shd w:val="clear" w:color="auto" w:fill="auto"/>
            <w:noWrap/>
            <w:vAlign w:val="bottom"/>
            <w:hideMark/>
          </w:tcPr>
          <w:p w14:paraId="080C5BEB"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261.04</w:t>
            </w:r>
          </w:p>
        </w:tc>
        <w:tc>
          <w:tcPr>
            <w:tcW w:w="1390" w:type="dxa"/>
            <w:tcBorders>
              <w:top w:val="nil"/>
              <w:left w:val="nil"/>
              <w:bottom w:val="single" w:sz="4" w:space="0" w:color="auto"/>
              <w:right w:val="single" w:sz="4" w:space="0" w:color="auto"/>
            </w:tcBorders>
            <w:shd w:val="clear" w:color="auto" w:fill="auto"/>
            <w:noWrap/>
            <w:vAlign w:val="bottom"/>
            <w:hideMark/>
          </w:tcPr>
          <w:p w14:paraId="5D2EF14E"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72</w:t>
            </w:r>
          </w:p>
        </w:tc>
      </w:tr>
      <w:tr w:rsidR="00E1662A" w:rsidRPr="00D24BF7" w14:paraId="44768C42" w14:textId="77777777" w:rsidTr="00A823B4">
        <w:trPr>
          <w:trHeight w:val="296"/>
        </w:trPr>
        <w:tc>
          <w:tcPr>
            <w:tcW w:w="726" w:type="dxa"/>
            <w:tcBorders>
              <w:top w:val="nil"/>
              <w:left w:val="single" w:sz="4" w:space="0" w:color="auto"/>
              <w:bottom w:val="single" w:sz="4" w:space="0" w:color="auto"/>
              <w:right w:val="single" w:sz="4" w:space="0" w:color="auto"/>
            </w:tcBorders>
            <w:shd w:val="clear" w:color="auto" w:fill="auto"/>
            <w:noWrap/>
            <w:vAlign w:val="bottom"/>
            <w:hideMark/>
          </w:tcPr>
          <w:p w14:paraId="38B7C5B8" w14:textId="77777777" w:rsidR="00E1662A" w:rsidRPr="00D24BF7" w:rsidRDefault="00E1662A" w:rsidP="00E1662A">
            <w:pPr>
              <w:spacing w:after="0" w:line="240" w:lineRule="auto"/>
              <w:jc w:val="right"/>
              <w:rPr>
                <w:rFonts w:eastAsia="Times New Roman" w:cs="Calibri"/>
                <w:color w:val="000000"/>
                <w:spacing w:val="0"/>
                <w:lang w:eastAsia="en-IN"/>
              </w:rPr>
            </w:pPr>
            <w:r w:rsidRPr="00D24BF7">
              <w:rPr>
                <w:rFonts w:eastAsia="Times New Roman" w:cs="Calibri"/>
                <w:color w:val="000000"/>
                <w:spacing w:val="0"/>
                <w:lang w:eastAsia="en-IN"/>
              </w:rPr>
              <w:t>12</w:t>
            </w:r>
          </w:p>
        </w:tc>
        <w:tc>
          <w:tcPr>
            <w:tcW w:w="1396" w:type="dxa"/>
            <w:tcBorders>
              <w:top w:val="nil"/>
              <w:left w:val="nil"/>
              <w:bottom w:val="single" w:sz="4" w:space="0" w:color="auto"/>
              <w:right w:val="single" w:sz="4" w:space="0" w:color="auto"/>
            </w:tcBorders>
            <w:shd w:val="clear" w:color="auto" w:fill="auto"/>
            <w:noWrap/>
            <w:vAlign w:val="bottom"/>
            <w:hideMark/>
          </w:tcPr>
          <w:p w14:paraId="7D28EDCB" w14:textId="7B9FC239" w:rsidR="00E1662A" w:rsidRPr="00D24BF7" w:rsidRDefault="00E1662A" w:rsidP="00E1662A">
            <w:pPr>
              <w:spacing w:after="0" w:line="240" w:lineRule="auto"/>
              <w:rPr>
                <w:rFonts w:eastAsia="Times New Roman" w:cs="Calibri"/>
                <w:color w:val="000000"/>
                <w:spacing w:val="0"/>
                <w:lang w:eastAsia="en-IN"/>
              </w:rPr>
            </w:pPr>
            <w:r w:rsidRPr="00D24BF7">
              <w:rPr>
                <w:rFonts w:eastAsia="Times New Roman" w:cs="Calibri"/>
                <w:color w:val="000000"/>
                <w:spacing w:val="0"/>
                <w:lang w:eastAsia="en-IN"/>
              </w:rPr>
              <w:t>Other State/UTs</w:t>
            </w:r>
          </w:p>
        </w:tc>
        <w:tc>
          <w:tcPr>
            <w:tcW w:w="1984" w:type="dxa"/>
            <w:tcBorders>
              <w:top w:val="nil"/>
              <w:left w:val="nil"/>
              <w:bottom w:val="single" w:sz="4" w:space="0" w:color="auto"/>
              <w:right w:val="single" w:sz="4" w:space="0" w:color="auto"/>
            </w:tcBorders>
            <w:shd w:val="clear" w:color="auto" w:fill="auto"/>
            <w:noWrap/>
            <w:vAlign w:val="bottom"/>
            <w:hideMark/>
          </w:tcPr>
          <w:p w14:paraId="26378FAA"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164.5</w:t>
            </w:r>
          </w:p>
        </w:tc>
        <w:tc>
          <w:tcPr>
            <w:tcW w:w="2209" w:type="dxa"/>
            <w:tcBorders>
              <w:top w:val="nil"/>
              <w:left w:val="nil"/>
              <w:bottom w:val="single" w:sz="4" w:space="0" w:color="auto"/>
              <w:right w:val="single" w:sz="4" w:space="0" w:color="auto"/>
            </w:tcBorders>
            <w:shd w:val="clear" w:color="auto" w:fill="auto"/>
            <w:noWrap/>
            <w:vAlign w:val="bottom"/>
            <w:hideMark/>
          </w:tcPr>
          <w:p w14:paraId="3C8F3D9B"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26</w:t>
            </w:r>
          </w:p>
        </w:tc>
        <w:tc>
          <w:tcPr>
            <w:tcW w:w="1760" w:type="dxa"/>
            <w:tcBorders>
              <w:top w:val="nil"/>
              <w:left w:val="nil"/>
              <w:bottom w:val="single" w:sz="4" w:space="0" w:color="auto"/>
              <w:right w:val="single" w:sz="4" w:space="0" w:color="auto"/>
            </w:tcBorders>
            <w:shd w:val="clear" w:color="auto" w:fill="auto"/>
            <w:noWrap/>
            <w:vAlign w:val="bottom"/>
            <w:hideMark/>
          </w:tcPr>
          <w:p w14:paraId="5E3B3CC5"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100.72</w:t>
            </w:r>
          </w:p>
        </w:tc>
        <w:tc>
          <w:tcPr>
            <w:tcW w:w="1390" w:type="dxa"/>
            <w:tcBorders>
              <w:top w:val="nil"/>
              <w:left w:val="nil"/>
              <w:bottom w:val="single" w:sz="4" w:space="0" w:color="auto"/>
              <w:right w:val="single" w:sz="4" w:space="0" w:color="auto"/>
            </w:tcBorders>
            <w:shd w:val="clear" w:color="auto" w:fill="auto"/>
            <w:noWrap/>
            <w:vAlign w:val="bottom"/>
            <w:hideMark/>
          </w:tcPr>
          <w:p w14:paraId="21974D20" w14:textId="77777777" w:rsidR="00E1662A" w:rsidRPr="00D24BF7" w:rsidRDefault="00E1662A" w:rsidP="00A823B4">
            <w:pPr>
              <w:spacing w:after="0" w:line="240" w:lineRule="auto"/>
              <w:jc w:val="center"/>
              <w:rPr>
                <w:rFonts w:eastAsia="Times New Roman" w:cs="Calibri"/>
                <w:color w:val="000000"/>
                <w:spacing w:val="0"/>
                <w:lang w:eastAsia="en-IN"/>
              </w:rPr>
            </w:pPr>
            <w:r w:rsidRPr="00D24BF7">
              <w:rPr>
                <w:rFonts w:eastAsia="Times New Roman" w:cs="Calibri"/>
                <w:color w:val="000000"/>
                <w:spacing w:val="0"/>
                <w:lang w:eastAsia="en-IN"/>
              </w:rPr>
              <w:t>28</w:t>
            </w:r>
          </w:p>
        </w:tc>
      </w:tr>
      <w:tr w:rsidR="00E1662A" w:rsidRPr="00D24BF7" w14:paraId="0F49CC56" w14:textId="77777777" w:rsidTr="00A823B4">
        <w:trPr>
          <w:trHeight w:val="296"/>
        </w:trPr>
        <w:tc>
          <w:tcPr>
            <w:tcW w:w="21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F8C55" w14:textId="77777777" w:rsidR="00E1662A" w:rsidRPr="00D24BF7" w:rsidRDefault="00E1662A" w:rsidP="00E1662A">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Grand Total</w:t>
            </w:r>
          </w:p>
        </w:tc>
        <w:tc>
          <w:tcPr>
            <w:tcW w:w="1984" w:type="dxa"/>
            <w:tcBorders>
              <w:top w:val="nil"/>
              <w:left w:val="nil"/>
              <w:bottom w:val="single" w:sz="4" w:space="0" w:color="auto"/>
              <w:right w:val="single" w:sz="4" w:space="0" w:color="auto"/>
            </w:tcBorders>
            <w:shd w:val="clear" w:color="auto" w:fill="auto"/>
            <w:noWrap/>
            <w:vAlign w:val="bottom"/>
            <w:hideMark/>
          </w:tcPr>
          <w:p w14:paraId="0AE74FE1"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633.9</w:t>
            </w:r>
          </w:p>
        </w:tc>
        <w:tc>
          <w:tcPr>
            <w:tcW w:w="2209" w:type="dxa"/>
            <w:tcBorders>
              <w:top w:val="nil"/>
              <w:left w:val="nil"/>
              <w:bottom w:val="single" w:sz="4" w:space="0" w:color="auto"/>
              <w:right w:val="single" w:sz="4" w:space="0" w:color="auto"/>
            </w:tcBorders>
            <w:shd w:val="clear" w:color="auto" w:fill="auto"/>
            <w:noWrap/>
            <w:vAlign w:val="bottom"/>
            <w:hideMark/>
          </w:tcPr>
          <w:p w14:paraId="66F02AA6"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100</w:t>
            </w:r>
          </w:p>
        </w:tc>
        <w:tc>
          <w:tcPr>
            <w:tcW w:w="1760" w:type="dxa"/>
            <w:tcBorders>
              <w:top w:val="nil"/>
              <w:left w:val="nil"/>
              <w:bottom w:val="single" w:sz="4" w:space="0" w:color="auto"/>
              <w:right w:val="single" w:sz="4" w:space="0" w:color="auto"/>
            </w:tcBorders>
            <w:shd w:val="clear" w:color="auto" w:fill="auto"/>
            <w:noWrap/>
            <w:vAlign w:val="bottom"/>
            <w:hideMark/>
          </w:tcPr>
          <w:p w14:paraId="26A12030"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361.76</w:t>
            </w:r>
          </w:p>
        </w:tc>
        <w:tc>
          <w:tcPr>
            <w:tcW w:w="1390" w:type="dxa"/>
            <w:tcBorders>
              <w:top w:val="nil"/>
              <w:left w:val="nil"/>
              <w:bottom w:val="single" w:sz="4" w:space="0" w:color="auto"/>
              <w:right w:val="single" w:sz="4" w:space="0" w:color="auto"/>
            </w:tcBorders>
            <w:shd w:val="clear" w:color="auto" w:fill="auto"/>
            <w:noWrap/>
            <w:vAlign w:val="bottom"/>
            <w:hideMark/>
          </w:tcPr>
          <w:p w14:paraId="0E5C8AE9" w14:textId="77777777" w:rsidR="00E1662A" w:rsidRPr="00D24BF7" w:rsidRDefault="00E1662A" w:rsidP="00A823B4">
            <w:pPr>
              <w:spacing w:after="0" w:line="240" w:lineRule="auto"/>
              <w:jc w:val="center"/>
              <w:rPr>
                <w:rFonts w:eastAsia="Times New Roman" w:cs="Calibri"/>
                <w:b/>
                <w:bCs/>
                <w:color w:val="000000"/>
                <w:spacing w:val="0"/>
                <w:lang w:eastAsia="en-IN"/>
              </w:rPr>
            </w:pPr>
            <w:r w:rsidRPr="00D24BF7">
              <w:rPr>
                <w:rFonts w:eastAsia="Times New Roman" w:cs="Calibri"/>
                <w:b/>
                <w:bCs/>
                <w:color w:val="000000"/>
                <w:spacing w:val="0"/>
                <w:lang w:eastAsia="en-IN"/>
              </w:rPr>
              <w:t>100</w:t>
            </w:r>
          </w:p>
        </w:tc>
      </w:tr>
    </w:tbl>
    <w:p w14:paraId="31510E2E" w14:textId="3EB873CA" w:rsidR="003E08FF" w:rsidRPr="00D24BF7" w:rsidRDefault="003E08FF" w:rsidP="00936C93">
      <w:pPr>
        <w:pStyle w:val="NormalWeb"/>
        <w:shd w:val="clear" w:color="auto" w:fill="FFFFFF"/>
        <w:spacing w:before="0" w:beforeAutospacing="0" w:after="225" w:afterAutospacing="0"/>
        <w:jc w:val="both"/>
        <w:rPr>
          <w:rFonts w:ascii="Verdana" w:hAnsi="Verdana" w:cs="Noto Serif"/>
          <w:color w:val="000000" w:themeColor="text1"/>
          <w:sz w:val="20"/>
          <w:szCs w:val="20"/>
        </w:rPr>
      </w:pPr>
    </w:p>
    <w:p w14:paraId="453EE061" w14:textId="3B620EEF" w:rsidR="00806FB0" w:rsidRPr="00D24BF7" w:rsidRDefault="00F86EEB" w:rsidP="00936C93">
      <w:pPr>
        <w:pStyle w:val="NormalWeb"/>
        <w:shd w:val="clear" w:color="auto" w:fill="FFFFFF"/>
        <w:spacing w:before="0" w:beforeAutospacing="0" w:after="225" w:afterAutospacing="0"/>
        <w:jc w:val="both"/>
        <w:rPr>
          <w:rFonts w:ascii="Verdana" w:hAnsi="Verdana"/>
          <w:sz w:val="20"/>
          <w:szCs w:val="20"/>
        </w:rPr>
      </w:pPr>
      <w:r w:rsidRPr="00D24BF7">
        <w:rPr>
          <w:rFonts w:ascii="Verdana" w:hAnsi="Verdana"/>
          <w:sz w:val="20"/>
          <w:szCs w:val="20"/>
        </w:rPr>
        <w:t>One of the critical indicators to assess the successful development of MSME Sector in an economy is the data on opening of new MSMEs; it depicts the conducive environment for opening and growth of such units in an economy as well as show the high morale of entrepreneurs in the macroeconomics of the economy.</w:t>
      </w:r>
    </w:p>
    <w:tbl>
      <w:tblPr>
        <w:tblW w:w="9431" w:type="dxa"/>
        <w:tblLook w:val="04A0" w:firstRow="1" w:lastRow="0" w:firstColumn="1" w:lastColumn="0" w:noHBand="0" w:noVBand="1"/>
      </w:tblPr>
      <w:tblGrid>
        <w:gridCol w:w="2547"/>
        <w:gridCol w:w="3925"/>
        <w:gridCol w:w="2959"/>
      </w:tblGrid>
      <w:tr w:rsidR="00F86EEB" w:rsidRPr="00F86EEB" w14:paraId="36949626" w14:textId="77777777" w:rsidTr="00F86EEB">
        <w:trPr>
          <w:trHeight w:val="267"/>
        </w:trPr>
        <w:tc>
          <w:tcPr>
            <w:tcW w:w="943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DA80C"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 xml:space="preserve">Comparative Percentage Distribution of MSMEs </w:t>
            </w:r>
          </w:p>
        </w:tc>
      </w:tr>
      <w:tr w:rsidR="00F86EEB" w:rsidRPr="00F86EEB" w14:paraId="59FEFDE3" w14:textId="77777777" w:rsidTr="00F86EEB">
        <w:trPr>
          <w:trHeight w:val="1109"/>
        </w:trPr>
        <w:tc>
          <w:tcPr>
            <w:tcW w:w="2547" w:type="dxa"/>
            <w:tcBorders>
              <w:top w:val="nil"/>
              <w:left w:val="single" w:sz="4" w:space="0" w:color="auto"/>
              <w:bottom w:val="single" w:sz="4" w:space="0" w:color="auto"/>
              <w:right w:val="single" w:sz="4" w:space="0" w:color="auto"/>
            </w:tcBorders>
            <w:shd w:val="clear" w:color="auto" w:fill="auto"/>
            <w:noWrap/>
            <w:vAlign w:val="center"/>
            <w:hideMark/>
          </w:tcPr>
          <w:p w14:paraId="7D50F5B6"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States</w:t>
            </w:r>
          </w:p>
        </w:tc>
        <w:tc>
          <w:tcPr>
            <w:tcW w:w="3925" w:type="dxa"/>
            <w:tcBorders>
              <w:top w:val="nil"/>
              <w:left w:val="nil"/>
              <w:bottom w:val="single" w:sz="4" w:space="0" w:color="auto"/>
              <w:right w:val="single" w:sz="4" w:space="0" w:color="auto"/>
            </w:tcBorders>
            <w:shd w:val="clear" w:color="auto" w:fill="auto"/>
            <w:vAlign w:val="bottom"/>
            <w:hideMark/>
          </w:tcPr>
          <w:p w14:paraId="25EF3304" w14:textId="77777777" w:rsidR="00F86EEB" w:rsidRPr="00F86EEB" w:rsidRDefault="00F86EEB" w:rsidP="00F86EEB">
            <w:pPr>
              <w:spacing w:after="0" w:line="240" w:lineRule="auto"/>
              <w:rPr>
                <w:rFonts w:eastAsia="Times New Roman" w:cs="Calibri"/>
                <w:b/>
                <w:bCs/>
                <w:color w:val="000000"/>
                <w:spacing w:val="0"/>
                <w:lang w:eastAsia="en-IN"/>
              </w:rPr>
            </w:pPr>
            <w:r w:rsidRPr="00F86EEB">
              <w:rPr>
                <w:rFonts w:eastAsia="Times New Roman" w:cs="Calibri"/>
                <w:b/>
                <w:bCs/>
                <w:color w:val="000000"/>
                <w:spacing w:val="0"/>
                <w:lang w:eastAsia="en-IN"/>
              </w:rPr>
              <w:t>Fourth All India Census of MSME and 5th Economic Census</w:t>
            </w:r>
          </w:p>
        </w:tc>
        <w:tc>
          <w:tcPr>
            <w:tcW w:w="2959" w:type="dxa"/>
            <w:tcBorders>
              <w:top w:val="nil"/>
              <w:left w:val="nil"/>
              <w:bottom w:val="single" w:sz="4" w:space="0" w:color="auto"/>
              <w:right w:val="single" w:sz="4" w:space="0" w:color="auto"/>
            </w:tcBorders>
            <w:shd w:val="clear" w:color="auto" w:fill="auto"/>
            <w:vAlign w:val="center"/>
            <w:hideMark/>
          </w:tcPr>
          <w:p w14:paraId="6484E982"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NSS 73rd Round</w:t>
            </w:r>
          </w:p>
        </w:tc>
      </w:tr>
      <w:tr w:rsidR="00F86EEB" w:rsidRPr="00F86EEB" w14:paraId="64C63565"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65EC941"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UP</w:t>
            </w:r>
          </w:p>
        </w:tc>
        <w:tc>
          <w:tcPr>
            <w:tcW w:w="3925" w:type="dxa"/>
            <w:tcBorders>
              <w:top w:val="nil"/>
              <w:left w:val="nil"/>
              <w:bottom w:val="single" w:sz="4" w:space="0" w:color="auto"/>
              <w:right w:val="single" w:sz="4" w:space="0" w:color="auto"/>
            </w:tcBorders>
            <w:shd w:val="clear" w:color="auto" w:fill="auto"/>
            <w:noWrap/>
            <w:vAlign w:val="bottom"/>
            <w:hideMark/>
          </w:tcPr>
          <w:p w14:paraId="1D5B89A6"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12</w:t>
            </w:r>
          </w:p>
        </w:tc>
        <w:tc>
          <w:tcPr>
            <w:tcW w:w="2959" w:type="dxa"/>
            <w:tcBorders>
              <w:top w:val="nil"/>
              <w:left w:val="nil"/>
              <w:bottom w:val="single" w:sz="4" w:space="0" w:color="auto"/>
              <w:right w:val="single" w:sz="4" w:space="0" w:color="auto"/>
            </w:tcBorders>
            <w:shd w:val="clear" w:color="auto" w:fill="auto"/>
            <w:noWrap/>
            <w:vAlign w:val="bottom"/>
            <w:hideMark/>
          </w:tcPr>
          <w:p w14:paraId="5BBC6046"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14</w:t>
            </w:r>
          </w:p>
        </w:tc>
      </w:tr>
      <w:tr w:rsidR="00F86EEB" w:rsidRPr="00F86EEB" w14:paraId="03CF28CF"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2FB46F9"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WB</w:t>
            </w:r>
          </w:p>
        </w:tc>
        <w:tc>
          <w:tcPr>
            <w:tcW w:w="3925" w:type="dxa"/>
            <w:tcBorders>
              <w:top w:val="nil"/>
              <w:left w:val="nil"/>
              <w:bottom w:val="single" w:sz="4" w:space="0" w:color="auto"/>
              <w:right w:val="single" w:sz="4" w:space="0" w:color="auto"/>
            </w:tcBorders>
            <w:shd w:val="clear" w:color="auto" w:fill="auto"/>
            <w:noWrap/>
            <w:vAlign w:val="bottom"/>
            <w:hideMark/>
          </w:tcPr>
          <w:p w14:paraId="1CDE8BC9"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10</w:t>
            </w:r>
          </w:p>
        </w:tc>
        <w:tc>
          <w:tcPr>
            <w:tcW w:w="2959" w:type="dxa"/>
            <w:tcBorders>
              <w:top w:val="nil"/>
              <w:left w:val="nil"/>
              <w:bottom w:val="single" w:sz="4" w:space="0" w:color="auto"/>
              <w:right w:val="single" w:sz="4" w:space="0" w:color="auto"/>
            </w:tcBorders>
            <w:shd w:val="clear" w:color="auto" w:fill="auto"/>
            <w:noWrap/>
            <w:vAlign w:val="bottom"/>
            <w:hideMark/>
          </w:tcPr>
          <w:p w14:paraId="20A562E2"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14</w:t>
            </w:r>
          </w:p>
        </w:tc>
      </w:tr>
      <w:tr w:rsidR="00F86EEB" w:rsidRPr="00F86EEB" w14:paraId="3E404DE0"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3D5D4339"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TN</w:t>
            </w:r>
          </w:p>
        </w:tc>
        <w:tc>
          <w:tcPr>
            <w:tcW w:w="3925" w:type="dxa"/>
            <w:tcBorders>
              <w:top w:val="nil"/>
              <w:left w:val="nil"/>
              <w:bottom w:val="single" w:sz="4" w:space="0" w:color="auto"/>
              <w:right w:val="single" w:sz="4" w:space="0" w:color="auto"/>
            </w:tcBorders>
            <w:shd w:val="clear" w:color="auto" w:fill="auto"/>
            <w:noWrap/>
            <w:vAlign w:val="bottom"/>
            <w:hideMark/>
          </w:tcPr>
          <w:p w14:paraId="3DE8BA1F"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9</w:t>
            </w:r>
          </w:p>
        </w:tc>
        <w:tc>
          <w:tcPr>
            <w:tcW w:w="2959" w:type="dxa"/>
            <w:tcBorders>
              <w:top w:val="nil"/>
              <w:left w:val="nil"/>
              <w:bottom w:val="single" w:sz="4" w:space="0" w:color="auto"/>
              <w:right w:val="single" w:sz="4" w:space="0" w:color="auto"/>
            </w:tcBorders>
            <w:shd w:val="clear" w:color="auto" w:fill="auto"/>
            <w:noWrap/>
            <w:vAlign w:val="bottom"/>
            <w:hideMark/>
          </w:tcPr>
          <w:p w14:paraId="24391DFE"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8</w:t>
            </w:r>
          </w:p>
        </w:tc>
      </w:tr>
      <w:tr w:rsidR="00F86EEB" w:rsidRPr="00F86EEB" w14:paraId="2D20D5FC"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3F8517B"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Maharashtra</w:t>
            </w:r>
          </w:p>
        </w:tc>
        <w:tc>
          <w:tcPr>
            <w:tcW w:w="3925" w:type="dxa"/>
            <w:tcBorders>
              <w:top w:val="nil"/>
              <w:left w:val="nil"/>
              <w:bottom w:val="single" w:sz="4" w:space="0" w:color="auto"/>
              <w:right w:val="single" w:sz="4" w:space="0" w:color="auto"/>
            </w:tcBorders>
            <w:shd w:val="clear" w:color="auto" w:fill="auto"/>
            <w:noWrap/>
            <w:vAlign w:val="bottom"/>
            <w:hideMark/>
          </w:tcPr>
          <w:p w14:paraId="285AC3FC"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8</w:t>
            </w:r>
          </w:p>
        </w:tc>
        <w:tc>
          <w:tcPr>
            <w:tcW w:w="2959" w:type="dxa"/>
            <w:tcBorders>
              <w:top w:val="nil"/>
              <w:left w:val="nil"/>
              <w:bottom w:val="single" w:sz="4" w:space="0" w:color="auto"/>
              <w:right w:val="single" w:sz="4" w:space="0" w:color="auto"/>
            </w:tcBorders>
            <w:shd w:val="clear" w:color="auto" w:fill="auto"/>
            <w:noWrap/>
            <w:vAlign w:val="bottom"/>
            <w:hideMark/>
          </w:tcPr>
          <w:p w14:paraId="3D1D6E64"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9</w:t>
            </w:r>
          </w:p>
        </w:tc>
      </w:tr>
      <w:tr w:rsidR="00F86EEB" w:rsidRPr="00F86EEB" w14:paraId="316E8025"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BDEE5A"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Karnataka</w:t>
            </w:r>
          </w:p>
        </w:tc>
        <w:tc>
          <w:tcPr>
            <w:tcW w:w="3925" w:type="dxa"/>
            <w:tcBorders>
              <w:top w:val="nil"/>
              <w:left w:val="nil"/>
              <w:bottom w:val="single" w:sz="4" w:space="0" w:color="auto"/>
              <w:right w:val="single" w:sz="4" w:space="0" w:color="auto"/>
            </w:tcBorders>
            <w:shd w:val="clear" w:color="auto" w:fill="auto"/>
            <w:noWrap/>
            <w:vAlign w:val="bottom"/>
            <w:hideMark/>
          </w:tcPr>
          <w:p w14:paraId="146DC951"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6</w:t>
            </w:r>
          </w:p>
        </w:tc>
        <w:tc>
          <w:tcPr>
            <w:tcW w:w="2959" w:type="dxa"/>
            <w:tcBorders>
              <w:top w:val="nil"/>
              <w:left w:val="nil"/>
              <w:bottom w:val="single" w:sz="4" w:space="0" w:color="auto"/>
              <w:right w:val="single" w:sz="4" w:space="0" w:color="auto"/>
            </w:tcBorders>
            <w:shd w:val="clear" w:color="auto" w:fill="auto"/>
            <w:noWrap/>
            <w:vAlign w:val="bottom"/>
            <w:hideMark/>
          </w:tcPr>
          <w:p w14:paraId="52D0DB00"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6</w:t>
            </w:r>
          </w:p>
        </w:tc>
      </w:tr>
      <w:tr w:rsidR="00F86EEB" w:rsidRPr="00F86EEB" w14:paraId="236C0AFC"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736C98E"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Bihar</w:t>
            </w:r>
          </w:p>
        </w:tc>
        <w:tc>
          <w:tcPr>
            <w:tcW w:w="3925" w:type="dxa"/>
            <w:tcBorders>
              <w:top w:val="nil"/>
              <w:left w:val="nil"/>
              <w:bottom w:val="single" w:sz="4" w:space="0" w:color="auto"/>
              <w:right w:val="single" w:sz="4" w:space="0" w:color="auto"/>
            </w:tcBorders>
            <w:shd w:val="clear" w:color="auto" w:fill="auto"/>
            <w:noWrap/>
            <w:vAlign w:val="bottom"/>
            <w:hideMark/>
          </w:tcPr>
          <w:p w14:paraId="0BDF3CAF"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4</w:t>
            </w:r>
          </w:p>
        </w:tc>
        <w:tc>
          <w:tcPr>
            <w:tcW w:w="2959" w:type="dxa"/>
            <w:tcBorders>
              <w:top w:val="nil"/>
              <w:left w:val="nil"/>
              <w:bottom w:val="single" w:sz="4" w:space="0" w:color="auto"/>
              <w:right w:val="single" w:sz="4" w:space="0" w:color="auto"/>
            </w:tcBorders>
            <w:shd w:val="clear" w:color="auto" w:fill="auto"/>
            <w:noWrap/>
            <w:vAlign w:val="bottom"/>
            <w:hideMark/>
          </w:tcPr>
          <w:p w14:paraId="0E27AEDD"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5</w:t>
            </w:r>
          </w:p>
        </w:tc>
      </w:tr>
      <w:tr w:rsidR="00F86EEB" w:rsidRPr="00F86EEB" w14:paraId="418A5DC2"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2EE2FF4"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AP</w:t>
            </w:r>
          </w:p>
        </w:tc>
        <w:tc>
          <w:tcPr>
            <w:tcW w:w="3925" w:type="dxa"/>
            <w:tcBorders>
              <w:top w:val="nil"/>
              <w:left w:val="nil"/>
              <w:bottom w:val="single" w:sz="4" w:space="0" w:color="auto"/>
              <w:right w:val="single" w:sz="4" w:space="0" w:color="auto"/>
            </w:tcBorders>
            <w:shd w:val="clear" w:color="auto" w:fill="auto"/>
            <w:noWrap/>
            <w:vAlign w:val="bottom"/>
            <w:hideMark/>
          </w:tcPr>
          <w:p w14:paraId="06B26548"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7</w:t>
            </w:r>
          </w:p>
        </w:tc>
        <w:tc>
          <w:tcPr>
            <w:tcW w:w="2959" w:type="dxa"/>
            <w:tcBorders>
              <w:top w:val="nil"/>
              <w:left w:val="nil"/>
              <w:bottom w:val="single" w:sz="4" w:space="0" w:color="auto"/>
              <w:right w:val="single" w:sz="4" w:space="0" w:color="auto"/>
            </w:tcBorders>
            <w:shd w:val="clear" w:color="auto" w:fill="auto"/>
            <w:noWrap/>
            <w:vAlign w:val="bottom"/>
            <w:hideMark/>
          </w:tcPr>
          <w:p w14:paraId="04E43322"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5</w:t>
            </w:r>
          </w:p>
        </w:tc>
      </w:tr>
      <w:tr w:rsidR="00F86EEB" w:rsidRPr="00F86EEB" w14:paraId="62CA7FB4"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43BB1D2"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Gujarat</w:t>
            </w:r>
          </w:p>
        </w:tc>
        <w:tc>
          <w:tcPr>
            <w:tcW w:w="3925" w:type="dxa"/>
            <w:tcBorders>
              <w:top w:val="nil"/>
              <w:left w:val="nil"/>
              <w:bottom w:val="single" w:sz="4" w:space="0" w:color="auto"/>
              <w:right w:val="single" w:sz="4" w:space="0" w:color="auto"/>
            </w:tcBorders>
            <w:shd w:val="clear" w:color="auto" w:fill="auto"/>
            <w:noWrap/>
            <w:vAlign w:val="bottom"/>
            <w:hideMark/>
          </w:tcPr>
          <w:p w14:paraId="3121B023"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6</w:t>
            </w:r>
          </w:p>
        </w:tc>
        <w:tc>
          <w:tcPr>
            <w:tcW w:w="2959" w:type="dxa"/>
            <w:tcBorders>
              <w:top w:val="nil"/>
              <w:left w:val="nil"/>
              <w:bottom w:val="single" w:sz="4" w:space="0" w:color="auto"/>
              <w:right w:val="single" w:sz="4" w:space="0" w:color="auto"/>
            </w:tcBorders>
            <w:shd w:val="clear" w:color="auto" w:fill="auto"/>
            <w:noWrap/>
            <w:vAlign w:val="bottom"/>
            <w:hideMark/>
          </w:tcPr>
          <w:p w14:paraId="746F0973"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5</w:t>
            </w:r>
          </w:p>
        </w:tc>
      </w:tr>
      <w:tr w:rsidR="00F86EEB" w:rsidRPr="00F86EEB" w14:paraId="7C56EBBF"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0D921135"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Raj</w:t>
            </w:r>
          </w:p>
        </w:tc>
        <w:tc>
          <w:tcPr>
            <w:tcW w:w="3925" w:type="dxa"/>
            <w:tcBorders>
              <w:top w:val="nil"/>
              <w:left w:val="nil"/>
              <w:bottom w:val="single" w:sz="4" w:space="0" w:color="auto"/>
              <w:right w:val="single" w:sz="4" w:space="0" w:color="auto"/>
            </w:tcBorders>
            <w:shd w:val="clear" w:color="auto" w:fill="auto"/>
            <w:noWrap/>
            <w:vAlign w:val="bottom"/>
            <w:hideMark/>
          </w:tcPr>
          <w:p w14:paraId="37AAD88D"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5</w:t>
            </w:r>
          </w:p>
        </w:tc>
        <w:tc>
          <w:tcPr>
            <w:tcW w:w="2959" w:type="dxa"/>
            <w:tcBorders>
              <w:top w:val="nil"/>
              <w:left w:val="nil"/>
              <w:bottom w:val="single" w:sz="4" w:space="0" w:color="auto"/>
              <w:right w:val="single" w:sz="4" w:space="0" w:color="auto"/>
            </w:tcBorders>
            <w:shd w:val="clear" w:color="auto" w:fill="auto"/>
            <w:noWrap/>
            <w:vAlign w:val="bottom"/>
            <w:hideMark/>
          </w:tcPr>
          <w:p w14:paraId="304258D7"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4</w:t>
            </w:r>
          </w:p>
        </w:tc>
      </w:tr>
      <w:tr w:rsidR="00F86EEB" w:rsidRPr="00F86EEB" w14:paraId="0EB72B75"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D9EEEB5"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MP</w:t>
            </w:r>
          </w:p>
        </w:tc>
        <w:tc>
          <w:tcPr>
            <w:tcW w:w="3925" w:type="dxa"/>
            <w:tcBorders>
              <w:top w:val="nil"/>
              <w:left w:val="nil"/>
              <w:bottom w:val="single" w:sz="4" w:space="0" w:color="auto"/>
              <w:right w:val="single" w:sz="4" w:space="0" w:color="auto"/>
            </w:tcBorders>
            <w:shd w:val="clear" w:color="auto" w:fill="auto"/>
            <w:noWrap/>
            <w:vAlign w:val="bottom"/>
            <w:hideMark/>
          </w:tcPr>
          <w:p w14:paraId="45385405"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5</w:t>
            </w:r>
          </w:p>
        </w:tc>
        <w:tc>
          <w:tcPr>
            <w:tcW w:w="2959" w:type="dxa"/>
            <w:tcBorders>
              <w:top w:val="nil"/>
              <w:left w:val="nil"/>
              <w:bottom w:val="single" w:sz="4" w:space="0" w:color="auto"/>
              <w:right w:val="single" w:sz="4" w:space="0" w:color="auto"/>
            </w:tcBorders>
            <w:shd w:val="clear" w:color="auto" w:fill="auto"/>
            <w:noWrap/>
            <w:vAlign w:val="bottom"/>
            <w:hideMark/>
          </w:tcPr>
          <w:p w14:paraId="1CFC1B7C"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4</w:t>
            </w:r>
          </w:p>
        </w:tc>
      </w:tr>
      <w:tr w:rsidR="00F86EEB" w:rsidRPr="00F86EEB" w14:paraId="7525353F"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40ADEF4"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Other State/UTs</w:t>
            </w:r>
          </w:p>
        </w:tc>
        <w:tc>
          <w:tcPr>
            <w:tcW w:w="3925" w:type="dxa"/>
            <w:tcBorders>
              <w:top w:val="nil"/>
              <w:left w:val="nil"/>
              <w:bottom w:val="single" w:sz="4" w:space="0" w:color="auto"/>
              <w:right w:val="single" w:sz="4" w:space="0" w:color="auto"/>
            </w:tcBorders>
            <w:shd w:val="clear" w:color="auto" w:fill="auto"/>
            <w:noWrap/>
            <w:vAlign w:val="bottom"/>
            <w:hideMark/>
          </w:tcPr>
          <w:p w14:paraId="5017FA00"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28</w:t>
            </w:r>
          </w:p>
        </w:tc>
        <w:tc>
          <w:tcPr>
            <w:tcW w:w="2959" w:type="dxa"/>
            <w:tcBorders>
              <w:top w:val="nil"/>
              <w:left w:val="nil"/>
              <w:bottom w:val="single" w:sz="4" w:space="0" w:color="auto"/>
              <w:right w:val="single" w:sz="4" w:space="0" w:color="auto"/>
            </w:tcBorders>
            <w:shd w:val="clear" w:color="auto" w:fill="auto"/>
            <w:noWrap/>
            <w:vAlign w:val="bottom"/>
            <w:hideMark/>
          </w:tcPr>
          <w:p w14:paraId="42DEB727" w14:textId="77777777" w:rsidR="00F86EEB" w:rsidRPr="00F86EEB" w:rsidRDefault="00F86EEB" w:rsidP="00F86EEB">
            <w:pPr>
              <w:spacing w:after="0" w:line="240" w:lineRule="auto"/>
              <w:jc w:val="center"/>
              <w:rPr>
                <w:rFonts w:eastAsia="Times New Roman" w:cs="Calibri"/>
                <w:color w:val="000000"/>
                <w:spacing w:val="0"/>
                <w:lang w:eastAsia="en-IN"/>
              </w:rPr>
            </w:pPr>
            <w:r w:rsidRPr="00F86EEB">
              <w:rPr>
                <w:rFonts w:eastAsia="Times New Roman" w:cs="Calibri"/>
                <w:color w:val="000000"/>
                <w:spacing w:val="0"/>
                <w:lang w:eastAsia="en-IN"/>
              </w:rPr>
              <w:t>26</w:t>
            </w:r>
          </w:p>
        </w:tc>
      </w:tr>
      <w:tr w:rsidR="00F86EEB" w:rsidRPr="00F86EEB" w14:paraId="632665EB" w14:textId="77777777" w:rsidTr="00F86EEB">
        <w:trPr>
          <w:trHeight w:val="267"/>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F78A92D"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Grand Total</w:t>
            </w:r>
          </w:p>
        </w:tc>
        <w:tc>
          <w:tcPr>
            <w:tcW w:w="3925" w:type="dxa"/>
            <w:tcBorders>
              <w:top w:val="nil"/>
              <w:left w:val="nil"/>
              <w:bottom w:val="single" w:sz="4" w:space="0" w:color="auto"/>
              <w:right w:val="single" w:sz="4" w:space="0" w:color="auto"/>
            </w:tcBorders>
            <w:shd w:val="clear" w:color="auto" w:fill="auto"/>
            <w:noWrap/>
            <w:vAlign w:val="bottom"/>
            <w:hideMark/>
          </w:tcPr>
          <w:p w14:paraId="42FEDD6B"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100</w:t>
            </w:r>
          </w:p>
        </w:tc>
        <w:tc>
          <w:tcPr>
            <w:tcW w:w="2959" w:type="dxa"/>
            <w:tcBorders>
              <w:top w:val="nil"/>
              <w:left w:val="nil"/>
              <w:bottom w:val="single" w:sz="4" w:space="0" w:color="auto"/>
              <w:right w:val="single" w:sz="4" w:space="0" w:color="auto"/>
            </w:tcBorders>
            <w:shd w:val="clear" w:color="auto" w:fill="auto"/>
            <w:noWrap/>
            <w:vAlign w:val="bottom"/>
            <w:hideMark/>
          </w:tcPr>
          <w:p w14:paraId="468122F2" w14:textId="77777777" w:rsidR="00F86EEB" w:rsidRPr="00F86EEB" w:rsidRDefault="00F86EEB" w:rsidP="00F86EEB">
            <w:pPr>
              <w:spacing w:after="0" w:line="240" w:lineRule="auto"/>
              <w:jc w:val="center"/>
              <w:rPr>
                <w:rFonts w:eastAsia="Times New Roman" w:cs="Calibri"/>
                <w:b/>
                <w:bCs/>
                <w:color w:val="000000"/>
                <w:spacing w:val="0"/>
                <w:lang w:eastAsia="en-IN"/>
              </w:rPr>
            </w:pPr>
            <w:r w:rsidRPr="00F86EEB">
              <w:rPr>
                <w:rFonts w:eastAsia="Times New Roman" w:cs="Calibri"/>
                <w:b/>
                <w:bCs/>
                <w:color w:val="000000"/>
                <w:spacing w:val="0"/>
                <w:lang w:eastAsia="en-IN"/>
              </w:rPr>
              <w:t>100</w:t>
            </w:r>
          </w:p>
        </w:tc>
      </w:tr>
    </w:tbl>
    <w:p w14:paraId="3BE3A83D" w14:textId="1966FF63" w:rsidR="00F86EEB" w:rsidRPr="00D24BF7" w:rsidRDefault="00F86EEB" w:rsidP="00936C93">
      <w:pPr>
        <w:pStyle w:val="NormalWeb"/>
        <w:shd w:val="clear" w:color="auto" w:fill="FFFFFF"/>
        <w:spacing w:before="0" w:beforeAutospacing="0" w:after="225" w:afterAutospacing="0"/>
        <w:jc w:val="both"/>
        <w:rPr>
          <w:rFonts w:ascii="Verdana" w:hAnsi="Verdana" w:cs="Noto Serif"/>
          <w:color w:val="000000" w:themeColor="text1"/>
          <w:sz w:val="20"/>
          <w:szCs w:val="20"/>
        </w:rPr>
      </w:pPr>
    </w:p>
    <w:p w14:paraId="7D3E435E" w14:textId="29A19332" w:rsidR="00F86EEB" w:rsidRPr="00F86EEB" w:rsidRDefault="00F86EEB" w:rsidP="00B25066">
      <w:pPr>
        <w:pStyle w:val="NormalWeb"/>
        <w:shd w:val="clear" w:color="auto" w:fill="FFFFFF"/>
        <w:spacing w:before="0" w:beforeAutospacing="0" w:after="375" w:afterAutospacing="0"/>
        <w:jc w:val="both"/>
        <w:textAlignment w:val="baseline"/>
        <w:rPr>
          <w:rFonts w:ascii="Verdana" w:hAnsi="Verdana" w:cs="Open Sans"/>
          <w:color w:val="000000" w:themeColor="text1"/>
          <w:sz w:val="20"/>
          <w:szCs w:val="20"/>
        </w:rPr>
      </w:pPr>
      <w:r w:rsidRPr="00D24BF7">
        <w:rPr>
          <w:rFonts w:ascii="Verdana" w:hAnsi="Verdana" w:cs="Open Sans"/>
          <w:color w:val="000000" w:themeColor="text1"/>
          <w:sz w:val="20"/>
          <w:szCs w:val="20"/>
          <w:shd w:val="clear" w:color="auto" w:fill="FFFFFF"/>
        </w:rPr>
        <w:t>The Ease of Doing Business (</w:t>
      </w:r>
      <w:proofErr w:type="spellStart"/>
      <w:r w:rsidRPr="00D24BF7">
        <w:rPr>
          <w:rFonts w:ascii="Verdana" w:hAnsi="Verdana" w:cs="Open Sans"/>
          <w:color w:val="000000" w:themeColor="text1"/>
          <w:sz w:val="20"/>
          <w:szCs w:val="20"/>
          <w:shd w:val="clear" w:color="auto" w:fill="FFFFFF"/>
        </w:rPr>
        <w:t>EoDB</w:t>
      </w:r>
      <w:proofErr w:type="spellEnd"/>
      <w:r w:rsidRPr="00D24BF7">
        <w:rPr>
          <w:rFonts w:ascii="Verdana" w:hAnsi="Verdana" w:cs="Open Sans"/>
          <w:color w:val="000000" w:themeColor="text1"/>
          <w:sz w:val="20"/>
          <w:szCs w:val="20"/>
          <w:shd w:val="clear" w:color="auto" w:fill="FFFFFF"/>
        </w:rPr>
        <w:t>) index is a ranking system established by the World Bank Group. In the EODB index, ‘higher rankings’ (a lower numerical value) indicate better, usually simpler, regulations for businesses and stronger protections of property rights. A</w:t>
      </w:r>
      <w:r w:rsidRPr="00D24BF7">
        <w:rPr>
          <w:rFonts w:ascii="Verdana" w:hAnsi="Verdana" w:cs="Open Sans"/>
          <w:color w:val="000000" w:themeColor="text1"/>
          <w:sz w:val="20"/>
          <w:szCs w:val="20"/>
        </w:rPr>
        <w:t>mong the chosen 190 countries, India ranked 63rd in Doing Business 2020: World Bank Report. In 2014, the Government of India launched an ambitious program of regulatory reforms aimed at making it easier to do business in India. The program represents a great deal of effort to create a more business-friendly environment.</w:t>
      </w:r>
      <w:r w:rsidR="00B25066" w:rsidRPr="00D24BF7">
        <w:rPr>
          <w:rFonts w:ascii="Verdana" w:hAnsi="Verdana" w:cs="Open Sans"/>
          <w:color w:val="000000" w:themeColor="text1"/>
          <w:sz w:val="20"/>
          <w:szCs w:val="20"/>
        </w:rPr>
        <w:t xml:space="preserve"> </w:t>
      </w:r>
      <w:r w:rsidRPr="00F86EEB">
        <w:rPr>
          <w:rFonts w:ascii="Verdana" w:hAnsi="Verdana" w:cs="Open Sans"/>
          <w:color w:val="000000" w:themeColor="text1"/>
          <w:sz w:val="20"/>
          <w:szCs w:val="20"/>
        </w:rPr>
        <w:t>India has emerged as one of the most attractive destinations not only for investments but also for doing business. India jumps 79 positions from 142nd (2014) to 63rd (2019) in 'World Bank's Ease of Doing Business Ranking 2020'.</w:t>
      </w:r>
    </w:p>
    <w:p w14:paraId="1F603F2D" w14:textId="3447C6E4" w:rsidR="00F86EEB" w:rsidRPr="00D24BF7" w:rsidRDefault="00B25066" w:rsidP="00936C93">
      <w:pPr>
        <w:pStyle w:val="NormalWeb"/>
        <w:shd w:val="clear" w:color="auto" w:fill="FFFFFF"/>
        <w:spacing w:before="0" w:beforeAutospacing="0" w:after="225" w:afterAutospacing="0"/>
        <w:jc w:val="both"/>
        <w:rPr>
          <w:rFonts w:ascii="Verdana" w:hAnsi="Verdana" w:cs="Noto Serif"/>
          <w:color w:val="000000" w:themeColor="text1"/>
          <w:sz w:val="20"/>
          <w:szCs w:val="20"/>
        </w:rPr>
      </w:pPr>
      <w:r w:rsidRPr="00D24BF7">
        <w:rPr>
          <w:rFonts w:ascii="Verdana" w:hAnsi="Verdana" w:cs="Noto Serif"/>
          <w:color w:val="000000" w:themeColor="text1"/>
          <w:sz w:val="20"/>
          <w:szCs w:val="20"/>
        </w:rPr>
        <w:t xml:space="preserve">Within Indian States, below listed table depicts the </w:t>
      </w:r>
      <w:proofErr w:type="spellStart"/>
      <w:r w:rsidRPr="00D24BF7">
        <w:rPr>
          <w:rFonts w:ascii="Verdana" w:hAnsi="Verdana" w:cs="Noto Serif"/>
          <w:color w:val="000000" w:themeColor="text1"/>
          <w:sz w:val="20"/>
          <w:szCs w:val="20"/>
        </w:rPr>
        <w:t>EoDB</w:t>
      </w:r>
      <w:proofErr w:type="spellEnd"/>
      <w:r w:rsidRPr="00D24BF7">
        <w:rPr>
          <w:rFonts w:ascii="Verdana" w:hAnsi="Verdana" w:cs="Noto Serif"/>
          <w:color w:val="000000" w:themeColor="text1"/>
          <w:sz w:val="20"/>
          <w:szCs w:val="20"/>
        </w:rPr>
        <w:t xml:space="preserve"> Ranking among the states.</w:t>
      </w:r>
    </w:p>
    <w:tbl>
      <w:tblPr>
        <w:tblStyle w:val="TableGrid"/>
        <w:tblW w:w="0" w:type="auto"/>
        <w:tblLook w:val="04A0" w:firstRow="1" w:lastRow="0" w:firstColumn="1" w:lastColumn="0" w:noHBand="0" w:noVBand="1"/>
      </w:tblPr>
      <w:tblGrid>
        <w:gridCol w:w="4624"/>
        <w:gridCol w:w="1211"/>
        <w:gridCol w:w="1210"/>
        <w:gridCol w:w="1210"/>
        <w:gridCol w:w="1210"/>
      </w:tblGrid>
      <w:tr w:rsidR="00F86EEB" w:rsidRPr="00D24BF7" w14:paraId="2AD40B62" w14:textId="77777777" w:rsidTr="00F86EEB">
        <w:trPr>
          <w:trHeight w:val="255"/>
        </w:trPr>
        <w:tc>
          <w:tcPr>
            <w:tcW w:w="9465" w:type="dxa"/>
            <w:gridSpan w:val="5"/>
            <w:noWrap/>
            <w:hideMark/>
          </w:tcPr>
          <w:p w14:paraId="6F18F0A0" w14:textId="1D80F484" w:rsidR="00F86EEB" w:rsidRPr="00D24BF7" w:rsidRDefault="00F86EEB" w:rsidP="00F86EEB">
            <w:pPr>
              <w:pStyle w:val="NormalWeb"/>
              <w:shd w:val="clear" w:color="auto" w:fill="FFFFFF"/>
              <w:spacing w:after="225"/>
              <w:jc w:val="center"/>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 xml:space="preserve">State Wise Ease of Doing Business </w:t>
            </w:r>
          </w:p>
        </w:tc>
      </w:tr>
      <w:tr w:rsidR="00F86EEB" w:rsidRPr="00D24BF7" w14:paraId="2AE5F079" w14:textId="77777777" w:rsidTr="00F86EEB">
        <w:trPr>
          <w:trHeight w:val="255"/>
        </w:trPr>
        <w:tc>
          <w:tcPr>
            <w:tcW w:w="4624" w:type="dxa"/>
            <w:vMerge w:val="restart"/>
            <w:hideMark/>
          </w:tcPr>
          <w:p w14:paraId="23C57FC0"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lastRenderedPageBreak/>
              <w:t>State/Union Territory</w:t>
            </w:r>
          </w:p>
        </w:tc>
        <w:tc>
          <w:tcPr>
            <w:tcW w:w="1211" w:type="dxa"/>
            <w:hideMark/>
          </w:tcPr>
          <w:p w14:paraId="6AC2B7B9"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2015</w:t>
            </w:r>
          </w:p>
        </w:tc>
        <w:tc>
          <w:tcPr>
            <w:tcW w:w="1210" w:type="dxa"/>
            <w:hideMark/>
          </w:tcPr>
          <w:p w14:paraId="4B0F1F47"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2016</w:t>
            </w:r>
          </w:p>
        </w:tc>
        <w:tc>
          <w:tcPr>
            <w:tcW w:w="1210" w:type="dxa"/>
            <w:hideMark/>
          </w:tcPr>
          <w:p w14:paraId="1E2FD64A"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2017</w:t>
            </w:r>
          </w:p>
        </w:tc>
        <w:tc>
          <w:tcPr>
            <w:tcW w:w="1210" w:type="dxa"/>
            <w:hideMark/>
          </w:tcPr>
          <w:p w14:paraId="2C3C9326"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2019</w:t>
            </w:r>
          </w:p>
        </w:tc>
      </w:tr>
      <w:tr w:rsidR="00F86EEB" w:rsidRPr="00D24BF7" w14:paraId="4BCD05E1" w14:textId="77777777" w:rsidTr="00F86EEB">
        <w:trPr>
          <w:trHeight w:val="255"/>
        </w:trPr>
        <w:tc>
          <w:tcPr>
            <w:tcW w:w="4624" w:type="dxa"/>
            <w:vMerge/>
            <w:hideMark/>
          </w:tcPr>
          <w:p w14:paraId="5247195D"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p>
        </w:tc>
        <w:tc>
          <w:tcPr>
            <w:tcW w:w="1211" w:type="dxa"/>
            <w:hideMark/>
          </w:tcPr>
          <w:p w14:paraId="0CA4E299"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Rank</w:t>
            </w:r>
          </w:p>
        </w:tc>
        <w:tc>
          <w:tcPr>
            <w:tcW w:w="1210" w:type="dxa"/>
            <w:hideMark/>
          </w:tcPr>
          <w:p w14:paraId="2C95CAF2"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Rank</w:t>
            </w:r>
          </w:p>
        </w:tc>
        <w:tc>
          <w:tcPr>
            <w:tcW w:w="1210" w:type="dxa"/>
            <w:hideMark/>
          </w:tcPr>
          <w:p w14:paraId="099764B5"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Rank</w:t>
            </w:r>
          </w:p>
        </w:tc>
        <w:tc>
          <w:tcPr>
            <w:tcW w:w="1210" w:type="dxa"/>
            <w:hideMark/>
          </w:tcPr>
          <w:p w14:paraId="0FFF2F7A" w14:textId="77777777" w:rsidR="00F86EEB" w:rsidRPr="00D24BF7" w:rsidRDefault="00F86EEB" w:rsidP="00F86EEB">
            <w:pPr>
              <w:pStyle w:val="NormalWeb"/>
              <w:shd w:val="clear" w:color="auto" w:fill="FFFFFF"/>
              <w:spacing w:after="225"/>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t>Rank</w:t>
            </w:r>
          </w:p>
        </w:tc>
      </w:tr>
      <w:tr w:rsidR="00F86EEB" w:rsidRPr="00D24BF7" w14:paraId="39EDB400" w14:textId="77777777" w:rsidTr="00F86EEB">
        <w:trPr>
          <w:trHeight w:val="255"/>
        </w:trPr>
        <w:tc>
          <w:tcPr>
            <w:tcW w:w="4624" w:type="dxa"/>
            <w:hideMark/>
          </w:tcPr>
          <w:p w14:paraId="1367692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Andhra Pradesh</w:t>
            </w:r>
          </w:p>
        </w:tc>
        <w:tc>
          <w:tcPr>
            <w:tcW w:w="1211" w:type="dxa"/>
            <w:hideMark/>
          </w:tcPr>
          <w:p w14:paraId="013A8E1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w:t>
            </w:r>
          </w:p>
        </w:tc>
        <w:tc>
          <w:tcPr>
            <w:tcW w:w="1210" w:type="dxa"/>
            <w:hideMark/>
          </w:tcPr>
          <w:p w14:paraId="3E689D7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w:t>
            </w:r>
          </w:p>
        </w:tc>
        <w:tc>
          <w:tcPr>
            <w:tcW w:w="1210" w:type="dxa"/>
            <w:hideMark/>
          </w:tcPr>
          <w:p w14:paraId="4E6D5A5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w:t>
            </w:r>
          </w:p>
        </w:tc>
        <w:tc>
          <w:tcPr>
            <w:tcW w:w="1210" w:type="dxa"/>
            <w:hideMark/>
          </w:tcPr>
          <w:p w14:paraId="542F697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w:t>
            </w:r>
          </w:p>
        </w:tc>
      </w:tr>
      <w:tr w:rsidR="00F86EEB" w:rsidRPr="00D24BF7" w14:paraId="52506C19" w14:textId="77777777" w:rsidTr="00F86EEB">
        <w:trPr>
          <w:trHeight w:val="255"/>
        </w:trPr>
        <w:tc>
          <w:tcPr>
            <w:tcW w:w="4624" w:type="dxa"/>
            <w:hideMark/>
          </w:tcPr>
          <w:p w14:paraId="6F1F3F8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Arunachal Pradesh</w:t>
            </w:r>
          </w:p>
        </w:tc>
        <w:tc>
          <w:tcPr>
            <w:tcW w:w="1211" w:type="dxa"/>
            <w:hideMark/>
          </w:tcPr>
          <w:p w14:paraId="1CD64FC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32</w:t>
            </w:r>
          </w:p>
        </w:tc>
        <w:tc>
          <w:tcPr>
            <w:tcW w:w="1210" w:type="dxa"/>
            <w:hideMark/>
          </w:tcPr>
          <w:p w14:paraId="64C0593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422C7D5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34</w:t>
            </w:r>
          </w:p>
        </w:tc>
        <w:tc>
          <w:tcPr>
            <w:tcW w:w="1210" w:type="dxa"/>
            <w:hideMark/>
          </w:tcPr>
          <w:p w14:paraId="3FD10F9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00408D18" w14:textId="77777777" w:rsidTr="00F86EEB">
        <w:trPr>
          <w:trHeight w:val="255"/>
        </w:trPr>
        <w:tc>
          <w:tcPr>
            <w:tcW w:w="4624" w:type="dxa"/>
            <w:hideMark/>
          </w:tcPr>
          <w:p w14:paraId="724FDD2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Assam</w:t>
            </w:r>
          </w:p>
        </w:tc>
        <w:tc>
          <w:tcPr>
            <w:tcW w:w="1211" w:type="dxa"/>
            <w:hideMark/>
          </w:tcPr>
          <w:p w14:paraId="7CE4652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22</w:t>
            </w:r>
          </w:p>
        </w:tc>
        <w:tc>
          <w:tcPr>
            <w:tcW w:w="1210" w:type="dxa"/>
            <w:hideMark/>
          </w:tcPr>
          <w:p w14:paraId="610A762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24</w:t>
            </w:r>
          </w:p>
        </w:tc>
        <w:tc>
          <w:tcPr>
            <w:tcW w:w="1210" w:type="dxa"/>
            <w:hideMark/>
          </w:tcPr>
          <w:p w14:paraId="69633A9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17</w:t>
            </w:r>
          </w:p>
        </w:tc>
        <w:tc>
          <w:tcPr>
            <w:tcW w:w="1210" w:type="dxa"/>
            <w:hideMark/>
          </w:tcPr>
          <w:p w14:paraId="1ECB81D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20</w:t>
            </w:r>
          </w:p>
        </w:tc>
      </w:tr>
      <w:tr w:rsidR="00F86EEB" w:rsidRPr="00D24BF7" w14:paraId="0168DB18" w14:textId="77777777" w:rsidTr="00F86EEB">
        <w:trPr>
          <w:trHeight w:val="255"/>
        </w:trPr>
        <w:tc>
          <w:tcPr>
            <w:tcW w:w="4624" w:type="dxa"/>
            <w:hideMark/>
          </w:tcPr>
          <w:p w14:paraId="4771747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Bihar</w:t>
            </w:r>
          </w:p>
        </w:tc>
        <w:tc>
          <w:tcPr>
            <w:tcW w:w="1211" w:type="dxa"/>
            <w:hideMark/>
          </w:tcPr>
          <w:p w14:paraId="668E9DA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21</w:t>
            </w:r>
          </w:p>
        </w:tc>
        <w:tc>
          <w:tcPr>
            <w:tcW w:w="1210" w:type="dxa"/>
            <w:hideMark/>
          </w:tcPr>
          <w:p w14:paraId="0843DBE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16</w:t>
            </w:r>
          </w:p>
        </w:tc>
        <w:tc>
          <w:tcPr>
            <w:tcW w:w="1210" w:type="dxa"/>
            <w:hideMark/>
          </w:tcPr>
          <w:p w14:paraId="2E57EF8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18</w:t>
            </w:r>
          </w:p>
        </w:tc>
        <w:tc>
          <w:tcPr>
            <w:tcW w:w="1210" w:type="dxa"/>
            <w:hideMark/>
          </w:tcPr>
          <w:p w14:paraId="7E8CFA3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26</w:t>
            </w:r>
          </w:p>
        </w:tc>
      </w:tr>
      <w:tr w:rsidR="00F86EEB" w:rsidRPr="00D24BF7" w14:paraId="69D9FE14" w14:textId="77777777" w:rsidTr="00F86EEB">
        <w:trPr>
          <w:trHeight w:val="255"/>
        </w:trPr>
        <w:tc>
          <w:tcPr>
            <w:tcW w:w="4624" w:type="dxa"/>
            <w:hideMark/>
          </w:tcPr>
          <w:p w14:paraId="2EA9CE9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Chhattisgarh</w:t>
            </w:r>
          </w:p>
        </w:tc>
        <w:tc>
          <w:tcPr>
            <w:tcW w:w="1211" w:type="dxa"/>
            <w:hideMark/>
          </w:tcPr>
          <w:p w14:paraId="4367F49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4</w:t>
            </w:r>
          </w:p>
        </w:tc>
        <w:tc>
          <w:tcPr>
            <w:tcW w:w="1210" w:type="dxa"/>
            <w:hideMark/>
          </w:tcPr>
          <w:p w14:paraId="061E1F0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4</w:t>
            </w:r>
          </w:p>
        </w:tc>
        <w:tc>
          <w:tcPr>
            <w:tcW w:w="1210" w:type="dxa"/>
            <w:hideMark/>
          </w:tcPr>
          <w:p w14:paraId="4C982DB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6</w:t>
            </w:r>
          </w:p>
        </w:tc>
        <w:tc>
          <w:tcPr>
            <w:tcW w:w="1210" w:type="dxa"/>
            <w:hideMark/>
          </w:tcPr>
          <w:p w14:paraId="051DF8A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6</w:t>
            </w:r>
          </w:p>
        </w:tc>
      </w:tr>
      <w:tr w:rsidR="00F86EEB" w:rsidRPr="00D24BF7" w14:paraId="6B6F4826" w14:textId="77777777" w:rsidTr="00F86EEB">
        <w:trPr>
          <w:trHeight w:val="255"/>
        </w:trPr>
        <w:tc>
          <w:tcPr>
            <w:tcW w:w="4624" w:type="dxa"/>
            <w:hideMark/>
          </w:tcPr>
          <w:p w14:paraId="6AF5416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Goa</w:t>
            </w:r>
          </w:p>
        </w:tc>
        <w:tc>
          <w:tcPr>
            <w:tcW w:w="1211" w:type="dxa"/>
            <w:hideMark/>
          </w:tcPr>
          <w:p w14:paraId="5DDBA53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19</w:t>
            </w:r>
          </w:p>
        </w:tc>
        <w:tc>
          <w:tcPr>
            <w:tcW w:w="1210" w:type="dxa"/>
            <w:hideMark/>
          </w:tcPr>
          <w:p w14:paraId="4E5F59F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21</w:t>
            </w:r>
          </w:p>
        </w:tc>
        <w:tc>
          <w:tcPr>
            <w:tcW w:w="1210" w:type="dxa"/>
            <w:hideMark/>
          </w:tcPr>
          <w:p w14:paraId="3B0C6BF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19</w:t>
            </w:r>
          </w:p>
        </w:tc>
        <w:tc>
          <w:tcPr>
            <w:tcW w:w="1210" w:type="dxa"/>
            <w:hideMark/>
          </w:tcPr>
          <w:p w14:paraId="6697DFB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24</w:t>
            </w:r>
          </w:p>
        </w:tc>
      </w:tr>
      <w:tr w:rsidR="00F86EEB" w:rsidRPr="00D24BF7" w14:paraId="3E9F49B6" w14:textId="77777777" w:rsidTr="00F86EEB">
        <w:trPr>
          <w:trHeight w:val="255"/>
        </w:trPr>
        <w:tc>
          <w:tcPr>
            <w:tcW w:w="4624" w:type="dxa"/>
            <w:hideMark/>
          </w:tcPr>
          <w:p w14:paraId="272FC8A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Gujarat</w:t>
            </w:r>
          </w:p>
        </w:tc>
        <w:tc>
          <w:tcPr>
            <w:tcW w:w="1211" w:type="dxa"/>
            <w:hideMark/>
          </w:tcPr>
          <w:p w14:paraId="6F306E7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w:t>
            </w:r>
          </w:p>
        </w:tc>
        <w:tc>
          <w:tcPr>
            <w:tcW w:w="1210" w:type="dxa"/>
            <w:hideMark/>
          </w:tcPr>
          <w:p w14:paraId="300B1BA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w:t>
            </w:r>
          </w:p>
        </w:tc>
        <w:tc>
          <w:tcPr>
            <w:tcW w:w="1210" w:type="dxa"/>
            <w:hideMark/>
          </w:tcPr>
          <w:p w14:paraId="3531C8A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5</w:t>
            </w:r>
          </w:p>
        </w:tc>
        <w:tc>
          <w:tcPr>
            <w:tcW w:w="1210" w:type="dxa"/>
            <w:hideMark/>
          </w:tcPr>
          <w:p w14:paraId="51EAFAA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10</w:t>
            </w:r>
          </w:p>
        </w:tc>
      </w:tr>
      <w:tr w:rsidR="00F86EEB" w:rsidRPr="00D24BF7" w14:paraId="4CC51ED6" w14:textId="77777777" w:rsidTr="00F86EEB">
        <w:trPr>
          <w:trHeight w:val="255"/>
        </w:trPr>
        <w:tc>
          <w:tcPr>
            <w:tcW w:w="4624" w:type="dxa"/>
            <w:hideMark/>
          </w:tcPr>
          <w:p w14:paraId="7FDBB1E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Haryana</w:t>
            </w:r>
          </w:p>
        </w:tc>
        <w:tc>
          <w:tcPr>
            <w:tcW w:w="1211" w:type="dxa"/>
            <w:hideMark/>
          </w:tcPr>
          <w:p w14:paraId="2A45664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14</w:t>
            </w:r>
          </w:p>
        </w:tc>
        <w:tc>
          <w:tcPr>
            <w:tcW w:w="1210" w:type="dxa"/>
            <w:hideMark/>
          </w:tcPr>
          <w:p w14:paraId="4372816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6</w:t>
            </w:r>
          </w:p>
        </w:tc>
        <w:tc>
          <w:tcPr>
            <w:tcW w:w="1210" w:type="dxa"/>
            <w:hideMark/>
          </w:tcPr>
          <w:p w14:paraId="1ADAEF5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w:t>
            </w:r>
          </w:p>
        </w:tc>
        <w:tc>
          <w:tcPr>
            <w:tcW w:w="1210" w:type="dxa"/>
            <w:hideMark/>
          </w:tcPr>
          <w:p w14:paraId="5C1C827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16</w:t>
            </w:r>
          </w:p>
        </w:tc>
      </w:tr>
      <w:tr w:rsidR="00F86EEB" w:rsidRPr="00D24BF7" w14:paraId="43198A20" w14:textId="77777777" w:rsidTr="00F86EEB">
        <w:trPr>
          <w:trHeight w:val="255"/>
        </w:trPr>
        <w:tc>
          <w:tcPr>
            <w:tcW w:w="4624" w:type="dxa"/>
            <w:hideMark/>
          </w:tcPr>
          <w:p w14:paraId="413CE64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Himachal Pradesh</w:t>
            </w:r>
          </w:p>
        </w:tc>
        <w:tc>
          <w:tcPr>
            <w:tcW w:w="1211" w:type="dxa"/>
            <w:hideMark/>
          </w:tcPr>
          <w:p w14:paraId="585A6F1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17</w:t>
            </w:r>
          </w:p>
        </w:tc>
        <w:tc>
          <w:tcPr>
            <w:tcW w:w="1210" w:type="dxa"/>
            <w:hideMark/>
          </w:tcPr>
          <w:p w14:paraId="206545B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17</w:t>
            </w:r>
          </w:p>
        </w:tc>
        <w:tc>
          <w:tcPr>
            <w:tcW w:w="1210" w:type="dxa"/>
            <w:hideMark/>
          </w:tcPr>
          <w:p w14:paraId="682F337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16</w:t>
            </w:r>
          </w:p>
        </w:tc>
        <w:tc>
          <w:tcPr>
            <w:tcW w:w="1210" w:type="dxa"/>
            <w:hideMark/>
          </w:tcPr>
          <w:p w14:paraId="75D68E2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7</w:t>
            </w:r>
          </w:p>
        </w:tc>
      </w:tr>
      <w:tr w:rsidR="00F86EEB" w:rsidRPr="00D24BF7" w14:paraId="6B010E43" w14:textId="77777777" w:rsidTr="00F86EEB">
        <w:trPr>
          <w:trHeight w:val="255"/>
        </w:trPr>
        <w:tc>
          <w:tcPr>
            <w:tcW w:w="4624" w:type="dxa"/>
            <w:hideMark/>
          </w:tcPr>
          <w:p w14:paraId="45D4BA9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Jammu and Kashmir</w:t>
            </w:r>
          </w:p>
        </w:tc>
        <w:tc>
          <w:tcPr>
            <w:tcW w:w="1211" w:type="dxa"/>
            <w:hideMark/>
          </w:tcPr>
          <w:p w14:paraId="0D06882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c>
          <w:tcPr>
            <w:tcW w:w="1210" w:type="dxa"/>
            <w:hideMark/>
          </w:tcPr>
          <w:p w14:paraId="4EA1DF1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32F9360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22</w:t>
            </w:r>
          </w:p>
        </w:tc>
        <w:tc>
          <w:tcPr>
            <w:tcW w:w="1210" w:type="dxa"/>
            <w:hideMark/>
          </w:tcPr>
          <w:p w14:paraId="1D9B546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21</w:t>
            </w:r>
          </w:p>
        </w:tc>
      </w:tr>
      <w:tr w:rsidR="00F86EEB" w:rsidRPr="00D24BF7" w14:paraId="52134159" w14:textId="77777777" w:rsidTr="00F86EEB">
        <w:trPr>
          <w:trHeight w:val="255"/>
        </w:trPr>
        <w:tc>
          <w:tcPr>
            <w:tcW w:w="4624" w:type="dxa"/>
            <w:hideMark/>
          </w:tcPr>
          <w:p w14:paraId="228D184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Jharkhand</w:t>
            </w:r>
          </w:p>
        </w:tc>
        <w:tc>
          <w:tcPr>
            <w:tcW w:w="1211" w:type="dxa"/>
            <w:hideMark/>
          </w:tcPr>
          <w:p w14:paraId="19EA147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w:t>
            </w:r>
          </w:p>
        </w:tc>
        <w:tc>
          <w:tcPr>
            <w:tcW w:w="1210" w:type="dxa"/>
            <w:hideMark/>
          </w:tcPr>
          <w:p w14:paraId="442018E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7</w:t>
            </w:r>
          </w:p>
        </w:tc>
        <w:tc>
          <w:tcPr>
            <w:tcW w:w="1210" w:type="dxa"/>
            <w:hideMark/>
          </w:tcPr>
          <w:p w14:paraId="1E6869E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4</w:t>
            </w:r>
          </w:p>
        </w:tc>
        <w:tc>
          <w:tcPr>
            <w:tcW w:w="1210" w:type="dxa"/>
            <w:hideMark/>
          </w:tcPr>
          <w:p w14:paraId="26B392C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5</w:t>
            </w:r>
          </w:p>
        </w:tc>
      </w:tr>
      <w:tr w:rsidR="00F86EEB" w:rsidRPr="00D24BF7" w14:paraId="4473E454" w14:textId="77777777" w:rsidTr="00F86EEB">
        <w:trPr>
          <w:trHeight w:val="255"/>
        </w:trPr>
        <w:tc>
          <w:tcPr>
            <w:tcW w:w="4624" w:type="dxa"/>
            <w:hideMark/>
          </w:tcPr>
          <w:p w14:paraId="47BED7B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Karnataka</w:t>
            </w:r>
          </w:p>
        </w:tc>
        <w:tc>
          <w:tcPr>
            <w:tcW w:w="1211" w:type="dxa"/>
            <w:hideMark/>
          </w:tcPr>
          <w:p w14:paraId="7F67306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9</w:t>
            </w:r>
          </w:p>
        </w:tc>
        <w:tc>
          <w:tcPr>
            <w:tcW w:w="1210" w:type="dxa"/>
            <w:hideMark/>
          </w:tcPr>
          <w:p w14:paraId="34B9730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13</w:t>
            </w:r>
          </w:p>
        </w:tc>
        <w:tc>
          <w:tcPr>
            <w:tcW w:w="1210" w:type="dxa"/>
            <w:hideMark/>
          </w:tcPr>
          <w:p w14:paraId="497DCA3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8</w:t>
            </w:r>
          </w:p>
        </w:tc>
        <w:tc>
          <w:tcPr>
            <w:tcW w:w="1210" w:type="dxa"/>
            <w:hideMark/>
          </w:tcPr>
          <w:p w14:paraId="79C2E26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17</w:t>
            </w:r>
          </w:p>
        </w:tc>
      </w:tr>
      <w:tr w:rsidR="00F86EEB" w:rsidRPr="00D24BF7" w14:paraId="6A3716F2" w14:textId="77777777" w:rsidTr="00F86EEB">
        <w:trPr>
          <w:trHeight w:val="255"/>
        </w:trPr>
        <w:tc>
          <w:tcPr>
            <w:tcW w:w="4624" w:type="dxa"/>
            <w:hideMark/>
          </w:tcPr>
          <w:p w14:paraId="2D0B47C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Kerala</w:t>
            </w:r>
          </w:p>
        </w:tc>
        <w:tc>
          <w:tcPr>
            <w:tcW w:w="1211" w:type="dxa"/>
            <w:hideMark/>
          </w:tcPr>
          <w:p w14:paraId="24CE62C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18</w:t>
            </w:r>
          </w:p>
        </w:tc>
        <w:tc>
          <w:tcPr>
            <w:tcW w:w="1210" w:type="dxa"/>
            <w:hideMark/>
          </w:tcPr>
          <w:p w14:paraId="1CB06E4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20</w:t>
            </w:r>
          </w:p>
        </w:tc>
        <w:tc>
          <w:tcPr>
            <w:tcW w:w="1210" w:type="dxa"/>
            <w:hideMark/>
          </w:tcPr>
          <w:p w14:paraId="378412B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21</w:t>
            </w:r>
          </w:p>
        </w:tc>
        <w:tc>
          <w:tcPr>
            <w:tcW w:w="1210" w:type="dxa"/>
            <w:hideMark/>
          </w:tcPr>
          <w:p w14:paraId="60CE6CF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28</w:t>
            </w:r>
          </w:p>
        </w:tc>
      </w:tr>
      <w:tr w:rsidR="00F86EEB" w:rsidRPr="00D24BF7" w14:paraId="1CFEE21A" w14:textId="77777777" w:rsidTr="00F86EEB">
        <w:trPr>
          <w:trHeight w:val="255"/>
        </w:trPr>
        <w:tc>
          <w:tcPr>
            <w:tcW w:w="4624" w:type="dxa"/>
            <w:hideMark/>
          </w:tcPr>
          <w:p w14:paraId="5E782C3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Madhya Pradesh</w:t>
            </w:r>
          </w:p>
        </w:tc>
        <w:tc>
          <w:tcPr>
            <w:tcW w:w="1211" w:type="dxa"/>
            <w:hideMark/>
          </w:tcPr>
          <w:p w14:paraId="4345F05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5</w:t>
            </w:r>
          </w:p>
        </w:tc>
        <w:tc>
          <w:tcPr>
            <w:tcW w:w="1210" w:type="dxa"/>
            <w:hideMark/>
          </w:tcPr>
          <w:p w14:paraId="6D21D45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5</w:t>
            </w:r>
          </w:p>
        </w:tc>
        <w:tc>
          <w:tcPr>
            <w:tcW w:w="1210" w:type="dxa"/>
            <w:hideMark/>
          </w:tcPr>
          <w:p w14:paraId="45DC7AF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7</w:t>
            </w:r>
          </w:p>
        </w:tc>
        <w:tc>
          <w:tcPr>
            <w:tcW w:w="1210" w:type="dxa"/>
            <w:hideMark/>
          </w:tcPr>
          <w:p w14:paraId="3666B37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4</w:t>
            </w:r>
          </w:p>
        </w:tc>
      </w:tr>
      <w:tr w:rsidR="00F86EEB" w:rsidRPr="00D24BF7" w14:paraId="7E0B6515" w14:textId="77777777" w:rsidTr="00F86EEB">
        <w:trPr>
          <w:trHeight w:val="255"/>
        </w:trPr>
        <w:tc>
          <w:tcPr>
            <w:tcW w:w="4624" w:type="dxa"/>
            <w:hideMark/>
          </w:tcPr>
          <w:p w14:paraId="7934B01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Maharashtra</w:t>
            </w:r>
          </w:p>
        </w:tc>
        <w:tc>
          <w:tcPr>
            <w:tcW w:w="1211" w:type="dxa"/>
            <w:hideMark/>
          </w:tcPr>
          <w:p w14:paraId="75539E5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8</w:t>
            </w:r>
          </w:p>
        </w:tc>
        <w:tc>
          <w:tcPr>
            <w:tcW w:w="1210" w:type="dxa"/>
            <w:hideMark/>
          </w:tcPr>
          <w:p w14:paraId="23ED8C5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10</w:t>
            </w:r>
          </w:p>
        </w:tc>
        <w:tc>
          <w:tcPr>
            <w:tcW w:w="1210" w:type="dxa"/>
            <w:hideMark/>
          </w:tcPr>
          <w:p w14:paraId="6B2D329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13</w:t>
            </w:r>
          </w:p>
        </w:tc>
        <w:tc>
          <w:tcPr>
            <w:tcW w:w="1210" w:type="dxa"/>
            <w:hideMark/>
          </w:tcPr>
          <w:p w14:paraId="3FFA3D3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13</w:t>
            </w:r>
          </w:p>
        </w:tc>
      </w:tr>
      <w:tr w:rsidR="00F86EEB" w:rsidRPr="00D24BF7" w14:paraId="652DF63F" w14:textId="77777777" w:rsidTr="00F86EEB">
        <w:trPr>
          <w:trHeight w:val="255"/>
        </w:trPr>
        <w:tc>
          <w:tcPr>
            <w:tcW w:w="4624" w:type="dxa"/>
            <w:hideMark/>
          </w:tcPr>
          <w:p w14:paraId="1631CB5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Manipur</w:t>
            </w:r>
          </w:p>
        </w:tc>
        <w:tc>
          <w:tcPr>
            <w:tcW w:w="1211" w:type="dxa"/>
            <w:hideMark/>
          </w:tcPr>
          <w:p w14:paraId="0F53AEF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w:t>
            </w:r>
          </w:p>
        </w:tc>
        <w:tc>
          <w:tcPr>
            <w:tcW w:w="1210" w:type="dxa"/>
            <w:hideMark/>
          </w:tcPr>
          <w:p w14:paraId="186CF19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28</w:t>
            </w:r>
          </w:p>
        </w:tc>
        <w:tc>
          <w:tcPr>
            <w:tcW w:w="1210" w:type="dxa"/>
            <w:hideMark/>
          </w:tcPr>
          <w:p w14:paraId="267CBA8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32</w:t>
            </w:r>
          </w:p>
        </w:tc>
        <w:tc>
          <w:tcPr>
            <w:tcW w:w="1210" w:type="dxa"/>
            <w:hideMark/>
          </w:tcPr>
          <w:p w14:paraId="1A0C4E8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564B177A" w14:textId="77777777" w:rsidTr="00F86EEB">
        <w:trPr>
          <w:trHeight w:val="255"/>
        </w:trPr>
        <w:tc>
          <w:tcPr>
            <w:tcW w:w="4624" w:type="dxa"/>
            <w:hideMark/>
          </w:tcPr>
          <w:p w14:paraId="2F4CC13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Meghalaya</w:t>
            </w:r>
          </w:p>
        </w:tc>
        <w:tc>
          <w:tcPr>
            <w:tcW w:w="1211" w:type="dxa"/>
            <w:hideMark/>
          </w:tcPr>
          <w:p w14:paraId="2E9DAEF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30</w:t>
            </w:r>
          </w:p>
        </w:tc>
        <w:tc>
          <w:tcPr>
            <w:tcW w:w="1210" w:type="dxa"/>
            <w:hideMark/>
          </w:tcPr>
          <w:p w14:paraId="724D9B2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2646498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34</w:t>
            </w:r>
          </w:p>
        </w:tc>
        <w:tc>
          <w:tcPr>
            <w:tcW w:w="1210" w:type="dxa"/>
            <w:hideMark/>
          </w:tcPr>
          <w:p w14:paraId="717FFE4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12049F9C" w14:textId="77777777" w:rsidTr="00F86EEB">
        <w:trPr>
          <w:trHeight w:val="255"/>
        </w:trPr>
        <w:tc>
          <w:tcPr>
            <w:tcW w:w="4624" w:type="dxa"/>
            <w:hideMark/>
          </w:tcPr>
          <w:p w14:paraId="19D07EF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Mizoram</w:t>
            </w:r>
          </w:p>
        </w:tc>
        <w:tc>
          <w:tcPr>
            <w:tcW w:w="1211" w:type="dxa"/>
            <w:hideMark/>
          </w:tcPr>
          <w:p w14:paraId="6EA35C7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28</w:t>
            </w:r>
          </w:p>
        </w:tc>
        <w:tc>
          <w:tcPr>
            <w:tcW w:w="1210" w:type="dxa"/>
            <w:hideMark/>
          </w:tcPr>
          <w:p w14:paraId="0C1F047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c>
          <w:tcPr>
            <w:tcW w:w="1210" w:type="dxa"/>
            <w:hideMark/>
          </w:tcPr>
          <w:p w14:paraId="1CFA3A5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30</w:t>
            </w:r>
          </w:p>
        </w:tc>
        <w:tc>
          <w:tcPr>
            <w:tcW w:w="1210" w:type="dxa"/>
            <w:hideMark/>
          </w:tcPr>
          <w:p w14:paraId="469D0CE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25</w:t>
            </w:r>
          </w:p>
        </w:tc>
      </w:tr>
      <w:tr w:rsidR="00F86EEB" w:rsidRPr="00D24BF7" w14:paraId="55B8EAB0" w14:textId="77777777" w:rsidTr="00F86EEB">
        <w:trPr>
          <w:trHeight w:val="255"/>
        </w:trPr>
        <w:tc>
          <w:tcPr>
            <w:tcW w:w="4624" w:type="dxa"/>
            <w:hideMark/>
          </w:tcPr>
          <w:p w14:paraId="566BE52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Nagaland</w:t>
            </w:r>
          </w:p>
        </w:tc>
        <w:tc>
          <w:tcPr>
            <w:tcW w:w="1211" w:type="dxa"/>
            <w:hideMark/>
          </w:tcPr>
          <w:p w14:paraId="0443264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1F20E14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26</w:t>
            </w:r>
          </w:p>
        </w:tc>
        <w:tc>
          <w:tcPr>
            <w:tcW w:w="1210" w:type="dxa"/>
            <w:hideMark/>
          </w:tcPr>
          <w:p w14:paraId="4B6EB54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28</w:t>
            </w:r>
          </w:p>
        </w:tc>
        <w:tc>
          <w:tcPr>
            <w:tcW w:w="1210" w:type="dxa"/>
            <w:hideMark/>
          </w:tcPr>
          <w:p w14:paraId="712C90B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1B41C715" w14:textId="77777777" w:rsidTr="00F86EEB">
        <w:trPr>
          <w:trHeight w:val="255"/>
        </w:trPr>
        <w:tc>
          <w:tcPr>
            <w:tcW w:w="4624" w:type="dxa"/>
            <w:hideMark/>
          </w:tcPr>
          <w:p w14:paraId="321047E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Odisha</w:t>
            </w:r>
          </w:p>
        </w:tc>
        <w:tc>
          <w:tcPr>
            <w:tcW w:w="1211" w:type="dxa"/>
            <w:hideMark/>
          </w:tcPr>
          <w:p w14:paraId="35A3BE0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7</w:t>
            </w:r>
          </w:p>
        </w:tc>
        <w:tc>
          <w:tcPr>
            <w:tcW w:w="1210" w:type="dxa"/>
            <w:hideMark/>
          </w:tcPr>
          <w:p w14:paraId="65BD696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11</w:t>
            </w:r>
          </w:p>
        </w:tc>
        <w:tc>
          <w:tcPr>
            <w:tcW w:w="1210" w:type="dxa"/>
            <w:hideMark/>
          </w:tcPr>
          <w:p w14:paraId="2E819F5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14</w:t>
            </w:r>
          </w:p>
        </w:tc>
        <w:tc>
          <w:tcPr>
            <w:tcW w:w="1210" w:type="dxa"/>
            <w:hideMark/>
          </w:tcPr>
          <w:p w14:paraId="3DCA76F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0B1AC183" w14:textId="77777777" w:rsidTr="00F86EEB">
        <w:trPr>
          <w:trHeight w:val="255"/>
        </w:trPr>
        <w:tc>
          <w:tcPr>
            <w:tcW w:w="4624" w:type="dxa"/>
            <w:hideMark/>
          </w:tcPr>
          <w:p w14:paraId="457F27B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Punjab</w:t>
            </w:r>
          </w:p>
        </w:tc>
        <w:tc>
          <w:tcPr>
            <w:tcW w:w="1211" w:type="dxa"/>
            <w:hideMark/>
          </w:tcPr>
          <w:p w14:paraId="3A22EB4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16</w:t>
            </w:r>
          </w:p>
        </w:tc>
        <w:tc>
          <w:tcPr>
            <w:tcW w:w="1210" w:type="dxa"/>
            <w:hideMark/>
          </w:tcPr>
          <w:p w14:paraId="68A8AFD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12</w:t>
            </w:r>
          </w:p>
        </w:tc>
        <w:tc>
          <w:tcPr>
            <w:tcW w:w="1210" w:type="dxa"/>
            <w:hideMark/>
          </w:tcPr>
          <w:p w14:paraId="2A6E11D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20</w:t>
            </w:r>
          </w:p>
        </w:tc>
        <w:tc>
          <w:tcPr>
            <w:tcW w:w="1210" w:type="dxa"/>
            <w:hideMark/>
          </w:tcPr>
          <w:p w14:paraId="5BB0077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19</w:t>
            </w:r>
          </w:p>
        </w:tc>
      </w:tr>
      <w:tr w:rsidR="00F86EEB" w:rsidRPr="00D24BF7" w14:paraId="4E989B8E" w14:textId="77777777" w:rsidTr="00F86EEB">
        <w:trPr>
          <w:trHeight w:val="255"/>
        </w:trPr>
        <w:tc>
          <w:tcPr>
            <w:tcW w:w="4624" w:type="dxa"/>
            <w:hideMark/>
          </w:tcPr>
          <w:p w14:paraId="1C7E864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Rajasthan</w:t>
            </w:r>
          </w:p>
        </w:tc>
        <w:tc>
          <w:tcPr>
            <w:tcW w:w="1211" w:type="dxa"/>
            <w:hideMark/>
          </w:tcPr>
          <w:p w14:paraId="3CF2E4E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6</w:t>
            </w:r>
          </w:p>
        </w:tc>
        <w:tc>
          <w:tcPr>
            <w:tcW w:w="1210" w:type="dxa"/>
            <w:hideMark/>
          </w:tcPr>
          <w:p w14:paraId="4D4557B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8</w:t>
            </w:r>
          </w:p>
        </w:tc>
        <w:tc>
          <w:tcPr>
            <w:tcW w:w="1210" w:type="dxa"/>
            <w:hideMark/>
          </w:tcPr>
          <w:p w14:paraId="784254A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9</w:t>
            </w:r>
          </w:p>
        </w:tc>
        <w:tc>
          <w:tcPr>
            <w:tcW w:w="1210" w:type="dxa"/>
            <w:hideMark/>
          </w:tcPr>
          <w:p w14:paraId="23B76B3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8</w:t>
            </w:r>
          </w:p>
        </w:tc>
      </w:tr>
      <w:tr w:rsidR="00F86EEB" w:rsidRPr="00D24BF7" w14:paraId="1BB0667F" w14:textId="77777777" w:rsidTr="00F86EEB">
        <w:trPr>
          <w:trHeight w:val="255"/>
        </w:trPr>
        <w:tc>
          <w:tcPr>
            <w:tcW w:w="4624" w:type="dxa"/>
            <w:hideMark/>
          </w:tcPr>
          <w:p w14:paraId="4F94857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Sikkim</w:t>
            </w:r>
          </w:p>
        </w:tc>
        <w:tc>
          <w:tcPr>
            <w:tcW w:w="1211" w:type="dxa"/>
            <w:hideMark/>
          </w:tcPr>
          <w:p w14:paraId="0FD192E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27</w:t>
            </w:r>
          </w:p>
        </w:tc>
        <w:tc>
          <w:tcPr>
            <w:tcW w:w="1210" w:type="dxa"/>
            <w:hideMark/>
          </w:tcPr>
          <w:p w14:paraId="75FE86B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30</w:t>
            </w:r>
          </w:p>
        </w:tc>
        <w:tc>
          <w:tcPr>
            <w:tcW w:w="1210" w:type="dxa"/>
            <w:hideMark/>
          </w:tcPr>
          <w:p w14:paraId="40839EB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33</w:t>
            </w:r>
          </w:p>
        </w:tc>
        <w:tc>
          <w:tcPr>
            <w:tcW w:w="1210" w:type="dxa"/>
            <w:hideMark/>
          </w:tcPr>
          <w:p w14:paraId="146C597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114E892F" w14:textId="77777777" w:rsidTr="00F86EEB">
        <w:trPr>
          <w:trHeight w:val="255"/>
        </w:trPr>
        <w:tc>
          <w:tcPr>
            <w:tcW w:w="4624" w:type="dxa"/>
            <w:hideMark/>
          </w:tcPr>
          <w:p w14:paraId="5958E82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Tamil Nadu</w:t>
            </w:r>
          </w:p>
        </w:tc>
        <w:tc>
          <w:tcPr>
            <w:tcW w:w="1211" w:type="dxa"/>
            <w:hideMark/>
          </w:tcPr>
          <w:p w14:paraId="42D028F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12</w:t>
            </w:r>
          </w:p>
        </w:tc>
        <w:tc>
          <w:tcPr>
            <w:tcW w:w="1210" w:type="dxa"/>
            <w:hideMark/>
          </w:tcPr>
          <w:p w14:paraId="46BF858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18</w:t>
            </w:r>
          </w:p>
        </w:tc>
        <w:tc>
          <w:tcPr>
            <w:tcW w:w="1210" w:type="dxa"/>
            <w:hideMark/>
          </w:tcPr>
          <w:p w14:paraId="3C72A66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15</w:t>
            </w:r>
          </w:p>
        </w:tc>
        <w:tc>
          <w:tcPr>
            <w:tcW w:w="1210" w:type="dxa"/>
            <w:hideMark/>
          </w:tcPr>
          <w:p w14:paraId="1566516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14</w:t>
            </w:r>
          </w:p>
        </w:tc>
      </w:tr>
      <w:tr w:rsidR="00F86EEB" w:rsidRPr="00D24BF7" w14:paraId="31FC273B" w14:textId="77777777" w:rsidTr="00F86EEB">
        <w:trPr>
          <w:trHeight w:val="255"/>
        </w:trPr>
        <w:tc>
          <w:tcPr>
            <w:tcW w:w="4624" w:type="dxa"/>
            <w:hideMark/>
          </w:tcPr>
          <w:p w14:paraId="0CF1879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Tripura</w:t>
            </w:r>
          </w:p>
        </w:tc>
        <w:tc>
          <w:tcPr>
            <w:tcW w:w="1211" w:type="dxa"/>
            <w:hideMark/>
          </w:tcPr>
          <w:p w14:paraId="28EBC2E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26</w:t>
            </w:r>
          </w:p>
        </w:tc>
        <w:tc>
          <w:tcPr>
            <w:tcW w:w="1210" w:type="dxa"/>
            <w:hideMark/>
          </w:tcPr>
          <w:p w14:paraId="77A145A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22</w:t>
            </w:r>
          </w:p>
        </w:tc>
        <w:tc>
          <w:tcPr>
            <w:tcW w:w="1210" w:type="dxa"/>
            <w:hideMark/>
          </w:tcPr>
          <w:p w14:paraId="00FAE04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25</w:t>
            </w:r>
          </w:p>
        </w:tc>
        <w:tc>
          <w:tcPr>
            <w:tcW w:w="1210" w:type="dxa"/>
            <w:hideMark/>
          </w:tcPr>
          <w:p w14:paraId="337BDDE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6F260CDB" w14:textId="77777777" w:rsidTr="00F86EEB">
        <w:trPr>
          <w:trHeight w:val="255"/>
        </w:trPr>
        <w:tc>
          <w:tcPr>
            <w:tcW w:w="4624" w:type="dxa"/>
            <w:hideMark/>
          </w:tcPr>
          <w:p w14:paraId="3179D8A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Telangana</w:t>
            </w:r>
          </w:p>
        </w:tc>
        <w:tc>
          <w:tcPr>
            <w:tcW w:w="1211" w:type="dxa"/>
            <w:hideMark/>
          </w:tcPr>
          <w:p w14:paraId="2A78D16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13</w:t>
            </w:r>
          </w:p>
        </w:tc>
        <w:tc>
          <w:tcPr>
            <w:tcW w:w="1210" w:type="dxa"/>
            <w:hideMark/>
          </w:tcPr>
          <w:p w14:paraId="78051E2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w:t>
            </w:r>
          </w:p>
        </w:tc>
        <w:tc>
          <w:tcPr>
            <w:tcW w:w="1210" w:type="dxa"/>
            <w:hideMark/>
          </w:tcPr>
          <w:p w14:paraId="7762072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w:t>
            </w:r>
          </w:p>
        </w:tc>
        <w:tc>
          <w:tcPr>
            <w:tcW w:w="1210" w:type="dxa"/>
            <w:hideMark/>
          </w:tcPr>
          <w:p w14:paraId="06B8807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w:t>
            </w:r>
          </w:p>
        </w:tc>
      </w:tr>
      <w:tr w:rsidR="00F86EEB" w:rsidRPr="00D24BF7" w14:paraId="363CB8EF" w14:textId="77777777" w:rsidTr="00F86EEB">
        <w:trPr>
          <w:trHeight w:val="255"/>
        </w:trPr>
        <w:tc>
          <w:tcPr>
            <w:tcW w:w="4624" w:type="dxa"/>
            <w:hideMark/>
          </w:tcPr>
          <w:p w14:paraId="21C8186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Uttarakhand</w:t>
            </w:r>
          </w:p>
        </w:tc>
        <w:tc>
          <w:tcPr>
            <w:tcW w:w="1211" w:type="dxa"/>
            <w:hideMark/>
          </w:tcPr>
          <w:p w14:paraId="145D288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23</w:t>
            </w:r>
          </w:p>
        </w:tc>
        <w:tc>
          <w:tcPr>
            <w:tcW w:w="1210" w:type="dxa"/>
            <w:hideMark/>
          </w:tcPr>
          <w:p w14:paraId="54E84EE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9</w:t>
            </w:r>
          </w:p>
        </w:tc>
        <w:tc>
          <w:tcPr>
            <w:tcW w:w="1210" w:type="dxa"/>
            <w:hideMark/>
          </w:tcPr>
          <w:p w14:paraId="6F270266"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11</w:t>
            </w:r>
          </w:p>
        </w:tc>
        <w:tc>
          <w:tcPr>
            <w:tcW w:w="1210" w:type="dxa"/>
            <w:hideMark/>
          </w:tcPr>
          <w:p w14:paraId="4693FC2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11</w:t>
            </w:r>
          </w:p>
        </w:tc>
      </w:tr>
      <w:tr w:rsidR="00F86EEB" w:rsidRPr="00D24BF7" w14:paraId="2944A421" w14:textId="77777777" w:rsidTr="00F86EEB">
        <w:trPr>
          <w:trHeight w:val="255"/>
        </w:trPr>
        <w:tc>
          <w:tcPr>
            <w:tcW w:w="4624" w:type="dxa"/>
            <w:hideMark/>
          </w:tcPr>
          <w:p w14:paraId="528F8A1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Uttar Pradesh</w:t>
            </w:r>
          </w:p>
        </w:tc>
        <w:tc>
          <w:tcPr>
            <w:tcW w:w="1211" w:type="dxa"/>
            <w:hideMark/>
          </w:tcPr>
          <w:p w14:paraId="67B118A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10</w:t>
            </w:r>
          </w:p>
        </w:tc>
        <w:tc>
          <w:tcPr>
            <w:tcW w:w="1210" w:type="dxa"/>
            <w:hideMark/>
          </w:tcPr>
          <w:p w14:paraId="100A998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14</w:t>
            </w:r>
          </w:p>
        </w:tc>
        <w:tc>
          <w:tcPr>
            <w:tcW w:w="1210" w:type="dxa"/>
            <w:hideMark/>
          </w:tcPr>
          <w:p w14:paraId="01B09D0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12</w:t>
            </w:r>
          </w:p>
        </w:tc>
        <w:tc>
          <w:tcPr>
            <w:tcW w:w="1210" w:type="dxa"/>
            <w:hideMark/>
          </w:tcPr>
          <w:p w14:paraId="6F83AB0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w:t>
            </w:r>
          </w:p>
        </w:tc>
      </w:tr>
      <w:tr w:rsidR="00F86EEB" w:rsidRPr="00D24BF7" w14:paraId="72B89B0D" w14:textId="77777777" w:rsidTr="00F86EEB">
        <w:trPr>
          <w:trHeight w:val="255"/>
        </w:trPr>
        <w:tc>
          <w:tcPr>
            <w:tcW w:w="4624" w:type="dxa"/>
            <w:hideMark/>
          </w:tcPr>
          <w:p w14:paraId="4959512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West Bengal</w:t>
            </w:r>
          </w:p>
        </w:tc>
        <w:tc>
          <w:tcPr>
            <w:tcW w:w="1211" w:type="dxa"/>
            <w:hideMark/>
          </w:tcPr>
          <w:p w14:paraId="028AB30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11</w:t>
            </w:r>
          </w:p>
        </w:tc>
        <w:tc>
          <w:tcPr>
            <w:tcW w:w="1210" w:type="dxa"/>
            <w:hideMark/>
          </w:tcPr>
          <w:p w14:paraId="1E033BC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15</w:t>
            </w:r>
          </w:p>
        </w:tc>
        <w:tc>
          <w:tcPr>
            <w:tcW w:w="1210" w:type="dxa"/>
            <w:hideMark/>
          </w:tcPr>
          <w:p w14:paraId="7D1852FF"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10</w:t>
            </w:r>
          </w:p>
        </w:tc>
        <w:tc>
          <w:tcPr>
            <w:tcW w:w="1210" w:type="dxa"/>
            <w:hideMark/>
          </w:tcPr>
          <w:p w14:paraId="2935097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9</w:t>
            </w:r>
          </w:p>
        </w:tc>
      </w:tr>
      <w:tr w:rsidR="00F86EEB" w:rsidRPr="00D24BF7" w14:paraId="2C81753F" w14:textId="77777777" w:rsidTr="00F86EEB">
        <w:trPr>
          <w:trHeight w:val="255"/>
        </w:trPr>
        <w:tc>
          <w:tcPr>
            <w:tcW w:w="4624" w:type="dxa"/>
            <w:hideMark/>
          </w:tcPr>
          <w:p w14:paraId="2F2141D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Andaman and Nicobar Islands</w:t>
            </w:r>
          </w:p>
        </w:tc>
        <w:tc>
          <w:tcPr>
            <w:tcW w:w="1211" w:type="dxa"/>
            <w:hideMark/>
          </w:tcPr>
          <w:p w14:paraId="29E8130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25</w:t>
            </w:r>
          </w:p>
        </w:tc>
        <w:tc>
          <w:tcPr>
            <w:tcW w:w="1210" w:type="dxa"/>
            <w:hideMark/>
          </w:tcPr>
          <w:p w14:paraId="472F9EC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08EC30D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6819453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22</w:t>
            </w:r>
          </w:p>
        </w:tc>
      </w:tr>
      <w:tr w:rsidR="00F86EEB" w:rsidRPr="00D24BF7" w14:paraId="6CAE9280" w14:textId="77777777" w:rsidTr="00F86EEB">
        <w:trPr>
          <w:trHeight w:val="255"/>
        </w:trPr>
        <w:tc>
          <w:tcPr>
            <w:tcW w:w="4624" w:type="dxa"/>
            <w:hideMark/>
          </w:tcPr>
          <w:p w14:paraId="7D7BCE0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Chandigarh</w:t>
            </w:r>
          </w:p>
        </w:tc>
        <w:tc>
          <w:tcPr>
            <w:tcW w:w="1211" w:type="dxa"/>
            <w:hideMark/>
          </w:tcPr>
          <w:p w14:paraId="119C8C3C"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24</w:t>
            </w:r>
          </w:p>
        </w:tc>
        <w:tc>
          <w:tcPr>
            <w:tcW w:w="1210" w:type="dxa"/>
            <w:hideMark/>
          </w:tcPr>
          <w:p w14:paraId="3DBCA699"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09501C6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c>
          <w:tcPr>
            <w:tcW w:w="1210" w:type="dxa"/>
            <w:hideMark/>
          </w:tcPr>
          <w:p w14:paraId="615DF5E1"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29</w:t>
            </w:r>
          </w:p>
        </w:tc>
      </w:tr>
      <w:tr w:rsidR="00F86EEB" w:rsidRPr="00D24BF7" w14:paraId="77371B11" w14:textId="77777777" w:rsidTr="00F86EEB">
        <w:trPr>
          <w:trHeight w:val="255"/>
        </w:trPr>
        <w:tc>
          <w:tcPr>
            <w:tcW w:w="4624" w:type="dxa"/>
            <w:hideMark/>
          </w:tcPr>
          <w:p w14:paraId="0037299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Dadra &amp; Nagar Haveli</w:t>
            </w:r>
          </w:p>
        </w:tc>
        <w:tc>
          <w:tcPr>
            <w:tcW w:w="1211" w:type="dxa"/>
            <w:hideMark/>
          </w:tcPr>
          <w:p w14:paraId="5F427D4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w:t>
            </w:r>
          </w:p>
        </w:tc>
        <w:tc>
          <w:tcPr>
            <w:tcW w:w="1210" w:type="dxa"/>
            <w:hideMark/>
          </w:tcPr>
          <w:p w14:paraId="14CC482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25</w:t>
            </w:r>
          </w:p>
        </w:tc>
        <w:tc>
          <w:tcPr>
            <w:tcW w:w="1210" w:type="dxa"/>
            <w:hideMark/>
          </w:tcPr>
          <w:p w14:paraId="7BF9266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26</w:t>
            </w:r>
          </w:p>
        </w:tc>
        <w:tc>
          <w:tcPr>
            <w:tcW w:w="1210" w:type="dxa"/>
            <w:hideMark/>
          </w:tcPr>
          <w:p w14:paraId="20444C7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23</w:t>
            </w:r>
          </w:p>
        </w:tc>
      </w:tr>
      <w:tr w:rsidR="00F86EEB" w:rsidRPr="00D24BF7" w14:paraId="7BBE5883" w14:textId="77777777" w:rsidTr="00F86EEB">
        <w:trPr>
          <w:trHeight w:val="255"/>
        </w:trPr>
        <w:tc>
          <w:tcPr>
            <w:tcW w:w="4624" w:type="dxa"/>
            <w:hideMark/>
          </w:tcPr>
          <w:p w14:paraId="18165C3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Delhi</w:t>
            </w:r>
          </w:p>
        </w:tc>
        <w:tc>
          <w:tcPr>
            <w:tcW w:w="1211" w:type="dxa"/>
            <w:hideMark/>
          </w:tcPr>
          <w:p w14:paraId="2CDC08A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15</w:t>
            </w:r>
          </w:p>
        </w:tc>
        <w:tc>
          <w:tcPr>
            <w:tcW w:w="1210" w:type="dxa"/>
            <w:hideMark/>
          </w:tcPr>
          <w:p w14:paraId="1044359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19</w:t>
            </w:r>
          </w:p>
        </w:tc>
        <w:tc>
          <w:tcPr>
            <w:tcW w:w="1210" w:type="dxa"/>
            <w:hideMark/>
          </w:tcPr>
          <w:p w14:paraId="23C81282"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23</w:t>
            </w:r>
          </w:p>
        </w:tc>
        <w:tc>
          <w:tcPr>
            <w:tcW w:w="1210" w:type="dxa"/>
            <w:hideMark/>
          </w:tcPr>
          <w:p w14:paraId="4D7AD15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12</w:t>
            </w:r>
          </w:p>
        </w:tc>
      </w:tr>
      <w:tr w:rsidR="00F86EEB" w:rsidRPr="00D24BF7" w14:paraId="4667CA9C" w14:textId="77777777" w:rsidTr="00F86EEB">
        <w:trPr>
          <w:trHeight w:val="255"/>
        </w:trPr>
        <w:tc>
          <w:tcPr>
            <w:tcW w:w="4624" w:type="dxa"/>
            <w:hideMark/>
          </w:tcPr>
          <w:p w14:paraId="50568C3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Daman &amp; Diu</w:t>
            </w:r>
          </w:p>
        </w:tc>
        <w:tc>
          <w:tcPr>
            <w:tcW w:w="1211" w:type="dxa"/>
            <w:hideMark/>
          </w:tcPr>
          <w:p w14:paraId="234E89FA"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w:t>
            </w:r>
          </w:p>
        </w:tc>
        <w:tc>
          <w:tcPr>
            <w:tcW w:w="1210" w:type="dxa"/>
            <w:hideMark/>
          </w:tcPr>
          <w:p w14:paraId="17100DC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23</w:t>
            </w:r>
          </w:p>
        </w:tc>
        <w:tc>
          <w:tcPr>
            <w:tcW w:w="1210" w:type="dxa"/>
            <w:hideMark/>
          </w:tcPr>
          <w:p w14:paraId="5DEDF3A5"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24</w:t>
            </w:r>
          </w:p>
        </w:tc>
        <w:tc>
          <w:tcPr>
            <w:tcW w:w="1210" w:type="dxa"/>
            <w:hideMark/>
          </w:tcPr>
          <w:p w14:paraId="0CA8E50D"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18</w:t>
            </w:r>
          </w:p>
        </w:tc>
      </w:tr>
      <w:tr w:rsidR="00F86EEB" w:rsidRPr="00D24BF7" w14:paraId="16B44227" w14:textId="77777777" w:rsidTr="00F86EEB">
        <w:trPr>
          <w:trHeight w:val="255"/>
        </w:trPr>
        <w:tc>
          <w:tcPr>
            <w:tcW w:w="4624" w:type="dxa"/>
            <w:hideMark/>
          </w:tcPr>
          <w:p w14:paraId="16D4A6EE"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Lakshadweep</w:t>
            </w:r>
          </w:p>
        </w:tc>
        <w:tc>
          <w:tcPr>
            <w:tcW w:w="1211" w:type="dxa"/>
            <w:hideMark/>
          </w:tcPr>
          <w:p w14:paraId="7714AD4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w:t>
            </w:r>
          </w:p>
        </w:tc>
        <w:tc>
          <w:tcPr>
            <w:tcW w:w="1210" w:type="dxa"/>
            <w:hideMark/>
          </w:tcPr>
          <w:p w14:paraId="6F48A58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31</w:t>
            </w:r>
          </w:p>
        </w:tc>
        <w:tc>
          <w:tcPr>
            <w:tcW w:w="1210" w:type="dxa"/>
            <w:hideMark/>
          </w:tcPr>
          <w:p w14:paraId="51032E58"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34</w:t>
            </w:r>
          </w:p>
        </w:tc>
        <w:tc>
          <w:tcPr>
            <w:tcW w:w="1210" w:type="dxa"/>
            <w:hideMark/>
          </w:tcPr>
          <w:p w14:paraId="0215BB04"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15</w:t>
            </w:r>
          </w:p>
        </w:tc>
      </w:tr>
      <w:tr w:rsidR="00F86EEB" w:rsidRPr="00D24BF7" w14:paraId="7960D596" w14:textId="77777777" w:rsidTr="00F86EEB">
        <w:trPr>
          <w:trHeight w:val="255"/>
        </w:trPr>
        <w:tc>
          <w:tcPr>
            <w:tcW w:w="4624" w:type="dxa"/>
            <w:hideMark/>
          </w:tcPr>
          <w:p w14:paraId="1C5A8067"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Puducherry</w:t>
            </w:r>
          </w:p>
        </w:tc>
        <w:tc>
          <w:tcPr>
            <w:tcW w:w="1211" w:type="dxa"/>
            <w:hideMark/>
          </w:tcPr>
          <w:p w14:paraId="56FCBCAB"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20</w:t>
            </w:r>
          </w:p>
        </w:tc>
        <w:tc>
          <w:tcPr>
            <w:tcW w:w="1210" w:type="dxa"/>
            <w:hideMark/>
          </w:tcPr>
          <w:p w14:paraId="38DED06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26</w:t>
            </w:r>
          </w:p>
        </w:tc>
        <w:tc>
          <w:tcPr>
            <w:tcW w:w="1210" w:type="dxa"/>
            <w:hideMark/>
          </w:tcPr>
          <w:p w14:paraId="56ECCE10"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27</w:t>
            </w:r>
          </w:p>
        </w:tc>
        <w:tc>
          <w:tcPr>
            <w:tcW w:w="1210" w:type="dxa"/>
            <w:hideMark/>
          </w:tcPr>
          <w:p w14:paraId="55AA17D3" w14:textId="77777777" w:rsidR="00F86EEB" w:rsidRPr="00D24BF7" w:rsidRDefault="00F86EEB" w:rsidP="00F86EEB">
            <w:pPr>
              <w:pStyle w:val="NormalWeb"/>
              <w:shd w:val="clear" w:color="auto" w:fill="FFFFFF"/>
              <w:spacing w:after="225"/>
              <w:jc w:val="both"/>
              <w:rPr>
                <w:rFonts w:ascii="Verdana" w:hAnsi="Verdana" w:cs="Noto Serif"/>
                <w:color w:val="000000" w:themeColor="text1"/>
                <w:sz w:val="20"/>
                <w:szCs w:val="20"/>
              </w:rPr>
            </w:pPr>
            <w:r w:rsidRPr="00D24BF7">
              <w:rPr>
                <w:rFonts w:ascii="Verdana" w:hAnsi="Verdana" w:cs="Noto Serif"/>
                <w:color w:val="000000" w:themeColor="text1"/>
                <w:sz w:val="20"/>
                <w:szCs w:val="20"/>
              </w:rPr>
              <w:t>27</w:t>
            </w:r>
          </w:p>
        </w:tc>
      </w:tr>
      <w:tr w:rsidR="00F86EEB" w:rsidRPr="00D24BF7" w14:paraId="6FB435E4" w14:textId="77777777" w:rsidTr="00F86EEB">
        <w:trPr>
          <w:trHeight w:val="255"/>
        </w:trPr>
        <w:tc>
          <w:tcPr>
            <w:tcW w:w="9465" w:type="dxa"/>
            <w:gridSpan w:val="5"/>
            <w:hideMark/>
          </w:tcPr>
          <w:p w14:paraId="12EED6D4" w14:textId="77777777" w:rsidR="00F86EEB" w:rsidRPr="00D24BF7" w:rsidRDefault="00F86EEB" w:rsidP="00F86EEB">
            <w:pPr>
              <w:pStyle w:val="NormalWeb"/>
              <w:shd w:val="clear" w:color="auto" w:fill="FFFFFF"/>
              <w:spacing w:after="225"/>
              <w:rPr>
                <w:rFonts w:ascii="Verdana" w:hAnsi="Verdana" w:cs="Noto Serif"/>
                <w:color w:val="000000" w:themeColor="text1"/>
                <w:sz w:val="20"/>
                <w:szCs w:val="20"/>
              </w:rPr>
            </w:pPr>
            <w:r w:rsidRPr="00D24BF7">
              <w:rPr>
                <w:rFonts w:ascii="Verdana" w:hAnsi="Verdana" w:cs="Noto Serif"/>
                <w:color w:val="000000" w:themeColor="text1"/>
                <w:sz w:val="20"/>
                <w:szCs w:val="20"/>
              </w:rPr>
              <w:t>.: Not Applicable. -: Not Available.</w:t>
            </w:r>
          </w:p>
        </w:tc>
      </w:tr>
      <w:tr w:rsidR="00F86EEB" w:rsidRPr="00D24BF7" w14:paraId="7010B841" w14:textId="77777777" w:rsidTr="00F86EEB">
        <w:trPr>
          <w:trHeight w:val="525"/>
        </w:trPr>
        <w:tc>
          <w:tcPr>
            <w:tcW w:w="9465" w:type="dxa"/>
            <w:gridSpan w:val="5"/>
            <w:hideMark/>
          </w:tcPr>
          <w:p w14:paraId="5887E2B2" w14:textId="1EAACC29" w:rsidR="00F86EEB" w:rsidRPr="00D24BF7" w:rsidRDefault="00F86EEB" w:rsidP="00F86EEB">
            <w:pPr>
              <w:pStyle w:val="NormalWeb"/>
              <w:shd w:val="clear" w:color="auto" w:fill="FFFFFF"/>
              <w:spacing w:after="225"/>
              <w:rPr>
                <w:rFonts w:ascii="Verdana" w:hAnsi="Verdana" w:cs="Noto Serif"/>
                <w:color w:val="000000" w:themeColor="text1"/>
                <w:sz w:val="20"/>
                <w:szCs w:val="20"/>
              </w:rPr>
            </w:pPr>
            <w:r w:rsidRPr="00D24BF7">
              <w:rPr>
                <w:rFonts w:ascii="Verdana" w:hAnsi="Verdana" w:cs="Noto Serif"/>
                <w:color w:val="000000" w:themeColor="text1"/>
                <w:sz w:val="20"/>
                <w:szCs w:val="20"/>
              </w:rPr>
              <w:t>Ease of Doing business Index is based on the implementation of the Business Reform Action Plan (BRAP) recommended by the Department of Industrial Policy and Promotion (DIPP) to all States and Union Territories.</w:t>
            </w:r>
          </w:p>
        </w:tc>
      </w:tr>
    </w:tbl>
    <w:p w14:paraId="10230B2E" w14:textId="77777777" w:rsidR="0004267E" w:rsidRPr="00D24BF7" w:rsidRDefault="0004267E" w:rsidP="00B25066">
      <w:pPr>
        <w:pStyle w:val="NormalWeb"/>
        <w:shd w:val="clear" w:color="auto" w:fill="FFFFFF"/>
        <w:spacing w:before="0" w:beforeAutospacing="0" w:after="225" w:afterAutospacing="0"/>
        <w:rPr>
          <w:rFonts w:ascii="Verdana" w:hAnsi="Verdana" w:cs="Open Sans"/>
          <w:color w:val="000000" w:themeColor="text1"/>
          <w:sz w:val="20"/>
          <w:szCs w:val="20"/>
          <w:shd w:val="clear" w:color="auto" w:fill="FFFFFF"/>
        </w:rPr>
      </w:pPr>
    </w:p>
    <w:p w14:paraId="2E5F6558" w14:textId="2DA438C8" w:rsidR="00B25066" w:rsidRPr="00D24BF7" w:rsidRDefault="00B25066" w:rsidP="00B25066">
      <w:pPr>
        <w:pStyle w:val="NormalWeb"/>
        <w:shd w:val="clear" w:color="auto" w:fill="FFFFFF"/>
        <w:spacing w:before="0" w:beforeAutospacing="0" w:after="225" w:afterAutospacing="0"/>
        <w:rPr>
          <w:rFonts w:ascii="Verdana" w:hAnsi="Verdana" w:cs="Open Sans"/>
          <w:color w:val="000000" w:themeColor="text1"/>
          <w:sz w:val="20"/>
          <w:szCs w:val="20"/>
          <w:shd w:val="clear" w:color="auto" w:fill="FFFFFF"/>
        </w:rPr>
      </w:pPr>
      <w:r w:rsidRPr="00D24BF7">
        <w:rPr>
          <w:rFonts w:ascii="Verdana" w:hAnsi="Verdana" w:cs="Open Sans"/>
          <w:color w:val="000000" w:themeColor="text1"/>
          <w:sz w:val="20"/>
          <w:szCs w:val="20"/>
          <w:shd w:val="clear" w:color="auto" w:fill="FFFFFF"/>
        </w:rPr>
        <w:t>India’s major achievement can be summarised as.</w:t>
      </w:r>
    </w:p>
    <w:p w14:paraId="7EBE6E2D" w14:textId="77DB2841" w:rsidR="00B25066" w:rsidRPr="00D24BF7" w:rsidRDefault="00B25066" w:rsidP="00B25066">
      <w:pPr>
        <w:pStyle w:val="NormalWeb"/>
        <w:shd w:val="clear" w:color="auto" w:fill="FFFFFF"/>
        <w:spacing w:before="0" w:beforeAutospacing="0" w:after="225" w:afterAutospacing="0"/>
        <w:jc w:val="both"/>
        <w:rPr>
          <w:rFonts w:ascii="Verdana" w:hAnsi="Verdana" w:cs="Open Sans"/>
          <w:color w:val="000000" w:themeColor="text1"/>
          <w:sz w:val="20"/>
          <w:szCs w:val="20"/>
          <w:shd w:val="clear" w:color="auto" w:fill="FFFFFF"/>
        </w:rPr>
      </w:pPr>
      <w:r w:rsidRPr="00D24BF7">
        <w:rPr>
          <w:rStyle w:val="Strong"/>
          <w:rFonts w:ascii="Verdana" w:hAnsi="Verdana" w:cs="Open Sans"/>
          <w:color w:val="000000" w:themeColor="text1"/>
          <w:sz w:val="20"/>
          <w:szCs w:val="20"/>
          <w:bdr w:val="none" w:sz="0" w:space="0" w:color="auto" w:frame="1"/>
          <w:shd w:val="clear" w:color="auto" w:fill="FFFFFF"/>
        </w:rPr>
        <w:t>Construction Permits:</w:t>
      </w:r>
      <w:r w:rsidRPr="00D24BF7">
        <w:rPr>
          <w:rFonts w:ascii="Verdana" w:hAnsi="Verdana" w:cs="Open Sans"/>
          <w:color w:val="000000" w:themeColor="text1"/>
          <w:sz w:val="20"/>
          <w:szCs w:val="20"/>
          <w:shd w:val="clear" w:color="auto" w:fill="FFFFFF"/>
        </w:rPr>
        <w:t> India’s ranking on this parameter has improved from 184 in 2014 to 27 in 2019.4 This improvement has been mainly on the account of a decreasing the number of procedures and time taken for obtaining construction permits in India.</w:t>
      </w:r>
    </w:p>
    <w:p w14:paraId="108E77C5" w14:textId="1EE0CD72" w:rsidR="00B25066" w:rsidRPr="00D24BF7" w:rsidRDefault="00B25066" w:rsidP="00B25066">
      <w:pPr>
        <w:pStyle w:val="NormalWeb"/>
        <w:shd w:val="clear" w:color="auto" w:fill="FFFFFF"/>
        <w:spacing w:before="0" w:beforeAutospacing="0" w:after="225" w:afterAutospacing="0"/>
        <w:jc w:val="both"/>
        <w:rPr>
          <w:rFonts w:ascii="Verdana" w:hAnsi="Verdana" w:cs="Open Sans"/>
          <w:color w:val="000000" w:themeColor="text1"/>
          <w:sz w:val="20"/>
          <w:szCs w:val="20"/>
          <w:shd w:val="clear" w:color="auto" w:fill="FFFFFF"/>
        </w:rPr>
      </w:pPr>
      <w:r w:rsidRPr="00D24BF7">
        <w:rPr>
          <w:rStyle w:val="Strong"/>
          <w:rFonts w:ascii="Verdana" w:hAnsi="Verdana" w:cs="Open Sans"/>
          <w:color w:val="000000" w:themeColor="text1"/>
          <w:sz w:val="20"/>
          <w:szCs w:val="20"/>
          <w:bdr w:val="none" w:sz="0" w:space="0" w:color="auto" w:frame="1"/>
          <w:shd w:val="clear" w:color="auto" w:fill="FFFFFF"/>
        </w:rPr>
        <w:t>Getting Electricity:</w:t>
      </w:r>
      <w:r w:rsidRPr="00D24BF7">
        <w:rPr>
          <w:rFonts w:ascii="Verdana" w:hAnsi="Verdana" w:cs="Open Sans"/>
          <w:color w:val="000000" w:themeColor="text1"/>
          <w:sz w:val="20"/>
          <w:szCs w:val="20"/>
          <w:shd w:val="clear" w:color="auto" w:fill="FFFFFF"/>
        </w:rPr>
        <w:t> India’s ranking on this parameter has improved from 137 in 2014 to 22 in 2019. It takes just 53 days and 4 procedures for a business to get an electricity connection in India apart from these significant improvements, among the 190 economies, India ranks 13th in Protecting Minority Investors and 25th in Getting Credit.</w:t>
      </w:r>
    </w:p>
    <w:p w14:paraId="09D9827E" w14:textId="2E508514" w:rsidR="00B25066" w:rsidRPr="00D24BF7" w:rsidRDefault="008F2CA7" w:rsidP="00B25066">
      <w:pPr>
        <w:pStyle w:val="NormalWeb"/>
        <w:shd w:val="clear" w:color="auto" w:fill="FFFFFF"/>
        <w:spacing w:before="0" w:beforeAutospacing="0" w:after="225" w:afterAutospacing="0"/>
        <w:jc w:val="both"/>
        <w:rPr>
          <w:rFonts w:ascii="Verdana" w:hAnsi="Verdana" w:cs="Noto Serif"/>
          <w:b/>
          <w:bCs/>
          <w:color w:val="000000" w:themeColor="text1"/>
          <w:sz w:val="20"/>
          <w:szCs w:val="20"/>
        </w:rPr>
      </w:pPr>
      <w:r w:rsidRPr="00D24BF7">
        <w:rPr>
          <w:rFonts w:ascii="Verdana" w:hAnsi="Verdana" w:cs="Noto Serif"/>
          <w:b/>
          <w:bCs/>
          <w:color w:val="000000" w:themeColor="text1"/>
          <w:sz w:val="20"/>
          <w:szCs w:val="20"/>
        </w:rPr>
        <w:lastRenderedPageBreak/>
        <w:t>2.1.6 Social and Environmental Outcomes</w:t>
      </w:r>
    </w:p>
    <w:p w14:paraId="620E09F5" w14:textId="72745D2F" w:rsidR="008F2CA7" w:rsidRPr="00D24BF7" w:rsidRDefault="008F2CA7" w:rsidP="00B25066">
      <w:pPr>
        <w:pStyle w:val="NormalWeb"/>
        <w:shd w:val="clear" w:color="auto" w:fill="FFFFFF"/>
        <w:spacing w:before="0" w:beforeAutospacing="0" w:after="225" w:afterAutospacing="0"/>
        <w:jc w:val="both"/>
        <w:rPr>
          <w:rFonts w:ascii="Verdana" w:hAnsi="Verdana"/>
          <w:color w:val="000000" w:themeColor="text1"/>
          <w:sz w:val="20"/>
          <w:szCs w:val="20"/>
        </w:rPr>
      </w:pPr>
      <w:r w:rsidRPr="00D24BF7">
        <w:rPr>
          <w:rFonts w:ascii="Verdana" w:hAnsi="Verdana"/>
          <w:sz w:val="20"/>
          <w:szCs w:val="20"/>
        </w:rPr>
        <w:t xml:space="preserve">The Micro, Small and Medium Enterprises (MSME) sector has emerged as a highly vibrant and dynamic sector of the Indian economy over the last </w:t>
      </w:r>
      <w:r w:rsidR="00BE7B2C" w:rsidRPr="00D24BF7">
        <w:rPr>
          <w:rFonts w:ascii="Verdana" w:hAnsi="Verdana"/>
          <w:sz w:val="20"/>
          <w:szCs w:val="20"/>
        </w:rPr>
        <w:t>seven</w:t>
      </w:r>
      <w:r w:rsidRPr="00D24BF7">
        <w:rPr>
          <w:rFonts w:ascii="Verdana" w:hAnsi="Verdana"/>
          <w:sz w:val="20"/>
          <w:szCs w:val="20"/>
        </w:rPr>
        <w:t xml:space="preserve"> decades. It contributes significantly to the economic and social development of the country by fostering entrepreneurship and generating large employment opportunities at comparatively lower capital cost, next only to agriculture. MSMEs are complementary to large industries as ancillary units and this sector </w:t>
      </w:r>
      <w:r w:rsidRPr="00D24BF7">
        <w:rPr>
          <w:rFonts w:ascii="Verdana" w:hAnsi="Verdana"/>
          <w:color w:val="000000" w:themeColor="text1"/>
          <w:sz w:val="20"/>
          <w:szCs w:val="20"/>
        </w:rPr>
        <w:t xml:space="preserve">contributes significantly </w:t>
      </w:r>
      <w:r w:rsidR="0004267E" w:rsidRPr="00D24BF7">
        <w:rPr>
          <w:rFonts w:ascii="Verdana" w:hAnsi="Verdana"/>
          <w:color w:val="000000" w:themeColor="text1"/>
          <w:sz w:val="20"/>
          <w:szCs w:val="20"/>
        </w:rPr>
        <w:t>to</w:t>
      </w:r>
      <w:r w:rsidRPr="00D24BF7">
        <w:rPr>
          <w:rFonts w:ascii="Verdana" w:hAnsi="Verdana"/>
          <w:color w:val="000000" w:themeColor="text1"/>
          <w:sz w:val="20"/>
          <w:szCs w:val="20"/>
        </w:rPr>
        <w:t xml:space="preserve"> the inclusive industrial development of the country.</w:t>
      </w:r>
    </w:p>
    <w:p w14:paraId="19A00073" w14:textId="241EE42F" w:rsidR="008F2CA7" w:rsidRPr="00D24BF7" w:rsidRDefault="00B9021F" w:rsidP="00B25066">
      <w:pPr>
        <w:pStyle w:val="NormalWeb"/>
        <w:shd w:val="clear" w:color="auto" w:fill="FFFFFF"/>
        <w:spacing w:before="0" w:beforeAutospacing="0" w:after="225" w:afterAutospacing="0"/>
        <w:jc w:val="both"/>
        <w:rPr>
          <w:rFonts w:ascii="Verdana" w:hAnsi="Verdana"/>
          <w:sz w:val="20"/>
          <w:szCs w:val="20"/>
        </w:rPr>
      </w:pPr>
      <w:r w:rsidRPr="00D24BF7">
        <w:rPr>
          <w:rFonts w:ascii="Verdana" w:hAnsi="Verdana"/>
          <w:color w:val="000000" w:themeColor="text1"/>
          <w:sz w:val="20"/>
          <w:szCs w:val="20"/>
        </w:rPr>
        <w:t>For</w:t>
      </w:r>
      <w:r w:rsidR="008F2CA7" w:rsidRPr="00D24BF7">
        <w:rPr>
          <w:rFonts w:ascii="Verdana" w:hAnsi="Verdana"/>
          <w:color w:val="000000" w:themeColor="text1"/>
          <w:sz w:val="20"/>
          <w:szCs w:val="20"/>
        </w:rPr>
        <w:t xml:space="preserve"> businesses and governments to make informed decisions about global socioeconomic and environmental issues</w:t>
      </w:r>
      <w:r w:rsidR="008F2CA7" w:rsidRPr="00D24BF7">
        <w:rPr>
          <w:rFonts w:ascii="Verdana" w:hAnsi="Verdana"/>
          <w:b/>
          <w:bCs/>
          <w:color w:val="000000" w:themeColor="text1"/>
          <w:sz w:val="20"/>
          <w:szCs w:val="20"/>
        </w:rPr>
        <w:t>, </w:t>
      </w:r>
      <w:r w:rsidR="008F2CA7" w:rsidRPr="00D24BF7">
        <w:rPr>
          <w:rStyle w:val="Strong"/>
          <w:rFonts w:ascii="Verdana" w:hAnsi="Verdana"/>
          <w:b w:val="0"/>
          <w:bCs w:val="0"/>
          <w:color w:val="000000" w:themeColor="text1"/>
          <w:sz w:val="20"/>
          <w:szCs w:val="20"/>
        </w:rPr>
        <w:t>social entrepreneurship is becoming increasingly important.</w:t>
      </w:r>
      <w:r w:rsidR="003C46C1" w:rsidRPr="00D24BF7">
        <w:rPr>
          <w:rStyle w:val="Strong"/>
          <w:rFonts w:ascii="Verdana" w:hAnsi="Verdana"/>
          <w:b w:val="0"/>
          <w:bCs w:val="0"/>
          <w:color w:val="000000" w:themeColor="text1"/>
          <w:sz w:val="20"/>
          <w:szCs w:val="20"/>
        </w:rPr>
        <w:t xml:space="preserve"> </w:t>
      </w:r>
      <w:r w:rsidR="003C46C1" w:rsidRPr="00D24BF7">
        <w:rPr>
          <w:rFonts w:ascii="Verdana" w:hAnsi="Verdana"/>
          <w:sz w:val="20"/>
          <w:szCs w:val="20"/>
        </w:rPr>
        <w:t xml:space="preserve">Hindi and related languages predominate in North India. Hinduism is the main religion while other religions practiced by various ethnic communities include Islam, Sikhism, Jainism and Buddhism. North Indian culture is mainly rooted in Indo-Aryan traditions and customs, with assimilation of and impact from other cultures over long periods of history. North Indian culture reflects the diversity of traditions and customs of the vast region it encompasses. </w:t>
      </w:r>
    </w:p>
    <w:p w14:paraId="0DB7B494" w14:textId="57AB11E6" w:rsidR="00F11F26" w:rsidRPr="00D24BF7" w:rsidRDefault="005110A1" w:rsidP="00F11F26">
      <w:pPr>
        <w:pStyle w:val="NormalWeb"/>
        <w:shd w:val="clear" w:color="auto" w:fill="FFFFFF"/>
        <w:spacing w:before="0" w:beforeAutospacing="0"/>
        <w:jc w:val="both"/>
        <w:rPr>
          <w:rFonts w:ascii="Verdana" w:hAnsi="Verdana" w:cs="Arial"/>
          <w:color w:val="000000"/>
          <w:sz w:val="20"/>
          <w:szCs w:val="20"/>
        </w:rPr>
      </w:pPr>
      <w:r w:rsidRPr="00D24BF7">
        <w:rPr>
          <w:rFonts w:ascii="Verdana" w:hAnsi="Verdana"/>
          <w:sz w:val="20"/>
          <w:szCs w:val="20"/>
        </w:rPr>
        <w:t xml:space="preserve">According to a report from a global consortium of over 500 researchers, India is among the top five economies where it is easier to begin a new business, </w:t>
      </w:r>
      <w:r w:rsidRPr="00D24BF7">
        <w:rPr>
          <w:rFonts w:ascii="Verdana" w:hAnsi="Verdana" w:cs="Arial"/>
          <w:color w:val="000000"/>
          <w:sz w:val="20"/>
          <w:szCs w:val="20"/>
          <w:shd w:val="clear" w:color="auto" w:fill="FFFFFF"/>
        </w:rPr>
        <w:t>putting the country on top amongst low-income economies on different entrepreneurial framework conditions.</w:t>
      </w:r>
      <w:r w:rsidR="00F11F26" w:rsidRPr="00D24BF7">
        <w:rPr>
          <w:rFonts w:ascii="Verdana" w:hAnsi="Verdana"/>
          <w:color w:val="000000"/>
          <w:sz w:val="20"/>
          <w:szCs w:val="20"/>
          <w:shd w:val="clear" w:color="auto" w:fill="FFFFFF"/>
        </w:rPr>
        <w:t xml:space="preserve"> </w:t>
      </w:r>
      <w:r w:rsidR="00F11F26" w:rsidRPr="00D24BF7">
        <w:rPr>
          <w:rFonts w:ascii="Verdana" w:hAnsi="Verdana"/>
          <w:b/>
          <w:bCs/>
          <w:color w:val="000000"/>
          <w:sz w:val="20"/>
          <w:szCs w:val="20"/>
          <w:shd w:val="clear" w:color="auto" w:fill="FFFFFF"/>
        </w:rPr>
        <w:t>T</w:t>
      </w:r>
      <w:r w:rsidR="00F11F26" w:rsidRPr="00D24BF7">
        <w:rPr>
          <w:rFonts w:ascii="Verdana" w:hAnsi="Verdana" w:cs="Arial"/>
          <w:b/>
          <w:bCs/>
          <w:color w:val="000000"/>
          <w:sz w:val="20"/>
          <w:szCs w:val="20"/>
          <w:shd w:val="clear" w:color="auto" w:fill="FFFFFF"/>
        </w:rPr>
        <w:t>he Global Entrepreneurship Monitor (GEM) 2021/2022 report</w:t>
      </w:r>
      <w:r w:rsidR="00F11F26" w:rsidRPr="00D24BF7">
        <w:rPr>
          <w:rFonts w:ascii="Verdana" w:hAnsi="Verdana"/>
          <w:b/>
          <w:bCs/>
          <w:color w:val="000000"/>
          <w:sz w:val="20"/>
          <w:szCs w:val="20"/>
          <w:shd w:val="clear" w:color="auto" w:fill="FFFFFF"/>
        </w:rPr>
        <w:t xml:space="preserve">, </w:t>
      </w:r>
      <w:r w:rsidR="00F11F26" w:rsidRPr="00D24BF7">
        <w:rPr>
          <w:rFonts w:ascii="Verdana" w:hAnsi="Verdana" w:cs="Arial"/>
          <w:color w:val="000000"/>
          <w:sz w:val="20"/>
          <w:szCs w:val="20"/>
        </w:rPr>
        <w:t>The GEM report put India on the top amongst low-income economies (according to GDP per capita) on different Entrepreneurial Framework Conditions such as Entrepreneurial Finance, Ease of Access to Finance, Government Policy: Support and Relevance; and Government Support: Taxes and Bureaucracy, while Government Entrepreneurial Programmes was ranked second highest.</w:t>
      </w:r>
    </w:p>
    <w:p w14:paraId="1E9E6E19" w14:textId="77777777" w:rsidR="00BA0423" w:rsidRPr="00D24BF7" w:rsidRDefault="00F11F26" w:rsidP="00F11F26">
      <w:pPr>
        <w:shd w:val="clear" w:color="auto" w:fill="FFFFFF"/>
        <w:spacing w:after="100" w:afterAutospacing="1" w:line="240" w:lineRule="auto"/>
        <w:jc w:val="both"/>
        <w:rPr>
          <w:rFonts w:eastAsia="Times New Roman"/>
          <w:color w:val="000000"/>
          <w:spacing w:val="0"/>
          <w:lang w:eastAsia="en-IN"/>
        </w:rPr>
      </w:pPr>
      <w:r w:rsidRPr="00F11F26">
        <w:rPr>
          <w:rFonts w:eastAsia="Times New Roman"/>
          <w:color w:val="000000"/>
          <w:spacing w:val="0"/>
          <w:lang w:eastAsia="en-IN"/>
        </w:rPr>
        <w:t xml:space="preserve">Further, </w:t>
      </w:r>
      <w:r w:rsidR="0027422D" w:rsidRPr="00D24BF7">
        <w:rPr>
          <w:rFonts w:eastAsia="Times New Roman"/>
          <w:color w:val="000000"/>
          <w:spacing w:val="0"/>
          <w:lang w:eastAsia="en-IN"/>
        </w:rPr>
        <w:t>it was</w:t>
      </w:r>
      <w:r w:rsidRPr="00F11F26">
        <w:rPr>
          <w:rFonts w:eastAsia="Times New Roman"/>
          <w:color w:val="000000"/>
          <w:spacing w:val="0"/>
          <w:lang w:eastAsia="en-IN"/>
        </w:rPr>
        <w:t xml:space="preserve"> found that more than 77 per cent of entrepreneurs are pursuing new opportunities due to the COVID-19 pandemic placing India first out of 47.</w:t>
      </w:r>
      <w:r w:rsidRPr="00D24BF7">
        <w:rPr>
          <w:rFonts w:eastAsia="Times New Roman"/>
          <w:color w:val="000000"/>
          <w:spacing w:val="0"/>
          <w:lang w:eastAsia="en-IN"/>
        </w:rPr>
        <w:t xml:space="preserve"> </w:t>
      </w:r>
      <w:r w:rsidRPr="00F11F26">
        <w:rPr>
          <w:rFonts w:eastAsia="Times New Roman"/>
          <w:color w:val="000000"/>
          <w:spacing w:val="0"/>
          <w:lang w:eastAsia="en-IN"/>
        </w:rPr>
        <w:t>This observation reiterates the findings of a report published last year by researchers from the University of Strathclyde and King’s College London that found almost 60 per cent of entrepreneurs in India predict a long-term positive impact of COVID-19 on their businesses.</w:t>
      </w:r>
      <w:r w:rsidR="0027422D" w:rsidRPr="00D24BF7">
        <w:rPr>
          <w:rFonts w:eastAsia="Times New Roman"/>
          <w:color w:val="000000"/>
          <w:spacing w:val="0"/>
          <w:lang w:eastAsia="en-IN"/>
        </w:rPr>
        <w:t xml:space="preserve"> </w:t>
      </w:r>
    </w:p>
    <w:p w14:paraId="26BD402B" w14:textId="3DAC8606" w:rsidR="00F11F26" w:rsidRPr="00F11F26" w:rsidRDefault="0027422D" w:rsidP="00F11F26">
      <w:pPr>
        <w:shd w:val="clear" w:color="auto" w:fill="FFFFFF"/>
        <w:spacing w:after="100" w:afterAutospacing="1" w:line="240" w:lineRule="auto"/>
        <w:jc w:val="both"/>
        <w:rPr>
          <w:rFonts w:eastAsia="Times New Roman"/>
          <w:color w:val="000000"/>
          <w:spacing w:val="0"/>
          <w:lang w:eastAsia="en-IN"/>
        </w:rPr>
      </w:pPr>
      <w:r w:rsidRPr="00D24BF7">
        <w:t xml:space="preserve">In India it is projected that MSMEs contribute roughly 70 percent to the industrial pollution. These sectors are usually dominant in industries by relatively high resources and emission intensity. It has been estimated that MSMEs potential environmental impact can be proportionate with the large companies in similar sectors. Growing economic activity (production and consumption) requires larger inputs of energy and </w:t>
      </w:r>
      <w:r w:rsidR="00BA0423" w:rsidRPr="00D24BF7">
        <w:t>material and</w:t>
      </w:r>
      <w:r w:rsidRPr="00D24BF7">
        <w:t xml:space="preserve"> generates larger quantities of waste by-products. Increased extraction of natural resources, accumulation of waste and concentration of pollutants will therefore overwhelm the carrying capacity of the biosphere and result in the degradation of environmental quality and a decline in human welfare, despite rising incomes</w:t>
      </w:r>
    </w:p>
    <w:p w14:paraId="77E80022" w14:textId="36E698FB" w:rsidR="003C46C1" w:rsidRDefault="00BA0423" w:rsidP="00D24BF7">
      <w:pPr>
        <w:pStyle w:val="NormalWeb"/>
        <w:shd w:val="clear" w:color="auto" w:fill="FFFFFF"/>
        <w:spacing w:before="0" w:beforeAutospacing="0"/>
        <w:jc w:val="both"/>
        <w:rPr>
          <w:rFonts w:ascii="Verdana" w:hAnsi="Verdana"/>
          <w:sz w:val="20"/>
          <w:szCs w:val="20"/>
        </w:rPr>
      </w:pPr>
      <w:r w:rsidRPr="00D24BF7">
        <w:rPr>
          <w:rFonts w:ascii="Verdana" w:hAnsi="Verdana"/>
          <w:sz w:val="20"/>
          <w:szCs w:val="20"/>
        </w:rPr>
        <w:t>The World Bank ‘Financing Energy Efficiency at MSMEs’ (FEEM) Project has clearly identified that environment and energy best practices in India perceive assessments such as energy audits as a compliance tool rather than an exercise that can result in high and direct benefits. It was found that very few recommendations from energy audits translated into actual investments due to lack of adequate and deep technical know-how, inability to comprehend government schemes and benefit from them, lack of ability and/or willingness to pay for technical advice, limited or no access to external finance, and high transaction costs. The project also found that MSMEs did not have access to business-friendly, timely and adequate finance at competitive rates from financial institutions (FIs). As Energy Efficiency investments (EE) do not generate additional revenue and since the format of the energy audit reports was not amenable to EE being treated as bankable, EE initiatives were not seen in the realm of traditional financing options by the FIs. Due to the semi-formal nature of MSMEs, they often failed to meet the credit norms of FIs. Even where the MSMEs were willing to invest in EE options, it was challenging for them to find appropriate and reliable vendors, those whose products and services were geared for the smaller enterprises.</w:t>
      </w:r>
    </w:p>
    <w:p w14:paraId="4787A8BA" w14:textId="16A4DA2C" w:rsidR="00515A70" w:rsidRPr="00422F4E" w:rsidRDefault="00515A70" w:rsidP="00D24BF7">
      <w:pPr>
        <w:pStyle w:val="NormalWeb"/>
        <w:shd w:val="clear" w:color="auto" w:fill="FFFFFF"/>
        <w:spacing w:before="0" w:beforeAutospacing="0"/>
        <w:jc w:val="both"/>
        <w:rPr>
          <w:b/>
          <w:bCs/>
        </w:rPr>
      </w:pPr>
      <w:r w:rsidRPr="00422F4E">
        <w:rPr>
          <w:b/>
          <w:bCs/>
        </w:rPr>
        <w:lastRenderedPageBreak/>
        <w:t>2.4.2. Finance</w:t>
      </w:r>
    </w:p>
    <w:p w14:paraId="4D527B96" w14:textId="27B4836C" w:rsidR="00515A70" w:rsidRDefault="00422F4E" w:rsidP="008E245D">
      <w:pPr>
        <w:pStyle w:val="NormalWeb"/>
        <w:shd w:val="clear" w:color="auto" w:fill="FFFFFF"/>
        <w:spacing w:before="0" w:beforeAutospacing="0"/>
        <w:jc w:val="both"/>
        <w:rPr>
          <w:rFonts w:ascii="Verdana" w:hAnsi="Verdana"/>
          <w:b/>
          <w:bCs/>
          <w:sz w:val="20"/>
          <w:szCs w:val="20"/>
        </w:rPr>
      </w:pPr>
      <w:r>
        <w:rPr>
          <w:rFonts w:ascii="Verdana" w:hAnsi="Verdana"/>
          <w:b/>
          <w:bCs/>
          <w:sz w:val="20"/>
          <w:szCs w:val="20"/>
        </w:rPr>
        <w:t xml:space="preserve">2.4.2.1 </w:t>
      </w:r>
      <w:r w:rsidR="00DA3EE5" w:rsidRPr="00422F4E">
        <w:rPr>
          <w:rFonts w:ascii="Verdana" w:hAnsi="Verdana"/>
          <w:b/>
          <w:bCs/>
          <w:sz w:val="20"/>
          <w:szCs w:val="20"/>
        </w:rPr>
        <w:t>Funds Allocated and Disbursed for the Development of SMEs</w:t>
      </w:r>
    </w:p>
    <w:p w14:paraId="53229AFA" w14:textId="0BEC5FE1" w:rsidR="00422F4E" w:rsidRPr="00422F4E" w:rsidRDefault="00422F4E" w:rsidP="008E245D">
      <w:pPr>
        <w:pStyle w:val="NormalWeb"/>
        <w:shd w:val="clear" w:color="auto" w:fill="FFFFFF"/>
        <w:spacing w:before="0" w:beforeAutospacing="0"/>
        <w:jc w:val="both"/>
        <w:rPr>
          <w:rFonts w:ascii="Verdana" w:hAnsi="Verdana"/>
          <w:b/>
          <w:bCs/>
          <w:sz w:val="20"/>
          <w:szCs w:val="20"/>
        </w:rPr>
      </w:pPr>
      <w:r w:rsidRPr="00422F4E">
        <w:rPr>
          <w:rFonts w:ascii="Verdana" w:hAnsi="Verdana" w:cs="Open Sans"/>
          <w:color w:val="000000"/>
          <w:sz w:val="20"/>
          <w:szCs w:val="20"/>
          <w:shd w:val="clear" w:color="auto" w:fill="FFFFFF"/>
        </w:rPr>
        <w:t>The Union Budget 2022-23 highlights the MSME sector, a critical sector that makes up for about 45% of the country’s total manufacturing output, 40% of exports, and almost 30% of the national Gross domestic product (GDP). With a focus on growth, the government announced the following welcome measures to boost the MSME economy in India.</w:t>
      </w:r>
    </w:p>
    <w:p w14:paraId="1B6E03B9" w14:textId="6CC02E20" w:rsidR="00422F4E" w:rsidRDefault="00422F4E" w:rsidP="00422F4E">
      <w:pPr>
        <w:jc w:val="both"/>
        <w:rPr>
          <w:shd w:val="clear" w:color="auto" w:fill="FFFFFF"/>
        </w:rPr>
      </w:pPr>
      <w:r>
        <w:rPr>
          <w:shd w:val="clear" w:color="auto" w:fill="FFFFFF"/>
        </w:rPr>
        <w:t xml:space="preserve">In the budget of FY 2022-23, </w:t>
      </w:r>
      <w:r w:rsidR="008E245D" w:rsidRPr="008E245D">
        <w:rPr>
          <w:shd w:val="clear" w:color="auto" w:fill="FFFFFF"/>
        </w:rPr>
        <w:t xml:space="preserve">the Emergency Credit Line Guarantee Scheme (ECLGS) </w:t>
      </w:r>
      <w:r>
        <w:rPr>
          <w:shd w:val="clear" w:color="auto" w:fill="FFFFFF"/>
        </w:rPr>
        <w:t xml:space="preserve">was extended </w:t>
      </w:r>
      <w:r w:rsidR="008E245D" w:rsidRPr="008E245D">
        <w:rPr>
          <w:shd w:val="clear" w:color="auto" w:fill="FFFFFF"/>
        </w:rPr>
        <w:t>to March 2023. Besides, the guaranteed cover has also been extended by an additional Rs</w:t>
      </w:r>
      <w:r>
        <w:rPr>
          <w:shd w:val="clear" w:color="auto" w:fill="FFFFFF"/>
        </w:rPr>
        <w:t>.</w:t>
      </w:r>
      <w:r w:rsidR="008E245D" w:rsidRPr="008E245D">
        <w:rPr>
          <w:shd w:val="clear" w:color="auto" w:fill="FFFFFF"/>
        </w:rPr>
        <w:t>50,000 crore. The total allotment under the scheme would increase to Rs</w:t>
      </w:r>
      <w:r>
        <w:rPr>
          <w:shd w:val="clear" w:color="auto" w:fill="FFFFFF"/>
        </w:rPr>
        <w:t>.</w:t>
      </w:r>
      <w:r w:rsidR="008E245D" w:rsidRPr="008E245D">
        <w:rPr>
          <w:shd w:val="clear" w:color="auto" w:fill="FFFFFF"/>
        </w:rPr>
        <w:t>5 lakh crore. In the previous Budget, the finance minister unveiled ECLGS of Rs</w:t>
      </w:r>
      <w:r>
        <w:rPr>
          <w:shd w:val="clear" w:color="auto" w:fill="FFFFFF"/>
        </w:rPr>
        <w:t>.</w:t>
      </w:r>
      <w:r w:rsidR="008E245D" w:rsidRPr="008E245D">
        <w:rPr>
          <w:shd w:val="clear" w:color="auto" w:fill="FFFFFF"/>
        </w:rPr>
        <w:t>20 lakh crore to help the Covid-hit MSMEs.</w:t>
      </w:r>
      <w:r>
        <w:rPr>
          <w:shd w:val="clear" w:color="auto" w:fill="FFFFFF"/>
        </w:rPr>
        <w:t xml:space="preserve"> </w:t>
      </w:r>
      <w:r w:rsidR="008E245D" w:rsidRPr="008E245D">
        <w:rPr>
          <w:shd w:val="clear" w:color="auto" w:fill="FFFFFF"/>
        </w:rPr>
        <w:t xml:space="preserve">One key highlight of </w:t>
      </w:r>
      <w:r>
        <w:rPr>
          <w:shd w:val="clear" w:color="auto" w:fill="FFFFFF"/>
        </w:rPr>
        <w:t xml:space="preserve">the budget </w:t>
      </w:r>
      <w:r w:rsidR="008E245D" w:rsidRPr="008E245D">
        <w:rPr>
          <w:shd w:val="clear" w:color="auto" w:fill="FFFFFF"/>
        </w:rPr>
        <w:t>was the increase in budgetary allocation for MSMEs from last year’s Rs</w:t>
      </w:r>
      <w:r>
        <w:rPr>
          <w:shd w:val="clear" w:color="auto" w:fill="FFFFFF"/>
        </w:rPr>
        <w:t>.</w:t>
      </w:r>
      <w:r w:rsidR="008E245D" w:rsidRPr="008E245D">
        <w:rPr>
          <w:shd w:val="clear" w:color="auto" w:fill="FFFFFF"/>
        </w:rPr>
        <w:t>15,699.65 crore to Rs</w:t>
      </w:r>
      <w:r>
        <w:rPr>
          <w:shd w:val="clear" w:color="auto" w:fill="FFFFFF"/>
        </w:rPr>
        <w:t>.</w:t>
      </w:r>
      <w:r w:rsidR="008E245D" w:rsidRPr="008E245D">
        <w:rPr>
          <w:shd w:val="clear" w:color="auto" w:fill="FFFFFF"/>
        </w:rPr>
        <w:t>21,422 crore now (up by 26.71%).</w:t>
      </w:r>
    </w:p>
    <w:p w14:paraId="4CB382AA" w14:textId="73A01F71" w:rsidR="000547C4" w:rsidRPr="000547C4" w:rsidRDefault="000547C4" w:rsidP="000547C4">
      <w:pPr>
        <w:shd w:val="clear" w:color="auto" w:fill="FFFFFF"/>
        <w:spacing w:after="450" w:line="240" w:lineRule="auto"/>
        <w:rPr>
          <w:rFonts w:eastAsia="Times New Roman" w:cs="Open Sans"/>
          <w:color w:val="696F6F"/>
          <w:spacing w:val="0"/>
          <w:lang w:eastAsia="en-IN"/>
        </w:rPr>
      </w:pPr>
      <w:r w:rsidRPr="000547C4">
        <w:rPr>
          <w:rFonts w:eastAsia="Times New Roman" w:cs="Open Sans"/>
          <w:color w:val="000000"/>
          <w:spacing w:val="0"/>
          <w:lang w:eastAsia="en-IN"/>
        </w:rPr>
        <w:t>Salient feature of ECLGS</w:t>
      </w:r>
    </w:p>
    <w:p w14:paraId="1DA8982A" w14:textId="77777777" w:rsidR="000547C4" w:rsidRPr="000547C4" w:rsidRDefault="000547C4" w:rsidP="000547C4">
      <w:pPr>
        <w:numPr>
          <w:ilvl w:val="0"/>
          <w:numId w:val="4"/>
        </w:numPr>
        <w:shd w:val="clear" w:color="auto" w:fill="FFFFFF"/>
        <w:spacing w:before="100" w:beforeAutospacing="1" w:after="100" w:afterAutospacing="1" w:line="240" w:lineRule="auto"/>
        <w:rPr>
          <w:rFonts w:eastAsia="Times New Roman" w:cs="Open Sans"/>
          <w:color w:val="333333"/>
          <w:spacing w:val="0"/>
          <w:lang w:eastAsia="en-IN"/>
        </w:rPr>
      </w:pPr>
      <w:r w:rsidRPr="000547C4">
        <w:rPr>
          <w:rFonts w:eastAsia="Times New Roman" w:cs="Open Sans"/>
          <w:color w:val="000000"/>
          <w:spacing w:val="0"/>
          <w:lang w:eastAsia="en-IN"/>
        </w:rPr>
        <w:t>ECLGs have provided the much-needed additional support to more than 130 lakh MSMEs helping them mitigate the worst effects of a pandemic.</w:t>
      </w:r>
    </w:p>
    <w:p w14:paraId="67E24604" w14:textId="77777777" w:rsidR="000547C4" w:rsidRPr="000547C4" w:rsidRDefault="000547C4" w:rsidP="000547C4">
      <w:pPr>
        <w:numPr>
          <w:ilvl w:val="0"/>
          <w:numId w:val="4"/>
        </w:numPr>
        <w:shd w:val="clear" w:color="auto" w:fill="FFFFFF"/>
        <w:spacing w:before="100" w:beforeAutospacing="1" w:after="100" w:afterAutospacing="1" w:line="240" w:lineRule="auto"/>
        <w:rPr>
          <w:rFonts w:eastAsia="Times New Roman" w:cs="Open Sans"/>
          <w:color w:val="333333"/>
          <w:spacing w:val="0"/>
          <w:lang w:eastAsia="en-IN"/>
        </w:rPr>
      </w:pPr>
      <w:r w:rsidRPr="000547C4">
        <w:rPr>
          <w:rFonts w:eastAsia="Times New Roman" w:cs="Open Sans"/>
          <w:color w:val="000000"/>
          <w:spacing w:val="0"/>
          <w:lang w:eastAsia="en-IN"/>
        </w:rPr>
        <w:t>The hospitality and related services, especially for MSMEs, are yet to regain their pre-pandemic level.</w:t>
      </w:r>
    </w:p>
    <w:p w14:paraId="198AF503" w14:textId="5F4A6BEA" w:rsidR="008E245D" w:rsidRPr="008E245D" w:rsidRDefault="008E245D" w:rsidP="00422F4E">
      <w:pPr>
        <w:jc w:val="both"/>
      </w:pPr>
      <w:r w:rsidRPr="008E245D">
        <w:rPr>
          <w:shd w:val="clear" w:color="auto" w:fill="FFFFFF"/>
        </w:rPr>
        <w:t>Last year, the total outlay for all the schemes and projects for the Development of Khadi, Village and Coir Industries was Rs</w:t>
      </w:r>
      <w:r w:rsidR="00422F4E">
        <w:rPr>
          <w:shd w:val="clear" w:color="auto" w:fill="FFFFFF"/>
        </w:rPr>
        <w:t>.</w:t>
      </w:r>
      <w:r w:rsidRPr="008E245D">
        <w:rPr>
          <w:shd w:val="clear" w:color="auto" w:fill="FFFFFF"/>
        </w:rPr>
        <w:t xml:space="preserve">905.04 crore. This allocation was subsequently revised to Rs 1,232.32 in 2021-2022. However, in this Budget, the revised figure has seen a marginal reduction. The new allocation stood at Rs 1,168.03 crore. A significant number of MSMEs belong to labour-intensive </w:t>
      </w:r>
      <w:r w:rsidR="00422F4E" w:rsidRPr="008E245D">
        <w:rPr>
          <w:shd w:val="clear" w:color="auto" w:fill="FFFFFF"/>
        </w:rPr>
        <w:t>domains and</w:t>
      </w:r>
      <w:r w:rsidRPr="008E245D">
        <w:rPr>
          <w:shd w:val="clear" w:color="auto" w:fill="FFFFFF"/>
        </w:rPr>
        <w:t xml:space="preserve"> had expected an increase in allocation of funds. That has not happened this time.</w:t>
      </w:r>
      <w:r w:rsidR="00422F4E">
        <w:rPr>
          <w:shd w:val="clear" w:color="auto" w:fill="FFFFFF"/>
        </w:rPr>
        <w:t xml:space="preserve"> </w:t>
      </w:r>
      <w:r w:rsidRPr="008E245D">
        <w:rPr>
          <w:shd w:val="clear" w:color="auto" w:fill="FFFFFF"/>
        </w:rPr>
        <w:t>In Technology Upgradation and Quality Certification, the total outlay has been slashed from last year’s Rs 330.31 to Rs 80.72 crore (down by 75.56%). Notably, the Credit Linked Capital Subsidy and Technology Scheme, which earlier had an allocation of Rs 315.31crore, has not secured any amount this time. However, the MSME Champions Scheme that had a nil allocation earlier has got Rs 60.72 now.</w:t>
      </w:r>
      <w:r w:rsidRPr="008E245D">
        <w:br/>
      </w:r>
    </w:p>
    <w:p w14:paraId="6CB45509" w14:textId="015E1D5B" w:rsidR="008E245D" w:rsidRPr="008E245D" w:rsidRDefault="008E245D" w:rsidP="00422F4E">
      <w:pPr>
        <w:jc w:val="both"/>
        <w:rPr>
          <w:shd w:val="clear" w:color="auto" w:fill="FFFFFF"/>
        </w:rPr>
      </w:pPr>
      <w:r w:rsidRPr="008E245D">
        <w:rPr>
          <w:shd w:val="clear" w:color="auto" w:fill="FFFFFF"/>
        </w:rPr>
        <w:t>The Prime Minister Employment Generation Programme (PMEGP), a flagship programme of the government, has seen a big increase from Rs 12,499.70 crore to Rs 17,600.12 crore. This translates to an increase of 29%.</w:t>
      </w:r>
      <w:r w:rsidR="00422F4E">
        <w:rPr>
          <w:shd w:val="clear" w:color="auto" w:fill="FFFFFF"/>
        </w:rPr>
        <w:t xml:space="preserve"> </w:t>
      </w:r>
      <w:r w:rsidRPr="008E245D">
        <w:rPr>
          <w:shd w:val="clear" w:color="auto" w:fill="FFFFFF"/>
        </w:rPr>
        <w:t>However, a closer look at the subheads revealed that the overall allocation to this segment was a mixed bag for MSMEs. The allocation for the Interest Subvention Scheme for Incremental Credit to MSMEs had been drastically slashed from Rs</w:t>
      </w:r>
      <w:r w:rsidR="00422F4E">
        <w:rPr>
          <w:shd w:val="clear" w:color="auto" w:fill="FFFFFF"/>
        </w:rPr>
        <w:t>.</w:t>
      </w:r>
      <w:r w:rsidRPr="008E245D">
        <w:rPr>
          <w:shd w:val="clear" w:color="auto" w:fill="FFFFFF"/>
        </w:rPr>
        <w:t xml:space="preserve">199.66 </w:t>
      </w:r>
      <w:r w:rsidR="00422F4E">
        <w:rPr>
          <w:shd w:val="clear" w:color="auto" w:fill="FFFFFF"/>
        </w:rPr>
        <w:t>crore</w:t>
      </w:r>
      <w:r w:rsidRPr="008E245D">
        <w:rPr>
          <w:shd w:val="clear" w:color="auto" w:fill="FFFFFF"/>
        </w:rPr>
        <w:t xml:space="preserve"> to Rs 0.04 crore. Also, the Distres</w:t>
      </w:r>
      <w:r w:rsidR="00422F4E">
        <w:rPr>
          <w:shd w:val="clear" w:color="auto" w:fill="FFFFFF"/>
        </w:rPr>
        <w:t>s</w:t>
      </w:r>
      <w:r w:rsidRPr="008E245D">
        <w:rPr>
          <w:shd w:val="clear" w:color="auto" w:fill="FFFFFF"/>
        </w:rPr>
        <w:t xml:space="preserve"> Assets Fund </w:t>
      </w:r>
      <w:r w:rsidR="00422F4E">
        <w:rPr>
          <w:shd w:val="clear" w:color="auto" w:fill="FFFFFF"/>
        </w:rPr>
        <w:t xml:space="preserve">have </w:t>
      </w:r>
      <w:r w:rsidRPr="008E245D">
        <w:rPr>
          <w:shd w:val="clear" w:color="auto" w:fill="FFFFFF"/>
        </w:rPr>
        <w:t>been given a provision of just Rs 100 crore — a significant reduction from Rs 300 crore earlier. One reason for this could be the fact that the Guarantee Emergency Credit Line (GECL) facility to eligible MSME borrowers has been hiked from Rs 10,000 crore to Rs 15,000 crore for the new financial year.</w:t>
      </w:r>
    </w:p>
    <w:p w14:paraId="3962E8E8" w14:textId="451AD3E3" w:rsidR="008E245D" w:rsidRDefault="008E245D" w:rsidP="00422F4E">
      <w:pPr>
        <w:jc w:val="both"/>
      </w:pPr>
      <w:r w:rsidRPr="008E245D">
        <w:rPr>
          <w:shd w:val="clear" w:color="auto" w:fill="FFFFFF"/>
        </w:rPr>
        <w:t>Entrepreneurship and skill development schemes were earlier allocated Rs 570.93 cr. This has been increased to Rs</w:t>
      </w:r>
      <w:r w:rsidR="00422F4E">
        <w:rPr>
          <w:shd w:val="clear" w:color="auto" w:fill="FFFFFF"/>
        </w:rPr>
        <w:t>.</w:t>
      </w:r>
      <w:r w:rsidRPr="008E245D">
        <w:rPr>
          <w:shd w:val="clear" w:color="auto" w:fill="FFFFFF"/>
        </w:rPr>
        <w:t xml:space="preserve">717.99 </w:t>
      </w:r>
      <w:r w:rsidR="00422F4E">
        <w:rPr>
          <w:shd w:val="clear" w:color="auto" w:fill="FFFFFF"/>
        </w:rPr>
        <w:t xml:space="preserve">crore </w:t>
      </w:r>
      <w:r w:rsidRPr="008E245D">
        <w:rPr>
          <w:shd w:val="clear" w:color="auto" w:fill="FFFFFF"/>
        </w:rPr>
        <w:t>(up by 20.48%). Within this, the Fund of Funds has got Rs</w:t>
      </w:r>
      <w:r w:rsidR="00422F4E">
        <w:rPr>
          <w:shd w:val="clear" w:color="auto" w:fill="FFFFFF"/>
        </w:rPr>
        <w:t>.</w:t>
      </w:r>
      <w:r w:rsidRPr="008E245D">
        <w:rPr>
          <w:shd w:val="clear" w:color="auto" w:fill="FFFFFF"/>
        </w:rPr>
        <w:t>486 crore, from Rs</w:t>
      </w:r>
      <w:r w:rsidR="00422F4E">
        <w:rPr>
          <w:shd w:val="clear" w:color="auto" w:fill="FFFFFF"/>
        </w:rPr>
        <w:t>.</w:t>
      </w:r>
      <w:r w:rsidRPr="008E245D">
        <w:rPr>
          <w:shd w:val="clear" w:color="auto" w:fill="FFFFFF"/>
        </w:rPr>
        <w:t>350 crore earlier. Similarly, other sub-schemes have also seen a hike. Allocation for the Mahatma Gandhi Institute for Rural Industrialisation is now Rs 10.41 crore from Rs 7.5 crore. This time, the budgetary allocation for the Promotional Services Institutions and Programme is Rs</w:t>
      </w:r>
      <w:r w:rsidR="00422F4E">
        <w:rPr>
          <w:shd w:val="clear" w:color="auto" w:fill="FFFFFF"/>
        </w:rPr>
        <w:t>.</w:t>
      </w:r>
      <w:r w:rsidRPr="008E245D">
        <w:rPr>
          <w:shd w:val="clear" w:color="auto" w:fill="FFFFFF"/>
        </w:rPr>
        <w:t>182.82 crore from Rs</w:t>
      </w:r>
      <w:r w:rsidR="00422F4E">
        <w:rPr>
          <w:shd w:val="clear" w:color="auto" w:fill="FFFFFF"/>
        </w:rPr>
        <w:t>.</w:t>
      </w:r>
      <w:r w:rsidRPr="008E245D">
        <w:rPr>
          <w:shd w:val="clear" w:color="auto" w:fill="FFFFFF"/>
        </w:rPr>
        <w:t xml:space="preserve">176.70 crore earlier. </w:t>
      </w:r>
      <w:r w:rsidR="00422F4E">
        <w:rPr>
          <w:shd w:val="clear" w:color="auto" w:fill="FFFFFF"/>
        </w:rPr>
        <w:t>T</w:t>
      </w:r>
      <w:r w:rsidRPr="008E245D">
        <w:rPr>
          <w:shd w:val="clear" w:color="auto" w:fill="FFFFFF"/>
        </w:rPr>
        <w:t>he allocation for the Total-Infrastructure Development Programme — from Rs</w:t>
      </w:r>
      <w:r w:rsidR="00422F4E">
        <w:rPr>
          <w:shd w:val="clear" w:color="auto" w:fill="FFFFFF"/>
        </w:rPr>
        <w:t>.</w:t>
      </w:r>
      <w:r w:rsidRPr="008E245D">
        <w:rPr>
          <w:shd w:val="clear" w:color="auto" w:fill="FFFFFF"/>
        </w:rPr>
        <w:t>1,107.63</w:t>
      </w:r>
      <w:r w:rsidR="00422F4E">
        <w:rPr>
          <w:shd w:val="clear" w:color="auto" w:fill="FFFFFF"/>
        </w:rPr>
        <w:t xml:space="preserve"> crore</w:t>
      </w:r>
      <w:r w:rsidRPr="008E245D">
        <w:rPr>
          <w:shd w:val="clear" w:color="auto" w:fill="FFFFFF"/>
        </w:rPr>
        <w:t xml:space="preserve"> to Rs</w:t>
      </w:r>
      <w:r w:rsidR="00422F4E">
        <w:rPr>
          <w:shd w:val="clear" w:color="auto" w:fill="FFFFFF"/>
        </w:rPr>
        <w:t>.</w:t>
      </w:r>
      <w:r w:rsidRPr="008E245D">
        <w:rPr>
          <w:shd w:val="clear" w:color="auto" w:fill="FFFFFF"/>
        </w:rPr>
        <w:t>1,596.03 cr</w:t>
      </w:r>
      <w:r w:rsidR="00422F4E">
        <w:rPr>
          <w:shd w:val="clear" w:color="auto" w:fill="FFFFFF"/>
        </w:rPr>
        <w:t>ore</w:t>
      </w:r>
      <w:r w:rsidRPr="008E245D">
        <w:rPr>
          <w:shd w:val="clear" w:color="auto" w:fill="FFFFFF"/>
        </w:rPr>
        <w:t>. The outlay for research and evaluation studies is also up from Rs</w:t>
      </w:r>
      <w:r w:rsidR="00422F4E">
        <w:rPr>
          <w:shd w:val="clear" w:color="auto" w:fill="FFFFFF"/>
        </w:rPr>
        <w:t>.</w:t>
      </w:r>
      <w:r w:rsidRPr="008E245D">
        <w:rPr>
          <w:shd w:val="clear" w:color="auto" w:fill="FFFFFF"/>
        </w:rPr>
        <w:t>175.64 to Rs</w:t>
      </w:r>
      <w:r w:rsidR="00422F4E">
        <w:rPr>
          <w:shd w:val="clear" w:color="auto" w:fill="FFFFFF"/>
        </w:rPr>
        <w:t>.</w:t>
      </w:r>
      <w:r w:rsidRPr="008E245D">
        <w:rPr>
          <w:shd w:val="clear" w:color="auto" w:fill="FFFFFF"/>
        </w:rPr>
        <w:t>157 crore.</w:t>
      </w:r>
      <w:r w:rsidRPr="008E245D">
        <w:br/>
      </w:r>
    </w:p>
    <w:p w14:paraId="2F89D340" w14:textId="77777777" w:rsidR="000547C4" w:rsidRPr="000547C4" w:rsidRDefault="000547C4" w:rsidP="000547C4">
      <w:pPr>
        <w:pStyle w:val="NormalWeb"/>
        <w:shd w:val="clear" w:color="auto" w:fill="FFFFFF"/>
        <w:spacing w:before="0" w:beforeAutospacing="0" w:after="450" w:afterAutospacing="0"/>
        <w:jc w:val="both"/>
        <w:rPr>
          <w:rFonts w:ascii="Verdana" w:hAnsi="Verdana" w:cs="Open Sans"/>
          <w:color w:val="000000" w:themeColor="text1"/>
          <w:sz w:val="20"/>
          <w:szCs w:val="20"/>
        </w:rPr>
      </w:pPr>
      <w:r w:rsidRPr="000547C4">
        <w:rPr>
          <w:rFonts w:ascii="Verdana" w:hAnsi="Verdana" w:cs="Open Sans"/>
          <w:color w:val="000000" w:themeColor="text1"/>
          <w:sz w:val="20"/>
          <w:szCs w:val="20"/>
        </w:rPr>
        <w:lastRenderedPageBreak/>
        <w:t>To prioritize entrepreneurship and formalize the economy, the MSME registration portal </w:t>
      </w:r>
      <w:proofErr w:type="spellStart"/>
      <w:r w:rsidRPr="000547C4">
        <w:rPr>
          <w:rFonts w:ascii="Verdana" w:hAnsi="Verdana" w:cs="Open Sans"/>
          <w:color w:val="000000" w:themeColor="text1"/>
          <w:sz w:val="20"/>
          <w:szCs w:val="20"/>
        </w:rPr>
        <w:fldChar w:fldCharType="begin"/>
      </w:r>
      <w:r w:rsidRPr="000547C4">
        <w:rPr>
          <w:rFonts w:ascii="Verdana" w:hAnsi="Verdana" w:cs="Open Sans"/>
          <w:color w:val="000000" w:themeColor="text1"/>
          <w:sz w:val="20"/>
          <w:szCs w:val="20"/>
        </w:rPr>
        <w:instrText xml:space="preserve"> HYPERLINK "https://www.indiafilings.com/learn/msme-udyam-registration/" </w:instrText>
      </w:r>
      <w:r w:rsidRPr="000547C4">
        <w:rPr>
          <w:rFonts w:ascii="Verdana" w:hAnsi="Verdana" w:cs="Open Sans"/>
          <w:color w:val="000000" w:themeColor="text1"/>
          <w:sz w:val="20"/>
          <w:szCs w:val="20"/>
        </w:rPr>
        <w:fldChar w:fldCharType="separate"/>
      </w:r>
      <w:r w:rsidRPr="000547C4">
        <w:rPr>
          <w:rStyle w:val="Hyperlink"/>
          <w:rFonts w:ascii="Verdana" w:hAnsi="Verdana" w:cs="Open Sans"/>
          <w:color w:val="000000" w:themeColor="text1"/>
          <w:sz w:val="20"/>
          <w:szCs w:val="20"/>
          <w:u w:val="none"/>
        </w:rPr>
        <w:t>Udyam</w:t>
      </w:r>
      <w:proofErr w:type="spellEnd"/>
      <w:r w:rsidRPr="000547C4">
        <w:rPr>
          <w:rFonts w:ascii="Verdana" w:hAnsi="Verdana" w:cs="Open Sans"/>
          <w:color w:val="000000" w:themeColor="text1"/>
          <w:sz w:val="20"/>
          <w:szCs w:val="20"/>
        </w:rPr>
        <w:fldChar w:fldCharType="end"/>
      </w:r>
      <w:r w:rsidRPr="000547C4">
        <w:rPr>
          <w:rFonts w:ascii="Verdana" w:hAnsi="Verdana" w:cs="Open Sans"/>
          <w:color w:val="000000" w:themeColor="text1"/>
          <w:sz w:val="20"/>
          <w:szCs w:val="20"/>
        </w:rPr>
        <w:t>, </w:t>
      </w:r>
      <w:hyperlink r:id="rId10" w:history="1">
        <w:r w:rsidRPr="000547C4">
          <w:rPr>
            <w:rStyle w:val="Hyperlink"/>
            <w:rFonts w:ascii="Verdana" w:hAnsi="Verdana" w:cs="Open Sans"/>
            <w:color w:val="000000" w:themeColor="text1"/>
            <w:sz w:val="20"/>
            <w:szCs w:val="20"/>
            <w:u w:val="none"/>
          </w:rPr>
          <w:t>e-</w:t>
        </w:r>
        <w:proofErr w:type="spellStart"/>
        <w:r w:rsidRPr="000547C4">
          <w:rPr>
            <w:rStyle w:val="Hyperlink"/>
            <w:rFonts w:ascii="Verdana" w:hAnsi="Verdana" w:cs="Open Sans"/>
            <w:color w:val="000000" w:themeColor="text1"/>
            <w:sz w:val="20"/>
            <w:szCs w:val="20"/>
            <w:u w:val="none"/>
          </w:rPr>
          <w:t>Shram</w:t>
        </w:r>
        <w:proofErr w:type="spellEnd"/>
        <w:r w:rsidRPr="000547C4">
          <w:rPr>
            <w:rStyle w:val="Hyperlink"/>
            <w:rFonts w:ascii="Verdana" w:hAnsi="Verdana" w:cs="Open Sans"/>
            <w:color w:val="000000" w:themeColor="text1"/>
            <w:sz w:val="20"/>
            <w:szCs w:val="20"/>
            <w:u w:val="none"/>
          </w:rPr>
          <w:t>, NCS, and ASEEM portal will be interlinked</w:t>
        </w:r>
      </w:hyperlink>
      <w:r w:rsidRPr="000547C4">
        <w:rPr>
          <w:rFonts w:ascii="Verdana" w:hAnsi="Verdana" w:cs="Open Sans"/>
          <w:color w:val="000000" w:themeColor="text1"/>
          <w:sz w:val="20"/>
          <w:szCs w:val="20"/>
        </w:rPr>
        <w:t> to provide live and organic databases in the Union budget 2023.</w:t>
      </w:r>
    </w:p>
    <w:p w14:paraId="5579FC5D" w14:textId="3AC1CB45" w:rsidR="000547C4" w:rsidRPr="000547C4" w:rsidRDefault="000547C4" w:rsidP="000547C4">
      <w:pPr>
        <w:numPr>
          <w:ilvl w:val="0"/>
          <w:numId w:val="5"/>
        </w:numPr>
        <w:shd w:val="clear" w:color="auto" w:fill="FFFFFF"/>
        <w:spacing w:before="100" w:beforeAutospacing="1" w:after="100" w:afterAutospacing="1" w:line="240" w:lineRule="auto"/>
        <w:jc w:val="both"/>
        <w:rPr>
          <w:rFonts w:cs="Open Sans"/>
          <w:color w:val="000000" w:themeColor="text1"/>
        </w:rPr>
      </w:pPr>
      <w:r w:rsidRPr="000547C4">
        <w:rPr>
          <w:rFonts w:cs="Open Sans"/>
          <w:color w:val="000000" w:themeColor="text1"/>
        </w:rPr>
        <w:t>The scope of all the portals collectively will be widened, offering G2C, B2B, and B2C services.</w:t>
      </w:r>
    </w:p>
    <w:p w14:paraId="43D36BE1" w14:textId="379FD78E" w:rsidR="000547C4" w:rsidRPr="000547C4" w:rsidRDefault="000547C4" w:rsidP="000547C4">
      <w:pPr>
        <w:numPr>
          <w:ilvl w:val="0"/>
          <w:numId w:val="5"/>
        </w:numPr>
        <w:shd w:val="clear" w:color="auto" w:fill="FFFFFF"/>
        <w:spacing w:before="100" w:beforeAutospacing="1" w:after="100" w:afterAutospacing="1" w:line="240" w:lineRule="auto"/>
        <w:jc w:val="both"/>
        <w:rPr>
          <w:rFonts w:cs="Open Sans"/>
          <w:color w:val="000000" w:themeColor="text1"/>
        </w:rPr>
      </w:pPr>
      <w:r w:rsidRPr="000547C4">
        <w:rPr>
          <w:rFonts w:cs="Open Sans"/>
          <w:color w:val="000000" w:themeColor="text1"/>
        </w:rPr>
        <w:t>This step aims to create credit facilitation, skulking, recruitment efficiency, and employment opportunities.</w:t>
      </w:r>
    </w:p>
    <w:p w14:paraId="34E053D4" w14:textId="709BCAAF" w:rsidR="000547C4" w:rsidRPr="000547C4" w:rsidRDefault="000547C4" w:rsidP="000547C4">
      <w:pPr>
        <w:shd w:val="clear" w:color="auto" w:fill="FFFFFF"/>
        <w:spacing w:after="450" w:line="240" w:lineRule="auto"/>
        <w:jc w:val="both"/>
        <w:rPr>
          <w:rFonts w:eastAsia="Times New Roman" w:cs="Open Sans"/>
          <w:color w:val="696F6F"/>
          <w:spacing w:val="0"/>
          <w:lang w:eastAsia="en-IN"/>
        </w:rPr>
      </w:pPr>
      <w:r w:rsidRPr="000547C4">
        <w:rPr>
          <w:rFonts w:eastAsia="Times New Roman" w:cs="Open Sans"/>
          <w:color w:val="000000"/>
          <w:spacing w:val="0"/>
          <w:lang w:eastAsia="en-IN"/>
        </w:rPr>
        <w:t>Additional allocation of Rs 19,500 crore for PLI for manufacturing of high-efficiency modules with a priority to fully integrate manufacturing units from polysilicon to solar PV modules will be made. Production Linked Scheme (PLI) scheme applied in 14 sectors has received an excellent response and has the potential to create 60 lakh new jobs and additional production of 30 lakh crore during the next five years.</w:t>
      </w:r>
      <w:r w:rsidR="00385B1B">
        <w:rPr>
          <w:rFonts w:eastAsia="Times New Roman" w:cs="Open Sans"/>
          <w:color w:val="000000"/>
          <w:spacing w:val="0"/>
          <w:lang w:eastAsia="en-IN"/>
        </w:rPr>
        <w:t xml:space="preserve"> </w:t>
      </w:r>
      <w:r w:rsidRPr="000547C4">
        <w:rPr>
          <w:rFonts w:cs="Open Sans"/>
          <w:color w:val="000000"/>
          <w:shd w:val="clear" w:color="auto" w:fill="FFFFFF"/>
        </w:rPr>
        <w:t>A fund with blended capital, raised under the co-investment model, will be facilitated through NABARD. This is to finance start</w:t>
      </w:r>
      <w:r>
        <w:rPr>
          <w:rFonts w:cs="Open Sans"/>
          <w:color w:val="000000"/>
          <w:shd w:val="clear" w:color="auto" w:fill="FFFFFF"/>
        </w:rPr>
        <w:t>-</w:t>
      </w:r>
      <w:r w:rsidRPr="000547C4">
        <w:rPr>
          <w:rFonts w:cs="Open Sans"/>
          <w:color w:val="000000"/>
          <w:shd w:val="clear" w:color="auto" w:fill="FFFFFF"/>
        </w:rPr>
        <w:t>ups for agriculture &amp; rural enterprise, relevant for the farm produce value chain. The activities for these start</w:t>
      </w:r>
      <w:r>
        <w:rPr>
          <w:rFonts w:cs="Open Sans"/>
          <w:color w:val="000000"/>
          <w:shd w:val="clear" w:color="auto" w:fill="FFFFFF"/>
        </w:rPr>
        <w:t>-</w:t>
      </w:r>
      <w:r w:rsidRPr="000547C4">
        <w:rPr>
          <w:rFonts w:cs="Open Sans"/>
          <w:color w:val="000000"/>
          <w:shd w:val="clear" w:color="auto" w:fill="FFFFFF"/>
        </w:rPr>
        <w:t>ups will include, among other things, support for FPOs, machinery for farmers on a rental basis at the farm level, and technology, including IT-based support. Besides introducing a unified logistics interface platform for the logistics sector, FM added that railways would develop new products and efficient logistics services for small farmers and small and medium enterprises.</w:t>
      </w:r>
    </w:p>
    <w:p w14:paraId="0A1D32FD" w14:textId="7F55B25B" w:rsidR="000547C4" w:rsidRDefault="000547C4" w:rsidP="000547C4">
      <w:pPr>
        <w:shd w:val="clear" w:color="auto" w:fill="FFFFFF"/>
        <w:spacing w:before="100" w:beforeAutospacing="1" w:after="100" w:afterAutospacing="1" w:line="240" w:lineRule="auto"/>
        <w:jc w:val="both"/>
        <w:rPr>
          <w:b/>
          <w:bCs/>
        </w:rPr>
      </w:pPr>
      <w:r w:rsidRPr="000547C4">
        <w:rPr>
          <w:b/>
          <w:bCs/>
        </w:rPr>
        <w:t>2.4.2.2. Availability of Loans from the Domestic Banking Sector and Financial Institutions</w:t>
      </w:r>
    </w:p>
    <w:p w14:paraId="0B181849" w14:textId="77777777" w:rsidR="00915FE0" w:rsidRPr="004042D6" w:rsidRDefault="00915FE0" w:rsidP="00915FE0">
      <w:pPr>
        <w:pStyle w:val="NormalWeb"/>
        <w:shd w:val="clear" w:color="auto" w:fill="FFFFFF"/>
        <w:jc w:val="both"/>
        <w:rPr>
          <w:rFonts w:ascii="Verdana" w:hAnsi="Verdana"/>
          <w:color w:val="000000" w:themeColor="text1"/>
          <w:sz w:val="20"/>
          <w:szCs w:val="20"/>
        </w:rPr>
      </w:pPr>
      <w:r w:rsidRPr="004042D6">
        <w:rPr>
          <w:rFonts w:ascii="Verdana" w:hAnsi="Verdana" w:cs="Arial"/>
          <w:color w:val="000000" w:themeColor="text1"/>
          <w:sz w:val="20"/>
          <w:szCs w:val="20"/>
          <w:shd w:val="clear" w:color="auto" w:fill="FFFFFF"/>
        </w:rPr>
        <w:t>A report by the IFC stated that 85% of MSMEs remain underserved in terms of credit, and only one-fifth of these financing gaps were fulfilled by formal credit. The contributing factors to this issue are access, cost, and underwriting.</w:t>
      </w:r>
      <w:r>
        <w:rPr>
          <w:rFonts w:ascii="Verdana" w:hAnsi="Verdana" w:cs="Arial"/>
          <w:color w:val="000000" w:themeColor="text1"/>
          <w:sz w:val="20"/>
          <w:szCs w:val="20"/>
        </w:rPr>
        <w:t xml:space="preserve"> </w:t>
      </w:r>
      <w:r w:rsidRPr="004042D6">
        <w:rPr>
          <w:rFonts w:ascii="Verdana" w:hAnsi="Verdana" w:cs="Arial"/>
          <w:color w:val="000000" w:themeColor="text1"/>
          <w:sz w:val="20"/>
          <w:szCs w:val="20"/>
          <w:shd w:val="clear" w:color="auto" w:fill="FFFFFF"/>
        </w:rPr>
        <w:t xml:space="preserve">Traditional lenders require MSME borrowers to provide credit history, formal records, business vintage, etc, which may exclude many small businesses from the formal lending ecosystem. Moreover, their dispersal brings up a problem of reach and penetration for larger lending institutions. </w:t>
      </w:r>
      <w:proofErr w:type="gramStart"/>
      <w:r w:rsidRPr="004042D6">
        <w:rPr>
          <w:rFonts w:ascii="Verdana" w:hAnsi="Verdana" w:cs="Arial"/>
          <w:color w:val="000000" w:themeColor="text1"/>
          <w:sz w:val="20"/>
          <w:szCs w:val="20"/>
          <w:shd w:val="clear" w:color="auto" w:fill="FFFFFF"/>
        </w:rPr>
        <w:t>As a consequence</w:t>
      </w:r>
      <w:proofErr w:type="gramEnd"/>
      <w:r w:rsidRPr="004042D6">
        <w:rPr>
          <w:rFonts w:ascii="Verdana" w:hAnsi="Verdana" w:cs="Arial"/>
          <w:color w:val="000000" w:themeColor="text1"/>
          <w:sz w:val="20"/>
          <w:szCs w:val="20"/>
          <w:shd w:val="clear" w:color="auto" w:fill="FFFFFF"/>
        </w:rPr>
        <w:t>, the MSME lending sector in India faced a credit deficit of Rs 16 lakh crore. (</w:t>
      </w:r>
      <w:proofErr w:type="gramStart"/>
      <w:r w:rsidRPr="004042D6">
        <w:rPr>
          <w:rFonts w:ascii="Verdana" w:hAnsi="Verdana" w:cs="Arial"/>
          <w:color w:val="000000" w:themeColor="text1"/>
          <w:sz w:val="20"/>
          <w:szCs w:val="20"/>
          <w:shd w:val="clear" w:color="auto" w:fill="FFFFFF"/>
        </w:rPr>
        <w:t>as</w:t>
      </w:r>
      <w:proofErr w:type="gramEnd"/>
      <w:r w:rsidRPr="004042D6">
        <w:rPr>
          <w:rFonts w:ascii="Verdana" w:hAnsi="Verdana" w:cs="Arial"/>
          <w:color w:val="000000" w:themeColor="text1"/>
          <w:sz w:val="20"/>
          <w:szCs w:val="20"/>
          <w:shd w:val="clear" w:color="auto" w:fill="FFFFFF"/>
        </w:rPr>
        <w:t xml:space="preserve"> of Q1 2020). With the pandemic providing renewed impetus to MSMEs to digitalize and formalize, proprietors are becoming increasingly comfortable with having their business needs met digitally. The Reserve Bank of India estimates indicate, there is a wide gap that can be bridged through </w:t>
      </w:r>
      <w:hyperlink r:id="rId11" w:tgtFrame="_blank" w:history="1">
        <w:r w:rsidRPr="004042D6">
          <w:rPr>
            <w:rStyle w:val="Hyperlink"/>
            <w:rFonts w:ascii="Verdana" w:hAnsi="Verdana" w:cs="Arial"/>
            <w:color w:val="000000" w:themeColor="text1"/>
            <w:sz w:val="20"/>
            <w:szCs w:val="20"/>
            <w:u w:val="none"/>
            <w:shd w:val="clear" w:color="auto" w:fill="FFFFFF"/>
          </w:rPr>
          <w:t>digital lending</w:t>
        </w:r>
      </w:hyperlink>
      <w:r w:rsidRPr="004042D6">
        <w:rPr>
          <w:rFonts w:ascii="Verdana" w:hAnsi="Verdana" w:cs="Arial"/>
          <w:color w:val="000000" w:themeColor="text1"/>
          <w:sz w:val="20"/>
          <w:szCs w:val="20"/>
          <w:shd w:val="clear" w:color="auto" w:fill="FFFFFF"/>
        </w:rPr>
        <w:t> that relies on data-driven credit models</w:t>
      </w:r>
      <w:r>
        <w:rPr>
          <w:rFonts w:ascii="Verdana" w:hAnsi="Verdana" w:cs="Arial"/>
          <w:color w:val="000000" w:themeColor="text1"/>
          <w:sz w:val="20"/>
          <w:szCs w:val="20"/>
          <w:shd w:val="clear" w:color="auto" w:fill="FFFFFF"/>
        </w:rPr>
        <w:t>.</w:t>
      </w:r>
    </w:p>
    <w:p w14:paraId="19D268EB" w14:textId="51A348F2" w:rsidR="002438CB" w:rsidRDefault="002438CB" w:rsidP="00385B1B">
      <w:pPr>
        <w:shd w:val="clear" w:color="auto" w:fill="FFFFFF"/>
        <w:spacing w:before="100" w:beforeAutospacing="1" w:after="100" w:afterAutospacing="1" w:line="240" w:lineRule="auto"/>
        <w:jc w:val="both"/>
        <w:rPr>
          <w:color w:val="000000" w:themeColor="text1"/>
        </w:rPr>
      </w:pPr>
      <w:r w:rsidRPr="002438CB">
        <w:rPr>
          <w:color w:val="000000"/>
          <w:shd w:val="clear" w:color="auto" w:fill="FFFFFF"/>
        </w:rPr>
        <w:t xml:space="preserve">The total amount of credit extended to MSMEs in the financial year (FY) 2021-22 by scheduled commercial banks has increased by 24.6 per cent from FY20 and 12.7 per cent from FY21, indicating the rise in credit demand among small businesses fast-tracking their Covid recovery. According to the data from the Reserve Bank of India (RBI), the credit outstanding to the MSME sector increased from Rs 16.13 lakh crore given to 384.18 lakh borrowers </w:t>
      </w:r>
      <w:r w:rsidR="004042D6">
        <w:rPr>
          <w:color w:val="000000"/>
          <w:shd w:val="clear" w:color="auto" w:fill="FFFFFF"/>
        </w:rPr>
        <w:t xml:space="preserve">in FY 20-21 </w:t>
      </w:r>
      <w:r w:rsidRPr="002438CB">
        <w:rPr>
          <w:color w:val="000000"/>
          <w:shd w:val="clear" w:color="auto" w:fill="FFFFFF"/>
        </w:rPr>
        <w:t>to Rs 17.83 lakh crore to 420.19 lakh borrowers in FY21</w:t>
      </w:r>
      <w:r w:rsidR="004042D6">
        <w:rPr>
          <w:color w:val="000000"/>
          <w:shd w:val="clear" w:color="auto" w:fill="FFFFFF"/>
        </w:rPr>
        <w:t>-22</w:t>
      </w:r>
      <w:r w:rsidRPr="002438CB">
        <w:rPr>
          <w:color w:val="000000"/>
          <w:shd w:val="clear" w:color="auto" w:fill="FFFFFF"/>
        </w:rPr>
        <w:t xml:space="preserve"> and </w:t>
      </w:r>
      <w:r w:rsidR="004042D6">
        <w:rPr>
          <w:color w:val="000000"/>
          <w:shd w:val="clear" w:color="auto" w:fill="FFFFFF"/>
        </w:rPr>
        <w:t xml:space="preserve">shall </w:t>
      </w:r>
      <w:r w:rsidRPr="002438CB">
        <w:rPr>
          <w:color w:val="000000"/>
          <w:shd w:val="clear" w:color="auto" w:fill="FFFFFF"/>
        </w:rPr>
        <w:t xml:space="preserve">further </w:t>
      </w:r>
      <w:r w:rsidR="004042D6">
        <w:rPr>
          <w:color w:val="000000"/>
          <w:shd w:val="clear" w:color="auto" w:fill="FFFFFF"/>
        </w:rPr>
        <w:t xml:space="preserve">increase </w:t>
      </w:r>
      <w:r w:rsidRPr="002438CB">
        <w:rPr>
          <w:color w:val="000000"/>
          <w:shd w:val="clear" w:color="auto" w:fill="FFFFFF"/>
        </w:rPr>
        <w:t>to Rs 20.11 lakh crore to 264.67 lakh borrowers in FY22</w:t>
      </w:r>
      <w:r>
        <w:rPr>
          <w:rFonts w:ascii="Montserrat" w:hAnsi="Montserrat"/>
          <w:color w:val="000000"/>
          <w:sz w:val="26"/>
          <w:szCs w:val="26"/>
          <w:shd w:val="clear" w:color="auto" w:fill="FFFFFF"/>
        </w:rPr>
        <w:t>.</w:t>
      </w:r>
      <w:r w:rsidR="00385B1B">
        <w:rPr>
          <w:rFonts w:ascii="Montserrat" w:hAnsi="Montserrat"/>
          <w:color w:val="000000"/>
          <w:sz w:val="26"/>
          <w:szCs w:val="26"/>
          <w:shd w:val="clear" w:color="auto" w:fill="FFFFFF"/>
        </w:rPr>
        <w:t xml:space="preserve"> </w:t>
      </w:r>
      <w:r w:rsidR="00A03DF2">
        <w:rPr>
          <w:color w:val="000000" w:themeColor="text1"/>
        </w:rPr>
        <w:t>Till date, a</w:t>
      </w:r>
      <w:r w:rsidRPr="002438CB">
        <w:rPr>
          <w:color w:val="000000" w:themeColor="text1"/>
        </w:rPr>
        <w:t>mong top states in FY22, 26.91 lakh MSMEs in Maharashtra secured maximum credit of Rs 3.39 lakh crore followed by 39.07 lakh MSMEs in Tamil Nadu raising Rs 2.19 lakh crore, and Gujarat with 10.20 lakh MSMEs getting Rs 1.85 lakh crore in bank credit. In Delhi, 4.29 lakh units raised Rs 1.30 lakh crore in FY22.Meanwhile, the latest </w:t>
      </w:r>
      <w:hyperlink r:id="rId12" w:history="1">
        <w:r w:rsidRPr="002438CB">
          <w:rPr>
            <w:rStyle w:val="Hyperlink"/>
            <w:color w:val="000000" w:themeColor="text1"/>
            <w:u w:val="none"/>
          </w:rPr>
          <w:t>RBI</w:t>
        </w:r>
      </w:hyperlink>
      <w:r w:rsidRPr="002438CB">
        <w:rPr>
          <w:color w:val="000000" w:themeColor="text1"/>
        </w:rPr>
        <w:t> data showed Rs 17.99 lakh crore raised by MSMEs under priority sector lending in October 2022, up 20.3 per cent up from Rs 14.95 lakh crore in October 2021 while in September 2022, the total MSME credit deployed was Rs 18.55 lakh crore. </w:t>
      </w:r>
    </w:p>
    <w:p w14:paraId="3BA30494" w14:textId="77777777" w:rsidR="00385B1B" w:rsidRDefault="004042D6" w:rsidP="00385B1B">
      <w:pPr>
        <w:shd w:val="clear" w:color="auto" w:fill="FFFFFF"/>
        <w:spacing w:before="100" w:beforeAutospacing="1" w:after="100" w:afterAutospacing="1" w:line="240" w:lineRule="auto"/>
        <w:jc w:val="both"/>
        <w:rPr>
          <w:rFonts w:eastAsia="Times New Roman"/>
          <w:color w:val="000000"/>
          <w:spacing w:val="0"/>
          <w:lang w:eastAsia="en-IN"/>
        </w:rPr>
      </w:pPr>
      <w:r w:rsidRPr="004042D6">
        <w:rPr>
          <w:rFonts w:eastAsia="Times New Roman"/>
          <w:color w:val="000000"/>
          <w:spacing w:val="0"/>
          <w:lang w:eastAsia="en-IN"/>
        </w:rPr>
        <w:t xml:space="preserve">The Ministry of MSME, Government of India and SIDBI set up the Credit Guarantee Fund Trust for Micro and Small Enterprises (CGTMSE) with a view to facilitate flow of credit to the MSE </w:t>
      </w:r>
      <w:r w:rsidRPr="004042D6">
        <w:rPr>
          <w:rFonts w:eastAsia="Times New Roman"/>
          <w:color w:val="000000"/>
          <w:spacing w:val="0"/>
          <w:lang w:eastAsia="en-IN"/>
        </w:rPr>
        <w:lastRenderedPageBreak/>
        <w:t>sector without the need for collaterals / third party guarantees. The main objective of the scheme is that the lender should give importance to project viability and secure the credit facility purely on the primary security of the assets financed. The Credit Guarantee scheme (CGS) seeks to reassure the lender that, in the event of a MSE unit, which availed collateral - free credit facilities, failing to discharge its liabilities to the lender, the Guarantee Trust would make good the loss incurred by the lender, as per the scheme.</w:t>
      </w:r>
      <w:r w:rsidR="001D792B">
        <w:rPr>
          <w:rFonts w:eastAsia="Times New Roman"/>
          <w:color w:val="000000"/>
          <w:spacing w:val="0"/>
          <w:lang w:eastAsia="en-IN"/>
        </w:rPr>
        <w:t xml:space="preserve"> </w:t>
      </w:r>
      <w:r w:rsidRPr="004042D6">
        <w:rPr>
          <w:rFonts w:eastAsia="Times New Roman"/>
          <w:color w:val="000000"/>
          <w:spacing w:val="0"/>
          <w:lang w:eastAsia="en-IN"/>
        </w:rPr>
        <w:t xml:space="preserve">The CGTMSE would provide cover for credit facility up to ₹200 lakh which have been extended by lending institutions without any collateral security and /or third-party guarantees. A guarantee and annual service fee is charged by the CGTMSE to avail of the </w:t>
      </w:r>
      <w:proofErr w:type="gramStart"/>
      <w:r w:rsidRPr="004042D6">
        <w:rPr>
          <w:rFonts w:eastAsia="Times New Roman"/>
          <w:color w:val="000000"/>
          <w:spacing w:val="0"/>
          <w:lang w:eastAsia="en-IN"/>
        </w:rPr>
        <w:t>guarantee</w:t>
      </w:r>
      <w:proofErr w:type="gramEnd"/>
      <w:r w:rsidRPr="004042D6">
        <w:rPr>
          <w:rFonts w:eastAsia="Times New Roman"/>
          <w:color w:val="000000"/>
          <w:spacing w:val="0"/>
          <w:lang w:eastAsia="en-IN"/>
        </w:rPr>
        <w:t xml:space="preserve"> cover.</w:t>
      </w:r>
    </w:p>
    <w:p w14:paraId="3C9CA9D0" w14:textId="1259AC66" w:rsidR="00915FE0" w:rsidRPr="00385B1B" w:rsidRDefault="00385B1B" w:rsidP="00385B1B">
      <w:pPr>
        <w:shd w:val="clear" w:color="auto" w:fill="FFFFFF"/>
        <w:spacing w:before="100" w:beforeAutospacing="1" w:after="100" w:afterAutospacing="1" w:line="240" w:lineRule="auto"/>
        <w:jc w:val="both"/>
        <w:rPr>
          <w:rFonts w:eastAsia="Times New Roman"/>
          <w:color w:val="000000"/>
          <w:spacing w:val="0"/>
          <w:lang w:eastAsia="en-IN"/>
        </w:rPr>
      </w:pPr>
      <w:r>
        <w:rPr>
          <w:rFonts w:eastAsia="Times New Roman"/>
          <w:color w:val="000000"/>
          <w:spacing w:val="0"/>
          <w:lang w:eastAsia="en-IN"/>
        </w:rPr>
        <w:t>T</w:t>
      </w:r>
      <w:r w:rsidR="00915FE0" w:rsidRPr="00915FE0">
        <w:rPr>
          <w:rFonts w:eastAsia="Times New Roman" w:cs="Times New Roman"/>
          <w:color w:val="000000" w:themeColor="text1"/>
          <w:spacing w:val="0"/>
          <w:lang w:eastAsia="en-IN"/>
        </w:rPr>
        <w:t>he non-performing assets (NPAs) in the micro, small, and medium enterprise (MSME) sector have increased 12.59% in the fourth quarter of the financial year 2021–22 to Rs 2.95 lakh crore from Rs 2.62 lakh crore during Q4 FY21, indicating the impact of Covid. In comparison to 12.5 percent in March 21 and 12.6 percent in March 20, the overall MSME NPA rate as of March 22 was 12.8%.</w:t>
      </w:r>
      <w:r w:rsidR="00A72D0B">
        <w:rPr>
          <w:rFonts w:eastAsia="Times New Roman" w:cs="Times New Roman"/>
          <w:color w:val="000000" w:themeColor="text1"/>
          <w:spacing w:val="0"/>
          <w:lang w:eastAsia="en-IN"/>
        </w:rPr>
        <w:t xml:space="preserve"> </w:t>
      </w:r>
      <w:r>
        <w:rPr>
          <w:rFonts w:eastAsia="Times New Roman" w:cs="Times New Roman"/>
          <w:color w:val="000000" w:themeColor="text1"/>
          <w:spacing w:val="0"/>
          <w:lang w:eastAsia="en-IN"/>
        </w:rPr>
        <w:t>T</w:t>
      </w:r>
      <w:r w:rsidR="00915FE0" w:rsidRPr="00915FE0">
        <w:rPr>
          <w:rFonts w:eastAsia="Times New Roman" w:cs="Times New Roman"/>
          <w:color w:val="000000" w:themeColor="text1"/>
          <w:spacing w:val="0"/>
          <w:lang w:eastAsia="en-IN"/>
        </w:rPr>
        <w:t>he NPAs began to rise from Rs 2.42 lakh crore during Q3 FY21 and reached a peak of Rs 3.10 lakh crore during Q2 FY22 before significantly declining to Rs 3.01 lakh crore in the next quarter and further in Q4. Importantly, the decline in NPAs was apparent throughout the micro, small, and medium-sized </w:t>
      </w:r>
      <w:hyperlink r:id="rId13" w:tgtFrame="_blank" w:history="1">
        <w:r w:rsidR="00915FE0" w:rsidRPr="00915FE0">
          <w:rPr>
            <w:rFonts w:eastAsia="Times New Roman" w:cs="Times New Roman"/>
            <w:color w:val="000000" w:themeColor="text1"/>
            <w:spacing w:val="0"/>
            <w:lang w:eastAsia="en-IN"/>
          </w:rPr>
          <w:t>business segments</w:t>
        </w:r>
      </w:hyperlink>
      <w:r w:rsidR="00915FE0" w:rsidRPr="00915FE0">
        <w:rPr>
          <w:rFonts w:eastAsia="Times New Roman" w:cs="Times New Roman"/>
          <w:color w:val="000000" w:themeColor="text1"/>
          <w:spacing w:val="0"/>
          <w:lang w:eastAsia="en-IN"/>
        </w:rPr>
        <w:t> of the industry.</w:t>
      </w:r>
    </w:p>
    <w:p w14:paraId="692349FE" w14:textId="77777777" w:rsidR="00915FE0" w:rsidRPr="00915FE0" w:rsidRDefault="00915FE0" w:rsidP="00385B1B">
      <w:pPr>
        <w:shd w:val="clear" w:color="auto" w:fill="FFFFFF"/>
        <w:spacing w:after="0" w:line="240" w:lineRule="auto"/>
        <w:jc w:val="both"/>
        <w:rPr>
          <w:rFonts w:eastAsia="Times New Roman" w:cs="Times New Roman"/>
          <w:color w:val="000000" w:themeColor="text1"/>
          <w:spacing w:val="0"/>
          <w:lang w:eastAsia="en-IN"/>
        </w:rPr>
      </w:pPr>
    </w:p>
    <w:p w14:paraId="10E1B1F1" w14:textId="6AFFFBE6" w:rsidR="00915FE0" w:rsidRDefault="00915FE0" w:rsidP="00385B1B">
      <w:pPr>
        <w:shd w:val="clear" w:color="auto" w:fill="FFFFFF"/>
        <w:spacing w:after="0" w:line="240" w:lineRule="auto"/>
        <w:jc w:val="both"/>
        <w:rPr>
          <w:rFonts w:eastAsia="Times New Roman" w:cs="Times New Roman"/>
          <w:color w:val="000000" w:themeColor="text1"/>
          <w:spacing w:val="0"/>
          <w:lang w:eastAsia="en-IN"/>
        </w:rPr>
      </w:pPr>
      <w:r w:rsidRPr="00915FE0">
        <w:rPr>
          <w:rFonts w:eastAsia="Times New Roman" w:cs="Times New Roman"/>
          <w:color w:val="000000" w:themeColor="text1"/>
          <w:spacing w:val="0"/>
          <w:lang w:eastAsia="en-IN"/>
        </w:rPr>
        <w:t>The micro segment had a lower NPA rate than the small segment up until Q3 FY21. The analysis highlighted that the trend has reversed, showing that Covid had the greatest influence on the micro segment. As of Q4 FY22, the small segment’s NPA rate was 10% (down from 11% in Q2 FY22), while the micro and medium segments had NPA rates of 12% (down from 13% in Q1 FY22) and 16% (down from 17% in Q2 FY22), respectively.</w:t>
      </w:r>
      <w:r w:rsidR="00A72D0B">
        <w:rPr>
          <w:rFonts w:eastAsia="Times New Roman" w:cs="Times New Roman"/>
          <w:color w:val="000000" w:themeColor="text1"/>
          <w:spacing w:val="0"/>
          <w:lang w:eastAsia="en-IN"/>
        </w:rPr>
        <w:t xml:space="preserve"> </w:t>
      </w:r>
      <w:r w:rsidRPr="00915FE0">
        <w:rPr>
          <w:rFonts w:eastAsia="Times New Roman" w:cs="Times New Roman"/>
          <w:color w:val="000000" w:themeColor="text1"/>
          <w:spacing w:val="0"/>
          <w:lang w:eastAsia="en-IN"/>
        </w:rPr>
        <w:t>Regarding the type of lender, NPA rates for private banks, non-banking financial companies (NBFCs), and public sector banks (PSBs) all showed a rise from Q3 FY21 for the next two to three quarters before stabilising or beginning to fall. For instance, the NPA rate for private banks (the lowest among NBFCS and PSBs) rose from 5.9% in Q3 FY21 to 6.8% in Q2 FY22 before falling to 5.6% in Q4 FY22.</w:t>
      </w:r>
      <w:r w:rsidR="001D792B">
        <w:rPr>
          <w:rFonts w:eastAsia="Times New Roman" w:cs="Times New Roman"/>
          <w:color w:val="000000" w:themeColor="text1"/>
          <w:spacing w:val="0"/>
          <w:lang w:eastAsia="en-IN"/>
        </w:rPr>
        <w:t xml:space="preserve"> </w:t>
      </w:r>
      <w:r w:rsidRPr="00915FE0">
        <w:rPr>
          <w:rFonts w:eastAsia="Times New Roman" w:cs="Times New Roman"/>
          <w:color w:val="000000" w:themeColor="text1"/>
          <w:spacing w:val="0"/>
          <w:lang w:eastAsia="en-IN"/>
        </w:rPr>
        <w:t>In comparison to commercial banks and NBFCs, PSBs had the highest NPA rate, which rose from 16.1% in Q3 FY21 to 21.1 percent in Q2 FY22 but stayed constant at 20.8 percent as of Q4 FY22. The NPA rate for NBFCs also reached a peak, going from 8% in Q2 FY21 to 10.9 % in Q1 FY22, before falling to 9.6 % in Q4 FY22.The Reserve Bank of India (RBI) mandated in March 2021 that banks and other lenders report accounts restructured due to the pandemic to credit bureaus, and based on an analysis of the restructured loans owed to Covid, the report stated that as of March 2022, 2.7 lakh accounts were tagged as restructured in the MSME sector (aggregate outstanding of less than Rs</w:t>
      </w:r>
      <w:r>
        <w:rPr>
          <w:rFonts w:eastAsia="Times New Roman" w:cs="Times New Roman"/>
          <w:color w:val="000000" w:themeColor="text1"/>
          <w:spacing w:val="0"/>
          <w:lang w:eastAsia="en-IN"/>
        </w:rPr>
        <w:t>.</w:t>
      </w:r>
      <w:r w:rsidRPr="00915FE0">
        <w:rPr>
          <w:rFonts w:eastAsia="Times New Roman" w:cs="Times New Roman"/>
          <w:color w:val="000000" w:themeColor="text1"/>
          <w:spacing w:val="0"/>
          <w:lang w:eastAsia="en-IN"/>
        </w:rPr>
        <w:t>50 crore). This accounted for about 2.3% of all live accounts reported over the same time frame. From the standpoint of the balance, it made up Rs</w:t>
      </w:r>
      <w:r>
        <w:rPr>
          <w:rFonts w:eastAsia="Times New Roman" w:cs="Times New Roman"/>
          <w:color w:val="000000" w:themeColor="text1"/>
          <w:spacing w:val="0"/>
          <w:lang w:eastAsia="en-IN"/>
        </w:rPr>
        <w:t xml:space="preserve">. </w:t>
      </w:r>
      <w:r w:rsidRPr="00915FE0">
        <w:rPr>
          <w:rFonts w:eastAsia="Times New Roman" w:cs="Times New Roman"/>
          <w:color w:val="000000" w:themeColor="text1"/>
          <w:spacing w:val="0"/>
          <w:lang w:eastAsia="en-IN"/>
        </w:rPr>
        <w:t>0.35 lakh crore, or roughly 1.5% of MSME outstanding as of March 2022.</w:t>
      </w:r>
    </w:p>
    <w:p w14:paraId="6EC9159B" w14:textId="77777777" w:rsidR="00915FE0" w:rsidRPr="00915FE0" w:rsidRDefault="00915FE0" w:rsidP="00385B1B">
      <w:pPr>
        <w:shd w:val="clear" w:color="auto" w:fill="FFFFFF"/>
        <w:spacing w:after="0" w:line="240" w:lineRule="auto"/>
        <w:jc w:val="both"/>
        <w:rPr>
          <w:rFonts w:eastAsia="Times New Roman" w:cs="Times New Roman"/>
          <w:color w:val="000000" w:themeColor="text1"/>
          <w:spacing w:val="0"/>
          <w:lang w:eastAsia="en-IN"/>
        </w:rPr>
      </w:pPr>
    </w:p>
    <w:p w14:paraId="3D742179" w14:textId="00325C89" w:rsidR="00915FE0" w:rsidRDefault="00915FE0" w:rsidP="00915FE0">
      <w:pPr>
        <w:shd w:val="clear" w:color="auto" w:fill="FFFFFF"/>
        <w:spacing w:after="0" w:line="240" w:lineRule="auto"/>
        <w:jc w:val="both"/>
        <w:rPr>
          <w:rFonts w:eastAsia="Times New Roman" w:cs="Times New Roman"/>
          <w:color w:val="000000" w:themeColor="text1"/>
          <w:spacing w:val="0"/>
          <w:lang w:eastAsia="en-IN"/>
        </w:rPr>
      </w:pPr>
      <w:r w:rsidRPr="00915FE0">
        <w:rPr>
          <w:rFonts w:eastAsia="Times New Roman" w:cs="Times New Roman"/>
          <w:color w:val="000000" w:themeColor="text1"/>
          <w:spacing w:val="0"/>
          <w:lang w:eastAsia="en-IN"/>
        </w:rPr>
        <w:t>While the gross NPA ratio of banks in the MSME sector has decreased from 11.3 percent in September 2021 to 9.3 percent in March 2022, the bad assets in the sector continue to be relatively high,</w:t>
      </w:r>
      <w:r>
        <w:rPr>
          <w:rFonts w:eastAsia="Times New Roman" w:cs="Times New Roman"/>
          <w:color w:val="000000" w:themeColor="text1"/>
          <w:spacing w:val="0"/>
          <w:lang w:eastAsia="en-IN"/>
        </w:rPr>
        <w:t xml:space="preserve"> th</w:t>
      </w:r>
      <w:r w:rsidRPr="00915FE0">
        <w:rPr>
          <w:rFonts w:eastAsia="Times New Roman" w:cs="Times New Roman"/>
          <w:color w:val="000000" w:themeColor="text1"/>
          <w:spacing w:val="0"/>
          <w:lang w:eastAsia="en-IN"/>
        </w:rPr>
        <w:t>e Rs</w:t>
      </w:r>
      <w:r>
        <w:rPr>
          <w:rFonts w:eastAsia="Times New Roman" w:cs="Times New Roman"/>
          <w:color w:val="000000" w:themeColor="text1"/>
          <w:spacing w:val="0"/>
          <w:lang w:eastAsia="en-IN"/>
        </w:rPr>
        <w:t>.</w:t>
      </w:r>
      <w:r w:rsidRPr="00915FE0">
        <w:rPr>
          <w:rFonts w:eastAsia="Times New Roman" w:cs="Times New Roman"/>
          <w:color w:val="000000" w:themeColor="text1"/>
          <w:spacing w:val="0"/>
          <w:lang w:eastAsia="en-IN"/>
        </w:rPr>
        <w:t xml:space="preserve"> 46,186 </w:t>
      </w:r>
      <w:proofErr w:type="gramStart"/>
      <w:r w:rsidRPr="00915FE0">
        <w:rPr>
          <w:rFonts w:eastAsia="Times New Roman" w:cs="Times New Roman"/>
          <w:color w:val="000000" w:themeColor="text1"/>
          <w:spacing w:val="0"/>
          <w:lang w:eastAsia="en-IN"/>
        </w:rPr>
        <w:t>crore</w:t>
      </w:r>
      <w:proofErr w:type="gramEnd"/>
      <w:r w:rsidRPr="00915FE0">
        <w:rPr>
          <w:rFonts w:eastAsia="Times New Roman" w:cs="Times New Roman"/>
          <w:color w:val="000000" w:themeColor="text1"/>
          <w:spacing w:val="0"/>
          <w:lang w:eastAsia="en-IN"/>
        </w:rPr>
        <w:t xml:space="preserve"> reformed MSME portfolio, which made up 2.5% of all advances under the May 2021 restructuring programme, was identified as having the potential to put pressure on the sector by the central bank.</w:t>
      </w:r>
    </w:p>
    <w:p w14:paraId="2714A779" w14:textId="77777777" w:rsidR="00385B1B" w:rsidRPr="00915FE0" w:rsidRDefault="00385B1B" w:rsidP="00915FE0">
      <w:pPr>
        <w:shd w:val="clear" w:color="auto" w:fill="FFFFFF"/>
        <w:spacing w:after="0" w:line="240" w:lineRule="auto"/>
        <w:jc w:val="both"/>
        <w:rPr>
          <w:rFonts w:eastAsia="Times New Roman" w:cs="Times New Roman"/>
          <w:color w:val="000000" w:themeColor="text1"/>
          <w:spacing w:val="0"/>
          <w:lang w:eastAsia="en-IN"/>
        </w:rPr>
      </w:pPr>
    </w:p>
    <w:tbl>
      <w:tblPr>
        <w:tblW w:w="9275" w:type="dxa"/>
        <w:tblLook w:val="04A0" w:firstRow="1" w:lastRow="0" w:firstColumn="1" w:lastColumn="0" w:noHBand="0" w:noVBand="1"/>
      </w:tblPr>
      <w:tblGrid>
        <w:gridCol w:w="760"/>
        <w:gridCol w:w="1620"/>
        <w:gridCol w:w="1020"/>
        <w:gridCol w:w="979"/>
        <w:gridCol w:w="980"/>
        <w:gridCol w:w="979"/>
        <w:gridCol w:w="979"/>
        <w:gridCol w:w="979"/>
        <w:gridCol w:w="979"/>
      </w:tblGrid>
      <w:tr w:rsidR="005D5FE2" w:rsidRPr="005D5FE2" w14:paraId="64DC0270" w14:textId="77777777" w:rsidTr="00385B1B">
        <w:trPr>
          <w:trHeight w:val="300"/>
        </w:trPr>
        <w:tc>
          <w:tcPr>
            <w:tcW w:w="9275" w:type="dxa"/>
            <w:gridSpan w:val="9"/>
            <w:tcBorders>
              <w:top w:val="single" w:sz="4" w:space="0" w:color="auto"/>
              <w:left w:val="single" w:sz="4" w:space="0" w:color="auto"/>
              <w:bottom w:val="single" w:sz="4" w:space="0" w:color="auto"/>
              <w:right w:val="single" w:sz="4" w:space="0" w:color="auto"/>
            </w:tcBorders>
            <w:shd w:val="clear" w:color="000000" w:fill="FFFFFF"/>
            <w:vAlign w:val="center"/>
            <w:hideMark/>
          </w:tcPr>
          <w:p w14:paraId="1E1348C9" w14:textId="7011AA80" w:rsidR="005D5FE2" w:rsidRPr="005D5FE2" w:rsidRDefault="00385B1B" w:rsidP="005D5FE2">
            <w:pPr>
              <w:spacing w:after="0" w:line="240" w:lineRule="auto"/>
              <w:jc w:val="center"/>
              <w:rPr>
                <w:rFonts w:eastAsia="Times New Roman"/>
                <w:b/>
                <w:bCs/>
                <w:color w:val="222222"/>
                <w:spacing w:val="0"/>
                <w:lang w:eastAsia="en-IN"/>
              </w:rPr>
            </w:pPr>
            <w:r>
              <w:rPr>
                <w:rFonts w:eastAsia="Times New Roman"/>
                <w:b/>
                <w:bCs/>
                <w:color w:val="222222"/>
                <w:spacing w:val="0"/>
                <w:lang w:eastAsia="en-IN"/>
              </w:rPr>
              <w:t>D</w:t>
            </w:r>
            <w:r w:rsidR="005D5FE2" w:rsidRPr="005D5FE2">
              <w:rPr>
                <w:rFonts w:eastAsia="Times New Roman"/>
                <w:b/>
                <w:bCs/>
                <w:color w:val="222222"/>
                <w:spacing w:val="0"/>
                <w:lang w:eastAsia="en-IN"/>
              </w:rPr>
              <w:t>eployment of Bank Credit by Major Sectors (in Rs. Crore)</w:t>
            </w:r>
          </w:p>
        </w:tc>
      </w:tr>
      <w:tr w:rsidR="005D5FE2" w:rsidRPr="005D5FE2" w14:paraId="2FAE16A5" w14:textId="77777777" w:rsidTr="00385B1B">
        <w:trPr>
          <w:trHeight w:val="300"/>
        </w:trPr>
        <w:tc>
          <w:tcPr>
            <w:tcW w:w="76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565E19"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Sr. No.</w:t>
            </w:r>
          </w:p>
        </w:tc>
        <w:tc>
          <w:tcPr>
            <w:tcW w:w="1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64D5FF"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Sector</w:t>
            </w:r>
          </w:p>
        </w:tc>
        <w:tc>
          <w:tcPr>
            <w:tcW w:w="6895" w:type="dxa"/>
            <w:gridSpan w:val="7"/>
            <w:tcBorders>
              <w:top w:val="single" w:sz="4" w:space="0" w:color="auto"/>
              <w:left w:val="nil"/>
              <w:bottom w:val="single" w:sz="4" w:space="0" w:color="auto"/>
              <w:right w:val="single" w:sz="4" w:space="0" w:color="auto"/>
            </w:tcBorders>
            <w:shd w:val="clear" w:color="000000" w:fill="FFFFFF"/>
            <w:vAlign w:val="center"/>
            <w:hideMark/>
          </w:tcPr>
          <w:p w14:paraId="72728D92"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Outstanding as on</w:t>
            </w:r>
          </w:p>
        </w:tc>
      </w:tr>
      <w:tr w:rsidR="00385B1B" w:rsidRPr="005D5FE2" w14:paraId="36A47841" w14:textId="77777777" w:rsidTr="00385B1B">
        <w:trPr>
          <w:trHeight w:val="510"/>
        </w:trPr>
        <w:tc>
          <w:tcPr>
            <w:tcW w:w="760" w:type="dxa"/>
            <w:vMerge/>
            <w:tcBorders>
              <w:top w:val="nil"/>
              <w:left w:val="single" w:sz="4" w:space="0" w:color="auto"/>
              <w:bottom w:val="single" w:sz="4" w:space="0" w:color="auto"/>
              <w:right w:val="single" w:sz="4" w:space="0" w:color="auto"/>
            </w:tcBorders>
            <w:vAlign w:val="center"/>
            <w:hideMark/>
          </w:tcPr>
          <w:p w14:paraId="44A7947A" w14:textId="77777777" w:rsidR="005D5FE2" w:rsidRPr="005D5FE2" w:rsidRDefault="005D5FE2" w:rsidP="005D5FE2">
            <w:pPr>
              <w:spacing w:after="0" w:line="240" w:lineRule="auto"/>
              <w:rPr>
                <w:rFonts w:eastAsia="Times New Roman"/>
                <w:b/>
                <w:bCs/>
                <w:color w:val="222222"/>
                <w:spacing w:val="0"/>
                <w:lang w:eastAsia="en-IN"/>
              </w:rPr>
            </w:pPr>
          </w:p>
        </w:tc>
        <w:tc>
          <w:tcPr>
            <w:tcW w:w="1620" w:type="dxa"/>
            <w:vMerge/>
            <w:tcBorders>
              <w:top w:val="nil"/>
              <w:left w:val="single" w:sz="4" w:space="0" w:color="auto"/>
              <w:bottom w:val="single" w:sz="4" w:space="0" w:color="auto"/>
              <w:right w:val="single" w:sz="4" w:space="0" w:color="auto"/>
            </w:tcBorders>
            <w:vAlign w:val="center"/>
            <w:hideMark/>
          </w:tcPr>
          <w:p w14:paraId="6BF7F2AC" w14:textId="77777777" w:rsidR="005D5FE2" w:rsidRPr="005D5FE2" w:rsidRDefault="005D5FE2" w:rsidP="005D5FE2">
            <w:pPr>
              <w:spacing w:after="0" w:line="240" w:lineRule="auto"/>
              <w:rPr>
                <w:rFonts w:eastAsia="Times New Roman"/>
                <w:b/>
                <w:bCs/>
                <w:color w:val="222222"/>
                <w:spacing w:val="0"/>
                <w:lang w:eastAsia="en-IN"/>
              </w:rPr>
            </w:pPr>
          </w:p>
        </w:tc>
        <w:tc>
          <w:tcPr>
            <w:tcW w:w="1020" w:type="dxa"/>
            <w:tcBorders>
              <w:top w:val="nil"/>
              <w:left w:val="nil"/>
              <w:bottom w:val="single" w:sz="4" w:space="0" w:color="auto"/>
              <w:right w:val="single" w:sz="4" w:space="0" w:color="auto"/>
            </w:tcBorders>
            <w:shd w:val="clear" w:color="000000" w:fill="FFFFFF"/>
            <w:vAlign w:val="center"/>
            <w:hideMark/>
          </w:tcPr>
          <w:p w14:paraId="22258EF9"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Dec 31, 2021</w:t>
            </w:r>
          </w:p>
        </w:tc>
        <w:tc>
          <w:tcPr>
            <w:tcW w:w="979" w:type="dxa"/>
            <w:tcBorders>
              <w:top w:val="nil"/>
              <w:left w:val="nil"/>
              <w:bottom w:val="single" w:sz="4" w:space="0" w:color="auto"/>
              <w:right w:val="single" w:sz="4" w:space="0" w:color="auto"/>
            </w:tcBorders>
            <w:shd w:val="clear" w:color="000000" w:fill="FFFFFF"/>
            <w:vAlign w:val="center"/>
            <w:hideMark/>
          </w:tcPr>
          <w:p w14:paraId="15EA9BE2"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Jan 28, 2022</w:t>
            </w:r>
          </w:p>
        </w:tc>
        <w:tc>
          <w:tcPr>
            <w:tcW w:w="980" w:type="dxa"/>
            <w:tcBorders>
              <w:top w:val="nil"/>
              <w:left w:val="nil"/>
              <w:bottom w:val="single" w:sz="4" w:space="0" w:color="auto"/>
              <w:right w:val="single" w:sz="4" w:space="0" w:color="auto"/>
            </w:tcBorders>
            <w:shd w:val="clear" w:color="000000" w:fill="FFFFFF"/>
            <w:vAlign w:val="center"/>
            <w:hideMark/>
          </w:tcPr>
          <w:p w14:paraId="646AF422"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Feb 25, 2022</w:t>
            </w:r>
          </w:p>
        </w:tc>
        <w:tc>
          <w:tcPr>
            <w:tcW w:w="979" w:type="dxa"/>
            <w:tcBorders>
              <w:top w:val="nil"/>
              <w:left w:val="nil"/>
              <w:bottom w:val="single" w:sz="4" w:space="0" w:color="auto"/>
              <w:right w:val="single" w:sz="4" w:space="0" w:color="auto"/>
            </w:tcBorders>
            <w:shd w:val="clear" w:color="000000" w:fill="FFFFFF"/>
            <w:vAlign w:val="center"/>
            <w:hideMark/>
          </w:tcPr>
          <w:p w14:paraId="76249DAE"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Mar 25, 2022</w:t>
            </w:r>
          </w:p>
        </w:tc>
        <w:tc>
          <w:tcPr>
            <w:tcW w:w="979" w:type="dxa"/>
            <w:tcBorders>
              <w:top w:val="nil"/>
              <w:left w:val="nil"/>
              <w:bottom w:val="single" w:sz="4" w:space="0" w:color="auto"/>
              <w:right w:val="single" w:sz="4" w:space="0" w:color="auto"/>
            </w:tcBorders>
            <w:shd w:val="clear" w:color="000000" w:fill="FFFFFF"/>
            <w:vAlign w:val="center"/>
            <w:hideMark/>
          </w:tcPr>
          <w:p w14:paraId="75C21A89"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Apr 22, 2022</w:t>
            </w:r>
          </w:p>
        </w:tc>
        <w:tc>
          <w:tcPr>
            <w:tcW w:w="979" w:type="dxa"/>
            <w:tcBorders>
              <w:top w:val="nil"/>
              <w:left w:val="nil"/>
              <w:bottom w:val="single" w:sz="4" w:space="0" w:color="auto"/>
              <w:right w:val="single" w:sz="4" w:space="0" w:color="auto"/>
            </w:tcBorders>
            <w:shd w:val="clear" w:color="000000" w:fill="FFFFFF"/>
            <w:vAlign w:val="center"/>
            <w:hideMark/>
          </w:tcPr>
          <w:p w14:paraId="32810390"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May 20, 2022</w:t>
            </w:r>
          </w:p>
        </w:tc>
        <w:tc>
          <w:tcPr>
            <w:tcW w:w="979" w:type="dxa"/>
            <w:tcBorders>
              <w:top w:val="nil"/>
              <w:left w:val="nil"/>
              <w:bottom w:val="single" w:sz="4" w:space="0" w:color="auto"/>
              <w:right w:val="single" w:sz="4" w:space="0" w:color="auto"/>
            </w:tcBorders>
            <w:shd w:val="clear" w:color="000000" w:fill="FFFFFF"/>
            <w:vAlign w:val="center"/>
            <w:hideMark/>
          </w:tcPr>
          <w:p w14:paraId="1A7286A7" w14:textId="77777777" w:rsidR="005D5FE2" w:rsidRPr="005D5FE2" w:rsidRDefault="005D5FE2" w:rsidP="005D5FE2">
            <w:pPr>
              <w:spacing w:after="0" w:line="240" w:lineRule="auto"/>
              <w:jc w:val="center"/>
              <w:rPr>
                <w:rFonts w:eastAsia="Times New Roman"/>
                <w:b/>
                <w:bCs/>
                <w:color w:val="222222"/>
                <w:spacing w:val="0"/>
                <w:lang w:eastAsia="en-IN"/>
              </w:rPr>
            </w:pPr>
            <w:r w:rsidRPr="005D5FE2">
              <w:rPr>
                <w:rFonts w:eastAsia="Times New Roman"/>
                <w:b/>
                <w:bCs/>
                <w:color w:val="222222"/>
                <w:spacing w:val="0"/>
                <w:lang w:eastAsia="en-IN"/>
              </w:rPr>
              <w:t>Jun 17, 2022</w:t>
            </w:r>
          </w:p>
        </w:tc>
      </w:tr>
      <w:tr w:rsidR="005D5FE2" w:rsidRPr="005D5FE2" w14:paraId="7E890F94" w14:textId="77777777" w:rsidTr="00385B1B">
        <w:trPr>
          <w:trHeight w:val="300"/>
        </w:trPr>
        <w:tc>
          <w:tcPr>
            <w:tcW w:w="760" w:type="dxa"/>
            <w:tcBorders>
              <w:top w:val="nil"/>
              <w:left w:val="single" w:sz="4" w:space="0" w:color="auto"/>
              <w:bottom w:val="single" w:sz="4" w:space="0" w:color="auto"/>
              <w:right w:val="single" w:sz="4" w:space="0" w:color="auto"/>
            </w:tcBorders>
            <w:shd w:val="clear" w:color="000000" w:fill="FFFFFF"/>
            <w:vAlign w:val="center"/>
            <w:hideMark/>
          </w:tcPr>
          <w:p w14:paraId="5EA6294E" w14:textId="77777777" w:rsidR="005D5FE2" w:rsidRPr="005D5FE2" w:rsidRDefault="005D5FE2" w:rsidP="005D5FE2">
            <w:pPr>
              <w:spacing w:after="0" w:line="240" w:lineRule="auto"/>
              <w:jc w:val="center"/>
              <w:rPr>
                <w:rFonts w:eastAsia="Times New Roman"/>
                <w:color w:val="222222"/>
                <w:spacing w:val="0"/>
                <w:lang w:eastAsia="en-IN"/>
              </w:rPr>
            </w:pPr>
            <w:r w:rsidRPr="005D5FE2">
              <w:rPr>
                <w:rFonts w:eastAsia="Times New Roman"/>
                <w:color w:val="222222"/>
                <w:spacing w:val="0"/>
                <w:lang w:eastAsia="en-IN"/>
              </w:rPr>
              <w:t>1</w:t>
            </w:r>
          </w:p>
        </w:tc>
        <w:tc>
          <w:tcPr>
            <w:tcW w:w="1620" w:type="dxa"/>
            <w:tcBorders>
              <w:top w:val="nil"/>
              <w:left w:val="nil"/>
              <w:bottom w:val="single" w:sz="4" w:space="0" w:color="auto"/>
              <w:right w:val="single" w:sz="4" w:space="0" w:color="auto"/>
            </w:tcBorders>
            <w:shd w:val="clear" w:color="000000" w:fill="FFFFFF"/>
            <w:vAlign w:val="center"/>
            <w:hideMark/>
          </w:tcPr>
          <w:p w14:paraId="278B916B" w14:textId="022AE192" w:rsidR="005D5FE2" w:rsidRPr="005D5FE2" w:rsidRDefault="005D5FE2" w:rsidP="005D5FE2">
            <w:pPr>
              <w:spacing w:after="0" w:line="240" w:lineRule="auto"/>
              <w:rPr>
                <w:rFonts w:eastAsia="Times New Roman"/>
                <w:color w:val="222222"/>
                <w:spacing w:val="0"/>
                <w:lang w:eastAsia="en-IN"/>
              </w:rPr>
            </w:pPr>
            <w:r w:rsidRPr="005D5FE2">
              <w:rPr>
                <w:rFonts w:eastAsia="Times New Roman"/>
                <w:color w:val="222222"/>
                <w:spacing w:val="0"/>
                <w:lang w:eastAsia="en-IN"/>
              </w:rPr>
              <w:t>Micro and Small</w:t>
            </w:r>
          </w:p>
        </w:tc>
        <w:tc>
          <w:tcPr>
            <w:tcW w:w="1020" w:type="dxa"/>
            <w:tcBorders>
              <w:top w:val="nil"/>
              <w:left w:val="nil"/>
              <w:bottom w:val="single" w:sz="4" w:space="0" w:color="auto"/>
              <w:right w:val="single" w:sz="4" w:space="0" w:color="auto"/>
            </w:tcBorders>
            <w:shd w:val="clear" w:color="000000" w:fill="FFFFFF"/>
            <w:vAlign w:val="center"/>
            <w:hideMark/>
          </w:tcPr>
          <w:p w14:paraId="305687EB"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477226</w:t>
            </w:r>
          </w:p>
        </w:tc>
        <w:tc>
          <w:tcPr>
            <w:tcW w:w="979" w:type="dxa"/>
            <w:tcBorders>
              <w:top w:val="nil"/>
              <w:left w:val="nil"/>
              <w:bottom w:val="single" w:sz="4" w:space="0" w:color="auto"/>
              <w:right w:val="single" w:sz="4" w:space="0" w:color="auto"/>
            </w:tcBorders>
            <w:shd w:val="clear" w:color="000000" w:fill="FFFFFF"/>
            <w:vAlign w:val="center"/>
            <w:hideMark/>
          </w:tcPr>
          <w:p w14:paraId="02A9183E"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493528</w:t>
            </w:r>
          </w:p>
        </w:tc>
        <w:tc>
          <w:tcPr>
            <w:tcW w:w="980" w:type="dxa"/>
            <w:tcBorders>
              <w:top w:val="nil"/>
              <w:left w:val="nil"/>
              <w:bottom w:val="single" w:sz="4" w:space="0" w:color="auto"/>
              <w:right w:val="single" w:sz="4" w:space="0" w:color="auto"/>
            </w:tcBorders>
            <w:shd w:val="clear" w:color="000000" w:fill="FFFFFF"/>
            <w:vAlign w:val="center"/>
            <w:hideMark/>
          </w:tcPr>
          <w:p w14:paraId="2C13BC25"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520798</w:t>
            </w:r>
          </w:p>
        </w:tc>
        <w:tc>
          <w:tcPr>
            <w:tcW w:w="979" w:type="dxa"/>
            <w:tcBorders>
              <w:top w:val="nil"/>
              <w:left w:val="nil"/>
              <w:bottom w:val="single" w:sz="4" w:space="0" w:color="auto"/>
              <w:right w:val="single" w:sz="4" w:space="0" w:color="auto"/>
            </w:tcBorders>
            <w:shd w:val="clear" w:color="000000" w:fill="FFFFFF"/>
            <w:vAlign w:val="center"/>
            <w:hideMark/>
          </w:tcPr>
          <w:p w14:paraId="0C25A513"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532081</w:t>
            </w:r>
          </w:p>
        </w:tc>
        <w:tc>
          <w:tcPr>
            <w:tcW w:w="979" w:type="dxa"/>
            <w:tcBorders>
              <w:top w:val="nil"/>
              <w:left w:val="nil"/>
              <w:bottom w:val="single" w:sz="4" w:space="0" w:color="auto"/>
              <w:right w:val="single" w:sz="4" w:space="0" w:color="auto"/>
            </w:tcBorders>
            <w:shd w:val="clear" w:color="000000" w:fill="FFFFFF"/>
            <w:vAlign w:val="center"/>
            <w:hideMark/>
          </w:tcPr>
          <w:p w14:paraId="1B3A74EA"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545384</w:t>
            </w:r>
          </w:p>
        </w:tc>
        <w:tc>
          <w:tcPr>
            <w:tcW w:w="979" w:type="dxa"/>
            <w:tcBorders>
              <w:top w:val="nil"/>
              <w:left w:val="nil"/>
              <w:bottom w:val="single" w:sz="4" w:space="0" w:color="auto"/>
              <w:right w:val="single" w:sz="4" w:space="0" w:color="auto"/>
            </w:tcBorders>
            <w:shd w:val="clear" w:color="000000" w:fill="FFFFFF"/>
            <w:vAlign w:val="center"/>
            <w:hideMark/>
          </w:tcPr>
          <w:p w14:paraId="2CA3F287"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551488</w:t>
            </w:r>
          </w:p>
        </w:tc>
        <w:tc>
          <w:tcPr>
            <w:tcW w:w="979" w:type="dxa"/>
            <w:tcBorders>
              <w:top w:val="nil"/>
              <w:left w:val="nil"/>
              <w:bottom w:val="single" w:sz="4" w:space="0" w:color="auto"/>
              <w:right w:val="single" w:sz="4" w:space="0" w:color="auto"/>
            </w:tcBorders>
            <w:shd w:val="clear" w:color="000000" w:fill="FFFFFF"/>
            <w:vAlign w:val="center"/>
            <w:hideMark/>
          </w:tcPr>
          <w:p w14:paraId="289BDD64"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554398</w:t>
            </w:r>
          </w:p>
        </w:tc>
      </w:tr>
      <w:tr w:rsidR="005D5FE2" w:rsidRPr="005D5FE2" w14:paraId="51BE7BB2" w14:textId="77777777" w:rsidTr="00385B1B">
        <w:trPr>
          <w:trHeight w:val="300"/>
        </w:trPr>
        <w:tc>
          <w:tcPr>
            <w:tcW w:w="760" w:type="dxa"/>
            <w:tcBorders>
              <w:top w:val="nil"/>
              <w:left w:val="single" w:sz="4" w:space="0" w:color="auto"/>
              <w:bottom w:val="single" w:sz="4" w:space="0" w:color="auto"/>
              <w:right w:val="single" w:sz="4" w:space="0" w:color="auto"/>
            </w:tcBorders>
            <w:shd w:val="clear" w:color="000000" w:fill="FFFFFF"/>
            <w:vAlign w:val="center"/>
            <w:hideMark/>
          </w:tcPr>
          <w:p w14:paraId="6B27A131" w14:textId="77777777" w:rsidR="005D5FE2" w:rsidRPr="005D5FE2" w:rsidRDefault="005D5FE2" w:rsidP="005D5FE2">
            <w:pPr>
              <w:spacing w:after="0" w:line="240" w:lineRule="auto"/>
              <w:jc w:val="center"/>
              <w:rPr>
                <w:rFonts w:eastAsia="Times New Roman"/>
                <w:color w:val="222222"/>
                <w:spacing w:val="0"/>
                <w:lang w:eastAsia="en-IN"/>
              </w:rPr>
            </w:pPr>
            <w:r w:rsidRPr="005D5FE2">
              <w:rPr>
                <w:rFonts w:eastAsia="Times New Roman"/>
                <w:color w:val="222222"/>
                <w:spacing w:val="0"/>
                <w:lang w:eastAsia="en-IN"/>
              </w:rPr>
              <w:t>2</w:t>
            </w:r>
          </w:p>
        </w:tc>
        <w:tc>
          <w:tcPr>
            <w:tcW w:w="1620" w:type="dxa"/>
            <w:tcBorders>
              <w:top w:val="nil"/>
              <w:left w:val="nil"/>
              <w:bottom w:val="single" w:sz="4" w:space="0" w:color="auto"/>
              <w:right w:val="single" w:sz="4" w:space="0" w:color="auto"/>
            </w:tcBorders>
            <w:shd w:val="clear" w:color="000000" w:fill="FFFFFF"/>
            <w:vAlign w:val="center"/>
            <w:hideMark/>
          </w:tcPr>
          <w:p w14:paraId="6A5FBB86" w14:textId="77777777" w:rsidR="005D5FE2" w:rsidRPr="005D5FE2" w:rsidRDefault="005D5FE2" w:rsidP="005D5FE2">
            <w:pPr>
              <w:spacing w:after="0" w:line="240" w:lineRule="auto"/>
              <w:rPr>
                <w:rFonts w:eastAsia="Times New Roman"/>
                <w:color w:val="222222"/>
                <w:spacing w:val="0"/>
                <w:lang w:eastAsia="en-IN"/>
              </w:rPr>
            </w:pPr>
            <w:r w:rsidRPr="005D5FE2">
              <w:rPr>
                <w:rFonts w:eastAsia="Times New Roman"/>
                <w:color w:val="222222"/>
                <w:spacing w:val="0"/>
                <w:lang w:eastAsia="en-IN"/>
              </w:rPr>
              <w:t>Medium</w:t>
            </w:r>
          </w:p>
        </w:tc>
        <w:tc>
          <w:tcPr>
            <w:tcW w:w="1020" w:type="dxa"/>
            <w:tcBorders>
              <w:top w:val="nil"/>
              <w:left w:val="nil"/>
              <w:bottom w:val="single" w:sz="4" w:space="0" w:color="auto"/>
              <w:right w:val="single" w:sz="4" w:space="0" w:color="auto"/>
            </w:tcBorders>
            <w:shd w:val="clear" w:color="000000" w:fill="FFFFFF"/>
            <w:vAlign w:val="center"/>
            <w:hideMark/>
          </w:tcPr>
          <w:p w14:paraId="75AA0514"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196359</w:t>
            </w:r>
          </w:p>
        </w:tc>
        <w:tc>
          <w:tcPr>
            <w:tcW w:w="979" w:type="dxa"/>
            <w:tcBorders>
              <w:top w:val="nil"/>
              <w:left w:val="nil"/>
              <w:bottom w:val="single" w:sz="4" w:space="0" w:color="auto"/>
              <w:right w:val="single" w:sz="4" w:space="0" w:color="auto"/>
            </w:tcBorders>
            <w:shd w:val="clear" w:color="000000" w:fill="FFFFFF"/>
            <w:vAlign w:val="center"/>
            <w:hideMark/>
          </w:tcPr>
          <w:p w14:paraId="1691C4B5"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194035</w:t>
            </w:r>
          </w:p>
        </w:tc>
        <w:tc>
          <w:tcPr>
            <w:tcW w:w="980" w:type="dxa"/>
            <w:tcBorders>
              <w:top w:val="nil"/>
              <w:left w:val="nil"/>
              <w:bottom w:val="single" w:sz="4" w:space="0" w:color="auto"/>
              <w:right w:val="single" w:sz="4" w:space="0" w:color="auto"/>
            </w:tcBorders>
            <w:shd w:val="clear" w:color="000000" w:fill="FFFFFF"/>
            <w:vAlign w:val="center"/>
            <w:hideMark/>
          </w:tcPr>
          <w:p w14:paraId="713411B8"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206979</w:t>
            </w:r>
          </w:p>
        </w:tc>
        <w:tc>
          <w:tcPr>
            <w:tcW w:w="979" w:type="dxa"/>
            <w:tcBorders>
              <w:top w:val="nil"/>
              <w:left w:val="nil"/>
              <w:bottom w:val="single" w:sz="4" w:space="0" w:color="auto"/>
              <w:right w:val="single" w:sz="4" w:space="0" w:color="auto"/>
            </w:tcBorders>
            <w:shd w:val="clear" w:color="000000" w:fill="FFFFFF"/>
            <w:vAlign w:val="center"/>
            <w:hideMark/>
          </w:tcPr>
          <w:p w14:paraId="7598A1FF"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213996</w:t>
            </w:r>
          </w:p>
        </w:tc>
        <w:tc>
          <w:tcPr>
            <w:tcW w:w="979" w:type="dxa"/>
            <w:tcBorders>
              <w:top w:val="nil"/>
              <w:left w:val="nil"/>
              <w:bottom w:val="single" w:sz="4" w:space="0" w:color="auto"/>
              <w:right w:val="single" w:sz="4" w:space="0" w:color="auto"/>
            </w:tcBorders>
            <w:shd w:val="clear" w:color="000000" w:fill="FFFFFF"/>
            <w:vAlign w:val="center"/>
            <w:hideMark/>
          </w:tcPr>
          <w:p w14:paraId="7B8BB20A"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218492</w:t>
            </w:r>
          </w:p>
        </w:tc>
        <w:tc>
          <w:tcPr>
            <w:tcW w:w="979" w:type="dxa"/>
            <w:tcBorders>
              <w:top w:val="nil"/>
              <w:left w:val="nil"/>
              <w:bottom w:val="single" w:sz="4" w:space="0" w:color="auto"/>
              <w:right w:val="single" w:sz="4" w:space="0" w:color="auto"/>
            </w:tcBorders>
            <w:shd w:val="clear" w:color="000000" w:fill="FFFFFF"/>
            <w:vAlign w:val="center"/>
            <w:hideMark/>
          </w:tcPr>
          <w:p w14:paraId="393A13F5"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218501</w:t>
            </w:r>
          </w:p>
        </w:tc>
        <w:tc>
          <w:tcPr>
            <w:tcW w:w="979" w:type="dxa"/>
            <w:tcBorders>
              <w:top w:val="nil"/>
              <w:left w:val="nil"/>
              <w:bottom w:val="single" w:sz="4" w:space="0" w:color="auto"/>
              <w:right w:val="single" w:sz="4" w:space="0" w:color="auto"/>
            </w:tcBorders>
            <w:shd w:val="clear" w:color="000000" w:fill="FFFFFF"/>
            <w:vAlign w:val="center"/>
            <w:hideMark/>
          </w:tcPr>
          <w:p w14:paraId="041C6E42" w14:textId="77777777" w:rsidR="005D5FE2" w:rsidRPr="005D5FE2" w:rsidRDefault="005D5FE2" w:rsidP="005D5FE2">
            <w:pPr>
              <w:spacing w:after="0" w:line="240" w:lineRule="auto"/>
              <w:jc w:val="right"/>
              <w:rPr>
                <w:rFonts w:eastAsia="Times New Roman"/>
                <w:color w:val="222222"/>
                <w:spacing w:val="0"/>
                <w:lang w:eastAsia="en-IN"/>
              </w:rPr>
            </w:pPr>
            <w:r w:rsidRPr="005D5FE2">
              <w:rPr>
                <w:rFonts w:eastAsia="Times New Roman"/>
                <w:color w:val="222222"/>
                <w:spacing w:val="0"/>
                <w:lang w:eastAsia="en-IN"/>
              </w:rPr>
              <w:t>220669</w:t>
            </w:r>
          </w:p>
        </w:tc>
      </w:tr>
      <w:tr w:rsidR="005D5FE2" w:rsidRPr="005D5FE2" w14:paraId="08A8D985" w14:textId="77777777" w:rsidTr="00385B1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C2B77" w14:textId="77777777" w:rsidR="005D5FE2" w:rsidRPr="005D5FE2" w:rsidRDefault="005D5FE2" w:rsidP="005D5FE2">
            <w:pPr>
              <w:spacing w:after="0" w:line="240" w:lineRule="auto"/>
              <w:jc w:val="center"/>
              <w:rPr>
                <w:rFonts w:eastAsia="Times New Roman" w:cs="Calibri"/>
                <w:color w:val="000000"/>
                <w:spacing w:val="0"/>
                <w:lang w:eastAsia="en-IN"/>
              </w:rPr>
            </w:pPr>
            <w:r w:rsidRPr="005D5FE2">
              <w:rPr>
                <w:rFonts w:eastAsia="Times New Roman" w:cs="Calibri"/>
                <w:color w:val="000000"/>
                <w:spacing w:val="0"/>
                <w:lang w:eastAsia="en-IN"/>
              </w:rPr>
              <w:t>Total</w:t>
            </w:r>
          </w:p>
        </w:tc>
        <w:tc>
          <w:tcPr>
            <w:tcW w:w="1020" w:type="dxa"/>
            <w:tcBorders>
              <w:top w:val="nil"/>
              <w:left w:val="nil"/>
              <w:bottom w:val="single" w:sz="4" w:space="0" w:color="auto"/>
              <w:right w:val="single" w:sz="4" w:space="0" w:color="auto"/>
            </w:tcBorders>
            <w:shd w:val="clear" w:color="auto" w:fill="auto"/>
            <w:noWrap/>
            <w:vAlign w:val="bottom"/>
            <w:hideMark/>
          </w:tcPr>
          <w:p w14:paraId="693C38DD"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673585</w:t>
            </w:r>
          </w:p>
        </w:tc>
        <w:tc>
          <w:tcPr>
            <w:tcW w:w="979" w:type="dxa"/>
            <w:tcBorders>
              <w:top w:val="nil"/>
              <w:left w:val="nil"/>
              <w:bottom w:val="single" w:sz="4" w:space="0" w:color="auto"/>
              <w:right w:val="single" w:sz="4" w:space="0" w:color="auto"/>
            </w:tcBorders>
            <w:shd w:val="clear" w:color="auto" w:fill="auto"/>
            <w:noWrap/>
            <w:vAlign w:val="bottom"/>
            <w:hideMark/>
          </w:tcPr>
          <w:p w14:paraId="465E5ECF"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687563</w:t>
            </w:r>
          </w:p>
        </w:tc>
        <w:tc>
          <w:tcPr>
            <w:tcW w:w="980" w:type="dxa"/>
            <w:tcBorders>
              <w:top w:val="nil"/>
              <w:left w:val="nil"/>
              <w:bottom w:val="single" w:sz="4" w:space="0" w:color="auto"/>
              <w:right w:val="single" w:sz="4" w:space="0" w:color="auto"/>
            </w:tcBorders>
            <w:shd w:val="clear" w:color="auto" w:fill="auto"/>
            <w:noWrap/>
            <w:vAlign w:val="bottom"/>
            <w:hideMark/>
          </w:tcPr>
          <w:p w14:paraId="2D6813F3"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727777</w:t>
            </w:r>
          </w:p>
        </w:tc>
        <w:tc>
          <w:tcPr>
            <w:tcW w:w="979" w:type="dxa"/>
            <w:tcBorders>
              <w:top w:val="nil"/>
              <w:left w:val="nil"/>
              <w:bottom w:val="single" w:sz="4" w:space="0" w:color="auto"/>
              <w:right w:val="single" w:sz="4" w:space="0" w:color="auto"/>
            </w:tcBorders>
            <w:shd w:val="clear" w:color="auto" w:fill="auto"/>
            <w:noWrap/>
            <w:vAlign w:val="bottom"/>
            <w:hideMark/>
          </w:tcPr>
          <w:p w14:paraId="0CD22892"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746077</w:t>
            </w:r>
          </w:p>
        </w:tc>
        <w:tc>
          <w:tcPr>
            <w:tcW w:w="979" w:type="dxa"/>
            <w:tcBorders>
              <w:top w:val="nil"/>
              <w:left w:val="nil"/>
              <w:bottom w:val="single" w:sz="4" w:space="0" w:color="auto"/>
              <w:right w:val="single" w:sz="4" w:space="0" w:color="auto"/>
            </w:tcBorders>
            <w:shd w:val="clear" w:color="auto" w:fill="auto"/>
            <w:noWrap/>
            <w:vAlign w:val="bottom"/>
            <w:hideMark/>
          </w:tcPr>
          <w:p w14:paraId="756B33F7"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763876</w:t>
            </w:r>
          </w:p>
        </w:tc>
        <w:tc>
          <w:tcPr>
            <w:tcW w:w="979" w:type="dxa"/>
            <w:tcBorders>
              <w:top w:val="nil"/>
              <w:left w:val="nil"/>
              <w:bottom w:val="single" w:sz="4" w:space="0" w:color="auto"/>
              <w:right w:val="single" w:sz="4" w:space="0" w:color="auto"/>
            </w:tcBorders>
            <w:shd w:val="clear" w:color="auto" w:fill="auto"/>
            <w:noWrap/>
            <w:vAlign w:val="bottom"/>
            <w:hideMark/>
          </w:tcPr>
          <w:p w14:paraId="2CB57D26"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769989</w:t>
            </w:r>
          </w:p>
        </w:tc>
        <w:tc>
          <w:tcPr>
            <w:tcW w:w="979" w:type="dxa"/>
            <w:tcBorders>
              <w:top w:val="nil"/>
              <w:left w:val="nil"/>
              <w:bottom w:val="single" w:sz="4" w:space="0" w:color="auto"/>
              <w:right w:val="single" w:sz="4" w:space="0" w:color="auto"/>
            </w:tcBorders>
            <w:shd w:val="clear" w:color="auto" w:fill="auto"/>
            <w:noWrap/>
            <w:vAlign w:val="bottom"/>
            <w:hideMark/>
          </w:tcPr>
          <w:p w14:paraId="498EDC5E" w14:textId="77777777" w:rsidR="005D5FE2" w:rsidRPr="005D5FE2" w:rsidRDefault="005D5FE2" w:rsidP="005D5FE2">
            <w:pPr>
              <w:spacing w:after="0" w:line="240" w:lineRule="auto"/>
              <w:jc w:val="right"/>
              <w:rPr>
                <w:rFonts w:eastAsia="Times New Roman" w:cs="Calibri"/>
                <w:color w:val="000000"/>
                <w:spacing w:val="0"/>
                <w:lang w:eastAsia="en-IN"/>
              </w:rPr>
            </w:pPr>
            <w:r w:rsidRPr="005D5FE2">
              <w:rPr>
                <w:rFonts w:eastAsia="Times New Roman" w:cs="Calibri"/>
                <w:color w:val="000000"/>
                <w:spacing w:val="0"/>
                <w:lang w:eastAsia="en-IN"/>
              </w:rPr>
              <w:t>775067</w:t>
            </w:r>
          </w:p>
        </w:tc>
      </w:tr>
    </w:tbl>
    <w:p w14:paraId="4CB68825" w14:textId="72ED4BBF" w:rsidR="005D5FE2" w:rsidRDefault="004C5C92" w:rsidP="000547C4">
      <w:pPr>
        <w:shd w:val="clear" w:color="auto" w:fill="FFFFFF"/>
        <w:spacing w:before="100" w:beforeAutospacing="1" w:after="100" w:afterAutospacing="1" w:line="240" w:lineRule="auto"/>
        <w:jc w:val="both"/>
        <w:rPr>
          <w:b/>
          <w:bCs/>
        </w:rPr>
      </w:pPr>
      <w:r w:rsidRPr="004C5C92">
        <w:rPr>
          <w:b/>
          <w:bCs/>
        </w:rPr>
        <w:lastRenderedPageBreak/>
        <w:t>2.4.2.3. Credit Extended by Microfinance Institutions</w:t>
      </w:r>
    </w:p>
    <w:p w14:paraId="5464E176" w14:textId="5A5E3C14" w:rsidR="004C5C92" w:rsidRDefault="004C5C92" w:rsidP="004C5C92">
      <w:pPr>
        <w:shd w:val="clear" w:color="auto" w:fill="FFFFFF"/>
        <w:spacing w:after="0" w:line="240" w:lineRule="auto"/>
        <w:jc w:val="both"/>
        <w:rPr>
          <w:rFonts w:eastAsia="Times New Roman" w:cs="Times New Roman"/>
          <w:color w:val="000000"/>
          <w:spacing w:val="0"/>
          <w:lang w:eastAsia="en-IN"/>
        </w:rPr>
      </w:pPr>
      <w:r>
        <w:rPr>
          <w:rFonts w:eastAsia="Times New Roman" w:cs="Times New Roman"/>
          <w:color w:val="000000"/>
          <w:spacing w:val="0"/>
          <w:lang w:eastAsia="en-IN"/>
        </w:rPr>
        <w:t xml:space="preserve">As per </w:t>
      </w:r>
      <w:r w:rsidRPr="004C5C92">
        <w:rPr>
          <w:rFonts w:eastAsia="Times New Roman" w:cs="Times New Roman"/>
          <w:color w:val="000000"/>
          <w:spacing w:val="0"/>
          <w:lang w:eastAsia="en-IN"/>
        </w:rPr>
        <w:t>the Bharat Microfinance Report (BMR) of 2021-2022 published by Sa-Dhan, the association of microfinance firms</w:t>
      </w:r>
      <w:r>
        <w:rPr>
          <w:rFonts w:eastAsia="Times New Roman" w:cs="Times New Roman"/>
          <w:color w:val="000000"/>
          <w:spacing w:val="0"/>
          <w:lang w:eastAsia="en-IN"/>
        </w:rPr>
        <w:t>, t</w:t>
      </w:r>
      <w:r w:rsidRPr="004C5C92">
        <w:rPr>
          <w:rFonts w:eastAsia="Times New Roman" w:cs="Times New Roman"/>
          <w:color w:val="000000"/>
          <w:spacing w:val="0"/>
          <w:lang w:eastAsia="en-IN"/>
        </w:rPr>
        <w:t>he combined micro credit portfolio of 272 lenders touched ₹2,63,760 crore in 2021-22, a 5% increase over the outstanding loans for the Indian microfinance sector the previous year</w:t>
      </w:r>
      <w:r>
        <w:rPr>
          <w:rFonts w:eastAsia="Times New Roman" w:cs="Times New Roman"/>
          <w:color w:val="000000"/>
          <w:spacing w:val="0"/>
          <w:lang w:eastAsia="en-IN"/>
        </w:rPr>
        <w:t>.</w:t>
      </w:r>
      <w:r w:rsidRPr="004C5C92">
        <w:rPr>
          <w:rFonts w:eastAsia="Times New Roman" w:cs="Times New Roman"/>
          <w:color w:val="000000"/>
          <w:spacing w:val="0"/>
          <w:lang w:eastAsia="en-IN"/>
        </w:rPr>
        <w:t xml:space="preserve"> The report collates data of 11 crore active loans from microfinance institutions (MFIs), non-banking financial companies (NBFCs), banks, small finance banks (SFBs), non-profit MFIs and NBFC-MFIs. However, the quantum of credit extended to the poor households by MFIs registered a year-on-year growth of 19% to touch ₹1,35,099 crore during the same period.</w:t>
      </w:r>
    </w:p>
    <w:p w14:paraId="6C33A93A" w14:textId="77777777" w:rsidR="004C5C92" w:rsidRPr="004C5C92" w:rsidRDefault="004C5C92" w:rsidP="004C5C92">
      <w:pPr>
        <w:shd w:val="clear" w:color="auto" w:fill="FFFFFF"/>
        <w:spacing w:after="0" w:line="240" w:lineRule="auto"/>
        <w:jc w:val="both"/>
        <w:rPr>
          <w:rFonts w:eastAsia="Times New Roman" w:cs="Times New Roman"/>
          <w:color w:val="000000"/>
          <w:spacing w:val="0"/>
          <w:lang w:eastAsia="en-IN"/>
        </w:rPr>
      </w:pPr>
    </w:p>
    <w:p w14:paraId="57B1759C" w14:textId="0AA4AE63" w:rsidR="004C5C92" w:rsidRDefault="004C5C92" w:rsidP="004C5C92">
      <w:pPr>
        <w:shd w:val="clear" w:color="auto" w:fill="FFFFFF"/>
        <w:spacing w:after="0" w:line="240" w:lineRule="auto"/>
        <w:jc w:val="both"/>
        <w:rPr>
          <w:rFonts w:eastAsia="Times New Roman" w:cs="Times New Roman"/>
          <w:color w:val="000000"/>
          <w:spacing w:val="0"/>
          <w:lang w:eastAsia="en-IN"/>
        </w:rPr>
      </w:pPr>
      <w:r w:rsidRPr="004C5C92">
        <w:rPr>
          <w:rFonts w:eastAsia="Times New Roman" w:cs="Times New Roman"/>
          <w:color w:val="000000"/>
          <w:spacing w:val="0"/>
          <w:lang w:eastAsia="en-IN"/>
        </w:rPr>
        <w:t xml:space="preserve">The average ticket size per loan stood at ₹39,903 as </w:t>
      </w:r>
      <w:proofErr w:type="gramStart"/>
      <w:r w:rsidRPr="004C5C92">
        <w:rPr>
          <w:rFonts w:eastAsia="Times New Roman" w:cs="Times New Roman"/>
          <w:color w:val="000000"/>
          <w:spacing w:val="0"/>
          <w:lang w:eastAsia="en-IN"/>
        </w:rPr>
        <w:t>on</w:t>
      </w:r>
      <w:proofErr w:type="gramEnd"/>
      <w:r w:rsidRPr="004C5C92">
        <w:rPr>
          <w:rFonts w:eastAsia="Times New Roman" w:cs="Times New Roman"/>
          <w:color w:val="000000"/>
          <w:spacing w:val="0"/>
          <w:lang w:eastAsia="en-IN"/>
        </w:rPr>
        <w:t xml:space="preserve"> March 2022 whereas it was ₹36,510 as on March 2021. The average ticket size across all categories has increased except for non-profit MFIs.</w:t>
      </w:r>
      <w:r>
        <w:rPr>
          <w:rFonts w:eastAsia="Times New Roman" w:cs="Times New Roman"/>
          <w:color w:val="000000"/>
          <w:spacing w:val="0"/>
          <w:lang w:eastAsia="en-IN"/>
        </w:rPr>
        <w:t xml:space="preserve"> </w:t>
      </w:r>
      <w:r w:rsidRPr="004C5C92">
        <w:rPr>
          <w:rFonts w:eastAsia="Times New Roman" w:cs="Times New Roman"/>
          <w:color w:val="000000"/>
          <w:spacing w:val="0"/>
          <w:lang w:eastAsia="en-IN"/>
        </w:rPr>
        <w:t>According to BMR 2022, the Return on Asset (</w:t>
      </w:r>
      <w:proofErr w:type="spellStart"/>
      <w:r w:rsidRPr="004C5C92">
        <w:rPr>
          <w:rFonts w:eastAsia="Times New Roman" w:cs="Times New Roman"/>
          <w:color w:val="000000"/>
          <w:spacing w:val="0"/>
          <w:lang w:eastAsia="en-IN"/>
        </w:rPr>
        <w:t>RoA</w:t>
      </w:r>
      <w:proofErr w:type="spellEnd"/>
      <w:r w:rsidRPr="004C5C92">
        <w:rPr>
          <w:rFonts w:eastAsia="Times New Roman" w:cs="Times New Roman"/>
          <w:color w:val="000000"/>
          <w:spacing w:val="0"/>
          <w:lang w:eastAsia="en-IN"/>
        </w:rPr>
        <w:t>) and Return on Equity (</w:t>
      </w:r>
      <w:proofErr w:type="spellStart"/>
      <w:r w:rsidRPr="004C5C92">
        <w:rPr>
          <w:rFonts w:eastAsia="Times New Roman" w:cs="Times New Roman"/>
          <w:color w:val="000000"/>
          <w:spacing w:val="0"/>
          <w:lang w:eastAsia="en-IN"/>
        </w:rPr>
        <w:t>RoE</w:t>
      </w:r>
      <w:proofErr w:type="spellEnd"/>
      <w:r w:rsidRPr="004C5C92">
        <w:rPr>
          <w:rFonts w:eastAsia="Times New Roman" w:cs="Times New Roman"/>
          <w:color w:val="000000"/>
          <w:spacing w:val="0"/>
          <w:lang w:eastAsia="en-IN"/>
        </w:rPr>
        <w:t xml:space="preserve">) remained positive. During FY 2021-2022, </w:t>
      </w:r>
      <w:proofErr w:type="spellStart"/>
      <w:r w:rsidRPr="004C5C92">
        <w:rPr>
          <w:rFonts w:eastAsia="Times New Roman" w:cs="Times New Roman"/>
          <w:color w:val="000000"/>
          <w:spacing w:val="0"/>
          <w:lang w:eastAsia="en-IN"/>
        </w:rPr>
        <w:t>RoA</w:t>
      </w:r>
      <w:proofErr w:type="spellEnd"/>
      <w:r w:rsidRPr="004C5C92">
        <w:rPr>
          <w:rFonts w:eastAsia="Times New Roman" w:cs="Times New Roman"/>
          <w:color w:val="000000"/>
          <w:spacing w:val="0"/>
          <w:lang w:eastAsia="en-IN"/>
        </w:rPr>
        <w:t xml:space="preserve"> was 1.11% (as against 0.64% the previous year) and </w:t>
      </w:r>
      <w:proofErr w:type="spellStart"/>
      <w:r w:rsidRPr="004C5C92">
        <w:rPr>
          <w:rFonts w:eastAsia="Times New Roman" w:cs="Times New Roman"/>
          <w:color w:val="000000"/>
          <w:spacing w:val="0"/>
          <w:lang w:eastAsia="en-IN"/>
        </w:rPr>
        <w:t>RoE</w:t>
      </w:r>
      <w:proofErr w:type="spellEnd"/>
      <w:r w:rsidRPr="004C5C92">
        <w:rPr>
          <w:rFonts w:eastAsia="Times New Roman" w:cs="Times New Roman"/>
          <w:color w:val="000000"/>
          <w:spacing w:val="0"/>
          <w:lang w:eastAsia="en-IN"/>
        </w:rPr>
        <w:t xml:space="preserve"> stood at 4.26% (2.83% in 2020-21) for the industry. The average financial cost stood at 10.65%. The percentage of non-performing assets (NPAs) rose to 2.05 in 2021-22 as against 1.85 in 2020-21.</w:t>
      </w:r>
      <w:r>
        <w:rPr>
          <w:rFonts w:eastAsia="Times New Roman" w:cs="Times New Roman"/>
          <w:color w:val="000000"/>
          <w:spacing w:val="0"/>
          <w:lang w:eastAsia="en-IN"/>
        </w:rPr>
        <w:t xml:space="preserve"> T</w:t>
      </w:r>
      <w:r w:rsidRPr="004C5C92">
        <w:rPr>
          <w:rFonts w:eastAsia="Times New Roman" w:cs="Times New Roman"/>
          <w:color w:val="000000"/>
          <w:spacing w:val="0"/>
          <w:lang w:eastAsia="en-IN"/>
        </w:rPr>
        <w:t>he top 10 states, led by Tamil Nadu and Bihar, constitute nearly 80% of the total portfolio.</w:t>
      </w:r>
      <w:r>
        <w:rPr>
          <w:rFonts w:eastAsia="Times New Roman" w:cs="Times New Roman"/>
          <w:color w:val="000000"/>
          <w:spacing w:val="0"/>
          <w:lang w:eastAsia="en-IN"/>
        </w:rPr>
        <w:t xml:space="preserve"> T</w:t>
      </w:r>
      <w:r w:rsidRPr="004C5C92">
        <w:rPr>
          <w:rFonts w:eastAsia="Times New Roman" w:cs="Times New Roman"/>
          <w:color w:val="000000"/>
          <w:spacing w:val="0"/>
          <w:lang w:eastAsia="en-IN"/>
        </w:rPr>
        <w:t xml:space="preserve">he top 25 districts contributed 20% of the portfolio and top 10 major MFIs represented 60% of the business. There were also about 100 districts with less than 10% penetration and 229 with 10 to 25% penetration. </w:t>
      </w:r>
    </w:p>
    <w:p w14:paraId="6AC2CF2C" w14:textId="4E92C890" w:rsidR="00680F38" w:rsidRDefault="00680F38" w:rsidP="004C5C92">
      <w:pPr>
        <w:shd w:val="clear" w:color="auto" w:fill="FFFFFF"/>
        <w:spacing w:after="0" w:line="240" w:lineRule="auto"/>
        <w:jc w:val="both"/>
        <w:rPr>
          <w:rFonts w:eastAsia="Times New Roman" w:cs="Times New Roman"/>
          <w:color w:val="000000"/>
          <w:spacing w:val="0"/>
          <w:lang w:eastAsia="en-IN"/>
        </w:rPr>
      </w:pPr>
    </w:p>
    <w:p w14:paraId="702526A2" w14:textId="2796CD2D" w:rsidR="00680F38" w:rsidRDefault="00680F38" w:rsidP="004C5C92">
      <w:pPr>
        <w:shd w:val="clear" w:color="auto" w:fill="FFFFFF"/>
        <w:spacing w:after="0" w:line="240" w:lineRule="auto"/>
        <w:jc w:val="both"/>
      </w:pPr>
      <w:r>
        <w:t xml:space="preserve">Ensuring affordable banking and credit delivery services to the geographically and financially disadvantaged poor was a slow process till the conceptualization of the </w:t>
      </w:r>
      <w:proofErr w:type="gramStart"/>
      <w:r>
        <w:t>Self Help</w:t>
      </w:r>
      <w:proofErr w:type="gramEnd"/>
      <w:r>
        <w:t xml:space="preserve"> Group approach for building social capital to deliver savings and credit products. The group approach was dovetailed with the banking operations which gave birth to the concept of </w:t>
      </w:r>
      <w:proofErr w:type="gramStart"/>
      <w:r>
        <w:t>Self Help</w:t>
      </w:r>
      <w:proofErr w:type="gramEnd"/>
      <w:r>
        <w:t xml:space="preserve"> Group Bank Linkage Programme (SHG-BLP). This savings led group approach to deliver a bouquet of financial services at the doorstep is one of the most prominent and pioneering financial inclusion initiatives till date. The SHG movement, now in its 30th year, has emerged as a powerful intervention to cover the small and marginalized sections. With active collaboration of NGOs, banks, the Government and of late, the NRLM, the SHG-BLP programme, as on 31 March 2022, covers 14.2 crore families through 119 lakh SHGs (87% of which are women) with savings deposits of R47,240.48 crore and 67 lakh groups with collateral-free loan outstanding of R1,51,051.30 crore. The average loan outstanding is R2.24 lakh/SHG in FY 2021-22 as against R1.79 lakh/SHG in FY 2020-21. The credit gap has decreased to 43.33% in FY 2021-22 from 48.5 % in FY 2020-21.</w:t>
      </w:r>
    </w:p>
    <w:p w14:paraId="5F49FA2F" w14:textId="340FB7D0" w:rsidR="00A2253C" w:rsidRDefault="00A2253C" w:rsidP="004C5C92">
      <w:pPr>
        <w:shd w:val="clear" w:color="auto" w:fill="FFFFFF"/>
        <w:spacing w:after="0" w:line="240" w:lineRule="auto"/>
        <w:jc w:val="both"/>
      </w:pPr>
    </w:p>
    <w:p w14:paraId="5A6FE20F" w14:textId="1908BD99" w:rsidR="00515A70" w:rsidRPr="00C95E63" w:rsidRDefault="00A2253C" w:rsidP="00A2253C">
      <w:pPr>
        <w:shd w:val="clear" w:color="auto" w:fill="FFFFFF"/>
        <w:spacing w:after="0" w:line="240" w:lineRule="auto"/>
        <w:jc w:val="both"/>
        <w:rPr>
          <w:color w:val="auto"/>
        </w:rPr>
      </w:pPr>
      <w:r w:rsidRPr="00C95E63">
        <w:rPr>
          <w:color w:val="auto"/>
        </w:rPr>
        <w:t xml:space="preserve">NABARD has sanctioned a cumulative grant assistance of R255.81 crore to Joint Liability Groups Promoting Institutions (JLGPIs) for promoting 12.77 lakh JLGs as on 31 March 2022 &amp; 91 </w:t>
      </w:r>
      <w:proofErr w:type="spellStart"/>
      <w:r w:rsidRPr="00C95E63">
        <w:rPr>
          <w:color w:val="auto"/>
        </w:rPr>
        <w:t>MoUs</w:t>
      </w:r>
      <w:proofErr w:type="spellEnd"/>
      <w:r w:rsidRPr="00C95E63">
        <w:rPr>
          <w:color w:val="auto"/>
        </w:rPr>
        <w:t xml:space="preserve"> have been signed with banks under the Business Model of JLG promotion and financing. As on 31 March 2022, there are 188 lakh JLGs of which 54 </w:t>
      </w:r>
      <w:r w:rsidR="007E2218" w:rsidRPr="00C95E63">
        <w:rPr>
          <w:color w:val="auto"/>
        </w:rPr>
        <w:t>lakhs</w:t>
      </w:r>
      <w:r w:rsidRPr="00C95E63">
        <w:rPr>
          <w:color w:val="auto"/>
        </w:rPr>
        <w:t xml:space="preserve"> were promoted during FY 2021-22 (as against 41 lakh</w:t>
      </w:r>
      <w:r w:rsidR="007E2218" w:rsidRPr="00C95E63">
        <w:rPr>
          <w:color w:val="auto"/>
        </w:rPr>
        <w:t>s</w:t>
      </w:r>
      <w:r w:rsidRPr="00C95E63">
        <w:rPr>
          <w:color w:val="auto"/>
        </w:rPr>
        <w:t xml:space="preserve"> promoted in FY 2020-21). During FY 2021-22, loan disbursed was R1,12,772.75 crore as against R58,311.78 crore in the previous year. Cumulatively, loan disbursement to JLGs stands at R3,25,937.63 crore as on 31 March 2022.</w:t>
      </w:r>
    </w:p>
    <w:p w14:paraId="67F9642C" w14:textId="584B2C50" w:rsidR="00515A70" w:rsidRPr="00C95E63" w:rsidRDefault="00515A70" w:rsidP="008E245D">
      <w:pPr>
        <w:pStyle w:val="NormalWeb"/>
        <w:shd w:val="clear" w:color="auto" w:fill="FFFFFF"/>
        <w:spacing w:before="0" w:beforeAutospacing="0"/>
        <w:jc w:val="both"/>
        <w:rPr>
          <w:rFonts w:ascii="Verdana" w:hAnsi="Verdana"/>
          <w:sz w:val="20"/>
          <w:szCs w:val="20"/>
        </w:rPr>
      </w:pPr>
    </w:p>
    <w:p w14:paraId="56EFDF90" w14:textId="355BCCA6" w:rsidR="006B50BB" w:rsidRPr="00C95E63" w:rsidRDefault="006B50BB" w:rsidP="008E245D">
      <w:pPr>
        <w:pStyle w:val="NormalWeb"/>
        <w:shd w:val="clear" w:color="auto" w:fill="FFFFFF"/>
        <w:spacing w:before="0" w:beforeAutospacing="0"/>
        <w:jc w:val="both"/>
        <w:rPr>
          <w:rFonts w:ascii="Verdana" w:hAnsi="Verdana"/>
          <w:b/>
          <w:bCs/>
          <w:sz w:val="20"/>
          <w:szCs w:val="20"/>
        </w:rPr>
      </w:pPr>
      <w:r w:rsidRPr="00C95E63">
        <w:rPr>
          <w:rFonts w:ascii="Verdana" w:hAnsi="Verdana"/>
          <w:b/>
          <w:bCs/>
          <w:sz w:val="20"/>
          <w:szCs w:val="20"/>
        </w:rPr>
        <w:t>2.4.2.4. Taxation Policy</w:t>
      </w:r>
    </w:p>
    <w:p w14:paraId="1DC6DB8A" w14:textId="7F5E5F55" w:rsidR="006B50BB" w:rsidRPr="00C95E63" w:rsidRDefault="006B50BB" w:rsidP="008E245D">
      <w:pPr>
        <w:pStyle w:val="NormalWeb"/>
        <w:shd w:val="clear" w:color="auto" w:fill="FFFFFF"/>
        <w:spacing w:before="0" w:beforeAutospacing="0"/>
        <w:jc w:val="both"/>
        <w:rPr>
          <w:rFonts w:ascii="Verdana" w:hAnsi="Verdana" w:cs="Arial"/>
          <w:sz w:val="20"/>
          <w:szCs w:val="20"/>
          <w:shd w:val="clear" w:color="auto" w:fill="FFFFFF"/>
        </w:rPr>
      </w:pPr>
      <w:r w:rsidRPr="00C95E63">
        <w:rPr>
          <w:rFonts w:ascii="Verdana" w:hAnsi="Verdana" w:cs="Arial"/>
          <w:sz w:val="20"/>
          <w:szCs w:val="20"/>
          <w:shd w:val="clear" w:color="auto" w:fill="FFFFFF"/>
        </w:rPr>
        <w:t>The eligible start-ups are provided with a three consecutive year tax incentive during the first ten years of their incorporation. While it was available for eligible start-ups established before March 31, 2022, it has now been extended to March 31, 2023. As mentioned above, section 115BAB allowed a reduced 15% tax rate for newly incorporated domestic manufacturing companies. The last date for commencement of production or manufacturing has been increased from March 31,2023 to March 31, 2024.</w:t>
      </w:r>
      <w:r w:rsidRPr="00C95E63">
        <w:rPr>
          <w:rFonts w:ascii="Verdana" w:hAnsi="Verdana" w:cs="Arial"/>
          <w:sz w:val="20"/>
          <w:szCs w:val="20"/>
        </w:rPr>
        <w:t xml:space="preserve"> </w:t>
      </w:r>
      <w:r w:rsidRPr="00C95E63">
        <w:rPr>
          <w:rFonts w:ascii="Verdana" w:hAnsi="Verdana" w:cs="Arial"/>
          <w:sz w:val="20"/>
          <w:szCs w:val="20"/>
          <w:shd w:val="clear" w:color="auto" w:fill="FFFFFF"/>
        </w:rPr>
        <w:t xml:space="preserve">MSMEs engaged in secondary steel production will get an extension of customs duty exemption on steel scrap.  Certain domestic manufacturing companies are eligible for concessional tax rates under the Income Tax Act, </w:t>
      </w:r>
      <w:r w:rsidRPr="00C95E63">
        <w:rPr>
          <w:rFonts w:ascii="Verdana" w:hAnsi="Verdana" w:cs="Arial"/>
          <w:sz w:val="20"/>
          <w:szCs w:val="20"/>
          <w:shd w:val="clear" w:color="auto" w:fill="FFFFFF"/>
        </w:rPr>
        <w:lastRenderedPageBreak/>
        <w:t xml:space="preserve">1961. These companies, coming under section 115BA of the Income Tax Act, are eligible for a tax rate of 25% instead of the usual 30%. With a turnover of up to ₹400 crore as one of the criteria, it includes the MSME sector exclusively. Specified deductions, set-offs, and carry-forwards are not allowed to these companies. The company must be set up and registered on or after March 1, 2016. MSMEs can also avail of a tax rate of 22% under section 115BAA, </w:t>
      </w:r>
      <w:proofErr w:type="gramStart"/>
      <w:r w:rsidRPr="00C95E63">
        <w:rPr>
          <w:rFonts w:ascii="Verdana" w:hAnsi="Verdana" w:cs="Arial"/>
          <w:sz w:val="20"/>
          <w:szCs w:val="20"/>
          <w:shd w:val="clear" w:color="auto" w:fill="FFFFFF"/>
        </w:rPr>
        <w:t>provided that</w:t>
      </w:r>
      <w:proofErr w:type="gramEnd"/>
      <w:r w:rsidRPr="00C95E63">
        <w:rPr>
          <w:rFonts w:ascii="Verdana" w:hAnsi="Verdana" w:cs="Arial"/>
          <w:sz w:val="20"/>
          <w:szCs w:val="20"/>
          <w:shd w:val="clear" w:color="auto" w:fill="FFFFFF"/>
        </w:rPr>
        <w:t xml:space="preserve"> they comply with certain conditions. Any domestic company, including MSMEs, can avail of this reduced tax rate by calculating their total income without considering various deductions, depreciation, and </w:t>
      </w:r>
      <w:proofErr w:type="gramStart"/>
      <w:r w:rsidRPr="00C95E63">
        <w:rPr>
          <w:rFonts w:ascii="Verdana" w:hAnsi="Verdana" w:cs="Arial"/>
          <w:sz w:val="20"/>
          <w:szCs w:val="20"/>
          <w:shd w:val="clear" w:color="auto" w:fill="FFFFFF"/>
        </w:rPr>
        <w:t>set-offs</w:t>
      </w:r>
      <w:proofErr w:type="gramEnd"/>
      <w:r w:rsidRPr="00C95E63">
        <w:rPr>
          <w:rFonts w:ascii="Verdana" w:hAnsi="Verdana" w:cs="Arial"/>
          <w:sz w:val="20"/>
          <w:szCs w:val="20"/>
          <w:shd w:val="clear" w:color="auto" w:fill="FFFFFF"/>
        </w:rPr>
        <w:t>. These companies are also exempt from the payment of maximum alternate tax under section 115JB. New manufacturing domestic companies can also opt for a 15% tax rate under section 115BAB. The requirement under this section includes all the conditions under section 115BAA.</w:t>
      </w:r>
    </w:p>
    <w:p w14:paraId="127EEAF5" w14:textId="4D1EC337" w:rsidR="00D76623" w:rsidRPr="00C95E63" w:rsidRDefault="00D76623" w:rsidP="008E245D">
      <w:pPr>
        <w:pStyle w:val="NormalWeb"/>
        <w:shd w:val="clear" w:color="auto" w:fill="FFFFFF"/>
        <w:spacing w:before="0" w:beforeAutospacing="0"/>
        <w:jc w:val="both"/>
        <w:rPr>
          <w:rFonts w:ascii="Verdana" w:hAnsi="Verdana" w:cs="Arial"/>
          <w:sz w:val="20"/>
          <w:szCs w:val="20"/>
          <w:shd w:val="clear" w:color="auto" w:fill="FFFFFF"/>
        </w:rPr>
      </w:pPr>
      <w:r w:rsidRPr="00C95E63">
        <w:rPr>
          <w:rFonts w:ascii="Verdana" w:hAnsi="Verdana" w:cs="Arial"/>
          <w:sz w:val="20"/>
          <w:szCs w:val="20"/>
          <w:shd w:val="clear" w:color="auto" w:fill="FFFFFF"/>
        </w:rPr>
        <w:t>Also, there are several presumptive tax schemes that MSMEs can opt for and reduce their tax liability. All these schemes can be availed subject to the fulfilment of requisite conditions.</w:t>
      </w:r>
    </w:p>
    <w:p w14:paraId="34B99DE4" w14:textId="4FEAFC95" w:rsidR="00515A70" w:rsidRPr="00C95E63" w:rsidRDefault="00515A70" w:rsidP="008E245D">
      <w:pPr>
        <w:pStyle w:val="NormalWeb"/>
        <w:shd w:val="clear" w:color="auto" w:fill="FFFFFF"/>
        <w:spacing w:before="0" w:beforeAutospacing="0"/>
        <w:jc w:val="both"/>
        <w:rPr>
          <w:rFonts w:ascii="Verdana" w:hAnsi="Verdana"/>
          <w:sz w:val="20"/>
          <w:szCs w:val="20"/>
        </w:rPr>
      </w:pPr>
    </w:p>
    <w:p w14:paraId="04E8C848" w14:textId="71583810" w:rsidR="00515A70" w:rsidRPr="00C95E63" w:rsidRDefault="00515A70" w:rsidP="00D24BF7">
      <w:pPr>
        <w:pStyle w:val="NormalWeb"/>
        <w:shd w:val="clear" w:color="auto" w:fill="FFFFFF"/>
        <w:spacing w:before="0" w:beforeAutospacing="0"/>
        <w:jc w:val="both"/>
        <w:rPr>
          <w:rFonts w:ascii="Verdana" w:hAnsi="Verdana"/>
          <w:sz w:val="20"/>
          <w:szCs w:val="20"/>
        </w:rPr>
      </w:pPr>
    </w:p>
    <w:p w14:paraId="04B16312" w14:textId="37D5293A" w:rsidR="00515A70" w:rsidRPr="00C95E63" w:rsidRDefault="00515A70" w:rsidP="00D24BF7">
      <w:pPr>
        <w:pStyle w:val="NormalWeb"/>
        <w:shd w:val="clear" w:color="auto" w:fill="FFFFFF"/>
        <w:spacing w:before="0" w:beforeAutospacing="0"/>
        <w:jc w:val="both"/>
        <w:rPr>
          <w:rFonts w:ascii="Verdana" w:hAnsi="Verdana"/>
          <w:sz w:val="20"/>
          <w:szCs w:val="20"/>
        </w:rPr>
      </w:pPr>
    </w:p>
    <w:p w14:paraId="079B55C3" w14:textId="3033FE1B" w:rsidR="00A2253C" w:rsidRPr="00C95E63" w:rsidRDefault="00A2253C" w:rsidP="00D24BF7">
      <w:pPr>
        <w:pStyle w:val="NormalWeb"/>
        <w:shd w:val="clear" w:color="auto" w:fill="FFFFFF"/>
        <w:spacing w:before="0" w:beforeAutospacing="0"/>
        <w:jc w:val="both"/>
        <w:rPr>
          <w:rFonts w:ascii="Verdana" w:hAnsi="Verdana"/>
          <w:sz w:val="20"/>
          <w:szCs w:val="20"/>
        </w:rPr>
      </w:pPr>
    </w:p>
    <w:p w14:paraId="55A82594" w14:textId="2EB67B74" w:rsidR="009C1D43" w:rsidRDefault="009C1D43" w:rsidP="00D24BF7">
      <w:pPr>
        <w:pStyle w:val="NormalWeb"/>
        <w:shd w:val="clear" w:color="auto" w:fill="FFFFFF"/>
        <w:spacing w:before="0" w:beforeAutospacing="0"/>
        <w:jc w:val="both"/>
        <w:rPr>
          <w:rFonts w:ascii="Verdana" w:hAnsi="Verdana"/>
          <w:sz w:val="20"/>
          <w:szCs w:val="20"/>
        </w:rPr>
      </w:pPr>
    </w:p>
    <w:p w14:paraId="29AADF11" w14:textId="1B3C656C" w:rsidR="009C1D43" w:rsidRDefault="009C1D43" w:rsidP="00D24BF7">
      <w:pPr>
        <w:pStyle w:val="NormalWeb"/>
        <w:shd w:val="clear" w:color="auto" w:fill="FFFFFF"/>
        <w:spacing w:before="0" w:beforeAutospacing="0"/>
        <w:jc w:val="both"/>
        <w:rPr>
          <w:rFonts w:ascii="Verdana" w:hAnsi="Verdana"/>
          <w:sz w:val="20"/>
          <w:szCs w:val="20"/>
        </w:rPr>
      </w:pPr>
    </w:p>
    <w:p w14:paraId="770B9654" w14:textId="12931A44" w:rsidR="009C1D43" w:rsidRDefault="009C1D43" w:rsidP="00D24BF7">
      <w:pPr>
        <w:pStyle w:val="NormalWeb"/>
        <w:shd w:val="clear" w:color="auto" w:fill="FFFFFF"/>
        <w:spacing w:before="0" w:beforeAutospacing="0"/>
        <w:jc w:val="both"/>
        <w:rPr>
          <w:rFonts w:ascii="Verdana" w:hAnsi="Verdana"/>
          <w:sz w:val="20"/>
          <w:szCs w:val="20"/>
        </w:rPr>
      </w:pPr>
    </w:p>
    <w:p w14:paraId="30635F06" w14:textId="6F41251F" w:rsidR="009C1D43" w:rsidRDefault="009C1D43" w:rsidP="00D24BF7">
      <w:pPr>
        <w:pStyle w:val="NormalWeb"/>
        <w:shd w:val="clear" w:color="auto" w:fill="FFFFFF"/>
        <w:spacing w:before="0" w:beforeAutospacing="0"/>
        <w:jc w:val="both"/>
        <w:rPr>
          <w:rFonts w:ascii="Verdana" w:hAnsi="Verdana"/>
          <w:sz w:val="20"/>
          <w:szCs w:val="20"/>
        </w:rPr>
      </w:pPr>
    </w:p>
    <w:p w14:paraId="3139FC17" w14:textId="1888D281" w:rsidR="009C1D43" w:rsidRDefault="009C1D43" w:rsidP="00D24BF7">
      <w:pPr>
        <w:pStyle w:val="NormalWeb"/>
        <w:shd w:val="clear" w:color="auto" w:fill="FFFFFF"/>
        <w:spacing w:before="0" w:beforeAutospacing="0"/>
        <w:jc w:val="both"/>
        <w:rPr>
          <w:rFonts w:ascii="Verdana" w:hAnsi="Verdana"/>
          <w:sz w:val="20"/>
          <w:szCs w:val="20"/>
        </w:rPr>
      </w:pPr>
    </w:p>
    <w:p w14:paraId="540051AA" w14:textId="2B49C671" w:rsidR="009C1D43" w:rsidRDefault="009C1D43" w:rsidP="00D24BF7">
      <w:pPr>
        <w:pStyle w:val="NormalWeb"/>
        <w:shd w:val="clear" w:color="auto" w:fill="FFFFFF"/>
        <w:spacing w:before="0" w:beforeAutospacing="0"/>
        <w:jc w:val="both"/>
        <w:rPr>
          <w:rFonts w:ascii="Verdana" w:hAnsi="Verdana"/>
          <w:sz w:val="20"/>
          <w:szCs w:val="20"/>
        </w:rPr>
      </w:pPr>
    </w:p>
    <w:p w14:paraId="484EB52B" w14:textId="0E88FD7A" w:rsidR="009C1D43" w:rsidRDefault="009C1D43" w:rsidP="00D24BF7">
      <w:pPr>
        <w:pStyle w:val="NormalWeb"/>
        <w:shd w:val="clear" w:color="auto" w:fill="FFFFFF"/>
        <w:spacing w:before="0" w:beforeAutospacing="0"/>
        <w:jc w:val="both"/>
        <w:rPr>
          <w:rFonts w:ascii="Verdana" w:hAnsi="Verdana"/>
          <w:sz w:val="20"/>
          <w:szCs w:val="20"/>
        </w:rPr>
      </w:pPr>
    </w:p>
    <w:p w14:paraId="3870F668" w14:textId="60A9B963" w:rsidR="009C1D43" w:rsidRDefault="009C1D43" w:rsidP="00D24BF7">
      <w:pPr>
        <w:pStyle w:val="NormalWeb"/>
        <w:shd w:val="clear" w:color="auto" w:fill="FFFFFF"/>
        <w:spacing w:before="0" w:beforeAutospacing="0"/>
        <w:jc w:val="both"/>
        <w:rPr>
          <w:rFonts w:ascii="Verdana" w:hAnsi="Verdana"/>
          <w:sz w:val="20"/>
          <w:szCs w:val="20"/>
        </w:rPr>
      </w:pPr>
    </w:p>
    <w:p w14:paraId="6A3A0159" w14:textId="4E52B33C" w:rsidR="009C1D43" w:rsidRDefault="009C1D43" w:rsidP="00D24BF7">
      <w:pPr>
        <w:pStyle w:val="NormalWeb"/>
        <w:shd w:val="clear" w:color="auto" w:fill="FFFFFF"/>
        <w:spacing w:before="0" w:beforeAutospacing="0"/>
        <w:jc w:val="both"/>
        <w:rPr>
          <w:rFonts w:ascii="Verdana" w:hAnsi="Verdana"/>
          <w:sz w:val="20"/>
          <w:szCs w:val="20"/>
        </w:rPr>
      </w:pPr>
    </w:p>
    <w:p w14:paraId="55B2E0F5" w14:textId="4A6D00E1" w:rsidR="009C1D43" w:rsidRDefault="009C1D43" w:rsidP="00D24BF7">
      <w:pPr>
        <w:pStyle w:val="NormalWeb"/>
        <w:shd w:val="clear" w:color="auto" w:fill="FFFFFF"/>
        <w:spacing w:before="0" w:beforeAutospacing="0"/>
        <w:jc w:val="both"/>
        <w:rPr>
          <w:rFonts w:ascii="Verdana" w:hAnsi="Verdana"/>
          <w:sz w:val="20"/>
          <w:szCs w:val="20"/>
        </w:rPr>
      </w:pPr>
    </w:p>
    <w:p w14:paraId="52C78477" w14:textId="4B31A312" w:rsidR="009C1D43" w:rsidRDefault="009C1D43" w:rsidP="00D24BF7">
      <w:pPr>
        <w:pStyle w:val="NormalWeb"/>
        <w:shd w:val="clear" w:color="auto" w:fill="FFFFFF"/>
        <w:spacing w:before="0" w:beforeAutospacing="0"/>
        <w:jc w:val="both"/>
        <w:rPr>
          <w:rFonts w:ascii="Verdana" w:hAnsi="Verdana"/>
          <w:sz w:val="20"/>
          <w:szCs w:val="20"/>
        </w:rPr>
      </w:pPr>
    </w:p>
    <w:p w14:paraId="4A49BB36" w14:textId="099FE003" w:rsidR="009C1D43" w:rsidRDefault="009C1D43" w:rsidP="00D24BF7">
      <w:pPr>
        <w:pStyle w:val="NormalWeb"/>
        <w:shd w:val="clear" w:color="auto" w:fill="FFFFFF"/>
        <w:spacing w:before="0" w:beforeAutospacing="0"/>
        <w:jc w:val="both"/>
        <w:rPr>
          <w:rFonts w:ascii="Verdana" w:hAnsi="Verdana"/>
          <w:sz w:val="20"/>
          <w:szCs w:val="20"/>
        </w:rPr>
      </w:pPr>
    </w:p>
    <w:p w14:paraId="55617AF3" w14:textId="17B6AE65" w:rsidR="009C1D43" w:rsidRDefault="009C1D43" w:rsidP="00D24BF7">
      <w:pPr>
        <w:pStyle w:val="NormalWeb"/>
        <w:shd w:val="clear" w:color="auto" w:fill="FFFFFF"/>
        <w:spacing w:before="0" w:beforeAutospacing="0"/>
        <w:jc w:val="both"/>
        <w:rPr>
          <w:rFonts w:ascii="Verdana" w:hAnsi="Verdana"/>
          <w:sz w:val="20"/>
          <w:szCs w:val="20"/>
        </w:rPr>
      </w:pPr>
    </w:p>
    <w:p w14:paraId="564D24AB" w14:textId="68849500" w:rsidR="009C1D43" w:rsidRDefault="009C1D43" w:rsidP="00D24BF7">
      <w:pPr>
        <w:pStyle w:val="NormalWeb"/>
        <w:shd w:val="clear" w:color="auto" w:fill="FFFFFF"/>
        <w:spacing w:before="0" w:beforeAutospacing="0"/>
        <w:jc w:val="both"/>
        <w:rPr>
          <w:rFonts w:ascii="Verdana" w:hAnsi="Verdana"/>
          <w:sz w:val="20"/>
          <w:szCs w:val="20"/>
        </w:rPr>
      </w:pPr>
    </w:p>
    <w:p w14:paraId="41551BE2" w14:textId="791B82BE" w:rsidR="009C1D43" w:rsidRDefault="009C1D43" w:rsidP="00D24BF7">
      <w:pPr>
        <w:pStyle w:val="NormalWeb"/>
        <w:shd w:val="clear" w:color="auto" w:fill="FFFFFF"/>
        <w:spacing w:before="0" w:beforeAutospacing="0"/>
        <w:jc w:val="both"/>
        <w:rPr>
          <w:rFonts w:ascii="Verdana" w:hAnsi="Verdana"/>
          <w:sz w:val="20"/>
          <w:szCs w:val="20"/>
        </w:rPr>
      </w:pPr>
    </w:p>
    <w:p w14:paraId="2F73A477" w14:textId="02794360" w:rsidR="009C1D43" w:rsidRDefault="009C1D43" w:rsidP="00D24BF7">
      <w:pPr>
        <w:pStyle w:val="NormalWeb"/>
        <w:shd w:val="clear" w:color="auto" w:fill="FFFFFF"/>
        <w:spacing w:before="0" w:beforeAutospacing="0"/>
        <w:jc w:val="both"/>
        <w:rPr>
          <w:rFonts w:ascii="Verdana" w:hAnsi="Verdana"/>
          <w:sz w:val="20"/>
          <w:szCs w:val="20"/>
        </w:rPr>
      </w:pPr>
    </w:p>
    <w:p w14:paraId="011A5AB3" w14:textId="6B162792" w:rsidR="009C1D43" w:rsidRDefault="009C1D43" w:rsidP="00D24BF7">
      <w:pPr>
        <w:pStyle w:val="NormalWeb"/>
        <w:shd w:val="clear" w:color="auto" w:fill="FFFFFF"/>
        <w:spacing w:before="0" w:beforeAutospacing="0"/>
        <w:jc w:val="both"/>
        <w:rPr>
          <w:rFonts w:ascii="Verdana" w:hAnsi="Verdana"/>
          <w:sz w:val="20"/>
          <w:szCs w:val="20"/>
        </w:rPr>
      </w:pPr>
    </w:p>
    <w:p w14:paraId="1B23EBE3" w14:textId="266DAFCF" w:rsidR="00CA5C46" w:rsidRDefault="00515A70" w:rsidP="00D24BF7">
      <w:pPr>
        <w:pStyle w:val="NormalWeb"/>
        <w:shd w:val="clear" w:color="auto" w:fill="FFFFFF"/>
        <w:spacing w:before="0" w:beforeAutospacing="0"/>
        <w:jc w:val="both"/>
        <w:rPr>
          <w:rFonts w:ascii="Verdana" w:hAnsi="Verdana"/>
          <w:sz w:val="20"/>
          <w:szCs w:val="20"/>
        </w:rPr>
      </w:pPr>
      <w:r w:rsidRPr="00BD3928">
        <w:rPr>
          <w:rFonts w:ascii="Verdana" w:hAnsi="Verdana"/>
          <w:b/>
          <w:bCs/>
          <w:color w:val="7030A0"/>
          <w:sz w:val="20"/>
          <w:szCs w:val="20"/>
        </w:rPr>
        <w:t>Sou</w:t>
      </w:r>
      <w:r w:rsidR="00CA5C46" w:rsidRPr="00BD3928">
        <w:rPr>
          <w:rFonts w:ascii="Verdana" w:hAnsi="Verdana"/>
          <w:b/>
          <w:bCs/>
          <w:color w:val="7030A0"/>
          <w:sz w:val="20"/>
          <w:szCs w:val="20"/>
        </w:rPr>
        <w:t>rces of Information:</w:t>
      </w:r>
    </w:p>
    <w:p w14:paraId="53D00418" w14:textId="77777777" w:rsidR="00CA5C46" w:rsidRPr="00BD3928" w:rsidRDefault="001527FD" w:rsidP="00BD3928">
      <w:pPr>
        <w:pStyle w:val="ListParagraph"/>
        <w:numPr>
          <w:ilvl w:val="0"/>
          <w:numId w:val="6"/>
        </w:numPr>
        <w:spacing w:line="360" w:lineRule="auto"/>
        <w:rPr>
          <w:color w:val="7030A0"/>
        </w:rPr>
      </w:pPr>
      <w:hyperlink r:id="rId14" w:anchor=":~:text=Among%20the%20chosen%20190%20countries2,Business%202020%3A%20World%20Bank%20Report" w:history="1">
        <w:r w:rsidR="00CA5C46" w:rsidRPr="00BD3928">
          <w:rPr>
            <w:rStyle w:val="Hyperlink"/>
            <w:color w:val="7030A0"/>
          </w:rPr>
          <w:t>https://indianembassynetherlands.gov.in/page/ease-of-doing-business-in-india/#:~:text=Among%20the%20chosen%20190%20countries2,Business%202020%3A%20World%20Bank%20Report</w:t>
        </w:r>
      </w:hyperlink>
      <w:r w:rsidR="00CA5C46" w:rsidRPr="00BD3928">
        <w:rPr>
          <w:color w:val="7030A0"/>
        </w:rPr>
        <w:t>.</w:t>
      </w:r>
    </w:p>
    <w:p w14:paraId="6E39E954" w14:textId="77777777" w:rsidR="00CA5C46" w:rsidRPr="00BD3928" w:rsidRDefault="001527FD" w:rsidP="00BD3928">
      <w:pPr>
        <w:pStyle w:val="ListParagraph"/>
        <w:numPr>
          <w:ilvl w:val="0"/>
          <w:numId w:val="6"/>
        </w:numPr>
        <w:spacing w:line="360" w:lineRule="auto"/>
        <w:rPr>
          <w:color w:val="7030A0"/>
        </w:rPr>
      </w:pPr>
      <w:hyperlink r:id="rId15" w:history="1">
        <w:r w:rsidR="00CA5C46" w:rsidRPr="00BD3928">
          <w:rPr>
            <w:rStyle w:val="Hyperlink"/>
            <w:color w:val="7030A0"/>
          </w:rPr>
          <w:t>https://en.wikipedia.org/wiki/Indian_states_ranking_by_ease_of_doing_business</w:t>
        </w:r>
      </w:hyperlink>
    </w:p>
    <w:p w14:paraId="3EB928D6" w14:textId="77777777" w:rsidR="00CA5C46" w:rsidRPr="00BD3928" w:rsidRDefault="001527FD" w:rsidP="00BD3928">
      <w:pPr>
        <w:pStyle w:val="ListParagraph"/>
        <w:numPr>
          <w:ilvl w:val="0"/>
          <w:numId w:val="6"/>
        </w:numPr>
        <w:spacing w:line="360" w:lineRule="auto"/>
        <w:rPr>
          <w:color w:val="7030A0"/>
        </w:rPr>
      </w:pPr>
      <w:hyperlink r:id="rId16" w:history="1">
        <w:r w:rsidR="00CA5C46" w:rsidRPr="00BD3928">
          <w:rPr>
            <w:rStyle w:val="Hyperlink"/>
            <w:color w:val="7030A0"/>
          </w:rPr>
          <w:t>https://msme.gov.in/sites/default/files/MSMEENGLISHANNUALREPORT2021-22.pdf</w:t>
        </w:r>
      </w:hyperlink>
    </w:p>
    <w:p w14:paraId="6060742E" w14:textId="77777777" w:rsidR="00CA5C46" w:rsidRPr="00BD3928" w:rsidRDefault="001527FD" w:rsidP="00BD3928">
      <w:pPr>
        <w:pStyle w:val="ListParagraph"/>
        <w:numPr>
          <w:ilvl w:val="0"/>
          <w:numId w:val="6"/>
        </w:numPr>
        <w:spacing w:line="360" w:lineRule="auto"/>
        <w:ind w:right="-897"/>
        <w:rPr>
          <w:color w:val="7030A0"/>
        </w:rPr>
      </w:pPr>
      <w:hyperlink r:id="rId17" w:history="1">
        <w:r w:rsidR="00CA5C46" w:rsidRPr="00BD3928">
          <w:rPr>
            <w:rStyle w:val="Hyperlink"/>
            <w:color w:val="7030A0"/>
          </w:rPr>
          <w:t>https://www.niti.gov.in/sites/default/files/2022-04/Discussion_Paper_on_Workforce_05042022.pdf</w:t>
        </w:r>
      </w:hyperlink>
    </w:p>
    <w:p w14:paraId="6F55EBC3" w14:textId="77777777" w:rsidR="00CA5C46" w:rsidRPr="00BD3928" w:rsidRDefault="001527FD" w:rsidP="00BD3928">
      <w:pPr>
        <w:pStyle w:val="ListParagraph"/>
        <w:numPr>
          <w:ilvl w:val="0"/>
          <w:numId w:val="6"/>
        </w:numPr>
        <w:spacing w:line="360" w:lineRule="auto"/>
        <w:rPr>
          <w:color w:val="7030A0"/>
        </w:rPr>
      </w:pPr>
      <w:hyperlink r:id="rId18" w:history="1">
        <w:r w:rsidR="00CA5C46" w:rsidRPr="00BD3928">
          <w:rPr>
            <w:rStyle w:val="Hyperlink"/>
            <w:color w:val="7030A0"/>
          </w:rPr>
          <w:t>https://www.indiaspend.com/data-viz/msme-sector-employment-creators-766041</w:t>
        </w:r>
      </w:hyperlink>
    </w:p>
    <w:p w14:paraId="4E429CFD" w14:textId="77777777" w:rsidR="00CA5C46" w:rsidRPr="00BD3928" w:rsidRDefault="001527FD" w:rsidP="00BD3928">
      <w:pPr>
        <w:pStyle w:val="ListParagraph"/>
        <w:numPr>
          <w:ilvl w:val="0"/>
          <w:numId w:val="6"/>
        </w:numPr>
        <w:spacing w:line="360" w:lineRule="auto"/>
        <w:rPr>
          <w:color w:val="7030A0"/>
        </w:rPr>
      </w:pPr>
      <w:hyperlink r:id="rId19" w:anchor=":~:text=The%20taxation%20system%20in%20India,Municipality%20and%20the%20Local%20Governments" w:history="1">
        <w:r w:rsidR="00CA5C46" w:rsidRPr="00BD3928">
          <w:rPr>
            <w:rStyle w:val="Hyperlink"/>
            <w:color w:val="7030A0"/>
          </w:rPr>
          <w:t>https://www.investindia.gov.in/taxation#:~:text=The%20taxation%20system%20in%20India,Municipality%20and%20the%20Local%20Governments</w:t>
        </w:r>
      </w:hyperlink>
      <w:r w:rsidR="00CA5C46" w:rsidRPr="00BD3928">
        <w:rPr>
          <w:color w:val="7030A0"/>
        </w:rPr>
        <w:t>.</w:t>
      </w:r>
    </w:p>
    <w:p w14:paraId="6C8D6734" w14:textId="77777777" w:rsidR="00CA5C46" w:rsidRPr="00BD3928" w:rsidRDefault="001527FD" w:rsidP="00BD3928">
      <w:pPr>
        <w:pStyle w:val="ListParagraph"/>
        <w:numPr>
          <w:ilvl w:val="0"/>
          <w:numId w:val="6"/>
        </w:numPr>
        <w:spacing w:line="360" w:lineRule="auto"/>
        <w:rPr>
          <w:color w:val="7030A0"/>
        </w:rPr>
      </w:pPr>
      <w:hyperlink r:id="rId20" w:history="1">
        <w:r w:rsidR="00CA5C46" w:rsidRPr="00BD3928">
          <w:rPr>
            <w:rStyle w:val="Hyperlink"/>
            <w:color w:val="7030A0"/>
          </w:rPr>
          <w:t>https://www.ijbmi.org/papers/Special%20Issue/NCETIDM-2017/B0609.pdf</w:t>
        </w:r>
      </w:hyperlink>
    </w:p>
    <w:p w14:paraId="07BD392B" w14:textId="79D9E1A8" w:rsidR="00CA5C46" w:rsidRPr="00BD3928" w:rsidRDefault="001527FD" w:rsidP="00BD3928">
      <w:pPr>
        <w:pStyle w:val="ListParagraph"/>
        <w:numPr>
          <w:ilvl w:val="0"/>
          <w:numId w:val="6"/>
        </w:numPr>
        <w:spacing w:line="360" w:lineRule="auto"/>
        <w:rPr>
          <w:rStyle w:val="Hyperlink"/>
          <w:color w:val="7030A0"/>
        </w:rPr>
      </w:pPr>
      <w:hyperlink r:id="rId21" w:history="1">
        <w:r w:rsidR="00CA5C46" w:rsidRPr="00BD3928">
          <w:rPr>
            <w:rStyle w:val="Hyperlink"/>
            <w:color w:val="7030A0"/>
          </w:rPr>
          <w:t>https://msme.gov.in/sites/default/files/EnvironmentalSocialAssessmentRAMP.pdf</w:t>
        </w:r>
      </w:hyperlink>
    </w:p>
    <w:p w14:paraId="09100EB4" w14:textId="77777777" w:rsidR="008E245D" w:rsidRPr="00BD3928" w:rsidRDefault="001527FD" w:rsidP="00BD3928">
      <w:pPr>
        <w:pStyle w:val="ListParagraph"/>
        <w:numPr>
          <w:ilvl w:val="0"/>
          <w:numId w:val="6"/>
        </w:numPr>
        <w:spacing w:line="360" w:lineRule="auto"/>
        <w:rPr>
          <w:rStyle w:val="Hyperlink"/>
          <w:color w:val="7030A0"/>
        </w:rPr>
      </w:pPr>
      <w:hyperlink r:id="rId22" w:history="1">
        <w:r w:rsidR="008E245D" w:rsidRPr="00BD3928">
          <w:rPr>
            <w:rStyle w:val="Hyperlink"/>
            <w:color w:val="7030A0"/>
          </w:rPr>
          <w:t>https://economictimes.indiatimes.com/small-biz/sme-sector/budget-2022-23-budgetary-allocation-rises-for-msmes-but-some-key-schemes-see-a-cut/articleshow/89276388.cms?utm_source=contentofinterest&amp;utm_medium=text&amp;utm_campaign=cppst</w:t>
        </w:r>
      </w:hyperlink>
    </w:p>
    <w:p w14:paraId="36B2EBE2" w14:textId="55C5EBBA" w:rsidR="008E245D" w:rsidRPr="00BD3928" w:rsidRDefault="008E245D" w:rsidP="00BD3928">
      <w:pPr>
        <w:pStyle w:val="ListParagraph"/>
        <w:numPr>
          <w:ilvl w:val="0"/>
          <w:numId w:val="6"/>
        </w:numPr>
        <w:spacing w:line="360" w:lineRule="auto"/>
        <w:rPr>
          <w:rStyle w:val="Hyperlink"/>
          <w:color w:val="7030A0"/>
        </w:rPr>
      </w:pPr>
      <w:r w:rsidRPr="00BD3928">
        <w:rPr>
          <w:rStyle w:val="Hyperlink"/>
          <w:color w:val="7030A0"/>
        </w:rPr>
        <w:br/>
      </w:r>
      <w:r w:rsidR="005D5FE2" w:rsidRPr="00BD3928">
        <w:rPr>
          <w:rStyle w:val="Hyperlink"/>
          <w:color w:val="7030A0"/>
        </w:rPr>
        <w:t>https://dbie.rbi.org.in/DBIE/dbie.rbi?site=publications#!2</w:t>
      </w:r>
    </w:p>
    <w:p w14:paraId="0146E318" w14:textId="71F01E67" w:rsidR="00CA5C46" w:rsidRPr="00BD3928" w:rsidRDefault="002438CB" w:rsidP="00BD3928">
      <w:pPr>
        <w:pStyle w:val="ListParagraph"/>
        <w:numPr>
          <w:ilvl w:val="0"/>
          <w:numId w:val="6"/>
        </w:numPr>
        <w:spacing w:line="360" w:lineRule="auto"/>
        <w:rPr>
          <w:rStyle w:val="Hyperlink"/>
          <w:color w:val="7030A0"/>
        </w:rPr>
      </w:pPr>
      <w:r w:rsidRPr="00BD3928">
        <w:rPr>
          <w:rStyle w:val="Hyperlink"/>
          <w:color w:val="7030A0"/>
        </w:rPr>
        <w:t>https://www.financialexpress.com/industry/sme/msme-fin-over-14-5-lakh-crore-deployed-to-micro-small-enterprises-in-november-2022-rbi-data/2936317/#:~:text=The%20credit%20outstanding%20to%20the,Narayan%20Rane%20in%20the%20Rajya</w:t>
      </w:r>
    </w:p>
    <w:p w14:paraId="1782B33D" w14:textId="224A0C07" w:rsidR="00CA5C46" w:rsidRPr="00BD3928" w:rsidRDefault="00294828" w:rsidP="00BD3928">
      <w:pPr>
        <w:pStyle w:val="ListParagraph"/>
        <w:numPr>
          <w:ilvl w:val="0"/>
          <w:numId w:val="6"/>
        </w:numPr>
        <w:spacing w:line="360" w:lineRule="auto"/>
        <w:rPr>
          <w:rStyle w:val="Hyperlink"/>
          <w:color w:val="7030A0"/>
        </w:rPr>
      </w:pPr>
      <w:r w:rsidRPr="00BD3928">
        <w:rPr>
          <w:rStyle w:val="Hyperlink"/>
          <w:color w:val="7030A0"/>
        </w:rPr>
        <w:t>https://sidbi.in/files/article/articlefiles/MSME%20Report_August%202022.pdf</w:t>
      </w:r>
    </w:p>
    <w:p w14:paraId="124DF581" w14:textId="3BDC4F88" w:rsidR="00CA5C46" w:rsidRPr="00BD3928" w:rsidRDefault="001527FD" w:rsidP="00BD3928">
      <w:pPr>
        <w:pStyle w:val="ListParagraph"/>
        <w:numPr>
          <w:ilvl w:val="0"/>
          <w:numId w:val="6"/>
        </w:numPr>
        <w:spacing w:line="360" w:lineRule="auto"/>
        <w:rPr>
          <w:rStyle w:val="Hyperlink"/>
          <w:color w:val="7030A0"/>
        </w:rPr>
      </w:pPr>
      <w:hyperlink r:id="rId23" w:history="1">
        <w:r w:rsidR="00A2253C" w:rsidRPr="00BD3928">
          <w:rPr>
            <w:rStyle w:val="Hyperlink"/>
            <w:color w:val="7030A0"/>
          </w:rPr>
          <w:t>https://www.nabard.org/auth/writereaddata/tender/2707225843somfi-2021-22-final-english.pdf</w:t>
        </w:r>
      </w:hyperlink>
    </w:p>
    <w:p w14:paraId="11A4FA09" w14:textId="1C0A7C94" w:rsidR="00A2253C" w:rsidRPr="00BD3928" w:rsidRDefault="001527FD" w:rsidP="00BD3928">
      <w:pPr>
        <w:pStyle w:val="ListParagraph"/>
        <w:numPr>
          <w:ilvl w:val="0"/>
          <w:numId w:val="6"/>
        </w:numPr>
        <w:spacing w:line="360" w:lineRule="auto"/>
        <w:rPr>
          <w:rStyle w:val="Hyperlink"/>
          <w:color w:val="7030A0"/>
        </w:rPr>
      </w:pPr>
      <w:hyperlink r:id="rId24" w:history="1">
        <w:r w:rsidR="008714DD" w:rsidRPr="00BD3928">
          <w:rPr>
            <w:rStyle w:val="Hyperlink"/>
            <w:color w:val="7030A0"/>
          </w:rPr>
          <w:t>https://www.sa-dhan.net/bharat-microfinance-report/</w:t>
        </w:r>
      </w:hyperlink>
    </w:p>
    <w:p w14:paraId="3E57FA11" w14:textId="2020D22E" w:rsidR="008714DD" w:rsidRPr="00BD3928" w:rsidRDefault="008714DD" w:rsidP="00BD3928">
      <w:pPr>
        <w:pStyle w:val="ListParagraph"/>
        <w:numPr>
          <w:ilvl w:val="0"/>
          <w:numId w:val="6"/>
        </w:numPr>
        <w:spacing w:line="360" w:lineRule="auto"/>
        <w:rPr>
          <w:rStyle w:val="Hyperlink"/>
          <w:color w:val="7030A0"/>
        </w:rPr>
      </w:pPr>
      <w:r w:rsidRPr="00BD3928">
        <w:rPr>
          <w:rStyle w:val="Hyperlink"/>
          <w:color w:val="7030A0"/>
        </w:rPr>
        <w:t>https://www.hdfcbank.com/personal/resources/learning-centre/sme/tax-benefits-for-msme-in-india#:~:text=These%20companies%2C%20coming%20under%20section,not%20allowed%20to%20these%20companies.</w:t>
      </w:r>
    </w:p>
    <w:sectPr w:rsidR="008714DD" w:rsidRPr="00BD3928" w:rsidSect="007E2218">
      <w:pgSz w:w="11906" w:h="16838"/>
      <w:pgMar w:top="1440" w:right="991"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EA7"/>
    <w:multiLevelType w:val="multilevel"/>
    <w:tmpl w:val="6098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63B46"/>
    <w:multiLevelType w:val="multilevel"/>
    <w:tmpl w:val="766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9336E"/>
    <w:multiLevelType w:val="multilevel"/>
    <w:tmpl w:val="852C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E42A3"/>
    <w:multiLevelType w:val="hybridMultilevel"/>
    <w:tmpl w:val="701427A2"/>
    <w:lvl w:ilvl="0" w:tplc="CA444B1E">
      <w:start w:val="1"/>
      <w:numFmt w:val="bullet"/>
      <w:lvlText w:val=""/>
      <w:lvlJc w:val="left"/>
      <w:pPr>
        <w:ind w:left="720" w:hanging="360"/>
      </w:pPr>
      <w:rPr>
        <w:rFonts w:ascii="Symbol" w:hAnsi="Symbol" w:hint="default"/>
        <w:color w:val="7030A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1F1577"/>
    <w:multiLevelType w:val="multilevel"/>
    <w:tmpl w:val="489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9693A"/>
    <w:multiLevelType w:val="multilevel"/>
    <w:tmpl w:val="57F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95"/>
    <w:rsid w:val="0004267E"/>
    <w:rsid w:val="000547C4"/>
    <w:rsid w:val="001527FD"/>
    <w:rsid w:val="001D792B"/>
    <w:rsid w:val="001E637A"/>
    <w:rsid w:val="002438CB"/>
    <w:rsid w:val="0027422D"/>
    <w:rsid w:val="00294828"/>
    <w:rsid w:val="002A27C5"/>
    <w:rsid w:val="00325A71"/>
    <w:rsid w:val="00363910"/>
    <w:rsid w:val="00385B1B"/>
    <w:rsid w:val="003922A3"/>
    <w:rsid w:val="003947A6"/>
    <w:rsid w:val="003C46C1"/>
    <w:rsid w:val="003E08FF"/>
    <w:rsid w:val="004042D6"/>
    <w:rsid w:val="004114B5"/>
    <w:rsid w:val="00416CA6"/>
    <w:rsid w:val="00422F4E"/>
    <w:rsid w:val="004256C6"/>
    <w:rsid w:val="0046193E"/>
    <w:rsid w:val="004C5C92"/>
    <w:rsid w:val="005110A1"/>
    <w:rsid w:val="00515A70"/>
    <w:rsid w:val="005D5FE2"/>
    <w:rsid w:val="00680F38"/>
    <w:rsid w:val="00696D3E"/>
    <w:rsid w:val="006B50BB"/>
    <w:rsid w:val="006E30F7"/>
    <w:rsid w:val="00784849"/>
    <w:rsid w:val="007D716E"/>
    <w:rsid w:val="007E2218"/>
    <w:rsid w:val="00806FB0"/>
    <w:rsid w:val="008714DD"/>
    <w:rsid w:val="008A7AD3"/>
    <w:rsid w:val="008B0300"/>
    <w:rsid w:val="008E245D"/>
    <w:rsid w:val="008F2CA7"/>
    <w:rsid w:val="00915FE0"/>
    <w:rsid w:val="00936C93"/>
    <w:rsid w:val="009C1D43"/>
    <w:rsid w:val="009C7C43"/>
    <w:rsid w:val="009D36E3"/>
    <w:rsid w:val="00A03DF2"/>
    <w:rsid w:val="00A2253C"/>
    <w:rsid w:val="00A26D63"/>
    <w:rsid w:val="00A72D0B"/>
    <w:rsid w:val="00A823B4"/>
    <w:rsid w:val="00AC5295"/>
    <w:rsid w:val="00AC6F0D"/>
    <w:rsid w:val="00B25066"/>
    <w:rsid w:val="00B531B8"/>
    <w:rsid w:val="00B72D92"/>
    <w:rsid w:val="00B9021F"/>
    <w:rsid w:val="00BA0423"/>
    <w:rsid w:val="00BD3928"/>
    <w:rsid w:val="00BE7B2C"/>
    <w:rsid w:val="00C92770"/>
    <w:rsid w:val="00C95E63"/>
    <w:rsid w:val="00CA5C46"/>
    <w:rsid w:val="00D24BF7"/>
    <w:rsid w:val="00D33980"/>
    <w:rsid w:val="00D76623"/>
    <w:rsid w:val="00DA3EE5"/>
    <w:rsid w:val="00E03797"/>
    <w:rsid w:val="00E1662A"/>
    <w:rsid w:val="00E7030C"/>
    <w:rsid w:val="00EF53B6"/>
    <w:rsid w:val="00F11F26"/>
    <w:rsid w:val="00F83C66"/>
    <w:rsid w:val="00F86EEB"/>
    <w:rsid w:val="00FE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3449"/>
  <w15:chartTrackingRefBased/>
  <w15:docId w15:val="{C49A26BD-71A5-4B38-A820-6DDF956A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Arial"/>
        <w:color w:val="111111"/>
        <w:spacing w:val="1"/>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AD3"/>
    <w:pPr>
      <w:spacing w:before="100" w:beforeAutospacing="1" w:after="100" w:afterAutospacing="1" w:line="240" w:lineRule="auto"/>
      <w:outlineLvl w:val="1"/>
    </w:pPr>
    <w:rPr>
      <w:rFonts w:ascii="Times New Roman" w:eastAsia="Times New Roman" w:hAnsi="Times New Roman" w:cs="Times New Roman"/>
      <w:b/>
      <w:bCs/>
      <w:color w:val="auto"/>
      <w:spacing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AD3"/>
    <w:rPr>
      <w:rFonts w:ascii="Times New Roman" w:eastAsia="Times New Roman" w:hAnsi="Times New Roman" w:cs="Times New Roman"/>
      <w:b/>
      <w:bCs/>
      <w:color w:val="auto"/>
      <w:spacing w:val="0"/>
      <w:sz w:val="36"/>
      <w:szCs w:val="36"/>
      <w:lang w:eastAsia="en-IN"/>
    </w:rPr>
  </w:style>
  <w:style w:type="paragraph" w:styleId="NormalWeb">
    <w:name w:val="Normal (Web)"/>
    <w:basedOn w:val="Normal"/>
    <w:uiPriority w:val="99"/>
    <w:unhideWhenUsed/>
    <w:rsid w:val="008A7AD3"/>
    <w:pPr>
      <w:spacing w:before="100" w:beforeAutospacing="1" w:after="100" w:afterAutospacing="1" w:line="240" w:lineRule="auto"/>
    </w:pPr>
    <w:rPr>
      <w:rFonts w:ascii="Times New Roman" w:eastAsia="Times New Roman" w:hAnsi="Times New Roman" w:cs="Times New Roman"/>
      <w:color w:val="auto"/>
      <w:spacing w:val="0"/>
      <w:sz w:val="24"/>
      <w:szCs w:val="24"/>
      <w:lang w:eastAsia="en-IN"/>
    </w:rPr>
  </w:style>
  <w:style w:type="character" w:styleId="Hyperlink">
    <w:name w:val="Hyperlink"/>
    <w:basedOn w:val="DefaultParagraphFont"/>
    <w:uiPriority w:val="99"/>
    <w:unhideWhenUsed/>
    <w:rsid w:val="00A823B4"/>
    <w:rPr>
      <w:color w:val="0000FF"/>
      <w:u w:val="single"/>
    </w:rPr>
  </w:style>
  <w:style w:type="table" w:styleId="TableGrid">
    <w:name w:val="Table Grid"/>
    <w:basedOn w:val="TableNormal"/>
    <w:uiPriority w:val="39"/>
    <w:rsid w:val="00F86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5066"/>
    <w:rPr>
      <w:b/>
      <w:bCs/>
    </w:rPr>
  </w:style>
  <w:style w:type="paragraph" w:styleId="NoSpacing">
    <w:name w:val="No Spacing"/>
    <w:uiPriority w:val="1"/>
    <w:qFormat/>
    <w:rsid w:val="00422F4E"/>
    <w:pPr>
      <w:spacing w:after="0" w:line="240" w:lineRule="auto"/>
    </w:pPr>
  </w:style>
  <w:style w:type="paragraph" w:styleId="ListParagraph">
    <w:name w:val="List Paragraph"/>
    <w:basedOn w:val="Normal"/>
    <w:uiPriority w:val="34"/>
    <w:qFormat/>
    <w:rsid w:val="000547C4"/>
    <w:pPr>
      <w:ind w:left="720"/>
      <w:contextualSpacing/>
    </w:pPr>
  </w:style>
  <w:style w:type="character" w:styleId="UnresolvedMention">
    <w:name w:val="Unresolved Mention"/>
    <w:basedOn w:val="DefaultParagraphFont"/>
    <w:uiPriority w:val="99"/>
    <w:semiHidden/>
    <w:unhideWhenUsed/>
    <w:rsid w:val="00A2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4802">
      <w:bodyDiv w:val="1"/>
      <w:marLeft w:val="0"/>
      <w:marRight w:val="0"/>
      <w:marTop w:val="0"/>
      <w:marBottom w:val="0"/>
      <w:divBdr>
        <w:top w:val="none" w:sz="0" w:space="0" w:color="auto"/>
        <w:left w:val="none" w:sz="0" w:space="0" w:color="auto"/>
        <w:bottom w:val="none" w:sz="0" w:space="0" w:color="auto"/>
        <w:right w:val="none" w:sz="0" w:space="0" w:color="auto"/>
      </w:divBdr>
      <w:divsChild>
        <w:div w:id="1578637988">
          <w:marLeft w:val="0"/>
          <w:marRight w:val="0"/>
          <w:marTop w:val="0"/>
          <w:marBottom w:val="0"/>
          <w:divBdr>
            <w:top w:val="none" w:sz="0" w:space="0" w:color="auto"/>
            <w:left w:val="none" w:sz="0" w:space="0" w:color="auto"/>
            <w:bottom w:val="none" w:sz="0" w:space="0" w:color="auto"/>
            <w:right w:val="none" w:sz="0" w:space="0" w:color="auto"/>
          </w:divBdr>
        </w:div>
      </w:divsChild>
    </w:div>
    <w:div w:id="114255510">
      <w:bodyDiv w:val="1"/>
      <w:marLeft w:val="0"/>
      <w:marRight w:val="0"/>
      <w:marTop w:val="0"/>
      <w:marBottom w:val="0"/>
      <w:divBdr>
        <w:top w:val="none" w:sz="0" w:space="0" w:color="auto"/>
        <w:left w:val="none" w:sz="0" w:space="0" w:color="auto"/>
        <w:bottom w:val="none" w:sz="0" w:space="0" w:color="auto"/>
        <w:right w:val="none" w:sz="0" w:space="0" w:color="auto"/>
      </w:divBdr>
    </w:div>
    <w:div w:id="137111260">
      <w:bodyDiv w:val="1"/>
      <w:marLeft w:val="0"/>
      <w:marRight w:val="0"/>
      <w:marTop w:val="0"/>
      <w:marBottom w:val="0"/>
      <w:divBdr>
        <w:top w:val="none" w:sz="0" w:space="0" w:color="auto"/>
        <w:left w:val="none" w:sz="0" w:space="0" w:color="auto"/>
        <w:bottom w:val="none" w:sz="0" w:space="0" w:color="auto"/>
        <w:right w:val="none" w:sz="0" w:space="0" w:color="auto"/>
      </w:divBdr>
      <w:divsChild>
        <w:div w:id="902987521">
          <w:marLeft w:val="0"/>
          <w:marRight w:val="0"/>
          <w:marTop w:val="0"/>
          <w:marBottom w:val="0"/>
          <w:divBdr>
            <w:top w:val="none" w:sz="0" w:space="0" w:color="auto"/>
            <w:left w:val="none" w:sz="0" w:space="0" w:color="auto"/>
            <w:bottom w:val="none" w:sz="0" w:space="0" w:color="auto"/>
            <w:right w:val="none" w:sz="0" w:space="0" w:color="auto"/>
          </w:divBdr>
        </w:div>
      </w:divsChild>
    </w:div>
    <w:div w:id="208420118">
      <w:bodyDiv w:val="1"/>
      <w:marLeft w:val="0"/>
      <w:marRight w:val="0"/>
      <w:marTop w:val="0"/>
      <w:marBottom w:val="0"/>
      <w:divBdr>
        <w:top w:val="none" w:sz="0" w:space="0" w:color="auto"/>
        <w:left w:val="none" w:sz="0" w:space="0" w:color="auto"/>
        <w:bottom w:val="none" w:sz="0" w:space="0" w:color="auto"/>
        <w:right w:val="none" w:sz="0" w:space="0" w:color="auto"/>
      </w:divBdr>
    </w:div>
    <w:div w:id="277882054">
      <w:bodyDiv w:val="1"/>
      <w:marLeft w:val="0"/>
      <w:marRight w:val="0"/>
      <w:marTop w:val="0"/>
      <w:marBottom w:val="0"/>
      <w:divBdr>
        <w:top w:val="none" w:sz="0" w:space="0" w:color="auto"/>
        <w:left w:val="none" w:sz="0" w:space="0" w:color="auto"/>
        <w:bottom w:val="none" w:sz="0" w:space="0" w:color="auto"/>
        <w:right w:val="none" w:sz="0" w:space="0" w:color="auto"/>
      </w:divBdr>
    </w:div>
    <w:div w:id="307050721">
      <w:bodyDiv w:val="1"/>
      <w:marLeft w:val="0"/>
      <w:marRight w:val="0"/>
      <w:marTop w:val="0"/>
      <w:marBottom w:val="0"/>
      <w:divBdr>
        <w:top w:val="none" w:sz="0" w:space="0" w:color="auto"/>
        <w:left w:val="none" w:sz="0" w:space="0" w:color="auto"/>
        <w:bottom w:val="none" w:sz="0" w:space="0" w:color="auto"/>
        <w:right w:val="none" w:sz="0" w:space="0" w:color="auto"/>
      </w:divBdr>
      <w:divsChild>
        <w:div w:id="2068453011">
          <w:marLeft w:val="0"/>
          <w:marRight w:val="0"/>
          <w:marTop w:val="0"/>
          <w:marBottom w:val="0"/>
          <w:divBdr>
            <w:top w:val="none" w:sz="0" w:space="0" w:color="auto"/>
            <w:left w:val="none" w:sz="0" w:space="0" w:color="auto"/>
            <w:bottom w:val="none" w:sz="0" w:space="0" w:color="auto"/>
            <w:right w:val="none" w:sz="0" w:space="0" w:color="auto"/>
          </w:divBdr>
        </w:div>
      </w:divsChild>
    </w:div>
    <w:div w:id="465202640">
      <w:bodyDiv w:val="1"/>
      <w:marLeft w:val="0"/>
      <w:marRight w:val="0"/>
      <w:marTop w:val="0"/>
      <w:marBottom w:val="0"/>
      <w:divBdr>
        <w:top w:val="none" w:sz="0" w:space="0" w:color="auto"/>
        <w:left w:val="none" w:sz="0" w:space="0" w:color="auto"/>
        <w:bottom w:val="none" w:sz="0" w:space="0" w:color="auto"/>
        <w:right w:val="none" w:sz="0" w:space="0" w:color="auto"/>
      </w:divBdr>
    </w:div>
    <w:div w:id="479469606">
      <w:bodyDiv w:val="1"/>
      <w:marLeft w:val="0"/>
      <w:marRight w:val="0"/>
      <w:marTop w:val="0"/>
      <w:marBottom w:val="0"/>
      <w:divBdr>
        <w:top w:val="none" w:sz="0" w:space="0" w:color="auto"/>
        <w:left w:val="none" w:sz="0" w:space="0" w:color="auto"/>
        <w:bottom w:val="none" w:sz="0" w:space="0" w:color="auto"/>
        <w:right w:val="none" w:sz="0" w:space="0" w:color="auto"/>
      </w:divBdr>
    </w:div>
    <w:div w:id="483857433">
      <w:bodyDiv w:val="1"/>
      <w:marLeft w:val="0"/>
      <w:marRight w:val="0"/>
      <w:marTop w:val="0"/>
      <w:marBottom w:val="0"/>
      <w:divBdr>
        <w:top w:val="none" w:sz="0" w:space="0" w:color="auto"/>
        <w:left w:val="none" w:sz="0" w:space="0" w:color="auto"/>
        <w:bottom w:val="none" w:sz="0" w:space="0" w:color="auto"/>
        <w:right w:val="none" w:sz="0" w:space="0" w:color="auto"/>
      </w:divBdr>
    </w:div>
    <w:div w:id="556284327">
      <w:bodyDiv w:val="1"/>
      <w:marLeft w:val="0"/>
      <w:marRight w:val="0"/>
      <w:marTop w:val="0"/>
      <w:marBottom w:val="0"/>
      <w:divBdr>
        <w:top w:val="none" w:sz="0" w:space="0" w:color="auto"/>
        <w:left w:val="none" w:sz="0" w:space="0" w:color="auto"/>
        <w:bottom w:val="none" w:sz="0" w:space="0" w:color="auto"/>
        <w:right w:val="none" w:sz="0" w:space="0" w:color="auto"/>
      </w:divBdr>
      <w:divsChild>
        <w:div w:id="672876720">
          <w:marLeft w:val="0"/>
          <w:marRight w:val="0"/>
          <w:marTop w:val="0"/>
          <w:marBottom w:val="0"/>
          <w:divBdr>
            <w:top w:val="none" w:sz="0" w:space="0" w:color="auto"/>
            <w:left w:val="none" w:sz="0" w:space="0" w:color="auto"/>
            <w:bottom w:val="none" w:sz="0" w:space="0" w:color="auto"/>
            <w:right w:val="none" w:sz="0" w:space="0" w:color="auto"/>
          </w:divBdr>
        </w:div>
      </w:divsChild>
    </w:div>
    <w:div w:id="580329820">
      <w:bodyDiv w:val="1"/>
      <w:marLeft w:val="0"/>
      <w:marRight w:val="0"/>
      <w:marTop w:val="0"/>
      <w:marBottom w:val="0"/>
      <w:divBdr>
        <w:top w:val="none" w:sz="0" w:space="0" w:color="auto"/>
        <w:left w:val="none" w:sz="0" w:space="0" w:color="auto"/>
        <w:bottom w:val="none" w:sz="0" w:space="0" w:color="auto"/>
        <w:right w:val="none" w:sz="0" w:space="0" w:color="auto"/>
      </w:divBdr>
    </w:div>
    <w:div w:id="588780930">
      <w:bodyDiv w:val="1"/>
      <w:marLeft w:val="0"/>
      <w:marRight w:val="0"/>
      <w:marTop w:val="0"/>
      <w:marBottom w:val="0"/>
      <w:divBdr>
        <w:top w:val="none" w:sz="0" w:space="0" w:color="auto"/>
        <w:left w:val="none" w:sz="0" w:space="0" w:color="auto"/>
        <w:bottom w:val="none" w:sz="0" w:space="0" w:color="auto"/>
        <w:right w:val="none" w:sz="0" w:space="0" w:color="auto"/>
      </w:divBdr>
    </w:div>
    <w:div w:id="708533880">
      <w:bodyDiv w:val="1"/>
      <w:marLeft w:val="0"/>
      <w:marRight w:val="0"/>
      <w:marTop w:val="0"/>
      <w:marBottom w:val="0"/>
      <w:divBdr>
        <w:top w:val="none" w:sz="0" w:space="0" w:color="auto"/>
        <w:left w:val="none" w:sz="0" w:space="0" w:color="auto"/>
        <w:bottom w:val="none" w:sz="0" w:space="0" w:color="auto"/>
        <w:right w:val="none" w:sz="0" w:space="0" w:color="auto"/>
      </w:divBdr>
    </w:div>
    <w:div w:id="861941289">
      <w:bodyDiv w:val="1"/>
      <w:marLeft w:val="0"/>
      <w:marRight w:val="0"/>
      <w:marTop w:val="0"/>
      <w:marBottom w:val="0"/>
      <w:divBdr>
        <w:top w:val="none" w:sz="0" w:space="0" w:color="auto"/>
        <w:left w:val="none" w:sz="0" w:space="0" w:color="auto"/>
        <w:bottom w:val="none" w:sz="0" w:space="0" w:color="auto"/>
        <w:right w:val="none" w:sz="0" w:space="0" w:color="auto"/>
      </w:divBdr>
    </w:div>
    <w:div w:id="897859062">
      <w:bodyDiv w:val="1"/>
      <w:marLeft w:val="0"/>
      <w:marRight w:val="0"/>
      <w:marTop w:val="0"/>
      <w:marBottom w:val="0"/>
      <w:divBdr>
        <w:top w:val="none" w:sz="0" w:space="0" w:color="auto"/>
        <w:left w:val="none" w:sz="0" w:space="0" w:color="auto"/>
        <w:bottom w:val="none" w:sz="0" w:space="0" w:color="auto"/>
        <w:right w:val="none" w:sz="0" w:space="0" w:color="auto"/>
      </w:divBdr>
    </w:div>
    <w:div w:id="1035035236">
      <w:bodyDiv w:val="1"/>
      <w:marLeft w:val="0"/>
      <w:marRight w:val="0"/>
      <w:marTop w:val="0"/>
      <w:marBottom w:val="0"/>
      <w:divBdr>
        <w:top w:val="none" w:sz="0" w:space="0" w:color="auto"/>
        <w:left w:val="none" w:sz="0" w:space="0" w:color="auto"/>
        <w:bottom w:val="none" w:sz="0" w:space="0" w:color="auto"/>
        <w:right w:val="none" w:sz="0" w:space="0" w:color="auto"/>
      </w:divBdr>
    </w:div>
    <w:div w:id="1065683449">
      <w:bodyDiv w:val="1"/>
      <w:marLeft w:val="0"/>
      <w:marRight w:val="0"/>
      <w:marTop w:val="0"/>
      <w:marBottom w:val="0"/>
      <w:divBdr>
        <w:top w:val="none" w:sz="0" w:space="0" w:color="auto"/>
        <w:left w:val="none" w:sz="0" w:space="0" w:color="auto"/>
        <w:bottom w:val="none" w:sz="0" w:space="0" w:color="auto"/>
        <w:right w:val="none" w:sz="0" w:space="0" w:color="auto"/>
      </w:divBdr>
    </w:div>
    <w:div w:id="1283417590">
      <w:bodyDiv w:val="1"/>
      <w:marLeft w:val="0"/>
      <w:marRight w:val="0"/>
      <w:marTop w:val="0"/>
      <w:marBottom w:val="0"/>
      <w:divBdr>
        <w:top w:val="none" w:sz="0" w:space="0" w:color="auto"/>
        <w:left w:val="none" w:sz="0" w:space="0" w:color="auto"/>
        <w:bottom w:val="none" w:sz="0" w:space="0" w:color="auto"/>
        <w:right w:val="none" w:sz="0" w:space="0" w:color="auto"/>
      </w:divBdr>
    </w:div>
    <w:div w:id="1289438382">
      <w:bodyDiv w:val="1"/>
      <w:marLeft w:val="0"/>
      <w:marRight w:val="0"/>
      <w:marTop w:val="0"/>
      <w:marBottom w:val="0"/>
      <w:divBdr>
        <w:top w:val="none" w:sz="0" w:space="0" w:color="auto"/>
        <w:left w:val="none" w:sz="0" w:space="0" w:color="auto"/>
        <w:bottom w:val="none" w:sz="0" w:space="0" w:color="auto"/>
        <w:right w:val="none" w:sz="0" w:space="0" w:color="auto"/>
      </w:divBdr>
    </w:div>
    <w:div w:id="1303583471">
      <w:bodyDiv w:val="1"/>
      <w:marLeft w:val="0"/>
      <w:marRight w:val="0"/>
      <w:marTop w:val="0"/>
      <w:marBottom w:val="0"/>
      <w:divBdr>
        <w:top w:val="none" w:sz="0" w:space="0" w:color="auto"/>
        <w:left w:val="none" w:sz="0" w:space="0" w:color="auto"/>
        <w:bottom w:val="none" w:sz="0" w:space="0" w:color="auto"/>
        <w:right w:val="none" w:sz="0" w:space="0" w:color="auto"/>
      </w:divBdr>
    </w:div>
    <w:div w:id="1577745059">
      <w:bodyDiv w:val="1"/>
      <w:marLeft w:val="0"/>
      <w:marRight w:val="0"/>
      <w:marTop w:val="0"/>
      <w:marBottom w:val="0"/>
      <w:divBdr>
        <w:top w:val="none" w:sz="0" w:space="0" w:color="auto"/>
        <w:left w:val="none" w:sz="0" w:space="0" w:color="auto"/>
        <w:bottom w:val="none" w:sz="0" w:space="0" w:color="auto"/>
        <w:right w:val="none" w:sz="0" w:space="0" w:color="auto"/>
      </w:divBdr>
    </w:div>
    <w:div w:id="1709378967">
      <w:bodyDiv w:val="1"/>
      <w:marLeft w:val="0"/>
      <w:marRight w:val="0"/>
      <w:marTop w:val="0"/>
      <w:marBottom w:val="0"/>
      <w:divBdr>
        <w:top w:val="none" w:sz="0" w:space="0" w:color="auto"/>
        <w:left w:val="none" w:sz="0" w:space="0" w:color="auto"/>
        <w:bottom w:val="none" w:sz="0" w:space="0" w:color="auto"/>
        <w:right w:val="none" w:sz="0" w:space="0" w:color="auto"/>
      </w:divBdr>
      <w:divsChild>
        <w:div w:id="770858250">
          <w:marLeft w:val="0"/>
          <w:marRight w:val="0"/>
          <w:marTop w:val="0"/>
          <w:marBottom w:val="0"/>
          <w:divBdr>
            <w:top w:val="none" w:sz="0" w:space="0" w:color="auto"/>
            <w:left w:val="none" w:sz="0" w:space="0" w:color="auto"/>
            <w:bottom w:val="none" w:sz="0" w:space="0" w:color="auto"/>
            <w:right w:val="none" w:sz="0" w:space="0" w:color="auto"/>
          </w:divBdr>
        </w:div>
      </w:divsChild>
    </w:div>
    <w:div w:id="1747998668">
      <w:bodyDiv w:val="1"/>
      <w:marLeft w:val="0"/>
      <w:marRight w:val="0"/>
      <w:marTop w:val="0"/>
      <w:marBottom w:val="0"/>
      <w:divBdr>
        <w:top w:val="none" w:sz="0" w:space="0" w:color="auto"/>
        <w:left w:val="none" w:sz="0" w:space="0" w:color="auto"/>
        <w:bottom w:val="none" w:sz="0" w:space="0" w:color="auto"/>
        <w:right w:val="none" w:sz="0" w:space="0" w:color="auto"/>
      </w:divBdr>
    </w:div>
    <w:div w:id="1768961406">
      <w:bodyDiv w:val="1"/>
      <w:marLeft w:val="0"/>
      <w:marRight w:val="0"/>
      <w:marTop w:val="0"/>
      <w:marBottom w:val="0"/>
      <w:divBdr>
        <w:top w:val="none" w:sz="0" w:space="0" w:color="auto"/>
        <w:left w:val="none" w:sz="0" w:space="0" w:color="auto"/>
        <w:bottom w:val="none" w:sz="0" w:space="0" w:color="auto"/>
        <w:right w:val="none" w:sz="0" w:space="0" w:color="auto"/>
      </w:divBdr>
      <w:divsChild>
        <w:div w:id="395481">
          <w:marLeft w:val="0"/>
          <w:marRight w:val="0"/>
          <w:marTop w:val="0"/>
          <w:marBottom w:val="0"/>
          <w:divBdr>
            <w:top w:val="none" w:sz="0" w:space="0" w:color="auto"/>
            <w:left w:val="none" w:sz="0" w:space="0" w:color="auto"/>
            <w:bottom w:val="none" w:sz="0" w:space="0" w:color="auto"/>
            <w:right w:val="none" w:sz="0" w:space="0" w:color="auto"/>
          </w:divBdr>
        </w:div>
      </w:divsChild>
    </w:div>
    <w:div w:id="1782873272">
      <w:bodyDiv w:val="1"/>
      <w:marLeft w:val="0"/>
      <w:marRight w:val="0"/>
      <w:marTop w:val="0"/>
      <w:marBottom w:val="0"/>
      <w:divBdr>
        <w:top w:val="none" w:sz="0" w:space="0" w:color="auto"/>
        <w:left w:val="none" w:sz="0" w:space="0" w:color="auto"/>
        <w:bottom w:val="none" w:sz="0" w:space="0" w:color="auto"/>
        <w:right w:val="none" w:sz="0" w:space="0" w:color="auto"/>
      </w:divBdr>
    </w:div>
    <w:div w:id="1802452307">
      <w:bodyDiv w:val="1"/>
      <w:marLeft w:val="0"/>
      <w:marRight w:val="0"/>
      <w:marTop w:val="0"/>
      <w:marBottom w:val="0"/>
      <w:divBdr>
        <w:top w:val="none" w:sz="0" w:space="0" w:color="auto"/>
        <w:left w:val="none" w:sz="0" w:space="0" w:color="auto"/>
        <w:bottom w:val="none" w:sz="0" w:space="0" w:color="auto"/>
        <w:right w:val="none" w:sz="0" w:space="0" w:color="auto"/>
      </w:divBdr>
    </w:div>
    <w:div w:id="1821772874">
      <w:bodyDiv w:val="1"/>
      <w:marLeft w:val="0"/>
      <w:marRight w:val="0"/>
      <w:marTop w:val="0"/>
      <w:marBottom w:val="0"/>
      <w:divBdr>
        <w:top w:val="none" w:sz="0" w:space="0" w:color="auto"/>
        <w:left w:val="none" w:sz="0" w:space="0" w:color="auto"/>
        <w:bottom w:val="none" w:sz="0" w:space="0" w:color="auto"/>
        <w:right w:val="none" w:sz="0" w:space="0" w:color="auto"/>
      </w:divBdr>
      <w:divsChild>
        <w:div w:id="1132559712">
          <w:marLeft w:val="0"/>
          <w:marRight w:val="0"/>
          <w:marTop w:val="0"/>
          <w:marBottom w:val="0"/>
          <w:divBdr>
            <w:top w:val="none" w:sz="0" w:space="0" w:color="auto"/>
            <w:left w:val="none" w:sz="0" w:space="0" w:color="auto"/>
            <w:bottom w:val="none" w:sz="0" w:space="0" w:color="auto"/>
            <w:right w:val="none" w:sz="0" w:space="0" w:color="auto"/>
          </w:divBdr>
        </w:div>
      </w:divsChild>
    </w:div>
    <w:div w:id="1883471307">
      <w:bodyDiv w:val="1"/>
      <w:marLeft w:val="0"/>
      <w:marRight w:val="0"/>
      <w:marTop w:val="0"/>
      <w:marBottom w:val="0"/>
      <w:divBdr>
        <w:top w:val="none" w:sz="0" w:space="0" w:color="auto"/>
        <w:left w:val="none" w:sz="0" w:space="0" w:color="auto"/>
        <w:bottom w:val="none" w:sz="0" w:space="0" w:color="auto"/>
        <w:right w:val="none" w:sz="0" w:space="0" w:color="auto"/>
      </w:divBdr>
    </w:div>
    <w:div w:id="1995060602">
      <w:bodyDiv w:val="1"/>
      <w:marLeft w:val="0"/>
      <w:marRight w:val="0"/>
      <w:marTop w:val="0"/>
      <w:marBottom w:val="0"/>
      <w:divBdr>
        <w:top w:val="none" w:sz="0" w:space="0" w:color="auto"/>
        <w:left w:val="none" w:sz="0" w:space="0" w:color="auto"/>
        <w:bottom w:val="none" w:sz="0" w:space="0" w:color="auto"/>
        <w:right w:val="none" w:sz="0" w:space="0" w:color="auto"/>
      </w:divBdr>
    </w:div>
    <w:div w:id="2004895192">
      <w:bodyDiv w:val="1"/>
      <w:marLeft w:val="0"/>
      <w:marRight w:val="0"/>
      <w:marTop w:val="0"/>
      <w:marBottom w:val="0"/>
      <w:divBdr>
        <w:top w:val="none" w:sz="0" w:space="0" w:color="auto"/>
        <w:left w:val="none" w:sz="0" w:space="0" w:color="auto"/>
        <w:bottom w:val="none" w:sz="0" w:space="0" w:color="auto"/>
        <w:right w:val="none" w:sz="0" w:space="0" w:color="auto"/>
      </w:divBdr>
    </w:div>
    <w:div w:id="2032803583">
      <w:bodyDiv w:val="1"/>
      <w:marLeft w:val="0"/>
      <w:marRight w:val="0"/>
      <w:marTop w:val="0"/>
      <w:marBottom w:val="0"/>
      <w:divBdr>
        <w:top w:val="none" w:sz="0" w:space="0" w:color="auto"/>
        <w:left w:val="none" w:sz="0" w:space="0" w:color="auto"/>
        <w:bottom w:val="none" w:sz="0" w:space="0" w:color="auto"/>
        <w:right w:val="none" w:sz="0" w:space="0" w:color="auto"/>
      </w:divBdr>
    </w:div>
    <w:div w:id="2059889486">
      <w:bodyDiv w:val="1"/>
      <w:marLeft w:val="0"/>
      <w:marRight w:val="0"/>
      <w:marTop w:val="0"/>
      <w:marBottom w:val="0"/>
      <w:divBdr>
        <w:top w:val="none" w:sz="0" w:space="0" w:color="auto"/>
        <w:left w:val="none" w:sz="0" w:space="0" w:color="auto"/>
        <w:bottom w:val="none" w:sz="0" w:space="0" w:color="auto"/>
        <w:right w:val="none" w:sz="0" w:space="0" w:color="auto"/>
      </w:divBdr>
      <w:divsChild>
        <w:div w:id="783109529">
          <w:marLeft w:val="0"/>
          <w:marRight w:val="0"/>
          <w:marTop w:val="0"/>
          <w:marBottom w:val="0"/>
          <w:divBdr>
            <w:top w:val="none" w:sz="0" w:space="0" w:color="auto"/>
            <w:left w:val="none" w:sz="0" w:space="0" w:color="auto"/>
            <w:bottom w:val="none" w:sz="0" w:space="0" w:color="auto"/>
            <w:right w:val="none" w:sz="0" w:space="0" w:color="auto"/>
          </w:divBdr>
        </w:div>
      </w:divsChild>
    </w:div>
    <w:div w:id="2062319580">
      <w:bodyDiv w:val="1"/>
      <w:marLeft w:val="0"/>
      <w:marRight w:val="0"/>
      <w:marTop w:val="0"/>
      <w:marBottom w:val="0"/>
      <w:divBdr>
        <w:top w:val="none" w:sz="0" w:space="0" w:color="auto"/>
        <w:left w:val="none" w:sz="0" w:space="0" w:color="auto"/>
        <w:bottom w:val="none" w:sz="0" w:space="0" w:color="auto"/>
        <w:right w:val="none" w:sz="0" w:space="0" w:color="auto"/>
      </w:divBdr>
    </w:div>
    <w:div w:id="21196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kanakkupillai.com/learn/the-top-10-business-ideas-in-the-food-industry-in-india/" TargetMode="External"/><Relationship Id="rId18" Type="http://schemas.openxmlformats.org/officeDocument/2006/relationships/hyperlink" Target="https://www.indiaspend.com/data-viz/msme-sector-employment-creators-76604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sme.gov.in/sites/default/files/EnvironmentalSocialAssessmentRAMP.pdf" TargetMode="External"/><Relationship Id="rId7" Type="http://schemas.openxmlformats.org/officeDocument/2006/relationships/chart" Target="charts/chart2.xml"/><Relationship Id="rId12" Type="http://schemas.openxmlformats.org/officeDocument/2006/relationships/hyperlink" Target="https://www.financialexpress.com/about/rbi/" TargetMode="External"/><Relationship Id="rId17" Type="http://schemas.openxmlformats.org/officeDocument/2006/relationships/hyperlink" Target="https://www.niti.gov.in/sites/default/files/2022-04/Discussion_Paper_on_Workforce_0504202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sme.gov.in/sites/default/files/MSMEENGLISHANNUALREPORT2021-22.pdf" TargetMode="External"/><Relationship Id="rId20" Type="http://schemas.openxmlformats.org/officeDocument/2006/relationships/hyperlink" Target="https://www.ijbmi.org/papers/Special%20Issue/NCETIDM-2017/B0609.pdf"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economictimes.indiatimes.com/topic/digital-lending" TargetMode="External"/><Relationship Id="rId24" Type="http://schemas.openxmlformats.org/officeDocument/2006/relationships/hyperlink" Target="https://www.sa-dhan.net/bharat-microfinance-report/" TargetMode="External"/><Relationship Id="rId5" Type="http://schemas.openxmlformats.org/officeDocument/2006/relationships/webSettings" Target="webSettings.xml"/><Relationship Id="rId15" Type="http://schemas.openxmlformats.org/officeDocument/2006/relationships/hyperlink" Target="https://en.wikipedia.org/wiki/Indian_states_ranking_by_ease_of_doing_business" TargetMode="External"/><Relationship Id="rId23" Type="http://schemas.openxmlformats.org/officeDocument/2006/relationships/hyperlink" Target="https://www.nabard.org/auth/writereaddata/tender/2707225843somfi-2021-22-final-english.pdf" TargetMode="External"/><Relationship Id="rId10" Type="http://schemas.openxmlformats.org/officeDocument/2006/relationships/hyperlink" Target="https://www.indiafilings.com/learn/budget-2022-government-to-interlink-udyam-e-shram-ncs-aseem-portals-to-support-msmes/" TargetMode="External"/><Relationship Id="rId19" Type="http://schemas.openxmlformats.org/officeDocument/2006/relationships/hyperlink" Target="https://www.investindia.gov.in/taxation"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indianembassynetherlands.gov.in/page/ease-of-doing-business-in-india/" TargetMode="External"/><Relationship Id="rId22" Type="http://schemas.openxmlformats.org/officeDocument/2006/relationships/hyperlink" Target="https://economictimes.indiatimes.com/small-biz/sme-sector/budget-2022-23-budgetary-allocation-rises-for-msmes-but-some-key-schemes-see-a-cut/articleshow/89276388.cms?utm_source=contentofinterest&amp;utm_medium=text&amp;utm_campaign=cpp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Type of Entities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Sheet1!$B$21</c:f>
              <c:strCache>
                <c:ptCount val="1"/>
                <c:pt idx="0">
                  <c:v>Percentage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5FA-4E09-9BC6-EB840E9C1E9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5FA-4E09-9BC6-EB840E9C1E98}"/>
              </c:ext>
            </c:extLst>
          </c:dPt>
          <c:dLbls>
            <c:dLbl>
              <c:idx val="0"/>
              <c:layout>
                <c:manualLayout>
                  <c:x val="-4.5340879265091866E-2"/>
                  <c:y val="0.1248829833770778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FA-4E09-9BC6-EB840E9C1E98}"/>
                </c:ext>
              </c:extLst>
            </c:dLbl>
            <c:dLbl>
              <c:idx val="1"/>
              <c:layout>
                <c:manualLayout>
                  <c:x val="7.2769466316710413E-2"/>
                  <c:y val="-0.17157152230971129"/>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5FA-4E09-9BC6-EB840E9C1E98}"/>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Sheet1!$A$22:$A$23</c:f>
              <c:strCache>
                <c:ptCount val="2"/>
                <c:pt idx="0">
                  <c:v>Registered</c:v>
                </c:pt>
                <c:pt idx="1">
                  <c:v>Un-registered</c:v>
                </c:pt>
              </c:strCache>
            </c:strRef>
          </c:cat>
          <c:val>
            <c:numRef>
              <c:f>Sheet1!$B$22:$B$23</c:f>
              <c:numCache>
                <c:formatCode>General</c:formatCode>
                <c:ptCount val="2"/>
                <c:pt idx="0" formatCode="0">
                  <c:v>13</c:v>
                </c:pt>
                <c:pt idx="1">
                  <c:v>87</c:v>
                </c:pt>
              </c:numCache>
            </c:numRef>
          </c:val>
          <c:extLst>
            <c:ext xmlns:c16="http://schemas.microsoft.com/office/drawing/2014/chart" uri="{C3380CC4-5D6E-409C-BE32-E72D297353CC}">
              <c16:uniqueId val="{00000004-D5FA-4E09-9BC6-EB840E9C1E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Job</a:t>
            </a:r>
            <a:r>
              <a:rPr lang="en-US" b="1" baseline="0"/>
              <a:t> %</a:t>
            </a:r>
            <a:r>
              <a:rPr lang="en-US" b="1"/>
              <a:t>ge in  Entities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Sheet1!$B$25</c:f>
              <c:strCache>
                <c:ptCount val="1"/>
                <c:pt idx="0">
                  <c:v>Job 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5A-4F3C-8B24-CF2456435A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5A-4F3C-8B24-CF2456435AEA}"/>
              </c:ext>
            </c:extLst>
          </c:dPt>
          <c:dLbls>
            <c:dLbl>
              <c:idx val="0"/>
              <c:layout>
                <c:manualLayout>
                  <c:x val="-0.12407983377077865"/>
                  <c:y val="3.65241324001166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D5A-4F3C-8B24-CF2456435AEA}"/>
                </c:ext>
              </c:extLst>
            </c:dLbl>
            <c:dLbl>
              <c:idx val="1"/>
              <c:layout>
                <c:manualLayout>
                  <c:x val="0.11366119860017498"/>
                  <c:y val="-1.98330417031204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D5A-4F3C-8B24-CF2456435AEA}"/>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Sheet1!$A$26:$A$27</c:f>
              <c:strCache>
                <c:ptCount val="2"/>
                <c:pt idx="0">
                  <c:v>Registered</c:v>
                </c:pt>
                <c:pt idx="1">
                  <c:v>Un-registered</c:v>
                </c:pt>
              </c:strCache>
            </c:strRef>
          </c:cat>
          <c:val>
            <c:numRef>
              <c:f>Sheet1!$B$26:$B$27</c:f>
              <c:numCache>
                <c:formatCode>General</c:formatCode>
                <c:ptCount val="2"/>
                <c:pt idx="0" formatCode="0">
                  <c:v>42</c:v>
                </c:pt>
                <c:pt idx="1">
                  <c:v>58</c:v>
                </c:pt>
              </c:numCache>
            </c:numRef>
          </c:val>
          <c:extLst>
            <c:ext xmlns:c16="http://schemas.microsoft.com/office/drawing/2014/chart" uri="{C3380CC4-5D6E-409C-BE32-E72D297353CC}">
              <c16:uniqueId val="{00000004-6D5A-4F3C-8B24-CF2456435A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Sheet1!$B$1:$B$2</c:f>
              <c:strCache>
                <c:ptCount val="2"/>
                <c:pt idx="0">
                  <c:v>Top 80% of registered Trade</c:v>
                </c:pt>
                <c:pt idx="1">
                  <c:v>Percentage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Sheet1!$A$3:$A$18</c:f>
              <c:strCache>
                <c:ptCount val="16"/>
                <c:pt idx="0">
                  <c:v>Other Services</c:v>
                </c:pt>
                <c:pt idx="1">
                  <c:v>Textile and Apparel Manufacturing</c:v>
                </c:pt>
                <c:pt idx="2">
                  <c:v>Food and Beverage Manufacturing</c:v>
                </c:pt>
                <c:pt idx="3">
                  <c:v>Wholesale/ Retail</c:v>
                </c:pt>
                <c:pt idx="4">
                  <c:v>Hospitality</c:v>
                </c:pt>
                <c:pt idx="5">
                  <c:v>Other Manufacturing</c:v>
                </c:pt>
                <c:pt idx="6">
                  <c:v>Security/Facility services</c:v>
                </c:pt>
                <c:pt idx="7">
                  <c:v>Transport/Logistics</c:v>
                </c:pt>
                <c:pt idx="8">
                  <c:v>Agri/Aquaculture</c:v>
                </c:pt>
                <c:pt idx="9">
                  <c:v>Construction Sevices</c:v>
                </c:pt>
                <c:pt idx="10">
                  <c:v>IT services</c:v>
                </c:pt>
                <c:pt idx="11">
                  <c:v>wood/plastic/Rubber Manufacturing</c:v>
                </c:pt>
                <c:pt idx="12">
                  <c:v>Metal Manufacturing</c:v>
                </c:pt>
                <c:pt idx="13">
                  <c:v>Media /Communication</c:v>
                </c:pt>
                <c:pt idx="14">
                  <c:v>Financial Services</c:v>
                </c:pt>
                <c:pt idx="15">
                  <c:v>Travel Services</c:v>
                </c:pt>
              </c:strCache>
            </c:strRef>
          </c:cat>
          <c:val>
            <c:numRef>
              <c:f>Sheet1!$B$3:$B$18</c:f>
              <c:numCache>
                <c:formatCode>General</c:formatCode>
                <c:ptCount val="16"/>
                <c:pt idx="0">
                  <c:v>10.16</c:v>
                </c:pt>
                <c:pt idx="1">
                  <c:v>9.43</c:v>
                </c:pt>
                <c:pt idx="2">
                  <c:v>7.94</c:v>
                </c:pt>
                <c:pt idx="3">
                  <c:v>6.62</c:v>
                </c:pt>
                <c:pt idx="4">
                  <c:v>6.35</c:v>
                </c:pt>
                <c:pt idx="5">
                  <c:v>6.21</c:v>
                </c:pt>
                <c:pt idx="6">
                  <c:v>4.79</c:v>
                </c:pt>
                <c:pt idx="7">
                  <c:v>4.5599999999999996</c:v>
                </c:pt>
                <c:pt idx="8">
                  <c:v>3.72</c:v>
                </c:pt>
                <c:pt idx="9">
                  <c:v>3.61</c:v>
                </c:pt>
                <c:pt idx="10">
                  <c:v>3.4</c:v>
                </c:pt>
                <c:pt idx="11">
                  <c:v>3.26</c:v>
                </c:pt>
                <c:pt idx="12">
                  <c:v>3.15</c:v>
                </c:pt>
                <c:pt idx="13">
                  <c:v>2.4700000000000002</c:v>
                </c:pt>
                <c:pt idx="14">
                  <c:v>2.44</c:v>
                </c:pt>
                <c:pt idx="15">
                  <c:v>2.08</c:v>
                </c:pt>
              </c:numCache>
            </c:numRef>
          </c:val>
          <c:extLst>
            <c:ext xmlns:c16="http://schemas.microsoft.com/office/drawing/2014/chart" uri="{C3380CC4-5D6E-409C-BE32-E72D297353CC}">
              <c16:uniqueId val="{00000000-0713-427E-A29D-A757E4AEF68F}"/>
            </c:ext>
          </c:extLst>
        </c:ser>
        <c:dLbls>
          <c:showLegendKey val="0"/>
          <c:showVal val="0"/>
          <c:showCatName val="0"/>
          <c:showSerName val="0"/>
          <c:showPercent val="0"/>
          <c:showBubbleSize val="0"/>
        </c:dLbls>
        <c:gapWidth val="100"/>
        <c:overlap val="-24"/>
        <c:axId val="668226928"/>
        <c:axId val="668229224"/>
      </c:barChart>
      <c:catAx>
        <c:axId val="6682269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mn-lt"/>
                <a:ea typeface="+mn-ea"/>
                <a:cs typeface="+mn-cs"/>
              </a:defRPr>
            </a:pPr>
            <a:endParaRPr lang="en-US"/>
          </a:p>
        </c:txPr>
        <c:crossAx val="668229224"/>
        <c:crosses val="autoZero"/>
        <c:auto val="1"/>
        <c:lblAlgn val="ctr"/>
        <c:lblOffset val="100"/>
        <c:noMultiLvlLbl val="0"/>
      </c:catAx>
      <c:valAx>
        <c:axId val="66822922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822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spc="0" baseline="0">
                <a:solidFill>
                  <a:srgbClr val="7030A0"/>
                </a:solidFill>
                <a:latin typeface="+mn-lt"/>
                <a:ea typeface="+mn-ea"/>
                <a:cs typeface="+mn-cs"/>
              </a:rPr>
              <a:t>Labour</a:t>
            </a:r>
            <a:r>
              <a:rPr lang="en-US" b="1">
                <a:solidFill>
                  <a:srgbClr val="7030A0"/>
                </a:solidFill>
              </a:rPr>
              <a:t> productivity growth in India Percentage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136482939632549E-2"/>
          <c:y val="0.15782407407407409"/>
          <c:w val="0.9155301837270341"/>
          <c:h val="0.72088764946048411"/>
        </c:manualLayout>
      </c:layout>
      <c:lineChart>
        <c:grouping val="standard"/>
        <c:varyColors val="0"/>
        <c:ser>
          <c:idx val="0"/>
          <c:order val="0"/>
          <c:tx>
            <c:strRef>
              <c:f>Sheet1!$B$30:$B$31</c:f>
              <c:strCache>
                <c:ptCount val="2"/>
                <c:pt idx="0">
                  <c:v>Labor productivity growth in India</c:v>
                </c:pt>
                <c:pt idx="1">
                  <c:v>Percentage</c:v>
                </c:pt>
              </c:strCache>
            </c:strRef>
          </c:tx>
          <c:spPr>
            <a:ln w="28575" cap="rnd">
              <a:solidFill>
                <a:schemeClr val="accent1"/>
              </a:solidFill>
              <a:round/>
            </a:ln>
            <a:effectLst/>
          </c:spPr>
          <c:marker>
            <c:symbol val="none"/>
          </c:marker>
          <c:dLbls>
            <c:dLbl>
              <c:idx val="0"/>
              <c:layout>
                <c:manualLayout>
                  <c:x val="-1.3888888888888888E-2"/>
                  <c:y val="6.9444444444444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4F6-4F70-BF03-5BF1667CA15F}"/>
                </c:ext>
              </c:extLst>
            </c:dLbl>
            <c:dLbl>
              <c:idx val="1"/>
              <c:layout>
                <c:manualLayout>
                  <c:x val="-5.5555555555556061E-3"/>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4F6-4F70-BF03-5BF1667CA15F}"/>
                </c:ext>
              </c:extLst>
            </c:dLbl>
            <c:dLbl>
              <c:idx val="2"/>
              <c:layout>
                <c:manualLayout>
                  <c:x val="0"/>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4F6-4F70-BF03-5BF1667CA15F}"/>
                </c:ext>
              </c:extLst>
            </c:dLbl>
            <c:dLbl>
              <c:idx val="4"/>
              <c:layout>
                <c:manualLayout>
                  <c:x val="0"/>
                  <c:y val="-5.09259259259260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4F6-4F70-BF03-5BF1667CA15F}"/>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Sheet1!$A$32:$A$38</c:f>
              <c:numCache>
                <c:formatCode>General</c:formatCode>
                <c:ptCount val="7"/>
                <c:pt idx="0">
                  <c:v>2015</c:v>
                </c:pt>
                <c:pt idx="1">
                  <c:v>2016</c:v>
                </c:pt>
                <c:pt idx="2">
                  <c:v>2017</c:v>
                </c:pt>
                <c:pt idx="3">
                  <c:v>2018</c:v>
                </c:pt>
                <c:pt idx="4">
                  <c:v>2019</c:v>
                </c:pt>
                <c:pt idx="5">
                  <c:v>2020</c:v>
                </c:pt>
                <c:pt idx="6">
                  <c:v>2021</c:v>
                </c:pt>
              </c:numCache>
            </c:numRef>
          </c:cat>
          <c:val>
            <c:numRef>
              <c:f>Sheet1!$B$32:$B$38</c:f>
              <c:numCache>
                <c:formatCode>General</c:formatCode>
                <c:ptCount val="7"/>
                <c:pt idx="0">
                  <c:v>7.36</c:v>
                </c:pt>
                <c:pt idx="1">
                  <c:v>7.62</c:v>
                </c:pt>
                <c:pt idx="2">
                  <c:v>6.24</c:v>
                </c:pt>
                <c:pt idx="3" formatCode="0.00">
                  <c:v>6.02</c:v>
                </c:pt>
                <c:pt idx="4">
                  <c:v>1.68</c:v>
                </c:pt>
                <c:pt idx="5">
                  <c:v>1.4</c:v>
                </c:pt>
                <c:pt idx="6">
                  <c:v>3.55</c:v>
                </c:pt>
              </c:numCache>
            </c:numRef>
          </c:val>
          <c:smooth val="0"/>
          <c:extLst>
            <c:ext xmlns:c16="http://schemas.microsoft.com/office/drawing/2014/chart" uri="{C3380CC4-5D6E-409C-BE32-E72D297353CC}">
              <c16:uniqueId val="{00000004-44F6-4F70-BF03-5BF1667CA15F}"/>
            </c:ext>
          </c:extLst>
        </c:ser>
        <c:dLbls>
          <c:showLegendKey val="0"/>
          <c:showVal val="0"/>
          <c:showCatName val="0"/>
          <c:showSerName val="0"/>
          <c:showPercent val="0"/>
          <c:showBubbleSize val="0"/>
        </c:dLbls>
        <c:smooth val="0"/>
        <c:axId val="667940528"/>
        <c:axId val="667939872"/>
      </c:lineChart>
      <c:catAx>
        <c:axId val="66794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39872"/>
        <c:crosses val="autoZero"/>
        <c:auto val="1"/>
        <c:lblAlgn val="ctr"/>
        <c:lblOffset val="100"/>
        <c:noMultiLvlLbl val="0"/>
      </c:catAx>
      <c:valAx>
        <c:axId val="66793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94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3BEA-EF88-4FF4-9D1D-31392860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5565</Words>
  <Characters>31725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Chaturvedi</dc:creator>
  <cp:keywords/>
  <dc:description/>
  <cp:lastModifiedBy>Prabhat Chaturvedi</cp:lastModifiedBy>
  <cp:revision>2</cp:revision>
  <dcterms:created xsi:type="dcterms:W3CDTF">2023-02-05T17:29:00Z</dcterms:created>
  <dcterms:modified xsi:type="dcterms:W3CDTF">2023-02-05T17:29:00Z</dcterms:modified>
</cp:coreProperties>
</file>