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bookmarkStart w:id="0" w:name="_GoBack"/>
      <w:bookmarkEnd w:id="0"/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42F1AC4F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>by some 25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>
        <w:rPr>
          <w:rFonts w:cs="Arial"/>
          <w:szCs w:val="22"/>
        </w:rPr>
        <w:t xml:space="preserve">. </w:t>
      </w:r>
      <w:r w:rsidR="00B50225">
        <w:t xml:space="preserve">I have </w:t>
      </w:r>
      <w:r w:rsidR="0002447C">
        <w:t>also</w:t>
      </w:r>
      <w:r w:rsidR="00B50225">
        <w:t xml:space="preserve"> engaged in </w:t>
      </w:r>
      <w:r w:rsidR="00F235B4">
        <w:t>multiple</w:t>
      </w:r>
      <w:r w:rsidR="00BB4707">
        <w:t xml:space="preserve"> national and international medical informatics standards efforts, </w:t>
      </w:r>
      <w:r w:rsidR="00B50225">
        <w:t xml:space="preserve">including </w:t>
      </w:r>
      <w:r w:rsidR="00BB4707">
        <w:t xml:space="preserve">leadership of the Dissemination and Ontology Best Practices core of </w:t>
      </w:r>
      <w:r w:rsidR="00BB4707" w:rsidRPr="00D84883">
        <w:t>the National Center for Biomedical Ontology</w:t>
      </w:r>
      <w:r w:rsidR="007976D7">
        <w:t xml:space="preserve"> and founding</w:t>
      </w:r>
      <w:r w:rsidR="00A83BC0">
        <w:t xml:space="preserve"> of the annual International Conference in Biomedical Ontology. </w:t>
      </w:r>
    </w:p>
    <w:p w14:paraId="0EC89B26" w14:textId="52A6A8DA" w:rsidR="00BB4707" w:rsidRPr="00A36ED4" w:rsidRDefault="0002447C" w:rsidP="004D04C0">
      <w:pPr>
        <w:ind w:firstLine="360"/>
        <w:jc w:val="both"/>
      </w:pPr>
      <w:r>
        <w:t xml:space="preserve">My principal </w:t>
      </w:r>
      <w:r w:rsidR="00AE7497">
        <w:t xml:space="preserve">current </w:t>
      </w:r>
      <w:r>
        <w:t xml:space="preserve">areas of research </w:t>
      </w:r>
      <w:r w:rsidR="00AE7497">
        <w:t xml:space="preserve">are </w:t>
      </w:r>
      <w:r>
        <w:t xml:space="preserve">in support of the </w:t>
      </w:r>
      <w:r w:rsidR="00282DDF">
        <w:t xml:space="preserve">NIGMS-funded Protein Ontology initiative (PI: C Wu) and </w:t>
      </w:r>
      <w:r w:rsidR="00AE7497">
        <w:t>of the</w:t>
      </w:r>
      <w:r w:rsidR="00BB4707">
        <w:t xml:space="preserve"> NIAID Bioinformatics Integration Support Contract</w:t>
      </w:r>
      <w:r w:rsidR="004E4453">
        <w:t xml:space="preserve"> (</w:t>
      </w:r>
      <w:r>
        <w:t xml:space="preserve">BISC), where I </w:t>
      </w:r>
      <w:r w:rsidR="00282DDF">
        <w:t>have worked to develop</w:t>
      </w:r>
      <w:r>
        <w:t xml:space="preserve"> ontologies to support annotation of the huge </w:t>
      </w:r>
      <w:r w:rsidR="00282DDF">
        <w:t xml:space="preserve">collection </w:t>
      </w:r>
      <w:r>
        <w:t xml:space="preserve">of immunology clinical trial data </w:t>
      </w:r>
      <w:r w:rsidR="00282DDF">
        <w:t xml:space="preserve">that is </w:t>
      </w:r>
      <w:r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650D8D9D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</w:t>
      </w:r>
      <w:proofErr w:type="gramStart"/>
      <w:r w:rsidR="00B14F2A" w:rsidRPr="0002149E">
        <w:rPr>
          <w:rFonts w:cs="Arial"/>
          <w:spacing w:val="-2"/>
          <w:szCs w:val="22"/>
        </w:rPr>
        <w:t>M,  Rosse</w:t>
      </w:r>
      <w:proofErr w:type="gram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66B9BA88" w14:textId="3664EEC3" w:rsidR="00282DDF" w:rsidRDefault="009946A8" w:rsidP="004D04C0">
      <w:pPr>
        <w:numPr>
          <w:ilvl w:val="0"/>
          <w:numId w:val="16"/>
        </w:numPr>
        <w:spacing w:before="60" w:after="6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S, Brochhausen M, </w:t>
      </w:r>
      <w:r w:rsidR="006A0C4B">
        <w:t>et al</w:t>
      </w:r>
      <w:r>
        <w:t>. Biomedical imaging</w:t>
      </w:r>
      <w:r w:rsidR="003145FE" w:rsidRPr="002C330D">
        <w:t xml:space="preserve"> ontologies</w:t>
      </w:r>
      <w:r>
        <w:t xml:space="preserve">: A survey and proposal for future work. J </w:t>
      </w:r>
      <w:proofErr w:type="spellStart"/>
      <w:r>
        <w:t>Pathol</w:t>
      </w:r>
      <w:proofErr w:type="spellEnd"/>
      <w:r>
        <w:t xml:space="preserve"> Inform. 2015 6:37. </w:t>
      </w:r>
      <w:r w:rsidR="00F946EA" w:rsidRPr="009946A8">
        <w:t>PMC4485195</w:t>
      </w:r>
      <w:r w:rsidR="00282DDF" w:rsidRPr="00282DDF">
        <w:t xml:space="preserve"> </w:t>
      </w:r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lastRenderedPageBreak/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lastRenderedPageBreak/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5C21B730" w:rsidR="00C62C3F" w:rsidRPr="003300ED" w:rsidRDefault="00C62C3F" w:rsidP="00C62C3F">
      <w:pPr>
        <w:numPr>
          <w:ilvl w:val="0"/>
          <w:numId w:val="23"/>
        </w:numPr>
        <w:ind w:left="1080"/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,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proofErr w:type="spellStart"/>
      <w:r w:rsidRPr="00903E86">
        <w:t>OmniSearch</w:t>
      </w:r>
      <w:proofErr w:type="spellEnd"/>
      <w:r w:rsidRPr="00903E86">
        <w:t xml:space="preserve">: A semantic 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proofErr w:type="gramStart"/>
      <w:r w:rsidR="00D766CC" w:rsidRPr="00903E86">
        <w:t>2016</w:t>
      </w:r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6F339711" w:rsidR="00304AAA" w:rsidRDefault="00304AAA" w:rsidP="00C62C3F">
      <w:pPr>
        <w:numPr>
          <w:ilvl w:val="0"/>
          <w:numId w:val="24"/>
        </w:numPr>
        <w:ind w:left="1080"/>
        <w:jc w:val="both"/>
      </w:pPr>
      <w:proofErr w:type="spellStart"/>
      <w:r w:rsidRPr="00304AAA">
        <w:lastRenderedPageBreak/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="00C62C3F" w:rsidRPr="00C62C3F">
        <w:t>PMC5316345</w:t>
      </w:r>
    </w:p>
    <w:p w14:paraId="38803207" w14:textId="22B13AC3" w:rsidR="00C62C3F" w:rsidRPr="00C84F23" w:rsidRDefault="00327B92" w:rsidP="00C62C3F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 xml:space="preserve">DA Natale, CN </w:t>
        </w:r>
        <w:proofErr w:type="spellStart"/>
        <w:r w:rsidR="00C62C3F" w:rsidRPr="00C62C3F">
          <w:t>Arighi</w:t>
        </w:r>
        <w:proofErr w:type="spellEnd"/>
        <w:r w:rsidR="00C62C3F" w:rsidRPr="00C62C3F">
          <w:t xml:space="preserve">, JA Blake,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Köhler J, Kumar A. On the application of formal principles to life science data: a case study in the Gene Ontology. Data Integration in the Life Sciences, </w:t>
      </w:r>
      <w:proofErr w:type="gramStart"/>
      <w:r>
        <w:t>2004;:</w:t>
      </w:r>
      <w:proofErr w:type="gramEnd"/>
      <w:r>
        <w:t>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</w:r>
      <w:proofErr w:type="spellStart"/>
      <w:r w:rsidRPr="00694443">
        <w:rPr>
          <w:rFonts w:cs="Arial"/>
        </w:rPr>
        <w:t>Scannapieco</w:t>
      </w:r>
      <w:proofErr w:type="spellEnd"/>
      <w:r w:rsidRPr="00694443">
        <w:rPr>
          <w:rFonts w:cs="Arial"/>
        </w:rPr>
        <w:t xml:space="preserve">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1F51B851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79BEECFB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304AAA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</w:t>
      </w:r>
      <w:r w:rsidR="00304AAA">
        <w:rPr>
          <w:rFonts w:cs="Arial"/>
          <w:szCs w:val="22"/>
          <w:lang w:val="pt-BR"/>
        </w:rPr>
        <w:t>8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E707B86" w14:textId="4F475033" w:rsidR="00736B92" w:rsidRPr="00694443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61D6C">
        <w:rPr>
          <w:rFonts w:cs="Arial"/>
          <w:szCs w:val="22"/>
        </w:rPr>
        <w:t>0</w:t>
      </w:r>
      <w:r w:rsidR="00D22CD6">
        <w:rPr>
          <w:rFonts w:cs="Arial"/>
          <w:szCs w:val="22"/>
        </w:rPr>
        <w:t>1</w:t>
      </w:r>
      <w:r w:rsidR="00161D6C">
        <w:rPr>
          <w:rFonts w:cs="Arial"/>
          <w:szCs w:val="22"/>
        </w:rPr>
        <w:t>/01/201</w:t>
      </w:r>
      <w:r w:rsidR="00D22CD6">
        <w:rPr>
          <w:rFonts w:cs="Arial"/>
          <w:szCs w:val="22"/>
        </w:rPr>
        <w:t>7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4D04C0">
        <w:rPr>
          <w:rFonts w:cs="Arial"/>
          <w:szCs w:val="22"/>
          <w:lang w:val="pt-BR"/>
        </w:rPr>
        <w:t xml:space="preserve"> 0</w:t>
      </w:r>
      <w:r w:rsidR="00304AAA">
        <w:rPr>
          <w:rFonts w:cs="Arial"/>
          <w:szCs w:val="22"/>
          <w:lang w:val="pt-BR"/>
        </w:rPr>
        <w:t>5</w:t>
      </w:r>
      <w:r w:rsidR="00161D6C">
        <w:rPr>
          <w:rFonts w:cs="Arial"/>
          <w:szCs w:val="22"/>
          <w:lang w:val="pt-BR"/>
        </w:rPr>
        <w:t>/31/2018</w:t>
      </w:r>
    </w:p>
    <w:p w14:paraId="298B48E0" w14:textId="15FA8701" w:rsidR="00694443" w:rsidRDefault="00736B92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3C08432D" w14:textId="16336124" w:rsidR="00161D6C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 combined government, academia and industry initiative to advance </w:t>
      </w:r>
      <w:r w:rsidR="00161D6C">
        <w:t>interoperability of manufacturing industry information systems through incorporation of ontology technology.</w:t>
      </w:r>
    </w:p>
    <w:p w14:paraId="26BB37E3" w14:textId="7269994E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9468AC1" w14:textId="77777777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508BCB7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59FECFD5" w14:textId="77777777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71B7E6A8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D7A3" w14:textId="77777777" w:rsidR="00327B92" w:rsidRDefault="00327B92">
      <w:r>
        <w:separator/>
      </w:r>
    </w:p>
  </w:endnote>
  <w:endnote w:type="continuationSeparator" w:id="0">
    <w:p w14:paraId="70F39EBC" w14:textId="77777777" w:rsidR="00327B92" w:rsidRDefault="00327B92">
      <w:r>
        <w:continuationSeparator/>
      </w:r>
    </w:p>
  </w:endnote>
  <w:endnote w:type="continuationNotice" w:id="1">
    <w:p w14:paraId="7F20318F" w14:textId="77777777" w:rsidR="00327B92" w:rsidRDefault="00327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114EF" w14:textId="77777777" w:rsidR="00327B92" w:rsidRDefault="00327B92">
      <w:r>
        <w:separator/>
      </w:r>
    </w:p>
  </w:footnote>
  <w:footnote w:type="continuationSeparator" w:id="0">
    <w:p w14:paraId="1C93C066" w14:textId="77777777" w:rsidR="00327B92" w:rsidRDefault="00327B92">
      <w:r>
        <w:continuationSeparator/>
      </w:r>
    </w:p>
  </w:footnote>
  <w:footnote w:type="continuationNotice" w:id="1">
    <w:p w14:paraId="6133368A" w14:textId="77777777" w:rsidR="00327B92" w:rsidRDefault="00327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1"/>
  </w:num>
  <w:num w:numId="13">
    <w:abstractNumId w:val="11"/>
  </w:num>
  <w:num w:numId="14">
    <w:abstractNumId w:val="26"/>
  </w:num>
  <w:num w:numId="15">
    <w:abstractNumId w:val="24"/>
  </w:num>
  <w:num w:numId="16">
    <w:abstractNumId w:val="25"/>
  </w:num>
  <w:num w:numId="17">
    <w:abstractNumId w:val="10"/>
  </w:num>
  <w:num w:numId="18">
    <w:abstractNumId w:val="16"/>
  </w:num>
  <w:num w:numId="19">
    <w:abstractNumId w:val="13"/>
  </w:num>
  <w:num w:numId="20">
    <w:abstractNumId w:val="20"/>
  </w:num>
  <w:num w:numId="21">
    <w:abstractNumId w:val="18"/>
  </w:num>
  <w:num w:numId="22">
    <w:abstractNumId w:val="17"/>
  </w:num>
  <w:num w:numId="23">
    <w:abstractNumId w:val="19"/>
  </w:num>
  <w:num w:numId="24">
    <w:abstractNumId w:val="27"/>
  </w:num>
  <w:num w:numId="25">
    <w:abstractNumId w:val="22"/>
  </w:num>
  <w:num w:numId="26">
    <w:abstractNumId w:val="12"/>
  </w:num>
  <w:num w:numId="27">
    <w:abstractNumId w:val="23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AC9"/>
    <w:rsid w:val="00555886"/>
    <w:rsid w:val="00580DD3"/>
    <w:rsid w:val="00586B83"/>
    <w:rsid w:val="00592740"/>
    <w:rsid w:val="005B27C6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6FC4"/>
    <w:rsid w:val="00817055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C68"/>
    <w:rsid w:val="00FF1D5B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17538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2018-03-27T16:50:00Z</dcterms:created>
  <dcterms:modified xsi:type="dcterms:W3CDTF">2018-03-27T16:50:00Z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