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2CDEB716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EC89B26" w14:textId="37F37376" w:rsidR="00BB4707" w:rsidRPr="00A36ED4" w:rsidRDefault="002B27DE" w:rsidP="005D1D6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proofErr w:type="spellStart"/>
      <w:r w:rsidR="00996001">
        <w:t>I</w:t>
      </w:r>
      <w:proofErr w:type="spellEnd"/>
      <w:r w:rsidR="00996001">
        <w:t xml:space="preserve"> have played a leadership role in a series of major ontology initiatives, beginning with t</w:t>
      </w:r>
      <w:r>
        <w:rPr>
          <w:rFonts w:cs="Arial"/>
          <w:szCs w:val="22"/>
        </w:rPr>
        <w:t xml:space="preserve">he Open Biomedical Ontologies (OBO) Foundry, now widely recognized as </w:t>
      </w:r>
      <w:r w:rsidR="00996001">
        <w:rPr>
          <w:rFonts w:cs="Arial"/>
          <w:szCs w:val="22"/>
        </w:rPr>
        <w:t>a successful model for coordinated ontology development based on a</w:t>
      </w:r>
      <w:r>
        <w:rPr>
          <w:rFonts w:cs="Arial"/>
          <w:szCs w:val="22"/>
        </w:rPr>
        <w:t xml:space="preserve"> </w:t>
      </w:r>
      <w:r w:rsidR="00996001">
        <w:rPr>
          <w:rFonts w:cs="Arial"/>
          <w:szCs w:val="22"/>
        </w:rPr>
        <w:t xml:space="preserve">tested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>interoperable ontology modules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  <w:r w:rsidR="00996001">
        <w:rPr>
          <w:rFonts w:cs="Arial"/>
          <w:szCs w:val="22"/>
        </w:rPr>
        <w:t xml:space="preserve">From 2005 to 2015 I served as co-PI responsible for dissemination and ontology best practices on the National Center for Biomedical Ontology </w:t>
      </w:r>
      <w:r w:rsidR="005D1D60">
        <w:rPr>
          <w:rFonts w:cs="Arial"/>
          <w:szCs w:val="22"/>
        </w:rPr>
        <w:t xml:space="preserve">initiative and from 2014-2017 as </w:t>
      </w:r>
      <w:r w:rsidR="00C02603">
        <w:t xml:space="preserve">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5D1D60">
        <w:t xml:space="preserve">IN </w:t>
      </w:r>
      <w:proofErr w:type="gramStart"/>
      <w:r w:rsidR="005D1D60">
        <w:t>addition</w:t>
      </w:r>
      <w:proofErr w:type="gramEnd"/>
      <w:r w:rsidR="005D1D60">
        <w:t xml:space="preserve"> I have worked on </w:t>
      </w:r>
      <w:r w:rsidR="00282DDF">
        <w:t>develop</w:t>
      </w:r>
      <w:r w:rsidR="005D1D60">
        <w:t>ing</w:t>
      </w:r>
      <w:r w:rsidR="00282DDF">
        <w:t xml:space="preserve">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</w:t>
      </w:r>
      <w:r w:rsidR="005D1D60">
        <w:t xml:space="preserve">carrying out </w:t>
      </w:r>
      <w:r w:rsidR="00282DDF">
        <w:t xml:space="preserve">extensive research </w:t>
      </w:r>
      <w:r w:rsidR="005D1D60">
        <w:t>o</w:t>
      </w:r>
      <w:r w:rsidR="00282DDF">
        <w:t xml:space="preserve">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M, </w:t>
      </w:r>
      <w:proofErr w:type="spellStart"/>
      <w:r w:rsidR="00B14F2A" w:rsidRPr="0002149E">
        <w:rPr>
          <w:rFonts w:cs="Arial"/>
          <w:spacing w:val="-2"/>
          <w:szCs w:val="22"/>
        </w:rPr>
        <w:t>Rosse</w:t>
      </w:r>
      <w:proofErr w:type="spellEnd"/>
      <w:r w:rsidR="00B14F2A" w:rsidRPr="0002149E">
        <w:rPr>
          <w:rFonts w:cs="Arial"/>
          <w:spacing w:val="-2"/>
          <w:szCs w:val="22"/>
        </w:rPr>
        <w:t xml:space="preserve">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r>
        <w:t>Scheuermann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: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lastRenderedPageBreak/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 xml:space="preserve">, this process has </w:t>
      </w:r>
      <w:r w:rsidR="00133E8E">
        <w:lastRenderedPageBreak/>
        <w:t>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78E2A3C4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  <w:r w:rsidR="00681AD4">
        <w:t xml:space="preserve"> It is also being applied in major efforts in are outside biomedicine, including industry and defense.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22DF710D" w:rsidR="00C62C3F" w:rsidRPr="003300ED" w:rsidRDefault="00557417" w:rsidP="00557417">
      <w:pPr>
        <w:numPr>
          <w:ilvl w:val="0"/>
          <w:numId w:val="23"/>
        </w:numPr>
        <w:ind w:left="1080"/>
        <w:jc w:val="both"/>
      </w:pPr>
      <w:r>
        <w:t xml:space="preserve">Cooper L, </w:t>
      </w:r>
      <w:proofErr w:type="gramStart"/>
      <w:r>
        <w:t>Meier  A</w:t>
      </w:r>
      <w:proofErr w:type="gramEnd"/>
      <w:r>
        <w:t xml:space="preserve">, Laporte, M-A et al. The </w:t>
      </w:r>
      <w:proofErr w:type="spellStart"/>
      <w:r>
        <w:t>Planteome</w:t>
      </w:r>
      <w:proofErr w:type="spellEnd"/>
      <w:r>
        <w:t xml:space="preserve"> database: an integrated resource for reference ontologies, plant genomics and </w:t>
      </w:r>
      <w:proofErr w:type="spellStart"/>
      <w:r>
        <w:t>phenomics</w:t>
      </w:r>
      <w:proofErr w:type="spellEnd"/>
      <w:r>
        <w:t>, Nucleic Acids Res. 2018;46(D1</w:t>
      </w:r>
      <w:proofErr w:type="gramStart"/>
      <w:r>
        <w:t>):D</w:t>
      </w:r>
      <w:proofErr w:type="gramEnd"/>
      <w:r>
        <w:t xml:space="preserve">1168–D1180. </w:t>
      </w:r>
      <w:r w:rsidRPr="005D1D60">
        <w:t>PMC5753347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56760080" w14:textId="0832275A" w:rsidR="00557417" w:rsidRDefault="00557417" w:rsidP="00557417">
      <w:pPr>
        <w:numPr>
          <w:ilvl w:val="0"/>
          <w:numId w:val="24"/>
        </w:numPr>
        <w:ind w:left="108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S. </w:t>
      </w:r>
      <w:proofErr w:type="spellStart"/>
      <w:r>
        <w:t>Brochhausen</w:t>
      </w:r>
      <w:proofErr w:type="spellEnd"/>
      <w:r>
        <w:t xml:space="preserve"> M, et al. Biomedical imaging ontologies: A survey and proposal for future work. J </w:t>
      </w:r>
      <w:proofErr w:type="spellStart"/>
      <w:r>
        <w:t>Pathol</w:t>
      </w:r>
      <w:proofErr w:type="spellEnd"/>
      <w:r>
        <w:t xml:space="preserve"> Inform. 2015:6;37. </w:t>
      </w:r>
      <w:r w:rsidRPr="00557417">
        <w:t>PMC4485195</w:t>
      </w:r>
    </w:p>
    <w:p w14:paraId="1A2E1D7C" w14:textId="77777777" w:rsidR="00557417" w:rsidRDefault="00557417" w:rsidP="00557417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Pr="00C62C3F">
        <w:t>PMC5316345</w:t>
      </w:r>
    </w:p>
    <w:p w14:paraId="38803207" w14:textId="6CF40A17" w:rsidR="00C62C3F" w:rsidRDefault="00D76064" w:rsidP="00557417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>Natale</w:t>
        </w:r>
        <w:r w:rsidR="00557417" w:rsidRPr="00557417">
          <w:t xml:space="preserve"> DA</w:t>
        </w:r>
        <w:r w:rsidR="00C62C3F" w:rsidRPr="00C62C3F">
          <w:t xml:space="preserve">, </w:t>
        </w:r>
        <w:proofErr w:type="spellStart"/>
        <w:r w:rsidR="00C62C3F" w:rsidRPr="00C62C3F">
          <w:t>Arighi</w:t>
        </w:r>
        <w:proofErr w:type="spellEnd"/>
        <w:r w:rsidR="00557417" w:rsidRPr="00557417">
          <w:t xml:space="preserve"> CN</w:t>
        </w:r>
        <w:r w:rsidR="00C62C3F" w:rsidRPr="00C62C3F">
          <w:t>, Blake</w:t>
        </w:r>
        <w:r w:rsidR="00557417" w:rsidRPr="00557417">
          <w:t xml:space="preserve"> JA</w:t>
        </w:r>
        <w:r w:rsidR="00C62C3F" w:rsidRPr="00C62C3F">
          <w:t xml:space="preserve">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3A1AD1A2" w:rsidR="008F6C2A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31E91230" w14:textId="7D904622" w:rsidR="00547174" w:rsidRPr="009946A8" w:rsidRDefault="00547174" w:rsidP="00547174">
      <w:pPr>
        <w:pStyle w:val="ListParagraph"/>
        <w:numPr>
          <w:ilvl w:val="0"/>
          <w:numId w:val="29"/>
        </w:numPr>
        <w:ind w:left="1080"/>
        <w:jc w:val="both"/>
      </w:pPr>
      <w:proofErr w:type="spellStart"/>
      <w:r>
        <w:t>Prodromos</w:t>
      </w:r>
      <w:proofErr w:type="spellEnd"/>
      <w:r w:rsidR="00557417">
        <w:t xml:space="preserve"> K</w:t>
      </w:r>
      <w:r>
        <w:t xml:space="preserve">, </w:t>
      </w:r>
      <w:proofErr w:type="spellStart"/>
      <w:r>
        <w:t>Kalousis</w:t>
      </w:r>
      <w:proofErr w:type="spellEnd"/>
      <w:r w:rsidR="00557417">
        <w:t xml:space="preserve"> A</w:t>
      </w:r>
      <w:r>
        <w:t>, Smith</w:t>
      </w:r>
      <w:r w:rsidR="00557417">
        <w:t xml:space="preserve"> B</w:t>
      </w:r>
      <w:r>
        <w:t xml:space="preserve">, </w:t>
      </w:r>
      <w:proofErr w:type="spellStart"/>
      <w:r>
        <w:t>Kiritsis</w:t>
      </w:r>
      <w:proofErr w:type="spellEnd"/>
      <w:r w:rsidR="00557417">
        <w:t xml:space="preserve"> D</w:t>
      </w:r>
      <w:r>
        <w:t>. Biomedical ontology alignment: an approach based on representation learning. J Biomed Semantics. 2018:9;21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04C6D9BA" w14:textId="77777777" w:rsidR="004677AB" w:rsidRPr="004E6683" w:rsidRDefault="004677AB" w:rsidP="004677AB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09/21/2015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08/31/2018</w:t>
      </w:r>
      <w:r>
        <w:rPr>
          <w:rFonts w:cs="Arial"/>
          <w:szCs w:val="22"/>
          <w:lang w:val="pt-BR"/>
        </w:rPr>
        <w:tab/>
      </w:r>
    </w:p>
    <w:p w14:paraId="5B9B693E" w14:textId="77777777" w:rsidR="004677AB" w:rsidRPr="004E6683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742163F6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4004B88C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1028A728" w14:textId="77777777" w:rsidR="004677AB" w:rsidRPr="004E6683" w:rsidRDefault="004677AB" w:rsidP="004677AB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02A16A46" w14:textId="77777777" w:rsidR="004677AB" w:rsidRPr="0041618E" w:rsidRDefault="004677AB" w:rsidP="004677AB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Pr="000F27FA">
        <w:rPr>
          <w:rFonts w:cs="Arial"/>
          <w:szCs w:val="22"/>
        </w:rPr>
        <w:t>1UL1TR001412</w:t>
      </w:r>
      <w:r>
        <w:rPr>
          <w:rFonts w:cs="Arial"/>
          <w:szCs w:val="22"/>
        </w:rPr>
        <w:t>-</w:t>
      </w:r>
      <w:r w:rsidRPr="000F27FA">
        <w:rPr>
          <w:rFonts w:cs="Arial"/>
          <w:szCs w:val="22"/>
        </w:rPr>
        <w:t>01</w:t>
      </w:r>
      <w:r>
        <w:rPr>
          <w:rFonts w:cs="Arial"/>
          <w:szCs w:val="22"/>
        </w:rPr>
        <w:tab/>
        <w:t>Murphy (PI)</w:t>
      </w:r>
      <w:r>
        <w:rPr>
          <w:rFonts w:cs="Arial"/>
          <w:szCs w:val="22"/>
        </w:rPr>
        <w:tab/>
        <w:t>07/15/2015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0576B083" w14:textId="77777777" w:rsidR="004677AB" w:rsidRPr="00F1777E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5E4418" w14:textId="77777777" w:rsidR="004677AB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7C672785" w14:textId="77777777" w:rsidR="004677AB" w:rsidRDefault="004677AB" w:rsidP="004677AB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45C55584" w14:textId="77777777" w:rsidR="004677AB" w:rsidRDefault="004677AB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488D1C96" w14:textId="1C640FF8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602D436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437EEFCD" w14:textId="77C26635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7D7FE2E" w14:textId="44B1AAA4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 xml:space="preserve">Naval Postgraduate School </w:t>
      </w:r>
      <w:r w:rsidR="008152BA" w:rsidRPr="008152BA">
        <w:t>N00244-18-1-0003</w:t>
      </w:r>
      <w:r>
        <w:tab/>
      </w:r>
      <w:proofErr w:type="spellStart"/>
      <w:r>
        <w:t>Llinas</w:t>
      </w:r>
      <w:proofErr w:type="spellEnd"/>
      <w:r>
        <w:t xml:space="preserve"> (PI)</w:t>
      </w:r>
      <w:r>
        <w:tab/>
      </w:r>
      <w:r w:rsidR="002145C1">
        <w:t>04</w:t>
      </w:r>
      <w:r>
        <w:t>/01/2018 – 0</w:t>
      </w:r>
      <w:r w:rsidR="002145C1">
        <w:t>3</w:t>
      </w:r>
      <w:r>
        <w:t>/3</w:t>
      </w:r>
      <w:r w:rsidR="002145C1">
        <w:t>1</w:t>
      </w:r>
      <w:r>
        <w:t>/2019</w:t>
      </w:r>
    </w:p>
    <w:p w14:paraId="32C095CD" w14:textId="77777777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Data Science Approaches to Automation of Analytic Work​flow</w:t>
      </w:r>
    </w:p>
    <w:p w14:paraId="439C8DB2" w14:textId="5CCE948E" w:rsidR="007278C5" w:rsidRDefault="008152BA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The goal of the project </w:t>
      </w:r>
      <w:r w:rsidR="00284570">
        <w:t>is</w:t>
      </w:r>
      <w:r>
        <w:t xml:space="preserve"> t</w:t>
      </w:r>
      <w:r w:rsidR="008170D8"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="008170D8" w:rsidRPr="008170D8">
        <w:t>: careful assessments of ontological elements supporting current</w:t>
      </w:r>
      <w:r>
        <w:t xml:space="preserve"> </w:t>
      </w:r>
      <w:r w:rsidR="008170D8" w:rsidRPr="008170D8">
        <w:t>analytic frameworks and research on the ontological elements supporting an optimal cognitively-based information collection system.</w:t>
      </w:r>
    </w:p>
    <w:p w14:paraId="59FECFD5" w14:textId="2FC2BB81" w:rsidR="007051DE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0A8082AE" w14:textId="0D78DEFD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1A67736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Air Force Office of Scientific Research (AFOSR) </w:t>
      </w:r>
      <w:r>
        <w:tab/>
      </w:r>
      <w:proofErr w:type="spellStart"/>
      <w:r>
        <w:t>Crassidis</w:t>
      </w:r>
      <w:proofErr w:type="spellEnd"/>
      <w:r>
        <w:t xml:space="preserve"> (PI)</w:t>
      </w:r>
      <w:r>
        <w:tab/>
        <w:t>9/01/2018 – 8/30/2022</w:t>
      </w:r>
    </w:p>
    <w:p w14:paraId="0DC42FA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Event Characterization Fusing Hard and Soft Data via Semantic Models</w:t>
      </w:r>
    </w:p>
    <w:p w14:paraId="3A66158E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Project to create a space event ontology to enable space event characterization on the basis of both human derived information and </w:t>
      </w:r>
      <w:proofErr w:type="gramStart"/>
      <w:r>
        <w:t>information  from</w:t>
      </w:r>
      <w:proofErr w:type="gramEnd"/>
      <w:r>
        <w:t xml:space="preserve"> physics-based sensing mechanisms.</w:t>
      </w:r>
    </w:p>
    <w:p w14:paraId="7955BF46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bookmarkStart w:id="0" w:name="_GoBack"/>
      <w:bookmarkEnd w:id="0"/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47E1878D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3219F953" w14:textId="6866990F" w:rsidR="001A0EF8" w:rsidRDefault="00DF366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 </w:t>
      </w: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BF73E9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1727FA4C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2BE0E123" w14:textId="77777777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9007A" w14:textId="77777777" w:rsidR="00D76064" w:rsidRDefault="00D76064">
      <w:r>
        <w:separator/>
      </w:r>
    </w:p>
  </w:endnote>
  <w:endnote w:type="continuationSeparator" w:id="0">
    <w:p w14:paraId="30E122E0" w14:textId="77777777" w:rsidR="00D76064" w:rsidRDefault="00D76064">
      <w:r>
        <w:continuationSeparator/>
      </w:r>
    </w:p>
  </w:endnote>
  <w:endnote w:type="continuationNotice" w:id="1">
    <w:p w14:paraId="5269EF65" w14:textId="77777777" w:rsidR="00D76064" w:rsidRDefault="00D760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66494" w14:textId="77777777" w:rsidR="00D76064" w:rsidRDefault="00D76064">
      <w:r>
        <w:separator/>
      </w:r>
    </w:p>
  </w:footnote>
  <w:footnote w:type="continuationSeparator" w:id="0">
    <w:p w14:paraId="67CE6FEE" w14:textId="77777777" w:rsidR="00D76064" w:rsidRDefault="00D76064">
      <w:r>
        <w:continuationSeparator/>
      </w:r>
    </w:p>
  </w:footnote>
  <w:footnote w:type="continuationNotice" w:id="1">
    <w:p w14:paraId="6B975CC7" w14:textId="77777777" w:rsidR="00D76064" w:rsidRDefault="00D760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923B2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0EF8"/>
    <w:rsid w:val="001A1811"/>
    <w:rsid w:val="001B6CB1"/>
    <w:rsid w:val="001C562C"/>
    <w:rsid w:val="001C7577"/>
    <w:rsid w:val="001F657D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B7EAD"/>
    <w:rsid w:val="003C2647"/>
    <w:rsid w:val="003C62D6"/>
    <w:rsid w:val="003D2399"/>
    <w:rsid w:val="003E1568"/>
    <w:rsid w:val="003F355A"/>
    <w:rsid w:val="003F6A45"/>
    <w:rsid w:val="00432346"/>
    <w:rsid w:val="00447F3A"/>
    <w:rsid w:val="004677AB"/>
    <w:rsid w:val="004759D9"/>
    <w:rsid w:val="00477FEA"/>
    <w:rsid w:val="004815EA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174"/>
    <w:rsid w:val="00547AC9"/>
    <w:rsid w:val="00555886"/>
    <w:rsid w:val="00557417"/>
    <w:rsid w:val="00580DD3"/>
    <w:rsid w:val="00586B83"/>
    <w:rsid w:val="00592740"/>
    <w:rsid w:val="005B27C6"/>
    <w:rsid w:val="005B7286"/>
    <w:rsid w:val="005C2BDD"/>
    <w:rsid w:val="005C47A8"/>
    <w:rsid w:val="005D1D60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1AD4"/>
    <w:rsid w:val="0068699D"/>
    <w:rsid w:val="00690088"/>
    <w:rsid w:val="00690D8C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198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96001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241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121A2"/>
    <w:rsid w:val="00D22CD6"/>
    <w:rsid w:val="00D34F8F"/>
    <w:rsid w:val="00D51DC4"/>
    <w:rsid w:val="00D679E5"/>
    <w:rsid w:val="00D74391"/>
    <w:rsid w:val="00D76064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3665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82634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274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5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18302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3</cp:revision>
  <cp:lastPrinted>2015-11-17T20:09:00Z</cp:lastPrinted>
  <dcterms:created xsi:type="dcterms:W3CDTF">2018-09-06T15:08:00Z</dcterms:created>
  <dcterms:modified xsi:type="dcterms:W3CDTF">2018-09-06T15:18:00Z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