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530"/>
        <w:gridCol w:w="2088"/>
        <w:gridCol w:w="3312"/>
      </w:tblGrid>
      <w:tr w:rsidR="00D825A1" w:rsidRPr="00D51DC4" w14:paraId="47316B55" w14:textId="77777777" w:rsidTr="008B1A4A">
        <w:trPr>
          <w:cantSplit/>
          <w:trHeight w:val="818"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8B1A4A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6B78D682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  <w:r w:rsidR="008B1A4A">
              <w:rPr>
                <w:sz w:val="22"/>
                <w:szCs w:val="22"/>
              </w:rPr>
              <w:t>, MA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14:paraId="356D4217" w14:textId="19AA9BA9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  <w:r w:rsidR="008B1A4A">
              <w:rPr>
                <w:sz w:val="22"/>
                <w:szCs w:val="22"/>
              </w:rPr>
              <w:t xml:space="preserve">, </w:t>
            </w:r>
            <w:r w:rsidR="008B1A4A"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8B1A4A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bookmarkStart w:id="0" w:name="_GoBack"/>
      <w:bookmarkEnd w:id="0"/>
      <w:r w:rsidRPr="00D825A1">
        <w:t>A.</w:t>
      </w:r>
      <w:r w:rsidRPr="00D825A1">
        <w:tab/>
        <w:t>Personal Statement</w:t>
      </w:r>
    </w:p>
    <w:p w14:paraId="0EC89B26" w14:textId="47858813" w:rsidR="00BB4707" w:rsidRPr="00A36ED4" w:rsidRDefault="002B27DE" w:rsidP="005D1D6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C77E82">
        <w:rPr>
          <w:rFonts w:cs="Arial"/>
          <w:szCs w:val="22"/>
        </w:rPr>
        <w:t xml:space="preserve">(NCBO) </w:t>
      </w:r>
      <w:r w:rsidR="005D1D60">
        <w:rPr>
          <w:rFonts w:cs="Arial"/>
          <w:szCs w:val="22"/>
        </w:rPr>
        <w:t>initiative</w:t>
      </w:r>
      <w:r w:rsidR="00C77E82">
        <w:rPr>
          <w:rFonts w:cs="Arial"/>
          <w:szCs w:val="22"/>
        </w:rPr>
        <w:t>.</w:t>
      </w:r>
      <w:r w:rsidR="005D1D60">
        <w:rPr>
          <w:rFonts w:cs="Arial"/>
          <w:szCs w:val="22"/>
        </w:rPr>
        <w:t xml:space="preserve"> </w:t>
      </w:r>
      <w:r w:rsidR="00C77E82">
        <w:rPr>
          <w:rFonts w:cs="Arial"/>
          <w:szCs w:val="22"/>
        </w:rPr>
        <w:t>F</w:t>
      </w:r>
      <w:r w:rsidR="005D1D60">
        <w:rPr>
          <w:rFonts w:cs="Arial"/>
          <w:szCs w:val="22"/>
        </w:rPr>
        <w:t xml:space="preserve">rom 2014-2017 </w:t>
      </w:r>
      <w:r w:rsidR="00C77E82">
        <w:rPr>
          <w:rFonts w:cs="Arial"/>
          <w:szCs w:val="22"/>
        </w:rPr>
        <w:t xml:space="preserve">I served </w:t>
      </w:r>
      <w:r w:rsidR="005D1D60">
        <w:rPr>
          <w:rFonts w:cs="Arial"/>
          <w:szCs w:val="22"/>
        </w:rPr>
        <w:t xml:space="preserve">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>I</w:t>
      </w:r>
      <w:r w:rsidR="00C77E82">
        <w:t>n</w:t>
      </w:r>
      <w:r w:rsidR="005D1D60">
        <w:t xml:space="preserve"> addition</w:t>
      </w:r>
      <w:r w:rsidR="00E10A5B">
        <w:t>,</w:t>
      </w:r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</w:t>
      </w:r>
      <w:r w:rsidR="00C77E82">
        <w:t>.</w:t>
      </w:r>
      <w:r w:rsidR="00E10A5B">
        <w:t xml:space="preserve"> </w:t>
      </w:r>
      <w:r w:rsidR="00C77E82">
        <w:t>M</w:t>
      </w:r>
      <w:r w:rsidR="00E10A5B">
        <w:t xml:space="preserve">ost recently, </w:t>
      </w:r>
      <w:r w:rsidR="00C77E82">
        <w:t xml:space="preserve">I have worked on </w:t>
      </w:r>
      <w:r w:rsidR="00E10A5B">
        <w:t>use of ontologies to support machine learning.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r w:rsidR="00B14F2A" w:rsidRPr="0002149E">
        <w:rPr>
          <w:rFonts w:cs="Arial"/>
          <w:spacing w:val="-2"/>
          <w:szCs w:val="22"/>
        </w:rPr>
        <w:t xml:space="preserve">Ashburner M, Rosse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>, United Nations Environment Programme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CAC3FD6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</w:t>
      </w:r>
      <w:r w:rsidR="00BE2D94">
        <w:rPr>
          <w:b w:val="0"/>
        </w:rPr>
        <w:t>to test</w:t>
      </w:r>
      <w:r w:rsidR="009840E0">
        <w:rPr>
          <w:b w:val="0"/>
        </w:rPr>
        <w:t xml:space="preserve">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</w:t>
      </w:r>
      <w:r w:rsidR="00BE2D94">
        <w:rPr>
          <w:b w:val="0"/>
        </w:rPr>
        <w:t>on the basis of</w:t>
      </w:r>
      <w:r w:rsidR="00135D0B">
        <w:rPr>
          <w:b w:val="0"/>
        </w:rPr>
        <w:t xml:space="preserve"> sound logical </w:t>
      </w:r>
      <w:r w:rsidR="00D007E2">
        <w:rPr>
          <w:b w:val="0"/>
        </w:rPr>
        <w:t xml:space="preserve">principles </w:t>
      </w:r>
      <w:r w:rsidR="00BE2D94">
        <w:rPr>
          <w:b w:val="0"/>
        </w:rPr>
        <w:t>will</w:t>
      </w:r>
      <w:r w:rsidR="00D007E2">
        <w:rPr>
          <w:b w:val="0"/>
        </w:rPr>
        <w:t xml:space="preserve"> </w:t>
      </w:r>
      <w:r w:rsidR="002803D0">
        <w:rPr>
          <w:b w:val="0"/>
        </w:rPr>
        <w:t xml:space="preserve">be of value in </w:t>
      </w:r>
      <w:r w:rsidR="00D007E2">
        <w:rPr>
          <w:b w:val="0"/>
        </w:rPr>
        <w:t>the creation of domain ontologies in the different fields of biomedicine</w:t>
      </w:r>
      <w:r w:rsidR="00BE2D94">
        <w:rPr>
          <w:b w:val="0"/>
        </w:rPr>
        <w:t xml:space="preserve"> that will in turn prove themselves to have useful applications in information-driven science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>.</w:t>
      </w:r>
      <w:r w:rsidR="00BE2D94">
        <w:rPr>
          <w:b w:val="0"/>
        </w:rPr>
        <w:t xml:space="preserve"> It is currently under development as ISO/IED standard 21838-2.</w:t>
      </w:r>
      <w:r w:rsidR="00101E37">
        <w:rPr>
          <w:b w:val="0"/>
        </w:rPr>
        <w:t xml:space="preserve">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r w:rsidRPr="00F946EA">
        <w:rPr>
          <w:rFonts w:cs="Arial"/>
          <w:shd w:val="clear" w:color="auto" w:fill="FFFFFF"/>
        </w:rPr>
        <w:t xml:space="preserve">Bandrowski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5F3F70A0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BE2D94">
        <w:t>,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 xml:space="preserve">, this </w:t>
      </w:r>
      <w:r w:rsidR="00133E8E">
        <w:lastRenderedPageBreak/>
        <w:t>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8B54EC">
        <w:t>, described under 3., below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62E4789C" w:rsidR="005B7286" w:rsidRDefault="004C3D46" w:rsidP="004D04C0">
      <w:pPr>
        <w:jc w:val="both"/>
      </w:pPr>
      <w:r>
        <w:t xml:space="preserve">3. </w:t>
      </w:r>
      <w:r w:rsidR="00C72340">
        <w:t>In 2004</w:t>
      </w:r>
      <w:r w:rsidR="008B54EC">
        <w:t>,</w:t>
      </w:r>
      <w:r w:rsidR="00C72340">
        <w:t xml:space="preserve">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8B54EC">
        <w:t xml:space="preserve">, exemplified in a series of conferences, workshops and training events which I organized under the auspices of </w:t>
      </w:r>
      <w:r w:rsidR="00C0024A">
        <w:t>the NIH Roadmap National Center for Biomedical Ontology (NCBO)</w:t>
      </w:r>
      <w:r w:rsidR="008B54EC">
        <w:t>.</w:t>
      </w:r>
      <w:r w:rsidR="00BC6591">
        <w:t xml:space="preserve"> </w:t>
      </w:r>
      <w:r w:rsidR="008B54EC">
        <w:t xml:space="preserve">Most notable outcome of these activities was the establishment </w:t>
      </w:r>
      <w:r w:rsidR="00C72340">
        <w:t xml:space="preserve">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proofErr w:type="spellStart"/>
      <w:r w:rsidR="008B54EC">
        <w:t>Planteome</w:t>
      </w:r>
      <w:proofErr w:type="spellEnd"/>
      <w:r w:rsidR="008B54EC">
        <w:t xml:space="preserve"> initiative, to develop c</w:t>
      </w:r>
      <w:r w:rsidR="00324E6F">
        <w:t xml:space="preserve">ommon </w:t>
      </w:r>
      <w:r w:rsidR="008B54EC">
        <w:t>r</w:t>
      </w:r>
      <w:r w:rsidR="00324E6F">
        <w:t xml:space="preserve">eference </w:t>
      </w:r>
      <w:r w:rsidR="008B54EC">
        <w:t>o</w:t>
      </w:r>
      <w:r w:rsidR="00324E6F">
        <w:t xml:space="preserve">ntologies for </w:t>
      </w:r>
      <w:r w:rsidR="008B54EC">
        <w:t>p</w:t>
      </w:r>
      <w:r w:rsidR="00324E6F">
        <w:t>lant</w:t>
      </w:r>
      <w:r w:rsidR="008B54EC">
        <w:t xml:space="preserve"> science,</w:t>
      </w:r>
      <w:r w:rsidR="005B7286">
        <w:t xml:space="preserve">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</w:t>
      </w:r>
      <w:r w:rsidR="009D15B6">
        <w:t xml:space="preserve"> and</w:t>
      </w:r>
      <w:r w:rsidR="008B54EC">
        <w:t xml:space="preserve"> the NIST Industrial Ontologies Foundry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 xml:space="preserve">also helped to shape new terminology standards, </w:t>
      </w:r>
      <w:r w:rsidR="009D15B6">
        <w:t>for example</w:t>
      </w:r>
      <w:r w:rsidR="006A6869">
        <w:t xml:space="preserve">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22DF710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 xml:space="preserve">Cooper L, </w:t>
      </w:r>
      <w:proofErr w:type="gramStart"/>
      <w:r>
        <w:t>Meier  A</w:t>
      </w:r>
      <w:proofErr w:type="gramEnd"/>
      <w:r>
        <w:t xml:space="preserve">, Laporte, M-A et al. The </w:t>
      </w:r>
      <w:proofErr w:type="spellStart"/>
      <w:r>
        <w:t>Planteome</w:t>
      </w:r>
      <w:proofErr w:type="spellEnd"/>
      <w:r>
        <w:t xml:space="preserve"> database: an integrated resource for reference ontologies, plant genomics and </w:t>
      </w:r>
      <w:proofErr w:type="spellStart"/>
      <w:r>
        <w:t>phenomics</w:t>
      </w:r>
      <w:proofErr w:type="spellEnd"/>
      <w:r>
        <w:t>, Nucleic Acids Res. 2018;46(D1</w:t>
      </w:r>
      <w:proofErr w:type="gramStart"/>
      <w:r>
        <w:t>):D</w:t>
      </w:r>
      <w:proofErr w:type="gramEnd"/>
      <w:r>
        <w:t xml:space="preserve">1168–D1180.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26DF2106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 xml:space="preserve">and the </w:t>
      </w:r>
      <w:r w:rsidR="00EB505A" w:rsidRPr="00EB505A">
        <w:t xml:space="preserve">MicroRNA </w:t>
      </w:r>
      <w:r w:rsidR="00C021DB">
        <w:t>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S. Brochhausen M, et al. Biomedical imaging ontologies: A survey and proposal for future work.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2E9284FD" w14:textId="77777777" w:rsidR="00186E01" w:rsidRDefault="00557417" w:rsidP="00746AC4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3D02C6D4" w:rsidR="00C62C3F" w:rsidRDefault="00F171F6" w:rsidP="00746AC4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>Natale</w:t>
        </w:r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proofErr w:type="spellStart"/>
      <w:r>
        <w:t>Prodromos</w:t>
      </w:r>
      <w:proofErr w:type="spellEnd"/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 xml:space="preserve">, </w:t>
      </w:r>
      <w:proofErr w:type="spellStart"/>
      <w:r>
        <w:t>Kiritsis</w:t>
      </w:r>
      <w:proofErr w:type="spellEnd"/>
      <w:r w:rsidR="00557417">
        <w:t xml:space="preserve"> D</w:t>
      </w:r>
      <w:r>
        <w:t>. Biomedical ontology alignment: an approach based on representation learning. J Biomed Semantics. 2018:9;21</w:t>
      </w:r>
    </w:p>
    <w:p w14:paraId="17963A59" w14:textId="0826F027" w:rsidR="00A665D2" w:rsidRDefault="00A665D2" w:rsidP="004D04C0">
      <w:pPr>
        <w:jc w:val="both"/>
      </w:pPr>
    </w:p>
    <w:p w14:paraId="3F492E96" w14:textId="321DA166" w:rsidR="00186E01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="00186E01" w:rsidRPr="00186E01">
        <w:t>https://www.ncbi.nlm.nih.gov/myncbi/browse/collection/46125873/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490D4295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08/31/201</w:t>
      </w:r>
      <w:r w:rsidR="00062E32">
        <w:rPr>
          <w:rFonts w:cs="Arial"/>
          <w:szCs w:val="22"/>
          <w:lang w:val="pt-BR"/>
        </w:rPr>
        <w:t>9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7777777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Naval Postgraduate School </w:t>
      </w:r>
      <w:r w:rsidR="008152BA" w:rsidRPr="008152BA">
        <w:t>N00244-18-1-0003</w:t>
      </w:r>
      <w:r>
        <w:tab/>
        <w:t>Llinas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1A67736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Air Force Office of Scientific Research (AFOSR) </w:t>
      </w:r>
      <w:r>
        <w:tab/>
      </w:r>
      <w:proofErr w:type="spellStart"/>
      <w:r>
        <w:t>Crassidis</w:t>
      </w:r>
      <w:proofErr w:type="spellEnd"/>
      <w:r>
        <w:t xml:space="preserve"> (PI)</w:t>
      </w:r>
      <w:r>
        <w:tab/>
        <w:t>9/01/2018 – 8/30/2022</w:t>
      </w:r>
    </w:p>
    <w:p w14:paraId="0DC42FA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Event Characterization Fusing Hard and Soft Data via Semantic Models</w:t>
      </w:r>
    </w:p>
    <w:p w14:paraId="3A66158E" w14:textId="754CAF35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 xml:space="preserve">Project to create a space event ontology to enable space event characterization on the basis of both human derived information and </w:t>
      </w:r>
      <w:proofErr w:type="gramStart"/>
      <w:r>
        <w:t>information  from</w:t>
      </w:r>
      <w:proofErr w:type="gramEnd"/>
      <w:r>
        <w:t xml:space="preserve"> physics-based sensing mechanisms.</w:t>
      </w:r>
    </w:p>
    <w:p w14:paraId="19EA69A2" w14:textId="01EDC8E4" w:rsidR="00062E32" w:rsidRDefault="00062E32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7955BF46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1BFDDE7A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</w:t>
      </w:r>
      <w:r w:rsidRPr="00062E32">
        <w:rPr>
          <w:spacing w:val="40"/>
        </w:rPr>
        <w:t>I</w:t>
      </w:r>
      <w:r w:rsidR="00062E32" w:rsidRPr="00062E32">
        <w:rPr>
          <w:spacing w:val="40"/>
        </w:rPr>
        <w:t>/</w:t>
      </w:r>
      <w:r w:rsidR="00062E32">
        <w:t>Mentor</w:t>
      </w:r>
    </w:p>
    <w:p w14:paraId="3219F953" w14:textId="6866990F" w:rsidR="001A0EF8" w:rsidRDefault="00DF366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 </w:t>
      </w: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2A934" w14:textId="77777777" w:rsidR="00F171F6" w:rsidRDefault="00F171F6">
      <w:r>
        <w:separator/>
      </w:r>
    </w:p>
  </w:endnote>
  <w:endnote w:type="continuationSeparator" w:id="0">
    <w:p w14:paraId="5B5F3263" w14:textId="77777777" w:rsidR="00F171F6" w:rsidRDefault="00F171F6">
      <w:r>
        <w:continuationSeparator/>
      </w:r>
    </w:p>
  </w:endnote>
  <w:endnote w:type="continuationNotice" w:id="1">
    <w:p w14:paraId="66BF4445" w14:textId="77777777" w:rsidR="00F171F6" w:rsidRDefault="00F17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F176B" w14:textId="77777777" w:rsidR="00F171F6" w:rsidRDefault="00F171F6">
      <w:r>
        <w:separator/>
      </w:r>
    </w:p>
  </w:footnote>
  <w:footnote w:type="continuationSeparator" w:id="0">
    <w:p w14:paraId="6E80E89E" w14:textId="77777777" w:rsidR="00F171F6" w:rsidRDefault="00F171F6">
      <w:r>
        <w:continuationSeparator/>
      </w:r>
    </w:p>
  </w:footnote>
  <w:footnote w:type="continuationNotice" w:id="1">
    <w:p w14:paraId="701021C6" w14:textId="77777777" w:rsidR="00F171F6" w:rsidRDefault="00F171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2E32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6E01"/>
    <w:rsid w:val="001872A0"/>
    <w:rsid w:val="00192627"/>
    <w:rsid w:val="00194747"/>
    <w:rsid w:val="001968FE"/>
    <w:rsid w:val="001A0EF8"/>
    <w:rsid w:val="001A1811"/>
    <w:rsid w:val="001B6CB1"/>
    <w:rsid w:val="001C562C"/>
    <w:rsid w:val="001C7577"/>
    <w:rsid w:val="001F657D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2371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B7EAD"/>
    <w:rsid w:val="003C2647"/>
    <w:rsid w:val="003C62D6"/>
    <w:rsid w:val="003D2399"/>
    <w:rsid w:val="003E1568"/>
    <w:rsid w:val="003F355A"/>
    <w:rsid w:val="003F6A45"/>
    <w:rsid w:val="00432346"/>
    <w:rsid w:val="00447F3A"/>
    <w:rsid w:val="004677AB"/>
    <w:rsid w:val="004759D9"/>
    <w:rsid w:val="00477FEA"/>
    <w:rsid w:val="004815EA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088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B1A4A"/>
    <w:rsid w:val="008B54EC"/>
    <w:rsid w:val="008F6C2A"/>
    <w:rsid w:val="0090198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15B6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E2D94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77E82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064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3665"/>
    <w:rsid w:val="00DF7645"/>
    <w:rsid w:val="00E05060"/>
    <w:rsid w:val="00E10A5B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82634"/>
    <w:rsid w:val="00E90203"/>
    <w:rsid w:val="00EA0405"/>
    <w:rsid w:val="00EA2293"/>
    <w:rsid w:val="00EB505A"/>
    <w:rsid w:val="00EC2ECE"/>
    <w:rsid w:val="00EF4C32"/>
    <w:rsid w:val="00EF69CD"/>
    <w:rsid w:val="00F02126"/>
    <w:rsid w:val="00F07AB3"/>
    <w:rsid w:val="00F171F6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86E76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17016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2019-03-30T12:46:00Z</dcterms:created>
  <dcterms:modified xsi:type="dcterms:W3CDTF">2019-03-30T12:46:00Z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