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D92B8" w14:textId="77777777" w:rsidR="00FE1A25" w:rsidRPr="00FE1A25" w:rsidRDefault="00FE1A25" w:rsidP="00EA286A">
      <w:pPr>
        <w:jc w:val="center"/>
        <w:outlineLvl w:val="0"/>
        <w:rPr>
          <w:rFonts w:ascii="Garamond" w:hAnsi="Garamond"/>
          <w:smallCaps/>
        </w:rPr>
      </w:pPr>
      <w:r w:rsidRPr="00FE1A25">
        <w:rPr>
          <w:rFonts w:ascii="Garamond" w:hAnsi="Garamond"/>
          <w:smallCaps/>
        </w:rPr>
        <w:t>The Product Life Cycle Ontologies and the IOF: Cases, Lessons, Best Practices</w:t>
      </w:r>
    </w:p>
    <w:p w14:paraId="7E529061" w14:textId="77777777" w:rsidR="00FE1A25" w:rsidRPr="00FE1A25" w:rsidRDefault="00FE1A25" w:rsidP="00EA286A">
      <w:pPr>
        <w:jc w:val="center"/>
        <w:outlineLvl w:val="0"/>
        <w:rPr>
          <w:rFonts w:ascii="Garamond" w:hAnsi="Garamond"/>
          <w:lang w:val="da-DK"/>
        </w:rPr>
      </w:pPr>
      <w:r w:rsidRPr="00FE1A25">
        <w:rPr>
          <w:rFonts w:ascii="Garamond" w:hAnsi="Garamond"/>
          <w:lang w:val="da-DK"/>
        </w:rPr>
        <w:t>J. Neil Otte, neilotte@gmail.com</w:t>
      </w:r>
    </w:p>
    <w:p w14:paraId="4079DD0A" w14:textId="77777777" w:rsidR="00FE1A25" w:rsidRDefault="00FE1A25" w:rsidP="00EA286A">
      <w:pPr>
        <w:jc w:val="center"/>
        <w:outlineLvl w:val="0"/>
        <w:rPr>
          <w:rFonts w:ascii="Garamond" w:hAnsi="Garamond"/>
        </w:rPr>
      </w:pPr>
      <w:r w:rsidRPr="00FE1A25">
        <w:rPr>
          <w:rFonts w:ascii="Garamond" w:hAnsi="Garamond"/>
        </w:rPr>
        <w:t>[Handout]</w:t>
      </w:r>
    </w:p>
    <w:p w14:paraId="1E218F98" w14:textId="39CEAC89" w:rsidR="001C729F" w:rsidRDefault="001C729F" w:rsidP="001C729F">
      <w:pPr>
        <w:jc w:val="center"/>
        <w:rPr>
          <w:rFonts w:ascii="Garamond" w:hAnsi="Garamond"/>
        </w:rPr>
      </w:pPr>
    </w:p>
    <w:p w14:paraId="52A7E628" w14:textId="38A2C093" w:rsidR="00EB5E28" w:rsidRDefault="00EB5E28" w:rsidP="00EA286A">
      <w:pPr>
        <w:jc w:val="center"/>
        <w:outlineLvl w:val="0"/>
        <w:rPr>
          <w:rFonts w:ascii="Garamond" w:hAnsi="Garamond"/>
        </w:rPr>
      </w:pPr>
      <w:r>
        <w:rPr>
          <w:rFonts w:ascii="Garamond" w:hAnsi="Garamond"/>
        </w:rPr>
        <w:t>PROPOSAL</w:t>
      </w:r>
    </w:p>
    <w:p w14:paraId="088E6E39" w14:textId="77777777" w:rsidR="001C729F" w:rsidRDefault="001C729F" w:rsidP="00FE1A25">
      <w:pPr>
        <w:rPr>
          <w:rFonts w:ascii="Garamond" w:hAnsi="Garamond"/>
        </w:rPr>
      </w:pPr>
    </w:p>
    <w:p w14:paraId="5B27366E" w14:textId="48BDC6E8" w:rsidR="00C26F9A" w:rsidRDefault="00C26F9A" w:rsidP="00FE1A25">
      <w:pPr>
        <w:rPr>
          <w:rFonts w:ascii="Garamond" w:hAnsi="Garamond"/>
        </w:rPr>
      </w:pPr>
      <w:r>
        <w:rPr>
          <w:rFonts w:ascii="Garamond" w:hAnsi="Garamond"/>
        </w:rPr>
        <w:t xml:space="preserve">The IOF </w:t>
      </w:r>
      <w:r w:rsidR="001C729F">
        <w:rPr>
          <w:rFonts w:ascii="Garamond" w:hAnsi="Garamond"/>
        </w:rPr>
        <w:t>ought to</w:t>
      </w:r>
      <w:r>
        <w:rPr>
          <w:rFonts w:ascii="Garamond" w:hAnsi="Garamond"/>
        </w:rPr>
        <w:t xml:space="preserve"> officially adopt Basic Formal Ontology as an upper-level ontology and the Common Core Ontologies as mid-level ontologies. Then, the IOF should begin with the Product Life Cycle Ontologies, and revise, extend, and replace them as needed. </w:t>
      </w:r>
    </w:p>
    <w:p w14:paraId="0A5FFCDF" w14:textId="77777777" w:rsidR="00C26F9A" w:rsidRDefault="00C26F9A" w:rsidP="00FE1A25">
      <w:pPr>
        <w:rPr>
          <w:rFonts w:ascii="Garamond" w:hAnsi="Garamond"/>
        </w:rPr>
      </w:pPr>
    </w:p>
    <w:p w14:paraId="1F74A180" w14:textId="77777777" w:rsidR="00C26F9A" w:rsidRPr="008B031D" w:rsidRDefault="00C26F9A" w:rsidP="00FE1A25">
      <w:pPr>
        <w:rPr>
          <w:rFonts w:ascii="Garamond" w:hAnsi="Garamond"/>
        </w:rPr>
      </w:pPr>
      <w:r w:rsidRPr="008B031D">
        <w:rPr>
          <w:rFonts w:ascii="Garamond" w:hAnsi="Garamond"/>
        </w:rPr>
        <w:t>Common Core Ontologies (CCO)</w:t>
      </w:r>
      <w:r w:rsidR="008B031D" w:rsidRPr="008B031D">
        <w:rPr>
          <w:rFonts w:ascii="Garamond" w:hAnsi="Garamond"/>
        </w:rPr>
        <w:t xml:space="preserve"> is a suite of mid-level ontologies, including ontologies of:</w:t>
      </w:r>
    </w:p>
    <w:p w14:paraId="58645E9A" w14:textId="77777777" w:rsidR="008B031D" w:rsidRDefault="008B031D" w:rsidP="008B031D">
      <w:pPr>
        <w:pStyle w:val="ListParagraph"/>
        <w:numPr>
          <w:ilvl w:val="0"/>
          <w:numId w:val="2"/>
        </w:numPr>
        <w:rPr>
          <w:rFonts w:ascii="Garamond" w:hAnsi="Garamond"/>
        </w:rPr>
        <w:sectPr w:rsidR="008B031D" w:rsidSect="00CE4692">
          <w:footerReference w:type="even" r:id="rId8"/>
          <w:footerReference w:type="default" r:id="rId9"/>
          <w:pgSz w:w="12240" w:h="15840"/>
          <w:pgMar w:top="1440" w:right="1440" w:bottom="1440" w:left="1440" w:header="720" w:footer="720" w:gutter="0"/>
          <w:cols w:space="720"/>
          <w:docGrid w:linePitch="360"/>
        </w:sectPr>
      </w:pPr>
    </w:p>
    <w:p w14:paraId="1D8E0F24" w14:textId="77777777" w:rsidR="008B031D" w:rsidRPr="001C729F" w:rsidRDefault="008B031D" w:rsidP="008B031D">
      <w:pPr>
        <w:pStyle w:val="ListParagraph"/>
        <w:numPr>
          <w:ilvl w:val="0"/>
          <w:numId w:val="2"/>
        </w:numPr>
        <w:rPr>
          <w:rFonts w:ascii="Garamond" w:hAnsi="Garamond"/>
          <w:sz w:val="20"/>
          <w:szCs w:val="20"/>
        </w:rPr>
      </w:pPr>
      <w:r w:rsidRPr="001C729F">
        <w:rPr>
          <w:rFonts w:ascii="Garamond" w:hAnsi="Garamond"/>
          <w:sz w:val="20"/>
          <w:szCs w:val="20"/>
        </w:rPr>
        <w:t>Agents</w:t>
      </w:r>
    </w:p>
    <w:p w14:paraId="6DE79FB5" w14:textId="77777777" w:rsidR="008B031D" w:rsidRPr="001C729F" w:rsidRDefault="008B031D" w:rsidP="008B031D">
      <w:pPr>
        <w:pStyle w:val="ListParagraph"/>
        <w:numPr>
          <w:ilvl w:val="0"/>
          <w:numId w:val="2"/>
        </w:numPr>
        <w:rPr>
          <w:rFonts w:ascii="Garamond" w:hAnsi="Garamond"/>
          <w:sz w:val="20"/>
          <w:szCs w:val="20"/>
        </w:rPr>
      </w:pPr>
      <w:r w:rsidRPr="001C729F">
        <w:rPr>
          <w:rFonts w:ascii="Garamond" w:hAnsi="Garamond"/>
          <w:sz w:val="20"/>
          <w:szCs w:val="20"/>
        </w:rPr>
        <w:t>Artifacts</w:t>
      </w:r>
    </w:p>
    <w:p w14:paraId="69E6D578" w14:textId="77777777" w:rsidR="008B031D" w:rsidRPr="001C729F" w:rsidRDefault="008B031D" w:rsidP="008B031D">
      <w:pPr>
        <w:pStyle w:val="ListParagraph"/>
        <w:numPr>
          <w:ilvl w:val="0"/>
          <w:numId w:val="2"/>
        </w:numPr>
        <w:rPr>
          <w:rFonts w:ascii="Garamond" w:hAnsi="Garamond"/>
          <w:sz w:val="20"/>
          <w:szCs w:val="20"/>
        </w:rPr>
      </w:pPr>
      <w:r w:rsidRPr="001C729F">
        <w:rPr>
          <w:rFonts w:ascii="Garamond" w:hAnsi="Garamond"/>
          <w:sz w:val="20"/>
          <w:szCs w:val="20"/>
        </w:rPr>
        <w:t>Currency Units</w:t>
      </w:r>
    </w:p>
    <w:p w14:paraId="57983A07" w14:textId="77777777" w:rsidR="008B031D" w:rsidRPr="001C729F" w:rsidRDefault="008B031D" w:rsidP="008B031D">
      <w:pPr>
        <w:pStyle w:val="ListParagraph"/>
        <w:numPr>
          <w:ilvl w:val="0"/>
          <w:numId w:val="2"/>
        </w:numPr>
        <w:rPr>
          <w:rFonts w:ascii="Garamond" w:hAnsi="Garamond"/>
          <w:sz w:val="20"/>
          <w:szCs w:val="20"/>
        </w:rPr>
      </w:pPr>
      <w:r w:rsidRPr="001C729F">
        <w:rPr>
          <w:rFonts w:ascii="Garamond" w:hAnsi="Garamond"/>
          <w:sz w:val="20"/>
          <w:szCs w:val="20"/>
        </w:rPr>
        <w:t>Events</w:t>
      </w:r>
    </w:p>
    <w:p w14:paraId="05F70BCB" w14:textId="77777777" w:rsidR="008B031D" w:rsidRPr="001C729F" w:rsidRDefault="008B031D" w:rsidP="008B031D">
      <w:pPr>
        <w:pStyle w:val="ListParagraph"/>
        <w:numPr>
          <w:ilvl w:val="0"/>
          <w:numId w:val="2"/>
        </w:numPr>
        <w:rPr>
          <w:rFonts w:ascii="Garamond" w:hAnsi="Garamond"/>
          <w:sz w:val="20"/>
          <w:szCs w:val="20"/>
        </w:rPr>
      </w:pPr>
      <w:r w:rsidRPr="001C729F">
        <w:rPr>
          <w:rFonts w:ascii="Garamond" w:hAnsi="Garamond"/>
          <w:sz w:val="20"/>
          <w:szCs w:val="20"/>
        </w:rPr>
        <w:t>Extended Relations</w:t>
      </w:r>
    </w:p>
    <w:p w14:paraId="718C17C6" w14:textId="77777777" w:rsidR="008B031D" w:rsidRPr="001C729F" w:rsidRDefault="008B031D" w:rsidP="008B031D">
      <w:pPr>
        <w:pStyle w:val="ListParagraph"/>
        <w:numPr>
          <w:ilvl w:val="0"/>
          <w:numId w:val="2"/>
        </w:numPr>
        <w:rPr>
          <w:rFonts w:ascii="Garamond" w:hAnsi="Garamond"/>
          <w:sz w:val="20"/>
          <w:szCs w:val="20"/>
        </w:rPr>
      </w:pPr>
      <w:r w:rsidRPr="001C729F">
        <w:rPr>
          <w:rFonts w:ascii="Garamond" w:hAnsi="Garamond"/>
          <w:sz w:val="20"/>
          <w:szCs w:val="20"/>
        </w:rPr>
        <w:t>Geospatial</w:t>
      </w:r>
    </w:p>
    <w:p w14:paraId="26790D81" w14:textId="77777777" w:rsidR="008B031D" w:rsidRPr="001C729F" w:rsidRDefault="008B031D" w:rsidP="008B031D">
      <w:pPr>
        <w:pStyle w:val="ListParagraph"/>
        <w:numPr>
          <w:ilvl w:val="0"/>
          <w:numId w:val="2"/>
        </w:numPr>
        <w:rPr>
          <w:rFonts w:ascii="Garamond" w:hAnsi="Garamond"/>
          <w:sz w:val="20"/>
          <w:szCs w:val="20"/>
        </w:rPr>
      </w:pPr>
      <w:r w:rsidRPr="001C729F">
        <w:rPr>
          <w:rFonts w:ascii="Garamond" w:hAnsi="Garamond"/>
          <w:sz w:val="20"/>
          <w:szCs w:val="20"/>
        </w:rPr>
        <w:t>Information Entities</w:t>
      </w:r>
    </w:p>
    <w:p w14:paraId="0D07CA09" w14:textId="77777777" w:rsidR="008B031D" w:rsidRPr="001C729F" w:rsidRDefault="008B031D" w:rsidP="008B031D">
      <w:pPr>
        <w:pStyle w:val="ListParagraph"/>
        <w:numPr>
          <w:ilvl w:val="0"/>
          <w:numId w:val="2"/>
        </w:numPr>
        <w:rPr>
          <w:rFonts w:ascii="Garamond" w:hAnsi="Garamond"/>
          <w:sz w:val="20"/>
          <w:szCs w:val="20"/>
        </w:rPr>
      </w:pPr>
      <w:r w:rsidRPr="001C729F">
        <w:rPr>
          <w:rFonts w:ascii="Garamond" w:hAnsi="Garamond"/>
          <w:sz w:val="20"/>
          <w:szCs w:val="20"/>
        </w:rPr>
        <w:t>Modality</w:t>
      </w:r>
    </w:p>
    <w:p w14:paraId="7EDE6946" w14:textId="77777777" w:rsidR="008B031D" w:rsidRPr="001C729F" w:rsidRDefault="008B031D" w:rsidP="008B031D">
      <w:pPr>
        <w:pStyle w:val="ListParagraph"/>
        <w:numPr>
          <w:ilvl w:val="0"/>
          <w:numId w:val="2"/>
        </w:numPr>
        <w:rPr>
          <w:rFonts w:ascii="Garamond" w:hAnsi="Garamond"/>
          <w:sz w:val="20"/>
          <w:szCs w:val="20"/>
        </w:rPr>
      </w:pPr>
      <w:r w:rsidRPr="001C729F">
        <w:rPr>
          <w:rFonts w:ascii="Garamond" w:hAnsi="Garamond"/>
          <w:sz w:val="20"/>
          <w:szCs w:val="20"/>
        </w:rPr>
        <w:t>Qualities</w:t>
      </w:r>
    </w:p>
    <w:p w14:paraId="35799080" w14:textId="77777777" w:rsidR="008B031D" w:rsidRPr="001C729F" w:rsidRDefault="008B031D" w:rsidP="008B031D">
      <w:pPr>
        <w:pStyle w:val="ListParagraph"/>
        <w:numPr>
          <w:ilvl w:val="0"/>
          <w:numId w:val="2"/>
        </w:numPr>
        <w:rPr>
          <w:rFonts w:ascii="Garamond" w:hAnsi="Garamond"/>
          <w:sz w:val="20"/>
          <w:szCs w:val="20"/>
        </w:rPr>
      </w:pPr>
      <w:r w:rsidRPr="001C729F">
        <w:rPr>
          <w:rFonts w:ascii="Garamond" w:hAnsi="Garamond"/>
          <w:sz w:val="20"/>
          <w:szCs w:val="20"/>
        </w:rPr>
        <w:t>Time</w:t>
      </w:r>
    </w:p>
    <w:p w14:paraId="13A951E6" w14:textId="77777777" w:rsidR="008B031D" w:rsidRPr="001C729F" w:rsidRDefault="008B031D" w:rsidP="001C729F">
      <w:pPr>
        <w:pStyle w:val="ListParagraph"/>
        <w:numPr>
          <w:ilvl w:val="0"/>
          <w:numId w:val="2"/>
        </w:numPr>
        <w:rPr>
          <w:rFonts w:ascii="Garamond" w:hAnsi="Garamond"/>
          <w:sz w:val="20"/>
          <w:szCs w:val="20"/>
        </w:rPr>
        <w:sectPr w:rsidR="008B031D" w:rsidRPr="001C729F" w:rsidSect="008B031D">
          <w:type w:val="continuous"/>
          <w:pgSz w:w="12240" w:h="15840"/>
          <w:pgMar w:top="1440" w:right="1440" w:bottom="1440" w:left="1440" w:header="720" w:footer="720" w:gutter="0"/>
          <w:cols w:num="2" w:space="720"/>
          <w:docGrid w:linePitch="360"/>
        </w:sectPr>
      </w:pPr>
      <w:r w:rsidRPr="001C729F">
        <w:rPr>
          <w:rFonts w:ascii="Garamond" w:hAnsi="Garamond"/>
          <w:sz w:val="20"/>
          <w:szCs w:val="20"/>
        </w:rPr>
        <w:t>Units of Measu</w:t>
      </w:r>
      <w:r w:rsidR="001C729F" w:rsidRPr="001C729F">
        <w:rPr>
          <w:rFonts w:ascii="Garamond" w:hAnsi="Garamond"/>
          <w:sz w:val="20"/>
          <w:szCs w:val="20"/>
        </w:rPr>
        <w:t>re</w:t>
      </w:r>
    </w:p>
    <w:p w14:paraId="61B79E66" w14:textId="77777777" w:rsidR="008B031D" w:rsidRPr="008B031D" w:rsidRDefault="008B031D" w:rsidP="00FE1A25">
      <w:pPr>
        <w:rPr>
          <w:rFonts w:ascii="Garamond" w:hAnsi="Garamond"/>
        </w:rPr>
      </w:pPr>
    </w:p>
    <w:p w14:paraId="5C449196" w14:textId="7093CE25" w:rsidR="00C26F9A" w:rsidRPr="008B031D" w:rsidRDefault="008B031D" w:rsidP="00930116">
      <w:pPr>
        <w:ind w:left="270"/>
        <w:rPr>
          <w:rFonts w:ascii="Garamond" w:hAnsi="Garamond"/>
        </w:rPr>
      </w:pPr>
      <w:r w:rsidRPr="008B031D">
        <w:rPr>
          <w:rFonts w:ascii="Garamond" w:hAnsi="Garamond"/>
        </w:rPr>
        <w:t xml:space="preserve">BFO-conformant, </w:t>
      </w:r>
      <w:r>
        <w:rPr>
          <w:rFonts w:ascii="Garamond" w:hAnsi="Garamond"/>
        </w:rPr>
        <w:t xml:space="preserve">good documentation, </w:t>
      </w:r>
      <w:r w:rsidRPr="008B031D">
        <w:rPr>
          <w:rFonts w:ascii="Garamond" w:hAnsi="Garamond"/>
        </w:rPr>
        <w:t xml:space="preserve">widely-used, </w:t>
      </w:r>
      <w:r>
        <w:rPr>
          <w:rFonts w:ascii="Garamond" w:hAnsi="Garamond"/>
        </w:rPr>
        <w:t>more polished</w:t>
      </w:r>
      <w:r w:rsidRPr="008B031D">
        <w:rPr>
          <w:rFonts w:ascii="Garamond" w:hAnsi="Garamond"/>
        </w:rPr>
        <w:t xml:space="preserve"> than many OBO Foundry ontologies,</w:t>
      </w:r>
      <w:r>
        <w:rPr>
          <w:rFonts w:ascii="Garamond" w:hAnsi="Garamond"/>
        </w:rPr>
        <w:t xml:space="preserve"> and relevant to the domain of industry.</w:t>
      </w:r>
      <w:r w:rsidRPr="008B031D">
        <w:rPr>
          <w:rFonts w:ascii="Garamond" w:hAnsi="Garamond"/>
        </w:rPr>
        <w:t xml:space="preserve"> </w:t>
      </w:r>
      <w:r w:rsidR="00C26F9A" w:rsidRPr="008B031D">
        <w:rPr>
          <w:rFonts w:ascii="Garamond" w:hAnsi="Garamond"/>
        </w:rPr>
        <w:t xml:space="preserve"> </w:t>
      </w:r>
    </w:p>
    <w:p w14:paraId="747814FD" w14:textId="77777777" w:rsidR="00C26F9A" w:rsidRPr="008B031D" w:rsidRDefault="00C26F9A" w:rsidP="00FE1A25">
      <w:pPr>
        <w:rPr>
          <w:rFonts w:ascii="Garamond" w:hAnsi="Garamond"/>
        </w:rPr>
      </w:pPr>
    </w:p>
    <w:p w14:paraId="3DCA2798" w14:textId="77777777" w:rsidR="00FE1A25" w:rsidRDefault="008B031D" w:rsidP="00FE1A25">
      <w:pPr>
        <w:rPr>
          <w:rFonts w:ascii="Garamond" w:hAnsi="Garamond"/>
        </w:rPr>
      </w:pPr>
      <w:r>
        <w:rPr>
          <w:rFonts w:ascii="Garamond" w:hAnsi="Garamond"/>
        </w:rPr>
        <w:t>The Product Life Cycle (PLC) Ontologies is a suite of mid-level ontologies, including ontologies of:</w:t>
      </w:r>
    </w:p>
    <w:p w14:paraId="0F5DCB76" w14:textId="77777777" w:rsidR="00AB29AB" w:rsidRDefault="00AB29AB" w:rsidP="00AB29AB">
      <w:pPr>
        <w:pStyle w:val="ListParagraph"/>
        <w:numPr>
          <w:ilvl w:val="0"/>
          <w:numId w:val="3"/>
        </w:numPr>
        <w:rPr>
          <w:rFonts w:ascii="Garamond" w:hAnsi="Garamond"/>
        </w:rPr>
        <w:sectPr w:rsidR="00AB29AB" w:rsidSect="008B031D">
          <w:type w:val="continuous"/>
          <w:pgSz w:w="12240" w:h="15840"/>
          <w:pgMar w:top="1440" w:right="1440" w:bottom="1440" w:left="1440" w:header="720" w:footer="720" w:gutter="0"/>
          <w:cols w:space="720"/>
          <w:docGrid w:linePitch="360"/>
        </w:sectPr>
      </w:pPr>
    </w:p>
    <w:p w14:paraId="1C532E28" w14:textId="77777777" w:rsidR="008B031D" w:rsidRPr="001C729F" w:rsidRDefault="008B031D" w:rsidP="00AB29AB">
      <w:pPr>
        <w:pStyle w:val="ListParagraph"/>
        <w:numPr>
          <w:ilvl w:val="0"/>
          <w:numId w:val="3"/>
        </w:numPr>
        <w:rPr>
          <w:rFonts w:ascii="Garamond" w:hAnsi="Garamond"/>
          <w:sz w:val="20"/>
          <w:szCs w:val="20"/>
        </w:rPr>
      </w:pPr>
      <w:r w:rsidRPr="001C729F">
        <w:rPr>
          <w:rFonts w:ascii="Garamond" w:hAnsi="Garamond"/>
          <w:sz w:val="20"/>
          <w:szCs w:val="20"/>
        </w:rPr>
        <w:t>Commercial Entities</w:t>
      </w:r>
    </w:p>
    <w:p w14:paraId="3E1E8887" w14:textId="77777777" w:rsidR="008B031D" w:rsidRPr="001C729F" w:rsidRDefault="008B031D" w:rsidP="00AB29AB">
      <w:pPr>
        <w:pStyle w:val="ListParagraph"/>
        <w:numPr>
          <w:ilvl w:val="0"/>
          <w:numId w:val="3"/>
        </w:numPr>
        <w:rPr>
          <w:rFonts w:ascii="Garamond" w:hAnsi="Garamond"/>
          <w:sz w:val="20"/>
          <w:szCs w:val="20"/>
        </w:rPr>
      </w:pPr>
      <w:r w:rsidRPr="001C729F">
        <w:rPr>
          <w:rFonts w:ascii="Garamond" w:hAnsi="Garamond"/>
          <w:sz w:val="20"/>
          <w:szCs w:val="20"/>
        </w:rPr>
        <w:t>Design</w:t>
      </w:r>
    </w:p>
    <w:p w14:paraId="34686E46" w14:textId="77777777" w:rsidR="008B031D" w:rsidRPr="001C729F" w:rsidRDefault="008B031D" w:rsidP="00AB29AB">
      <w:pPr>
        <w:pStyle w:val="ListParagraph"/>
        <w:numPr>
          <w:ilvl w:val="0"/>
          <w:numId w:val="3"/>
        </w:numPr>
        <w:rPr>
          <w:rFonts w:ascii="Garamond" w:hAnsi="Garamond"/>
          <w:sz w:val="20"/>
          <w:szCs w:val="20"/>
        </w:rPr>
      </w:pPr>
      <w:r w:rsidRPr="001C729F">
        <w:rPr>
          <w:rFonts w:ascii="Garamond" w:hAnsi="Garamond"/>
          <w:sz w:val="20"/>
          <w:szCs w:val="20"/>
        </w:rPr>
        <w:t>Manufacturing Processes</w:t>
      </w:r>
    </w:p>
    <w:p w14:paraId="255B34FE" w14:textId="77777777" w:rsidR="008B031D" w:rsidRPr="001C729F" w:rsidRDefault="008B031D" w:rsidP="00AB29AB">
      <w:pPr>
        <w:pStyle w:val="ListParagraph"/>
        <w:numPr>
          <w:ilvl w:val="0"/>
          <w:numId w:val="3"/>
        </w:numPr>
        <w:rPr>
          <w:rFonts w:ascii="Garamond" w:hAnsi="Garamond"/>
          <w:sz w:val="20"/>
          <w:szCs w:val="20"/>
        </w:rPr>
      </w:pPr>
      <w:r w:rsidRPr="001C729F">
        <w:rPr>
          <w:rFonts w:ascii="Garamond" w:hAnsi="Garamond"/>
          <w:sz w:val="20"/>
          <w:szCs w:val="20"/>
        </w:rPr>
        <w:t>Maintenance</w:t>
      </w:r>
    </w:p>
    <w:p w14:paraId="370CCBA4" w14:textId="77777777" w:rsidR="008B031D" w:rsidRPr="001C729F" w:rsidRDefault="00AB29AB" w:rsidP="00AB29AB">
      <w:pPr>
        <w:pStyle w:val="ListParagraph"/>
        <w:numPr>
          <w:ilvl w:val="0"/>
          <w:numId w:val="3"/>
        </w:numPr>
        <w:rPr>
          <w:rFonts w:ascii="Garamond" w:hAnsi="Garamond"/>
          <w:sz w:val="20"/>
          <w:szCs w:val="20"/>
        </w:rPr>
      </w:pPr>
      <w:r w:rsidRPr="001C729F">
        <w:rPr>
          <w:rFonts w:ascii="Garamond" w:hAnsi="Garamond"/>
          <w:sz w:val="20"/>
          <w:szCs w:val="20"/>
        </w:rPr>
        <w:t>Product Life Cycle</w:t>
      </w:r>
    </w:p>
    <w:p w14:paraId="00ED247B" w14:textId="77777777" w:rsidR="00AB29AB" w:rsidRPr="001C729F" w:rsidRDefault="00AB29AB" w:rsidP="00AB29AB">
      <w:pPr>
        <w:pStyle w:val="ListParagraph"/>
        <w:numPr>
          <w:ilvl w:val="0"/>
          <w:numId w:val="3"/>
        </w:numPr>
        <w:rPr>
          <w:rFonts w:ascii="Garamond" w:hAnsi="Garamond"/>
          <w:sz w:val="20"/>
          <w:szCs w:val="20"/>
        </w:rPr>
      </w:pPr>
      <w:r w:rsidRPr="001C729F">
        <w:rPr>
          <w:rFonts w:ascii="Garamond" w:hAnsi="Garamond"/>
          <w:sz w:val="20"/>
          <w:szCs w:val="20"/>
        </w:rPr>
        <w:t>Testing Processes</w:t>
      </w:r>
    </w:p>
    <w:p w14:paraId="249D2441" w14:textId="77777777" w:rsidR="00AB29AB" w:rsidRPr="001C729F" w:rsidRDefault="00AB29AB" w:rsidP="00AB29AB">
      <w:pPr>
        <w:pStyle w:val="ListParagraph"/>
        <w:numPr>
          <w:ilvl w:val="0"/>
          <w:numId w:val="3"/>
        </w:numPr>
        <w:rPr>
          <w:rFonts w:ascii="Garamond" w:hAnsi="Garamond"/>
          <w:sz w:val="20"/>
          <w:szCs w:val="20"/>
        </w:rPr>
      </w:pPr>
      <w:r w:rsidRPr="001C729F">
        <w:rPr>
          <w:rFonts w:ascii="Garamond" w:hAnsi="Garamond"/>
          <w:sz w:val="20"/>
          <w:szCs w:val="20"/>
        </w:rPr>
        <w:t>Machines and Tools</w:t>
      </w:r>
    </w:p>
    <w:p w14:paraId="3B84937A" w14:textId="77777777" w:rsidR="00AB29AB" w:rsidRDefault="00AB29AB" w:rsidP="00FE1A25">
      <w:pPr>
        <w:rPr>
          <w:rFonts w:ascii="Garamond" w:hAnsi="Garamond"/>
        </w:rPr>
        <w:sectPr w:rsidR="00AB29AB" w:rsidSect="00AB29AB">
          <w:type w:val="continuous"/>
          <w:pgSz w:w="12240" w:h="15840"/>
          <w:pgMar w:top="1440" w:right="1440" w:bottom="1440" w:left="1440" w:header="720" w:footer="720" w:gutter="0"/>
          <w:cols w:num="2" w:space="720"/>
          <w:docGrid w:linePitch="360"/>
        </w:sectPr>
      </w:pPr>
    </w:p>
    <w:p w14:paraId="681A87B2" w14:textId="77777777" w:rsidR="00FE1A25" w:rsidRPr="008B031D" w:rsidRDefault="00FE1A25" w:rsidP="00FE1A25">
      <w:pPr>
        <w:rPr>
          <w:rFonts w:ascii="Garamond" w:hAnsi="Garamond"/>
        </w:rPr>
      </w:pPr>
    </w:p>
    <w:p w14:paraId="5CD4AE0D" w14:textId="77777777" w:rsidR="00AB29AB" w:rsidRPr="00AB29AB" w:rsidRDefault="00AB29AB" w:rsidP="00930116">
      <w:pPr>
        <w:ind w:left="270"/>
        <w:rPr>
          <w:rFonts w:ascii="Garamond" w:hAnsi="Garamond"/>
        </w:rPr>
      </w:pPr>
      <w:r w:rsidRPr="00AB29AB">
        <w:rPr>
          <w:rFonts w:ascii="Garamond" w:hAnsi="Garamond"/>
          <w:i/>
          <w:iCs/>
        </w:rPr>
        <w:t>Pros</w:t>
      </w:r>
      <w:r w:rsidRPr="00AB29AB">
        <w:rPr>
          <w:rFonts w:ascii="Garamond" w:hAnsi="Garamond"/>
        </w:rPr>
        <w:t xml:space="preserve">: BFO and CCO-conformant, </w:t>
      </w:r>
      <w:r w:rsidR="00930116">
        <w:rPr>
          <w:rFonts w:ascii="Garamond" w:hAnsi="Garamond"/>
        </w:rPr>
        <w:t xml:space="preserve">and </w:t>
      </w:r>
      <w:r w:rsidRPr="00AB29AB">
        <w:rPr>
          <w:rFonts w:ascii="Garamond" w:hAnsi="Garamond"/>
        </w:rPr>
        <w:t>appr</w:t>
      </w:r>
      <w:r>
        <w:rPr>
          <w:rFonts w:ascii="Garamond" w:hAnsi="Garamond"/>
        </w:rPr>
        <w:t>opriate to the scope of the IOF</w:t>
      </w:r>
      <w:r w:rsidR="00930116">
        <w:rPr>
          <w:rFonts w:ascii="Garamond" w:hAnsi="Garamond"/>
        </w:rPr>
        <w:t xml:space="preserve">. Presently, there is work underway to add to it an ontology for material properties. </w:t>
      </w:r>
      <w:r>
        <w:rPr>
          <w:rFonts w:ascii="Garamond" w:hAnsi="Garamond"/>
        </w:rPr>
        <w:t xml:space="preserve"> </w:t>
      </w:r>
      <w:r w:rsidRPr="00AB29AB">
        <w:rPr>
          <w:rFonts w:ascii="Garamond" w:hAnsi="Garamond"/>
        </w:rPr>
        <w:t xml:space="preserve">  </w:t>
      </w:r>
    </w:p>
    <w:p w14:paraId="66260243" w14:textId="5199EFDB" w:rsidR="00C26F9A" w:rsidRPr="00930116" w:rsidRDefault="00AB29AB" w:rsidP="00930116">
      <w:pPr>
        <w:ind w:left="270"/>
        <w:rPr>
          <w:rFonts w:ascii="Garamond" w:hAnsi="Garamond"/>
        </w:rPr>
      </w:pPr>
      <w:r w:rsidRPr="00930116">
        <w:rPr>
          <w:rFonts w:ascii="Garamond" w:hAnsi="Garamond"/>
          <w:i/>
          <w:iCs/>
        </w:rPr>
        <w:t>Cons</w:t>
      </w:r>
      <w:r w:rsidRPr="00930116">
        <w:rPr>
          <w:rFonts w:ascii="Garamond" w:hAnsi="Garamond"/>
        </w:rPr>
        <w:t xml:space="preserve">: </w:t>
      </w:r>
      <w:r w:rsidR="00EB5E28">
        <w:rPr>
          <w:rFonts w:ascii="Garamond" w:hAnsi="Garamond"/>
        </w:rPr>
        <w:t>Still a work in progress</w:t>
      </w:r>
      <w:r w:rsidR="00930116">
        <w:rPr>
          <w:rFonts w:ascii="Garamond" w:hAnsi="Garamond"/>
        </w:rPr>
        <w:t xml:space="preserve"> </w:t>
      </w:r>
    </w:p>
    <w:p w14:paraId="5B31A080" w14:textId="77777777" w:rsidR="00AB29AB" w:rsidRPr="00930116" w:rsidRDefault="00AB29AB" w:rsidP="00FE1A25">
      <w:pPr>
        <w:rPr>
          <w:rFonts w:ascii="Garamond" w:hAnsi="Garamond"/>
        </w:rPr>
      </w:pPr>
    </w:p>
    <w:p w14:paraId="19E73860" w14:textId="199374F6" w:rsidR="00005C29" w:rsidRDefault="00EB5E28" w:rsidP="00EA286A">
      <w:pPr>
        <w:jc w:val="center"/>
        <w:outlineLvl w:val="0"/>
        <w:rPr>
          <w:rFonts w:ascii="Garamond" w:hAnsi="Garamond"/>
        </w:rPr>
      </w:pPr>
      <w:r>
        <w:rPr>
          <w:rFonts w:ascii="Garamond" w:hAnsi="Garamond"/>
        </w:rPr>
        <w:t>CONSIDERATIONS IN FAVOR OF THE ABOVE</w:t>
      </w:r>
    </w:p>
    <w:p w14:paraId="5E6C0758" w14:textId="77777777" w:rsidR="00EB5E28" w:rsidRDefault="00EB5E28" w:rsidP="00EA286A">
      <w:pPr>
        <w:jc w:val="center"/>
        <w:rPr>
          <w:rFonts w:ascii="Garamond" w:hAnsi="Garamond"/>
        </w:rPr>
      </w:pPr>
    </w:p>
    <w:p w14:paraId="566A879A" w14:textId="77777777" w:rsidR="00005C29" w:rsidRPr="001C729F" w:rsidRDefault="00005C29" w:rsidP="001C729F">
      <w:pPr>
        <w:pStyle w:val="ListParagraph"/>
        <w:numPr>
          <w:ilvl w:val="0"/>
          <w:numId w:val="4"/>
        </w:numPr>
        <w:rPr>
          <w:rFonts w:ascii="Garamond" w:hAnsi="Garamond"/>
        </w:rPr>
      </w:pPr>
      <w:r w:rsidRPr="001C729F">
        <w:rPr>
          <w:rFonts w:ascii="Garamond" w:hAnsi="Garamond"/>
        </w:rPr>
        <w:t>BFO and the CCO are widely used, well-documented, and highly successful ontologies.</w:t>
      </w:r>
    </w:p>
    <w:p w14:paraId="4FE0F8C9" w14:textId="77777777" w:rsidR="00005C29" w:rsidRPr="001C729F" w:rsidRDefault="00005C29" w:rsidP="001C729F">
      <w:pPr>
        <w:pStyle w:val="ListParagraph"/>
        <w:numPr>
          <w:ilvl w:val="0"/>
          <w:numId w:val="4"/>
        </w:numPr>
        <w:rPr>
          <w:rFonts w:ascii="Garamond" w:hAnsi="Garamond"/>
        </w:rPr>
      </w:pPr>
      <w:r w:rsidRPr="001C729F">
        <w:rPr>
          <w:rFonts w:ascii="Garamond" w:hAnsi="Garamond"/>
        </w:rPr>
        <w:t xml:space="preserve">Adopting BFO will bring in the resources of the National Center for Ontological Research. </w:t>
      </w:r>
    </w:p>
    <w:p w14:paraId="04B508B2" w14:textId="77777777" w:rsidR="00005C29" w:rsidRPr="001C729F" w:rsidRDefault="001C729F" w:rsidP="001C729F">
      <w:pPr>
        <w:pStyle w:val="ListParagraph"/>
        <w:numPr>
          <w:ilvl w:val="0"/>
          <w:numId w:val="4"/>
        </w:numPr>
        <w:rPr>
          <w:rFonts w:ascii="Garamond" w:hAnsi="Garamond"/>
        </w:rPr>
      </w:pPr>
      <w:r w:rsidRPr="001C729F">
        <w:rPr>
          <w:rFonts w:ascii="Garamond" w:hAnsi="Garamond"/>
        </w:rPr>
        <w:t xml:space="preserve">The PLC ontologies will provide users with clear examples of how their ontologies may be re-factored to be conformant with BFO.  </w:t>
      </w:r>
    </w:p>
    <w:p w14:paraId="301B47B1" w14:textId="7162951B" w:rsidR="00005C29" w:rsidRDefault="00005C29" w:rsidP="001C729F">
      <w:pPr>
        <w:pStyle w:val="ListParagraph"/>
        <w:numPr>
          <w:ilvl w:val="0"/>
          <w:numId w:val="4"/>
        </w:numPr>
        <w:rPr>
          <w:rFonts w:ascii="Garamond" w:hAnsi="Garamond"/>
        </w:rPr>
      </w:pPr>
      <w:r w:rsidRPr="001C729F">
        <w:rPr>
          <w:rFonts w:ascii="Garamond" w:hAnsi="Garamond"/>
        </w:rPr>
        <w:t xml:space="preserve">The </w:t>
      </w:r>
      <w:r w:rsidR="001C729F" w:rsidRPr="001C729F">
        <w:rPr>
          <w:rFonts w:ascii="Garamond" w:hAnsi="Garamond"/>
        </w:rPr>
        <w:t>governance of the PLC ontologies is available starting June 1, 2018.</w:t>
      </w:r>
    </w:p>
    <w:p w14:paraId="6DFF1A5A" w14:textId="0BFA53E7" w:rsidR="00EB5E28" w:rsidRDefault="00EB5E28" w:rsidP="001C729F">
      <w:pPr>
        <w:pStyle w:val="ListParagraph"/>
        <w:numPr>
          <w:ilvl w:val="0"/>
          <w:numId w:val="4"/>
        </w:numPr>
        <w:rPr>
          <w:rFonts w:ascii="Garamond" w:hAnsi="Garamond"/>
        </w:rPr>
      </w:pPr>
      <w:r>
        <w:rPr>
          <w:rFonts w:ascii="Garamond" w:hAnsi="Garamond"/>
        </w:rPr>
        <w:t>BFO has been approved as ISO/IEC standard 21838-2</w:t>
      </w:r>
    </w:p>
    <w:p w14:paraId="1D7174F3" w14:textId="6624A00D" w:rsidR="00EB5E28" w:rsidRPr="001C729F" w:rsidRDefault="00EB5E28" w:rsidP="001C729F">
      <w:pPr>
        <w:pStyle w:val="ListParagraph"/>
        <w:numPr>
          <w:ilvl w:val="0"/>
          <w:numId w:val="4"/>
        </w:numPr>
        <w:rPr>
          <w:rFonts w:ascii="Garamond" w:hAnsi="Garamond"/>
        </w:rPr>
      </w:pPr>
      <w:r>
        <w:rPr>
          <w:rFonts w:ascii="Garamond" w:hAnsi="Garamond"/>
        </w:rPr>
        <w:t>BFO is available in both OWL and CL (CLIF and FOL) formats</w:t>
      </w:r>
    </w:p>
    <w:p w14:paraId="219A1F87" w14:textId="77777777" w:rsidR="00005C29" w:rsidRPr="00930116" w:rsidRDefault="00005C29" w:rsidP="00FE1A25">
      <w:pPr>
        <w:rPr>
          <w:rFonts w:ascii="Garamond" w:hAnsi="Garamond"/>
        </w:rPr>
      </w:pPr>
    </w:p>
    <w:p w14:paraId="30B849CC" w14:textId="77777777" w:rsidR="00E26B8D" w:rsidRDefault="00352CEE" w:rsidP="00EA286A">
      <w:pPr>
        <w:outlineLvl w:val="0"/>
        <w:rPr>
          <w:rFonts w:ascii="Garamond" w:hAnsi="Garamond"/>
        </w:rPr>
      </w:pPr>
      <w:r>
        <w:rPr>
          <w:rFonts w:ascii="Garamond" w:hAnsi="Garamond"/>
        </w:rPr>
        <w:t>Resources</w:t>
      </w:r>
    </w:p>
    <w:p w14:paraId="28F3E317" w14:textId="77777777" w:rsidR="00352CEE" w:rsidRDefault="00352CEE" w:rsidP="00352CEE">
      <w:pPr>
        <w:rPr>
          <w:rFonts w:ascii="Garamond" w:hAnsi="Garamond"/>
        </w:rPr>
      </w:pPr>
    </w:p>
    <w:p w14:paraId="2F5BA3E0" w14:textId="5AB6A846" w:rsidR="00352CEE" w:rsidRPr="00EA286A" w:rsidRDefault="00352CEE" w:rsidP="00352CEE">
      <w:pPr>
        <w:rPr>
          <w:rFonts w:ascii="Garamond" w:hAnsi="Garamond"/>
          <w:sz w:val="20"/>
          <w:szCs w:val="20"/>
        </w:rPr>
      </w:pPr>
      <w:r w:rsidRPr="00EA286A">
        <w:rPr>
          <w:rFonts w:ascii="Garamond" w:hAnsi="Garamond"/>
          <w:sz w:val="20"/>
          <w:szCs w:val="20"/>
        </w:rPr>
        <w:t xml:space="preserve">All ontologies discussed here, along with these slides and this handout, </w:t>
      </w:r>
      <w:r w:rsidR="00EB5E28" w:rsidRPr="00EA286A">
        <w:rPr>
          <w:rFonts w:ascii="Garamond" w:hAnsi="Garamond"/>
          <w:sz w:val="20"/>
          <w:szCs w:val="20"/>
        </w:rPr>
        <w:t xml:space="preserve">are </w:t>
      </w:r>
      <w:r w:rsidRPr="00EA286A">
        <w:rPr>
          <w:rFonts w:ascii="Garamond" w:hAnsi="Garamond"/>
          <w:sz w:val="20"/>
          <w:szCs w:val="20"/>
        </w:rPr>
        <w:t xml:space="preserve">available at: </w:t>
      </w:r>
      <w:hyperlink r:id="rId10" w:history="1">
        <w:r w:rsidRPr="00EA286A">
          <w:rPr>
            <w:rStyle w:val="Hyperlink"/>
            <w:rFonts w:ascii="Garamond" w:hAnsi="Garamond"/>
            <w:sz w:val="20"/>
            <w:szCs w:val="20"/>
          </w:rPr>
          <w:t>https://github.com/NCOR-US/CHAMP</w:t>
        </w:r>
      </w:hyperlink>
    </w:p>
    <w:p w14:paraId="69AA9CE4" w14:textId="77777777" w:rsidR="00352CEE" w:rsidRPr="00EA286A" w:rsidRDefault="00352CEE" w:rsidP="00352CEE">
      <w:pPr>
        <w:rPr>
          <w:rFonts w:ascii="Garamond" w:hAnsi="Garamond"/>
          <w:sz w:val="20"/>
          <w:szCs w:val="20"/>
        </w:rPr>
      </w:pPr>
    </w:p>
    <w:p w14:paraId="5151D2D5" w14:textId="77777777" w:rsidR="00352CEE" w:rsidRPr="00EA286A" w:rsidRDefault="00352CEE" w:rsidP="00352CEE">
      <w:pPr>
        <w:rPr>
          <w:rFonts w:ascii="Garamond" w:hAnsi="Garamond"/>
          <w:sz w:val="20"/>
          <w:szCs w:val="20"/>
        </w:rPr>
      </w:pPr>
      <w:r w:rsidRPr="00EA286A">
        <w:rPr>
          <w:rFonts w:ascii="Garamond" w:hAnsi="Garamond"/>
          <w:sz w:val="20"/>
          <w:szCs w:val="20"/>
        </w:rPr>
        <w:t>The National Center for Ontological Research website and wiki are here:</w:t>
      </w:r>
    </w:p>
    <w:p w14:paraId="4B1226D2" w14:textId="77777777" w:rsidR="00352CEE" w:rsidRPr="00EA286A" w:rsidRDefault="000E61D9" w:rsidP="00352CEE">
      <w:pPr>
        <w:rPr>
          <w:rFonts w:ascii="Garamond" w:hAnsi="Garamond"/>
          <w:sz w:val="20"/>
          <w:szCs w:val="20"/>
        </w:rPr>
      </w:pPr>
      <w:hyperlink r:id="rId11" w:history="1">
        <w:r w:rsidR="00352CEE" w:rsidRPr="00EA286A">
          <w:rPr>
            <w:rStyle w:val="Hyperlink"/>
            <w:rFonts w:ascii="Garamond" w:hAnsi="Garamond"/>
            <w:sz w:val="20"/>
            <w:szCs w:val="20"/>
          </w:rPr>
          <w:t>https://ubwp.buffalo.edu/ncor/</w:t>
        </w:r>
      </w:hyperlink>
      <w:r w:rsidR="00352CEE" w:rsidRPr="00EA286A">
        <w:rPr>
          <w:rFonts w:ascii="Garamond" w:hAnsi="Garamond"/>
          <w:sz w:val="20"/>
          <w:szCs w:val="20"/>
        </w:rPr>
        <w:t xml:space="preserve"> and </w:t>
      </w:r>
      <w:hyperlink r:id="rId12" w:history="1">
        <w:r w:rsidR="00352CEE" w:rsidRPr="00EA286A">
          <w:rPr>
            <w:rStyle w:val="Hyperlink"/>
            <w:rFonts w:ascii="Garamond" w:hAnsi="Garamond"/>
            <w:sz w:val="20"/>
            <w:szCs w:val="20"/>
          </w:rPr>
          <w:t>http://ncorwiki.buffalo.edu/index.php/Main_Page</w:t>
        </w:r>
      </w:hyperlink>
    </w:p>
    <w:p w14:paraId="2379F791" w14:textId="77777777" w:rsidR="00AB29AB" w:rsidRDefault="001C729F" w:rsidP="00EA286A">
      <w:pPr>
        <w:jc w:val="center"/>
        <w:outlineLvl w:val="0"/>
        <w:rPr>
          <w:rFonts w:ascii="Garamond" w:hAnsi="Garamond"/>
        </w:rPr>
      </w:pPr>
      <w:r>
        <w:rPr>
          <w:rFonts w:ascii="Garamond" w:hAnsi="Garamond"/>
        </w:rPr>
        <w:lastRenderedPageBreak/>
        <w:t>Side Two: Cases, Lessons, and Best Practices</w:t>
      </w:r>
    </w:p>
    <w:p w14:paraId="191B44A7" w14:textId="77777777" w:rsidR="001C729F" w:rsidRDefault="001C729F">
      <w:pPr>
        <w:rPr>
          <w:rFonts w:ascii="Garamond" w:hAnsi="Garamond"/>
        </w:rPr>
      </w:pPr>
    </w:p>
    <w:p w14:paraId="46257F61" w14:textId="77777777" w:rsidR="001C729F" w:rsidRDefault="00FB7241" w:rsidP="001C729F">
      <w:pPr>
        <w:pStyle w:val="ListParagraph"/>
        <w:numPr>
          <w:ilvl w:val="0"/>
          <w:numId w:val="5"/>
        </w:numPr>
        <w:rPr>
          <w:rFonts w:ascii="Garamond" w:hAnsi="Garamond"/>
        </w:rPr>
      </w:pPr>
      <w:r>
        <w:rPr>
          <w:rFonts w:ascii="Garamond" w:hAnsi="Garamond"/>
        </w:rPr>
        <w:t xml:space="preserve">The </w:t>
      </w:r>
      <w:r w:rsidR="001C729F" w:rsidRPr="001C729F">
        <w:rPr>
          <w:rFonts w:ascii="Garamond" w:hAnsi="Garamond"/>
        </w:rPr>
        <w:t xml:space="preserve">True Path Rule </w:t>
      </w:r>
      <w:r>
        <w:rPr>
          <w:rFonts w:ascii="Garamond" w:hAnsi="Garamond"/>
        </w:rPr>
        <w:t>applies to asserted classes only. Use defined classes for convenience and to aid in conforming to the rule.</w:t>
      </w:r>
    </w:p>
    <w:p w14:paraId="2794755F" w14:textId="77777777" w:rsidR="00FB7241" w:rsidRDefault="00FB7241" w:rsidP="00FB7241">
      <w:pPr>
        <w:ind w:left="720"/>
        <w:rPr>
          <w:rFonts w:ascii="Garamond" w:hAnsi="Garamond"/>
        </w:rPr>
      </w:pPr>
    </w:p>
    <w:p w14:paraId="05677BC8" w14:textId="77777777" w:rsidR="00FB7241" w:rsidRPr="00FB7241" w:rsidRDefault="00FB7241" w:rsidP="00EA286A">
      <w:pPr>
        <w:ind w:left="720"/>
        <w:outlineLvl w:val="0"/>
        <w:rPr>
          <w:rFonts w:ascii="Garamond" w:hAnsi="Garamond"/>
        </w:rPr>
      </w:pPr>
      <w:r>
        <w:rPr>
          <w:rFonts w:ascii="Garamond" w:hAnsi="Garamond"/>
        </w:rPr>
        <w:t>Ex. Product = ‘Artifact and bearer of some Product Role.’</w:t>
      </w:r>
    </w:p>
    <w:p w14:paraId="6E0458F5" w14:textId="77777777" w:rsidR="00FB7241" w:rsidRDefault="00FB7241" w:rsidP="00FB7241">
      <w:pPr>
        <w:rPr>
          <w:rFonts w:ascii="Garamond" w:hAnsi="Garamond"/>
        </w:rPr>
      </w:pPr>
      <w:bookmarkStart w:id="0" w:name="_GoBack"/>
      <w:bookmarkEnd w:id="0"/>
    </w:p>
    <w:p w14:paraId="37D59CC6" w14:textId="77777777" w:rsidR="00FB7241" w:rsidRDefault="00FB7241" w:rsidP="00FB7241">
      <w:pPr>
        <w:pStyle w:val="ListParagraph"/>
        <w:numPr>
          <w:ilvl w:val="0"/>
          <w:numId w:val="5"/>
        </w:numPr>
        <w:rPr>
          <w:rFonts w:ascii="Garamond" w:hAnsi="Garamond"/>
        </w:rPr>
      </w:pPr>
      <w:r>
        <w:rPr>
          <w:rFonts w:ascii="Garamond" w:hAnsi="Garamond"/>
        </w:rPr>
        <w:t xml:space="preserve">When building reference ontologies, avoid creating many relations that double the semantic work being done by classes. </w:t>
      </w:r>
      <w:r w:rsidR="00595B9F">
        <w:rPr>
          <w:rFonts w:ascii="Garamond" w:hAnsi="Garamond"/>
        </w:rPr>
        <w:t>Example:</w:t>
      </w:r>
    </w:p>
    <w:p w14:paraId="18EC35D1" w14:textId="77777777" w:rsidR="00FB7241" w:rsidRDefault="00FB7241" w:rsidP="00FB7241">
      <w:pPr>
        <w:pStyle w:val="ListParagraph"/>
        <w:rPr>
          <w:rFonts w:ascii="Garamond" w:hAnsi="Garamond"/>
        </w:rPr>
      </w:pPr>
    </w:p>
    <w:p w14:paraId="38D95D41" w14:textId="77777777" w:rsidR="00FB7241" w:rsidRDefault="00FB7241" w:rsidP="00FB7241">
      <w:pPr>
        <w:pStyle w:val="ListParagraph"/>
        <w:rPr>
          <w:rFonts w:ascii="Garamond" w:hAnsi="Garamond"/>
        </w:rPr>
      </w:pPr>
      <w:r>
        <w:rPr>
          <w:rFonts w:ascii="Garamond" w:hAnsi="Garamond"/>
        </w:rPr>
        <w:t xml:space="preserve">Bad: ‘Product </w:t>
      </w:r>
      <w:proofErr w:type="spellStart"/>
      <w:r>
        <w:rPr>
          <w:rFonts w:ascii="Garamond" w:hAnsi="Garamond"/>
        </w:rPr>
        <w:t>has_product_function</w:t>
      </w:r>
      <w:proofErr w:type="spellEnd"/>
      <w:r>
        <w:rPr>
          <w:rFonts w:ascii="Garamond" w:hAnsi="Garamond"/>
        </w:rPr>
        <w:t xml:space="preserve"> some Product Function.’</w:t>
      </w:r>
    </w:p>
    <w:p w14:paraId="05DB67A6" w14:textId="77777777" w:rsidR="00FB7241" w:rsidRDefault="00FB7241" w:rsidP="00FB7241">
      <w:pPr>
        <w:pStyle w:val="ListParagraph"/>
        <w:rPr>
          <w:rFonts w:ascii="Garamond" w:hAnsi="Garamond"/>
        </w:rPr>
      </w:pPr>
      <w:r>
        <w:rPr>
          <w:rFonts w:ascii="Garamond" w:hAnsi="Garamond"/>
        </w:rPr>
        <w:t>Better: ‘Product bearer_of some Function.’</w:t>
      </w:r>
    </w:p>
    <w:p w14:paraId="4D240766" w14:textId="77777777" w:rsidR="00FB7241" w:rsidRPr="00FB7241" w:rsidRDefault="00FB7241" w:rsidP="00FB7241">
      <w:pPr>
        <w:pStyle w:val="ListParagraph"/>
        <w:rPr>
          <w:rFonts w:ascii="Garamond" w:hAnsi="Garamond"/>
        </w:rPr>
      </w:pPr>
    </w:p>
    <w:p w14:paraId="7A3CA174" w14:textId="77777777" w:rsidR="00FB7241" w:rsidRPr="00FB7241" w:rsidRDefault="00FB7241" w:rsidP="00FB7241">
      <w:pPr>
        <w:pStyle w:val="ListParagraph"/>
        <w:numPr>
          <w:ilvl w:val="0"/>
          <w:numId w:val="5"/>
        </w:numPr>
        <w:rPr>
          <w:rFonts w:ascii="Garamond" w:hAnsi="Garamond"/>
        </w:rPr>
      </w:pPr>
      <w:r>
        <w:rPr>
          <w:rFonts w:ascii="Garamond" w:hAnsi="Garamond"/>
        </w:rPr>
        <w:t>Processes should be represented by classes</w:t>
      </w:r>
      <w:r w:rsidR="002821F3">
        <w:rPr>
          <w:rFonts w:ascii="Garamond" w:hAnsi="Garamond"/>
        </w:rPr>
        <w:t xml:space="preserve">, not relations.  </w:t>
      </w:r>
    </w:p>
    <w:p w14:paraId="030AD156" w14:textId="77777777" w:rsidR="00FB7241" w:rsidRPr="00FB7241" w:rsidRDefault="00FB7241" w:rsidP="00FB7241">
      <w:pPr>
        <w:pStyle w:val="ListParagraph"/>
        <w:rPr>
          <w:rFonts w:ascii="Garamond" w:hAnsi="Garamond"/>
        </w:rPr>
      </w:pPr>
    </w:p>
    <w:p w14:paraId="510D7CD3" w14:textId="697E98D5" w:rsidR="00AB29AB" w:rsidRDefault="00FB7241" w:rsidP="002821F3">
      <w:pPr>
        <w:pStyle w:val="ListParagraph"/>
        <w:numPr>
          <w:ilvl w:val="0"/>
          <w:numId w:val="5"/>
        </w:numPr>
        <w:rPr>
          <w:rFonts w:ascii="Garamond" w:hAnsi="Garamond"/>
        </w:rPr>
      </w:pPr>
      <w:r>
        <w:rPr>
          <w:rFonts w:ascii="Garamond" w:hAnsi="Garamond"/>
        </w:rPr>
        <w:t>Every class should receive an Aristotelian, or genus-species form, definition to be placed in a class annotation</w:t>
      </w:r>
      <w:r w:rsidR="00881E3E">
        <w:rPr>
          <w:rFonts w:ascii="Garamond" w:hAnsi="Garamond"/>
        </w:rPr>
        <w:t>, and a separate annotation should list the term editor who is responsible for creating it.</w:t>
      </w:r>
    </w:p>
    <w:p w14:paraId="0D7A876B" w14:textId="77777777" w:rsidR="002821F3" w:rsidRPr="002821F3" w:rsidRDefault="002821F3" w:rsidP="002821F3">
      <w:pPr>
        <w:pStyle w:val="ListParagraph"/>
        <w:rPr>
          <w:rFonts w:ascii="Garamond" w:hAnsi="Garamond"/>
        </w:rPr>
      </w:pPr>
    </w:p>
    <w:p w14:paraId="30A9D968" w14:textId="77777777" w:rsidR="00AB29AB" w:rsidRDefault="007F4212" w:rsidP="00E2746D">
      <w:pPr>
        <w:pStyle w:val="ListParagraph"/>
        <w:numPr>
          <w:ilvl w:val="0"/>
          <w:numId w:val="5"/>
        </w:numPr>
        <w:rPr>
          <w:rFonts w:ascii="Garamond" w:hAnsi="Garamond"/>
        </w:rPr>
      </w:pPr>
      <w:r>
        <w:rPr>
          <w:rFonts w:ascii="Garamond" w:hAnsi="Garamond"/>
        </w:rPr>
        <w:t>If necessary, a</w:t>
      </w:r>
      <w:r w:rsidR="002821F3" w:rsidRPr="002821F3">
        <w:rPr>
          <w:rFonts w:ascii="Garamond" w:hAnsi="Garamond"/>
        </w:rPr>
        <w:t>llow cheats and short cuts in application ontologies. Reference ontologies require representing what is true of rea</w:t>
      </w:r>
      <w:r w:rsidR="002821F3">
        <w:rPr>
          <w:rFonts w:ascii="Garamond" w:hAnsi="Garamond"/>
        </w:rPr>
        <w:t xml:space="preserve">lity, not what is expedient. </w:t>
      </w:r>
    </w:p>
    <w:p w14:paraId="7F0633D5" w14:textId="77777777" w:rsidR="002821F3" w:rsidRPr="002821F3" w:rsidRDefault="002821F3" w:rsidP="002821F3">
      <w:pPr>
        <w:pStyle w:val="ListParagraph"/>
        <w:rPr>
          <w:rFonts w:ascii="Garamond" w:hAnsi="Garamond"/>
        </w:rPr>
      </w:pPr>
    </w:p>
    <w:p w14:paraId="2BFF7667" w14:textId="77777777" w:rsidR="002821F3" w:rsidRDefault="002821F3" w:rsidP="00E2746D">
      <w:pPr>
        <w:pStyle w:val="ListParagraph"/>
        <w:numPr>
          <w:ilvl w:val="0"/>
          <w:numId w:val="5"/>
        </w:numPr>
        <w:rPr>
          <w:rFonts w:ascii="Garamond" w:hAnsi="Garamond"/>
        </w:rPr>
      </w:pPr>
      <w:r>
        <w:rPr>
          <w:rFonts w:ascii="Garamond" w:hAnsi="Garamond"/>
        </w:rPr>
        <w:t>Creating hierarchies for artifact</w:t>
      </w:r>
      <w:r w:rsidR="00533E69">
        <w:rPr>
          <w:rFonts w:ascii="Garamond" w:hAnsi="Garamond"/>
        </w:rPr>
        <w:t xml:space="preserve"> types</w:t>
      </w:r>
      <w:r>
        <w:rPr>
          <w:rFonts w:ascii="Garamond" w:hAnsi="Garamond"/>
        </w:rPr>
        <w:t xml:space="preserve"> is hard. Don’t forget to </w:t>
      </w:r>
      <w:r w:rsidR="00533E69">
        <w:rPr>
          <w:rFonts w:ascii="Garamond" w:hAnsi="Garamond"/>
        </w:rPr>
        <w:t>represent</w:t>
      </w:r>
      <w:r>
        <w:rPr>
          <w:rFonts w:ascii="Garamond" w:hAnsi="Garamond"/>
        </w:rPr>
        <w:t xml:space="preserve"> artifact functions, artifact manufa</w:t>
      </w:r>
      <w:r w:rsidR="00533E69">
        <w:rPr>
          <w:rFonts w:ascii="Garamond" w:hAnsi="Garamond"/>
        </w:rPr>
        <w:t xml:space="preserve">cturers, past uses of </w:t>
      </w:r>
      <w:r>
        <w:rPr>
          <w:rFonts w:ascii="Garamond" w:hAnsi="Garamond"/>
        </w:rPr>
        <w:t>artifacts</w:t>
      </w:r>
      <w:r w:rsidR="00533E69">
        <w:rPr>
          <w:rFonts w:ascii="Garamond" w:hAnsi="Garamond"/>
        </w:rPr>
        <w:t xml:space="preserve"> belonging to the same product line</w:t>
      </w:r>
      <w:r>
        <w:rPr>
          <w:rFonts w:ascii="Garamond" w:hAnsi="Garamond"/>
        </w:rPr>
        <w:t xml:space="preserve">, etc. This will </w:t>
      </w:r>
      <w:r w:rsidR="00533E69">
        <w:rPr>
          <w:rFonts w:ascii="Garamond" w:hAnsi="Garamond"/>
        </w:rPr>
        <w:t>aid querying</w:t>
      </w:r>
      <w:r>
        <w:rPr>
          <w:rFonts w:ascii="Garamond" w:hAnsi="Garamond"/>
        </w:rPr>
        <w:t xml:space="preserve"> for artifacts even in the absence of a well-built taxonomy of artifact types.</w:t>
      </w:r>
    </w:p>
    <w:p w14:paraId="026E295C" w14:textId="77777777" w:rsidR="002821F3" w:rsidRPr="002821F3" w:rsidRDefault="002821F3" w:rsidP="002821F3">
      <w:pPr>
        <w:pStyle w:val="ListParagraph"/>
        <w:rPr>
          <w:rFonts w:ascii="Garamond" w:hAnsi="Garamond"/>
        </w:rPr>
      </w:pPr>
    </w:p>
    <w:p w14:paraId="57355D07" w14:textId="77777777" w:rsidR="002821F3" w:rsidRDefault="002821F3" w:rsidP="00E2746D">
      <w:pPr>
        <w:pStyle w:val="ListParagraph"/>
        <w:numPr>
          <w:ilvl w:val="0"/>
          <w:numId w:val="5"/>
        </w:numPr>
        <w:rPr>
          <w:rFonts w:ascii="Garamond" w:hAnsi="Garamond"/>
        </w:rPr>
      </w:pPr>
      <w:r>
        <w:rPr>
          <w:rFonts w:ascii="Garamond" w:hAnsi="Garamond"/>
        </w:rPr>
        <w:t xml:space="preserve">A service is a process. When you sign a service agreement, you don’t buy a service. You buy the claim on someone else to provide the service, and the seller acquires an obligation to provide that service upon request. Both the claim and the obligation may be represented with roles. </w:t>
      </w:r>
    </w:p>
    <w:p w14:paraId="353EAEA3" w14:textId="77777777" w:rsidR="002821F3" w:rsidRPr="002821F3" w:rsidRDefault="002821F3" w:rsidP="002821F3">
      <w:pPr>
        <w:pStyle w:val="ListParagraph"/>
        <w:rPr>
          <w:rFonts w:ascii="Garamond" w:hAnsi="Garamond"/>
        </w:rPr>
      </w:pPr>
    </w:p>
    <w:p w14:paraId="40BE6C92" w14:textId="77777777" w:rsidR="002821F3" w:rsidRDefault="002821F3" w:rsidP="00E2746D">
      <w:pPr>
        <w:pStyle w:val="ListParagraph"/>
        <w:numPr>
          <w:ilvl w:val="0"/>
          <w:numId w:val="5"/>
        </w:numPr>
        <w:rPr>
          <w:rFonts w:ascii="Garamond" w:hAnsi="Garamond"/>
        </w:rPr>
      </w:pPr>
      <w:r>
        <w:rPr>
          <w:rFonts w:ascii="Garamond" w:hAnsi="Garamond"/>
        </w:rPr>
        <w:t xml:space="preserve">The completeness of your ontology doesn’t rest with whether or not someone’s preferred term is available in it, but rather, with whether or not your ontology </w:t>
      </w:r>
      <w:r w:rsidR="0044079D">
        <w:rPr>
          <w:rFonts w:ascii="Garamond" w:hAnsi="Garamond"/>
        </w:rPr>
        <w:t xml:space="preserve">can express the same meaning in an alternative vocabulary. </w:t>
      </w:r>
      <w:r w:rsidR="00595B9F">
        <w:rPr>
          <w:rFonts w:ascii="Garamond" w:hAnsi="Garamond"/>
        </w:rPr>
        <w:t xml:space="preserve"> </w:t>
      </w:r>
    </w:p>
    <w:p w14:paraId="6457F035" w14:textId="77777777" w:rsidR="00595B9F" w:rsidRPr="00595B9F" w:rsidRDefault="00595B9F" w:rsidP="00595B9F">
      <w:pPr>
        <w:pStyle w:val="ListParagraph"/>
        <w:rPr>
          <w:rFonts w:ascii="Garamond" w:hAnsi="Garamond"/>
        </w:rPr>
      </w:pPr>
    </w:p>
    <w:p w14:paraId="1CA712EC" w14:textId="77777777" w:rsidR="00595B9F" w:rsidRDefault="00595B9F" w:rsidP="00E2746D">
      <w:pPr>
        <w:pStyle w:val="ListParagraph"/>
        <w:numPr>
          <w:ilvl w:val="0"/>
          <w:numId w:val="5"/>
        </w:numPr>
        <w:rPr>
          <w:rFonts w:ascii="Garamond" w:hAnsi="Garamond"/>
        </w:rPr>
      </w:pPr>
      <w:r>
        <w:rPr>
          <w:rFonts w:ascii="Garamond" w:hAnsi="Garamond"/>
        </w:rPr>
        <w:t xml:space="preserve">In class labels, use prefixes and </w:t>
      </w:r>
      <w:proofErr w:type="spellStart"/>
      <w:r>
        <w:rPr>
          <w:rFonts w:ascii="Garamond" w:hAnsi="Garamond"/>
        </w:rPr>
        <w:t>sortal</w:t>
      </w:r>
      <w:proofErr w:type="spellEnd"/>
      <w:r>
        <w:rPr>
          <w:rFonts w:ascii="Garamond" w:hAnsi="Garamond"/>
        </w:rPr>
        <w:t xml:space="preserve"> noun phrases. Examples:</w:t>
      </w:r>
    </w:p>
    <w:p w14:paraId="508DB044" w14:textId="77777777" w:rsidR="00595B9F" w:rsidRDefault="00595B9F" w:rsidP="00595B9F">
      <w:pPr>
        <w:pStyle w:val="ListParagraph"/>
        <w:rPr>
          <w:rFonts w:ascii="Garamond" w:hAnsi="Garamond"/>
        </w:rPr>
      </w:pPr>
    </w:p>
    <w:p w14:paraId="66AFF3F2" w14:textId="77777777" w:rsidR="00595B9F" w:rsidRDefault="00595B9F" w:rsidP="00595B9F">
      <w:pPr>
        <w:pStyle w:val="ListParagraph"/>
        <w:rPr>
          <w:rFonts w:ascii="Garamond" w:hAnsi="Garamond"/>
        </w:rPr>
        <w:sectPr w:rsidR="00595B9F" w:rsidSect="008B031D">
          <w:type w:val="continuous"/>
          <w:pgSz w:w="12240" w:h="15840"/>
          <w:pgMar w:top="1440" w:right="1440" w:bottom="1440" w:left="1440" w:header="720" w:footer="720" w:gutter="0"/>
          <w:cols w:space="720"/>
          <w:docGrid w:linePitch="360"/>
        </w:sectPr>
      </w:pPr>
    </w:p>
    <w:p w14:paraId="072E838D" w14:textId="77777777" w:rsidR="00595B9F" w:rsidRDefault="00595B9F" w:rsidP="00595B9F">
      <w:pPr>
        <w:pStyle w:val="ListParagraph"/>
        <w:rPr>
          <w:rFonts w:ascii="Garamond" w:hAnsi="Garamond"/>
        </w:rPr>
      </w:pPr>
      <w:r>
        <w:rPr>
          <w:rFonts w:ascii="Garamond" w:hAnsi="Garamond"/>
        </w:rPr>
        <w:t>Bad: Water</w:t>
      </w:r>
    </w:p>
    <w:p w14:paraId="1E797CA2" w14:textId="77777777" w:rsidR="00595B9F" w:rsidRDefault="00595B9F" w:rsidP="00595B9F">
      <w:pPr>
        <w:pStyle w:val="ListParagraph"/>
        <w:rPr>
          <w:rFonts w:ascii="Garamond" w:hAnsi="Garamond"/>
        </w:rPr>
      </w:pPr>
      <w:r>
        <w:rPr>
          <w:rFonts w:ascii="Garamond" w:hAnsi="Garamond"/>
        </w:rPr>
        <w:t>Good: Portion of Water</w:t>
      </w:r>
    </w:p>
    <w:p w14:paraId="35AF2679" w14:textId="77777777" w:rsidR="00595B9F" w:rsidRDefault="00595B9F" w:rsidP="00595B9F">
      <w:pPr>
        <w:pStyle w:val="ListParagraph"/>
        <w:rPr>
          <w:rFonts w:ascii="Garamond" w:hAnsi="Garamond"/>
        </w:rPr>
      </w:pPr>
      <w:r>
        <w:rPr>
          <w:rFonts w:ascii="Garamond" w:hAnsi="Garamond"/>
        </w:rPr>
        <w:t>Bad: Work</w:t>
      </w:r>
    </w:p>
    <w:p w14:paraId="1B63BEB6" w14:textId="77777777" w:rsidR="00595B9F" w:rsidRPr="00595B9F" w:rsidRDefault="00595B9F" w:rsidP="00595B9F">
      <w:pPr>
        <w:pStyle w:val="ListParagraph"/>
        <w:rPr>
          <w:rFonts w:ascii="Garamond" w:hAnsi="Garamond"/>
        </w:rPr>
      </w:pPr>
      <w:r>
        <w:rPr>
          <w:rFonts w:ascii="Garamond" w:hAnsi="Garamond"/>
        </w:rPr>
        <w:t>Good: Process of Work</w:t>
      </w:r>
    </w:p>
    <w:p w14:paraId="5C97FBEC" w14:textId="77777777" w:rsidR="00595B9F" w:rsidRDefault="00595B9F" w:rsidP="00595B9F">
      <w:pPr>
        <w:rPr>
          <w:rFonts w:ascii="Garamond" w:hAnsi="Garamond"/>
        </w:rPr>
        <w:sectPr w:rsidR="00595B9F" w:rsidSect="00595B9F">
          <w:type w:val="continuous"/>
          <w:pgSz w:w="12240" w:h="15840"/>
          <w:pgMar w:top="1440" w:right="1440" w:bottom="1440" w:left="1440" w:header="720" w:footer="720" w:gutter="0"/>
          <w:cols w:num="2" w:space="720"/>
          <w:docGrid w:linePitch="360"/>
        </w:sectPr>
      </w:pPr>
    </w:p>
    <w:p w14:paraId="4DA8623A" w14:textId="77777777" w:rsidR="00AB29AB" w:rsidRDefault="00AB29AB">
      <w:pPr>
        <w:rPr>
          <w:rFonts w:ascii="Garamond" w:hAnsi="Garamond"/>
        </w:rPr>
      </w:pPr>
    </w:p>
    <w:p w14:paraId="4FCD2E93" w14:textId="77777777" w:rsidR="0044079D" w:rsidRDefault="00533E69" w:rsidP="00533E69">
      <w:pPr>
        <w:pStyle w:val="ListParagraph"/>
        <w:numPr>
          <w:ilvl w:val="0"/>
          <w:numId w:val="5"/>
        </w:numPr>
        <w:rPr>
          <w:rFonts w:ascii="Garamond" w:hAnsi="Garamond"/>
        </w:rPr>
      </w:pPr>
      <w:r>
        <w:rPr>
          <w:rFonts w:ascii="Garamond" w:hAnsi="Garamond"/>
        </w:rPr>
        <w:t>Certain terms like ‘color’ can refer both to a disposition (</w:t>
      </w:r>
      <w:r w:rsidR="0044079D">
        <w:rPr>
          <w:rFonts w:ascii="Garamond" w:hAnsi="Garamond"/>
        </w:rPr>
        <w:t xml:space="preserve">e.g. </w:t>
      </w:r>
      <w:r>
        <w:rPr>
          <w:rFonts w:ascii="Garamond" w:hAnsi="Garamond"/>
        </w:rPr>
        <w:t>the power to induce others to have a certain qualitative experience) and the quality that is the base of the disposition (</w:t>
      </w:r>
      <w:r w:rsidR="0044079D">
        <w:rPr>
          <w:rFonts w:ascii="Garamond" w:hAnsi="Garamond"/>
        </w:rPr>
        <w:t xml:space="preserve">e.g. </w:t>
      </w:r>
      <w:r>
        <w:rPr>
          <w:rFonts w:ascii="Garamond" w:hAnsi="Garamond"/>
        </w:rPr>
        <w:t>the surface grain structure responsible for reflecting light away from an object). When necessary, represent both.</w:t>
      </w:r>
    </w:p>
    <w:p w14:paraId="0D809FA3" w14:textId="77777777" w:rsidR="00AB29AB" w:rsidRPr="0044079D" w:rsidRDefault="00533E69" w:rsidP="0044079D">
      <w:pPr>
        <w:rPr>
          <w:rFonts w:ascii="Garamond" w:hAnsi="Garamond"/>
        </w:rPr>
      </w:pPr>
      <w:r w:rsidRPr="0044079D">
        <w:rPr>
          <w:rFonts w:ascii="Garamond" w:hAnsi="Garamond"/>
        </w:rPr>
        <w:t xml:space="preserve"> </w:t>
      </w:r>
    </w:p>
    <w:p w14:paraId="1A78E8B7" w14:textId="77777777" w:rsidR="00AB29AB" w:rsidRPr="00FE1A25" w:rsidRDefault="00A51A81" w:rsidP="0044079D">
      <w:pPr>
        <w:pStyle w:val="ListParagraph"/>
        <w:numPr>
          <w:ilvl w:val="0"/>
          <w:numId w:val="5"/>
        </w:numPr>
        <w:rPr>
          <w:rFonts w:ascii="Garamond" w:hAnsi="Garamond"/>
        </w:rPr>
      </w:pPr>
      <w:r>
        <w:rPr>
          <w:rFonts w:ascii="Garamond" w:hAnsi="Garamond"/>
        </w:rPr>
        <w:t>Never</w:t>
      </w:r>
      <w:r w:rsidR="0044079D" w:rsidRPr="0044079D">
        <w:rPr>
          <w:rFonts w:ascii="Garamond" w:hAnsi="Garamond"/>
        </w:rPr>
        <w:t xml:space="preserve"> confuse information with </w:t>
      </w:r>
      <w:r w:rsidR="0044079D">
        <w:rPr>
          <w:rFonts w:ascii="Garamond" w:hAnsi="Garamond"/>
        </w:rPr>
        <w:t xml:space="preserve">the entities the information is about. ‘5 centimeters’ is not a length; rather, it is a measurement that is about a length. </w:t>
      </w:r>
    </w:p>
    <w:sectPr w:rsidR="00AB29AB" w:rsidRPr="00FE1A25" w:rsidSect="008B031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138FE" w14:textId="77777777" w:rsidR="000E61D9" w:rsidRDefault="000E61D9" w:rsidP="00AB29AB">
      <w:r>
        <w:separator/>
      </w:r>
    </w:p>
  </w:endnote>
  <w:endnote w:type="continuationSeparator" w:id="0">
    <w:p w14:paraId="425016F2" w14:textId="77777777" w:rsidR="000E61D9" w:rsidRDefault="000E61D9" w:rsidP="00AB2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677087"/>
      <w:docPartObj>
        <w:docPartGallery w:val="Page Numbers (Bottom of Page)"/>
        <w:docPartUnique/>
      </w:docPartObj>
    </w:sdtPr>
    <w:sdtEndPr>
      <w:rPr>
        <w:rStyle w:val="PageNumber"/>
      </w:rPr>
    </w:sdtEndPr>
    <w:sdtContent>
      <w:p w14:paraId="3B381DF4" w14:textId="77777777" w:rsidR="00AB29AB" w:rsidRDefault="00AB29AB" w:rsidP="00B604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E1FCD8" w14:textId="77777777" w:rsidR="00AB29AB" w:rsidRDefault="00AB29AB" w:rsidP="00AB2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7169149"/>
      <w:docPartObj>
        <w:docPartGallery w:val="Page Numbers (Bottom of Page)"/>
        <w:docPartUnique/>
      </w:docPartObj>
    </w:sdtPr>
    <w:sdtEndPr>
      <w:rPr>
        <w:rStyle w:val="PageNumber"/>
      </w:rPr>
    </w:sdtEndPr>
    <w:sdtContent>
      <w:p w14:paraId="42253BDB" w14:textId="77777777" w:rsidR="00AB29AB" w:rsidRDefault="00AB29AB" w:rsidP="00B604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761E38" w14:textId="77777777" w:rsidR="00AB29AB" w:rsidRDefault="00AB29AB" w:rsidP="00AB29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82606" w14:textId="77777777" w:rsidR="000E61D9" w:rsidRDefault="000E61D9" w:rsidP="00AB29AB">
      <w:r>
        <w:separator/>
      </w:r>
    </w:p>
  </w:footnote>
  <w:footnote w:type="continuationSeparator" w:id="0">
    <w:p w14:paraId="58A81AF5" w14:textId="77777777" w:rsidR="000E61D9" w:rsidRDefault="000E61D9" w:rsidP="00AB29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00D5"/>
    <w:multiLevelType w:val="hybridMultilevel"/>
    <w:tmpl w:val="1DF0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96079"/>
    <w:multiLevelType w:val="hybridMultilevel"/>
    <w:tmpl w:val="7FF0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C3A60"/>
    <w:multiLevelType w:val="hybridMultilevel"/>
    <w:tmpl w:val="4DBE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C0E35"/>
    <w:multiLevelType w:val="hybridMultilevel"/>
    <w:tmpl w:val="B1E4F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055F7"/>
    <w:multiLevelType w:val="hybridMultilevel"/>
    <w:tmpl w:val="580C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A25"/>
    <w:rsid w:val="00005C29"/>
    <w:rsid w:val="000E61D9"/>
    <w:rsid w:val="001075DA"/>
    <w:rsid w:val="0016156B"/>
    <w:rsid w:val="001819FE"/>
    <w:rsid w:val="001C729F"/>
    <w:rsid w:val="002821F3"/>
    <w:rsid w:val="00297447"/>
    <w:rsid w:val="00352CEE"/>
    <w:rsid w:val="003D6695"/>
    <w:rsid w:val="00400FA9"/>
    <w:rsid w:val="0044079D"/>
    <w:rsid w:val="0045418D"/>
    <w:rsid w:val="00533E69"/>
    <w:rsid w:val="00595B9F"/>
    <w:rsid w:val="007F4212"/>
    <w:rsid w:val="00806B99"/>
    <w:rsid w:val="00881E3E"/>
    <w:rsid w:val="008B031D"/>
    <w:rsid w:val="008F4FD4"/>
    <w:rsid w:val="00902105"/>
    <w:rsid w:val="00923D48"/>
    <w:rsid w:val="00930116"/>
    <w:rsid w:val="009D3A4E"/>
    <w:rsid w:val="00A44658"/>
    <w:rsid w:val="00A51A81"/>
    <w:rsid w:val="00A96187"/>
    <w:rsid w:val="00AB29AB"/>
    <w:rsid w:val="00C227CC"/>
    <w:rsid w:val="00C26F9A"/>
    <w:rsid w:val="00C8223A"/>
    <w:rsid w:val="00CE4692"/>
    <w:rsid w:val="00E00CDC"/>
    <w:rsid w:val="00E26B8D"/>
    <w:rsid w:val="00EA286A"/>
    <w:rsid w:val="00EB5E28"/>
    <w:rsid w:val="00F4259F"/>
    <w:rsid w:val="00FB3F97"/>
    <w:rsid w:val="00FB7241"/>
    <w:rsid w:val="00FC1DCA"/>
    <w:rsid w:val="00FC64B5"/>
    <w:rsid w:val="00FE1A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CDCA"/>
  <w14:defaultImageDpi w14:val="32767"/>
  <w15:chartTrackingRefBased/>
  <w15:docId w15:val="{AEF8162D-A211-D44F-8A1C-E79B69D7D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2C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1A25"/>
    <w:rPr>
      <w:color w:val="0563C1" w:themeColor="hyperlink"/>
      <w:u w:val="single"/>
    </w:rPr>
  </w:style>
  <w:style w:type="character" w:styleId="UnresolvedMention">
    <w:name w:val="Unresolved Mention"/>
    <w:basedOn w:val="DefaultParagraphFont"/>
    <w:uiPriority w:val="99"/>
    <w:rsid w:val="00FE1A25"/>
    <w:rPr>
      <w:color w:val="808080"/>
      <w:shd w:val="clear" w:color="auto" w:fill="E6E6E6"/>
    </w:rPr>
  </w:style>
  <w:style w:type="paragraph" w:styleId="ListParagraph">
    <w:name w:val="List Paragraph"/>
    <w:basedOn w:val="Normal"/>
    <w:uiPriority w:val="34"/>
    <w:qFormat/>
    <w:rsid w:val="00FE1A25"/>
    <w:pPr>
      <w:ind w:left="720"/>
      <w:contextualSpacing/>
    </w:pPr>
  </w:style>
  <w:style w:type="paragraph" w:styleId="Footer">
    <w:name w:val="footer"/>
    <w:basedOn w:val="Normal"/>
    <w:link w:val="FooterChar"/>
    <w:uiPriority w:val="99"/>
    <w:unhideWhenUsed/>
    <w:rsid w:val="00AB29AB"/>
    <w:pPr>
      <w:tabs>
        <w:tab w:val="center" w:pos="4680"/>
        <w:tab w:val="right" w:pos="9360"/>
      </w:tabs>
    </w:pPr>
  </w:style>
  <w:style w:type="character" w:customStyle="1" w:styleId="FooterChar">
    <w:name w:val="Footer Char"/>
    <w:basedOn w:val="DefaultParagraphFont"/>
    <w:link w:val="Footer"/>
    <w:uiPriority w:val="99"/>
    <w:rsid w:val="00AB29AB"/>
  </w:style>
  <w:style w:type="character" w:styleId="PageNumber">
    <w:name w:val="page number"/>
    <w:basedOn w:val="DefaultParagraphFont"/>
    <w:uiPriority w:val="99"/>
    <w:semiHidden/>
    <w:unhideWhenUsed/>
    <w:rsid w:val="00AB29AB"/>
  </w:style>
  <w:style w:type="paragraph" w:styleId="BalloonText">
    <w:name w:val="Balloon Text"/>
    <w:basedOn w:val="Normal"/>
    <w:link w:val="BalloonTextChar"/>
    <w:uiPriority w:val="99"/>
    <w:semiHidden/>
    <w:unhideWhenUsed/>
    <w:rsid w:val="00EA28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A286A"/>
    <w:rPr>
      <w:rFonts w:ascii="Times New Roman" w:hAnsi="Times New Roman" w:cs="Times New Roman"/>
      <w:sz w:val="18"/>
      <w:szCs w:val="18"/>
    </w:rPr>
  </w:style>
  <w:style w:type="paragraph" w:styleId="Revision">
    <w:name w:val="Revision"/>
    <w:hidden/>
    <w:uiPriority w:val="99"/>
    <w:semiHidden/>
    <w:rsid w:val="00EA2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349015">
      <w:bodyDiv w:val="1"/>
      <w:marLeft w:val="0"/>
      <w:marRight w:val="0"/>
      <w:marTop w:val="0"/>
      <w:marBottom w:val="0"/>
      <w:divBdr>
        <w:top w:val="none" w:sz="0" w:space="0" w:color="auto"/>
        <w:left w:val="none" w:sz="0" w:space="0" w:color="auto"/>
        <w:bottom w:val="none" w:sz="0" w:space="0" w:color="auto"/>
        <w:right w:val="none" w:sz="0" w:space="0" w:color="auto"/>
      </w:divBdr>
    </w:div>
    <w:div w:id="136802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corwiki.buffalo.edu/index.php/Main_P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bwp.buffalo.edu/ncor/" TargetMode="External"/><Relationship Id="rId5" Type="http://schemas.openxmlformats.org/officeDocument/2006/relationships/webSettings" Target="webSettings.xml"/><Relationship Id="rId10" Type="http://schemas.openxmlformats.org/officeDocument/2006/relationships/hyperlink" Target="https://github.com/NCOR-US/CHAMP"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7F6FEB5-CFCE-274E-A19E-129E55C2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dc:creator>
  <cp:keywords/>
  <dc:description/>
  <cp:lastModifiedBy>N.o.</cp:lastModifiedBy>
  <cp:revision>4</cp:revision>
  <dcterms:created xsi:type="dcterms:W3CDTF">2018-04-21T16:01:00Z</dcterms:created>
  <dcterms:modified xsi:type="dcterms:W3CDTF">2018-04-23T02:27:00Z</dcterms:modified>
</cp:coreProperties>
</file>